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1.xml" ContentType="application/vnd.openxmlformats-officedocument.wordprocessingml.header+xml"/>
  <Override PartName="/word/header5.xml" ContentType="application/vnd.openxmlformats-officedocument.wordprocessingml.header+xml"/>
  <Override PartName="/word/endnotes.xml" ContentType="application/vnd.openxmlformats-officedocument.wordprocessingml.endnotes+xml"/>
  <Override PartName="/word/header4.xml" ContentType="application/vnd.openxmlformats-officedocument.wordprocessingml.header+xml"/>
  <Override PartName="/word/footer4.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733F" w:rsidRDefault="000D733F">
      <w:pPr>
        <w:spacing w:after="200" w:line="276" w:lineRule="auto"/>
      </w:pPr>
      <w:bookmarkStart w:id="0" w:name="_GoBack"/>
      <w:bookmarkEnd w:id="0"/>
    </w:p>
    <w:p w:rsidR="000D733F" w:rsidRDefault="000D733F" w:rsidP="009E79EC"/>
    <w:p w:rsidR="000D733F" w:rsidRDefault="000D733F">
      <w:pPr>
        <w:spacing w:after="200" w:line="276" w:lineRule="auto"/>
      </w:pPr>
    </w:p>
    <w:p w:rsidR="000D733F" w:rsidRDefault="000D733F">
      <w:pPr>
        <w:spacing w:after="200" w:line="276" w:lineRule="auto"/>
      </w:pPr>
    </w:p>
    <w:p w:rsidR="001227C3" w:rsidRDefault="001227C3" w:rsidP="000D733F">
      <w:pPr>
        <w:pStyle w:val="Title"/>
        <w:ind w:left="2694" w:right="-624"/>
        <w:rPr>
          <w:noProof/>
          <w:color w:val="FFFFFF"/>
          <w:spacing w:val="0"/>
          <w:sz w:val="50"/>
          <w:szCs w:val="50"/>
          <w:lang w:val="en-US" w:eastAsia="en-US"/>
        </w:rPr>
      </w:pPr>
    </w:p>
    <w:p w:rsidR="001227C3" w:rsidRDefault="001227C3" w:rsidP="000D733F">
      <w:pPr>
        <w:pStyle w:val="Title"/>
        <w:ind w:left="2694" w:right="-624"/>
        <w:rPr>
          <w:noProof/>
          <w:color w:val="FFFFFF"/>
          <w:spacing w:val="0"/>
          <w:sz w:val="50"/>
          <w:szCs w:val="50"/>
          <w:lang w:val="en-US" w:eastAsia="en-US"/>
        </w:rPr>
      </w:pPr>
    </w:p>
    <w:p w:rsidR="001227C3" w:rsidRDefault="001227C3" w:rsidP="000D733F">
      <w:pPr>
        <w:pStyle w:val="Title"/>
        <w:ind w:left="2694" w:right="-624"/>
        <w:rPr>
          <w:noProof/>
          <w:color w:val="FFFFFF"/>
          <w:spacing w:val="0"/>
          <w:sz w:val="50"/>
          <w:szCs w:val="50"/>
          <w:lang w:val="en-US" w:eastAsia="en-US"/>
        </w:rPr>
      </w:pPr>
    </w:p>
    <w:p w:rsidR="001227C3" w:rsidRDefault="001227C3" w:rsidP="000D733F">
      <w:pPr>
        <w:pStyle w:val="Title"/>
        <w:ind w:left="2694" w:right="-624"/>
        <w:rPr>
          <w:noProof/>
          <w:color w:val="FFFFFF"/>
          <w:spacing w:val="0"/>
          <w:sz w:val="50"/>
          <w:szCs w:val="50"/>
          <w:lang w:val="en-US" w:eastAsia="en-US"/>
        </w:rPr>
      </w:pPr>
    </w:p>
    <w:p w:rsidR="001227C3" w:rsidRDefault="001227C3" w:rsidP="000D733F">
      <w:pPr>
        <w:pStyle w:val="Title"/>
        <w:ind w:left="2694" w:right="-624"/>
        <w:rPr>
          <w:noProof/>
          <w:color w:val="FFFFFF"/>
          <w:spacing w:val="0"/>
          <w:sz w:val="50"/>
          <w:szCs w:val="50"/>
          <w:lang w:val="en-US" w:eastAsia="en-US"/>
        </w:rPr>
      </w:pPr>
    </w:p>
    <w:p w:rsidR="001227C3" w:rsidRDefault="001227C3" w:rsidP="000D733F">
      <w:pPr>
        <w:pStyle w:val="Title"/>
        <w:ind w:left="2694" w:right="-624"/>
        <w:rPr>
          <w:noProof/>
          <w:color w:val="FFFFFF"/>
          <w:spacing w:val="0"/>
          <w:sz w:val="50"/>
          <w:szCs w:val="50"/>
          <w:lang w:val="en-US" w:eastAsia="en-US"/>
        </w:rPr>
      </w:pPr>
    </w:p>
    <w:p w:rsidR="001227C3" w:rsidRDefault="001227C3" w:rsidP="000D733F">
      <w:pPr>
        <w:pStyle w:val="Title"/>
        <w:ind w:left="2694" w:right="-624"/>
        <w:rPr>
          <w:noProof/>
          <w:color w:val="FFFFFF"/>
          <w:spacing w:val="0"/>
          <w:sz w:val="50"/>
          <w:szCs w:val="50"/>
          <w:lang w:val="en-US" w:eastAsia="en-US"/>
        </w:rPr>
      </w:pPr>
    </w:p>
    <w:p w:rsidR="001227C3" w:rsidRDefault="001227C3" w:rsidP="000D733F">
      <w:pPr>
        <w:pStyle w:val="Title"/>
        <w:ind w:left="2694" w:right="-624"/>
        <w:rPr>
          <w:noProof/>
          <w:color w:val="FFFFFF"/>
          <w:spacing w:val="0"/>
          <w:sz w:val="50"/>
          <w:szCs w:val="50"/>
          <w:lang w:val="en-US" w:eastAsia="en-US"/>
        </w:rPr>
      </w:pPr>
    </w:p>
    <w:p w:rsidR="001227C3" w:rsidRDefault="001227C3" w:rsidP="000D733F">
      <w:pPr>
        <w:pStyle w:val="Title"/>
        <w:ind w:left="2694" w:right="-624"/>
        <w:rPr>
          <w:noProof/>
          <w:color w:val="FFFFFF"/>
          <w:spacing w:val="0"/>
          <w:sz w:val="50"/>
          <w:szCs w:val="50"/>
          <w:lang w:val="en-US" w:eastAsia="en-US"/>
        </w:rPr>
      </w:pPr>
    </w:p>
    <w:p w:rsidR="001227C3" w:rsidRDefault="001227C3" w:rsidP="000D733F">
      <w:pPr>
        <w:pStyle w:val="Title"/>
        <w:ind w:left="2694" w:right="-624"/>
        <w:rPr>
          <w:noProof/>
          <w:color w:val="FFFFFF"/>
          <w:spacing w:val="0"/>
          <w:sz w:val="50"/>
          <w:szCs w:val="50"/>
          <w:lang w:val="en-US" w:eastAsia="en-US"/>
        </w:rPr>
      </w:pPr>
    </w:p>
    <w:p w:rsidR="000D733F" w:rsidRPr="001227C3" w:rsidRDefault="000D733F" w:rsidP="000D733F">
      <w:pPr>
        <w:pStyle w:val="Title"/>
        <w:ind w:left="2694" w:right="-624"/>
        <w:rPr>
          <w:noProof/>
          <w:color w:val="FFFFFF"/>
          <w:spacing w:val="0"/>
          <w:sz w:val="50"/>
          <w:szCs w:val="50"/>
          <w:lang w:val="en-US" w:eastAsia="en-US"/>
        </w:rPr>
      </w:pPr>
      <w:r w:rsidRPr="001227C3">
        <w:rPr>
          <w:noProof/>
          <w:color w:val="FFFFFF"/>
          <w:spacing w:val="0"/>
          <w:sz w:val="50"/>
          <w:szCs w:val="50"/>
          <w:lang w:val="en-US" w:eastAsia="en-US"/>
        </w:rPr>
        <w:t xml:space="preserve">Aid Program Performance Report 2013-14 </w:t>
      </w:r>
      <w:r w:rsidRPr="001227C3">
        <w:rPr>
          <w:noProof/>
          <w:color w:val="FFFFFF"/>
          <w:spacing w:val="0"/>
          <w:sz w:val="50"/>
          <w:szCs w:val="50"/>
        </w:rPr>
        <w:drawing>
          <wp:anchor distT="0" distB="0" distL="114300" distR="114300" simplePos="0" relativeHeight="251662336" behindDoc="1" locked="1" layoutInCell="1" allowOverlap="1" wp14:anchorId="6F430698" wp14:editId="7960ED67">
            <wp:simplePos x="0" y="0"/>
            <wp:positionH relativeFrom="page">
              <wp:align>left</wp:align>
            </wp:positionH>
            <wp:positionV relativeFrom="page">
              <wp:align>top</wp:align>
            </wp:positionV>
            <wp:extent cx="7558405" cy="10691495"/>
            <wp:effectExtent l="0" t="0" r="4445" b="0"/>
            <wp:wrapNone/>
            <wp:docPr id="11" name="Picture 11" descr="DFAT templat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7558768" cy="10691999"/>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D733F" w:rsidRPr="001227C3" w:rsidRDefault="00C55259" w:rsidP="000D733F">
      <w:pPr>
        <w:pStyle w:val="Subtitle"/>
        <w:ind w:left="2694" w:right="-624"/>
        <w:rPr>
          <w:noProof/>
          <w:color w:val="FFFFFF"/>
          <w:spacing w:val="0"/>
          <w:sz w:val="32"/>
          <w:szCs w:val="32"/>
          <w:lang w:val="en-US" w:eastAsia="en-US"/>
        </w:rPr>
      </w:pPr>
      <w:r>
        <w:rPr>
          <w:noProof/>
          <w:color w:val="FFFFFF"/>
          <w:spacing w:val="0"/>
          <w:sz w:val="32"/>
          <w:szCs w:val="32"/>
          <w:lang w:val="en-US" w:eastAsia="en-US"/>
        </w:rPr>
        <w:t>Nepal</w:t>
      </w:r>
    </w:p>
    <w:p w:rsidR="000D733F" w:rsidRDefault="000D733F" w:rsidP="001227C3">
      <w:pPr>
        <w:pStyle w:val="Date"/>
        <w:spacing w:before="200" w:after="600" w:line="380" w:lineRule="atLeast"/>
        <w:ind w:left="2694" w:right="-624"/>
        <w:rPr>
          <w:rFonts w:ascii="Helvetica" w:eastAsia="Times New Roman" w:hAnsi="Helvetica"/>
          <w:noProof/>
          <w:color w:val="FFFFFF"/>
          <w:kern w:val="28"/>
          <w:sz w:val="24"/>
          <w:lang w:val="en-US" w:eastAsia="en-US"/>
        </w:rPr>
      </w:pPr>
      <w:r w:rsidRPr="001227C3">
        <w:rPr>
          <w:rFonts w:ascii="Helvetica" w:eastAsia="Times New Roman" w:hAnsi="Helvetica"/>
          <w:noProof/>
          <w:color w:val="FFFFFF"/>
          <w:kern w:val="28"/>
          <w:sz w:val="24"/>
          <w:lang w:val="en-US" w:eastAsia="en-US"/>
        </w:rPr>
        <w:t>September 2014</w:t>
      </w:r>
    </w:p>
    <w:p w:rsidR="001D6059" w:rsidRDefault="001D6059" w:rsidP="00CD061B">
      <w:pPr>
        <w:rPr>
          <w:lang w:val="en-US" w:eastAsia="en-US"/>
        </w:rPr>
      </w:pPr>
    </w:p>
    <w:p w:rsidR="00AC6F49" w:rsidRDefault="00AC6F49">
      <w:pPr>
        <w:spacing w:after="200" w:line="276" w:lineRule="auto"/>
        <w:rPr>
          <w:lang w:val="en-US" w:eastAsia="en-US"/>
        </w:rPr>
      </w:pPr>
      <w:r>
        <w:rPr>
          <w:lang w:val="en-US" w:eastAsia="en-US"/>
        </w:rPr>
        <w:br w:type="page"/>
      </w:r>
    </w:p>
    <w:p w:rsidR="005B42EE" w:rsidRPr="00CD061B" w:rsidRDefault="005B42EE" w:rsidP="00CD061B">
      <w:pPr>
        <w:rPr>
          <w:lang w:val="en-US" w:eastAsia="en-US"/>
        </w:rPr>
        <w:sectPr w:rsidR="005B42EE" w:rsidRPr="00CD061B" w:rsidSect="00091824">
          <w:headerReference w:type="even" r:id="rId10"/>
          <w:headerReference w:type="default" r:id="rId11"/>
          <w:footerReference w:type="even" r:id="rId12"/>
          <w:footerReference w:type="default" r:id="rId13"/>
          <w:headerReference w:type="first" r:id="rId14"/>
          <w:footerReference w:type="first" r:id="rId15"/>
          <w:pgSz w:w="11907" w:h="16840" w:code="9"/>
          <w:pgMar w:top="2268" w:right="1871" w:bottom="907" w:left="1871" w:header="851" w:footer="454" w:gutter="0"/>
          <w:cols w:space="720"/>
          <w:docGrid w:linePitch="272"/>
        </w:sectPr>
      </w:pPr>
    </w:p>
    <w:p w:rsidR="000D733F" w:rsidRPr="00B43B60" w:rsidRDefault="000D733F" w:rsidP="000D733F">
      <w:pPr>
        <w:pStyle w:val="Heading2"/>
        <w:rPr>
          <w:rStyle w:val="BodyTextChar"/>
          <w:color w:val="auto"/>
        </w:rPr>
      </w:pPr>
      <w:bookmarkStart w:id="1" w:name="_Toc373853205"/>
      <w:r w:rsidRPr="009E38C1">
        <w:rPr>
          <w:sz w:val="28"/>
        </w:rPr>
        <w:lastRenderedPageBreak/>
        <w:t>Key Messages</w:t>
      </w:r>
      <w:bookmarkEnd w:id="1"/>
      <w:r w:rsidRPr="009E38C1">
        <w:rPr>
          <w:sz w:val="28"/>
        </w:rPr>
        <w:tab/>
      </w:r>
      <w:r w:rsidRPr="009E38C1">
        <w:rPr>
          <w:sz w:val="28"/>
        </w:rPr>
        <w:tab/>
      </w:r>
      <w:r>
        <w:rPr>
          <w:sz w:val="32"/>
          <w:szCs w:val="32"/>
        </w:rPr>
        <w:tab/>
      </w:r>
      <w:r>
        <w:rPr>
          <w:sz w:val="32"/>
          <w:szCs w:val="32"/>
        </w:rPr>
        <w:tab/>
      </w:r>
      <w:r>
        <w:rPr>
          <w:sz w:val="32"/>
          <w:szCs w:val="32"/>
        </w:rPr>
        <w:tab/>
      </w:r>
      <w:r>
        <w:rPr>
          <w:sz w:val="32"/>
          <w:szCs w:val="32"/>
        </w:rPr>
        <w:tab/>
      </w:r>
    </w:p>
    <w:p w:rsidR="00D84610" w:rsidRDefault="00D84610" w:rsidP="009B5BFC">
      <w:pPr>
        <w:pStyle w:val="ListBullet"/>
        <w:numPr>
          <w:ilvl w:val="0"/>
          <w:numId w:val="0"/>
        </w:numPr>
        <w:tabs>
          <w:tab w:val="clear" w:pos="284"/>
        </w:tabs>
      </w:pPr>
      <w:r>
        <w:t xml:space="preserve">This report summarises progress </w:t>
      </w:r>
      <w:r w:rsidR="00332432">
        <w:t xml:space="preserve">for the aid program to Nepal </w:t>
      </w:r>
      <w:r>
        <w:t>in 2013-14 against two objectives:</w:t>
      </w:r>
    </w:p>
    <w:p w:rsidR="00D84610" w:rsidRDefault="00D84610" w:rsidP="00AB60E8">
      <w:pPr>
        <w:pStyle w:val="ListBullet"/>
        <w:numPr>
          <w:ilvl w:val="0"/>
          <w:numId w:val="26"/>
        </w:numPr>
        <w:tabs>
          <w:tab w:val="clear" w:pos="284"/>
        </w:tabs>
      </w:pPr>
      <w:r>
        <w:t>Expand economic opportunities for the poor by promoting enterprise and job creation</w:t>
      </w:r>
      <w:r w:rsidR="005B457C">
        <w:t>.</w:t>
      </w:r>
    </w:p>
    <w:p w:rsidR="00D84610" w:rsidRDefault="00D84610" w:rsidP="00AB60E8">
      <w:pPr>
        <w:pStyle w:val="ListBullet"/>
        <w:numPr>
          <w:ilvl w:val="0"/>
          <w:numId w:val="26"/>
        </w:numPr>
        <w:tabs>
          <w:tab w:val="clear" w:pos="284"/>
        </w:tabs>
      </w:pPr>
      <w:r>
        <w:t>Promote Nepal’s human development to expand participation and productivity of the poor</w:t>
      </w:r>
      <w:r w:rsidR="00332432">
        <w:t>.</w:t>
      </w:r>
    </w:p>
    <w:p w:rsidR="00D84610" w:rsidRDefault="00D84610" w:rsidP="009B5BFC">
      <w:pPr>
        <w:pStyle w:val="ListBullet"/>
        <w:numPr>
          <w:ilvl w:val="0"/>
          <w:numId w:val="0"/>
        </w:numPr>
        <w:tabs>
          <w:tab w:val="clear" w:pos="284"/>
        </w:tabs>
      </w:pPr>
      <w:r>
        <w:t>These objectives have been revised from 2012-13</w:t>
      </w:r>
      <w:r w:rsidR="000B2FF8">
        <w:t xml:space="preserve"> to </w:t>
      </w:r>
      <w:r>
        <w:t xml:space="preserve">reflect a revised budget forecast for the program, </w:t>
      </w:r>
      <w:r w:rsidR="000B2FF8">
        <w:t xml:space="preserve">and </w:t>
      </w:r>
      <w:r w:rsidR="0002775C">
        <w:t>efforts</w:t>
      </w:r>
      <w:r w:rsidR="000B2FF8">
        <w:t xml:space="preserve"> to </w:t>
      </w:r>
      <w:r w:rsidR="0002775C">
        <w:t>streamline</w:t>
      </w:r>
      <w:r w:rsidR="000B2FF8">
        <w:t xml:space="preserve"> the </w:t>
      </w:r>
      <w:r w:rsidR="0002775C">
        <w:t xml:space="preserve">bilateral </w:t>
      </w:r>
      <w:r w:rsidR="000B2FF8">
        <w:t>program in 2013-14.</w:t>
      </w:r>
    </w:p>
    <w:p w:rsidR="000B2FF8" w:rsidRPr="000B2FF8" w:rsidRDefault="000B2FF8" w:rsidP="000B2FF8">
      <w:pPr>
        <w:pStyle w:val="ListBullet"/>
        <w:numPr>
          <w:ilvl w:val="0"/>
          <w:numId w:val="0"/>
        </w:numPr>
        <w:tabs>
          <w:tab w:val="clear" w:pos="284"/>
        </w:tabs>
      </w:pPr>
      <w:r w:rsidRPr="000B2FF8">
        <w:t>Key findings on Nepal program performance in 201</w:t>
      </w:r>
      <w:r>
        <w:t>3–14</w:t>
      </w:r>
      <w:r w:rsidRPr="000B2FF8">
        <w:t xml:space="preserve"> are: </w:t>
      </w:r>
    </w:p>
    <w:p w:rsidR="000B2FF8" w:rsidRPr="000B2FF8" w:rsidRDefault="000B2FF8" w:rsidP="00AB60E8">
      <w:pPr>
        <w:pStyle w:val="ListBullet"/>
        <w:numPr>
          <w:ilvl w:val="0"/>
          <w:numId w:val="27"/>
        </w:numPr>
        <w:tabs>
          <w:tab w:val="clear" w:pos="284"/>
        </w:tabs>
      </w:pPr>
      <w:r w:rsidRPr="000B2FF8">
        <w:t xml:space="preserve">Australia collaborated with </w:t>
      </w:r>
      <w:r>
        <w:t>UNDP</w:t>
      </w:r>
      <w:r w:rsidRPr="000B2FF8">
        <w:t xml:space="preserve"> to alleviate poverty through </w:t>
      </w:r>
      <w:r>
        <w:t xml:space="preserve">supporting </w:t>
      </w:r>
      <w:r w:rsidRPr="000B2FF8">
        <w:t>micro-enterprise</w:t>
      </w:r>
      <w:r>
        <w:t>s</w:t>
      </w:r>
      <w:r w:rsidRPr="000B2FF8">
        <w:t xml:space="preserve">, reaching some of the poorest and most marginalised people in Nepal. </w:t>
      </w:r>
      <w:r w:rsidR="00C90995">
        <w:t xml:space="preserve">Challenges remain to ensure a successful transition of the program to </w:t>
      </w:r>
      <w:r w:rsidR="0012206B">
        <w:t xml:space="preserve">management by </w:t>
      </w:r>
      <w:r w:rsidR="00C90995">
        <w:t>the Government of Nepal (GoN).</w:t>
      </w:r>
    </w:p>
    <w:p w:rsidR="000B2FF8" w:rsidRPr="000B2FF8" w:rsidRDefault="000B2FF8" w:rsidP="00AB60E8">
      <w:pPr>
        <w:pStyle w:val="ListBullet"/>
        <w:numPr>
          <w:ilvl w:val="0"/>
          <w:numId w:val="27"/>
        </w:numPr>
        <w:tabs>
          <w:tab w:val="clear" w:pos="284"/>
        </w:tabs>
      </w:pPr>
      <w:r w:rsidRPr="000B2FF8">
        <w:t xml:space="preserve">Australia helped improve access to primary education and maternal and child health services through partnerships with the </w:t>
      </w:r>
      <w:r w:rsidR="00C90995">
        <w:t>GoN</w:t>
      </w:r>
      <w:r w:rsidRPr="000B2FF8">
        <w:t xml:space="preserve"> and donors</w:t>
      </w:r>
      <w:r w:rsidR="0002775C">
        <w:rPr>
          <w:rStyle w:val="FootnoteReference"/>
        </w:rPr>
        <w:footnoteReference w:id="1"/>
      </w:r>
      <w:r w:rsidR="0002775C">
        <w:t>.</w:t>
      </w:r>
      <w:r w:rsidRPr="000B2FF8">
        <w:t xml:space="preserve"> </w:t>
      </w:r>
      <w:r w:rsidR="00C90995">
        <w:t xml:space="preserve">Australia will continue to advocate to the GoN to increase budget allocations for education and health to ensure they meet their targets. </w:t>
      </w:r>
    </w:p>
    <w:p w:rsidR="0002775C" w:rsidRDefault="00FC0159" w:rsidP="00AB60E8">
      <w:pPr>
        <w:pStyle w:val="ListBullet"/>
        <w:numPr>
          <w:ilvl w:val="0"/>
          <w:numId w:val="27"/>
        </w:numPr>
        <w:tabs>
          <w:tab w:val="clear" w:pos="284"/>
        </w:tabs>
      </w:pPr>
      <w:r>
        <w:t>The bilateral program is consolidating, exiting both the water and sanitation sector and making the decision to phase out of the national health program, in order to focus more on job creation and education/skills development.</w:t>
      </w:r>
    </w:p>
    <w:p w:rsidR="000B2FF8" w:rsidRDefault="00FC0159" w:rsidP="00AB60E8">
      <w:pPr>
        <w:pStyle w:val="ListBullet"/>
        <w:numPr>
          <w:ilvl w:val="0"/>
          <w:numId w:val="27"/>
        </w:numPr>
        <w:tabs>
          <w:tab w:val="clear" w:pos="284"/>
        </w:tabs>
      </w:pPr>
      <w:r>
        <w:t>The management team started the process of identifying synergies between the global, regional and bilateral program, given that the majority of Australian aid is made up of activities funded outside the bilateral program</w:t>
      </w:r>
      <w:r w:rsidR="005B457C">
        <w:t>.</w:t>
      </w:r>
    </w:p>
    <w:p w:rsidR="000D733F" w:rsidRPr="00B43B60" w:rsidRDefault="000D733F" w:rsidP="000D733F">
      <w:pPr>
        <w:pStyle w:val="Heading2"/>
        <w:rPr>
          <w:rStyle w:val="BodyTextChar"/>
          <w:color w:val="auto"/>
        </w:rPr>
      </w:pPr>
      <w:r w:rsidRPr="009E38C1">
        <w:rPr>
          <w:sz w:val="28"/>
        </w:rPr>
        <w:t xml:space="preserve">Context </w:t>
      </w:r>
      <w:r w:rsidRPr="009E38C1">
        <w:rPr>
          <w:sz w:val="28"/>
        </w:rPr>
        <w:tab/>
      </w:r>
      <w:r>
        <w:rPr>
          <w:sz w:val="32"/>
          <w:szCs w:val="32"/>
        </w:rPr>
        <w:tab/>
      </w:r>
      <w:r>
        <w:rPr>
          <w:rStyle w:val="BodyTextChar"/>
        </w:rPr>
        <w:tab/>
      </w:r>
      <w:r>
        <w:rPr>
          <w:rStyle w:val="BodyTextChar"/>
        </w:rPr>
        <w:tab/>
      </w:r>
      <w:r>
        <w:rPr>
          <w:rStyle w:val="BodyTextChar"/>
        </w:rPr>
        <w:tab/>
      </w:r>
      <w:r>
        <w:rPr>
          <w:rStyle w:val="BodyTextChar"/>
        </w:rPr>
        <w:tab/>
      </w:r>
      <w:r>
        <w:rPr>
          <w:rStyle w:val="BodyTextChar"/>
        </w:rPr>
        <w:tab/>
      </w:r>
    </w:p>
    <w:p w:rsidR="00BE4857" w:rsidRDefault="00BE4857" w:rsidP="00BE4857">
      <w:pPr>
        <w:pStyle w:val="ListBullet"/>
        <w:numPr>
          <w:ilvl w:val="0"/>
          <w:numId w:val="0"/>
        </w:numPr>
      </w:pPr>
      <w:r w:rsidRPr="00910E3C">
        <w:t xml:space="preserve">Nepal </w:t>
      </w:r>
      <w:r w:rsidR="00981980">
        <w:t>remains</w:t>
      </w:r>
      <w:r w:rsidRPr="00910E3C">
        <w:t xml:space="preserve"> among the poorest and least developed countries in the world. W</w:t>
      </w:r>
      <w:r>
        <w:t xml:space="preserve">idespread </w:t>
      </w:r>
      <w:r w:rsidRPr="00910E3C">
        <w:t xml:space="preserve">inequality in access to basic services </w:t>
      </w:r>
      <w:r w:rsidR="00A22F4E">
        <w:t xml:space="preserve">continues to </w:t>
      </w:r>
      <w:r w:rsidR="00A22F4E" w:rsidRPr="00910E3C">
        <w:t xml:space="preserve">exist </w:t>
      </w:r>
      <w:r w:rsidRPr="00910E3C">
        <w:t xml:space="preserve">for minority and traditionally marginalised groups, women and those with disabilities. </w:t>
      </w:r>
      <w:r w:rsidR="00762876" w:rsidRPr="007E2DD4">
        <w:t>Women and girls experience a range of inequalities</w:t>
      </w:r>
      <w:r w:rsidR="00762876">
        <w:t xml:space="preserve"> including low labour force participations rates, </w:t>
      </w:r>
      <w:r w:rsidR="00511BD4">
        <w:t>forced marriage and gender based violence</w:t>
      </w:r>
      <w:r w:rsidR="00762876" w:rsidRPr="007E2DD4">
        <w:t>, with Nepal</w:t>
      </w:r>
      <w:r w:rsidR="00762876" w:rsidRPr="007E2DD4">
        <w:rPr>
          <w:iCs/>
        </w:rPr>
        <w:t xml:space="preserve"> ranking 98 out of 152 countries on the </w:t>
      </w:r>
      <w:r w:rsidR="00511BD4">
        <w:rPr>
          <w:iCs/>
        </w:rPr>
        <w:t>UNDP</w:t>
      </w:r>
      <w:r w:rsidR="00762876" w:rsidRPr="007E2DD4">
        <w:rPr>
          <w:iCs/>
        </w:rPr>
        <w:t xml:space="preserve"> Gender Inequality Index</w:t>
      </w:r>
      <w:r w:rsidR="00511BD4">
        <w:rPr>
          <w:iCs/>
        </w:rPr>
        <w:t xml:space="preserve"> for 2013</w:t>
      </w:r>
      <w:r w:rsidR="00511BD4">
        <w:rPr>
          <w:rStyle w:val="FootnoteReference"/>
          <w:iCs/>
        </w:rPr>
        <w:footnoteReference w:id="2"/>
      </w:r>
      <w:r w:rsidR="00762876" w:rsidRPr="007E2DD4">
        <w:rPr>
          <w:iCs/>
        </w:rPr>
        <w:t>.</w:t>
      </w:r>
    </w:p>
    <w:p w:rsidR="00D11B55" w:rsidRPr="004A5062" w:rsidRDefault="00D11B55" w:rsidP="00D11B55">
      <w:pPr>
        <w:pStyle w:val="ListBullet"/>
        <w:numPr>
          <w:ilvl w:val="0"/>
          <w:numId w:val="0"/>
        </w:numPr>
      </w:pPr>
      <w:r>
        <w:t xml:space="preserve">Nepal’s economic growth rate </w:t>
      </w:r>
      <w:r w:rsidR="00511BD4">
        <w:t>remains sluggish</w:t>
      </w:r>
      <w:r>
        <w:t>.</w:t>
      </w:r>
      <w:r w:rsidR="00332432">
        <w:t xml:space="preserve"> </w:t>
      </w:r>
      <w:r w:rsidR="00511BD4">
        <w:t>I</w:t>
      </w:r>
      <w:r w:rsidR="00A22F4E">
        <w:t xml:space="preserve">n </w:t>
      </w:r>
      <w:r>
        <w:t>the m</w:t>
      </w:r>
      <w:r w:rsidRPr="000B7076">
        <w:t>edium-term</w:t>
      </w:r>
      <w:r w:rsidR="00A22F4E">
        <w:t>,</w:t>
      </w:r>
      <w:r w:rsidRPr="000B7076">
        <w:t xml:space="preserve"> growth is projected to continue at </w:t>
      </w:r>
      <w:r w:rsidR="00511BD4">
        <w:t>4.5 per cent</w:t>
      </w:r>
      <w:r w:rsidRPr="000B7076">
        <w:t xml:space="preserve">, below the </w:t>
      </w:r>
      <w:r w:rsidR="00511BD4">
        <w:t xml:space="preserve">projected </w:t>
      </w:r>
      <w:r w:rsidRPr="000B7076">
        <w:t>regional average</w:t>
      </w:r>
      <w:r w:rsidR="005011D8">
        <w:t xml:space="preserve"> for South Asia</w:t>
      </w:r>
      <w:r w:rsidRPr="000B7076">
        <w:t xml:space="preserve"> </w:t>
      </w:r>
      <w:r w:rsidR="00511BD4">
        <w:t xml:space="preserve">of </w:t>
      </w:r>
      <w:r w:rsidR="005011D8">
        <w:t>6 per </w:t>
      </w:r>
      <w:r w:rsidRPr="000B7076">
        <w:t xml:space="preserve">cent </w:t>
      </w:r>
      <w:r w:rsidRPr="000B7076">
        <w:lastRenderedPageBreak/>
        <w:t xml:space="preserve">(2014-16). </w:t>
      </w:r>
      <w:r w:rsidR="00511BD4">
        <w:t>T</w:t>
      </w:r>
      <w:r w:rsidR="004B78D3">
        <w:t>he aspirations of the GoN to transition from Least Developed Country to Developing Country Status by 2022 will remain challenging</w:t>
      </w:r>
      <w:r w:rsidR="0012206B">
        <w:t xml:space="preserve"> to achieve</w:t>
      </w:r>
      <w:r w:rsidR="004B78D3">
        <w:t>.</w:t>
      </w:r>
    </w:p>
    <w:p w:rsidR="00D11B55" w:rsidRPr="00B12811" w:rsidRDefault="00D11B55" w:rsidP="00D11B55">
      <w:pPr>
        <w:pStyle w:val="BodyText"/>
      </w:pPr>
      <w:r w:rsidRPr="00496E55">
        <w:t>Nepal has a young population, with about 33 per</w:t>
      </w:r>
      <w:r w:rsidR="00332432">
        <w:t xml:space="preserve"> </w:t>
      </w:r>
      <w:r w:rsidRPr="00496E55">
        <w:t>cent of its people below the age of 15</w:t>
      </w:r>
      <w:r w:rsidR="005011D8">
        <w:t>; and 57 </w:t>
      </w:r>
      <w:r w:rsidRPr="00496E55">
        <w:t>per</w:t>
      </w:r>
      <w:r w:rsidR="005011D8">
        <w:t xml:space="preserve"> c</w:t>
      </w:r>
      <w:r w:rsidRPr="00496E55">
        <w:t>ent between the productive ages of 15-59.</w:t>
      </w:r>
      <w:r>
        <w:t xml:space="preserve"> Given limited employment opportunities</w:t>
      </w:r>
      <w:r w:rsidRPr="007459C6">
        <w:t xml:space="preserve"> and a large unskilled workforce</w:t>
      </w:r>
      <w:r>
        <w:t xml:space="preserve">, the trend of young people seeking employment overseas continues. </w:t>
      </w:r>
      <w:r w:rsidR="00762876">
        <w:t>Supporting quality education and domestic job creation</w:t>
      </w:r>
      <w:r w:rsidR="00511BD4">
        <w:t>, specifically for women and girls,</w:t>
      </w:r>
      <w:r w:rsidR="00762876">
        <w:t xml:space="preserve"> are central to ensuring long-term </w:t>
      </w:r>
      <w:r w:rsidR="000E0AC8">
        <w:t xml:space="preserve">and inclusive </w:t>
      </w:r>
      <w:r w:rsidR="00762876">
        <w:t>economic growth.</w:t>
      </w:r>
    </w:p>
    <w:p w:rsidR="00985E6D" w:rsidRDefault="00985E6D" w:rsidP="00985E6D">
      <w:pPr>
        <w:pStyle w:val="ListBullet"/>
        <w:numPr>
          <w:ilvl w:val="0"/>
          <w:numId w:val="0"/>
        </w:numPr>
      </w:pPr>
      <w:r>
        <w:t xml:space="preserve">Whilst Nepal is a fragile state, there has been some progress in 2013-14 toward more stable government. The </w:t>
      </w:r>
      <w:r w:rsidR="0012206B">
        <w:t>Constituent</w:t>
      </w:r>
      <w:r>
        <w:t xml:space="preserve"> Assembly elections in November 2013 were largely considered free and fair, with strong voter turnout. </w:t>
      </w:r>
      <w:r w:rsidR="000E0AC8">
        <w:t>However, g</w:t>
      </w:r>
      <w:r>
        <w:t>overnance at the district and local level remains a challenge</w:t>
      </w:r>
      <w:r w:rsidR="000E0AC8">
        <w:t>.</w:t>
      </w:r>
      <w:r>
        <w:t xml:space="preserve"> </w:t>
      </w:r>
      <w:r w:rsidR="000E0AC8">
        <w:t>L</w:t>
      </w:r>
      <w:r>
        <w:t>ocal elections have not been held in more than 15 years and</w:t>
      </w:r>
      <w:r w:rsidR="00B05932">
        <w:t>,</w:t>
      </w:r>
      <w:r w:rsidR="000E0AC8">
        <w:t xml:space="preserve"> whilst the government has</w:t>
      </w:r>
      <w:r>
        <w:t xml:space="preserve"> committed to running local elections, </w:t>
      </w:r>
      <w:r w:rsidR="00426784">
        <w:t>no date has been scheduled</w:t>
      </w:r>
      <w:r>
        <w:t xml:space="preserve">. </w:t>
      </w:r>
      <w:r w:rsidR="00762876">
        <w:t xml:space="preserve">This has implications for </w:t>
      </w:r>
      <w:r w:rsidR="00511BD4">
        <w:t>Australia’s aid</w:t>
      </w:r>
      <w:r w:rsidR="00762876">
        <w:t xml:space="preserve"> program as the </w:t>
      </w:r>
      <w:r w:rsidR="00426784">
        <w:t>microenterprise,</w:t>
      </w:r>
      <w:r w:rsidR="00511BD4">
        <w:t xml:space="preserve"> health and education programs </w:t>
      </w:r>
      <w:r w:rsidR="00426784">
        <w:t>all include district-</w:t>
      </w:r>
      <w:r w:rsidR="00511BD4">
        <w:t>level cooperation and implementation</w:t>
      </w:r>
    </w:p>
    <w:p w:rsidR="0000038B" w:rsidRDefault="0000038B" w:rsidP="00985E6D">
      <w:pPr>
        <w:pStyle w:val="BodyText"/>
      </w:pPr>
      <w:r>
        <w:t xml:space="preserve">The majority of Australia’s bilateral development assistance </w:t>
      </w:r>
      <w:r w:rsidR="00426784">
        <w:t xml:space="preserve">continues to be </w:t>
      </w:r>
      <w:r>
        <w:t>delivered through government systems. Whilst this modality is delivering policy influence (for health and education), significant challenges remain:</w:t>
      </w:r>
    </w:p>
    <w:p w:rsidR="0000038B" w:rsidRDefault="00985E6D" w:rsidP="00AB60E8">
      <w:pPr>
        <w:pStyle w:val="BodyText"/>
        <w:numPr>
          <w:ilvl w:val="0"/>
          <w:numId w:val="28"/>
        </w:numPr>
      </w:pPr>
      <w:r>
        <w:t xml:space="preserve">As in previous years, the </w:t>
      </w:r>
      <w:r w:rsidR="009B5BFC">
        <w:t>GoN</w:t>
      </w:r>
      <w:r>
        <w:t xml:space="preserve"> budget for 2013-14 was underspent</w:t>
      </w:r>
      <w:r w:rsidR="0000038B">
        <w:t>, largely due to the majority of money being released to Ministries late in the financial year</w:t>
      </w:r>
      <w:r>
        <w:t xml:space="preserve">. </w:t>
      </w:r>
      <w:r w:rsidR="0000038B">
        <w:t>Budget allocations for health (5.88 per cent in 2013-14) and education (15.65 per cent in 2013-14) remain well short of GoN targets of 10 per cent and 20 percent respectively.</w:t>
      </w:r>
    </w:p>
    <w:p w:rsidR="00A173E3" w:rsidRPr="00426784" w:rsidRDefault="00985E6D" w:rsidP="00AB60E8">
      <w:pPr>
        <w:pStyle w:val="BodyText"/>
        <w:numPr>
          <w:ilvl w:val="0"/>
          <w:numId w:val="28"/>
        </w:numPr>
        <w:rPr>
          <w:i/>
        </w:rPr>
      </w:pPr>
      <w:r w:rsidRPr="00B12811">
        <w:t xml:space="preserve">Capacity within the Nepali civil service is mixed and reforms have been hampered by the political instability. </w:t>
      </w:r>
      <w:r w:rsidR="000E0AC8">
        <w:t>In 2013-2014, suspension of key Ministry of Health officials due to corruption allegations impeded its annual planning process. However, in 2013-14 t</w:t>
      </w:r>
      <w:r>
        <w:t xml:space="preserve">he </w:t>
      </w:r>
      <w:r w:rsidR="009B5BFC">
        <w:t>GoN</w:t>
      </w:r>
      <w:r>
        <w:t xml:space="preserve"> undertook a much needed recruitment of 13,000 permanent teachers</w:t>
      </w:r>
      <w:r w:rsidR="00332432">
        <w:t xml:space="preserve"> (3,627 </w:t>
      </w:r>
      <w:r w:rsidR="00633401">
        <w:t>female)</w:t>
      </w:r>
      <w:r w:rsidR="00332432">
        <w:t>.</w:t>
      </w:r>
    </w:p>
    <w:p w:rsidR="00426784" w:rsidRPr="00426784" w:rsidRDefault="00426784" w:rsidP="00426784">
      <w:pPr>
        <w:pStyle w:val="BodyText"/>
      </w:pPr>
      <w:r>
        <w:t xml:space="preserve">With a strong focus on job creation through microenterprise development (especially for women and girls) and equitable access to quality health and education services, the Nepal program is well positioned to deliver on the priorities of Australia’s new Aid Policy (released June 2014). </w:t>
      </w:r>
    </w:p>
    <w:p w:rsidR="000D733F" w:rsidRPr="009E38C1" w:rsidRDefault="000D733F" w:rsidP="000D733F">
      <w:pPr>
        <w:pStyle w:val="Heading2"/>
        <w:rPr>
          <w:sz w:val="28"/>
        </w:rPr>
      </w:pPr>
      <w:r w:rsidRPr="009E38C1">
        <w:rPr>
          <w:sz w:val="28"/>
        </w:rPr>
        <w:t>Expenditure</w:t>
      </w:r>
    </w:p>
    <w:p w:rsidR="00145267" w:rsidRPr="00483449" w:rsidRDefault="00A81A8C" w:rsidP="00145267">
      <w:pPr>
        <w:pStyle w:val="BodyText"/>
      </w:pPr>
      <w:r>
        <w:t xml:space="preserve">Australia is the twelfth largest donor in Nepal, and will likely remain a modest donor. </w:t>
      </w:r>
      <w:r w:rsidR="00145267" w:rsidRPr="00483449">
        <w:t>In 201</w:t>
      </w:r>
      <w:r w:rsidR="00145267">
        <w:t>3</w:t>
      </w:r>
      <w:r w:rsidR="00145267" w:rsidRPr="00483449">
        <w:t>–1</w:t>
      </w:r>
      <w:r w:rsidR="00145267">
        <w:t>4</w:t>
      </w:r>
      <w:r w:rsidR="00145267" w:rsidRPr="00483449">
        <w:t xml:space="preserve">, Australia's </w:t>
      </w:r>
      <w:r w:rsidR="00145267">
        <w:t>bilateral</w:t>
      </w:r>
      <w:r w:rsidR="00145267" w:rsidRPr="00483449">
        <w:t xml:space="preserve"> aid program to Nepal totalled $15.</w:t>
      </w:r>
      <w:r w:rsidR="00145267">
        <w:t>2</w:t>
      </w:r>
      <w:r w:rsidR="00145267" w:rsidRPr="00483449">
        <w:t xml:space="preserve"> million. Other assistance through Australia's regional and global programs and through other government agencies brought Australia's total official development assistance (ODA) to an estimated $3</w:t>
      </w:r>
      <w:r w:rsidR="00145267">
        <w:t>5</w:t>
      </w:r>
      <w:r w:rsidR="00145267" w:rsidRPr="00483449">
        <w:t>.</w:t>
      </w:r>
      <w:r w:rsidR="00145267">
        <w:t>3</w:t>
      </w:r>
      <w:r w:rsidR="00145267" w:rsidRPr="00483449">
        <w:t xml:space="preserve"> million</w:t>
      </w:r>
      <w:r w:rsidR="00332432">
        <w:t xml:space="preserve"> or 0.2 per </w:t>
      </w:r>
      <w:r w:rsidR="00145267">
        <w:t>cent of Nepal’s GDP for 2013</w:t>
      </w:r>
      <w:r w:rsidR="00145267">
        <w:rPr>
          <w:rStyle w:val="FootnoteReference"/>
        </w:rPr>
        <w:footnoteReference w:id="3"/>
      </w:r>
      <w:r w:rsidR="00145267" w:rsidRPr="00483449">
        <w:t xml:space="preserve">. </w:t>
      </w:r>
    </w:p>
    <w:p w:rsidR="00145267" w:rsidRDefault="00145267" w:rsidP="00145267">
      <w:pPr>
        <w:pStyle w:val="BodyText"/>
      </w:pPr>
      <w:r>
        <w:t xml:space="preserve">The </w:t>
      </w:r>
      <w:r w:rsidR="00A81A8C">
        <w:t xml:space="preserve">revised </w:t>
      </w:r>
      <w:r>
        <w:t xml:space="preserve">objectives for </w:t>
      </w:r>
      <w:r w:rsidR="00332432">
        <w:t>2013-14</w:t>
      </w:r>
      <w:r>
        <w:t xml:space="preserve"> reflect a </w:t>
      </w:r>
      <w:r w:rsidR="00A81A8C">
        <w:t xml:space="preserve">reduced </w:t>
      </w:r>
      <w:r>
        <w:t>budget forecast for the program</w:t>
      </w:r>
      <w:r w:rsidR="00A81A8C">
        <w:t xml:space="preserve"> and a consolidation of activities. In 2013-1</w:t>
      </w:r>
      <w:r w:rsidR="00476685">
        <w:t xml:space="preserve">4, the decision was made to not renew investments in WASH and health beyond current commitments (2014 and 2015 respectively). This will ensure that the program has the resources to oversee the significant number of activities outside the </w:t>
      </w:r>
      <w:r w:rsidR="00476685">
        <w:lastRenderedPageBreak/>
        <w:t xml:space="preserve">bilateral program (see below) and deepen our focus on job creation and education. </w:t>
      </w:r>
      <w:r w:rsidR="00332432">
        <w:t xml:space="preserve">Both of these areas are critical to long term economic growth. </w:t>
      </w:r>
      <w:r w:rsidR="00476685">
        <w:t xml:space="preserve">The medium term objectives will be further refined in 2014-15 through the development of an Aid Investment Plan. </w:t>
      </w:r>
    </w:p>
    <w:p w:rsidR="003D053F" w:rsidRPr="00C72267" w:rsidRDefault="003D053F" w:rsidP="003D053F">
      <w:pPr>
        <w:pStyle w:val="Caption"/>
      </w:pPr>
      <w:r>
        <w:t>Expenditure in FY 2013-14</w:t>
      </w:r>
      <w:r w:rsidR="00145267">
        <w:t>:</w:t>
      </w:r>
    </w:p>
    <w:tbl>
      <w:tblPr>
        <w:tblStyle w:val="APPR"/>
        <w:tblpPr w:leftFromText="180" w:rightFromText="180" w:vertAnchor="text" w:horzAnchor="margin" w:tblpY="33"/>
        <w:tblW w:w="5000" w:type="pct"/>
        <w:tblLayout w:type="fixed"/>
        <w:tblLook w:val="0000" w:firstRow="0" w:lastRow="0" w:firstColumn="0" w:lastColumn="0" w:noHBand="0" w:noVBand="0"/>
      </w:tblPr>
      <w:tblGrid>
        <w:gridCol w:w="6226"/>
        <w:gridCol w:w="1033"/>
        <w:gridCol w:w="1518"/>
      </w:tblGrid>
      <w:tr w:rsidR="003D053F" w:rsidRPr="00180B19" w:rsidTr="002D743E">
        <w:trPr>
          <w:cnfStyle w:val="000000010000" w:firstRow="0" w:lastRow="0" w:firstColumn="0" w:lastColumn="0" w:oddVBand="0" w:evenVBand="0" w:oddHBand="0" w:evenHBand="1" w:firstRowFirstColumn="0" w:firstRowLastColumn="0" w:lastRowFirstColumn="0" w:lastRowLastColumn="0"/>
        </w:trPr>
        <w:tc>
          <w:tcPr>
            <w:tcW w:w="5941" w:type="dxa"/>
          </w:tcPr>
          <w:p w:rsidR="003D053F" w:rsidRPr="00180B19" w:rsidRDefault="003D053F" w:rsidP="002D743E">
            <w:pPr>
              <w:pStyle w:val="TableTextColumnHeading"/>
            </w:pPr>
            <w:r w:rsidRPr="00180B19">
              <w:t>Objective</w:t>
            </w:r>
          </w:p>
        </w:tc>
        <w:tc>
          <w:tcPr>
            <w:tcW w:w="966" w:type="dxa"/>
          </w:tcPr>
          <w:p w:rsidR="003D053F" w:rsidRPr="00180B19" w:rsidRDefault="003D053F" w:rsidP="002D743E">
            <w:pPr>
              <w:pStyle w:val="TableTextColumnHeading"/>
            </w:pPr>
            <w:r w:rsidRPr="00180B19">
              <w:t>A$ million</w:t>
            </w:r>
          </w:p>
        </w:tc>
        <w:tc>
          <w:tcPr>
            <w:tcW w:w="1418" w:type="dxa"/>
          </w:tcPr>
          <w:p w:rsidR="003D053F" w:rsidRPr="00180B19" w:rsidRDefault="003D053F" w:rsidP="002D743E">
            <w:pPr>
              <w:pStyle w:val="TableTextColumnHeading"/>
            </w:pPr>
            <w:r w:rsidRPr="00180B19">
              <w:t>% of bilateral program</w:t>
            </w:r>
          </w:p>
        </w:tc>
      </w:tr>
      <w:tr w:rsidR="003D053F" w:rsidRPr="00180B19" w:rsidTr="002D743E">
        <w:trPr>
          <w:cnfStyle w:val="000000010000" w:firstRow="0" w:lastRow="0" w:firstColumn="0" w:lastColumn="0" w:oddVBand="0" w:evenVBand="0" w:oddHBand="0" w:evenHBand="1" w:firstRowFirstColumn="0" w:firstRowLastColumn="0" w:lastRowFirstColumn="0" w:lastRowLastColumn="0"/>
        </w:trPr>
        <w:tc>
          <w:tcPr>
            <w:tcW w:w="5941" w:type="dxa"/>
          </w:tcPr>
          <w:p w:rsidR="003D053F" w:rsidRPr="00C94AD7" w:rsidRDefault="003D053F" w:rsidP="002D743E">
            <w:pPr>
              <w:pStyle w:val="TableTextEntries"/>
            </w:pPr>
            <w:r w:rsidRPr="00C94AD7">
              <w:t>Objective 1</w:t>
            </w:r>
            <w:r>
              <w:t xml:space="preserve">  Expand economic opportunities for the poor by promoting enterprise and job creation</w:t>
            </w:r>
          </w:p>
        </w:tc>
        <w:tc>
          <w:tcPr>
            <w:tcW w:w="966" w:type="dxa"/>
          </w:tcPr>
          <w:p w:rsidR="003D053F" w:rsidRPr="00C94AD7" w:rsidRDefault="003D053F" w:rsidP="002D743E">
            <w:pPr>
              <w:pStyle w:val="TableTextEntries"/>
            </w:pPr>
            <w:r>
              <w:t>6</w:t>
            </w:r>
          </w:p>
        </w:tc>
        <w:tc>
          <w:tcPr>
            <w:tcW w:w="1418" w:type="dxa"/>
          </w:tcPr>
          <w:p w:rsidR="003D053F" w:rsidRPr="00C94AD7" w:rsidRDefault="003D053F" w:rsidP="002D743E">
            <w:pPr>
              <w:pStyle w:val="TableTextEntries"/>
            </w:pPr>
            <w:r>
              <w:t>39</w:t>
            </w:r>
          </w:p>
        </w:tc>
      </w:tr>
      <w:tr w:rsidR="003D053F" w:rsidRPr="00180B19" w:rsidTr="002D743E">
        <w:trPr>
          <w:cnfStyle w:val="000000010000" w:firstRow="0" w:lastRow="0" w:firstColumn="0" w:lastColumn="0" w:oddVBand="0" w:evenVBand="0" w:oddHBand="0" w:evenHBand="1" w:firstRowFirstColumn="0" w:firstRowLastColumn="0" w:lastRowFirstColumn="0" w:lastRowLastColumn="0"/>
        </w:trPr>
        <w:tc>
          <w:tcPr>
            <w:tcW w:w="5941" w:type="dxa"/>
          </w:tcPr>
          <w:p w:rsidR="003D053F" w:rsidRPr="00C94AD7" w:rsidRDefault="003D053F" w:rsidP="002D743E">
            <w:pPr>
              <w:pStyle w:val="TableTextEntries"/>
            </w:pPr>
            <w:r w:rsidRPr="00C94AD7">
              <w:t>Objective 2</w:t>
            </w:r>
            <w:r>
              <w:t xml:space="preserve">  Promote Nepal’s human development to expand participation and productivity of the poor</w:t>
            </w:r>
          </w:p>
        </w:tc>
        <w:tc>
          <w:tcPr>
            <w:tcW w:w="966" w:type="dxa"/>
          </w:tcPr>
          <w:p w:rsidR="003D053F" w:rsidRPr="00C94AD7" w:rsidRDefault="003D053F" w:rsidP="002D743E">
            <w:pPr>
              <w:pStyle w:val="TableTextEntries"/>
            </w:pPr>
            <w:r>
              <w:t>9.2</w:t>
            </w:r>
          </w:p>
        </w:tc>
        <w:tc>
          <w:tcPr>
            <w:tcW w:w="1418" w:type="dxa"/>
          </w:tcPr>
          <w:p w:rsidR="003D053F" w:rsidRPr="00C94AD7" w:rsidRDefault="003D053F" w:rsidP="002D743E">
            <w:pPr>
              <w:pStyle w:val="TableTextEntries"/>
            </w:pPr>
            <w:r>
              <w:t>61</w:t>
            </w:r>
          </w:p>
        </w:tc>
      </w:tr>
    </w:tbl>
    <w:p w:rsidR="00145267" w:rsidRDefault="00145267" w:rsidP="00145267">
      <w:pPr>
        <w:pStyle w:val="BodyText"/>
        <w:spacing w:after="40"/>
      </w:pPr>
    </w:p>
    <w:p w:rsidR="003D053F" w:rsidRDefault="003D053F" w:rsidP="00286A0E">
      <w:pPr>
        <w:pStyle w:val="BodyText"/>
      </w:pPr>
      <w:r>
        <w:t>In addition to the Nepal bilateral program, in 2013-14 there were a range of other activities funded from across Austral</w:t>
      </w:r>
      <w:r w:rsidR="00047BFD">
        <w:t>ia’s aid program</w:t>
      </w:r>
      <w:r>
        <w:t xml:space="preserve"> </w:t>
      </w:r>
      <w:r w:rsidR="005505B6">
        <w:t>that supported</w:t>
      </w:r>
      <w:r>
        <w:t xml:space="preserve"> </w:t>
      </w:r>
      <w:r w:rsidR="005505B6">
        <w:t xml:space="preserve">activities </w:t>
      </w:r>
      <w:r w:rsidR="00AC452B">
        <w:t>in Nepal</w:t>
      </w:r>
      <w:r w:rsidR="00047BFD">
        <w:rPr>
          <w:rStyle w:val="FootnoteReference"/>
        </w:rPr>
        <w:footnoteReference w:id="4"/>
      </w:r>
      <w:r w:rsidR="00AC452B">
        <w:t>:</w:t>
      </w:r>
      <w:r w:rsidR="00EE65AF">
        <w:t xml:space="preserve"> </w:t>
      </w:r>
      <w:r w:rsidR="00FC0159">
        <w:t xml:space="preserve">For most of these investments, the program has limited influence but can leverage synergies with bilateral investments. The program has more control over Australian Awards and Australian Volunteers for International Development, ensuring they are aligned with bilateral priorities. </w:t>
      </w:r>
      <w:r w:rsidR="00B05932">
        <w:t xml:space="preserve"> Key non-bilateral ODA include</w:t>
      </w:r>
      <w:r w:rsidR="00A51779">
        <w:t>s:</w:t>
      </w:r>
    </w:p>
    <w:p w:rsidR="003D053F" w:rsidRDefault="003D053F" w:rsidP="00AB60E8">
      <w:pPr>
        <w:pStyle w:val="BodyText"/>
        <w:numPr>
          <w:ilvl w:val="0"/>
          <w:numId w:val="22"/>
        </w:numPr>
      </w:pPr>
      <w:r w:rsidRPr="00286A0E">
        <w:t>27 Australia</w:t>
      </w:r>
      <w:r>
        <w:t>n</w:t>
      </w:r>
      <w:r w:rsidRPr="00286A0E">
        <w:t xml:space="preserve"> NGOs </w:t>
      </w:r>
      <w:r>
        <w:t>delivered</w:t>
      </w:r>
      <w:r w:rsidRPr="00286A0E">
        <w:t xml:space="preserve"> a range of projects across Nepal</w:t>
      </w:r>
      <w:r w:rsidR="00B05932">
        <w:t xml:space="preserve"> under the ANCP</w:t>
      </w:r>
      <w:r>
        <w:t>. These included</w:t>
      </w:r>
      <w:r w:rsidRPr="00286A0E">
        <w:t xml:space="preserve"> livelihoods, education, disability support, health, water &amp; sanitation, and human rights</w:t>
      </w:r>
      <w:r>
        <w:t xml:space="preserve"> ($4.3 million).</w:t>
      </w:r>
    </w:p>
    <w:p w:rsidR="00ED7C3B" w:rsidRDefault="00ED7C3B" w:rsidP="00AB60E8">
      <w:pPr>
        <w:pStyle w:val="BodyText"/>
        <w:numPr>
          <w:ilvl w:val="0"/>
          <w:numId w:val="22"/>
        </w:numPr>
      </w:pPr>
      <w:r>
        <w:rPr>
          <w:lang w:val="en-US"/>
        </w:rPr>
        <w:t>8</w:t>
      </w:r>
      <w:r w:rsidR="00476685">
        <w:rPr>
          <w:lang w:val="en-US"/>
        </w:rPr>
        <w:t>9</w:t>
      </w:r>
      <w:r>
        <w:rPr>
          <w:lang w:val="en-US"/>
        </w:rPr>
        <w:t xml:space="preserve"> </w:t>
      </w:r>
      <w:r w:rsidRPr="007D0D96">
        <w:rPr>
          <w:lang w:val="en-US"/>
        </w:rPr>
        <w:t>Australia Awards (</w:t>
      </w:r>
      <w:r w:rsidR="00D47EB4" w:rsidRPr="007D0D96">
        <w:t>35 scholarships and 54 fellowships</w:t>
      </w:r>
      <w:r w:rsidRPr="007D0D96">
        <w:rPr>
          <w:lang w:val="en-US"/>
        </w:rPr>
        <w:t xml:space="preserve">) were provided to assist Nepalese </w:t>
      </w:r>
      <w:r>
        <w:rPr>
          <w:lang w:val="en-US"/>
        </w:rPr>
        <w:t xml:space="preserve">study at a range of Australian tertiary institutions </w:t>
      </w:r>
      <w:r w:rsidR="00332432">
        <w:rPr>
          <w:lang w:val="en-US"/>
        </w:rPr>
        <w:t>in</w:t>
      </w:r>
      <w:r>
        <w:t xml:space="preserve"> 2013 ($4.3 million).</w:t>
      </w:r>
    </w:p>
    <w:p w:rsidR="00047BFD" w:rsidRDefault="00C22569" w:rsidP="00AB60E8">
      <w:pPr>
        <w:pStyle w:val="BodyText"/>
        <w:numPr>
          <w:ilvl w:val="0"/>
          <w:numId w:val="22"/>
        </w:numPr>
      </w:pPr>
      <w:r>
        <w:t xml:space="preserve">DFAT’s </w:t>
      </w:r>
      <w:r w:rsidR="00047BFD" w:rsidRPr="00C22569">
        <w:t>Sustainable Development Investment Portfolio</w:t>
      </w:r>
      <w:r>
        <w:t xml:space="preserve"> (SDIP)</w:t>
      </w:r>
      <w:r w:rsidR="00047BFD" w:rsidRPr="00C22569">
        <w:t xml:space="preserve"> </w:t>
      </w:r>
      <w:r>
        <w:t>focused on improved cross border water management ($3.5 million).</w:t>
      </w:r>
    </w:p>
    <w:p w:rsidR="00ED7C3B" w:rsidRPr="00286A0E" w:rsidRDefault="00ED7C3B" w:rsidP="00AB60E8">
      <w:pPr>
        <w:pStyle w:val="BodyText"/>
        <w:numPr>
          <w:ilvl w:val="0"/>
          <w:numId w:val="22"/>
        </w:numPr>
      </w:pPr>
      <w:r>
        <w:t>Humanitarian assistance including emergency food relief for Bhutanese refugees through the World Food Program ($3.8 million).</w:t>
      </w:r>
    </w:p>
    <w:p w:rsidR="00ED7C3B" w:rsidRDefault="00ED7C3B" w:rsidP="00286A0E">
      <w:pPr>
        <w:pStyle w:val="BodyText"/>
      </w:pPr>
      <w:r>
        <w:t>Australia also provided core funding to a range of institutions tha</w:t>
      </w:r>
      <w:r w:rsidR="00145267">
        <w:t>t delivered activities in Nepal</w:t>
      </w:r>
      <w:r>
        <w:t>:</w:t>
      </w:r>
    </w:p>
    <w:p w:rsidR="002D743E" w:rsidRDefault="00286A0E" w:rsidP="00876F31">
      <w:pPr>
        <w:pStyle w:val="BodyText"/>
        <w:numPr>
          <w:ilvl w:val="0"/>
          <w:numId w:val="22"/>
        </w:numPr>
      </w:pPr>
      <w:r w:rsidRPr="000115BF">
        <w:t>Global Fund</w:t>
      </w:r>
      <w:r>
        <w:t xml:space="preserve"> (for HIV/AIDS, Tuberculosis and M</w:t>
      </w:r>
      <w:r w:rsidRPr="000115BF">
        <w:t>alaria)</w:t>
      </w:r>
      <w:r w:rsidR="002D743E">
        <w:t>.</w:t>
      </w:r>
      <w:r w:rsidRPr="00286A0E">
        <w:t xml:space="preserve"> Australia provided $100 million </w:t>
      </w:r>
      <w:r w:rsidR="002D743E">
        <w:t xml:space="preserve">in core funding </w:t>
      </w:r>
      <w:r w:rsidRPr="00286A0E">
        <w:t xml:space="preserve">in </w:t>
      </w:r>
      <w:r w:rsidR="002D743E">
        <w:t>20</w:t>
      </w:r>
      <w:r w:rsidRPr="00286A0E">
        <w:t>13-14</w:t>
      </w:r>
      <w:r w:rsidR="002D743E">
        <w:t>.</w:t>
      </w:r>
      <w:r w:rsidRPr="00286A0E">
        <w:t xml:space="preserve"> The Global Fund spent US$21.91 million in Nepal in 2013. </w:t>
      </w:r>
    </w:p>
    <w:p w:rsidR="002D743E" w:rsidRPr="00286A0E" w:rsidRDefault="00286A0E" w:rsidP="00876F31">
      <w:pPr>
        <w:pStyle w:val="BodyText"/>
        <w:numPr>
          <w:ilvl w:val="0"/>
          <w:numId w:val="22"/>
        </w:numPr>
      </w:pPr>
      <w:r w:rsidRPr="00286A0E">
        <w:t>Global Alliance for Vaccines and Immunisation (GAVI)</w:t>
      </w:r>
      <w:r w:rsidR="002D743E">
        <w:t>.</w:t>
      </w:r>
      <w:r w:rsidRPr="00286A0E">
        <w:t xml:space="preserve"> Australia provided $52.5 million in </w:t>
      </w:r>
      <w:r w:rsidR="002D743E">
        <w:t xml:space="preserve">core funding </w:t>
      </w:r>
      <w:r w:rsidR="002D743E" w:rsidRPr="00286A0E">
        <w:t xml:space="preserve">in </w:t>
      </w:r>
      <w:r w:rsidR="002D743E">
        <w:t>20</w:t>
      </w:r>
      <w:r w:rsidR="002D743E" w:rsidRPr="00286A0E">
        <w:t>13-14</w:t>
      </w:r>
      <w:r w:rsidR="002D743E">
        <w:t>.</w:t>
      </w:r>
      <w:r w:rsidR="002D743E" w:rsidRPr="00286A0E">
        <w:t xml:space="preserve"> In 2013, GAVI disbursed US$2.5 million to Nepal. </w:t>
      </w:r>
    </w:p>
    <w:p w:rsidR="00286A0E" w:rsidRPr="00286A0E" w:rsidRDefault="002D743E" w:rsidP="00876F31">
      <w:pPr>
        <w:pStyle w:val="BodyText"/>
        <w:numPr>
          <w:ilvl w:val="0"/>
          <w:numId w:val="22"/>
        </w:numPr>
      </w:pPr>
      <w:r w:rsidRPr="002D743E">
        <w:t>Private Investment Development Group</w:t>
      </w:r>
      <w:r>
        <w:t xml:space="preserve">. Australia provided </w:t>
      </w:r>
      <w:r w:rsidRPr="002D743E">
        <w:t>$15.7m</w:t>
      </w:r>
      <w:r>
        <w:t>illion in core funding</w:t>
      </w:r>
      <w:r w:rsidRPr="002D743E">
        <w:t xml:space="preserve"> </w:t>
      </w:r>
      <w:r>
        <w:t xml:space="preserve">in 2013-14. </w:t>
      </w:r>
      <w:r w:rsidR="002D6CAF">
        <w:t>PIDG is</w:t>
      </w:r>
      <w:r>
        <w:t xml:space="preserve"> </w:t>
      </w:r>
      <w:r w:rsidR="002D6CAF">
        <w:t>facilitating</w:t>
      </w:r>
      <w:r>
        <w:t xml:space="preserve"> hy</w:t>
      </w:r>
      <w:r w:rsidR="00227878">
        <w:t>d</w:t>
      </w:r>
      <w:r>
        <w:t>ro-power projects in Nepal.</w:t>
      </w:r>
      <w:r w:rsidR="00E96C75">
        <w:t xml:space="preserve"> </w:t>
      </w:r>
    </w:p>
    <w:p w:rsidR="000D733F" w:rsidRPr="00757BAA" w:rsidRDefault="000D733F" w:rsidP="000D733F">
      <w:pPr>
        <w:pStyle w:val="Heading3"/>
        <w:rPr>
          <w:rStyle w:val="BodyTextChar"/>
          <w:b w:val="0"/>
          <w:color w:val="auto"/>
        </w:rPr>
      </w:pPr>
      <w:bookmarkStart w:id="2" w:name="_Toc373853206"/>
      <w:r w:rsidRPr="009E38C1">
        <w:rPr>
          <w:b w:val="0"/>
          <w:color w:val="007FAD"/>
          <w:sz w:val="28"/>
          <w:szCs w:val="28"/>
          <w:lang w:eastAsia="en-AU"/>
        </w:rPr>
        <w:t>Progress towards objectives</w:t>
      </w:r>
      <w:r>
        <w:rPr>
          <w:sz w:val="32"/>
          <w:szCs w:val="32"/>
        </w:rPr>
        <w:tab/>
      </w:r>
    </w:p>
    <w:p w:rsidR="004761FF" w:rsidRPr="00B12811" w:rsidRDefault="00FF20BC" w:rsidP="004761FF">
      <w:pPr>
        <w:pStyle w:val="BodyText"/>
      </w:pPr>
      <w:r>
        <w:t xml:space="preserve">Overall, good progress </w:t>
      </w:r>
      <w:r w:rsidR="00332432">
        <w:t>was made</w:t>
      </w:r>
      <w:r>
        <w:t xml:space="preserve"> against the program objectives for 2013-14. In line with </w:t>
      </w:r>
      <w:r w:rsidR="009B5BFC">
        <w:t>GoN</w:t>
      </w:r>
      <w:r>
        <w:t xml:space="preserve"> policy, the majority of Australia’s bilateral program provided support (along with other donors) though Government systems to deliver Government programs. </w:t>
      </w:r>
      <w:r w:rsidRPr="00B12811">
        <w:t xml:space="preserve">Australia is seen as a practical, </w:t>
      </w:r>
      <w:r w:rsidRPr="00B12811">
        <w:lastRenderedPageBreak/>
        <w:t>neutral donor in Nepal</w:t>
      </w:r>
      <w:r>
        <w:t xml:space="preserve"> and as a result we have </w:t>
      </w:r>
      <w:r w:rsidR="00B05932">
        <w:t xml:space="preserve">a strong working </w:t>
      </w:r>
      <w:r w:rsidR="004761FF" w:rsidRPr="00B12811">
        <w:t xml:space="preserve">relationship.  </w:t>
      </w:r>
      <w:r w:rsidR="00476685">
        <w:t>T</w:t>
      </w:r>
      <w:r w:rsidR="00476685" w:rsidRPr="00476685">
        <w:t xml:space="preserve">he basis for the ratings </w:t>
      </w:r>
      <w:r w:rsidR="00476685">
        <w:t>are</w:t>
      </w:r>
      <w:r w:rsidR="00476685" w:rsidRPr="00476685">
        <w:t xml:space="preserve"> the QAI scores for bilateral investments</w:t>
      </w:r>
      <w:r w:rsidR="00476685">
        <w:t xml:space="preserve"> (</w:t>
      </w:r>
      <w:r w:rsidR="006E6265">
        <w:t>Appendix B),</w:t>
      </w:r>
      <w:r w:rsidR="00476685" w:rsidRPr="00476685">
        <w:t xml:space="preserve"> not non-bilateral ODA activities </w:t>
      </w:r>
      <w:r w:rsidR="00AB60E8">
        <w:t>as these</w:t>
      </w:r>
      <w:r w:rsidR="00476685" w:rsidRPr="00476685">
        <w:t xml:space="preserve"> are programmed according to their own objectives.</w:t>
      </w:r>
    </w:p>
    <w:p w:rsidR="000D733F" w:rsidRPr="00FF20BC" w:rsidRDefault="000D733F" w:rsidP="000D733F">
      <w:pPr>
        <w:pStyle w:val="Caption"/>
      </w:pPr>
      <w:r w:rsidRPr="00FF20BC">
        <w:t xml:space="preserve">Rating of the program's progress towards Australia’s </w:t>
      </w:r>
      <w:r w:rsidR="00D206B3" w:rsidRPr="00FF20BC">
        <w:t xml:space="preserve">aid </w:t>
      </w:r>
      <w:r w:rsidRPr="00FF20BC">
        <w:t>objectives</w:t>
      </w:r>
      <w:r w:rsidR="00145267">
        <w:t>:</w:t>
      </w:r>
    </w:p>
    <w:tbl>
      <w:tblPr>
        <w:tblStyle w:val="APPR"/>
        <w:tblW w:w="5000" w:type="pct"/>
        <w:tblLook w:val="0000" w:firstRow="0" w:lastRow="0" w:firstColumn="0" w:lastColumn="0" w:noHBand="0" w:noVBand="0"/>
      </w:tblPr>
      <w:tblGrid>
        <w:gridCol w:w="6234"/>
        <w:gridCol w:w="1026"/>
        <w:gridCol w:w="426"/>
        <w:gridCol w:w="1091"/>
      </w:tblGrid>
      <w:tr w:rsidR="000D733F" w:rsidRPr="0019341B" w:rsidTr="00550EBA">
        <w:trPr>
          <w:cnfStyle w:val="000000010000" w:firstRow="0" w:lastRow="0" w:firstColumn="0" w:lastColumn="0" w:oddVBand="0" w:evenVBand="0" w:oddHBand="0" w:evenHBand="1" w:firstRowFirstColumn="0" w:firstRowLastColumn="0" w:lastRowFirstColumn="0" w:lastRowLastColumn="0"/>
          <w:trHeight w:val="651"/>
        </w:trPr>
        <w:tc>
          <w:tcPr>
            <w:tcW w:w="619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0D733F" w:rsidRPr="0019341B" w:rsidRDefault="000D733F" w:rsidP="000D733F">
            <w:pPr>
              <w:pStyle w:val="TableTextColumnHeading"/>
            </w:pPr>
            <w:r w:rsidRPr="0019341B">
              <w:rPr>
                <w:noProof/>
                <w:lang w:eastAsia="en-AU"/>
              </w:rPr>
              <w:drawing>
                <wp:anchor distT="0" distB="0" distL="114300" distR="114300" simplePos="0" relativeHeight="251663360" behindDoc="0" locked="0" layoutInCell="1" allowOverlap="1" wp14:anchorId="0431B51A" wp14:editId="01FD54E8">
                  <wp:simplePos x="0" y="0"/>
                  <wp:positionH relativeFrom="column">
                    <wp:posOffset>0</wp:posOffset>
                  </wp:positionH>
                  <wp:positionV relativeFrom="paragraph">
                    <wp:posOffset>0</wp:posOffset>
                  </wp:positionV>
                  <wp:extent cx="1857375" cy="228600"/>
                  <wp:effectExtent l="0" t="0" r="9525" b="0"/>
                  <wp:wrapNone/>
                  <wp:docPr id="12" name="Picture 12"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hidden="1"/>
                          <pic:cNvPicPr>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t>Objective</w:t>
            </w:r>
          </w:p>
        </w:tc>
        <w:tc>
          <w:tcPr>
            <w:tcW w:w="99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0D733F" w:rsidRPr="0019341B" w:rsidRDefault="004F4630" w:rsidP="000D733F">
            <w:pPr>
              <w:pStyle w:val="TableTextColumnHeading"/>
            </w:pPr>
            <w:r>
              <w:t>Previous Rating</w:t>
            </w:r>
          </w:p>
        </w:tc>
        <w:tc>
          <w:tcPr>
            <w:tcW w:w="39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0D733F" w:rsidRDefault="000D733F" w:rsidP="000D733F">
            <w:pPr>
              <w:pStyle w:val="TableTextColumnHeading"/>
            </w:pPr>
          </w:p>
        </w:tc>
        <w:tc>
          <w:tcPr>
            <w:tcW w:w="104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0D733F" w:rsidRPr="0019341B" w:rsidRDefault="004F4630" w:rsidP="000D733F">
            <w:pPr>
              <w:pStyle w:val="TableTextColumnHeading"/>
            </w:pPr>
            <w:r>
              <w:t>Current Rating</w:t>
            </w:r>
          </w:p>
        </w:tc>
      </w:tr>
      <w:tr w:rsidR="000D733F" w:rsidRPr="009D53C4" w:rsidTr="004C6A38">
        <w:trPr>
          <w:cnfStyle w:val="000000010000" w:firstRow="0" w:lastRow="0" w:firstColumn="0" w:lastColumn="0" w:oddVBand="0" w:evenVBand="0" w:oddHBand="0" w:evenHBand="1" w:firstRowFirstColumn="0" w:firstRowLastColumn="0" w:lastRowFirstColumn="0" w:lastRowLastColumn="0"/>
        </w:trPr>
        <w:tc>
          <w:tcPr>
            <w:tcW w:w="619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550EBA" w:rsidRDefault="000D733F" w:rsidP="00550EBA">
            <w:pPr>
              <w:pStyle w:val="TableTextEntries"/>
            </w:pPr>
            <w:r>
              <w:t>Objective 1</w:t>
            </w:r>
            <w:r w:rsidR="00550EBA">
              <w:t>: Expand economic opportunities for the poor by promoting enterprise and job creation</w:t>
            </w:r>
          </w:p>
          <w:p w:rsidR="000D733F" w:rsidRPr="0019341B" w:rsidRDefault="000D733F" w:rsidP="000D733F">
            <w:pPr>
              <w:pStyle w:val="TableTextEntries"/>
            </w:pPr>
          </w:p>
        </w:tc>
        <w:tc>
          <w:tcPr>
            <w:tcW w:w="998"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92D050"/>
            <w:noWrap/>
          </w:tcPr>
          <w:p w:rsidR="000D733F" w:rsidRPr="00443639" w:rsidRDefault="004C6A38" w:rsidP="004C6A38">
            <w:pPr>
              <w:pStyle w:val="TableTextEntries"/>
              <w:jc w:val="center"/>
              <w:rPr>
                <w:color w:val="FFFFFF" w:themeColor="background1"/>
              </w:rPr>
            </w:pPr>
            <w:r w:rsidRPr="00443639">
              <w:rPr>
                <w:color w:val="FFFFFF" w:themeColor="background1"/>
              </w:rPr>
              <w:t>Green</w:t>
            </w:r>
          </w:p>
        </w:tc>
        <w:tc>
          <w:tcPr>
            <w:tcW w:w="39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0D733F" w:rsidRPr="00443639" w:rsidRDefault="000D733F" w:rsidP="000D733F">
            <w:pPr>
              <w:pStyle w:val="TableTextEntries"/>
              <w:jc w:val="center"/>
              <w:rPr>
                <w:color w:val="FFFFFF" w:themeColor="background1"/>
              </w:rPr>
            </w:pPr>
          </w:p>
        </w:tc>
        <w:tc>
          <w:tcPr>
            <w:tcW w:w="1049"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92D050"/>
            <w:noWrap/>
          </w:tcPr>
          <w:p w:rsidR="000D733F" w:rsidRPr="00443639" w:rsidRDefault="00DB26EB" w:rsidP="000D733F">
            <w:pPr>
              <w:pStyle w:val="TableTextEntries"/>
              <w:jc w:val="center"/>
              <w:rPr>
                <w:color w:val="FFFFFF" w:themeColor="background1"/>
              </w:rPr>
            </w:pPr>
            <w:r w:rsidRPr="00443639">
              <w:rPr>
                <w:color w:val="FFFFFF" w:themeColor="background1"/>
              </w:rPr>
              <w:t>Green</w:t>
            </w:r>
          </w:p>
        </w:tc>
      </w:tr>
      <w:tr w:rsidR="000D733F" w:rsidRPr="009D53C4" w:rsidTr="00DB26EB">
        <w:trPr>
          <w:cnfStyle w:val="000000010000" w:firstRow="0" w:lastRow="0" w:firstColumn="0" w:lastColumn="0" w:oddVBand="0" w:evenVBand="0" w:oddHBand="0" w:evenHBand="1" w:firstRowFirstColumn="0" w:firstRowLastColumn="0" w:lastRowFirstColumn="0" w:lastRowLastColumn="0"/>
        </w:trPr>
        <w:tc>
          <w:tcPr>
            <w:tcW w:w="619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550EBA" w:rsidRDefault="000D733F" w:rsidP="00550EBA">
            <w:pPr>
              <w:pStyle w:val="TableTextEntries"/>
            </w:pPr>
            <w:r>
              <w:t>Objective 2</w:t>
            </w:r>
            <w:r w:rsidR="00FF20BC">
              <w:t>:</w:t>
            </w:r>
            <w:r w:rsidR="00550EBA">
              <w:t xml:space="preserve"> </w:t>
            </w:r>
            <w:r w:rsidR="00FF20BC">
              <w:t>P</w:t>
            </w:r>
            <w:r w:rsidR="00550EBA">
              <w:t>romote Nepal’s human development to expand participation and productivity of the poor.</w:t>
            </w:r>
          </w:p>
          <w:p w:rsidR="000D733F" w:rsidRPr="0019341B" w:rsidRDefault="000D733F" w:rsidP="000D733F">
            <w:pPr>
              <w:pStyle w:val="TableTextEntries"/>
            </w:pPr>
          </w:p>
        </w:tc>
        <w:tc>
          <w:tcPr>
            <w:tcW w:w="998"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92D050"/>
            <w:noWrap/>
          </w:tcPr>
          <w:p w:rsidR="000D733F" w:rsidRPr="00443639" w:rsidRDefault="00550EBA" w:rsidP="000D733F">
            <w:pPr>
              <w:pStyle w:val="TableTextEntries"/>
              <w:jc w:val="center"/>
              <w:rPr>
                <w:color w:val="FFFFFF" w:themeColor="background1"/>
              </w:rPr>
            </w:pPr>
            <w:r w:rsidRPr="00443639">
              <w:rPr>
                <w:color w:val="FFFFFF" w:themeColor="background1"/>
              </w:rPr>
              <w:t>Green</w:t>
            </w:r>
          </w:p>
        </w:tc>
        <w:tc>
          <w:tcPr>
            <w:tcW w:w="39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0D733F" w:rsidRPr="00443639" w:rsidRDefault="000D733F" w:rsidP="000D733F">
            <w:pPr>
              <w:pStyle w:val="TableTextEntries"/>
              <w:jc w:val="center"/>
              <w:rPr>
                <w:color w:val="FFFFFF" w:themeColor="background1"/>
              </w:rPr>
            </w:pPr>
          </w:p>
        </w:tc>
        <w:tc>
          <w:tcPr>
            <w:tcW w:w="1049"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92D050"/>
            <w:noWrap/>
          </w:tcPr>
          <w:p w:rsidR="000D733F" w:rsidRPr="00443639" w:rsidRDefault="000D733F" w:rsidP="000D733F">
            <w:pPr>
              <w:pStyle w:val="TableTextEntries"/>
              <w:jc w:val="center"/>
              <w:rPr>
                <w:color w:val="FFFFFF" w:themeColor="background1"/>
              </w:rPr>
            </w:pPr>
            <w:r w:rsidRPr="00443639">
              <w:rPr>
                <w:color w:val="FFFFFF" w:themeColor="background1"/>
              </w:rPr>
              <w:t>Green</w:t>
            </w:r>
          </w:p>
        </w:tc>
      </w:tr>
    </w:tbl>
    <w:p w:rsidR="000D733F" w:rsidRPr="00180B19" w:rsidRDefault="000D733F" w:rsidP="000D733F">
      <w:pPr>
        <w:pStyle w:val="Note"/>
      </w:pPr>
      <w:r w:rsidRPr="00180B19">
        <w:t xml:space="preserve">Note: </w:t>
      </w:r>
    </w:p>
    <w:p w:rsidR="000D733F" w:rsidRPr="00180B19" w:rsidRDefault="000D733F" w:rsidP="000D733F">
      <w:pPr>
        <w:pStyle w:val="Note"/>
      </w:pPr>
      <w:r w:rsidRPr="00E74404">
        <w:rPr>
          <w:color w:val="72AF2F"/>
        </w:rPr>
        <w:sym w:font="Webdings" w:char="F067"/>
      </w:r>
      <w:r w:rsidRPr="00180B19">
        <w:t> </w:t>
      </w:r>
      <w:r w:rsidRPr="00180B19">
        <w:t xml:space="preserve"> </w:t>
      </w:r>
      <w:r>
        <w:t xml:space="preserve">Green. </w:t>
      </w:r>
      <w:r w:rsidRPr="00180B19">
        <w:t>Progress is as expected for this point in time and it is likely that the objective will be achieved. Standard program management practices are sufficient.</w:t>
      </w:r>
    </w:p>
    <w:p w:rsidR="000D733F" w:rsidRPr="00180B19" w:rsidRDefault="000D733F" w:rsidP="000D733F">
      <w:pPr>
        <w:pStyle w:val="Note"/>
      </w:pPr>
      <w:r w:rsidRPr="00E74404">
        <w:rPr>
          <w:color w:val="E36C0A"/>
        </w:rPr>
        <w:sym w:font="Webdings" w:char="F067"/>
      </w:r>
      <w:r w:rsidRPr="00180B19">
        <w:t> </w:t>
      </w:r>
      <w:r w:rsidRPr="00180B19">
        <w:t xml:space="preserve"> </w:t>
      </w:r>
      <w:r>
        <w:t xml:space="preserve">Amber. </w:t>
      </w:r>
      <w:r w:rsidRPr="00180B19">
        <w:t>Progress is somewhat less than expected for this point in time and restorative action will be necessary if the objective is to be achieved. Close performance monitoring is recommended.</w:t>
      </w:r>
    </w:p>
    <w:p w:rsidR="000D733F" w:rsidRDefault="000D733F" w:rsidP="000D733F">
      <w:pPr>
        <w:pStyle w:val="Note"/>
      </w:pPr>
      <w:r w:rsidRPr="004C4A3E">
        <w:rPr>
          <w:color w:val="FF0000"/>
        </w:rPr>
        <w:sym w:font="Webdings" w:char="F067"/>
      </w:r>
      <w:r w:rsidRPr="00180B19">
        <w:t> </w:t>
      </w:r>
      <w:r w:rsidRPr="00180B19">
        <w:t xml:space="preserve"> </w:t>
      </w:r>
      <w:r>
        <w:t xml:space="preserve">Red. </w:t>
      </w:r>
      <w:r w:rsidRPr="00180B19">
        <w:t>Progress is significantly less than expected for this point in time and the objective is not likely to be met given available resources and priorities. Recasting the objective may be required.</w:t>
      </w:r>
    </w:p>
    <w:p w:rsidR="000D733F" w:rsidRDefault="000D733F" w:rsidP="000D733F">
      <w:pPr>
        <w:pStyle w:val="Note"/>
      </w:pPr>
      <w:r>
        <w:t xml:space="preserve">Reporting period: </w:t>
      </w:r>
      <w:r w:rsidRPr="00180B19">
        <w:t xml:space="preserve"> </w:t>
      </w:r>
    </w:p>
    <w:p w:rsidR="000D733F" w:rsidRDefault="000D733F" w:rsidP="000D733F">
      <w:pPr>
        <w:pStyle w:val="Heading3"/>
      </w:pPr>
      <w:r w:rsidRPr="00C57923">
        <w:t xml:space="preserve">Objective </w:t>
      </w:r>
      <w:r w:rsidR="001933E4">
        <w:t>1</w:t>
      </w:r>
      <w:r w:rsidR="00FF20BC">
        <w:t>:</w:t>
      </w:r>
      <w:r w:rsidR="00FF20BC" w:rsidRPr="00FF20BC">
        <w:t xml:space="preserve"> </w:t>
      </w:r>
      <w:r w:rsidR="00FF20BC">
        <w:t>Expand economic opportunities for the poor by promoting enterprise and job creation</w:t>
      </w:r>
    </w:p>
    <w:p w:rsidR="001039C5" w:rsidRDefault="001039C5" w:rsidP="00FD3B8F">
      <w:pPr>
        <w:pStyle w:val="BodyText"/>
      </w:pPr>
      <w:r>
        <w:t xml:space="preserve">The objective was rated green as the Australian Government’s flagship program - the </w:t>
      </w:r>
      <w:r w:rsidRPr="00910E3C">
        <w:t>Micro-Enterprise Development Program</w:t>
      </w:r>
      <w:r>
        <w:t xml:space="preserve"> (MEDEP)</w:t>
      </w:r>
      <w:r w:rsidR="00457589">
        <w:t>, implemented by UNDP</w:t>
      </w:r>
      <w:r>
        <w:t xml:space="preserve"> - has continued to create new jobs and microenterprise opportunities for the most disadvantaged</w:t>
      </w:r>
      <w:r w:rsidR="00457589">
        <w:t xml:space="preserve"> (especially women)</w:t>
      </w:r>
      <w:r>
        <w:t>.</w:t>
      </w:r>
      <w:r w:rsidR="00332432">
        <w:t xml:space="preserve"> </w:t>
      </w:r>
      <w:r w:rsidR="00AB60E8">
        <w:t xml:space="preserve">In addition to supporting job creation, our expectation for 2013-14 </w:t>
      </w:r>
      <w:r w:rsidR="00332432">
        <w:t>was</w:t>
      </w:r>
      <w:r w:rsidR="00AB60E8">
        <w:t xml:space="preserve"> also that </w:t>
      </w:r>
      <w:r w:rsidR="001A7B60">
        <w:t xml:space="preserve">UNDP would support the transition of program management </w:t>
      </w:r>
      <w:r w:rsidR="00AB60E8">
        <w:t>from UNDP to GoN.</w:t>
      </w:r>
    </w:p>
    <w:p w:rsidR="00FD3B8F" w:rsidRPr="00910E3C" w:rsidRDefault="00FD3B8F" w:rsidP="00FD3B8F">
      <w:pPr>
        <w:pStyle w:val="BodyText"/>
      </w:pPr>
      <w:r>
        <w:t xml:space="preserve">Key achievements for </w:t>
      </w:r>
      <w:r w:rsidR="00AB60E8">
        <w:t xml:space="preserve">MEDEP in </w:t>
      </w:r>
      <w:r w:rsidRPr="00910E3C">
        <w:t>201</w:t>
      </w:r>
      <w:r>
        <w:t>3</w:t>
      </w:r>
      <w:r w:rsidRPr="00910E3C">
        <w:t>-1</w:t>
      </w:r>
      <w:r>
        <w:t>4 include</w:t>
      </w:r>
      <w:r w:rsidRPr="00910E3C">
        <w:t xml:space="preserve"> </w:t>
      </w:r>
      <w:r>
        <w:t xml:space="preserve">8,727 beneficiaries </w:t>
      </w:r>
      <w:r w:rsidR="001545FA">
        <w:t>increasing</w:t>
      </w:r>
      <w:r>
        <w:t xml:space="preserve"> their income, </w:t>
      </w:r>
      <w:r w:rsidR="00D47EB4">
        <w:t>70 per cent</w:t>
      </w:r>
      <w:r>
        <w:t xml:space="preserve"> whom were poor women</w:t>
      </w:r>
      <w:r w:rsidRPr="00910E3C">
        <w:t xml:space="preserve">. Since 1998, the program has created more than 70,000 micro-entrepreneurs and directly created more than 75,000 jobs. </w:t>
      </w:r>
      <w:r w:rsidR="001A7B60" w:rsidRPr="001A7B60">
        <w:rPr>
          <w:rFonts w:cs="Arial"/>
          <w:szCs w:val="16"/>
        </w:rPr>
        <w:t xml:space="preserve"> </w:t>
      </w:r>
      <w:r w:rsidR="001A7B60">
        <w:rPr>
          <w:rFonts w:cs="Arial"/>
          <w:szCs w:val="16"/>
        </w:rPr>
        <w:t>An i</w:t>
      </w:r>
      <w:r w:rsidR="001A7B60" w:rsidRPr="00CC0A6B">
        <w:rPr>
          <w:rFonts w:cs="Arial"/>
          <w:szCs w:val="16"/>
        </w:rPr>
        <w:t xml:space="preserve">mpact assessment report </w:t>
      </w:r>
      <w:r w:rsidR="001A7B60">
        <w:rPr>
          <w:rFonts w:cs="Arial"/>
          <w:szCs w:val="16"/>
        </w:rPr>
        <w:t>(2010) found</w:t>
      </w:r>
      <w:r w:rsidR="001A7B60" w:rsidRPr="00CC0A6B">
        <w:rPr>
          <w:rFonts w:cs="Arial"/>
          <w:szCs w:val="16"/>
        </w:rPr>
        <w:t xml:space="preserve"> that 80% of the micro-entrepreneurs established by MEDEP continue to be active in their </w:t>
      </w:r>
      <w:r w:rsidR="004C6A38">
        <w:rPr>
          <w:rFonts w:cs="Arial"/>
          <w:szCs w:val="16"/>
        </w:rPr>
        <w:t>field of activity</w:t>
      </w:r>
      <w:r w:rsidR="001A7B60" w:rsidRPr="00CC0A6B">
        <w:rPr>
          <w:rFonts w:cs="Arial"/>
          <w:szCs w:val="16"/>
        </w:rPr>
        <w:t xml:space="preserve">.  </w:t>
      </w:r>
    </w:p>
    <w:p w:rsidR="00FD3B8F" w:rsidRDefault="001A7B60" w:rsidP="00FD3B8F">
      <w:pPr>
        <w:pStyle w:val="BodyText"/>
      </w:pPr>
      <w:r>
        <w:t xml:space="preserve">UNDP </w:t>
      </w:r>
      <w:r w:rsidR="007434EE">
        <w:t xml:space="preserve">progressed satisfactorily the transition arrangements for </w:t>
      </w:r>
      <w:r w:rsidR="00FD3B8F" w:rsidRPr="003D2F89">
        <w:t xml:space="preserve">MEDEP </w:t>
      </w:r>
      <w:r w:rsidR="007434EE">
        <w:t xml:space="preserve">in 2013-14. MEDEP </w:t>
      </w:r>
      <w:r w:rsidR="00FD3B8F" w:rsidRPr="003D2F89">
        <w:t>is one of the few donor initiated progra</w:t>
      </w:r>
      <w:r w:rsidR="001039C5">
        <w:t xml:space="preserve">ms in Nepal </w:t>
      </w:r>
      <w:r w:rsidR="006A7D32">
        <w:t>that</w:t>
      </w:r>
      <w:r w:rsidR="001039C5">
        <w:t xml:space="preserve"> has a strong </w:t>
      </w:r>
      <w:r w:rsidR="009B5BFC">
        <w:t>GoN</w:t>
      </w:r>
      <w:r w:rsidR="001039C5">
        <w:t xml:space="preserve"> </w:t>
      </w:r>
      <w:r w:rsidR="00FD3B8F" w:rsidRPr="003D2F89">
        <w:t>buy-in</w:t>
      </w:r>
      <w:r w:rsidR="00AB60E8" w:rsidRPr="00910E3C">
        <w:t>.</w:t>
      </w:r>
      <w:r w:rsidR="00AB60E8">
        <w:t xml:space="preserve"> </w:t>
      </w:r>
      <w:r w:rsidR="007434EE">
        <w:t>In</w:t>
      </w:r>
      <w:r w:rsidR="00A57836">
        <w:t xml:space="preserve"> previous phases, UNDP </w:t>
      </w:r>
      <w:r w:rsidR="0001075F">
        <w:t xml:space="preserve">provided grants to deliver </w:t>
      </w:r>
      <w:r w:rsidR="00A57836">
        <w:t xml:space="preserve">micro-enterprise services. In this phase, the GoN will </w:t>
      </w:r>
      <w:r w:rsidR="0001075F">
        <w:t>manage that process</w:t>
      </w:r>
      <w:r w:rsidR="00A57836">
        <w:t xml:space="preserve">. UNDP plays a role in training GoN staff and building their capacity to do this. In 2013-14, UNDP facilitated the finalisation of Operational Guidelines for the management of funds </w:t>
      </w:r>
      <w:r w:rsidR="0001075F">
        <w:t>by</w:t>
      </w:r>
      <w:r w:rsidR="00A57836">
        <w:t xml:space="preserve"> GoN. The Guidelines set out the roles and responsibilities of all parties in relation to the funds, ensuring transparency and accountability. UNDP’s progress was satisfactory </w:t>
      </w:r>
      <w:r w:rsidR="004C6A38">
        <w:t>although</w:t>
      </w:r>
      <w:r w:rsidR="00A57836">
        <w:t xml:space="preserve"> it was unable to undertake district assessments of capacity to manage the district funds (which will include funds from UNDP/DFAT and GoN when in operation). These delays were due to </w:t>
      </w:r>
      <w:r w:rsidR="00484B94">
        <w:t>lengthy negotiation on the Op</w:t>
      </w:r>
      <w:r w:rsidR="004C6A38">
        <w:t>erational Guidelines, and UNDP’s</w:t>
      </w:r>
      <w:r w:rsidR="00484B94">
        <w:t xml:space="preserve"> difficulties in recruiting a suitable assessment team. The assessments will now take place in 2014-15. </w:t>
      </w:r>
      <w:r w:rsidR="00A57836">
        <w:t xml:space="preserve"> </w:t>
      </w:r>
    </w:p>
    <w:p w:rsidR="001A7B60" w:rsidRDefault="001A7B60" w:rsidP="000804BB">
      <w:pPr>
        <w:pStyle w:val="BodyText"/>
      </w:pPr>
      <w:r>
        <w:t>DFAT</w:t>
      </w:r>
      <w:r w:rsidR="00484B94">
        <w:t>, UNDP and GoN</w:t>
      </w:r>
      <w:r>
        <w:t xml:space="preserve"> continue to have a close strategic partnership in the delivery of </w:t>
      </w:r>
      <w:r w:rsidR="00484B94">
        <w:t xml:space="preserve">MEDEP. In August 2013, Australia facilitated a workshop with the GoN and UNDP to establish a </w:t>
      </w:r>
      <w:r w:rsidR="00484B94">
        <w:lastRenderedPageBreak/>
        <w:t>partnership framework and clearly articulate roles and responsibilities. DFAT and UNDP meet on a regular basis and DFAT is informed of implementation issues as they arise.</w:t>
      </w:r>
    </w:p>
    <w:p w:rsidR="00FD3B8F" w:rsidRDefault="000804BB" w:rsidP="000804BB">
      <w:pPr>
        <w:pStyle w:val="BodyText"/>
      </w:pPr>
      <w:r>
        <w:t xml:space="preserve">In 2014, a MEDEP beneficiary, </w:t>
      </w:r>
      <w:r w:rsidRPr="00D81A2C">
        <w:t>Ms Kesha Kumari Damini</w:t>
      </w:r>
      <w:r>
        <w:t xml:space="preserve">, was awarded the international </w:t>
      </w:r>
      <w:r w:rsidR="00216C7C">
        <w:t>Business for Peace Award.</w:t>
      </w:r>
    </w:p>
    <w:p w:rsidR="000804BB" w:rsidRPr="000804BB" w:rsidRDefault="000804BB" w:rsidP="00A755C8">
      <w:pPr>
        <w:pStyle w:val="ListBullet"/>
        <w:numPr>
          <w:ilvl w:val="0"/>
          <w:numId w:val="0"/>
        </w:numPr>
        <w:pBdr>
          <w:top w:val="single" w:sz="12" w:space="1" w:color="000000" w:themeColor="text1"/>
          <w:left w:val="single" w:sz="12" w:space="4" w:color="000000" w:themeColor="text1"/>
          <w:bottom w:val="single" w:sz="12" w:space="1" w:color="000000" w:themeColor="text1"/>
          <w:right w:val="single" w:sz="12" w:space="4" w:color="000000" w:themeColor="text1"/>
        </w:pBdr>
        <w:rPr>
          <w:b/>
          <w:u w:val="single"/>
        </w:rPr>
      </w:pPr>
      <w:r w:rsidRPr="000804BB">
        <w:rPr>
          <w:b/>
          <w:u w:val="single"/>
        </w:rPr>
        <w:t>MEDEP Business for Peace Award</w:t>
      </w:r>
    </w:p>
    <w:p w:rsidR="00A755C8" w:rsidRDefault="00A755C8" w:rsidP="00A755C8">
      <w:pPr>
        <w:pStyle w:val="ListBullet"/>
        <w:numPr>
          <w:ilvl w:val="0"/>
          <w:numId w:val="0"/>
        </w:numPr>
        <w:pBdr>
          <w:top w:val="single" w:sz="12" w:space="1" w:color="000000" w:themeColor="text1"/>
          <w:left w:val="single" w:sz="12" w:space="4" w:color="000000" w:themeColor="text1"/>
          <w:bottom w:val="single" w:sz="12" w:space="1" w:color="000000" w:themeColor="text1"/>
          <w:right w:val="single" w:sz="12" w:space="4" w:color="000000" w:themeColor="text1"/>
        </w:pBdr>
      </w:pPr>
      <w:r>
        <w:t xml:space="preserve">The </w:t>
      </w:r>
      <w:r w:rsidRPr="004737F0">
        <w:t>Australian funded Micro Enterprise Development Program</w:t>
      </w:r>
      <w:r w:rsidRPr="00D81A2C">
        <w:t xml:space="preserve"> </w:t>
      </w:r>
      <w:r>
        <w:t xml:space="preserve">in Nepal has successfully created more than 40,000 female micro-entrepreneurs since 1998. One of those entrepreneurs, </w:t>
      </w:r>
      <w:r w:rsidRPr="00D81A2C">
        <w:t>Ms</w:t>
      </w:r>
      <w:r w:rsidR="00332432">
        <w:t> </w:t>
      </w:r>
      <w:r w:rsidRPr="00D81A2C">
        <w:t xml:space="preserve"> Kesha Kumari Damini</w:t>
      </w:r>
      <w:r>
        <w:t xml:space="preserve">, has been conferred the international </w:t>
      </w:r>
      <w:r w:rsidRPr="00D81A2C">
        <w:t>Business for Peace Award 2014.</w:t>
      </w:r>
    </w:p>
    <w:p w:rsidR="00A755C8" w:rsidRPr="00D81A2C" w:rsidRDefault="00A755C8" w:rsidP="00A755C8">
      <w:pPr>
        <w:pStyle w:val="ListBullet"/>
        <w:numPr>
          <w:ilvl w:val="0"/>
          <w:numId w:val="0"/>
        </w:numPr>
        <w:pBdr>
          <w:top w:val="single" w:sz="12" w:space="1" w:color="000000" w:themeColor="text1"/>
          <w:left w:val="single" w:sz="12" w:space="4" w:color="000000" w:themeColor="text1"/>
          <w:bottom w:val="single" w:sz="12" w:space="1" w:color="000000" w:themeColor="text1"/>
          <w:right w:val="single" w:sz="12" w:space="4" w:color="000000" w:themeColor="text1"/>
        </w:pBdr>
      </w:pPr>
      <w:r w:rsidRPr="00D81A2C">
        <w:t xml:space="preserve">Ms Damini was one among six </w:t>
      </w:r>
      <w:r>
        <w:t>awardees</w:t>
      </w:r>
      <w:r w:rsidRPr="00D81A2C">
        <w:t xml:space="preserve"> chosen by the Independent Award Committee Comprising of Nobel Laureates in Peace and Economics. The annual award is given to individual busi</w:t>
      </w:r>
      <w:r>
        <w:t xml:space="preserve">ness leaders who have fostered </w:t>
      </w:r>
      <w:r w:rsidRPr="00D81A2C">
        <w:t xml:space="preserve">peace and stability through private enterprise, doing ethical business practices and creating shared value for the society. </w:t>
      </w:r>
    </w:p>
    <w:p w:rsidR="00A755C8" w:rsidRDefault="00A755C8" w:rsidP="00A755C8">
      <w:pPr>
        <w:pStyle w:val="ListBullet"/>
        <w:numPr>
          <w:ilvl w:val="0"/>
          <w:numId w:val="0"/>
        </w:numPr>
        <w:pBdr>
          <w:top w:val="single" w:sz="12" w:space="1" w:color="000000" w:themeColor="text1"/>
          <w:left w:val="single" w:sz="12" w:space="4" w:color="000000" w:themeColor="text1"/>
          <w:bottom w:val="single" w:sz="12" w:space="1" w:color="000000" w:themeColor="text1"/>
          <w:right w:val="single" w:sz="12" w:space="4" w:color="000000" w:themeColor="text1"/>
        </w:pBdr>
      </w:pPr>
      <w:r>
        <w:t>Ms Damini wa</w:t>
      </w:r>
      <w:r w:rsidRPr="00C758FF">
        <w:t xml:space="preserve">s cited for her leadership and success in mobilising </w:t>
      </w:r>
      <w:r>
        <w:t>micro</w:t>
      </w:r>
      <w:r w:rsidRPr="00C758FF">
        <w:t xml:space="preserve"> entrepreneurs, mainly women, to become self-employed and overcome discrimination. </w:t>
      </w:r>
      <w:r>
        <w:t>She is currently c</w:t>
      </w:r>
      <w:r w:rsidRPr="004737F0">
        <w:t>hair of National Micro-entrepreneurs’ Federation of Nepal</w:t>
      </w:r>
      <w:r>
        <w:t>.</w:t>
      </w:r>
      <w:r w:rsidRPr="00C758FF">
        <w:t xml:space="preserve"> </w:t>
      </w:r>
    </w:p>
    <w:p w:rsidR="00216C7C" w:rsidRDefault="00216C7C" w:rsidP="00A755C8">
      <w:pPr>
        <w:pStyle w:val="ListBullet"/>
        <w:numPr>
          <w:ilvl w:val="0"/>
          <w:numId w:val="0"/>
        </w:numPr>
      </w:pPr>
      <w:r>
        <w:t xml:space="preserve">Australia has also supported a range of Australian NGOs to deliver livelihood projects </w:t>
      </w:r>
      <w:r w:rsidR="00AC452B">
        <w:t>including</w:t>
      </w:r>
      <w:r w:rsidR="009B5BFC">
        <w:t xml:space="preserve"> projects to </w:t>
      </w:r>
      <w:r w:rsidR="009B5BFC" w:rsidRPr="009B5BFC">
        <w:t>enhanc</w:t>
      </w:r>
      <w:r w:rsidR="009B5BFC">
        <w:t>e the</w:t>
      </w:r>
      <w:r w:rsidR="009B5BFC" w:rsidRPr="009B5BFC">
        <w:t xml:space="preserve"> </w:t>
      </w:r>
      <w:r w:rsidR="002D6CAF">
        <w:t>business</w:t>
      </w:r>
      <w:r w:rsidR="009B5BFC" w:rsidRPr="009B5BFC">
        <w:t xml:space="preserve"> and vocational skills</w:t>
      </w:r>
      <w:r w:rsidR="009B5BFC">
        <w:t xml:space="preserve"> of women’s cooperatives.</w:t>
      </w:r>
    </w:p>
    <w:p w:rsidR="00D6666D" w:rsidRDefault="00D6666D" w:rsidP="00984059">
      <w:pPr>
        <w:pStyle w:val="ListBullet"/>
        <w:numPr>
          <w:ilvl w:val="0"/>
          <w:numId w:val="0"/>
        </w:numPr>
      </w:pPr>
      <w:r>
        <w:t xml:space="preserve">Job opportunities will also be provided through the </w:t>
      </w:r>
      <w:r w:rsidR="00984059">
        <w:t xml:space="preserve">Australian-supported </w:t>
      </w:r>
      <w:r w:rsidR="00984059" w:rsidRPr="00D6666D">
        <w:t>($15.7</w:t>
      </w:r>
      <w:r w:rsidR="00AC452B">
        <w:t xml:space="preserve"> </w:t>
      </w:r>
      <w:r w:rsidR="00984059" w:rsidRPr="00D6666D">
        <w:t>m</w:t>
      </w:r>
      <w:r w:rsidR="00AC452B">
        <w:t>illion</w:t>
      </w:r>
      <w:r w:rsidR="00984059">
        <w:t xml:space="preserve"> </w:t>
      </w:r>
      <w:r w:rsidR="00332432">
        <w:t xml:space="preserve">in </w:t>
      </w:r>
      <w:r w:rsidR="00984059">
        <w:t>core funding</w:t>
      </w:r>
      <w:r w:rsidR="00984059" w:rsidRPr="00D6666D">
        <w:t xml:space="preserve"> 2013-14)</w:t>
      </w:r>
      <w:r w:rsidR="00984059">
        <w:t xml:space="preserve"> </w:t>
      </w:r>
      <w:r w:rsidRPr="00D6666D">
        <w:t>Priva</w:t>
      </w:r>
      <w:r w:rsidR="00984059">
        <w:t xml:space="preserve">te Investment Development Group (PIDG). </w:t>
      </w:r>
      <w:r w:rsidR="00484B94">
        <w:t>Within</w:t>
      </w:r>
      <w:r w:rsidR="00984059">
        <w:t xml:space="preserve"> PIDG </w:t>
      </w:r>
      <w:r w:rsidR="00984059" w:rsidRPr="00D6666D">
        <w:t xml:space="preserve">there are a range of private companies that </w:t>
      </w:r>
      <w:r w:rsidR="00484B94">
        <w:t>are funded</w:t>
      </w:r>
      <w:r w:rsidR="00984059" w:rsidRPr="00D6666D">
        <w:t xml:space="preserve"> to identify </w:t>
      </w:r>
      <w:r w:rsidR="00484B94">
        <w:t xml:space="preserve">and develop </w:t>
      </w:r>
      <w:r w:rsidR="00984059" w:rsidRPr="00D6666D">
        <w:t>potential projects that address infrastructure gap</w:t>
      </w:r>
      <w:r w:rsidR="00AC452B">
        <w:t>s</w:t>
      </w:r>
      <w:r w:rsidR="00984059" w:rsidRPr="00D6666D">
        <w:t xml:space="preserve"> and have high developmental benefits (InfraCo Asia Development covers South Asia</w:t>
      </w:r>
      <w:r w:rsidR="00984059">
        <w:t xml:space="preserve">). InfraCo Asia </w:t>
      </w:r>
      <w:r w:rsidR="00332432">
        <w:t>is</w:t>
      </w:r>
      <w:r w:rsidR="00AC452B">
        <w:t xml:space="preserve"> supporting</w:t>
      </w:r>
      <w:r w:rsidR="00984059">
        <w:t xml:space="preserve"> the development of three </w:t>
      </w:r>
      <w:r w:rsidR="006A7D32">
        <w:t>hydro</w:t>
      </w:r>
      <w:r w:rsidR="00984059">
        <w:t xml:space="preserve"> projects in Nepal. In May 2014, </w:t>
      </w:r>
      <w:r w:rsidR="00484B94">
        <w:t xml:space="preserve">InfraCo Asia facilitated funding (US$ 84.6 million) from </w:t>
      </w:r>
      <w:r w:rsidR="00984059">
        <w:t xml:space="preserve">the </w:t>
      </w:r>
      <w:r w:rsidR="00984059" w:rsidRPr="00D6666D">
        <w:t>World Bank Group</w:t>
      </w:r>
      <w:r w:rsidR="00984059" w:rsidRPr="00984059">
        <w:t xml:space="preserve"> </w:t>
      </w:r>
      <w:r w:rsidR="00484B94">
        <w:t>for</w:t>
      </w:r>
      <w:r w:rsidR="00E83CC7">
        <w:t xml:space="preserve"> the </w:t>
      </w:r>
      <w:r w:rsidR="00984059" w:rsidRPr="00D6666D">
        <w:t>construction</w:t>
      </w:r>
      <w:r w:rsidR="00984059">
        <w:t xml:space="preserve"> of a</w:t>
      </w:r>
      <w:r w:rsidR="00984059" w:rsidRPr="00984059">
        <w:t xml:space="preserve"> </w:t>
      </w:r>
      <w:r w:rsidR="00984059" w:rsidRPr="00D6666D">
        <w:t>dam and power station on the Kabeli River</w:t>
      </w:r>
      <w:r w:rsidR="00984059">
        <w:t>.</w:t>
      </w:r>
      <w:r w:rsidR="00984059" w:rsidRPr="00984059">
        <w:t xml:space="preserve"> </w:t>
      </w:r>
      <w:r w:rsidR="00E83CC7">
        <w:t xml:space="preserve">The World Bank Group will implement their safeguards </w:t>
      </w:r>
      <w:r w:rsidR="0068347D">
        <w:t xml:space="preserve">(including gender responsive approaches) </w:t>
      </w:r>
      <w:r w:rsidR="00E83CC7">
        <w:t>in the delivery of the project</w:t>
      </w:r>
      <w:r w:rsidR="00557419">
        <w:rPr>
          <w:rStyle w:val="FootnoteReference"/>
        </w:rPr>
        <w:footnoteReference w:id="5"/>
      </w:r>
      <w:r w:rsidR="00E83CC7">
        <w:t>.</w:t>
      </w:r>
    </w:p>
    <w:p w:rsidR="00A755C8" w:rsidRDefault="00A755C8" w:rsidP="00A755C8">
      <w:pPr>
        <w:pStyle w:val="Heading3"/>
      </w:pPr>
      <w:r w:rsidRPr="00C57923">
        <w:t xml:space="preserve">Objective </w:t>
      </w:r>
      <w:r>
        <w:t>2</w:t>
      </w:r>
      <w:r w:rsidR="00FF20BC">
        <w:t>: Promote Nepal’s human development to expand participation and productivity of the poor.</w:t>
      </w:r>
    </w:p>
    <w:p w:rsidR="00D87EB2" w:rsidRDefault="00D87EB2" w:rsidP="00D87EB2">
      <w:pPr>
        <w:pStyle w:val="BodyText"/>
      </w:pPr>
      <w:r>
        <w:t xml:space="preserve">The objective was rated green as progress </w:t>
      </w:r>
      <w:r w:rsidR="00EC3C2B">
        <w:t>met expectations to</w:t>
      </w:r>
      <w:r>
        <w:t xml:space="preserve"> support education opportunities, access to health and improved water, </w:t>
      </w:r>
      <w:r w:rsidR="00332432">
        <w:t>hygiene</w:t>
      </w:r>
      <w:r>
        <w:t xml:space="preserve"> and sanitation.</w:t>
      </w:r>
    </w:p>
    <w:p w:rsidR="00EC3C2B" w:rsidRDefault="00EC3C2B" w:rsidP="00FF20BC">
      <w:pPr>
        <w:pStyle w:val="BodyText"/>
      </w:pPr>
      <w:r>
        <w:t xml:space="preserve">Australia’s investment in both education (School Sector Reform Program – SSRP) and health (Nepal Health Sector Program – NHSP III) are both sector wide programs delivered by GoN (see footnote 1, page 1). In both instances there is an active donor group (and working groups on particular issues) that meet regularly with GoN. </w:t>
      </w:r>
      <w:r w:rsidR="004322B7">
        <w:t xml:space="preserve">The program management team has made the decision not to continue with our support for NHSP III and </w:t>
      </w:r>
      <w:r w:rsidR="004C6A38">
        <w:t>Nepal Water for Health</w:t>
      </w:r>
      <w:r w:rsidR="004322B7">
        <w:t xml:space="preserve"> beyond the current agreements (2015 and 2014 respectively). This decision is not reflective of diminished development need in these areas or poor performance, but rather to consolidate the bilateral </w:t>
      </w:r>
      <w:r w:rsidR="004322B7">
        <w:lastRenderedPageBreak/>
        <w:t>program to facilitate targeted focus on microenterprise development and education/skills development.</w:t>
      </w:r>
    </w:p>
    <w:p w:rsidR="00E025F5" w:rsidRDefault="00316830" w:rsidP="00FF20BC">
      <w:pPr>
        <w:pStyle w:val="BodyText"/>
      </w:pPr>
      <w:r>
        <w:t xml:space="preserve">SSRP has delivered good results in some areas including an increasing enrolment in basic education from 73 per cent (2009) to 86.3 per cent (2014) and gender parity in basic education enrolment. </w:t>
      </w:r>
      <w:r w:rsidR="00E025F5">
        <w:t xml:space="preserve">In 2013-14, Australia’s funding ($4 million) directly supported an additional enrolment of approximately 50,000 students </w:t>
      </w:r>
      <w:r w:rsidR="00557419">
        <w:t xml:space="preserve">(25,269 girls) </w:t>
      </w:r>
      <w:r w:rsidR="00E025F5">
        <w:t xml:space="preserve">and delivered more than 300,000 textbooks. </w:t>
      </w:r>
      <w:r>
        <w:t xml:space="preserve">However, further work is needed to improve education quality. The 2014 National Assessment of Student </w:t>
      </w:r>
      <w:r w:rsidR="00EA4547">
        <w:t>A</w:t>
      </w:r>
      <w:r>
        <w:t>chievement found that only 63 per cent of grade three and 59 per cent of grade five children were literate in Nepali.</w:t>
      </w:r>
      <w:r w:rsidR="00E025F5">
        <w:t xml:space="preserve"> </w:t>
      </w:r>
      <w:r w:rsidR="00557419">
        <w:t xml:space="preserve">While scholarships are provided to some children with disability, more are needed, along with other measures to ensure that education meets the needs of children </w:t>
      </w:r>
      <w:r w:rsidR="00332432">
        <w:t>with</w:t>
      </w:r>
      <w:r w:rsidR="00557419">
        <w:t xml:space="preserve"> disability.  </w:t>
      </w:r>
      <w:r w:rsidR="00E025F5">
        <w:t xml:space="preserve">Donor coordination and collaboration with the Ministry remain positive. Australia </w:t>
      </w:r>
      <w:r w:rsidR="002D6CAF">
        <w:t>and other donors continue to emphasise that</w:t>
      </w:r>
      <w:r w:rsidR="00E025F5">
        <w:t xml:space="preserve"> funding is contingent on </w:t>
      </w:r>
      <w:r w:rsidR="002D6CAF">
        <w:t xml:space="preserve">the GoN </w:t>
      </w:r>
      <w:r w:rsidR="00E025F5">
        <w:t>continuing to place a priority on education.</w:t>
      </w:r>
    </w:p>
    <w:p w:rsidR="004C35FE" w:rsidRPr="004C35FE" w:rsidRDefault="00EA4547" w:rsidP="004C35FE">
      <w:pPr>
        <w:pStyle w:val="BodyText"/>
      </w:pPr>
      <w:r>
        <w:t xml:space="preserve">In 2013-14 Australia provided $70 million in core funding to the </w:t>
      </w:r>
      <w:r w:rsidR="004C35FE" w:rsidRPr="004C35FE">
        <w:t>Global Partnership for Education (</w:t>
      </w:r>
      <w:r>
        <w:t>GPE</w:t>
      </w:r>
      <w:r w:rsidR="004C35FE" w:rsidRPr="004C35FE">
        <w:t>)</w:t>
      </w:r>
      <w:r>
        <w:t>.</w:t>
      </w:r>
      <w:r w:rsidR="004C35FE">
        <w:t xml:space="preserve"> </w:t>
      </w:r>
      <w:r>
        <w:t>Nepal has received US$120 million in grants from the GPE (</w:t>
      </w:r>
      <w:r w:rsidR="006863AB">
        <w:t>2010/11- 2013/14) including US$</w:t>
      </w:r>
      <w:r>
        <w:t xml:space="preserve">14.8 million disbursed in 2013-14. GPE contributes to all key SSRP </w:t>
      </w:r>
      <w:r w:rsidR="00AC452B">
        <w:t>targets</w:t>
      </w:r>
      <w:r>
        <w:t xml:space="preserve"> and has facilitated progress in increasing enrolment in basic education, completion of the national assessment of learning outcomes, improving teacher quality, data management on minimum enabling conditions and targeting schools based on need.</w:t>
      </w:r>
    </w:p>
    <w:p w:rsidR="00A87BB1" w:rsidRPr="00B82487" w:rsidRDefault="00A87BB1" w:rsidP="00A87BB1">
      <w:pPr>
        <w:pStyle w:val="BodyText"/>
      </w:pPr>
      <w:r w:rsidRPr="00B82487">
        <w:t>NHSP</w:t>
      </w:r>
      <w:r>
        <w:t xml:space="preserve"> II</w:t>
      </w:r>
      <w:r w:rsidRPr="00B82487">
        <w:t xml:space="preserve"> has made </w:t>
      </w:r>
      <w:r w:rsidR="00C22569">
        <w:t>good</w:t>
      </w:r>
      <w:r w:rsidRPr="00B82487">
        <w:t xml:space="preserve"> progress on many health indicators in a challenging transition environment</w:t>
      </w:r>
      <w:r>
        <w:t xml:space="preserve"> and</w:t>
      </w:r>
      <w:r w:rsidRPr="00B82487">
        <w:t xml:space="preserve"> Nepal </w:t>
      </w:r>
      <w:r>
        <w:t>remains</w:t>
      </w:r>
      <w:r w:rsidRPr="00B82487">
        <w:t xml:space="preserve"> on track to meet its MDG (4</w:t>
      </w:r>
      <w:r>
        <w:t>,</w:t>
      </w:r>
      <w:r w:rsidRPr="00B82487">
        <w:t xml:space="preserve"> 5</w:t>
      </w:r>
      <w:r>
        <w:t xml:space="preserve"> and 6</w:t>
      </w:r>
      <w:r w:rsidRPr="00B82487">
        <w:t>) targets in health</w:t>
      </w:r>
      <w:r>
        <w:t xml:space="preserve">.  </w:t>
      </w:r>
      <w:r w:rsidR="002D6CAF">
        <w:t>I</w:t>
      </w:r>
      <w:r w:rsidR="002D6CAF" w:rsidRPr="00B82487">
        <w:t xml:space="preserve">n 2013 </w:t>
      </w:r>
      <w:r w:rsidR="002D6CAF">
        <w:t>results include</w:t>
      </w:r>
      <w:r w:rsidRPr="00B82487">
        <w:t xml:space="preserve"> a maternal mortality rate of 192 (2015 target is</w:t>
      </w:r>
      <w:r w:rsidR="004C6A38">
        <w:t xml:space="preserve"> </w:t>
      </w:r>
      <w:r w:rsidRPr="00B82487">
        <w:t xml:space="preserve">134), an infant mortality rate of 44 (2015 target is 32) and an under 5 mortality rate of 47 (2015 target is 38).  </w:t>
      </w:r>
    </w:p>
    <w:p w:rsidR="00A87BB1" w:rsidRPr="00B82487" w:rsidRDefault="00A87BB1" w:rsidP="00A87BB1">
      <w:pPr>
        <w:pStyle w:val="BodyText"/>
      </w:pPr>
      <w:r w:rsidRPr="00B82487">
        <w:t xml:space="preserve">However, </w:t>
      </w:r>
      <w:r>
        <w:t xml:space="preserve">the </w:t>
      </w:r>
      <w:r w:rsidR="00332432">
        <w:t>mid-term</w:t>
      </w:r>
      <w:r w:rsidR="00703FD6">
        <w:t xml:space="preserve"> review (2012) </w:t>
      </w:r>
      <w:r>
        <w:t xml:space="preserve">of NHSP II indicates that </w:t>
      </w:r>
      <w:r w:rsidRPr="00B82487">
        <w:t>a numbe</w:t>
      </w:r>
      <w:r w:rsidR="00AC452B">
        <w:t>r of key health indicators (</w:t>
      </w:r>
      <w:r w:rsidRPr="00B82487">
        <w:t>maternal, neonatal and child health) ar</w:t>
      </w:r>
      <w:r w:rsidR="00332432">
        <w:t>e now flat-lining.</w:t>
      </w:r>
      <w:r w:rsidRPr="00B82487">
        <w:t xml:space="preserve"> Further progress on system reform and targeting bottlenecks is </w:t>
      </w:r>
      <w:r w:rsidR="002D6CAF">
        <w:t>essential</w:t>
      </w:r>
      <w:r w:rsidRPr="00B82487">
        <w:t xml:space="preserve">, particularly looking at improving coverage and utilisation of services. </w:t>
      </w:r>
      <w:r>
        <w:t xml:space="preserve">In 2013-14, </w:t>
      </w:r>
      <w:r w:rsidRPr="00B82487">
        <w:t xml:space="preserve">Australia </w:t>
      </w:r>
      <w:r>
        <w:t>continued to advocate</w:t>
      </w:r>
      <w:r w:rsidRPr="00B82487">
        <w:t xml:space="preserve"> for improvements in: financial management and procurement issues; governance issues; the health financing strategy</w:t>
      </w:r>
      <w:r w:rsidR="006863AB">
        <w:t>;</w:t>
      </w:r>
      <w:r w:rsidRPr="00B82487">
        <w:t xml:space="preserve"> and equity. </w:t>
      </w:r>
      <w:r w:rsidR="008310E9" w:rsidRPr="002073DF">
        <w:t xml:space="preserve">The </w:t>
      </w:r>
      <w:r w:rsidR="00332432">
        <w:t>absorptive</w:t>
      </w:r>
      <w:r w:rsidR="008310E9" w:rsidRPr="002073DF">
        <w:t xml:space="preserve"> capacity and spending rates for health is an issue that requires ongoing management (</w:t>
      </w:r>
      <w:r w:rsidR="00764D52" w:rsidRPr="002073DF">
        <w:t>of the $20.8</w:t>
      </w:r>
      <w:r w:rsidR="00B67DD0" w:rsidRPr="002073DF">
        <w:t xml:space="preserve"> </w:t>
      </w:r>
      <w:r w:rsidR="00764D52" w:rsidRPr="002073DF">
        <w:t>million provided to NHSP II since 2010-11 $8.4</w:t>
      </w:r>
      <w:r w:rsidR="00332432">
        <w:t> </w:t>
      </w:r>
      <w:r w:rsidR="00764D52" w:rsidRPr="002073DF">
        <w:t>million</w:t>
      </w:r>
      <w:r w:rsidR="008310E9" w:rsidRPr="002073DF">
        <w:t xml:space="preserve"> </w:t>
      </w:r>
      <w:r w:rsidR="00764D52" w:rsidRPr="002073DF">
        <w:t>is yet to be disbursed).</w:t>
      </w:r>
    </w:p>
    <w:p w:rsidR="00EE65AF" w:rsidRDefault="00EE65AF" w:rsidP="00EE65AF">
      <w:pPr>
        <w:pStyle w:val="Heading3"/>
      </w:pPr>
      <w:r>
        <w:t>Cross-cutting</w:t>
      </w:r>
      <w:r w:rsidR="00121412">
        <w:t xml:space="preserve"> Issue: Governance</w:t>
      </w:r>
    </w:p>
    <w:p w:rsidR="00703FD6" w:rsidRDefault="00703FD6" w:rsidP="00703FD6">
      <w:pPr>
        <w:pStyle w:val="BodyText"/>
      </w:pPr>
      <w:r>
        <w:t xml:space="preserve">Improvements to governance are central to both objectives. In addition </w:t>
      </w:r>
      <w:r w:rsidR="003321EC">
        <w:t>to focusing on specific governance issues in</w:t>
      </w:r>
      <w:r>
        <w:t xml:space="preserve"> education and health through the relevant investments, Australia also contributes to the World Bank’s </w:t>
      </w:r>
      <w:r w:rsidRPr="00703FD6">
        <w:t xml:space="preserve">Public Financial Management </w:t>
      </w:r>
      <w:r w:rsidR="00C759D1">
        <w:t xml:space="preserve">(PFM) </w:t>
      </w:r>
      <w:r w:rsidRPr="00703FD6">
        <w:t>Multi Donor Trust Fund</w:t>
      </w:r>
      <w:r>
        <w:rPr>
          <w:rStyle w:val="FootnoteReference"/>
        </w:rPr>
        <w:footnoteReference w:id="6"/>
      </w:r>
      <w:r>
        <w:t>. Through the Fund, t</w:t>
      </w:r>
      <w:r w:rsidRPr="00703FD6">
        <w:t xml:space="preserve">wo key analytic pieces were completed in 2013.  </w:t>
      </w:r>
    </w:p>
    <w:p w:rsidR="00703FD6" w:rsidRDefault="00703FD6" w:rsidP="00703FD6">
      <w:pPr>
        <w:pStyle w:val="BodyText"/>
        <w:numPr>
          <w:ilvl w:val="0"/>
          <w:numId w:val="36"/>
        </w:numPr>
      </w:pPr>
      <w:r w:rsidRPr="00C70E11">
        <w:t>Public Ex</w:t>
      </w:r>
      <w:r>
        <w:t>penditure Tracking Survey</w:t>
      </w:r>
      <w:r w:rsidRPr="00C70E11">
        <w:t xml:space="preserve"> in the Education Sector </w:t>
      </w:r>
      <w:r>
        <w:t xml:space="preserve">was drafted and is </w:t>
      </w:r>
      <w:r w:rsidRPr="00C70E11">
        <w:t xml:space="preserve">already </w:t>
      </w:r>
      <w:r>
        <w:t xml:space="preserve">being used by the Ministry of Education and development partners (including Australia) to </w:t>
      </w:r>
      <w:r w:rsidR="00AF0F70">
        <w:t>influence</w:t>
      </w:r>
      <w:r>
        <w:t xml:space="preserve"> the sector’s Financial Management Improvement Action Plan and drive sector reform.</w:t>
      </w:r>
    </w:p>
    <w:p w:rsidR="00703FD6" w:rsidRPr="00C70E11" w:rsidRDefault="00703FD6" w:rsidP="00703FD6">
      <w:pPr>
        <w:pStyle w:val="BodyText"/>
        <w:numPr>
          <w:ilvl w:val="0"/>
          <w:numId w:val="36"/>
        </w:numPr>
      </w:pPr>
      <w:r>
        <w:lastRenderedPageBreak/>
        <w:t xml:space="preserve">Operational Risk Assessment was also completed.  This assessed the political economy of PFM reform and provided a number of strategic recommendations on likely reforms that are in the process of being incorporated into the </w:t>
      </w:r>
      <w:r w:rsidR="00AF0F70">
        <w:t>Fund’s</w:t>
      </w:r>
      <w:r>
        <w:t xml:space="preserve"> work plan.</w:t>
      </w:r>
    </w:p>
    <w:p w:rsidR="00121412" w:rsidRPr="00121412" w:rsidRDefault="00AF0F70" w:rsidP="00121412">
      <w:pPr>
        <w:pStyle w:val="BodyText"/>
        <w:rPr>
          <w:lang w:eastAsia="zh-CN"/>
        </w:rPr>
      </w:pPr>
      <w:r>
        <w:rPr>
          <w:lang w:eastAsia="zh-CN"/>
        </w:rPr>
        <w:t xml:space="preserve">After a slow start, activities under the Fund are beginning to have an impact and some, like the </w:t>
      </w:r>
      <w:r>
        <w:t>roll-out of the Treasury Single Account, are being delivered ahead of schedule.</w:t>
      </w:r>
    </w:p>
    <w:p w:rsidR="004C6A38" w:rsidRDefault="004C6A38" w:rsidP="004C6A38">
      <w:pPr>
        <w:pStyle w:val="Heading3"/>
      </w:pPr>
      <w:r>
        <w:t>Cross-cutting Issue: Disaster Risk Reduction</w:t>
      </w:r>
    </w:p>
    <w:p w:rsidR="00557419" w:rsidRPr="00121412" w:rsidRDefault="00557419" w:rsidP="00557419">
      <w:pPr>
        <w:pStyle w:val="BodyText"/>
        <w:rPr>
          <w:lang w:eastAsia="zh-CN"/>
        </w:rPr>
      </w:pPr>
      <w:r>
        <w:t>Disaster risk reduction (DRR) is another important cross-cutting issue, given the risk of natural disasters setting back development gains. In addition to including DRR in its micro</w:t>
      </w:r>
      <w:r>
        <w:noBreakHyphen/>
        <w:t>entrepreneurship activities</w:t>
      </w:r>
      <w:r w:rsidR="00C759D1">
        <w:t>,</w:t>
      </w:r>
      <w:r>
        <w:t xml:space="preserve"> Australia contributed some of its funding to public education specifically to retrofitting public school buildings so they are multi-hazard resistant. It also continues to place Australian Volunteers for International Development at the National Society for Earthquake Technology. </w:t>
      </w:r>
    </w:p>
    <w:p w:rsidR="000D733F" w:rsidRPr="001375E3" w:rsidRDefault="000D733F" w:rsidP="000D733F">
      <w:pPr>
        <w:pStyle w:val="Heading3"/>
        <w:rPr>
          <w:rStyle w:val="BodyTextChar"/>
          <w:b w:val="0"/>
          <w:color w:val="auto"/>
        </w:rPr>
      </w:pPr>
      <w:r w:rsidRPr="009E38C1">
        <w:rPr>
          <w:b w:val="0"/>
          <w:color w:val="007FAD"/>
          <w:sz w:val="28"/>
          <w:szCs w:val="28"/>
          <w:lang w:eastAsia="en-AU"/>
        </w:rPr>
        <w:t>Mutual Obligations</w:t>
      </w:r>
      <w:r w:rsidRPr="009E38C1">
        <w:rPr>
          <w:b w:val="0"/>
          <w:color w:val="007FAD"/>
          <w:sz w:val="32"/>
          <w:szCs w:val="32"/>
          <w:lang w:eastAsia="en-AU"/>
        </w:rPr>
        <w:tab/>
      </w:r>
      <w:r>
        <w:tab/>
      </w:r>
      <w:r>
        <w:tab/>
      </w:r>
      <w:r>
        <w:tab/>
      </w:r>
    </w:p>
    <w:p w:rsidR="002E5C4E" w:rsidRDefault="002E5C4E" w:rsidP="002E5C4E">
      <w:pPr>
        <w:pStyle w:val="BodyText"/>
      </w:pPr>
      <w:r>
        <w:t xml:space="preserve">Australian aid to Nepal is delivered in collaboration and accordance with the </w:t>
      </w:r>
      <w:r w:rsidR="007E4FEF">
        <w:t>GoN</w:t>
      </w:r>
      <w:r>
        <w:t xml:space="preserve">’s strategic priorities. Australia’s three major bilateral aid investments – SSRP, NHSP and MEDEP – all partner with the </w:t>
      </w:r>
      <w:r w:rsidR="009B5BFC">
        <w:t>GoN</w:t>
      </w:r>
      <w:r>
        <w:t xml:space="preserve">. Each program has achieved strong results, in part thanks to constructive collaboration between the </w:t>
      </w:r>
      <w:r w:rsidR="009B5BFC">
        <w:t>GoN</w:t>
      </w:r>
      <w:r>
        <w:t xml:space="preserve"> and donors such as Australia. In each investment, the </w:t>
      </w:r>
      <w:r w:rsidR="009B5BFC">
        <w:t>GoN</w:t>
      </w:r>
      <w:r>
        <w:t xml:space="preserve"> has established commitments regarding financing, collaboration, reporting and implementation. </w:t>
      </w:r>
    </w:p>
    <w:p w:rsidR="00954DF1" w:rsidRDefault="00954DF1" w:rsidP="002E5C4E">
      <w:pPr>
        <w:pStyle w:val="BodyText"/>
      </w:pPr>
      <w:r>
        <w:t xml:space="preserve">Supporting the economy through entrepreneurship, </w:t>
      </w:r>
      <w:r w:rsidR="002E5C4E">
        <w:t>education</w:t>
      </w:r>
      <w:r>
        <w:t>, and health</w:t>
      </w:r>
      <w:r w:rsidR="002E5C4E">
        <w:t xml:space="preserve"> are key priorities listed in the </w:t>
      </w:r>
      <w:r w:rsidR="007E4FEF">
        <w:t>GoN</w:t>
      </w:r>
      <w:r w:rsidR="002E5C4E">
        <w:t xml:space="preserve">’s </w:t>
      </w:r>
      <w:r w:rsidR="002E5C4E" w:rsidRPr="00917AED">
        <w:t xml:space="preserve">Three Year Interim Plan </w:t>
      </w:r>
      <w:r w:rsidR="00956775">
        <w:t>FY2013/2014 to 2015/16</w:t>
      </w:r>
      <w:r w:rsidR="002E5C4E">
        <w:t xml:space="preserve">. In the Plan, </w:t>
      </w:r>
      <w:r w:rsidR="007E4FEF">
        <w:t>GoN</w:t>
      </w:r>
      <w:r w:rsidR="002E5C4E">
        <w:t xml:space="preserve"> commits itself to targeted programs to ensure access of the poor, marginalised communities and persons with disabilities to education. </w:t>
      </w:r>
      <w:r w:rsidR="002E5C4E" w:rsidRPr="00E03957">
        <w:t>Despite improvements and success in outcomes, there is much still to be achieved</w:t>
      </w:r>
      <w:r w:rsidR="00FB0049" w:rsidRPr="00E03957">
        <w:t xml:space="preserve">. </w:t>
      </w:r>
      <w:r>
        <w:t xml:space="preserve">Specifically: </w:t>
      </w:r>
    </w:p>
    <w:p w:rsidR="00954DF1" w:rsidRDefault="00FB0049" w:rsidP="00954DF1">
      <w:pPr>
        <w:pStyle w:val="BodyText"/>
        <w:numPr>
          <w:ilvl w:val="0"/>
          <w:numId w:val="37"/>
        </w:numPr>
      </w:pPr>
      <w:r w:rsidRPr="00E03957">
        <w:t>P</w:t>
      </w:r>
      <w:r w:rsidR="002E5C4E" w:rsidRPr="00E03957">
        <w:t xml:space="preserve">ublic spending </w:t>
      </w:r>
      <w:r w:rsidR="002E5C4E" w:rsidRPr="00332432">
        <w:t xml:space="preserve">on education </w:t>
      </w:r>
      <w:r w:rsidR="00A708D4" w:rsidRPr="00332432">
        <w:t>and health</w:t>
      </w:r>
      <w:r w:rsidR="002E5C4E" w:rsidRPr="00332432">
        <w:t xml:space="preserve"> will need</w:t>
      </w:r>
      <w:r w:rsidR="002E5C4E" w:rsidRPr="00E03957">
        <w:t xml:space="preserve"> to be increased in line with GoN’s commitment to spend 20 per cent of the budget on education</w:t>
      </w:r>
      <w:r w:rsidR="006A7D32" w:rsidRPr="00E03957">
        <w:t xml:space="preserve"> and 10 per cent on health</w:t>
      </w:r>
      <w:r w:rsidR="0001075F">
        <w:t xml:space="preserve"> by 2015</w:t>
      </w:r>
      <w:r w:rsidR="002E5C4E" w:rsidRPr="00E03957">
        <w:t xml:space="preserve">. </w:t>
      </w:r>
    </w:p>
    <w:p w:rsidR="00332432" w:rsidRDefault="00F4760B" w:rsidP="00954DF1">
      <w:pPr>
        <w:pStyle w:val="BodyText"/>
        <w:numPr>
          <w:ilvl w:val="0"/>
          <w:numId w:val="37"/>
        </w:numPr>
      </w:pPr>
      <w:r w:rsidRPr="00E03957">
        <w:t xml:space="preserve">For health, </w:t>
      </w:r>
      <w:r w:rsidR="00332432">
        <w:t>absorptive</w:t>
      </w:r>
      <w:r w:rsidRPr="00E03957">
        <w:t xml:space="preserve"> capacity and spending rates remain issues of concern</w:t>
      </w:r>
      <w:r w:rsidR="00332432">
        <w:rPr>
          <w:rStyle w:val="FootnoteReference"/>
        </w:rPr>
        <w:footnoteReference w:id="7"/>
      </w:r>
      <w:r w:rsidR="008310E9" w:rsidRPr="00E03957">
        <w:t>.</w:t>
      </w:r>
    </w:p>
    <w:p w:rsidR="00954DF1" w:rsidRDefault="00954DF1" w:rsidP="00954DF1">
      <w:pPr>
        <w:pStyle w:val="BodyText"/>
        <w:numPr>
          <w:ilvl w:val="0"/>
          <w:numId w:val="37"/>
        </w:numPr>
      </w:pPr>
      <w:r>
        <w:t xml:space="preserve">The Ministry of Industry needs to increase resources to deliver on </w:t>
      </w:r>
      <w:r w:rsidR="00A51779" w:rsidRPr="00FD5D52">
        <w:rPr>
          <w:szCs w:val="16"/>
        </w:rPr>
        <w:t>Micro Enterprise Development for Poverty Alleviation</w:t>
      </w:r>
      <w:r w:rsidR="00A51779">
        <w:rPr>
          <w:szCs w:val="16"/>
        </w:rPr>
        <w:t xml:space="preserve"> (GoN microenterprise program)</w:t>
      </w:r>
      <w:r>
        <w:t xml:space="preserve">. </w:t>
      </w:r>
      <w:r w:rsidR="003321EC">
        <w:t>Australia</w:t>
      </w:r>
      <w:r>
        <w:t xml:space="preserve"> continues to advocate strongly on this issue.</w:t>
      </w:r>
    </w:p>
    <w:p w:rsidR="00A51779" w:rsidRDefault="002E5C4E" w:rsidP="002E5C4E">
      <w:pPr>
        <w:pStyle w:val="BodyText"/>
      </w:pPr>
      <w:r>
        <w:t xml:space="preserve">The </w:t>
      </w:r>
      <w:r w:rsidR="007E4FEF">
        <w:t>GoN</w:t>
      </w:r>
      <w:r>
        <w:t xml:space="preserve"> </w:t>
      </w:r>
      <w:r w:rsidR="00421E78">
        <w:t xml:space="preserve">is continuing to meet </w:t>
      </w:r>
      <w:r>
        <w:t xml:space="preserve">its obligations to engage with development partners on plans and policies. </w:t>
      </w:r>
      <w:r w:rsidR="00954DF1">
        <w:t>The</w:t>
      </w:r>
      <w:r>
        <w:t xml:space="preserve"> </w:t>
      </w:r>
      <w:r w:rsidR="007E4FEF">
        <w:t>GoN</w:t>
      </w:r>
      <w:r>
        <w:t xml:space="preserve"> leads </w:t>
      </w:r>
      <w:r w:rsidR="00954DF1">
        <w:t xml:space="preserve">an annual </w:t>
      </w:r>
      <w:r>
        <w:t>assessment of performance under each program and the planning of expenditure for the coming year</w:t>
      </w:r>
      <w:r w:rsidR="00633401">
        <w:t>; the practise of annual assessment is yet to be instituted for MED-PA</w:t>
      </w:r>
      <w:r>
        <w:t xml:space="preserve">. The </w:t>
      </w:r>
      <w:r w:rsidR="007E4FEF">
        <w:t>GoN</w:t>
      </w:r>
      <w:r>
        <w:t xml:space="preserve"> has also been effective in monitoring cases of fund misappropriation to recoup the funds, although it has been slower to improve the culture of financial compliance. </w:t>
      </w:r>
    </w:p>
    <w:p w:rsidR="00A51779" w:rsidRDefault="00A51779">
      <w:pPr>
        <w:spacing w:after="200" w:line="276" w:lineRule="auto"/>
        <w:rPr>
          <w:rFonts w:ascii="Franklin Gothic Book" w:eastAsia="Times New Roman" w:hAnsi="Franklin Gothic Book"/>
          <w:sz w:val="21"/>
        </w:rPr>
      </w:pPr>
      <w:r>
        <w:br w:type="page"/>
      </w:r>
    </w:p>
    <w:p w:rsidR="000D733F" w:rsidRPr="001375E3" w:rsidRDefault="000D733F" w:rsidP="000D733F">
      <w:pPr>
        <w:pStyle w:val="Heading3"/>
        <w:rPr>
          <w:b w:val="0"/>
          <w:sz w:val="32"/>
          <w:szCs w:val="32"/>
        </w:rPr>
      </w:pPr>
      <w:r w:rsidRPr="009E38C1">
        <w:rPr>
          <w:b w:val="0"/>
          <w:color w:val="007FAD"/>
          <w:sz w:val="28"/>
          <w:szCs w:val="28"/>
          <w:lang w:eastAsia="en-AU"/>
        </w:rPr>
        <w:lastRenderedPageBreak/>
        <w:t>Program Quality and Management</w:t>
      </w:r>
      <w:r w:rsidRPr="009E38C1">
        <w:rPr>
          <w:sz w:val="28"/>
          <w:szCs w:val="28"/>
        </w:rPr>
        <w:t xml:space="preserve"> </w:t>
      </w:r>
      <w:r w:rsidRPr="009E38C1">
        <w:rPr>
          <w:sz w:val="28"/>
          <w:szCs w:val="28"/>
        </w:rPr>
        <w:tab/>
      </w:r>
      <w:r>
        <w:tab/>
      </w:r>
    </w:p>
    <w:p w:rsidR="00917AED" w:rsidRPr="00917AED" w:rsidRDefault="003065D4" w:rsidP="00917AED">
      <w:pPr>
        <w:pStyle w:val="BodyText"/>
      </w:pPr>
      <w:r>
        <w:t xml:space="preserve">Monitoring for </w:t>
      </w:r>
      <w:r w:rsidR="00977D1F">
        <w:t xml:space="preserve">Australia’s aid program in Nepal </w:t>
      </w:r>
      <w:r>
        <w:t>is</w:t>
      </w:r>
      <w:r w:rsidR="00977D1F">
        <w:t xml:space="preserve"> </w:t>
      </w:r>
      <w:r w:rsidR="00917AED">
        <w:t>focus</w:t>
      </w:r>
      <w:r>
        <w:t>ed</w:t>
      </w:r>
      <w:r w:rsidR="00917AED">
        <w:t xml:space="preserve"> </w:t>
      </w:r>
      <w:r>
        <w:t xml:space="preserve">at the </w:t>
      </w:r>
      <w:r w:rsidR="00917AED">
        <w:t>investment level</w:t>
      </w:r>
      <w:r w:rsidR="00977D1F">
        <w:t>. A</w:t>
      </w:r>
      <w:r w:rsidR="00917AED">
        <w:t xml:space="preserve"> formal</w:t>
      </w:r>
      <w:r w:rsidR="00977D1F">
        <w:t>ised</w:t>
      </w:r>
      <w:r w:rsidR="00917AED">
        <w:t xml:space="preserve"> Performance Assessment Framework </w:t>
      </w:r>
      <w:r w:rsidR="00977D1F">
        <w:t>will be developed in 2015</w:t>
      </w:r>
      <w:r>
        <w:t xml:space="preserve"> as part of the Aid Investment Plan</w:t>
      </w:r>
      <w:r w:rsidR="00917AED">
        <w:t xml:space="preserve">. </w:t>
      </w:r>
    </w:p>
    <w:p w:rsidR="00091824" w:rsidRPr="00091824" w:rsidRDefault="00091824" w:rsidP="00091824">
      <w:pPr>
        <w:pStyle w:val="BodyText"/>
      </w:pPr>
      <w:r w:rsidRPr="00091824">
        <w:t xml:space="preserve">The following evaluations were undertaken in the reporting </w:t>
      </w:r>
      <w:r w:rsidR="00332432" w:rsidRPr="00091824">
        <w:t>period:</w:t>
      </w:r>
    </w:p>
    <w:p w:rsidR="00091824" w:rsidRPr="00091824" w:rsidRDefault="00091824" w:rsidP="00954DF1">
      <w:pPr>
        <w:pStyle w:val="BodyText"/>
        <w:numPr>
          <w:ilvl w:val="0"/>
          <w:numId w:val="24"/>
        </w:numPr>
        <w:spacing w:after="0"/>
        <w:ind w:left="714" w:hanging="357"/>
      </w:pPr>
      <w:r w:rsidRPr="00091824">
        <w:t>End of Program Evaluation for NEWAH: June 2014</w:t>
      </w:r>
      <w:r w:rsidR="005B457C">
        <w:t>.</w:t>
      </w:r>
    </w:p>
    <w:p w:rsidR="00091824" w:rsidRPr="00091824" w:rsidRDefault="00091824" w:rsidP="00954DF1">
      <w:pPr>
        <w:pStyle w:val="BodyText"/>
        <w:numPr>
          <w:ilvl w:val="0"/>
          <w:numId w:val="24"/>
        </w:numPr>
        <w:spacing w:after="0"/>
        <w:ind w:left="714" w:hanging="357"/>
      </w:pPr>
      <w:r w:rsidRPr="00091824">
        <w:t>Mid-Term Evaluation of the Nepal PFM Multi Donor Trust Fund (MDTF): January 2014</w:t>
      </w:r>
      <w:r w:rsidR="005B457C">
        <w:t>.</w:t>
      </w:r>
    </w:p>
    <w:p w:rsidR="000D733F" w:rsidRDefault="000D733F" w:rsidP="000D733F">
      <w:pPr>
        <w:pStyle w:val="Heading3"/>
      </w:pPr>
      <w:r>
        <w:t xml:space="preserve">Analysis of </w:t>
      </w:r>
      <w:r w:rsidRPr="00180B19">
        <w:t xml:space="preserve">Quality at Implementation </w:t>
      </w:r>
      <w:r>
        <w:t xml:space="preserve">Reports </w:t>
      </w:r>
    </w:p>
    <w:p w:rsidR="00917AED" w:rsidRDefault="00917AED" w:rsidP="00917AED">
      <w:pPr>
        <w:pStyle w:val="BodyText"/>
      </w:pPr>
      <w:r w:rsidRPr="007D4A03">
        <w:t xml:space="preserve">Overall progress of </w:t>
      </w:r>
      <w:r>
        <w:t xml:space="preserve">the bilateral program’s investments </w:t>
      </w:r>
      <w:r w:rsidRPr="007D4A03">
        <w:t>was steady</w:t>
      </w:r>
      <w:r>
        <w:t xml:space="preserve">, with strong </w:t>
      </w:r>
      <w:r w:rsidR="00977D1F">
        <w:t>performance over the</w:t>
      </w:r>
      <w:r>
        <w:t xml:space="preserve"> vast majority of QAI performance ratings </w:t>
      </w:r>
      <w:r w:rsidRPr="007D4A03">
        <w:t xml:space="preserve">(Annex B).  </w:t>
      </w:r>
      <w:r>
        <w:t xml:space="preserve">All four </w:t>
      </w:r>
      <w:r w:rsidR="00977D1F">
        <w:t xml:space="preserve">major bilateral </w:t>
      </w:r>
      <w:r>
        <w:t>investments were rated adequate (</w:t>
      </w:r>
      <w:r w:rsidR="00977D1F">
        <w:t xml:space="preserve">with a score of </w:t>
      </w:r>
      <w:r>
        <w:t>4</w:t>
      </w:r>
      <w:r w:rsidR="00977D1F">
        <w:t xml:space="preserve"> or more</w:t>
      </w:r>
      <w:r>
        <w:t xml:space="preserve">) or higher in every </w:t>
      </w:r>
      <w:r w:rsidR="00977D1F">
        <w:t>criterion</w:t>
      </w:r>
      <w:r>
        <w:t xml:space="preserve"> except for the M&amp;E rating for MEDEP, which dropped from a 4 in 2012 to a 3 in 2013.  </w:t>
      </w:r>
    </w:p>
    <w:p w:rsidR="00917AED" w:rsidRPr="00917AED" w:rsidRDefault="00A708D4" w:rsidP="00917AED">
      <w:pPr>
        <w:pStyle w:val="BodyText"/>
      </w:pPr>
      <w:r>
        <w:t>MEDEP has a relatively comprehensive management information system with highly disaggregated data. The downgrading of its</w:t>
      </w:r>
      <w:r w:rsidRPr="008D1C54">
        <w:t xml:space="preserve"> M&amp;E QAI assessment</w:t>
      </w:r>
      <w:r>
        <w:t xml:space="preserve"> in 2013-14</w:t>
      </w:r>
      <w:r w:rsidRPr="008D1C54">
        <w:t xml:space="preserve"> relates </w:t>
      </w:r>
      <w:r w:rsidRPr="00D940BD">
        <w:t>to the data quality issue identified by a review by the Over</w:t>
      </w:r>
      <w:r>
        <w:t>seas Development Institute</w:t>
      </w:r>
      <w:r w:rsidRPr="00D940BD">
        <w:t xml:space="preserve"> and delays in developing a </w:t>
      </w:r>
      <w:r>
        <w:t>Donor Committee for Enterprise Development c</w:t>
      </w:r>
      <w:r w:rsidRPr="00D940BD">
        <w:t xml:space="preserve">ompliant M&amp;E framework and system for its Phase IV </w:t>
      </w:r>
      <w:r>
        <w:t>program. A framework has been drafted, and post will monitor its completion closely in 2014-15.</w:t>
      </w:r>
    </w:p>
    <w:p w:rsidR="000D733F" w:rsidRDefault="000D733F" w:rsidP="000D733F">
      <w:pPr>
        <w:pStyle w:val="Heading3"/>
      </w:pPr>
      <w:r>
        <w:t xml:space="preserve">Performance </w:t>
      </w:r>
      <w:r w:rsidR="004F4630">
        <w:t>of key delivery partners</w:t>
      </w:r>
    </w:p>
    <w:p w:rsidR="004B3252" w:rsidRPr="004B3252" w:rsidRDefault="004B3252" w:rsidP="00917AED">
      <w:pPr>
        <w:pStyle w:val="BodyText"/>
        <w:rPr>
          <w:b/>
        </w:rPr>
      </w:pPr>
      <w:r>
        <w:t>Australia and UNDP have been working together on MEDEP since 2006 and have formed an effective partne</w:t>
      </w:r>
      <w:r w:rsidR="00764D52">
        <w:t>rship</w:t>
      </w:r>
      <w:r>
        <w:t xml:space="preserve">. </w:t>
      </w:r>
      <w:r w:rsidR="008B5F25" w:rsidRPr="000541C0">
        <w:t>In 2013-14, UNDP facilitated the finalisation of the Operational Guidelines that will determine how MEDEP funds will be delivered with GoN funds. However, the assessment of fiduciary systems at the District level was not completed</w:t>
      </w:r>
      <w:r w:rsidR="00B67DD0" w:rsidRPr="000541C0">
        <w:t xml:space="preserve"> and is now </w:t>
      </w:r>
      <w:r w:rsidR="00AB1403" w:rsidRPr="000541C0">
        <w:t xml:space="preserve">delayed to </w:t>
      </w:r>
      <w:r w:rsidR="003065D4">
        <w:t xml:space="preserve">later in </w:t>
      </w:r>
      <w:r w:rsidR="00B67DD0" w:rsidRPr="000541C0">
        <w:t>2014</w:t>
      </w:r>
      <w:r w:rsidR="003065D4">
        <w:t xml:space="preserve">. </w:t>
      </w:r>
      <w:r w:rsidR="00AB1403" w:rsidRPr="000541C0">
        <w:t xml:space="preserve">DFAT </w:t>
      </w:r>
      <w:r w:rsidR="009D5458" w:rsidRPr="000541C0">
        <w:t xml:space="preserve">also </w:t>
      </w:r>
      <w:r w:rsidR="003065D4">
        <w:t>noted</w:t>
      </w:r>
      <w:r w:rsidR="00AB1403" w:rsidRPr="000541C0">
        <w:t xml:space="preserve"> UNDP’s difficulties in procuring a suitably qualified team to support </w:t>
      </w:r>
      <w:r w:rsidR="003065D4">
        <w:t>a</w:t>
      </w:r>
      <w:r w:rsidR="00AB1403" w:rsidRPr="000541C0">
        <w:t xml:space="preserve"> </w:t>
      </w:r>
      <w:r w:rsidR="008B5F25" w:rsidRPr="000541C0">
        <w:t>gender-inclusive</w:t>
      </w:r>
      <w:r w:rsidR="003065D4">
        <w:t xml:space="preserve"> assessment.</w:t>
      </w:r>
      <w:r w:rsidR="00AB1403">
        <w:t xml:space="preserve"> </w:t>
      </w:r>
      <w:r w:rsidR="003065D4">
        <w:t>Australia</w:t>
      </w:r>
      <w:r w:rsidR="00AB1403">
        <w:t xml:space="preserve"> is </w:t>
      </w:r>
      <w:r w:rsidR="003065D4">
        <w:t xml:space="preserve">advocating </w:t>
      </w:r>
      <w:r w:rsidR="00A51779">
        <w:t xml:space="preserve">that </w:t>
      </w:r>
      <w:r w:rsidR="00AB1403">
        <w:t xml:space="preserve">UNDP streamline its systems </w:t>
      </w:r>
      <w:r w:rsidR="009D5458">
        <w:t>so that it can get the expertise it needs on board</w:t>
      </w:r>
      <w:r w:rsidR="0063477C">
        <w:t xml:space="preserve">. </w:t>
      </w:r>
    </w:p>
    <w:p w:rsidR="007D0D96" w:rsidRDefault="007D0D96">
      <w:pPr>
        <w:spacing w:after="200" w:line="276" w:lineRule="auto"/>
        <w:rPr>
          <w:rFonts w:ascii="Helvetica" w:eastAsia="Times New Roman" w:hAnsi="Helvetica" w:cs="Arial"/>
          <w:b/>
          <w:color w:val="124486"/>
          <w:kern w:val="28"/>
          <w:sz w:val="22"/>
          <w:szCs w:val="22"/>
          <w:lang w:eastAsia="zh-CN"/>
        </w:rPr>
      </w:pPr>
      <w:r>
        <w:br w:type="page"/>
      </w:r>
    </w:p>
    <w:p w:rsidR="000D733F" w:rsidRDefault="000D733F" w:rsidP="000D733F">
      <w:pPr>
        <w:pStyle w:val="Heading3"/>
      </w:pPr>
      <w:r>
        <w:lastRenderedPageBreak/>
        <w:t>Risks</w:t>
      </w:r>
    </w:p>
    <w:p w:rsidR="000D733F" w:rsidRDefault="000D733F" w:rsidP="000D733F">
      <w:pPr>
        <w:pStyle w:val="Caption"/>
      </w:pPr>
      <w:r>
        <w:t>Table 3 Management of key risks to achieving objectives</w:t>
      </w:r>
    </w:p>
    <w:tbl>
      <w:tblPr>
        <w:tblStyle w:val="APPR"/>
        <w:tblW w:w="5000" w:type="pct"/>
        <w:tblLook w:val="0600" w:firstRow="0" w:lastRow="0" w:firstColumn="0" w:lastColumn="0" w:noHBand="1" w:noVBand="1"/>
      </w:tblPr>
      <w:tblGrid>
        <w:gridCol w:w="2529"/>
        <w:gridCol w:w="3082"/>
        <w:gridCol w:w="3166"/>
      </w:tblGrid>
      <w:tr w:rsidR="000D733F" w:rsidRPr="00180B19" w:rsidTr="0046458A">
        <w:tc>
          <w:tcPr>
            <w:tcW w:w="2487" w:type="dxa"/>
            <w:hideMark/>
          </w:tcPr>
          <w:p w:rsidR="000D733F" w:rsidRPr="005023D9" w:rsidRDefault="000D733F" w:rsidP="000D733F">
            <w:pPr>
              <w:pStyle w:val="TableTextColumnHeading"/>
            </w:pPr>
            <w:r w:rsidRPr="005023D9">
              <w:t>Key risks</w:t>
            </w:r>
          </w:p>
        </w:tc>
        <w:tc>
          <w:tcPr>
            <w:tcW w:w="3054" w:type="dxa"/>
          </w:tcPr>
          <w:p w:rsidR="000D733F" w:rsidRPr="005023D9" w:rsidRDefault="000D733F" w:rsidP="000D733F">
            <w:pPr>
              <w:pStyle w:val="TableTextColumnHeading"/>
            </w:pPr>
            <w:r w:rsidRPr="005023D9">
              <w:t>What actions were taken to manage the risks over the past year</w:t>
            </w:r>
            <w:r w:rsidR="001D7E98">
              <w:t>?</w:t>
            </w:r>
          </w:p>
        </w:tc>
        <w:tc>
          <w:tcPr>
            <w:tcW w:w="3124" w:type="dxa"/>
          </w:tcPr>
          <w:p w:rsidR="000D733F" w:rsidRPr="005023D9" w:rsidRDefault="000D733F" w:rsidP="000D733F">
            <w:pPr>
              <w:pStyle w:val="TableTextColumnHeading"/>
            </w:pPr>
            <w:r w:rsidRPr="005023D9">
              <w:t>What further actions will be taken to manage the risks in the coming year</w:t>
            </w:r>
            <w:r w:rsidR="001D7E98">
              <w:t>?</w:t>
            </w:r>
          </w:p>
        </w:tc>
      </w:tr>
      <w:tr w:rsidR="000D733F" w:rsidRPr="00180B19" w:rsidTr="0046458A">
        <w:tc>
          <w:tcPr>
            <w:tcW w:w="2487" w:type="dxa"/>
            <w:hideMark/>
          </w:tcPr>
          <w:p w:rsidR="00715180" w:rsidRPr="00384B95" w:rsidRDefault="00B922B7" w:rsidP="00B922B7">
            <w:pPr>
              <w:pStyle w:val="TableTextEntries"/>
              <w:rPr>
                <w:sz w:val="16"/>
                <w:szCs w:val="16"/>
              </w:rPr>
            </w:pPr>
            <w:r w:rsidRPr="00B922B7">
              <w:t xml:space="preserve">A lack of technical capacity in areas such as education, </w:t>
            </w:r>
            <w:r w:rsidR="00633401">
              <w:t xml:space="preserve">private sector development, </w:t>
            </w:r>
            <w:r w:rsidRPr="00B922B7">
              <w:t xml:space="preserve">health, PFM, systems, and monitoring and evaluation means the Nepal program is unable to safeguard Australia's investments in </w:t>
            </w:r>
            <w:r w:rsidR="00332432">
              <w:t>SWaPs</w:t>
            </w:r>
            <w:r w:rsidRPr="00B922B7">
              <w:t xml:space="preserve"> and other programs. A lack of resources could also mean Australia is unable to elevate its relationship with partner governments and its level of influence with other donors.</w:t>
            </w:r>
          </w:p>
        </w:tc>
        <w:tc>
          <w:tcPr>
            <w:tcW w:w="3054" w:type="dxa"/>
          </w:tcPr>
          <w:p w:rsidR="00332432" w:rsidRDefault="00B922B7" w:rsidP="00557419">
            <w:pPr>
              <w:pStyle w:val="TableTextEntries"/>
            </w:pPr>
            <w:r>
              <w:t>To manage the risk, the Nepal program has engaged a PFM adviser to evaluate and strengthen our investments in MEDEP and SSRP. The program has also drawn on the regional IRS advisers (especially education) to elevate Aust</w:t>
            </w:r>
            <w:r w:rsidR="00332432">
              <w:t>ralia’s policy input to the SWaP</w:t>
            </w:r>
            <w:r>
              <w:t>s. Resource pressures have been managed through consolidating the program including ceasing bilateral funding in governance</w:t>
            </w:r>
            <w:r w:rsidR="008B5F25">
              <w:t>,</w:t>
            </w:r>
            <w:r>
              <w:t xml:space="preserve"> </w:t>
            </w:r>
            <w:r w:rsidR="008B5F25">
              <w:t>WASH; and</w:t>
            </w:r>
            <w:r>
              <w:t xml:space="preserve"> health </w:t>
            </w:r>
            <w:r w:rsidR="00332432">
              <w:t xml:space="preserve">(beyond the current investment, which ends in </w:t>
            </w:r>
            <w:r>
              <w:t>2015).</w:t>
            </w:r>
            <w:r w:rsidR="008B5F25">
              <w:t xml:space="preserve"> </w:t>
            </w:r>
          </w:p>
          <w:p w:rsidR="00557419" w:rsidRDefault="00557419" w:rsidP="00557419">
            <w:pPr>
              <w:pStyle w:val="TableTextEntries"/>
            </w:pPr>
            <w:r>
              <w:t>A Livelihoods Program Manager has been added to manage the MEDEP investment and related economic development activities, and one position reconfigured as a Program-Manager Cross Program in part to act as a focal point for relevant global investments, and to increase the program’s flexibility to respond to emerging priorities.</w:t>
            </w:r>
          </w:p>
          <w:p w:rsidR="000D733F" w:rsidRPr="004C4A3E" w:rsidRDefault="009D5458" w:rsidP="009D5458">
            <w:pPr>
              <w:pStyle w:val="TableTextEntries"/>
            </w:pPr>
            <w:r>
              <w:t>Developing the Aid Policy provides an opportunity to ensure that the Nepal program matches its financial and human resources.</w:t>
            </w:r>
          </w:p>
        </w:tc>
        <w:tc>
          <w:tcPr>
            <w:tcW w:w="3124" w:type="dxa"/>
          </w:tcPr>
          <w:p w:rsidR="000D733F" w:rsidRDefault="00B922B7" w:rsidP="000D733F">
            <w:pPr>
              <w:pStyle w:val="TableTextEntries"/>
            </w:pPr>
            <w:r>
              <w:t xml:space="preserve">The program will continue to draw on external PFM advice in 2014-15. In addition, a </w:t>
            </w:r>
            <w:r w:rsidR="00332432">
              <w:t xml:space="preserve">proposed </w:t>
            </w:r>
            <w:r>
              <w:t xml:space="preserve">regional pool of technical advice </w:t>
            </w:r>
            <w:r w:rsidR="00332432">
              <w:t>may</w:t>
            </w:r>
            <w:r>
              <w:t xml:space="preserve"> be established for South Asia programs to draw on (including Nepal, Sri Lanka and Bangladesh). The pool </w:t>
            </w:r>
            <w:r w:rsidR="00332432">
              <w:t>would likely</w:t>
            </w:r>
            <w:r>
              <w:t xml:space="preserve"> be available on a helpdesk arrangement and include (for example) PFM, private sector investment, gender, education advice.</w:t>
            </w:r>
          </w:p>
          <w:p w:rsidR="00B922B7" w:rsidRPr="004C4A3E" w:rsidRDefault="00B922B7" w:rsidP="008B5F25">
            <w:pPr>
              <w:pStyle w:val="TableTextEntries"/>
            </w:pPr>
            <w:r>
              <w:t>Any new investments identified through the Aid Investment Plan process will be co-investments through existing, high performing partners/programs</w:t>
            </w:r>
            <w:r w:rsidR="0046458A">
              <w:t xml:space="preserve"> to manage resource pressures.</w:t>
            </w:r>
          </w:p>
        </w:tc>
      </w:tr>
      <w:tr w:rsidR="000D733F" w:rsidRPr="00180B19" w:rsidTr="0046458A">
        <w:tc>
          <w:tcPr>
            <w:tcW w:w="2487" w:type="dxa"/>
          </w:tcPr>
          <w:p w:rsidR="000D733F" w:rsidRPr="004C4A3E" w:rsidRDefault="0046458A" w:rsidP="000D733F">
            <w:pPr>
              <w:pStyle w:val="TableTextEntries"/>
            </w:pPr>
            <w:r w:rsidRPr="0046458A">
              <w:t>High levels of corruption, coupled with a program increasingly being delivered through partner government systems and large donor groups, with reduced oversight of Australian Government funds.</w:t>
            </w:r>
          </w:p>
        </w:tc>
        <w:tc>
          <w:tcPr>
            <w:tcW w:w="3054" w:type="dxa"/>
          </w:tcPr>
          <w:p w:rsidR="000D733F" w:rsidRPr="004C4A3E" w:rsidRDefault="0046458A" w:rsidP="000D733F">
            <w:pPr>
              <w:pStyle w:val="TableTextEntries"/>
            </w:pPr>
            <w:r w:rsidRPr="0046458A">
              <w:t>DFAT’s Fraud Management Plan is applied in Nepal. Cases of fraud are reported to the Risk Management and Fraud Control Branch. Kathmandu management team will continue to invest significant time in sector financial management and oversight of governance reforms.</w:t>
            </w:r>
          </w:p>
        </w:tc>
        <w:tc>
          <w:tcPr>
            <w:tcW w:w="3124" w:type="dxa"/>
          </w:tcPr>
          <w:p w:rsidR="000D733F" w:rsidRDefault="0046458A" w:rsidP="000D733F">
            <w:pPr>
              <w:pStyle w:val="TableTextEntries"/>
            </w:pPr>
            <w:r>
              <w:t>A</w:t>
            </w:r>
            <w:r w:rsidR="008B5F25">
              <w:t>n</w:t>
            </w:r>
            <w:r>
              <w:t xml:space="preserve"> update to the 2012 Assessment of National Systems will be undertaken in late 2014. Management will respond to any specific risks identified through this process.</w:t>
            </w:r>
            <w:r w:rsidR="009D5458">
              <w:t xml:space="preserve"> The PFM adviser continues to assist the program to monitor the levels of fiduciary risk.</w:t>
            </w:r>
          </w:p>
          <w:p w:rsidR="008B5F25" w:rsidRPr="004C4A3E" w:rsidRDefault="008B5F25" w:rsidP="00955E5B">
            <w:pPr>
              <w:pStyle w:val="TableTextEntries"/>
            </w:pPr>
            <w:r w:rsidRPr="000541C0">
              <w:t xml:space="preserve">The management team will continue </w:t>
            </w:r>
            <w:r w:rsidR="009D5458" w:rsidRPr="000541C0">
              <w:t>monitor</w:t>
            </w:r>
            <w:r w:rsidRPr="000541C0">
              <w:t xml:space="preserve"> </w:t>
            </w:r>
            <w:r w:rsidR="009D5458" w:rsidRPr="000541C0">
              <w:t>use of government systems.  As well as considering fiduciary risk, it wi</w:t>
            </w:r>
            <w:r w:rsidR="00955E5B" w:rsidRPr="000541C0">
              <w:t>l</w:t>
            </w:r>
            <w:r w:rsidR="009D5458" w:rsidRPr="000541C0">
              <w:t xml:space="preserve">l consider whether the </w:t>
            </w:r>
            <w:r w:rsidR="00955E5B" w:rsidRPr="000541C0">
              <w:t>use of government systems</w:t>
            </w:r>
            <w:r w:rsidR="009D5458" w:rsidRPr="000541C0">
              <w:t xml:space="preserve"> is the best way to contribute to development and delivers on Aus</w:t>
            </w:r>
            <w:r w:rsidR="00955E5B" w:rsidRPr="000541C0">
              <w:t xml:space="preserve">tralian aid priorities. </w:t>
            </w:r>
          </w:p>
        </w:tc>
      </w:tr>
    </w:tbl>
    <w:p w:rsidR="008E29AB" w:rsidRDefault="008E29AB" w:rsidP="000D733F">
      <w:pPr>
        <w:pStyle w:val="Note"/>
        <w:rPr>
          <w:color w:val="92D050"/>
        </w:rPr>
      </w:pPr>
    </w:p>
    <w:p w:rsidR="000D733F" w:rsidRPr="003275D0" w:rsidRDefault="000D733F" w:rsidP="000D733F">
      <w:pPr>
        <w:pStyle w:val="Heading3"/>
        <w:rPr>
          <w:rStyle w:val="BodyTextChar"/>
          <w:b w:val="0"/>
          <w:color w:val="auto"/>
        </w:rPr>
      </w:pPr>
      <w:r w:rsidRPr="009E38C1">
        <w:rPr>
          <w:b w:val="0"/>
          <w:color w:val="007FAD"/>
          <w:sz w:val="32"/>
          <w:szCs w:val="32"/>
          <w:lang w:eastAsia="en-AU"/>
        </w:rPr>
        <w:t xml:space="preserve">Management </w:t>
      </w:r>
      <w:r w:rsidR="00805ADD" w:rsidRPr="009E38C1">
        <w:rPr>
          <w:b w:val="0"/>
          <w:color w:val="007FAD"/>
          <w:sz w:val="32"/>
          <w:szCs w:val="32"/>
          <w:lang w:eastAsia="en-AU"/>
        </w:rPr>
        <w:t>Responses</w:t>
      </w:r>
      <w:r w:rsidRPr="009E38C1">
        <w:rPr>
          <w:b w:val="0"/>
          <w:color w:val="007FAD"/>
          <w:sz w:val="32"/>
          <w:szCs w:val="32"/>
          <w:lang w:eastAsia="en-AU"/>
        </w:rPr>
        <w:tab/>
      </w:r>
      <w:r>
        <w:rPr>
          <w:sz w:val="32"/>
          <w:szCs w:val="32"/>
        </w:rPr>
        <w:tab/>
      </w:r>
    </w:p>
    <w:p w:rsidR="00BE2114" w:rsidRPr="000541C0" w:rsidRDefault="00BE2114" w:rsidP="009C7044">
      <w:pPr>
        <w:pStyle w:val="BodyText"/>
      </w:pPr>
      <w:r w:rsidRPr="000541C0">
        <w:t>The key management issues for the program are; consolidation, MEDEP transition, and the use of GoN systems.</w:t>
      </w:r>
    </w:p>
    <w:p w:rsidR="00FB0049" w:rsidRPr="000541C0" w:rsidRDefault="00FB0049" w:rsidP="00BE2114">
      <w:pPr>
        <w:pStyle w:val="BodyText"/>
      </w:pPr>
      <w:r w:rsidRPr="000541C0">
        <w:rPr>
          <w:u w:val="single"/>
        </w:rPr>
        <w:t>Consolidation</w:t>
      </w:r>
      <w:r w:rsidR="00BE2114" w:rsidRPr="000541C0">
        <w:t xml:space="preserve"> </w:t>
      </w:r>
      <w:r w:rsidRPr="000541C0">
        <w:t>within the Nepal program is more complex as the bilateral program accounts for less than half (43 per cent) of the total ODA</w:t>
      </w:r>
      <w:r w:rsidR="00BE2114" w:rsidRPr="000541C0">
        <w:t xml:space="preserve"> (the average </w:t>
      </w:r>
      <w:r w:rsidR="009A0E8F">
        <w:t>for</w:t>
      </w:r>
      <w:r w:rsidR="00BE2114" w:rsidRPr="000541C0">
        <w:t xml:space="preserve"> other </w:t>
      </w:r>
      <w:r w:rsidR="00332432">
        <w:t>country programs is 64 per </w:t>
      </w:r>
      <w:r w:rsidR="009A0E8F">
        <w:t>cent</w:t>
      </w:r>
      <w:r w:rsidR="00BE2114" w:rsidRPr="000541C0">
        <w:t>)</w:t>
      </w:r>
      <w:r w:rsidRPr="000541C0">
        <w:t>. This poses challenges as there is less control to consolidate the program to match activities with resources. Although other regional and global programs are managed from Canberra, the Nepal team contributes significantly to representation.</w:t>
      </w:r>
    </w:p>
    <w:p w:rsidR="00FB0049" w:rsidRPr="000541C0" w:rsidRDefault="00FB0049" w:rsidP="00BE2114">
      <w:pPr>
        <w:pStyle w:val="BodyText"/>
      </w:pPr>
      <w:r w:rsidRPr="000541C0">
        <w:lastRenderedPageBreak/>
        <w:t>Consolidation for the Nepal program will therefore need to include:</w:t>
      </w:r>
    </w:p>
    <w:p w:rsidR="00FB0049" w:rsidRPr="000541C0" w:rsidRDefault="00FB0049" w:rsidP="003065D4">
      <w:pPr>
        <w:pStyle w:val="BodyText"/>
        <w:numPr>
          <w:ilvl w:val="0"/>
          <w:numId w:val="25"/>
        </w:numPr>
      </w:pPr>
      <w:r w:rsidRPr="000541C0">
        <w:t>Less spread within the bilateral program with highly focused and aligned policy and financial investments</w:t>
      </w:r>
      <w:r w:rsidR="00BE2114" w:rsidRPr="000541C0">
        <w:t>. To this end, the Nepal program is well placed, having ceased bilateral investments in WASH, governance, and health (beyond 2015).</w:t>
      </w:r>
      <w:r w:rsidR="005135D6" w:rsidRPr="000541C0">
        <w:t xml:space="preserve"> This will facilitate deeper engagement in microenterprise development and education/skills development and the opportunity to leverage global/regional investments. In 2013-2014, for example, the Nepal team used Australia’s contribution to GPE to bolster its advocacy for a greater Nepali budget allocation to education.  </w:t>
      </w:r>
    </w:p>
    <w:p w:rsidR="00FB0049" w:rsidRPr="000541C0" w:rsidRDefault="00FB0049" w:rsidP="003065D4">
      <w:pPr>
        <w:pStyle w:val="BodyText"/>
        <w:numPr>
          <w:ilvl w:val="0"/>
          <w:numId w:val="25"/>
        </w:numPr>
      </w:pPr>
      <w:r w:rsidRPr="000541C0">
        <w:t xml:space="preserve">Prioritisation of engagement </w:t>
      </w:r>
      <w:r w:rsidR="005135D6" w:rsidRPr="000541C0">
        <w:t>for global and regional activities dependant on their relevance to the bilateral program (microenterprise and education/skills development).</w:t>
      </w:r>
    </w:p>
    <w:p w:rsidR="00FB0049" w:rsidRPr="000541C0" w:rsidRDefault="005135D6" w:rsidP="009C7044">
      <w:pPr>
        <w:pStyle w:val="BodyText"/>
      </w:pPr>
      <w:r w:rsidRPr="000541C0">
        <w:t xml:space="preserve">UNDP efforts to support the </w:t>
      </w:r>
      <w:r w:rsidRPr="000541C0">
        <w:rPr>
          <w:u w:val="single"/>
        </w:rPr>
        <w:t>transition of the ME</w:t>
      </w:r>
      <w:r w:rsidR="00955E5B" w:rsidRPr="000541C0">
        <w:rPr>
          <w:u w:val="single"/>
        </w:rPr>
        <w:t>D</w:t>
      </w:r>
      <w:r w:rsidRPr="000541C0">
        <w:rPr>
          <w:u w:val="single"/>
        </w:rPr>
        <w:t>EP program</w:t>
      </w:r>
      <w:r w:rsidRPr="000541C0">
        <w:t xml:space="preserve"> to GoN delivery will continue to require close monitoring and active engagement. In 2013-14, the program engaged a PFM adviser to review the fiduciary risks of the program. This resulted in the strengthening of UNDP</w:t>
      </w:r>
      <w:r w:rsidR="00A51779">
        <w:t>’</w:t>
      </w:r>
      <w:r w:rsidRPr="000541C0">
        <w:t>s approach including ensuring UNDP’s ‘Harmonised Approach to Cash Transfers</w:t>
      </w:r>
      <w:r w:rsidR="00955E5B" w:rsidRPr="000541C0">
        <w:t xml:space="preserve">’ to ensure Australian money is properly spent. DFAT has </w:t>
      </w:r>
      <w:r w:rsidR="00633401">
        <w:t>encouraged</w:t>
      </w:r>
      <w:r w:rsidR="00633401" w:rsidRPr="000541C0">
        <w:t xml:space="preserve"> </w:t>
      </w:r>
      <w:r w:rsidR="00955E5B" w:rsidRPr="000541C0">
        <w:t xml:space="preserve">UNDP to better quality assure its own products, which has already led to a lift in the quality of the terms of reference of the inception report. Regular meetings between DFAT and UNDP are improving UNDP’s attention to key deliverables. It is also leading to more consistent messaging by UNDP to </w:t>
      </w:r>
      <w:r w:rsidR="00633401">
        <w:t>GoN</w:t>
      </w:r>
      <w:r w:rsidRPr="000541C0">
        <w:t xml:space="preserve">. </w:t>
      </w:r>
    </w:p>
    <w:p w:rsidR="00BE2114" w:rsidRDefault="0068347D" w:rsidP="009C7044">
      <w:pPr>
        <w:pStyle w:val="BodyText"/>
      </w:pPr>
      <w:r w:rsidRPr="000541C0">
        <w:t xml:space="preserve">Australia will continue to review whether investments </w:t>
      </w:r>
      <w:r>
        <w:t xml:space="preserve">in health and education </w:t>
      </w:r>
      <w:r w:rsidRPr="000541C0">
        <w:t xml:space="preserve">are matched by an increasing </w:t>
      </w:r>
      <w:r>
        <w:t>GoN</w:t>
      </w:r>
      <w:r w:rsidRPr="000541C0">
        <w:t xml:space="preserve"> budget allocation and a genuine commitment to improvement, as well as whether they leverage nation-wide improvements. </w:t>
      </w:r>
      <w:r w:rsidR="0029581A" w:rsidRPr="000541C0">
        <w:t xml:space="preserve">As discussed above, there are a range of ongoing challenges involved in utilising </w:t>
      </w:r>
      <w:r w:rsidR="0029581A" w:rsidRPr="000541C0">
        <w:rPr>
          <w:u w:val="single"/>
        </w:rPr>
        <w:t>GoN systems</w:t>
      </w:r>
      <w:r w:rsidR="0029581A" w:rsidRPr="000541C0">
        <w:t xml:space="preserve">. The GoN is well below their </w:t>
      </w:r>
      <w:r w:rsidR="00B201C7">
        <w:t>previously stated</w:t>
      </w:r>
      <w:r w:rsidR="00B201C7" w:rsidRPr="000541C0">
        <w:t xml:space="preserve"> </w:t>
      </w:r>
      <w:r w:rsidR="0029581A" w:rsidRPr="000541C0">
        <w:t xml:space="preserve">targets for expenditure in education </w:t>
      </w:r>
      <w:r w:rsidR="00C21756" w:rsidRPr="000541C0">
        <w:t xml:space="preserve">(20 per cent) </w:t>
      </w:r>
      <w:r w:rsidR="0029581A" w:rsidRPr="000541C0">
        <w:t>and health</w:t>
      </w:r>
      <w:r w:rsidR="00C21756" w:rsidRPr="000541C0">
        <w:t xml:space="preserve"> (10 per cent), with consistent underspends in health. </w:t>
      </w:r>
      <w:r w:rsidR="0029581A" w:rsidRPr="000541C0">
        <w:t xml:space="preserve">Australia continues to be an active member of donor groups and actively </w:t>
      </w:r>
      <w:r w:rsidR="00633401">
        <w:t>advocates</w:t>
      </w:r>
      <w:r w:rsidR="00633401" w:rsidRPr="000541C0">
        <w:t xml:space="preserve"> </w:t>
      </w:r>
      <w:r w:rsidR="0029581A" w:rsidRPr="000541C0">
        <w:t>for reform</w:t>
      </w:r>
      <w:r w:rsidR="00955E5B" w:rsidRPr="000541C0">
        <w:t xml:space="preserve">, including the needs of children </w:t>
      </w:r>
      <w:r w:rsidR="0063477C" w:rsidRPr="000541C0">
        <w:t>excluded from schools</w:t>
      </w:r>
      <w:r w:rsidR="005B238F" w:rsidRPr="000541C0">
        <w:t xml:space="preserve"> (</w:t>
      </w:r>
      <w:r w:rsidR="0063477C" w:rsidRPr="000541C0">
        <w:t xml:space="preserve">including children </w:t>
      </w:r>
      <w:r w:rsidR="00955E5B" w:rsidRPr="000541C0">
        <w:t>with disabilities</w:t>
      </w:r>
      <w:r w:rsidR="005B238F" w:rsidRPr="000541C0">
        <w:t>),</w:t>
      </w:r>
      <w:r w:rsidR="00955E5B" w:rsidRPr="000541C0">
        <w:t xml:space="preserve"> developing an equity strategy, collecting better data for planning purposes, and developing an approach to language in school, particularly the supported use of English as a medium of instruction to respond to market demand</w:t>
      </w:r>
      <w:r w:rsidR="0029581A" w:rsidRPr="000541C0">
        <w:t xml:space="preserve">. </w:t>
      </w:r>
      <w:r w:rsidR="00C21756" w:rsidRPr="000541C0">
        <w:t>As a donor, Australia has been strongly supportive of GoN policy to direct development assistance through government systems</w:t>
      </w:r>
      <w:r w:rsidR="0063477C" w:rsidRPr="000541C0">
        <w:t>, recognising that this reduces the transaction burden for GoN and fragmentation and duplication of aid</w:t>
      </w:r>
      <w:r w:rsidR="00C21756" w:rsidRPr="000541C0">
        <w:t xml:space="preserve">. </w:t>
      </w:r>
    </w:p>
    <w:p w:rsidR="00D5167F" w:rsidRDefault="00D5167F" w:rsidP="009C7044">
      <w:pPr>
        <w:pStyle w:val="BodyText"/>
      </w:pPr>
      <w:r>
        <w:t xml:space="preserve">In 2014-15 a key priority for the management team will be to reorient the Nepal program to focus on the Australian Government’s new development priorities through the development of an Aid Investment Plan (AIP). The AIP will identify the key constraints for growth in Nepal and articulate how investments through Australia’s aid program will address those constraints and promote economic development. The AIP will identify how new and existing investments will support and partner with the private sector; and promote economic empowerment and leadership opportunities for women. The AIP will also demonstrate </w:t>
      </w:r>
      <w:r w:rsidR="00557419">
        <w:t xml:space="preserve">efficient </w:t>
      </w:r>
      <w:r>
        <w:t xml:space="preserve">program management, both through </w:t>
      </w:r>
      <w:r w:rsidR="00557419">
        <w:t xml:space="preserve">more focused policy efforts through </w:t>
      </w:r>
      <w:r>
        <w:t xml:space="preserve">identifying leverage opportunities between bilateral and global/regional activities. </w:t>
      </w:r>
    </w:p>
    <w:p w:rsidR="00BE2114" w:rsidRDefault="00BE2114" w:rsidP="009C7044">
      <w:pPr>
        <w:pStyle w:val="BodyText"/>
      </w:pPr>
    </w:p>
    <w:p w:rsidR="00CA113C" w:rsidRDefault="00CA113C" w:rsidP="000D733F">
      <w:pPr>
        <w:pStyle w:val="ListBullet"/>
        <w:numPr>
          <w:ilvl w:val="0"/>
          <w:numId w:val="0"/>
        </w:numPr>
        <w:ind w:left="360" w:hanging="360"/>
        <w:rPr>
          <w:rFonts w:ascii="Helvetica" w:hAnsi="Helvetica" w:cs="Arial"/>
          <w:color w:val="124486"/>
          <w:spacing w:val="-10"/>
          <w:kern w:val="28"/>
          <w:sz w:val="32"/>
          <w:szCs w:val="32"/>
        </w:rPr>
        <w:sectPr w:rsidR="00CA113C" w:rsidSect="00091824">
          <w:headerReference w:type="default" r:id="rId17"/>
          <w:type w:val="continuous"/>
          <w:pgSz w:w="11907" w:h="16840" w:code="9"/>
          <w:pgMar w:top="2381" w:right="1701" w:bottom="907" w:left="1701" w:header="850" w:footer="567" w:gutter="0"/>
          <w:pgNumType w:start="1"/>
          <w:cols w:space="720"/>
          <w:docGrid w:linePitch="326"/>
        </w:sectPr>
      </w:pPr>
    </w:p>
    <w:p w:rsidR="000D733F" w:rsidRPr="009E38C1" w:rsidRDefault="000D733F" w:rsidP="000D733F">
      <w:pPr>
        <w:pStyle w:val="Heading2"/>
        <w:rPr>
          <w:sz w:val="28"/>
        </w:rPr>
      </w:pPr>
      <w:r w:rsidRPr="009E38C1">
        <w:rPr>
          <w:sz w:val="28"/>
        </w:rPr>
        <w:lastRenderedPageBreak/>
        <w:t xml:space="preserve">Annex A </w:t>
      </w:r>
    </w:p>
    <w:p w:rsidR="000D733F" w:rsidRPr="009E38C1" w:rsidRDefault="000D733F" w:rsidP="000D733F">
      <w:pPr>
        <w:pStyle w:val="Heading2"/>
        <w:rPr>
          <w:sz w:val="28"/>
        </w:rPr>
      </w:pPr>
      <w:r w:rsidRPr="009E38C1">
        <w:rPr>
          <w:sz w:val="28"/>
        </w:rPr>
        <w:t xml:space="preserve">Progress in addressing 2012-13 management </w:t>
      </w:r>
      <w:r w:rsidR="00805ADD" w:rsidRPr="009E38C1">
        <w:rPr>
          <w:sz w:val="28"/>
        </w:rPr>
        <w:t>responses</w:t>
      </w:r>
    </w:p>
    <w:tbl>
      <w:tblPr>
        <w:tblStyle w:val="APPR"/>
        <w:tblpPr w:leftFromText="180" w:rightFromText="180" w:vertAnchor="text" w:tblpY="1"/>
        <w:tblW w:w="5000" w:type="pct"/>
        <w:tblLayout w:type="fixed"/>
        <w:tblLook w:val="0000" w:firstRow="0" w:lastRow="0" w:firstColumn="0" w:lastColumn="0" w:noHBand="0" w:noVBand="0"/>
      </w:tblPr>
      <w:tblGrid>
        <w:gridCol w:w="6515"/>
        <w:gridCol w:w="992"/>
        <w:gridCol w:w="6938"/>
      </w:tblGrid>
      <w:tr w:rsidR="000D733F" w:rsidRPr="00180B19" w:rsidTr="000D733F">
        <w:trPr>
          <w:cnfStyle w:val="000000010000" w:firstRow="0" w:lastRow="0" w:firstColumn="0" w:lastColumn="0" w:oddVBand="0" w:evenVBand="0" w:oddHBand="0" w:evenHBand="1" w:firstRowFirstColumn="0" w:firstRowLastColumn="0" w:lastRowFirstColumn="0" w:lastRowLastColumn="0"/>
        </w:trPr>
        <w:tc>
          <w:tcPr>
            <w:tcW w:w="6473" w:type="dxa"/>
          </w:tcPr>
          <w:p w:rsidR="000D733F" w:rsidRPr="00180B19" w:rsidRDefault="000D733F" w:rsidP="000D733F">
            <w:pPr>
              <w:pStyle w:val="TableTextColumnHeading"/>
              <w:tabs>
                <w:tab w:val="left" w:pos="1185"/>
              </w:tabs>
            </w:pPr>
            <w:r w:rsidRPr="00FE4491">
              <w:t>Management consequences identified in 201</w:t>
            </w:r>
            <w:r>
              <w:t>2-13</w:t>
            </w:r>
            <w:r w:rsidRPr="00FE4491">
              <w:t xml:space="preserve"> </w:t>
            </w:r>
            <w:r>
              <w:t>APPR</w:t>
            </w:r>
            <w:r>
              <w:tab/>
            </w:r>
          </w:p>
        </w:tc>
        <w:tc>
          <w:tcPr>
            <w:tcW w:w="964" w:type="dxa"/>
          </w:tcPr>
          <w:p w:rsidR="000D733F" w:rsidRPr="00180B19" w:rsidRDefault="000D733F" w:rsidP="000D733F">
            <w:pPr>
              <w:pStyle w:val="TableTextColumnHeading"/>
            </w:pPr>
            <w:r w:rsidRPr="00FE4491">
              <w:t>Rating</w:t>
            </w:r>
          </w:p>
        </w:tc>
        <w:tc>
          <w:tcPr>
            <w:tcW w:w="6896" w:type="dxa"/>
          </w:tcPr>
          <w:p w:rsidR="000D733F" w:rsidRPr="00180B19" w:rsidRDefault="000D733F" w:rsidP="000D733F">
            <w:pPr>
              <w:pStyle w:val="TableTextColumnHeading"/>
            </w:pPr>
            <w:r w:rsidRPr="00FE4491">
              <w:t xml:space="preserve">Progress made in </w:t>
            </w:r>
            <w:r>
              <w:t>2013-14</w:t>
            </w:r>
          </w:p>
        </w:tc>
      </w:tr>
      <w:tr w:rsidR="00BB4DFD" w:rsidRPr="00180B19" w:rsidTr="00642B0B">
        <w:trPr>
          <w:cnfStyle w:val="000000010000" w:firstRow="0" w:lastRow="0" w:firstColumn="0" w:lastColumn="0" w:oddVBand="0" w:evenVBand="0" w:oddHBand="0" w:evenHBand="1" w:firstRowFirstColumn="0" w:firstRowLastColumn="0" w:lastRowFirstColumn="0" w:lastRowLastColumn="0"/>
        </w:trPr>
        <w:tc>
          <w:tcPr>
            <w:tcW w:w="6473" w:type="dxa"/>
          </w:tcPr>
          <w:p w:rsidR="00BB4DFD" w:rsidRPr="00100AA2" w:rsidRDefault="00BB4DFD" w:rsidP="00BB4DFD">
            <w:pPr>
              <w:pStyle w:val="TableTextEntries"/>
            </w:pPr>
            <w:r>
              <w:rPr>
                <w:b/>
              </w:rPr>
              <w:t xml:space="preserve">Finalise the country program strategy. </w:t>
            </w:r>
            <w:r w:rsidRPr="00642B0B">
              <w:t xml:space="preserve">DFAT’s Nepal program management team (First Secretary in Kathmandu and Country Manager) will consult with the </w:t>
            </w:r>
            <w:r w:rsidR="009B5BFC">
              <w:t>GoN</w:t>
            </w:r>
            <w:r w:rsidRPr="00642B0B">
              <w:t xml:space="preserve"> on the draft Strategy for Australian Aid to Nepal 2013–17 with the aim of agreeing to publish it on time, by the end of 2013.</w:t>
            </w:r>
          </w:p>
        </w:tc>
        <w:tc>
          <w:tcPr>
            <w:tcW w:w="964" w:type="dxa"/>
            <w:shd w:val="clear" w:color="auto" w:fill="FF0000"/>
          </w:tcPr>
          <w:p w:rsidR="00BB4DFD" w:rsidRPr="00443639" w:rsidRDefault="00642B0B" w:rsidP="00BB4DFD">
            <w:pPr>
              <w:pStyle w:val="TableTextEntries"/>
              <w:jc w:val="center"/>
              <w:rPr>
                <w:color w:val="FFFFFF" w:themeColor="background1"/>
              </w:rPr>
            </w:pPr>
            <w:r>
              <w:rPr>
                <w:color w:val="FFFFFF" w:themeColor="background1"/>
              </w:rPr>
              <w:t xml:space="preserve">Not </w:t>
            </w:r>
            <w:r w:rsidR="00BB4DFD">
              <w:rPr>
                <w:color w:val="FFFFFF" w:themeColor="background1"/>
              </w:rPr>
              <w:t>Achieved</w:t>
            </w:r>
          </w:p>
        </w:tc>
        <w:tc>
          <w:tcPr>
            <w:tcW w:w="6896" w:type="dxa"/>
          </w:tcPr>
          <w:p w:rsidR="00BB4DFD" w:rsidRPr="00642B0B" w:rsidRDefault="00642B0B" w:rsidP="00BB4DFD">
            <w:pPr>
              <w:pStyle w:val="TableTextEntries"/>
            </w:pPr>
            <w:r w:rsidRPr="00642B0B">
              <w:t xml:space="preserve">The </w:t>
            </w:r>
            <w:r>
              <w:t>draft country was not finalised before the announcement of elections in Australia</w:t>
            </w:r>
            <w:r w:rsidR="005B238F">
              <w:t xml:space="preserve"> and Nepal</w:t>
            </w:r>
            <w:r>
              <w:t xml:space="preserve"> in 2013. The change in </w:t>
            </w:r>
            <w:r w:rsidR="005B238F">
              <w:t xml:space="preserve">the Australian </w:t>
            </w:r>
            <w:r>
              <w:t>Government has resulted in a change to the aid programming architecture, and country strategies have been replaced by Aid Investment Plans. These Plans, a requirement for all country programs, will be finalised by July 2015.</w:t>
            </w:r>
          </w:p>
        </w:tc>
      </w:tr>
      <w:tr w:rsidR="00BB4DFD" w:rsidRPr="00180B19" w:rsidTr="00091824">
        <w:trPr>
          <w:cnfStyle w:val="000000010000" w:firstRow="0" w:lastRow="0" w:firstColumn="0" w:lastColumn="0" w:oddVBand="0" w:evenVBand="0" w:oddHBand="0" w:evenHBand="1" w:firstRowFirstColumn="0" w:firstRowLastColumn="0" w:lastRowFirstColumn="0" w:lastRowLastColumn="0"/>
        </w:trPr>
        <w:tc>
          <w:tcPr>
            <w:tcW w:w="6473" w:type="dxa"/>
          </w:tcPr>
          <w:p w:rsidR="00BB4DFD" w:rsidRPr="00100AA2" w:rsidRDefault="00BB4DFD" w:rsidP="00BB4DFD">
            <w:pPr>
              <w:pStyle w:val="TableTextEntries"/>
            </w:pPr>
            <w:r>
              <w:rPr>
                <w:b/>
                <w:lang w:val="en-GB"/>
              </w:rPr>
              <w:t xml:space="preserve">Improve country level performance monitoring. </w:t>
            </w:r>
            <w:r>
              <w:rPr>
                <w:lang w:val="en-GB"/>
              </w:rPr>
              <w:t xml:space="preserve"> </w:t>
            </w:r>
            <w:r w:rsidRPr="00642B0B">
              <w:t>The program management team will update the draft performance assessment framework and use it to guide data collection and analysis for the 2013–14 APPR for Australian aid to Nepal.</w:t>
            </w:r>
          </w:p>
        </w:tc>
        <w:tc>
          <w:tcPr>
            <w:tcW w:w="964" w:type="dxa"/>
            <w:shd w:val="clear" w:color="auto" w:fill="FF0000"/>
          </w:tcPr>
          <w:p w:rsidR="00BB4DFD" w:rsidRPr="005D21DF" w:rsidRDefault="00091824" w:rsidP="00660A8A">
            <w:pPr>
              <w:pStyle w:val="TableTextEntries"/>
              <w:jc w:val="center"/>
            </w:pPr>
            <w:r w:rsidRPr="00091824">
              <w:rPr>
                <w:color w:val="FFFFFF" w:themeColor="background1"/>
              </w:rPr>
              <w:t>Not Achieved</w:t>
            </w:r>
            <w:r w:rsidR="00BB4DFD" w:rsidRPr="005D21DF">
              <w:fldChar w:fldCharType="begin"/>
            </w:r>
            <w:r w:rsidR="00BB4DFD" w:rsidRPr="005D21DF">
              <w:instrText xml:space="preserve"> AUTOTEXTLIST  \s "Rating bullet"\t "Right click to choose a rating" \* MERGEFORMAT </w:instrText>
            </w:r>
            <w:r w:rsidR="00BB4DFD" w:rsidRPr="005D21DF">
              <w:fldChar w:fldCharType="end"/>
            </w:r>
          </w:p>
        </w:tc>
        <w:tc>
          <w:tcPr>
            <w:tcW w:w="6896" w:type="dxa"/>
          </w:tcPr>
          <w:p w:rsidR="00BB4DFD" w:rsidRPr="005D21DF" w:rsidRDefault="00660A8A" w:rsidP="00A51779">
            <w:pPr>
              <w:pStyle w:val="TableTextEntries"/>
              <w:rPr>
                <w:b/>
              </w:rPr>
            </w:pPr>
            <w:r w:rsidRPr="00660A8A">
              <w:t>The draft PAF was prepared but not finali</w:t>
            </w:r>
            <w:r w:rsidR="00A51779">
              <w:t>s</w:t>
            </w:r>
            <w:r w:rsidRPr="00660A8A">
              <w:t>ed as the country strategy was not finali</w:t>
            </w:r>
            <w:r w:rsidR="00A51779">
              <w:t>s</w:t>
            </w:r>
            <w:r w:rsidRPr="00660A8A">
              <w:t>ed</w:t>
            </w:r>
            <w:r>
              <w:t>. A new PAF will be drafted in 2014-15 as part of the Aid Investment Plan process to ensure the program is able to report on benchmarks (including mutual accountability).</w:t>
            </w:r>
          </w:p>
        </w:tc>
      </w:tr>
      <w:tr w:rsidR="00BB4DFD" w:rsidRPr="00180B19" w:rsidTr="000D733F">
        <w:trPr>
          <w:cnfStyle w:val="000000010000" w:firstRow="0" w:lastRow="0" w:firstColumn="0" w:lastColumn="0" w:oddVBand="0" w:evenVBand="0" w:oddHBand="0" w:evenHBand="1" w:firstRowFirstColumn="0" w:firstRowLastColumn="0" w:lastRowFirstColumn="0" w:lastRowLastColumn="0"/>
        </w:trPr>
        <w:tc>
          <w:tcPr>
            <w:tcW w:w="6473" w:type="dxa"/>
          </w:tcPr>
          <w:p w:rsidR="00BB4DFD" w:rsidRPr="00100AA2" w:rsidRDefault="00BB4DFD" w:rsidP="00BB4DFD">
            <w:pPr>
              <w:pStyle w:val="TableTextEntries"/>
            </w:pPr>
            <w:r>
              <w:rPr>
                <w:b/>
              </w:rPr>
              <w:t>Retain flexibility to adapt as needed</w:t>
            </w:r>
            <w:r w:rsidRPr="00642B0B">
              <w:rPr>
                <w:b/>
              </w:rPr>
              <w:t>.</w:t>
            </w:r>
            <w:r w:rsidRPr="00642B0B">
              <w:t xml:space="preserve"> The program management team will work with partners to analyse the changing context in Nepal and changes to program assumptions, including as a result of national elections.</w:t>
            </w:r>
          </w:p>
        </w:tc>
        <w:tc>
          <w:tcPr>
            <w:tcW w:w="964" w:type="dxa"/>
            <w:shd w:val="clear" w:color="auto" w:fill="72AF2F"/>
          </w:tcPr>
          <w:p w:rsidR="00BB4DFD" w:rsidRPr="00443639" w:rsidRDefault="00BB4DFD" w:rsidP="00660A8A">
            <w:pPr>
              <w:pStyle w:val="TableTextEntries"/>
              <w:jc w:val="center"/>
              <w:rPr>
                <w:color w:val="FFFFFF" w:themeColor="background1"/>
              </w:rPr>
            </w:pPr>
            <w:r>
              <w:rPr>
                <w:color w:val="FFFFFF" w:themeColor="background1"/>
              </w:rPr>
              <w:t>Achieved</w:t>
            </w:r>
          </w:p>
        </w:tc>
        <w:tc>
          <w:tcPr>
            <w:tcW w:w="6896" w:type="dxa"/>
          </w:tcPr>
          <w:p w:rsidR="00BB4DFD" w:rsidRPr="00642B0B" w:rsidRDefault="005D21DF" w:rsidP="005D21DF">
            <w:pPr>
              <w:pStyle w:val="TableTextEntries"/>
            </w:pPr>
            <w:r>
              <w:t>The consolidation process has ensured that the Nepal program has the flexibility to respond to Australia’s policy priorities. New investments will be assessed through the Aid Investment process.</w:t>
            </w:r>
          </w:p>
        </w:tc>
      </w:tr>
      <w:tr w:rsidR="00BB4DFD" w:rsidRPr="00180B19" w:rsidTr="00660A8A">
        <w:trPr>
          <w:cnfStyle w:val="000000010000" w:firstRow="0" w:lastRow="0" w:firstColumn="0" w:lastColumn="0" w:oddVBand="0" w:evenVBand="0" w:oddHBand="0" w:evenHBand="1" w:firstRowFirstColumn="0" w:firstRowLastColumn="0" w:lastRowFirstColumn="0" w:lastRowLastColumn="0"/>
        </w:trPr>
        <w:tc>
          <w:tcPr>
            <w:tcW w:w="6473" w:type="dxa"/>
          </w:tcPr>
          <w:p w:rsidR="00BB4DFD" w:rsidRPr="001C5EB7" w:rsidRDefault="00BB4DFD" w:rsidP="00BB4DFD">
            <w:pPr>
              <w:pStyle w:val="ListNumber"/>
              <w:numPr>
                <w:ilvl w:val="0"/>
                <w:numId w:val="0"/>
              </w:numPr>
              <w:tabs>
                <w:tab w:val="clear" w:pos="284"/>
                <w:tab w:val="left" w:pos="720"/>
              </w:tabs>
              <w:spacing w:line="240" w:lineRule="auto"/>
              <w:rPr>
                <w:iCs/>
                <w:sz w:val="17"/>
                <w:szCs w:val="17"/>
                <w:lang w:eastAsia="en-US"/>
              </w:rPr>
            </w:pPr>
            <w:r w:rsidRPr="001C5EB7">
              <w:rPr>
                <w:b/>
                <w:iCs/>
                <w:sz w:val="17"/>
                <w:szCs w:val="17"/>
                <w:lang w:eastAsia="en-US"/>
              </w:rPr>
              <w:t xml:space="preserve">Strengthen risk management and aid delivery systems. </w:t>
            </w:r>
            <w:r w:rsidRPr="001C5EB7">
              <w:rPr>
                <w:iCs/>
                <w:sz w:val="17"/>
                <w:szCs w:val="17"/>
                <w:lang w:eastAsia="en-US"/>
              </w:rPr>
              <w:t>Guided by the country program strategy, and considering the above contextual analysis, the program management team will decide:</w:t>
            </w:r>
          </w:p>
          <w:p w:rsidR="00BB4DFD" w:rsidRPr="001C5EB7" w:rsidRDefault="00BB4DFD" w:rsidP="00D5167F">
            <w:pPr>
              <w:pStyle w:val="ListNumber"/>
              <w:numPr>
                <w:ilvl w:val="0"/>
                <w:numId w:val="19"/>
              </w:numPr>
              <w:tabs>
                <w:tab w:val="clear" w:pos="284"/>
                <w:tab w:val="left" w:pos="720"/>
              </w:tabs>
              <w:spacing w:line="240" w:lineRule="auto"/>
              <w:rPr>
                <w:iCs/>
                <w:sz w:val="17"/>
                <w:szCs w:val="17"/>
                <w:lang w:eastAsia="en-US"/>
              </w:rPr>
            </w:pPr>
            <w:r w:rsidRPr="001C5EB7">
              <w:rPr>
                <w:iCs/>
                <w:sz w:val="17"/>
                <w:szCs w:val="17"/>
                <w:lang w:eastAsia="en-US"/>
              </w:rPr>
              <w:t>ways to increase effective risk management for program delivery in 2013–14</w:t>
            </w:r>
          </w:p>
          <w:p w:rsidR="00BB4DFD" w:rsidRPr="001C5EB7" w:rsidRDefault="00BB4DFD" w:rsidP="00D5167F">
            <w:pPr>
              <w:pStyle w:val="ListNumber"/>
              <w:numPr>
                <w:ilvl w:val="0"/>
                <w:numId w:val="19"/>
              </w:numPr>
              <w:tabs>
                <w:tab w:val="clear" w:pos="284"/>
                <w:tab w:val="left" w:pos="720"/>
              </w:tabs>
              <w:spacing w:line="240" w:lineRule="auto"/>
              <w:rPr>
                <w:iCs/>
                <w:sz w:val="17"/>
                <w:szCs w:val="17"/>
                <w:lang w:eastAsia="en-US"/>
              </w:rPr>
            </w:pPr>
            <w:r w:rsidRPr="001C5EB7">
              <w:rPr>
                <w:iCs/>
                <w:sz w:val="17"/>
                <w:szCs w:val="17"/>
                <w:lang w:eastAsia="en-US"/>
              </w:rPr>
              <w:t xml:space="preserve">planning and analytical documentation relating to future Australian aid: </w:t>
            </w:r>
          </w:p>
          <w:p w:rsidR="00BB4DFD" w:rsidRPr="001C5EB7" w:rsidRDefault="00BB4DFD" w:rsidP="00D5167F">
            <w:pPr>
              <w:pStyle w:val="ListNumber"/>
              <w:numPr>
                <w:ilvl w:val="0"/>
                <w:numId w:val="20"/>
              </w:numPr>
              <w:tabs>
                <w:tab w:val="clear" w:pos="284"/>
                <w:tab w:val="left" w:pos="720"/>
              </w:tabs>
              <w:spacing w:line="240" w:lineRule="auto"/>
              <w:rPr>
                <w:iCs/>
                <w:sz w:val="17"/>
                <w:szCs w:val="17"/>
                <w:lang w:eastAsia="en-US"/>
              </w:rPr>
            </w:pPr>
            <w:r w:rsidRPr="001C5EB7">
              <w:rPr>
                <w:iCs/>
                <w:sz w:val="17"/>
                <w:szCs w:val="17"/>
                <w:lang w:eastAsia="en-US"/>
              </w:rPr>
              <w:t>such as a delivery strategy and/or investment concepts or designs</w:t>
            </w:r>
          </w:p>
          <w:p w:rsidR="00BB4DFD" w:rsidRPr="001C5EB7" w:rsidRDefault="00BB4DFD" w:rsidP="00D5167F">
            <w:pPr>
              <w:pStyle w:val="ListNumber"/>
              <w:numPr>
                <w:ilvl w:val="0"/>
                <w:numId w:val="20"/>
              </w:numPr>
              <w:tabs>
                <w:tab w:val="clear" w:pos="284"/>
                <w:tab w:val="left" w:pos="720"/>
              </w:tabs>
              <w:spacing w:line="240" w:lineRule="auto"/>
              <w:rPr>
                <w:iCs/>
                <w:sz w:val="17"/>
                <w:szCs w:val="17"/>
                <w:lang w:eastAsia="en-US"/>
              </w:rPr>
            </w:pPr>
            <w:r w:rsidRPr="001C5EB7">
              <w:rPr>
                <w:iCs/>
                <w:sz w:val="17"/>
                <w:szCs w:val="17"/>
                <w:lang w:eastAsia="en-US"/>
              </w:rPr>
              <w:t>in proportion to the small size of the program and the small program management team.</w:t>
            </w:r>
          </w:p>
          <w:p w:rsidR="00BB4DFD" w:rsidRPr="00100AA2" w:rsidRDefault="00BB4DFD" w:rsidP="00BB4DFD">
            <w:pPr>
              <w:pStyle w:val="TableTextEntries"/>
            </w:pPr>
          </w:p>
        </w:tc>
        <w:tc>
          <w:tcPr>
            <w:tcW w:w="964" w:type="dxa"/>
            <w:shd w:val="clear" w:color="auto" w:fill="FFC000"/>
          </w:tcPr>
          <w:p w:rsidR="00BB4DFD" w:rsidRPr="00443639" w:rsidRDefault="00660A8A" w:rsidP="005D21DF">
            <w:pPr>
              <w:pStyle w:val="TableTextEntries"/>
              <w:rPr>
                <w:color w:val="FFFFFF" w:themeColor="background1"/>
              </w:rPr>
            </w:pPr>
            <w:r>
              <w:rPr>
                <w:color w:val="FFFFFF" w:themeColor="background1"/>
              </w:rPr>
              <w:t>Partially Achieved</w:t>
            </w:r>
          </w:p>
        </w:tc>
        <w:tc>
          <w:tcPr>
            <w:tcW w:w="6896" w:type="dxa"/>
          </w:tcPr>
          <w:p w:rsidR="00660A8A" w:rsidRDefault="00660A8A" w:rsidP="00660A8A">
            <w:pPr>
              <w:pStyle w:val="CommentText"/>
            </w:pPr>
            <w:r>
              <w:t xml:space="preserve">Risk </w:t>
            </w:r>
            <w:r w:rsidR="00332432">
              <w:t>Management:</w:t>
            </w:r>
            <w:r>
              <w:t xml:space="preserve"> A PFM Adviser was recruited in 2013-14 to strengthen fiduciary risk management across all programs (especially MEDEP).</w:t>
            </w:r>
          </w:p>
          <w:p w:rsidR="00BB4DFD" w:rsidRPr="005D21DF" w:rsidRDefault="00660A8A" w:rsidP="006863AB">
            <w:pPr>
              <w:pStyle w:val="TableTextEntries"/>
              <w:rPr>
                <w:b/>
              </w:rPr>
            </w:pPr>
            <w:r>
              <w:rPr>
                <w:iCs w:val="0"/>
                <w:sz w:val="18"/>
                <w:szCs w:val="18"/>
                <w:lang w:eastAsia="en-AU"/>
              </w:rPr>
              <w:t xml:space="preserve">There were no delivery strategies or investment concepts prepared in 2013-14 on account of the country strategy not </w:t>
            </w:r>
            <w:r w:rsidR="006863AB">
              <w:rPr>
                <w:iCs w:val="0"/>
                <w:sz w:val="18"/>
                <w:szCs w:val="18"/>
                <w:lang w:eastAsia="en-AU"/>
              </w:rPr>
              <w:t xml:space="preserve">being </w:t>
            </w:r>
            <w:r>
              <w:rPr>
                <w:iCs w:val="0"/>
                <w:sz w:val="18"/>
                <w:szCs w:val="18"/>
                <w:lang w:eastAsia="en-AU"/>
              </w:rPr>
              <w:t>finalised, the need to consolidate the program and anticipated release of the new aid policy. Assessment of risk and appropriate aid modality will be central to any new investments considered for 2014-15 and beyond (guided by the AIP process).</w:t>
            </w:r>
          </w:p>
        </w:tc>
      </w:tr>
      <w:tr w:rsidR="00BB4DFD" w:rsidRPr="00180B19" w:rsidTr="005D21DF">
        <w:trPr>
          <w:cnfStyle w:val="000000010000" w:firstRow="0" w:lastRow="0" w:firstColumn="0" w:lastColumn="0" w:oddVBand="0" w:evenVBand="0" w:oddHBand="0" w:evenHBand="1" w:firstRowFirstColumn="0" w:firstRowLastColumn="0" w:lastRowFirstColumn="0" w:lastRowLastColumn="0"/>
        </w:trPr>
        <w:tc>
          <w:tcPr>
            <w:tcW w:w="6473" w:type="dxa"/>
          </w:tcPr>
          <w:p w:rsidR="00BB4DFD" w:rsidRPr="001C5EB7" w:rsidRDefault="00BB4DFD" w:rsidP="00BB4DFD">
            <w:pPr>
              <w:pStyle w:val="ListNumber"/>
              <w:numPr>
                <w:ilvl w:val="0"/>
                <w:numId w:val="0"/>
              </w:numPr>
              <w:tabs>
                <w:tab w:val="clear" w:pos="284"/>
                <w:tab w:val="left" w:pos="720"/>
              </w:tabs>
              <w:spacing w:line="240" w:lineRule="auto"/>
              <w:rPr>
                <w:iCs/>
                <w:sz w:val="17"/>
                <w:szCs w:val="17"/>
                <w:lang w:eastAsia="en-US"/>
              </w:rPr>
            </w:pPr>
            <w:r w:rsidRPr="001C5EB7">
              <w:rPr>
                <w:b/>
                <w:iCs/>
                <w:sz w:val="17"/>
                <w:szCs w:val="17"/>
                <w:lang w:eastAsia="en-US"/>
              </w:rPr>
              <w:lastRenderedPageBreak/>
              <w:t>Implement quality improvement reforms as needed.</w:t>
            </w:r>
            <w:r>
              <w:rPr>
                <w:lang w:val="en-GB"/>
              </w:rPr>
              <w:t xml:space="preserve"> </w:t>
            </w:r>
            <w:r w:rsidRPr="001C5EB7">
              <w:rPr>
                <w:iCs/>
                <w:sz w:val="17"/>
                <w:szCs w:val="17"/>
                <w:lang w:eastAsia="en-US"/>
              </w:rPr>
              <w:t>To maintain and improve the quality of specific initiatives, the program management team will:</w:t>
            </w:r>
          </w:p>
          <w:p w:rsidR="00BB4DFD" w:rsidRPr="001C5EB7" w:rsidRDefault="00BB4DFD" w:rsidP="00D5167F">
            <w:pPr>
              <w:pStyle w:val="ListNumber"/>
              <w:numPr>
                <w:ilvl w:val="0"/>
                <w:numId w:val="21"/>
              </w:numPr>
              <w:tabs>
                <w:tab w:val="clear" w:pos="284"/>
                <w:tab w:val="left" w:pos="720"/>
              </w:tabs>
              <w:spacing w:line="240" w:lineRule="auto"/>
              <w:rPr>
                <w:iCs/>
                <w:sz w:val="17"/>
                <w:szCs w:val="17"/>
                <w:lang w:eastAsia="en-US"/>
              </w:rPr>
            </w:pPr>
            <w:r w:rsidRPr="001C5EB7">
              <w:rPr>
                <w:iCs/>
                <w:sz w:val="17"/>
                <w:szCs w:val="17"/>
                <w:lang w:eastAsia="en-US"/>
              </w:rPr>
              <w:t xml:space="preserve">seek approval for an additional locally based program manager to support the transition of the MEDEP from the UNDP to the </w:t>
            </w:r>
            <w:r w:rsidR="009B5BFC">
              <w:rPr>
                <w:iCs/>
                <w:sz w:val="17"/>
                <w:szCs w:val="17"/>
                <w:lang w:eastAsia="en-US"/>
              </w:rPr>
              <w:t>GoN</w:t>
            </w:r>
            <w:r w:rsidRPr="001C5EB7">
              <w:rPr>
                <w:iCs/>
                <w:sz w:val="17"/>
                <w:szCs w:val="17"/>
                <w:lang w:eastAsia="en-US"/>
              </w:rPr>
              <w:t xml:space="preserve"> (expected by 2017–18). </w:t>
            </w:r>
          </w:p>
          <w:p w:rsidR="00BB4DFD" w:rsidRPr="001C5EB7" w:rsidRDefault="00BB4DFD" w:rsidP="00D5167F">
            <w:pPr>
              <w:pStyle w:val="ListNumber"/>
              <w:numPr>
                <w:ilvl w:val="0"/>
                <w:numId w:val="21"/>
              </w:numPr>
              <w:tabs>
                <w:tab w:val="clear" w:pos="284"/>
                <w:tab w:val="left" w:pos="720"/>
              </w:tabs>
              <w:spacing w:line="240" w:lineRule="auto"/>
              <w:rPr>
                <w:iCs/>
                <w:sz w:val="17"/>
                <w:szCs w:val="17"/>
                <w:lang w:eastAsia="en-US"/>
              </w:rPr>
            </w:pPr>
            <w:r w:rsidRPr="001C5EB7">
              <w:rPr>
                <w:iCs/>
                <w:sz w:val="17"/>
                <w:szCs w:val="17"/>
                <w:lang w:eastAsia="en-US"/>
              </w:rPr>
              <w:t>reassess NEWAH results following project completion in October 2013</w:t>
            </w:r>
          </w:p>
          <w:p w:rsidR="00BB4DFD" w:rsidRPr="001C5EB7" w:rsidRDefault="00BB4DFD" w:rsidP="00D5167F">
            <w:pPr>
              <w:pStyle w:val="ListNumber"/>
              <w:numPr>
                <w:ilvl w:val="0"/>
                <w:numId w:val="21"/>
              </w:numPr>
              <w:tabs>
                <w:tab w:val="clear" w:pos="284"/>
                <w:tab w:val="left" w:pos="720"/>
              </w:tabs>
              <w:spacing w:line="240" w:lineRule="auto"/>
              <w:rPr>
                <w:iCs/>
                <w:sz w:val="17"/>
                <w:szCs w:val="17"/>
                <w:lang w:eastAsia="en-US"/>
              </w:rPr>
            </w:pPr>
            <w:r w:rsidRPr="001C5EB7">
              <w:rPr>
                <w:iCs/>
                <w:sz w:val="17"/>
                <w:szCs w:val="17"/>
                <w:lang w:eastAsia="en-US"/>
              </w:rPr>
              <w:t>consider the potential costs and benefits of possible future Australian support for water, sanitation and hygiene in Nepal (subject to the country program strategy objectives and contextual analysis discussed earlier)</w:t>
            </w:r>
          </w:p>
          <w:p w:rsidR="00BB4DFD" w:rsidRPr="001C5EB7" w:rsidRDefault="00BB4DFD" w:rsidP="00D5167F">
            <w:pPr>
              <w:pStyle w:val="ListNumber"/>
              <w:numPr>
                <w:ilvl w:val="0"/>
                <w:numId w:val="21"/>
              </w:numPr>
              <w:tabs>
                <w:tab w:val="clear" w:pos="284"/>
                <w:tab w:val="left" w:pos="720"/>
              </w:tabs>
              <w:spacing w:line="240" w:lineRule="auto"/>
              <w:rPr>
                <w:iCs/>
                <w:sz w:val="17"/>
                <w:szCs w:val="17"/>
                <w:lang w:eastAsia="en-US"/>
              </w:rPr>
            </w:pPr>
            <w:r w:rsidRPr="001C5EB7">
              <w:rPr>
                <w:iCs/>
                <w:sz w:val="17"/>
                <w:szCs w:val="17"/>
                <w:lang w:eastAsia="en-US"/>
              </w:rPr>
              <w:t xml:space="preserve">maintain an active role in the PFM MDTF to continue improving </w:t>
            </w:r>
            <w:r w:rsidR="009B5BFC">
              <w:rPr>
                <w:iCs/>
                <w:sz w:val="17"/>
                <w:szCs w:val="17"/>
                <w:lang w:eastAsia="en-US"/>
              </w:rPr>
              <w:t>GoN</w:t>
            </w:r>
            <w:r w:rsidRPr="001C5EB7">
              <w:rPr>
                <w:iCs/>
                <w:sz w:val="17"/>
                <w:szCs w:val="17"/>
                <w:lang w:eastAsia="en-US"/>
              </w:rPr>
              <w:t>’s control and reporting of finances for development (supported by a new public financial adviser for South Asia, if this is approved and filled in 2013–14).</w:t>
            </w:r>
          </w:p>
          <w:p w:rsidR="00BB4DFD" w:rsidRPr="00100AA2" w:rsidRDefault="00BB4DFD" w:rsidP="00BB4DFD">
            <w:pPr>
              <w:pStyle w:val="TableTextEntries"/>
            </w:pPr>
          </w:p>
        </w:tc>
        <w:tc>
          <w:tcPr>
            <w:tcW w:w="964" w:type="dxa"/>
            <w:shd w:val="clear" w:color="auto" w:fill="00B050"/>
          </w:tcPr>
          <w:p w:rsidR="00BB4DFD" w:rsidRPr="00443639" w:rsidRDefault="005D21DF" w:rsidP="00BB4DFD">
            <w:pPr>
              <w:pStyle w:val="TableTextEntries"/>
              <w:jc w:val="center"/>
              <w:rPr>
                <w:color w:val="FFFFFF" w:themeColor="background1"/>
              </w:rPr>
            </w:pPr>
            <w:r>
              <w:rPr>
                <w:color w:val="FFFFFF" w:themeColor="background1"/>
              </w:rPr>
              <w:t>A</w:t>
            </w:r>
            <w:r w:rsidR="00BB4DFD">
              <w:rPr>
                <w:color w:val="FFFFFF" w:themeColor="background1"/>
              </w:rPr>
              <w:t>chieved</w:t>
            </w:r>
          </w:p>
        </w:tc>
        <w:tc>
          <w:tcPr>
            <w:tcW w:w="6896" w:type="dxa"/>
          </w:tcPr>
          <w:p w:rsidR="00BB4DFD" w:rsidRDefault="005D21DF" w:rsidP="005D21DF">
            <w:pPr>
              <w:pStyle w:val="TableTextEntries"/>
            </w:pPr>
            <w:r>
              <w:t>A Livelihoods Program Manager comments in July 2015 (approvals and recruitment process held in 2013-14). The position will report to the Country Manager and provide support to the management of Australia’s investment in MEDEP.</w:t>
            </w:r>
          </w:p>
          <w:p w:rsidR="005D21DF" w:rsidRDefault="005D21DF" w:rsidP="005D21DF">
            <w:pPr>
              <w:pStyle w:val="TableTextEntries"/>
            </w:pPr>
          </w:p>
          <w:p w:rsidR="005D21DF" w:rsidRDefault="005D21DF" w:rsidP="005D21DF">
            <w:pPr>
              <w:pStyle w:val="TableTextEntries"/>
            </w:pPr>
            <w:r>
              <w:t>The consolidation of the program has resulted in a ceasing of funding to WASH activities through the bilateral program. Australia continues to support WASH activities in Nepal through the WASH Fund, ANCP and Australian Volunteers.</w:t>
            </w:r>
          </w:p>
          <w:p w:rsidR="005D21DF" w:rsidRPr="005D21DF" w:rsidRDefault="005D21DF" w:rsidP="005D21DF">
            <w:pPr>
              <w:pStyle w:val="TableTextEntries"/>
            </w:pPr>
          </w:p>
        </w:tc>
      </w:tr>
    </w:tbl>
    <w:p w:rsidR="000D733F" w:rsidRPr="00FE4491" w:rsidRDefault="000D733F" w:rsidP="000D733F">
      <w:pPr>
        <w:pStyle w:val="Note"/>
      </w:pPr>
      <w:r w:rsidRPr="00FE4491">
        <w:t xml:space="preserve">Note: </w:t>
      </w:r>
    </w:p>
    <w:p w:rsidR="000D733F" w:rsidRPr="00671434" w:rsidRDefault="000D733F" w:rsidP="000D733F">
      <w:pPr>
        <w:pStyle w:val="Note"/>
      </w:pPr>
      <w:r w:rsidRPr="0075352D">
        <w:rPr>
          <w:color w:val="72AF2F"/>
        </w:rPr>
        <w:sym w:font="Webdings" w:char="F067"/>
      </w:r>
      <w:r w:rsidRPr="00FE4491">
        <w:t> </w:t>
      </w:r>
      <w:r w:rsidRPr="00FE4491">
        <w:t xml:space="preserve"> </w:t>
      </w:r>
      <w:r w:rsidRPr="00EA3BAD">
        <w:t>Achieved.</w:t>
      </w:r>
      <w:r w:rsidRPr="00706D30">
        <w:t xml:space="preserve">  Significant progress has been made in addressing </w:t>
      </w:r>
      <w:r>
        <w:t xml:space="preserve">the issue </w:t>
      </w:r>
    </w:p>
    <w:p w:rsidR="000D733F" w:rsidRPr="00EA3BAD" w:rsidRDefault="000D733F" w:rsidP="000D733F">
      <w:pPr>
        <w:pStyle w:val="Note"/>
      </w:pPr>
      <w:r w:rsidRPr="00EA3BAD">
        <w:rPr>
          <w:color w:val="E36C0A"/>
        </w:rPr>
        <w:sym w:font="Webdings" w:char="F067"/>
      </w:r>
      <w:r w:rsidRPr="00EA3BAD">
        <w:t> </w:t>
      </w:r>
      <w:r w:rsidRPr="00EA3BAD">
        <w:t xml:space="preserve"> Partly achieved.  </w:t>
      </w:r>
      <w:r>
        <w:t>Some pr</w:t>
      </w:r>
      <w:r w:rsidRPr="00EA3BAD">
        <w:t xml:space="preserve">ogress </w:t>
      </w:r>
      <w:r>
        <w:t xml:space="preserve">has been made in addressing the issue, but the issue has not been resolved </w:t>
      </w:r>
    </w:p>
    <w:p w:rsidR="000D733F" w:rsidRDefault="000D733F" w:rsidP="000D733F">
      <w:pPr>
        <w:pStyle w:val="Note"/>
      </w:pPr>
      <w:r w:rsidRPr="00EA3BAD">
        <w:rPr>
          <w:color w:val="FF0000"/>
        </w:rPr>
        <w:sym w:font="Webdings" w:char="F067"/>
      </w:r>
      <w:r w:rsidRPr="00EA3BAD">
        <w:t> </w:t>
      </w:r>
      <w:r w:rsidRPr="00EA3BAD">
        <w:t xml:space="preserve"> Not achieved. Progress </w:t>
      </w:r>
      <w:r>
        <w:t xml:space="preserve">in addressing the issue </w:t>
      </w:r>
      <w:r w:rsidRPr="00EA3BAD">
        <w:t>has been significantly below expectations</w:t>
      </w:r>
    </w:p>
    <w:p w:rsidR="000D733F" w:rsidRDefault="000D733F" w:rsidP="000D733F">
      <w:pPr>
        <w:pStyle w:val="BodyText"/>
      </w:pPr>
    </w:p>
    <w:p w:rsidR="000D733F" w:rsidRDefault="000D733F" w:rsidP="000D733F">
      <w:pPr>
        <w:spacing w:after="200" w:line="276" w:lineRule="auto"/>
        <w:rPr>
          <w:rFonts w:ascii="Franklin Gothic Book" w:hAnsi="Franklin Gothic Book"/>
          <w:sz w:val="21"/>
        </w:rPr>
      </w:pPr>
      <w:r>
        <w:br w:type="page"/>
      </w:r>
    </w:p>
    <w:p w:rsidR="00BD1AFA" w:rsidRPr="009E38C1" w:rsidRDefault="00BD1AFA" w:rsidP="00BD1AFA">
      <w:pPr>
        <w:pStyle w:val="Heading2"/>
        <w:tabs>
          <w:tab w:val="left" w:pos="1560"/>
        </w:tabs>
        <w:rPr>
          <w:sz w:val="28"/>
        </w:rPr>
      </w:pPr>
      <w:r w:rsidRPr="009E38C1">
        <w:rPr>
          <w:sz w:val="28"/>
        </w:rPr>
        <w:lastRenderedPageBreak/>
        <w:t xml:space="preserve">Annex B </w:t>
      </w:r>
      <w:r w:rsidRPr="009E38C1">
        <w:rPr>
          <w:sz w:val="28"/>
        </w:rPr>
        <w:tab/>
      </w:r>
    </w:p>
    <w:p w:rsidR="00BD1AFA" w:rsidRPr="009E38C1" w:rsidRDefault="00BD1AFA" w:rsidP="00BD1AFA">
      <w:pPr>
        <w:pStyle w:val="Heading2"/>
        <w:rPr>
          <w:sz w:val="28"/>
        </w:rPr>
      </w:pPr>
      <w:r w:rsidRPr="009E38C1">
        <w:rPr>
          <w:sz w:val="28"/>
        </w:rPr>
        <w:t>Quality at Implementation ratings</w:t>
      </w:r>
    </w:p>
    <w:tbl>
      <w:tblPr>
        <w:tblStyle w:val="APPR"/>
        <w:tblW w:w="4635" w:type="pct"/>
        <w:tblLayout w:type="fixed"/>
        <w:tblLook w:val="0000" w:firstRow="0" w:lastRow="0" w:firstColumn="0" w:lastColumn="0" w:noHBand="0" w:noVBand="0"/>
      </w:tblPr>
      <w:tblGrid>
        <w:gridCol w:w="2500"/>
        <w:gridCol w:w="1896"/>
        <w:gridCol w:w="894"/>
        <w:gridCol w:w="416"/>
        <w:gridCol w:w="908"/>
        <w:gridCol w:w="388"/>
        <w:gridCol w:w="996"/>
        <w:gridCol w:w="300"/>
        <w:gridCol w:w="1050"/>
        <w:gridCol w:w="240"/>
        <w:gridCol w:w="1113"/>
        <w:gridCol w:w="181"/>
        <w:gridCol w:w="1144"/>
        <w:gridCol w:w="124"/>
        <w:gridCol w:w="1241"/>
      </w:tblGrid>
      <w:tr w:rsidR="00BD1AFA" w:rsidRPr="009D53C4" w:rsidTr="00917AED">
        <w:trPr>
          <w:cnfStyle w:val="000000010000" w:firstRow="0" w:lastRow="0" w:firstColumn="0" w:lastColumn="0" w:oddVBand="0" w:evenVBand="0" w:oddHBand="0" w:evenHBand="1" w:firstRowFirstColumn="0" w:firstRowLastColumn="0" w:lastRowFirstColumn="0" w:lastRowLastColumn="0"/>
          <w:trHeight w:val="1521"/>
        </w:trPr>
        <w:tc>
          <w:tcPr>
            <w:tcW w:w="930" w:type="pct"/>
          </w:tcPr>
          <w:p w:rsidR="00BD1AFA" w:rsidRPr="00FE4491" w:rsidRDefault="00BD1AFA" w:rsidP="00A40491">
            <w:pPr>
              <w:pStyle w:val="TableTextColumnHeading"/>
            </w:pPr>
            <w:r w:rsidRPr="00FE4491">
              <w:rPr>
                <w:noProof/>
                <w:lang w:eastAsia="en-AU"/>
              </w:rPr>
              <w:drawing>
                <wp:anchor distT="0" distB="0" distL="114300" distR="114300" simplePos="0" relativeHeight="251665408" behindDoc="0" locked="0" layoutInCell="1" allowOverlap="1" wp14:anchorId="6EAEED12" wp14:editId="47C9AC80">
                  <wp:simplePos x="0" y="0"/>
                  <wp:positionH relativeFrom="column">
                    <wp:posOffset>0</wp:posOffset>
                  </wp:positionH>
                  <wp:positionV relativeFrom="paragraph">
                    <wp:posOffset>0</wp:posOffset>
                  </wp:positionV>
                  <wp:extent cx="1857375" cy="228600"/>
                  <wp:effectExtent l="0" t="0" r="9525" b="0"/>
                  <wp:wrapNone/>
                  <wp:docPr id="14" name="Picture 14"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hidden="1"/>
                          <pic:cNvPicPr>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t>Investment</w:t>
            </w:r>
            <w:r w:rsidRPr="00FE4491">
              <w:t xml:space="preserve"> name</w:t>
            </w:r>
          </w:p>
        </w:tc>
        <w:tc>
          <w:tcPr>
            <w:tcW w:w="707" w:type="pct"/>
            <w:textDirection w:val="btLr"/>
          </w:tcPr>
          <w:p w:rsidR="00BD1AFA" w:rsidRPr="00FE4491" w:rsidRDefault="00BD1AFA" w:rsidP="00A40491">
            <w:pPr>
              <w:pStyle w:val="TableTextColumnHeading"/>
            </w:pPr>
            <w:r w:rsidRPr="00FE4491">
              <w:t>Approved budget and duration</w:t>
            </w:r>
          </w:p>
        </w:tc>
        <w:tc>
          <w:tcPr>
            <w:tcW w:w="475" w:type="pct"/>
            <w:gridSpan w:val="2"/>
            <w:textDirection w:val="btLr"/>
          </w:tcPr>
          <w:p w:rsidR="00BD1AFA" w:rsidRPr="00FE4491" w:rsidRDefault="00BD1AFA" w:rsidP="00A40491">
            <w:pPr>
              <w:pStyle w:val="TableTextColumnHeading"/>
            </w:pPr>
            <w:r w:rsidRPr="00FE4491">
              <w:t>QaI year</w:t>
            </w:r>
          </w:p>
        </w:tc>
        <w:tc>
          <w:tcPr>
            <w:tcW w:w="469" w:type="pct"/>
            <w:gridSpan w:val="2"/>
            <w:textDirection w:val="btLr"/>
          </w:tcPr>
          <w:p w:rsidR="00BD1AFA" w:rsidRPr="00FE4491" w:rsidRDefault="00BD1AFA" w:rsidP="00A40491">
            <w:pPr>
              <w:pStyle w:val="TableTextColumnHeading"/>
            </w:pPr>
            <w:r w:rsidRPr="00FE4491">
              <w:t>Relevance</w:t>
            </w:r>
          </w:p>
        </w:tc>
        <w:tc>
          <w:tcPr>
            <w:tcW w:w="469" w:type="pct"/>
            <w:gridSpan w:val="2"/>
            <w:textDirection w:val="btLr"/>
          </w:tcPr>
          <w:p w:rsidR="00BD1AFA" w:rsidRPr="00FE4491" w:rsidRDefault="00BD1AFA" w:rsidP="00A40491">
            <w:pPr>
              <w:pStyle w:val="TableTextColumnHeading"/>
            </w:pPr>
            <w:r w:rsidRPr="00FE4491">
              <w:t>Effectiveness</w:t>
            </w:r>
          </w:p>
        </w:tc>
        <w:tc>
          <w:tcPr>
            <w:tcW w:w="467" w:type="pct"/>
            <w:gridSpan w:val="2"/>
            <w:textDirection w:val="btLr"/>
          </w:tcPr>
          <w:p w:rsidR="00BD1AFA" w:rsidRPr="00FE4491" w:rsidRDefault="00BD1AFA" w:rsidP="00A40491">
            <w:pPr>
              <w:pStyle w:val="TableTextColumnHeading"/>
            </w:pPr>
            <w:r w:rsidRPr="00FE4491">
              <w:t>Efficiency</w:t>
            </w:r>
          </w:p>
        </w:tc>
        <w:tc>
          <w:tcPr>
            <w:tcW w:w="468" w:type="pct"/>
            <w:gridSpan w:val="2"/>
            <w:textDirection w:val="btLr"/>
          </w:tcPr>
          <w:p w:rsidR="00BD1AFA" w:rsidRPr="00FE4491" w:rsidRDefault="00BD1AFA" w:rsidP="00A40491">
            <w:pPr>
              <w:pStyle w:val="TableTextColumnHeading"/>
            </w:pPr>
            <w:r w:rsidRPr="00FE4491">
              <w:t>Monitoring and Evaluation</w:t>
            </w:r>
          </w:p>
        </w:tc>
        <w:tc>
          <w:tcPr>
            <w:tcW w:w="458" w:type="pct"/>
            <w:gridSpan w:val="2"/>
            <w:textDirection w:val="btLr"/>
          </w:tcPr>
          <w:p w:rsidR="00BD1AFA" w:rsidRPr="00FE4491" w:rsidRDefault="00BD1AFA" w:rsidP="00A40491">
            <w:pPr>
              <w:pStyle w:val="TableTextColumnHeading"/>
            </w:pPr>
            <w:r w:rsidRPr="00FE4491">
              <w:t>Sustainability</w:t>
            </w:r>
          </w:p>
        </w:tc>
        <w:tc>
          <w:tcPr>
            <w:tcW w:w="453" w:type="pct"/>
            <w:textDirection w:val="btLr"/>
          </w:tcPr>
          <w:p w:rsidR="00BD1AFA" w:rsidRPr="00FE4491" w:rsidRDefault="00BD1AFA" w:rsidP="00A40491">
            <w:pPr>
              <w:pStyle w:val="TableTextColumnHeading"/>
            </w:pPr>
            <w:r w:rsidRPr="00FE4491">
              <w:t>Gender equality</w:t>
            </w:r>
          </w:p>
        </w:tc>
      </w:tr>
      <w:tr w:rsidR="00917AED" w:rsidRPr="009D53C4" w:rsidTr="00917AED">
        <w:trPr>
          <w:cnfStyle w:val="000000010000" w:firstRow="0" w:lastRow="0" w:firstColumn="0" w:lastColumn="0" w:oddVBand="0" w:evenVBand="0" w:oddHBand="0" w:evenHBand="1" w:firstRowFirstColumn="0" w:firstRowLastColumn="0" w:lastRowFirstColumn="0" w:lastRowLastColumn="0"/>
          <w:trHeight w:val="412"/>
        </w:trPr>
        <w:tc>
          <w:tcPr>
            <w:tcW w:w="930" w:type="pct"/>
            <w:vMerge w:val="restart"/>
            <w:vAlign w:val="center"/>
          </w:tcPr>
          <w:p w:rsidR="00BD1AFA" w:rsidRPr="00FE4491" w:rsidRDefault="00BD1AFA" w:rsidP="00A40491">
            <w:pPr>
              <w:pStyle w:val="TableTextEntries"/>
            </w:pPr>
            <w:r>
              <w:t>Micro-Enterprise Development Programme Phase (MEDEP) –Phase IV</w:t>
            </w:r>
          </w:p>
        </w:tc>
        <w:tc>
          <w:tcPr>
            <w:tcW w:w="707" w:type="pct"/>
            <w:vMerge w:val="restart"/>
            <w:vAlign w:val="center"/>
          </w:tcPr>
          <w:p w:rsidR="00BD1AFA" w:rsidRDefault="00BD1AFA" w:rsidP="00A40491">
            <w:pPr>
              <w:pStyle w:val="TableTextEntries"/>
            </w:pPr>
            <w:r>
              <w:t>$33.9 million</w:t>
            </w:r>
          </w:p>
          <w:p w:rsidR="00BD1AFA" w:rsidRPr="00FE4491" w:rsidRDefault="00BD1AFA" w:rsidP="00A40491">
            <w:pPr>
              <w:pStyle w:val="TableTextEntries"/>
            </w:pPr>
            <w:r>
              <w:t>(2013/14 – 2016/17)</w:t>
            </w:r>
          </w:p>
        </w:tc>
        <w:tc>
          <w:tcPr>
            <w:tcW w:w="328" w:type="pct"/>
            <w:vAlign w:val="center"/>
          </w:tcPr>
          <w:p w:rsidR="00BD1AFA" w:rsidRPr="00FE4491" w:rsidRDefault="00BD1AFA" w:rsidP="00A40491">
            <w:pPr>
              <w:pStyle w:val="TableTextEntries"/>
            </w:pPr>
            <w:r w:rsidRPr="00FE4491">
              <w:t>201</w:t>
            </w:r>
            <w:r>
              <w:t>3</w:t>
            </w:r>
          </w:p>
        </w:tc>
        <w:tc>
          <w:tcPr>
            <w:tcW w:w="480" w:type="pct"/>
            <w:gridSpan w:val="2"/>
            <w:shd w:val="clear" w:color="auto" w:fill="72AF2F"/>
            <w:noWrap/>
            <w:vAlign w:val="center"/>
          </w:tcPr>
          <w:p w:rsidR="00BD1AFA" w:rsidRPr="00FE4491" w:rsidRDefault="00BD1AFA" w:rsidP="00A40491">
            <w:pPr>
              <w:pStyle w:val="TableTextEntries"/>
              <w:jc w:val="center"/>
            </w:pPr>
            <w:r>
              <w:t>6</w:t>
            </w:r>
          </w:p>
        </w:tc>
        <w:tc>
          <w:tcPr>
            <w:tcW w:w="502" w:type="pct"/>
            <w:gridSpan w:val="2"/>
            <w:shd w:val="clear" w:color="auto" w:fill="FFFF00"/>
            <w:noWrap/>
            <w:vAlign w:val="center"/>
          </w:tcPr>
          <w:p w:rsidR="00BD1AFA" w:rsidRPr="00FE4491" w:rsidRDefault="00BD1AFA" w:rsidP="00A40491">
            <w:pPr>
              <w:pStyle w:val="TableTextEntries"/>
              <w:jc w:val="center"/>
            </w:pPr>
            <w:r>
              <w:t>4</w:t>
            </w:r>
          </w:p>
        </w:tc>
        <w:tc>
          <w:tcPr>
            <w:tcW w:w="490" w:type="pct"/>
            <w:gridSpan w:val="2"/>
            <w:shd w:val="clear" w:color="auto" w:fill="FFFF00"/>
            <w:noWrap/>
            <w:vAlign w:val="center"/>
          </w:tcPr>
          <w:p w:rsidR="00BD1AFA" w:rsidRPr="00FE4491" w:rsidRDefault="00BD1AFA" w:rsidP="00A40491">
            <w:pPr>
              <w:pStyle w:val="TableTextEntries"/>
              <w:jc w:val="center"/>
            </w:pPr>
            <w:r w:rsidRPr="00FE4491">
              <w:t>4</w:t>
            </w:r>
          </w:p>
        </w:tc>
        <w:tc>
          <w:tcPr>
            <w:tcW w:w="490" w:type="pct"/>
            <w:gridSpan w:val="2"/>
            <w:shd w:val="clear" w:color="auto" w:fill="F79646" w:themeFill="accent6"/>
            <w:noWrap/>
            <w:vAlign w:val="center"/>
          </w:tcPr>
          <w:p w:rsidR="00BD1AFA" w:rsidRPr="00FE4491" w:rsidRDefault="00BD1AFA" w:rsidP="00A40491">
            <w:pPr>
              <w:pStyle w:val="TableTextEntries"/>
              <w:jc w:val="center"/>
            </w:pPr>
            <w:r>
              <w:t>3</w:t>
            </w:r>
          </w:p>
        </w:tc>
        <w:tc>
          <w:tcPr>
            <w:tcW w:w="480" w:type="pct"/>
            <w:gridSpan w:val="2"/>
            <w:shd w:val="clear" w:color="auto" w:fill="FFFF00"/>
            <w:noWrap/>
            <w:vAlign w:val="center"/>
          </w:tcPr>
          <w:p w:rsidR="00BD1AFA" w:rsidRPr="00FE4491" w:rsidRDefault="00BD1AFA" w:rsidP="00A40491">
            <w:pPr>
              <w:pStyle w:val="TableTextEntries"/>
              <w:jc w:val="center"/>
            </w:pPr>
            <w:r>
              <w:t>4</w:t>
            </w:r>
          </w:p>
        </w:tc>
        <w:tc>
          <w:tcPr>
            <w:tcW w:w="489" w:type="pct"/>
            <w:gridSpan w:val="2"/>
            <w:shd w:val="clear" w:color="auto" w:fill="72AF2F"/>
            <w:noWrap/>
            <w:vAlign w:val="center"/>
          </w:tcPr>
          <w:p w:rsidR="00BD1AFA" w:rsidRPr="00FE4491" w:rsidRDefault="00BD1AFA" w:rsidP="00A40491">
            <w:pPr>
              <w:pStyle w:val="TableTextEntries"/>
              <w:jc w:val="center"/>
            </w:pPr>
            <w:r>
              <w:t>5</w:t>
            </w:r>
          </w:p>
        </w:tc>
      </w:tr>
      <w:tr w:rsidR="00917AED" w:rsidRPr="009D53C4" w:rsidTr="00917AED">
        <w:trPr>
          <w:cnfStyle w:val="000000010000" w:firstRow="0" w:lastRow="0" w:firstColumn="0" w:lastColumn="0" w:oddVBand="0" w:evenVBand="0" w:oddHBand="0" w:evenHBand="1" w:firstRowFirstColumn="0" w:firstRowLastColumn="0" w:lastRowFirstColumn="0" w:lastRowLastColumn="0"/>
          <w:trHeight w:val="411"/>
        </w:trPr>
        <w:tc>
          <w:tcPr>
            <w:tcW w:w="930" w:type="pct"/>
            <w:vMerge/>
            <w:vAlign w:val="center"/>
          </w:tcPr>
          <w:p w:rsidR="00BD1AFA" w:rsidRDefault="00BD1AFA" w:rsidP="00A40491">
            <w:pPr>
              <w:pStyle w:val="TableTextEntries"/>
            </w:pPr>
          </w:p>
        </w:tc>
        <w:tc>
          <w:tcPr>
            <w:tcW w:w="707" w:type="pct"/>
            <w:vMerge/>
            <w:vAlign w:val="center"/>
          </w:tcPr>
          <w:p w:rsidR="00BD1AFA" w:rsidRDefault="00BD1AFA" w:rsidP="00A40491">
            <w:pPr>
              <w:pStyle w:val="TableTextEntries"/>
            </w:pPr>
          </w:p>
        </w:tc>
        <w:tc>
          <w:tcPr>
            <w:tcW w:w="328" w:type="pct"/>
            <w:vAlign w:val="center"/>
          </w:tcPr>
          <w:p w:rsidR="00BD1AFA" w:rsidRPr="00FE4491" w:rsidRDefault="00BD1AFA" w:rsidP="00A40491">
            <w:pPr>
              <w:pStyle w:val="TableTextEntries"/>
            </w:pPr>
            <w:r>
              <w:t>2012</w:t>
            </w:r>
          </w:p>
        </w:tc>
        <w:tc>
          <w:tcPr>
            <w:tcW w:w="480" w:type="pct"/>
            <w:gridSpan w:val="2"/>
            <w:shd w:val="clear" w:color="auto" w:fill="72AF2F"/>
            <w:noWrap/>
            <w:vAlign w:val="center"/>
          </w:tcPr>
          <w:p w:rsidR="00BD1AFA" w:rsidRDefault="00BD1AFA" w:rsidP="00A40491">
            <w:pPr>
              <w:pStyle w:val="TableTextEntries"/>
              <w:jc w:val="center"/>
            </w:pPr>
            <w:r>
              <w:t>6</w:t>
            </w:r>
          </w:p>
        </w:tc>
        <w:tc>
          <w:tcPr>
            <w:tcW w:w="502" w:type="pct"/>
            <w:gridSpan w:val="2"/>
            <w:shd w:val="clear" w:color="auto" w:fill="72AF2F"/>
            <w:noWrap/>
            <w:vAlign w:val="center"/>
          </w:tcPr>
          <w:p w:rsidR="00BD1AFA" w:rsidRDefault="00BD1AFA" w:rsidP="00A40491">
            <w:pPr>
              <w:pStyle w:val="TableTextEntries"/>
              <w:jc w:val="center"/>
            </w:pPr>
            <w:r>
              <w:t>5</w:t>
            </w:r>
          </w:p>
        </w:tc>
        <w:tc>
          <w:tcPr>
            <w:tcW w:w="490" w:type="pct"/>
            <w:gridSpan w:val="2"/>
            <w:shd w:val="clear" w:color="auto" w:fill="72AF2F"/>
            <w:noWrap/>
            <w:vAlign w:val="center"/>
          </w:tcPr>
          <w:p w:rsidR="00BD1AFA" w:rsidRPr="00FE4491" w:rsidRDefault="00BD1AFA" w:rsidP="00A40491">
            <w:pPr>
              <w:pStyle w:val="TableTextEntries"/>
              <w:jc w:val="center"/>
            </w:pPr>
            <w:r>
              <w:t>5</w:t>
            </w:r>
          </w:p>
        </w:tc>
        <w:tc>
          <w:tcPr>
            <w:tcW w:w="490" w:type="pct"/>
            <w:gridSpan w:val="2"/>
            <w:shd w:val="clear" w:color="auto" w:fill="FFFF00"/>
            <w:noWrap/>
            <w:vAlign w:val="center"/>
          </w:tcPr>
          <w:p w:rsidR="00BD1AFA" w:rsidRDefault="00BD1AFA" w:rsidP="00A40491">
            <w:pPr>
              <w:pStyle w:val="TableTextEntries"/>
              <w:jc w:val="center"/>
            </w:pPr>
            <w:r>
              <w:t>4</w:t>
            </w:r>
          </w:p>
        </w:tc>
        <w:tc>
          <w:tcPr>
            <w:tcW w:w="480" w:type="pct"/>
            <w:gridSpan w:val="2"/>
            <w:shd w:val="clear" w:color="auto" w:fill="FFFF00"/>
            <w:noWrap/>
            <w:vAlign w:val="center"/>
          </w:tcPr>
          <w:p w:rsidR="00BD1AFA" w:rsidRDefault="00BD1AFA" w:rsidP="00A40491">
            <w:pPr>
              <w:pStyle w:val="TableTextEntries"/>
              <w:jc w:val="center"/>
            </w:pPr>
            <w:r>
              <w:t>4</w:t>
            </w:r>
          </w:p>
        </w:tc>
        <w:tc>
          <w:tcPr>
            <w:tcW w:w="489" w:type="pct"/>
            <w:gridSpan w:val="2"/>
            <w:shd w:val="clear" w:color="auto" w:fill="72AF2F"/>
            <w:noWrap/>
            <w:vAlign w:val="center"/>
          </w:tcPr>
          <w:p w:rsidR="00BD1AFA" w:rsidRDefault="00BD1AFA" w:rsidP="00A40491">
            <w:pPr>
              <w:pStyle w:val="TableTextEntries"/>
              <w:jc w:val="center"/>
            </w:pPr>
            <w:r>
              <w:t>5</w:t>
            </w:r>
          </w:p>
        </w:tc>
      </w:tr>
      <w:tr w:rsidR="00917AED" w:rsidRPr="009D53C4" w:rsidTr="00917AED">
        <w:trPr>
          <w:cnfStyle w:val="000000010000" w:firstRow="0" w:lastRow="0" w:firstColumn="0" w:lastColumn="0" w:oddVBand="0" w:evenVBand="0" w:oddHBand="0" w:evenHBand="1" w:firstRowFirstColumn="0" w:firstRowLastColumn="0" w:lastRowFirstColumn="0" w:lastRowLastColumn="0"/>
          <w:trHeight w:val="331"/>
        </w:trPr>
        <w:tc>
          <w:tcPr>
            <w:tcW w:w="930" w:type="pct"/>
            <w:vMerge w:val="restart"/>
          </w:tcPr>
          <w:p w:rsidR="00BD1AFA" w:rsidRPr="00FE4491" w:rsidRDefault="00BD1AFA" w:rsidP="00A40491">
            <w:pPr>
              <w:pStyle w:val="TableTextEntries"/>
            </w:pPr>
            <w:r>
              <w:t>School Sector Reform Program (SSRP)</w:t>
            </w:r>
          </w:p>
        </w:tc>
        <w:tc>
          <w:tcPr>
            <w:tcW w:w="707" w:type="pct"/>
            <w:vMerge w:val="restart"/>
          </w:tcPr>
          <w:p w:rsidR="00BD1AFA" w:rsidRDefault="00BD1AFA" w:rsidP="00A40491">
            <w:pPr>
              <w:pStyle w:val="TableTextEntries"/>
            </w:pPr>
            <w:r>
              <w:t>$23.1 million</w:t>
            </w:r>
          </w:p>
          <w:p w:rsidR="00BD1AFA" w:rsidRPr="00FE4491" w:rsidRDefault="00BD1AFA" w:rsidP="00A40491">
            <w:pPr>
              <w:pStyle w:val="TableTextEntries"/>
            </w:pPr>
            <w:r>
              <w:t>(2010/11 – 2015/16)</w:t>
            </w:r>
          </w:p>
        </w:tc>
        <w:tc>
          <w:tcPr>
            <w:tcW w:w="328" w:type="pct"/>
          </w:tcPr>
          <w:p w:rsidR="00BD1AFA" w:rsidRPr="00FE4491" w:rsidRDefault="00BD1AFA" w:rsidP="00A40491">
            <w:pPr>
              <w:pStyle w:val="TableTextEntries"/>
            </w:pPr>
            <w:r w:rsidRPr="00FE4491">
              <w:t>201</w:t>
            </w:r>
            <w:r>
              <w:t>3</w:t>
            </w:r>
          </w:p>
        </w:tc>
        <w:tc>
          <w:tcPr>
            <w:tcW w:w="480" w:type="pct"/>
            <w:gridSpan w:val="2"/>
            <w:shd w:val="clear" w:color="auto" w:fill="72AF2F"/>
            <w:noWrap/>
          </w:tcPr>
          <w:p w:rsidR="00BD1AFA" w:rsidRPr="00FE4491" w:rsidRDefault="00BD1AFA" w:rsidP="00A40491">
            <w:pPr>
              <w:pStyle w:val="TableTextEntries"/>
              <w:jc w:val="center"/>
            </w:pPr>
            <w:r>
              <w:t>6</w:t>
            </w:r>
          </w:p>
        </w:tc>
        <w:tc>
          <w:tcPr>
            <w:tcW w:w="502" w:type="pct"/>
            <w:gridSpan w:val="2"/>
            <w:shd w:val="clear" w:color="auto" w:fill="FFFF00"/>
            <w:noWrap/>
          </w:tcPr>
          <w:p w:rsidR="00BD1AFA" w:rsidRPr="00FE4491" w:rsidRDefault="00BD1AFA" w:rsidP="00A40491">
            <w:pPr>
              <w:pStyle w:val="TableTextEntries"/>
              <w:jc w:val="center"/>
            </w:pPr>
            <w:r>
              <w:t>4</w:t>
            </w:r>
          </w:p>
        </w:tc>
        <w:tc>
          <w:tcPr>
            <w:tcW w:w="490" w:type="pct"/>
            <w:gridSpan w:val="2"/>
            <w:shd w:val="clear" w:color="auto" w:fill="FFFF00"/>
            <w:noWrap/>
          </w:tcPr>
          <w:p w:rsidR="00BD1AFA" w:rsidRPr="00FE4491" w:rsidRDefault="00BD1AFA" w:rsidP="00A40491">
            <w:pPr>
              <w:pStyle w:val="TableTextEntries"/>
              <w:jc w:val="center"/>
            </w:pPr>
            <w:r>
              <w:t>4</w:t>
            </w:r>
          </w:p>
        </w:tc>
        <w:tc>
          <w:tcPr>
            <w:tcW w:w="490" w:type="pct"/>
            <w:gridSpan w:val="2"/>
            <w:shd w:val="clear" w:color="auto" w:fill="FFFF00"/>
            <w:noWrap/>
          </w:tcPr>
          <w:p w:rsidR="00BD1AFA" w:rsidRPr="00FE4491" w:rsidRDefault="00BD1AFA" w:rsidP="00A40491">
            <w:pPr>
              <w:pStyle w:val="TableTextEntries"/>
              <w:jc w:val="center"/>
            </w:pPr>
            <w:r>
              <w:t>4</w:t>
            </w:r>
          </w:p>
        </w:tc>
        <w:tc>
          <w:tcPr>
            <w:tcW w:w="480" w:type="pct"/>
            <w:gridSpan w:val="2"/>
            <w:shd w:val="clear" w:color="auto" w:fill="FFFF00"/>
            <w:noWrap/>
          </w:tcPr>
          <w:p w:rsidR="00BD1AFA" w:rsidRPr="00FE4491" w:rsidRDefault="00BD1AFA" w:rsidP="00A40491">
            <w:pPr>
              <w:pStyle w:val="TableTextEntries"/>
              <w:jc w:val="center"/>
            </w:pPr>
            <w:r>
              <w:t>4</w:t>
            </w:r>
          </w:p>
        </w:tc>
        <w:tc>
          <w:tcPr>
            <w:tcW w:w="489" w:type="pct"/>
            <w:gridSpan w:val="2"/>
            <w:shd w:val="clear" w:color="auto" w:fill="72AF2F"/>
            <w:noWrap/>
          </w:tcPr>
          <w:p w:rsidR="00BD1AFA" w:rsidRPr="00FE4491" w:rsidRDefault="00BD1AFA" w:rsidP="00A40491">
            <w:pPr>
              <w:pStyle w:val="TableTextEntries"/>
              <w:jc w:val="center"/>
            </w:pPr>
            <w:r>
              <w:t>5</w:t>
            </w:r>
          </w:p>
        </w:tc>
      </w:tr>
      <w:tr w:rsidR="00917AED" w:rsidRPr="009D53C4" w:rsidTr="00917AED">
        <w:trPr>
          <w:cnfStyle w:val="000000010000" w:firstRow="0" w:lastRow="0" w:firstColumn="0" w:lastColumn="0" w:oddVBand="0" w:evenVBand="0" w:oddHBand="0" w:evenHBand="1" w:firstRowFirstColumn="0" w:firstRowLastColumn="0" w:lastRowFirstColumn="0" w:lastRowLastColumn="0"/>
          <w:trHeight w:val="331"/>
        </w:trPr>
        <w:tc>
          <w:tcPr>
            <w:tcW w:w="930" w:type="pct"/>
            <w:vMerge/>
          </w:tcPr>
          <w:p w:rsidR="00BD1AFA" w:rsidRPr="00FE4491" w:rsidRDefault="00BD1AFA" w:rsidP="00A40491">
            <w:pPr>
              <w:pStyle w:val="TableTextEntries"/>
            </w:pPr>
          </w:p>
        </w:tc>
        <w:tc>
          <w:tcPr>
            <w:tcW w:w="707" w:type="pct"/>
            <w:vMerge/>
          </w:tcPr>
          <w:p w:rsidR="00BD1AFA" w:rsidRPr="00FE4491" w:rsidRDefault="00BD1AFA" w:rsidP="00A40491">
            <w:pPr>
              <w:pStyle w:val="TableTextEntries"/>
            </w:pPr>
          </w:p>
        </w:tc>
        <w:tc>
          <w:tcPr>
            <w:tcW w:w="328" w:type="pct"/>
          </w:tcPr>
          <w:p w:rsidR="00BD1AFA" w:rsidRPr="00FE4491" w:rsidRDefault="00BD1AFA" w:rsidP="00A40491">
            <w:pPr>
              <w:pStyle w:val="TableTextEntries"/>
            </w:pPr>
            <w:r w:rsidRPr="00FE4491">
              <w:t>201</w:t>
            </w:r>
            <w:r>
              <w:t>2</w:t>
            </w:r>
          </w:p>
        </w:tc>
        <w:tc>
          <w:tcPr>
            <w:tcW w:w="480" w:type="pct"/>
            <w:gridSpan w:val="2"/>
            <w:shd w:val="clear" w:color="auto" w:fill="72AF2F"/>
            <w:noWrap/>
            <w:vAlign w:val="center"/>
          </w:tcPr>
          <w:p w:rsidR="00BD1AFA" w:rsidRDefault="00BD1AFA" w:rsidP="00A40491">
            <w:pPr>
              <w:pStyle w:val="TableTextEntries"/>
              <w:jc w:val="center"/>
            </w:pPr>
            <w:r>
              <w:t>6</w:t>
            </w:r>
          </w:p>
        </w:tc>
        <w:tc>
          <w:tcPr>
            <w:tcW w:w="502" w:type="pct"/>
            <w:gridSpan w:val="2"/>
            <w:shd w:val="clear" w:color="auto" w:fill="72AF2F"/>
            <w:noWrap/>
            <w:vAlign w:val="center"/>
          </w:tcPr>
          <w:p w:rsidR="00BD1AFA" w:rsidRDefault="00BD1AFA" w:rsidP="00A40491">
            <w:pPr>
              <w:pStyle w:val="TableTextEntries"/>
              <w:jc w:val="center"/>
            </w:pPr>
            <w:r>
              <w:t>5</w:t>
            </w:r>
          </w:p>
        </w:tc>
        <w:tc>
          <w:tcPr>
            <w:tcW w:w="490" w:type="pct"/>
            <w:gridSpan w:val="2"/>
            <w:shd w:val="clear" w:color="auto" w:fill="FFFF00"/>
            <w:noWrap/>
            <w:vAlign w:val="center"/>
          </w:tcPr>
          <w:p w:rsidR="00BD1AFA" w:rsidRPr="00FE4491" w:rsidRDefault="00BD1AFA" w:rsidP="00A40491">
            <w:pPr>
              <w:pStyle w:val="TableTextEntries"/>
              <w:jc w:val="center"/>
            </w:pPr>
            <w:r>
              <w:t>4</w:t>
            </w:r>
          </w:p>
        </w:tc>
        <w:tc>
          <w:tcPr>
            <w:tcW w:w="490" w:type="pct"/>
            <w:gridSpan w:val="2"/>
            <w:shd w:val="clear" w:color="auto" w:fill="FFFF00"/>
            <w:noWrap/>
            <w:vAlign w:val="center"/>
          </w:tcPr>
          <w:p w:rsidR="00BD1AFA" w:rsidRDefault="00BD1AFA" w:rsidP="00A40491">
            <w:pPr>
              <w:pStyle w:val="TableTextEntries"/>
              <w:jc w:val="center"/>
            </w:pPr>
            <w:r>
              <w:t>4</w:t>
            </w:r>
          </w:p>
        </w:tc>
        <w:tc>
          <w:tcPr>
            <w:tcW w:w="480" w:type="pct"/>
            <w:gridSpan w:val="2"/>
            <w:shd w:val="clear" w:color="auto" w:fill="FFFF00"/>
            <w:noWrap/>
            <w:vAlign w:val="center"/>
          </w:tcPr>
          <w:p w:rsidR="00BD1AFA" w:rsidRDefault="00BD1AFA" w:rsidP="00A40491">
            <w:pPr>
              <w:pStyle w:val="TableTextEntries"/>
              <w:jc w:val="center"/>
            </w:pPr>
            <w:r>
              <w:t>4</w:t>
            </w:r>
          </w:p>
        </w:tc>
        <w:tc>
          <w:tcPr>
            <w:tcW w:w="489" w:type="pct"/>
            <w:gridSpan w:val="2"/>
            <w:shd w:val="clear" w:color="auto" w:fill="72AF2F"/>
            <w:noWrap/>
            <w:vAlign w:val="center"/>
          </w:tcPr>
          <w:p w:rsidR="00BD1AFA" w:rsidRDefault="00BD1AFA" w:rsidP="00A40491">
            <w:pPr>
              <w:pStyle w:val="TableTextEntries"/>
              <w:jc w:val="center"/>
            </w:pPr>
            <w:r>
              <w:t>5</w:t>
            </w:r>
          </w:p>
        </w:tc>
      </w:tr>
      <w:tr w:rsidR="00917AED" w:rsidRPr="009D53C4" w:rsidTr="00917AED">
        <w:trPr>
          <w:cnfStyle w:val="000000010000" w:firstRow="0" w:lastRow="0" w:firstColumn="0" w:lastColumn="0" w:oddVBand="0" w:evenVBand="0" w:oddHBand="0" w:evenHBand="1" w:firstRowFirstColumn="0" w:firstRowLastColumn="0" w:lastRowFirstColumn="0" w:lastRowLastColumn="0"/>
          <w:trHeight w:val="331"/>
        </w:trPr>
        <w:tc>
          <w:tcPr>
            <w:tcW w:w="930" w:type="pct"/>
            <w:vMerge w:val="restart"/>
          </w:tcPr>
          <w:p w:rsidR="00BD1AFA" w:rsidRPr="00FE4491" w:rsidRDefault="00BD1AFA" w:rsidP="00A40491">
            <w:pPr>
              <w:pStyle w:val="TableTextEntries"/>
            </w:pPr>
            <w:r>
              <w:t>Nepal Health Sector Program (NHSP)</w:t>
            </w:r>
          </w:p>
        </w:tc>
        <w:tc>
          <w:tcPr>
            <w:tcW w:w="707" w:type="pct"/>
            <w:vMerge w:val="restart"/>
          </w:tcPr>
          <w:p w:rsidR="00BD1AFA" w:rsidRDefault="00BD1AFA" w:rsidP="00A40491">
            <w:pPr>
              <w:pStyle w:val="TableTextEntries"/>
            </w:pPr>
            <w:r>
              <w:t>$26 million</w:t>
            </w:r>
          </w:p>
          <w:p w:rsidR="00BD1AFA" w:rsidRPr="00FE4491" w:rsidRDefault="00BD1AFA" w:rsidP="00A40491">
            <w:pPr>
              <w:pStyle w:val="TableTextEntries"/>
            </w:pPr>
            <w:r>
              <w:t>(2010/11 – 2014/15)</w:t>
            </w:r>
          </w:p>
        </w:tc>
        <w:tc>
          <w:tcPr>
            <w:tcW w:w="328" w:type="pct"/>
          </w:tcPr>
          <w:p w:rsidR="00BD1AFA" w:rsidRPr="00FE4491" w:rsidRDefault="00BD1AFA" w:rsidP="00A40491">
            <w:pPr>
              <w:pStyle w:val="TableTextEntries"/>
            </w:pPr>
            <w:r>
              <w:t>2013</w:t>
            </w:r>
          </w:p>
        </w:tc>
        <w:tc>
          <w:tcPr>
            <w:tcW w:w="480" w:type="pct"/>
            <w:gridSpan w:val="2"/>
            <w:shd w:val="clear" w:color="auto" w:fill="72AF2F"/>
            <w:noWrap/>
            <w:vAlign w:val="center"/>
          </w:tcPr>
          <w:p w:rsidR="00BD1AFA" w:rsidRDefault="00BD1AFA" w:rsidP="00A40491">
            <w:pPr>
              <w:pStyle w:val="TableTextEntries"/>
              <w:jc w:val="center"/>
            </w:pPr>
            <w:r>
              <w:t>5</w:t>
            </w:r>
          </w:p>
        </w:tc>
        <w:tc>
          <w:tcPr>
            <w:tcW w:w="502" w:type="pct"/>
            <w:gridSpan w:val="2"/>
            <w:shd w:val="clear" w:color="auto" w:fill="FFFF00"/>
            <w:noWrap/>
            <w:vAlign w:val="center"/>
          </w:tcPr>
          <w:p w:rsidR="00BD1AFA" w:rsidRDefault="00BD1AFA" w:rsidP="00A40491">
            <w:pPr>
              <w:pStyle w:val="TableTextEntries"/>
              <w:jc w:val="center"/>
            </w:pPr>
            <w:r>
              <w:t>4</w:t>
            </w:r>
          </w:p>
        </w:tc>
        <w:tc>
          <w:tcPr>
            <w:tcW w:w="490" w:type="pct"/>
            <w:gridSpan w:val="2"/>
            <w:shd w:val="clear" w:color="auto" w:fill="FFFF00"/>
            <w:noWrap/>
            <w:vAlign w:val="center"/>
          </w:tcPr>
          <w:p w:rsidR="00BD1AFA" w:rsidRDefault="00BD1AFA" w:rsidP="00A40491">
            <w:pPr>
              <w:pStyle w:val="TableTextEntries"/>
              <w:jc w:val="center"/>
            </w:pPr>
            <w:r>
              <w:t>4</w:t>
            </w:r>
          </w:p>
        </w:tc>
        <w:tc>
          <w:tcPr>
            <w:tcW w:w="490" w:type="pct"/>
            <w:gridSpan w:val="2"/>
            <w:shd w:val="clear" w:color="auto" w:fill="72AF2F"/>
            <w:noWrap/>
            <w:vAlign w:val="center"/>
          </w:tcPr>
          <w:p w:rsidR="00BD1AFA" w:rsidRDefault="00BD1AFA" w:rsidP="00A40491">
            <w:pPr>
              <w:pStyle w:val="TableTextEntries"/>
              <w:jc w:val="center"/>
            </w:pPr>
            <w:r>
              <w:t>5</w:t>
            </w:r>
          </w:p>
        </w:tc>
        <w:tc>
          <w:tcPr>
            <w:tcW w:w="480" w:type="pct"/>
            <w:gridSpan w:val="2"/>
            <w:shd w:val="clear" w:color="auto" w:fill="FFFF00"/>
            <w:noWrap/>
            <w:vAlign w:val="center"/>
          </w:tcPr>
          <w:p w:rsidR="00BD1AFA" w:rsidRDefault="00BD1AFA" w:rsidP="00A40491">
            <w:pPr>
              <w:pStyle w:val="TableTextEntries"/>
              <w:jc w:val="center"/>
            </w:pPr>
            <w:r>
              <w:t>4</w:t>
            </w:r>
          </w:p>
        </w:tc>
        <w:tc>
          <w:tcPr>
            <w:tcW w:w="489" w:type="pct"/>
            <w:gridSpan w:val="2"/>
            <w:shd w:val="clear" w:color="auto" w:fill="FFFF00"/>
            <w:noWrap/>
            <w:vAlign w:val="center"/>
          </w:tcPr>
          <w:p w:rsidR="00BD1AFA" w:rsidRDefault="00BD1AFA" w:rsidP="00A40491">
            <w:pPr>
              <w:pStyle w:val="TableTextEntries"/>
              <w:jc w:val="center"/>
            </w:pPr>
            <w:r>
              <w:t>4</w:t>
            </w:r>
          </w:p>
        </w:tc>
      </w:tr>
      <w:tr w:rsidR="00917AED" w:rsidRPr="009D53C4" w:rsidTr="00917AED">
        <w:trPr>
          <w:cnfStyle w:val="000000010000" w:firstRow="0" w:lastRow="0" w:firstColumn="0" w:lastColumn="0" w:oddVBand="0" w:evenVBand="0" w:oddHBand="0" w:evenHBand="1" w:firstRowFirstColumn="0" w:firstRowLastColumn="0" w:lastRowFirstColumn="0" w:lastRowLastColumn="0"/>
          <w:trHeight w:val="331"/>
        </w:trPr>
        <w:tc>
          <w:tcPr>
            <w:tcW w:w="930" w:type="pct"/>
            <w:vMerge/>
          </w:tcPr>
          <w:p w:rsidR="00BD1AFA" w:rsidRPr="00FE4491" w:rsidRDefault="00BD1AFA" w:rsidP="00A40491">
            <w:pPr>
              <w:pStyle w:val="TableTextEntries"/>
            </w:pPr>
          </w:p>
        </w:tc>
        <w:tc>
          <w:tcPr>
            <w:tcW w:w="707" w:type="pct"/>
            <w:vMerge/>
          </w:tcPr>
          <w:p w:rsidR="00BD1AFA" w:rsidRPr="00FE4491" w:rsidRDefault="00BD1AFA" w:rsidP="00A40491">
            <w:pPr>
              <w:pStyle w:val="TableTextEntries"/>
            </w:pPr>
          </w:p>
        </w:tc>
        <w:tc>
          <w:tcPr>
            <w:tcW w:w="328" w:type="pct"/>
          </w:tcPr>
          <w:p w:rsidR="00BD1AFA" w:rsidRPr="00FE4491" w:rsidRDefault="00BD1AFA" w:rsidP="00A40491">
            <w:pPr>
              <w:pStyle w:val="TableTextEntries"/>
            </w:pPr>
            <w:r>
              <w:t>2012</w:t>
            </w:r>
          </w:p>
        </w:tc>
        <w:tc>
          <w:tcPr>
            <w:tcW w:w="480" w:type="pct"/>
            <w:gridSpan w:val="2"/>
            <w:shd w:val="clear" w:color="auto" w:fill="72AF2F"/>
            <w:noWrap/>
            <w:vAlign w:val="center"/>
          </w:tcPr>
          <w:p w:rsidR="00BD1AFA" w:rsidRDefault="00BD1AFA" w:rsidP="00A40491">
            <w:pPr>
              <w:pStyle w:val="TableTextEntries"/>
              <w:jc w:val="center"/>
            </w:pPr>
            <w:r>
              <w:t>5</w:t>
            </w:r>
          </w:p>
        </w:tc>
        <w:tc>
          <w:tcPr>
            <w:tcW w:w="502" w:type="pct"/>
            <w:gridSpan w:val="2"/>
            <w:shd w:val="clear" w:color="auto" w:fill="FFFF00"/>
            <w:noWrap/>
            <w:vAlign w:val="center"/>
          </w:tcPr>
          <w:p w:rsidR="00BD1AFA" w:rsidRDefault="00BD1AFA" w:rsidP="00A40491">
            <w:pPr>
              <w:pStyle w:val="TableTextEntries"/>
              <w:jc w:val="center"/>
            </w:pPr>
            <w:r>
              <w:t>4</w:t>
            </w:r>
          </w:p>
        </w:tc>
        <w:tc>
          <w:tcPr>
            <w:tcW w:w="490" w:type="pct"/>
            <w:gridSpan w:val="2"/>
            <w:shd w:val="clear" w:color="auto" w:fill="FFFF00"/>
            <w:noWrap/>
            <w:vAlign w:val="center"/>
          </w:tcPr>
          <w:p w:rsidR="00BD1AFA" w:rsidRDefault="00BD1AFA" w:rsidP="00A40491">
            <w:pPr>
              <w:pStyle w:val="TableTextEntries"/>
              <w:jc w:val="center"/>
            </w:pPr>
            <w:r>
              <w:t>4</w:t>
            </w:r>
          </w:p>
        </w:tc>
        <w:tc>
          <w:tcPr>
            <w:tcW w:w="490" w:type="pct"/>
            <w:gridSpan w:val="2"/>
            <w:shd w:val="clear" w:color="auto" w:fill="72AF2F"/>
            <w:noWrap/>
            <w:vAlign w:val="center"/>
          </w:tcPr>
          <w:p w:rsidR="00BD1AFA" w:rsidRDefault="00BD1AFA" w:rsidP="00A40491">
            <w:pPr>
              <w:pStyle w:val="TableTextEntries"/>
              <w:jc w:val="center"/>
            </w:pPr>
            <w:r>
              <w:t>5</w:t>
            </w:r>
          </w:p>
        </w:tc>
        <w:tc>
          <w:tcPr>
            <w:tcW w:w="480" w:type="pct"/>
            <w:gridSpan w:val="2"/>
            <w:shd w:val="clear" w:color="auto" w:fill="FFFF00"/>
            <w:noWrap/>
            <w:vAlign w:val="center"/>
          </w:tcPr>
          <w:p w:rsidR="00BD1AFA" w:rsidRDefault="00BD1AFA" w:rsidP="00A40491">
            <w:pPr>
              <w:pStyle w:val="TableTextEntries"/>
              <w:jc w:val="center"/>
            </w:pPr>
            <w:r>
              <w:t>4</w:t>
            </w:r>
          </w:p>
        </w:tc>
        <w:tc>
          <w:tcPr>
            <w:tcW w:w="489" w:type="pct"/>
            <w:gridSpan w:val="2"/>
            <w:shd w:val="clear" w:color="auto" w:fill="72AF2F"/>
            <w:noWrap/>
            <w:vAlign w:val="center"/>
          </w:tcPr>
          <w:p w:rsidR="00BD1AFA" w:rsidRDefault="00BD1AFA" w:rsidP="00A40491">
            <w:pPr>
              <w:pStyle w:val="TableTextEntries"/>
              <w:jc w:val="center"/>
            </w:pPr>
            <w:r>
              <w:t>5</w:t>
            </w:r>
          </w:p>
        </w:tc>
      </w:tr>
      <w:tr w:rsidR="00917AED" w:rsidRPr="009D53C4" w:rsidTr="00917AED">
        <w:trPr>
          <w:cnfStyle w:val="000000010000" w:firstRow="0" w:lastRow="0" w:firstColumn="0" w:lastColumn="0" w:oddVBand="0" w:evenVBand="0" w:oddHBand="0" w:evenHBand="1" w:firstRowFirstColumn="0" w:firstRowLastColumn="0" w:lastRowFirstColumn="0" w:lastRowLastColumn="0"/>
          <w:trHeight w:val="331"/>
        </w:trPr>
        <w:tc>
          <w:tcPr>
            <w:tcW w:w="930" w:type="pct"/>
            <w:vMerge w:val="restart"/>
          </w:tcPr>
          <w:p w:rsidR="00BD1AFA" w:rsidRPr="00FE4491" w:rsidRDefault="00BD1AFA" w:rsidP="00A40491">
            <w:pPr>
              <w:pStyle w:val="TableTextEntries"/>
            </w:pPr>
            <w:r>
              <w:t>Public Financial Management Multi Donor Trust Fund    (PFM-MDTF)</w:t>
            </w:r>
          </w:p>
        </w:tc>
        <w:tc>
          <w:tcPr>
            <w:tcW w:w="707" w:type="pct"/>
            <w:vMerge w:val="restart"/>
          </w:tcPr>
          <w:p w:rsidR="00BD1AFA" w:rsidRDefault="00BD1AFA" w:rsidP="00A40491">
            <w:pPr>
              <w:pStyle w:val="TableTextEntries"/>
            </w:pPr>
            <w:r>
              <w:t>$2.85 million</w:t>
            </w:r>
          </w:p>
          <w:p w:rsidR="00BD1AFA" w:rsidRPr="00FE4491" w:rsidRDefault="00BD1AFA" w:rsidP="00A40491">
            <w:pPr>
              <w:pStyle w:val="TableTextEntries"/>
            </w:pPr>
            <w:r>
              <w:t xml:space="preserve">(2010/11 </w:t>
            </w:r>
            <w:r w:rsidRPr="00660A8A">
              <w:t>– 2016/17)</w:t>
            </w:r>
          </w:p>
        </w:tc>
        <w:tc>
          <w:tcPr>
            <w:tcW w:w="328" w:type="pct"/>
          </w:tcPr>
          <w:p w:rsidR="00BD1AFA" w:rsidRPr="00FE4491" w:rsidRDefault="00BD1AFA" w:rsidP="00A40491">
            <w:pPr>
              <w:pStyle w:val="TableTextEntries"/>
            </w:pPr>
            <w:r>
              <w:t>2013</w:t>
            </w:r>
          </w:p>
        </w:tc>
        <w:tc>
          <w:tcPr>
            <w:tcW w:w="480" w:type="pct"/>
            <w:gridSpan w:val="2"/>
            <w:shd w:val="clear" w:color="auto" w:fill="72AF2F"/>
            <w:noWrap/>
            <w:vAlign w:val="center"/>
          </w:tcPr>
          <w:p w:rsidR="00BD1AFA" w:rsidRDefault="00BD1AFA" w:rsidP="00A40491">
            <w:pPr>
              <w:pStyle w:val="TableTextEntries"/>
              <w:jc w:val="center"/>
            </w:pPr>
            <w:r>
              <w:t>5</w:t>
            </w:r>
          </w:p>
        </w:tc>
        <w:tc>
          <w:tcPr>
            <w:tcW w:w="502" w:type="pct"/>
            <w:gridSpan w:val="2"/>
            <w:shd w:val="clear" w:color="auto" w:fill="72AF2F"/>
            <w:noWrap/>
            <w:vAlign w:val="center"/>
          </w:tcPr>
          <w:p w:rsidR="00BD1AFA" w:rsidRDefault="00BD1AFA" w:rsidP="00A40491">
            <w:pPr>
              <w:pStyle w:val="TableTextEntries"/>
              <w:jc w:val="center"/>
            </w:pPr>
            <w:r>
              <w:t>5</w:t>
            </w:r>
          </w:p>
        </w:tc>
        <w:tc>
          <w:tcPr>
            <w:tcW w:w="490" w:type="pct"/>
            <w:gridSpan w:val="2"/>
            <w:shd w:val="clear" w:color="auto" w:fill="FFFF00"/>
            <w:noWrap/>
            <w:vAlign w:val="center"/>
          </w:tcPr>
          <w:p w:rsidR="00BD1AFA" w:rsidRDefault="00BD1AFA" w:rsidP="00A40491">
            <w:pPr>
              <w:pStyle w:val="TableTextEntries"/>
              <w:jc w:val="center"/>
            </w:pPr>
            <w:r>
              <w:t>4</w:t>
            </w:r>
          </w:p>
        </w:tc>
        <w:tc>
          <w:tcPr>
            <w:tcW w:w="490" w:type="pct"/>
            <w:gridSpan w:val="2"/>
            <w:shd w:val="clear" w:color="auto" w:fill="FFFF00"/>
            <w:noWrap/>
            <w:vAlign w:val="center"/>
          </w:tcPr>
          <w:p w:rsidR="00BD1AFA" w:rsidRDefault="00BD1AFA" w:rsidP="00A40491">
            <w:pPr>
              <w:pStyle w:val="TableTextEntries"/>
              <w:jc w:val="center"/>
            </w:pPr>
            <w:r>
              <w:t>4</w:t>
            </w:r>
          </w:p>
        </w:tc>
        <w:tc>
          <w:tcPr>
            <w:tcW w:w="480" w:type="pct"/>
            <w:gridSpan w:val="2"/>
            <w:shd w:val="clear" w:color="auto" w:fill="FFFF00"/>
            <w:noWrap/>
            <w:vAlign w:val="center"/>
          </w:tcPr>
          <w:p w:rsidR="00BD1AFA" w:rsidRDefault="00BD1AFA" w:rsidP="00A40491">
            <w:pPr>
              <w:pStyle w:val="TableTextEntries"/>
              <w:jc w:val="center"/>
            </w:pPr>
            <w:r>
              <w:t>4</w:t>
            </w:r>
          </w:p>
        </w:tc>
        <w:tc>
          <w:tcPr>
            <w:tcW w:w="489" w:type="pct"/>
            <w:gridSpan w:val="2"/>
            <w:shd w:val="clear" w:color="auto" w:fill="FFFF00"/>
            <w:noWrap/>
            <w:vAlign w:val="center"/>
          </w:tcPr>
          <w:p w:rsidR="00BD1AFA" w:rsidRDefault="00BD1AFA" w:rsidP="00A40491">
            <w:pPr>
              <w:pStyle w:val="TableTextEntries"/>
              <w:jc w:val="center"/>
            </w:pPr>
            <w:r>
              <w:t>4</w:t>
            </w:r>
          </w:p>
        </w:tc>
      </w:tr>
      <w:tr w:rsidR="00917AED" w:rsidRPr="009D53C4" w:rsidTr="00917AED">
        <w:trPr>
          <w:cnfStyle w:val="000000010000" w:firstRow="0" w:lastRow="0" w:firstColumn="0" w:lastColumn="0" w:oddVBand="0" w:evenVBand="0" w:oddHBand="0" w:evenHBand="1" w:firstRowFirstColumn="0" w:firstRowLastColumn="0" w:lastRowFirstColumn="0" w:lastRowLastColumn="0"/>
          <w:trHeight w:val="331"/>
        </w:trPr>
        <w:tc>
          <w:tcPr>
            <w:tcW w:w="930" w:type="pct"/>
            <w:vMerge/>
          </w:tcPr>
          <w:p w:rsidR="00BD1AFA" w:rsidRPr="00FE4491" w:rsidRDefault="00BD1AFA" w:rsidP="00A40491">
            <w:pPr>
              <w:pStyle w:val="TableTextEntries"/>
            </w:pPr>
          </w:p>
        </w:tc>
        <w:tc>
          <w:tcPr>
            <w:tcW w:w="707" w:type="pct"/>
            <w:vMerge/>
          </w:tcPr>
          <w:p w:rsidR="00BD1AFA" w:rsidRPr="00FE4491" w:rsidRDefault="00BD1AFA" w:rsidP="00A40491">
            <w:pPr>
              <w:pStyle w:val="TableTextEntries"/>
            </w:pPr>
          </w:p>
        </w:tc>
        <w:tc>
          <w:tcPr>
            <w:tcW w:w="328" w:type="pct"/>
          </w:tcPr>
          <w:p w:rsidR="00BD1AFA" w:rsidRPr="00FE4491" w:rsidRDefault="00BD1AFA" w:rsidP="00A40491">
            <w:pPr>
              <w:pStyle w:val="TableTextEntries"/>
            </w:pPr>
            <w:r>
              <w:t>2012</w:t>
            </w:r>
          </w:p>
        </w:tc>
        <w:tc>
          <w:tcPr>
            <w:tcW w:w="480" w:type="pct"/>
            <w:gridSpan w:val="2"/>
            <w:shd w:val="clear" w:color="auto" w:fill="72AF2F"/>
            <w:noWrap/>
            <w:vAlign w:val="center"/>
          </w:tcPr>
          <w:p w:rsidR="00BD1AFA" w:rsidRDefault="00BD1AFA" w:rsidP="00A40491">
            <w:pPr>
              <w:pStyle w:val="TableTextEntries"/>
              <w:jc w:val="center"/>
            </w:pPr>
            <w:r>
              <w:t>5</w:t>
            </w:r>
          </w:p>
        </w:tc>
        <w:tc>
          <w:tcPr>
            <w:tcW w:w="502" w:type="pct"/>
            <w:gridSpan w:val="2"/>
            <w:shd w:val="clear" w:color="auto" w:fill="FFFF00"/>
            <w:noWrap/>
            <w:vAlign w:val="center"/>
          </w:tcPr>
          <w:p w:rsidR="00BD1AFA" w:rsidRDefault="00BD1AFA" w:rsidP="00A40491">
            <w:pPr>
              <w:pStyle w:val="TableTextEntries"/>
              <w:jc w:val="center"/>
            </w:pPr>
            <w:r>
              <w:t>4</w:t>
            </w:r>
          </w:p>
        </w:tc>
        <w:tc>
          <w:tcPr>
            <w:tcW w:w="490" w:type="pct"/>
            <w:gridSpan w:val="2"/>
            <w:shd w:val="clear" w:color="auto" w:fill="F79646" w:themeFill="accent6"/>
            <w:noWrap/>
            <w:vAlign w:val="center"/>
          </w:tcPr>
          <w:p w:rsidR="00BD1AFA" w:rsidRDefault="00BD1AFA" w:rsidP="00A40491">
            <w:pPr>
              <w:pStyle w:val="TableTextEntries"/>
              <w:jc w:val="center"/>
            </w:pPr>
            <w:r>
              <w:t>3</w:t>
            </w:r>
          </w:p>
        </w:tc>
        <w:tc>
          <w:tcPr>
            <w:tcW w:w="490" w:type="pct"/>
            <w:gridSpan w:val="2"/>
            <w:shd w:val="clear" w:color="auto" w:fill="F79646" w:themeFill="accent6"/>
            <w:noWrap/>
            <w:vAlign w:val="center"/>
          </w:tcPr>
          <w:p w:rsidR="00BD1AFA" w:rsidRDefault="00BD1AFA" w:rsidP="00A40491">
            <w:pPr>
              <w:pStyle w:val="TableTextEntries"/>
              <w:jc w:val="center"/>
            </w:pPr>
            <w:r>
              <w:t>3</w:t>
            </w:r>
          </w:p>
        </w:tc>
        <w:tc>
          <w:tcPr>
            <w:tcW w:w="480" w:type="pct"/>
            <w:gridSpan w:val="2"/>
            <w:shd w:val="clear" w:color="auto" w:fill="FFFF00"/>
            <w:noWrap/>
            <w:vAlign w:val="center"/>
          </w:tcPr>
          <w:p w:rsidR="00BD1AFA" w:rsidRDefault="00BD1AFA" w:rsidP="00A40491">
            <w:pPr>
              <w:pStyle w:val="TableTextEntries"/>
              <w:jc w:val="center"/>
            </w:pPr>
            <w:r>
              <w:t>4</w:t>
            </w:r>
          </w:p>
        </w:tc>
        <w:tc>
          <w:tcPr>
            <w:tcW w:w="489" w:type="pct"/>
            <w:gridSpan w:val="2"/>
            <w:shd w:val="clear" w:color="auto" w:fill="FF0000"/>
            <w:noWrap/>
            <w:vAlign w:val="center"/>
          </w:tcPr>
          <w:p w:rsidR="00BD1AFA" w:rsidRDefault="00BD1AFA" w:rsidP="00A40491">
            <w:pPr>
              <w:pStyle w:val="TableTextEntries"/>
              <w:jc w:val="center"/>
            </w:pPr>
            <w:r>
              <w:t>2</w:t>
            </w:r>
          </w:p>
        </w:tc>
      </w:tr>
    </w:tbl>
    <w:p w:rsidR="00917AED" w:rsidRPr="00917AED" w:rsidRDefault="00917AED" w:rsidP="00917AED">
      <w:pPr>
        <w:pStyle w:val="BodyText"/>
      </w:pPr>
    </w:p>
    <w:p w:rsidR="00BD1AFA" w:rsidRDefault="00BD1AFA" w:rsidP="00BD1AFA">
      <w:pPr>
        <w:pStyle w:val="Note"/>
      </w:pPr>
      <w:r>
        <w:t>Definitions of rating scale:</w:t>
      </w:r>
      <w:r>
        <w:tab/>
      </w:r>
    </w:p>
    <w:p w:rsidR="00BD1AFA" w:rsidRDefault="00BD1AFA" w:rsidP="00BD1AFA">
      <w:pPr>
        <w:pStyle w:val="Note"/>
      </w:pPr>
      <w:r>
        <w:t>Satisfactory (4, 5 and 6)</w:t>
      </w:r>
    </w:p>
    <w:p w:rsidR="00BD1AFA" w:rsidRDefault="00BD1AFA" w:rsidP="00BD1AFA">
      <w:pPr>
        <w:pStyle w:val="Note"/>
      </w:pPr>
      <w:r w:rsidRPr="00593946">
        <w:rPr>
          <w:color w:val="72AF2F"/>
        </w:rPr>
        <w:sym w:font="Webdings" w:char="F067"/>
      </w:r>
      <w:r>
        <w:t xml:space="preserve"> = 6 = Very high quality</w:t>
      </w:r>
    </w:p>
    <w:p w:rsidR="00BD1AFA" w:rsidRDefault="00BD1AFA" w:rsidP="00BD1AFA">
      <w:pPr>
        <w:pStyle w:val="Note"/>
      </w:pPr>
      <w:r w:rsidRPr="00593946">
        <w:rPr>
          <w:color w:val="72AF2F"/>
        </w:rPr>
        <w:sym w:font="Webdings" w:char="F067"/>
      </w:r>
      <w:r>
        <w:t xml:space="preserve"> = 5 = Good quality</w:t>
      </w:r>
    </w:p>
    <w:p w:rsidR="00BD1AFA" w:rsidRDefault="00BD1AFA" w:rsidP="00BD1AFA">
      <w:pPr>
        <w:pStyle w:val="Note"/>
      </w:pPr>
      <w:r w:rsidRPr="000774FD">
        <w:rPr>
          <w:color w:val="FFFF00"/>
        </w:rPr>
        <w:sym w:font="Webdings" w:char="F067"/>
      </w:r>
      <w:r>
        <w:t xml:space="preserve"> = 4 = Adequate quality, needs some work</w:t>
      </w:r>
    </w:p>
    <w:p w:rsidR="00BD1AFA" w:rsidRDefault="00BD1AFA" w:rsidP="00BD1AFA">
      <w:pPr>
        <w:pStyle w:val="Note"/>
      </w:pPr>
      <w:r>
        <w:t>Less than satisfactory (1, 2 and 3)</w:t>
      </w:r>
    </w:p>
    <w:p w:rsidR="00BD1AFA" w:rsidRDefault="00BD1AFA" w:rsidP="00BD1AFA">
      <w:pPr>
        <w:pStyle w:val="Note"/>
      </w:pPr>
      <w:r w:rsidRPr="00593946">
        <w:rPr>
          <w:color w:val="E36C0A"/>
        </w:rPr>
        <w:sym w:font="Webdings" w:char="F067"/>
      </w:r>
      <w:r w:rsidRPr="00593946">
        <w:rPr>
          <w:color w:val="E36C0A"/>
        </w:rPr>
        <w:t xml:space="preserve"> </w:t>
      </w:r>
      <w:r>
        <w:t>= 3 = Less than adequate quality; needs significant work</w:t>
      </w:r>
    </w:p>
    <w:p w:rsidR="00BD1AFA" w:rsidRDefault="00BD1AFA" w:rsidP="00BD1AFA">
      <w:pPr>
        <w:pStyle w:val="Note"/>
      </w:pPr>
      <w:r w:rsidRPr="000774FD">
        <w:rPr>
          <w:color w:val="FF0000"/>
        </w:rPr>
        <w:sym w:font="Webdings" w:char="F067"/>
      </w:r>
      <w:r>
        <w:t xml:space="preserve"> = 2 = Poor quality; needs major work to improve</w:t>
      </w:r>
    </w:p>
    <w:p w:rsidR="00BD1AFA" w:rsidRDefault="00BD1AFA" w:rsidP="00BD1AFA">
      <w:pPr>
        <w:pStyle w:val="Note"/>
      </w:pPr>
      <w:r w:rsidRPr="000774FD">
        <w:rPr>
          <w:color w:val="FF0000"/>
        </w:rPr>
        <w:sym w:font="Webdings" w:char="F067"/>
      </w:r>
      <w:r>
        <w:t xml:space="preserve"> = 1 = Very poor quality; needs major overhaul</w:t>
      </w:r>
    </w:p>
    <w:p w:rsidR="00917AED" w:rsidRDefault="00917AED">
      <w:pPr>
        <w:spacing w:after="200" w:line="276" w:lineRule="auto"/>
        <w:rPr>
          <w:rFonts w:ascii="Helvetica" w:eastAsia="Times New Roman" w:hAnsi="Helvetica" w:cs="Arial"/>
          <w:color w:val="007FAD"/>
          <w:kern w:val="28"/>
          <w:sz w:val="28"/>
          <w:szCs w:val="28"/>
        </w:rPr>
      </w:pPr>
      <w:r>
        <w:rPr>
          <w:sz w:val="28"/>
        </w:rPr>
        <w:br w:type="page"/>
      </w:r>
    </w:p>
    <w:p w:rsidR="000D733F" w:rsidRPr="009E38C1" w:rsidRDefault="000D733F" w:rsidP="000D733F">
      <w:pPr>
        <w:pStyle w:val="Heading2"/>
        <w:rPr>
          <w:sz w:val="28"/>
        </w:rPr>
      </w:pPr>
      <w:r w:rsidRPr="009E38C1">
        <w:rPr>
          <w:sz w:val="28"/>
        </w:rPr>
        <w:lastRenderedPageBreak/>
        <w:t>Annex C</w:t>
      </w:r>
    </w:p>
    <w:p w:rsidR="000D733F" w:rsidRPr="009E38C1" w:rsidRDefault="000D733F" w:rsidP="000D733F">
      <w:pPr>
        <w:pStyle w:val="Heading2"/>
        <w:rPr>
          <w:sz w:val="28"/>
        </w:rPr>
      </w:pPr>
      <w:r w:rsidRPr="009E38C1">
        <w:rPr>
          <w:sz w:val="28"/>
        </w:rPr>
        <w:t>Evaluation and Review Pipeline Planning</w:t>
      </w:r>
    </w:p>
    <w:p w:rsidR="000D733F" w:rsidRPr="00500954" w:rsidRDefault="000D733F" w:rsidP="000D733F">
      <w:pPr>
        <w:pStyle w:val="ListBullet"/>
        <w:tabs>
          <w:tab w:val="clear" w:pos="284"/>
        </w:tabs>
      </w:pPr>
      <w:r w:rsidRPr="00500954">
        <w:t xml:space="preserve">List all evaluations </w:t>
      </w:r>
      <w:r w:rsidR="001D7E98">
        <w:t xml:space="preserve">and reviews </w:t>
      </w:r>
      <w:r w:rsidRPr="00500954">
        <w:t xml:space="preserve">completed in the reporting period.  </w:t>
      </w:r>
    </w:p>
    <w:p w:rsidR="000D733F" w:rsidRPr="00071B95" w:rsidRDefault="000D733F" w:rsidP="000D733F">
      <w:pPr>
        <w:pStyle w:val="Caption"/>
      </w:pPr>
      <w:r w:rsidRPr="00071B95">
        <w:t xml:space="preserve">List of </w:t>
      </w:r>
      <w:r w:rsidR="00805ADD">
        <w:t>e</w:t>
      </w:r>
      <w:r w:rsidRPr="00071B95">
        <w:t>valuations completed</w:t>
      </w:r>
      <w:r>
        <w:t xml:space="preserve"> </w:t>
      </w:r>
      <w:r w:rsidRPr="00071B95">
        <w:t xml:space="preserve">in the reporting period </w:t>
      </w:r>
    </w:p>
    <w:tbl>
      <w:tblPr>
        <w:tblStyle w:val="APPR"/>
        <w:tblW w:w="0" w:type="auto"/>
        <w:tblLook w:val="04A0" w:firstRow="1" w:lastRow="0" w:firstColumn="1" w:lastColumn="0" w:noHBand="0" w:noVBand="1"/>
      </w:tblPr>
      <w:tblGrid>
        <w:gridCol w:w="1944"/>
        <w:gridCol w:w="1961"/>
        <w:gridCol w:w="2059"/>
        <w:gridCol w:w="1967"/>
        <w:gridCol w:w="1949"/>
        <w:gridCol w:w="1771"/>
        <w:gridCol w:w="1545"/>
      </w:tblGrid>
      <w:tr w:rsidR="000D733F" w:rsidRPr="00071B95" w:rsidTr="000D733F">
        <w:trPr>
          <w:cnfStyle w:val="100000000000" w:firstRow="1" w:lastRow="0" w:firstColumn="0" w:lastColumn="0" w:oddVBand="0" w:evenVBand="0" w:oddHBand="0" w:evenHBand="0" w:firstRowFirstColumn="0" w:firstRowLastColumn="0" w:lastRowFirstColumn="0" w:lastRowLastColumn="0"/>
        </w:trPr>
        <w:tc>
          <w:tcPr>
            <w:tcW w:w="1902" w:type="dxa"/>
          </w:tcPr>
          <w:p w:rsidR="000D733F" w:rsidRPr="00071B95" w:rsidRDefault="000D733F" w:rsidP="000D733F">
            <w:pPr>
              <w:pStyle w:val="TableTextColumnHeading"/>
              <w:rPr>
                <w:b/>
              </w:rPr>
            </w:pPr>
            <w:r w:rsidRPr="00071B95">
              <w:rPr>
                <w:b/>
              </w:rPr>
              <w:t xml:space="preserve">Name of </w:t>
            </w:r>
            <w:r w:rsidR="00501CD2">
              <w:rPr>
                <w:b/>
              </w:rPr>
              <w:t>Investment</w:t>
            </w:r>
          </w:p>
        </w:tc>
        <w:tc>
          <w:tcPr>
            <w:tcW w:w="1933" w:type="dxa"/>
          </w:tcPr>
          <w:p w:rsidR="000D733F" w:rsidRPr="00071B95" w:rsidRDefault="000D733F" w:rsidP="000D733F">
            <w:pPr>
              <w:pStyle w:val="TableTextColumnHeading"/>
              <w:rPr>
                <w:b/>
              </w:rPr>
            </w:pPr>
            <w:r w:rsidRPr="00071B95">
              <w:rPr>
                <w:b/>
              </w:rPr>
              <w:t>Aidworks number</w:t>
            </w:r>
          </w:p>
        </w:tc>
        <w:tc>
          <w:tcPr>
            <w:tcW w:w="2031" w:type="dxa"/>
          </w:tcPr>
          <w:p w:rsidR="000D733F" w:rsidRPr="00071B95" w:rsidRDefault="000D733F" w:rsidP="000D733F">
            <w:pPr>
              <w:pStyle w:val="TableTextColumnHeading"/>
              <w:rPr>
                <w:b/>
              </w:rPr>
            </w:pPr>
            <w:r>
              <w:rPr>
                <w:b/>
              </w:rPr>
              <w:t>Name of evaluation</w:t>
            </w:r>
          </w:p>
        </w:tc>
        <w:tc>
          <w:tcPr>
            <w:tcW w:w="1939" w:type="dxa"/>
          </w:tcPr>
          <w:p w:rsidR="000D733F" w:rsidRPr="00071B95" w:rsidRDefault="000D733F" w:rsidP="000D733F">
            <w:pPr>
              <w:pStyle w:val="TableTextColumnHeading"/>
              <w:rPr>
                <w:b/>
              </w:rPr>
            </w:pPr>
            <w:r w:rsidRPr="00071B95">
              <w:rPr>
                <w:b/>
              </w:rPr>
              <w:t xml:space="preserve">Date </w:t>
            </w:r>
            <w:r>
              <w:rPr>
                <w:b/>
              </w:rPr>
              <w:t>finalised</w:t>
            </w:r>
          </w:p>
        </w:tc>
        <w:tc>
          <w:tcPr>
            <w:tcW w:w="1921" w:type="dxa"/>
          </w:tcPr>
          <w:p w:rsidR="000D733F" w:rsidRPr="00071B95" w:rsidRDefault="000D733F" w:rsidP="000D733F">
            <w:pPr>
              <w:pStyle w:val="TableTextColumnHeading"/>
              <w:rPr>
                <w:b/>
              </w:rPr>
            </w:pPr>
            <w:r w:rsidRPr="00071B95">
              <w:rPr>
                <w:b/>
              </w:rPr>
              <w:t>Date Evaluation report Uploaded into Aidworks</w:t>
            </w:r>
          </w:p>
        </w:tc>
        <w:tc>
          <w:tcPr>
            <w:tcW w:w="1743" w:type="dxa"/>
          </w:tcPr>
          <w:p w:rsidR="000D733F" w:rsidRPr="00071B95" w:rsidRDefault="000D733F" w:rsidP="000D733F">
            <w:pPr>
              <w:pStyle w:val="TableTextColumnHeading"/>
              <w:rPr>
                <w:b/>
              </w:rPr>
            </w:pPr>
            <w:r w:rsidRPr="00071B95">
              <w:rPr>
                <w:b/>
              </w:rPr>
              <w:t>Date Management response uploaded into Aidworks</w:t>
            </w:r>
          </w:p>
        </w:tc>
        <w:tc>
          <w:tcPr>
            <w:tcW w:w="1503" w:type="dxa"/>
          </w:tcPr>
          <w:p w:rsidR="000D733F" w:rsidRPr="00071B95" w:rsidRDefault="000D733F" w:rsidP="000D733F">
            <w:pPr>
              <w:pStyle w:val="TableTextColumnHeading"/>
              <w:rPr>
                <w:b/>
              </w:rPr>
            </w:pPr>
            <w:r w:rsidRPr="00071B95">
              <w:rPr>
                <w:b/>
              </w:rPr>
              <w:t>Published on website</w:t>
            </w:r>
          </w:p>
        </w:tc>
      </w:tr>
      <w:tr w:rsidR="00660A8A" w:rsidRPr="00071B95" w:rsidTr="000D733F">
        <w:trPr>
          <w:cnfStyle w:val="100000000000" w:firstRow="1" w:lastRow="0" w:firstColumn="0" w:lastColumn="0" w:oddVBand="0" w:evenVBand="0" w:oddHBand="0" w:evenHBand="0" w:firstRowFirstColumn="0" w:firstRowLastColumn="0" w:lastRowFirstColumn="0" w:lastRowLastColumn="0"/>
        </w:trPr>
        <w:tc>
          <w:tcPr>
            <w:tcW w:w="1902" w:type="dxa"/>
          </w:tcPr>
          <w:p w:rsidR="00660A8A" w:rsidRPr="00660A8A" w:rsidRDefault="00660A8A" w:rsidP="00A87BB1">
            <w:pPr>
              <w:pStyle w:val="TableTextEntries"/>
              <w:rPr>
                <w:b w:val="0"/>
              </w:rPr>
            </w:pPr>
            <w:r w:rsidRPr="00660A8A">
              <w:rPr>
                <w:b w:val="0"/>
              </w:rPr>
              <w:t>South Asia Water and Sanitation (NEWAH)</w:t>
            </w:r>
          </w:p>
        </w:tc>
        <w:tc>
          <w:tcPr>
            <w:tcW w:w="1933" w:type="dxa"/>
          </w:tcPr>
          <w:p w:rsidR="00660A8A" w:rsidRPr="00660A8A" w:rsidRDefault="00660A8A" w:rsidP="00A87BB1">
            <w:pPr>
              <w:pStyle w:val="TableTextEntries"/>
              <w:rPr>
                <w:b w:val="0"/>
              </w:rPr>
            </w:pPr>
            <w:r w:rsidRPr="00660A8A">
              <w:rPr>
                <w:b w:val="0"/>
              </w:rPr>
              <w:t>INJ037</w:t>
            </w:r>
          </w:p>
        </w:tc>
        <w:tc>
          <w:tcPr>
            <w:tcW w:w="2031" w:type="dxa"/>
          </w:tcPr>
          <w:p w:rsidR="00660A8A" w:rsidRPr="00660A8A" w:rsidRDefault="00660A8A" w:rsidP="00A87BB1">
            <w:pPr>
              <w:pStyle w:val="TableTextEntries"/>
              <w:rPr>
                <w:b w:val="0"/>
              </w:rPr>
            </w:pPr>
            <w:r w:rsidRPr="00660A8A">
              <w:rPr>
                <w:b w:val="0"/>
              </w:rPr>
              <w:t xml:space="preserve">End  of Program Evaluation </w:t>
            </w:r>
          </w:p>
        </w:tc>
        <w:tc>
          <w:tcPr>
            <w:tcW w:w="1939" w:type="dxa"/>
          </w:tcPr>
          <w:p w:rsidR="00660A8A" w:rsidRPr="00660A8A" w:rsidRDefault="00660A8A" w:rsidP="00A87BB1">
            <w:pPr>
              <w:pStyle w:val="TableTextEntries"/>
              <w:rPr>
                <w:b w:val="0"/>
              </w:rPr>
            </w:pPr>
            <w:r w:rsidRPr="00660A8A">
              <w:rPr>
                <w:b w:val="0"/>
              </w:rPr>
              <w:t>June 2014</w:t>
            </w:r>
          </w:p>
        </w:tc>
        <w:tc>
          <w:tcPr>
            <w:tcW w:w="1921" w:type="dxa"/>
          </w:tcPr>
          <w:p w:rsidR="00660A8A" w:rsidRPr="00660A8A" w:rsidRDefault="00660A8A" w:rsidP="00A87BB1">
            <w:pPr>
              <w:pStyle w:val="TableTextEntries"/>
              <w:rPr>
                <w:b w:val="0"/>
              </w:rPr>
            </w:pPr>
          </w:p>
        </w:tc>
        <w:tc>
          <w:tcPr>
            <w:tcW w:w="1743" w:type="dxa"/>
          </w:tcPr>
          <w:p w:rsidR="00660A8A" w:rsidRPr="0029400D" w:rsidRDefault="0029400D" w:rsidP="000D733F">
            <w:pPr>
              <w:pStyle w:val="TableTextEntries"/>
              <w:rPr>
                <w:b w:val="0"/>
              </w:rPr>
            </w:pPr>
            <w:r w:rsidRPr="0029400D">
              <w:rPr>
                <w:b w:val="0"/>
              </w:rPr>
              <w:t>Management response not required as the initiative has ended.</w:t>
            </w:r>
            <w:r>
              <w:rPr>
                <w:b w:val="0"/>
              </w:rPr>
              <w:t xml:space="preserve"> Lessons learnt were captured in the evaluation.</w:t>
            </w:r>
            <w:r w:rsidRPr="0029400D">
              <w:rPr>
                <w:b w:val="0"/>
              </w:rPr>
              <w:t xml:space="preserve"> </w:t>
            </w:r>
          </w:p>
        </w:tc>
        <w:tc>
          <w:tcPr>
            <w:tcW w:w="1503" w:type="dxa"/>
          </w:tcPr>
          <w:p w:rsidR="00660A8A" w:rsidRPr="00071B95" w:rsidRDefault="00660A8A" w:rsidP="00850A87">
            <w:pPr>
              <w:pStyle w:val="TableTextEntries"/>
              <w:rPr>
                <w:b w:val="0"/>
              </w:rPr>
            </w:pPr>
          </w:p>
        </w:tc>
      </w:tr>
      <w:tr w:rsidR="00660A8A" w:rsidRPr="00071B95" w:rsidTr="000D733F">
        <w:trPr>
          <w:cnfStyle w:val="100000000000" w:firstRow="1" w:lastRow="0" w:firstColumn="0" w:lastColumn="0" w:oddVBand="0" w:evenVBand="0" w:oddHBand="0" w:evenHBand="0" w:firstRowFirstColumn="0" w:firstRowLastColumn="0" w:lastRowFirstColumn="0" w:lastRowLastColumn="0"/>
        </w:trPr>
        <w:tc>
          <w:tcPr>
            <w:tcW w:w="1902" w:type="dxa"/>
          </w:tcPr>
          <w:p w:rsidR="00660A8A" w:rsidRPr="00660A8A" w:rsidRDefault="00660A8A" w:rsidP="00A87BB1">
            <w:pPr>
              <w:pStyle w:val="TableTextEntries"/>
              <w:rPr>
                <w:b w:val="0"/>
              </w:rPr>
            </w:pPr>
            <w:r w:rsidRPr="00660A8A">
              <w:rPr>
                <w:b w:val="0"/>
              </w:rPr>
              <w:t>Public Financial Management Multi-Donor Trust Fund</w:t>
            </w:r>
          </w:p>
        </w:tc>
        <w:tc>
          <w:tcPr>
            <w:tcW w:w="1933" w:type="dxa"/>
          </w:tcPr>
          <w:p w:rsidR="00660A8A" w:rsidRPr="00660A8A" w:rsidRDefault="00660A8A" w:rsidP="00A87BB1">
            <w:pPr>
              <w:pStyle w:val="TableTextEntries"/>
              <w:rPr>
                <w:b w:val="0"/>
              </w:rPr>
            </w:pPr>
            <w:r w:rsidRPr="00660A8A">
              <w:rPr>
                <w:b w:val="0"/>
              </w:rPr>
              <w:t>INJ889</w:t>
            </w:r>
          </w:p>
        </w:tc>
        <w:tc>
          <w:tcPr>
            <w:tcW w:w="2031" w:type="dxa"/>
          </w:tcPr>
          <w:p w:rsidR="00660A8A" w:rsidRPr="00660A8A" w:rsidRDefault="00660A8A" w:rsidP="00A87BB1">
            <w:pPr>
              <w:pStyle w:val="TableTextEntries"/>
              <w:rPr>
                <w:b w:val="0"/>
              </w:rPr>
            </w:pPr>
            <w:r w:rsidRPr="00660A8A">
              <w:rPr>
                <w:b w:val="0"/>
              </w:rPr>
              <w:t xml:space="preserve">Mid-Term Evaluation </w:t>
            </w:r>
          </w:p>
        </w:tc>
        <w:tc>
          <w:tcPr>
            <w:tcW w:w="1939" w:type="dxa"/>
          </w:tcPr>
          <w:p w:rsidR="00660A8A" w:rsidRPr="00660A8A" w:rsidRDefault="00660A8A" w:rsidP="00A87BB1">
            <w:pPr>
              <w:pStyle w:val="TableTextEntries"/>
              <w:rPr>
                <w:b w:val="0"/>
              </w:rPr>
            </w:pPr>
            <w:r w:rsidRPr="00660A8A">
              <w:rPr>
                <w:b w:val="0"/>
              </w:rPr>
              <w:t>January 2014</w:t>
            </w:r>
          </w:p>
        </w:tc>
        <w:tc>
          <w:tcPr>
            <w:tcW w:w="1921" w:type="dxa"/>
          </w:tcPr>
          <w:p w:rsidR="00660A8A" w:rsidRPr="00660A8A" w:rsidRDefault="00660A8A" w:rsidP="00A87BB1">
            <w:pPr>
              <w:pStyle w:val="TableTextEntries"/>
              <w:rPr>
                <w:b w:val="0"/>
              </w:rPr>
            </w:pPr>
            <w:r w:rsidRPr="00660A8A">
              <w:rPr>
                <w:b w:val="0"/>
              </w:rPr>
              <w:t>7 MAY 2014</w:t>
            </w:r>
          </w:p>
        </w:tc>
        <w:tc>
          <w:tcPr>
            <w:tcW w:w="1743" w:type="dxa"/>
          </w:tcPr>
          <w:p w:rsidR="00660A8A" w:rsidRPr="00071B95" w:rsidRDefault="0029400D" w:rsidP="000D733F">
            <w:pPr>
              <w:pStyle w:val="TableTextEntries"/>
            </w:pPr>
            <w:r w:rsidRPr="0029400D">
              <w:rPr>
                <w:b w:val="0"/>
              </w:rPr>
              <w:t xml:space="preserve">The MTR was a joint </w:t>
            </w:r>
            <w:r w:rsidR="00332432" w:rsidRPr="0029400D">
              <w:rPr>
                <w:b w:val="0"/>
              </w:rPr>
              <w:t>evaluation;</w:t>
            </w:r>
            <w:r w:rsidRPr="0029400D">
              <w:rPr>
                <w:b w:val="0"/>
              </w:rPr>
              <w:t xml:space="preserve"> therefore a management response is not required.</w:t>
            </w:r>
          </w:p>
        </w:tc>
        <w:tc>
          <w:tcPr>
            <w:tcW w:w="1503" w:type="dxa"/>
          </w:tcPr>
          <w:p w:rsidR="00660A8A" w:rsidRPr="00071B95" w:rsidRDefault="00660A8A" w:rsidP="000D733F">
            <w:pPr>
              <w:pStyle w:val="TableTextEntries"/>
            </w:pPr>
          </w:p>
        </w:tc>
      </w:tr>
    </w:tbl>
    <w:p w:rsidR="000D733F" w:rsidRDefault="000D733F" w:rsidP="000D733F">
      <w:pPr>
        <w:rPr>
          <w:b/>
        </w:rPr>
      </w:pPr>
    </w:p>
    <w:p w:rsidR="000D733F" w:rsidRPr="00071B95" w:rsidRDefault="0029400D" w:rsidP="000D733F">
      <w:pPr>
        <w:pStyle w:val="Caption"/>
      </w:pPr>
      <w:r>
        <w:t>No</w:t>
      </w:r>
      <w:r w:rsidR="000D733F" w:rsidRPr="00071B95">
        <w:t xml:space="preserve"> evaluations </w:t>
      </w:r>
      <w:r>
        <w:t>are scheduled for 2014-15</w:t>
      </w:r>
      <w:r w:rsidR="000D733F" w:rsidRPr="00071B95">
        <w:t xml:space="preserve"> </w:t>
      </w:r>
    </w:p>
    <w:p w:rsidR="000D733F" w:rsidRDefault="000D733F" w:rsidP="000D733F">
      <w:pPr>
        <w:pStyle w:val="TableTextColumnHeading"/>
        <w:sectPr w:rsidR="000D733F" w:rsidSect="00091824">
          <w:headerReference w:type="even" r:id="rId18"/>
          <w:footerReference w:type="first" r:id="rId19"/>
          <w:pgSz w:w="16838" w:h="11906" w:orient="landscape" w:code="9"/>
          <w:pgMar w:top="1814" w:right="1814" w:bottom="851" w:left="851" w:header="709" w:footer="425" w:gutter="0"/>
          <w:cols w:space="708"/>
          <w:docGrid w:linePitch="360"/>
        </w:sectPr>
      </w:pPr>
    </w:p>
    <w:p w:rsidR="000D733F" w:rsidRDefault="000D733F" w:rsidP="000D733F">
      <w:pPr>
        <w:rPr>
          <w:b/>
        </w:rPr>
        <w:sectPr w:rsidR="000D733F" w:rsidSect="00091824">
          <w:footnotePr>
            <w:numRestart w:val="eachPage"/>
          </w:footnotePr>
          <w:type w:val="continuous"/>
          <w:pgSz w:w="16838" w:h="11906" w:orient="landscape" w:code="9"/>
          <w:pgMar w:top="1814" w:right="1814" w:bottom="851" w:left="851" w:header="709" w:footer="425" w:gutter="0"/>
          <w:cols w:space="708"/>
          <w:titlePg/>
          <w:docGrid w:linePitch="360"/>
        </w:sectPr>
      </w:pPr>
    </w:p>
    <w:p w:rsidR="000D733F" w:rsidRPr="009E38C1" w:rsidRDefault="000D733F" w:rsidP="000D733F">
      <w:pPr>
        <w:pStyle w:val="Heading2"/>
        <w:rPr>
          <w:sz w:val="28"/>
        </w:rPr>
      </w:pPr>
      <w:r w:rsidRPr="009E38C1">
        <w:rPr>
          <w:sz w:val="28"/>
        </w:rPr>
        <w:lastRenderedPageBreak/>
        <w:t>Annex D</w:t>
      </w:r>
    </w:p>
    <w:p w:rsidR="000D733F" w:rsidRPr="009E38C1" w:rsidRDefault="000D733F" w:rsidP="000D733F">
      <w:pPr>
        <w:pStyle w:val="Heading2"/>
        <w:rPr>
          <w:sz w:val="28"/>
        </w:rPr>
      </w:pPr>
      <w:r w:rsidRPr="009E38C1">
        <w:rPr>
          <w:sz w:val="28"/>
        </w:rPr>
        <w:t>Performance Benchmarks 2014 -15</w:t>
      </w:r>
    </w:p>
    <w:tbl>
      <w:tblPr>
        <w:tblStyle w:val="DFATTable"/>
        <w:tblW w:w="5000" w:type="pct"/>
        <w:tblLook w:val="04A0" w:firstRow="1" w:lastRow="0" w:firstColumn="1" w:lastColumn="0" w:noHBand="0" w:noVBand="1"/>
      </w:tblPr>
      <w:tblGrid>
        <w:gridCol w:w="3301"/>
        <w:gridCol w:w="3301"/>
        <w:gridCol w:w="7279"/>
      </w:tblGrid>
      <w:tr w:rsidR="000D733F" w:rsidRPr="004F7D80" w:rsidTr="000D733F">
        <w:trPr>
          <w:tblHeader/>
        </w:trPr>
        <w:tc>
          <w:tcPr>
            <w:tcW w:w="1189" w:type="pct"/>
            <w:tcMar>
              <w:top w:w="57" w:type="dxa"/>
              <w:bottom w:w="57" w:type="dxa"/>
            </w:tcMar>
          </w:tcPr>
          <w:p w:rsidR="000D733F" w:rsidRPr="002749B6" w:rsidRDefault="00736D2D">
            <w:pPr>
              <w:pStyle w:val="TableHeading1"/>
            </w:pPr>
            <w:r>
              <w:t>Aid</w:t>
            </w:r>
            <w:r w:rsidR="000D733F" w:rsidRPr="002749B6">
              <w:t xml:space="preserve"> objective</w:t>
            </w:r>
          </w:p>
        </w:tc>
        <w:tc>
          <w:tcPr>
            <w:tcW w:w="1189" w:type="pct"/>
          </w:tcPr>
          <w:p w:rsidR="000D733F" w:rsidRPr="002749B6" w:rsidRDefault="000D733F" w:rsidP="000D733F">
            <w:pPr>
              <w:pStyle w:val="TableHeading1"/>
            </w:pPr>
            <w:r w:rsidRPr="002749B6">
              <w:t xml:space="preserve">2014-15 benchmark </w:t>
            </w:r>
          </w:p>
        </w:tc>
        <w:tc>
          <w:tcPr>
            <w:tcW w:w="2622" w:type="pct"/>
          </w:tcPr>
          <w:p w:rsidR="000D733F" w:rsidRPr="002749B6" w:rsidRDefault="000D733F" w:rsidP="000D733F">
            <w:pPr>
              <w:pStyle w:val="TableHeading1"/>
            </w:pPr>
            <w:r w:rsidRPr="002749B6">
              <w:t>Rationale for selecting this performance benchmark</w:t>
            </w:r>
          </w:p>
        </w:tc>
      </w:tr>
      <w:tr w:rsidR="002564DB" w:rsidRPr="004F7D80" w:rsidTr="000D733F">
        <w:tc>
          <w:tcPr>
            <w:tcW w:w="1189" w:type="pct"/>
            <w:tcMar>
              <w:top w:w="57" w:type="dxa"/>
              <w:bottom w:w="57" w:type="dxa"/>
            </w:tcMar>
          </w:tcPr>
          <w:p w:rsidR="002564DB" w:rsidRPr="002749B6" w:rsidRDefault="002564DB" w:rsidP="0029581A">
            <w:pPr>
              <w:pStyle w:val="TableTextEntries"/>
            </w:pPr>
            <w:r>
              <w:t>Expand economic opportunities for the poor by promoting enterprise and job creation</w:t>
            </w:r>
          </w:p>
        </w:tc>
        <w:tc>
          <w:tcPr>
            <w:tcW w:w="1189" w:type="pct"/>
          </w:tcPr>
          <w:p w:rsidR="002564DB" w:rsidRPr="002749B6" w:rsidRDefault="00D5167F" w:rsidP="0029581A">
            <w:pPr>
              <w:pStyle w:val="TableTextEntries"/>
            </w:pPr>
            <w:r>
              <w:t xml:space="preserve">Facilitate capacity building for </w:t>
            </w:r>
            <w:r w:rsidR="002564DB">
              <w:t xml:space="preserve">4,500 </w:t>
            </w:r>
            <w:r w:rsidR="00633401">
              <w:t xml:space="preserve">individuals to become </w:t>
            </w:r>
            <w:r w:rsidR="002564DB">
              <w:t>new micro entrepreneurs (at least 60% women)</w:t>
            </w:r>
          </w:p>
        </w:tc>
        <w:tc>
          <w:tcPr>
            <w:tcW w:w="2622" w:type="pct"/>
          </w:tcPr>
          <w:p w:rsidR="002564DB" w:rsidRPr="002749B6" w:rsidRDefault="002564DB" w:rsidP="001545FA">
            <w:pPr>
              <w:pStyle w:val="TableTextEntries"/>
            </w:pPr>
            <w:r>
              <w:t xml:space="preserve">Support for the Microenterprise Development Fund (implemented by UNDP and GoN) represents 46% of Australia’s </w:t>
            </w:r>
            <w:r w:rsidR="001545FA">
              <w:t xml:space="preserve">bilateral </w:t>
            </w:r>
            <w:r>
              <w:t xml:space="preserve">aid investment in Nepal for 2014-15. The </w:t>
            </w:r>
            <w:r w:rsidRPr="002749B6">
              <w:t xml:space="preserve">benchmark aligns with and reflects the partner government’s high priority interest in </w:t>
            </w:r>
            <w:r>
              <w:t xml:space="preserve">supporting job creation through microenterprise development. </w:t>
            </w:r>
            <w:r>
              <w:rPr>
                <w:lang w:val="en-GB"/>
              </w:rPr>
              <w:t>This benchmark also recognises the importance of women’s’ economic empowerment by including the measure that at least 60% of the new micro and small businesses are by women. Infrastructure and labour union issues are recognized by the GoN as constraining industrial growth in Nepal and micro and small enterprises are seen as the measures to contribute to productive employment and economic growth. Deeply entrenched social and structural inequality, compounded by chronic poverty, are amongst the key drivers of conflict in Nepal.  MEDEP endeavours to address these issues by targeting women, youth, the extreme poor, D</w:t>
            </w:r>
            <w:r w:rsidRPr="00D71447">
              <w:rPr>
                <w:lang w:val="en-GB"/>
              </w:rPr>
              <w:t>alits</w:t>
            </w:r>
            <w:r>
              <w:rPr>
                <w:lang w:val="en-GB"/>
              </w:rPr>
              <w:t xml:space="preserve"> and ethnic minorities. </w:t>
            </w:r>
            <w:r>
              <w:t>The benchmark reflects UNDP’s targets, which have been met in previous years.</w:t>
            </w:r>
          </w:p>
        </w:tc>
      </w:tr>
      <w:tr w:rsidR="002564DB" w:rsidRPr="004F7D80" w:rsidTr="000D733F">
        <w:tc>
          <w:tcPr>
            <w:tcW w:w="1189" w:type="pct"/>
            <w:tcMar>
              <w:top w:w="57" w:type="dxa"/>
              <w:bottom w:w="57" w:type="dxa"/>
            </w:tcMar>
          </w:tcPr>
          <w:p w:rsidR="002564DB" w:rsidRDefault="002564DB" w:rsidP="0029581A">
            <w:pPr>
              <w:pStyle w:val="TableTextEntries"/>
            </w:pPr>
            <w:r>
              <w:t>Promote Nepal’s human development to expand participation and productivity of the poor</w:t>
            </w:r>
          </w:p>
        </w:tc>
        <w:tc>
          <w:tcPr>
            <w:tcW w:w="1189" w:type="pct"/>
          </w:tcPr>
          <w:p w:rsidR="002564DB" w:rsidRDefault="00B201C7" w:rsidP="00A51779">
            <w:pPr>
              <w:pStyle w:val="TableTextEntries"/>
            </w:pPr>
            <w:r>
              <w:t xml:space="preserve">Maintenance of existing scholarships </w:t>
            </w:r>
            <w:r w:rsidR="00A51779">
              <w:t xml:space="preserve">for children with disabilities (provided through the School Sector Reform Program) </w:t>
            </w:r>
            <w:r>
              <w:t xml:space="preserve">and an additional 10,000 </w:t>
            </w:r>
            <w:r w:rsidR="003321EC">
              <w:t xml:space="preserve">disability scholarships </w:t>
            </w:r>
            <w:r w:rsidR="00A51779">
              <w:t>provided in 2014-15</w:t>
            </w:r>
            <w:r w:rsidR="003321EC">
              <w:t xml:space="preserve"> to Nepali school children</w:t>
            </w:r>
            <w:r w:rsidR="00A51779">
              <w:t>.</w:t>
            </w:r>
          </w:p>
        </w:tc>
        <w:tc>
          <w:tcPr>
            <w:tcW w:w="2622" w:type="pct"/>
          </w:tcPr>
          <w:p w:rsidR="002564DB" w:rsidRDefault="002564DB" w:rsidP="0029581A">
            <w:pPr>
              <w:pStyle w:val="TableTextEntries"/>
            </w:pPr>
            <w:r>
              <w:t xml:space="preserve">Australia invests in its partner government’s national public school program – the School Sector Reform Program. Through pooling its funding with </w:t>
            </w:r>
            <w:r w:rsidR="001545FA">
              <w:t xml:space="preserve">other donors and GoN </w:t>
            </w:r>
            <w:r>
              <w:t xml:space="preserve">funding, it is able to leverage </w:t>
            </w:r>
            <w:r w:rsidR="001545FA">
              <w:t>GoN</w:t>
            </w:r>
            <w:r>
              <w:t xml:space="preserve"> policy changes aimed at increasing enrolments and the quality of education. The current </w:t>
            </w:r>
            <w:r w:rsidR="001545FA">
              <w:t>GoN</w:t>
            </w:r>
            <w:r>
              <w:t xml:space="preserve"> target is for 100% of students to be enrolled in primary education. In the last five years, it has gone from 92% of children in school </w:t>
            </w:r>
            <w:r w:rsidR="00332432">
              <w:t>to 95.5</w:t>
            </w:r>
            <w:r>
              <w:t xml:space="preserve">% of children in school. As access to education has improved </w:t>
            </w:r>
            <w:r w:rsidRPr="00B13EC9">
              <w:t>generally</w:t>
            </w:r>
            <w:r>
              <w:rPr>
                <w:i/>
              </w:rPr>
              <w:t xml:space="preserve">, </w:t>
            </w:r>
            <w:r>
              <w:t xml:space="preserve">Australia’s agenda has shifted to those groups who are still largely excluded, including children with disabilities. The Aid Policy estimates that children with disabilities make up a third of children not in school in the Asia Pacific region.  One of the partner government’s main strategies for lifting enrolment rates of children with disabilities is through scholarships. These scholarships range from a small amount of money for children with disabilities to attend mainstream schools, to a </w:t>
            </w:r>
            <w:r w:rsidRPr="009A3126">
              <w:t>relatively larger amount of money for children with disabilities to attend specialised integrated schools including residential provisions for some needy students. Australia</w:t>
            </w:r>
            <w:r>
              <w:t xml:space="preserve">, through its contribution to the School Sector Reform Program, contributes to funding these scholarships to children with disabilities. </w:t>
            </w:r>
            <w:r w:rsidR="00B201C7">
              <w:t xml:space="preserve">At the moment the Government of Nepal does not gender-disaggregate the date for children for disabilities receiving scholarships – this is an important issue of policy that Australia will raise with the government. </w:t>
            </w:r>
            <w:r>
              <w:t xml:space="preserve">This results benchmark is </w:t>
            </w:r>
            <w:r>
              <w:lastRenderedPageBreak/>
              <w:t xml:space="preserve">an increase from the 2013-2014 baseline of 50,115 children receiving scholarships. </w:t>
            </w:r>
          </w:p>
          <w:p w:rsidR="001545FA" w:rsidRDefault="001545FA" w:rsidP="0029581A">
            <w:pPr>
              <w:pStyle w:val="TableTextEntries"/>
            </w:pPr>
          </w:p>
        </w:tc>
      </w:tr>
      <w:tr w:rsidR="002564DB" w:rsidRPr="004F7D80" w:rsidTr="000D733F">
        <w:tc>
          <w:tcPr>
            <w:tcW w:w="1189" w:type="pct"/>
            <w:tcMar>
              <w:top w:w="57" w:type="dxa"/>
              <w:bottom w:w="57" w:type="dxa"/>
            </w:tcMar>
          </w:tcPr>
          <w:p w:rsidR="002564DB" w:rsidRDefault="002564DB" w:rsidP="0029581A">
            <w:pPr>
              <w:pStyle w:val="TableTextEntries"/>
            </w:pPr>
            <w:r>
              <w:lastRenderedPageBreak/>
              <w:t>Promote Nepal’s human development to expand participation and productivity of the poor</w:t>
            </w:r>
            <w:r w:rsidDel="0061253F">
              <w:t xml:space="preserve"> </w:t>
            </w:r>
          </w:p>
        </w:tc>
        <w:tc>
          <w:tcPr>
            <w:tcW w:w="1189" w:type="pct"/>
          </w:tcPr>
          <w:p w:rsidR="002564DB" w:rsidRDefault="002564DB" w:rsidP="0029581A">
            <w:pPr>
              <w:pStyle w:val="TableTextEntries"/>
            </w:pPr>
            <w:r>
              <w:t>30 new Australian Awards offered in priority areas (at least 25% from socially and traditionally marginalised groups)</w:t>
            </w:r>
          </w:p>
        </w:tc>
        <w:tc>
          <w:tcPr>
            <w:tcW w:w="2622" w:type="pct"/>
          </w:tcPr>
          <w:p w:rsidR="002564DB" w:rsidRDefault="002564DB" w:rsidP="0029581A">
            <w:pPr>
              <w:pStyle w:val="TableTextEntries"/>
            </w:pPr>
            <w:r>
              <w:t>C</w:t>
            </w:r>
            <w:r w:rsidRPr="00424EA3">
              <w:t xml:space="preserve">apacity within </w:t>
            </w:r>
            <w:r>
              <w:t>GoN</w:t>
            </w:r>
            <w:r w:rsidRPr="00424EA3">
              <w:t xml:space="preserve"> and many aspects of civil society is very weak. With weak domestic universities, scholarships to Australia play an important role in strengthening domestic capacity</w:t>
            </w:r>
            <w:r>
              <w:t xml:space="preserve"> and assisting Nepalis who demonstrate potential to contribute to development and</w:t>
            </w:r>
            <w:r w:rsidRPr="00424EA3">
              <w:t xml:space="preserve"> address poverty.  They aim to provide awardees with the skills and knowledge to drive change and influence economic and social development. </w:t>
            </w:r>
            <w:r>
              <w:rPr>
                <w:rFonts w:cs="Arial"/>
                <w:szCs w:val="16"/>
              </w:rPr>
              <w:t>The Awards also</w:t>
            </w:r>
            <w:r w:rsidRPr="00380A34">
              <w:rPr>
                <w:rFonts w:cs="Arial"/>
                <w:szCs w:val="16"/>
              </w:rPr>
              <w:t xml:space="preserve"> attempt to address issues of social inclusion </w:t>
            </w:r>
            <w:r>
              <w:rPr>
                <w:rFonts w:cs="Arial"/>
                <w:szCs w:val="16"/>
              </w:rPr>
              <w:t>which is a</w:t>
            </w:r>
            <w:r w:rsidRPr="00380A34">
              <w:rPr>
                <w:rFonts w:cs="Arial"/>
                <w:szCs w:val="16"/>
              </w:rPr>
              <w:t xml:space="preserve"> core driver of Nepal's conflict</w:t>
            </w:r>
            <w:r>
              <w:rPr>
                <w:rFonts w:cs="Arial"/>
                <w:szCs w:val="16"/>
              </w:rPr>
              <w:t>. This benchmark provides that at least 25% of these Australian Awards go to traditionally and socially excluded groups. These groups are well positioned to contribute to the development of excluded communities, but because of poverty and a lack of opportunity, do not generally have access to the skills and knowledge which can be provided by overseas study. The Nepal Program will be developing new strategies in 2014-2015 to better reach these groups. This benchmark builds on the work of i</w:t>
            </w:r>
            <w:r w:rsidRPr="00380A34">
              <w:rPr>
                <w:rFonts w:cs="Arial"/>
                <w:szCs w:val="16"/>
              </w:rPr>
              <w:t>ntake 201</w:t>
            </w:r>
            <w:r>
              <w:rPr>
                <w:rFonts w:cs="Arial"/>
                <w:szCs w:val="16"/>
              </w:rPr>
              <w:t>4, which ensured that out of a field of 35 Australian Awards, 9 were to</w:t>
            </w:r>
            <w:r w:rsidRPr="00380A34">
              <w:rPr>
                <w:rFonts w:cs="Arial"/>
                <w:szCs w:val="16"/>
              </w:rPr>
              <w:t xml:space="preserve"> individuals from traditionally marginalised groups, 1</w:t>
            </w:r>
            <w:r>
              <w:rPr>
                <w:rFonts w:cs="Arial"/>
                <w:szCs w:val="16"/>
              </w:rPr>
              <w:t>3</w:t>
            </w:r>
            <w:r w:rsidRPr="00380A34">
              <w:rPr>
                <w:rFonts w:cs="Arial"/>
                <w:szCs w:val="16"/>
              </w:rPr>
              <w:t xml:space="preserve"> females</w:t>
            </w:r>
            <w:r>
              <w:rPr>
                <w:rFonts w:cs="Arial"/>
                <w:szCs w:val="16"/>
              </w:rPr>
              <w:t>,</w:t>
            </w:r>
            <w:r w:rsidRPr="00380A34">
              <w:rPr>
                <w:rFonts w:cs="Arial"/>
                <w:szCs w:val="16"/>
              </w:rPr>
              <w:t xml:space="preserve"> 1 with a disability </w:t>
            </w:r>
            <w:r>
              <w:rPr>
                <w:rFonts w:cs="Arial"/>
                <w:szCs w:val="16"/>
              </w:rPr>
              <w:t>and 1 studying in the field of disability</w:t>
            </w:r>
            <w:r w:rsidRPr="00380A34">
              <w:rPr>
                <w:rFonts w:cs="Arial"/>
                <w:szCs w:val="16"/>
              </w:rPr>
              <w:t>.</w:t>
            </w:r>
            <w:r>
              <w:rPr>
                <w:rFonts w:cs="Arial"/>
                <w:szCs w:val="16"/>
              </w:rPr>
              <w:t xml:space="preserve"> The overall number of awardees is lower in recognition that approximately 35% of total funding is drawn from the bilateral budget, with the remainder subject to a successful bid from global funds. </w:t>
            </w:r>
          </w:p>
        </w:tc>
      </w:tr>
      <w:bookmarkEnd w:id="2"/>
    </w:tbl>
    <w:p w:rsidR="000D733F" w:rsidRPr="00D95DDC" w:rsidRDefault="000D733F" w:rsidP="00424EA3"/>
    <w:sectPr w:rsidR="000D733F" w:rsidRPr="00D95DDC" w:rsidSect="00091824">
      <w:pgSz w:w="16840" w:h="11907" w:orient="landscape" w:code="9"/>
      <w:pgMar w:top="1871" w:right="2268" w:bottom="1871" w:left="907" w:header="851" w:footer="45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3401" w:rsidRDefault="00633401" w:rsidP="0050529F">
      <w:r>
        <w:separator/>
      </w:r>
    </w:p>
    <w:p w:rsidR="00633401" w:rsidRDefault="00633401"/>
    <w:p w:rsidR="00633401" w:rsidRDefault="00633401"/>
    <w:p w:rsidR="00633401" w:rsidRDefault="00633401"/>
    <w:p w:rsidR="00633401" w:rsidRDefault="00633401"/>
    <w:p w:rsidR="00633401" w:rsidRDefault="00633401"/>
    <w:p w:rsidR="00633401" w:rsidRDefault="00633401"/>
  </w:endnote>
  <w:endnote w:type="continuationSeparator" w:id="0">
    <w:p w:rsidR="00633401" w:rsidRDefault="00633401" w:rsidP="0050529F">
      <w:r>
        <w:continuationSeparator/>
      </w:r>
    </w:p>
    <w:p w:rsidR="00633401" w:rsidRDefault="00633401"/>
    <w:p w:rsidR="00633401" w:rsidRDefault="00633401"/>
    <w:p w:rsidR="00633401" w:rsidRDefault="00633401"/>
    <w:p w:rsidR="00633401" w:rsidRDefault="00633401"/>
    <w:p w:rsidR="00633401" w:rsidRDefault="00633401"/>
    <w:p w:rsidR="00633401" w:rsidRDefault="006334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401" w:rsidRPr="0091071F" w:rsidRDefault="00633401" w:rsidP="000D733F">
    <w:pPr>
      <w:pStyle w:val="Footer"/>
    </w:pPr>
    <w:r w:rsidRPr="0091071F">
      <w:fldChar w:fldCharType="begin"/>
    </w:r>
    <w:r w:rsidRPr="0091071F">
      <w:instrText xml:space="preserve"> PAGE </w:instrText>
    </w:r>
    <w:r w:rsidRPr="0091071F">
      <w:fldChar w:fldCharType="separate"/>
    </w:r>
    <w:r>
      <w:rPr>
        <w:noProof/>
      </w:rPr>
      <w:t>4</w:t>
    </w:r>
    <w:r w:rsidRPr="0091071F">
      <w:fldChar w:fldCharType="end"/>
    </w:r>
    <w:r w:rsidRPr="0091071F">
      <w:tab/>
    </w:r>
    <w:r>
      <w:fldChar w:fldCharType="begin"/>
    </w:r>
    <w:r>
      <w:instrText xml:space="preserve"> STYLEREF  Title </w:instrText>
    </w:r>
    <w:r>
      <w:rPr>
        <w:noProof/>
      </w:rPr>
      <w:fldChar w:fldCharType="end"/>
    </w:r>
    <w:r>
      <w:t xml:space="preserve"> &lt;&lt;Name of Country Program&gt;&gt;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401" w:rsidRPr="0091071F" w:rsidRDefault="00633401" w:rsidP="000D733F">
    <w:pPr>
      <w:pStyle w:val="Footer"/>
    </w:pPr>
    <w:r>
      <w:tab/>
    </w:r>
    <w:r>
      <w:tab/>
    </w:r>
    <w:r w:rsidR="00345D72">
      <w:fldChar w:fldCharType="begin"/>
    </w:r>
    <w:r w:rsidR="00345D72">
      <w:instrText xml:space="preserve"> STYLEREF Title \* MERGEFORMAT </w:instrText>
    </w:r>
    <w:r w:rsidR="00345D72">
      <w:rPr>
        <w:noProof/>
      </w:rPr>
      <w:fldChar w:fldCharType="end"/>
    </w:r>
    <w:r w:rsidRPr="0091071F">
      <w:tab/>
    </w:r>
    <w:r w:rsidRPr="0091071F">
      <w:rPr>
        <w:rStyle w:val="PageNumber"/>
        <w:color w:val="3E3935"/>
      </w:rPr>
      <w:tab/>
    </w:r>
    <w:r w:rsidRPr="0091071F">
      <w:rPr>
        <w:rStyle w:val="PageNumber"/>
        <w:color w:val="3E3935"/>
      </w:rPr>
      <w:fldChar w:fldCharType="begin"/>
    </w:r>
    <w:r w:rsidRPr="0091071F">
      <w:rPr>
        <w:rStyle w:val="PageNumber"/>
        <w:color w:val="3E3935"/>
      </w:rPr>
      <w:instrText xml:space="preserve"> PAGE </w:instrText>
    </w:r>
    <w:r w:rsidRPr="0091071F">
      <w:rPr>
        <w:rStyle w:val="PageNumber"/>
        <w:color w:val="3E3935"/>
      </w:rPr>
      <w:fldChar w:fldCharType="separate"/>
    </w:r>
    <w:r w:rsidR="00E650A3">
      <w:rPr>
        <w:rStyle w:val="PageNumber"/>
        <w:noProof/>
        <w:color w:val="3E3935"/>
      </w:rPr>
      <w:t>1</w:t>
    </w:r>
    <w:r w:rsidRPr="0091071F">
      <w:rPr>
        <w:rStyle w:val="PageNumber"/>
        <w:color w:val="3E3935"/>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0A3" w:rsidRDefault="00E650A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401" w:rsidRPr="004C4A3E" w:rsidRDefault="00633401" w:rsidP="000D733F">
    <w:pPr>
      <w:tabs>
        <w:tab w:val="left" w:pos="0"/>
        <w:tab w:val="left" w:pos="13325"/>
      </w:tabs>
      <w:spacing w:line="180" w:lineRule="exact"/>
      <w:ind w:right="-1136"/>
      <w:rPr>
        <w:rFonts w:ascii="Franklin Gothic Medium" w:hAnsi="Franklin Gothic Medium"/>
        <w:color w:val="5A9A98"/>
        <w:sz w:val="14"/>
        <w:szCs w:val="14"/>
      </w:rPr>
    </w:pPr>
    <w:r>
      <w:rPr>
        <w:noProof/>
      </w:rPr>
      <mc:AlternateContent>
        <mc:Choice Requires="wps">
          <w:drawing>
            <wp:anchor distT="0" distB="0" distL="114300" distR="114300" simplePos="0" relativeHeight="251720704" behindDoc="1" locked="1" layoutInCell="1" allowOverlap="1" wp14:anchorId="6F19CFA1" wp14:editId="4C3F49F3">
              <wp:simplePos x="0" y="0"/>
              <wp:positionH relativeFrom="page">
                <wp:posOffset>0</wp:posOffset>
              </wp:positionH>
              <wp:positionV relativeFrom="page">
                <wp:posOffset>8533130</wp:posOffset>
              </wp:positionV>
              <wp:extent cx="7380000" cy="2181600"/>
              <wp:effectExtent l="0" t="0" r="0" b="9525"/>
              <wp:wrapNone/>
              <wp:docPr id="20" name="Rectangle 20" descr="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80000" cy="2181600"/>
                      </a:xfrm>
                      <a:prstGeom prst="rect">
                        <a:avLst/>
                      </a:prstGeom>
                      <a:blipFill dpi="0" rotWithShape="0">
                        <a:blip r:embed="rId1" cstate="screen">
                          <a:extLst>
                            <a:ext uri="{28A0092B-C50C-407E-A947-70E740481C1C}">
                              <a14:useLocalDpi xmlns:a14="http://schemas.microsoft.com/office/drawing/2010/main"/>
                            </a:ext>
                          </a:extLst>
                        </a:blip>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alt="AusAID web address graphic" style="position:absolute;margin-left:0;margin-top:671.9pt;width:581.1pt;height:171.8pt;z-index:-251595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f6&#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CcUAFFJkeooyPUUXAW&#10;ikyPUUZHqKLgLRSZHqKMii4C0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XN+NP8AkFRf9dR/I10lc340/wCQVF/11H8jXLjf93n6HVgv94h6nC0UUV8kfWBW&#10;/oraKLf/AEsL9qycGXOz26VgVv6L/Yv2b/S9v2rJ/wBbnZ7V04T+J0+Zy4z+F1+Rozyax5Lf2cLM&#10;wAf8uuCf1rkGJLsW+9nn612E66yYW/s5rIQY6WuBx+Nce2dx3dc81tjt1v8APb5GOA2e3y3+YlbP&#10;hZyuvwAfxBgfyNY1a/hj/kYbb/gX/oJrnwv8eHqjpxX8Cfoz0eiiivsD5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ub8af8gqL/rqP5Gukrm/Gn/I&#10;Ki/66j+Rrlxv+7z9DqwX+8Q9ThaKKK+SPrArY03w/cahbfafNSODJG45J49qx63tG0zUZbb7VBef&#10;Z4MnnJPT2FdGFgp1LONznxU3CndSsPRdF01jm6up5R1EYKDNYDkM7EZwTxmutuNX0+KFob1jqEuM&#10;bjAExXIsQWJAwM8CtcZyq0Ytei/pmWDcneUk793+miErX8Mf8jDbf8C/9BNZFa/hj/kYbb/gX/oJ&#10;rHC/x4eqNsV/An6M9Hooor7A+Q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rm/Gn/IKi/66j+RrpK5vxp/yCov+uo/ka5cb/u8/Q6sF/vEPU4Wiiivk&#10;j6wKt2VzfQuBZyTA/wB2PJ/Sqlb+ja41nbfZBZmQEn54uH5rfDpOesrGGIbUNI3NG1bWbmPF7Y27&#10;x45adQp/z+FcjIMSMMAYJ4FddPox1KFp/td7BxnZdnI/nXIMMMRnOD1roxqklFP731ObAuLcmrei&#10;6CVr+GP+Rhtv+Bf+gmsitfwx/wAjDbf8C/8AQTXPhf48PVHTiv4E/Rno9FFFfYHy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c340/5BUX/XUfyNdJ&#10;XN+NP+QVF/11H8jXLjf93n6HVgv94h6nC0UUV8kfWBW/pGuHTrEwvaM0RJzNGcNz74rArcs5NUvd&#10;DewtrQSQA8vjnrnFdOFlKM24vW3a5zYuMZQSktL97E0w0rU8t/alxFIf4ZwWH51zzDDEA5wetS/Z&#10;ZzK8Xkv5iAllxyMdc1DUVqjnq42ZVGmoXUZXQVr+GP8AkYbb/gX/AKCayK1/DH/Iw23/AAL/ANBN&#10;PC/x4eqDFfwJ+jPR6KKK+wPk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VzfjT/kFRf9dR/I10lc340/5BUX/XUfyNcuN/3efodWC/3iHqcLRRRXyR9YFdHa2sOo+H&#10;7eKe8ht2hkby9zdQTzkVzlaM1pDDolrcEEzzu2OeAo4row8uXmdrq2pzYmPNyq9nfQuHw/bAH/ic&#10;Wh/z9aw2XaxXOcHGRXSroWmosFpPcSC/nTcuB8oPpXNyRmKV426qxU/hV4mnyJe7b53JwtXnbXNf&#10;5WG1r+GP+Rhtv+Bf+gmsitfwx/yMNt/wL/0E1nhf48PVGmK/gT9Gej0UUV9gfI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VzfjT/kFRf8AXUfyNdJX&#10;N+NP+QVF/wBdR/I1y43/AHefodWC/wB4h6nC0UUV8kfWBW9pF4Hsxb3GmSXkULFkMaklSeorBrp7&#10;KbUF8P239lKdyyP5+1cknPH4V14O/O35dr3OTGfAl597WM6XV5Zdd+3m3y0f3Y+flAFZcjmSRnbq&#10;xLH8a7FLK6OvQ3Jtisc0A+0cYAJHNcfMqrPIq/dDED6Zp4qE4q8nu2ThakJO0Vsl/wAMMrX8Mf8A&#10;Iw23/Av/AEE1kVr+GP8AkYbb/gX/AKCaywv8eHqjbFfwJ+jPR6KKK+wPk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5vxp/wAgqL/rqP5Gukrm/Gn/&#10;ACCov+uo/ka5cb/u8/Q6sF/vEPU4Wiiivkj6wK6DTLbXLjTY/sU4S3DHaN4U5zzXP1s6ZpZntDdX&#10;N79ltQ20Enlj7V04W7nZX+Tt+JzYqyhd2+av+Bfk0vxJJEyPdbkI5Hm9axf7Kuf7Ne++TykfYRnn&#10;Naj6PDcROdO1bz5VGfKJwSPasAySBDGXbbnJXPGa1xCjG3Mn99zHDOUk+Vr7rDK1/DH/ACMNt/wL&#10;/wBBNZFa/hj/AJGG2/4F/wCgmsML/Hh6o6MV/An6M9Hooor7A+Q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rm/Gn/IKi/66j+RrpK5vxp/yCov+uo/&#10;ka5cb/u8/Q6sF/vEPU4Wiiivkj6wK6O0t7a/8PQ2899DbvHIzIGbsfUVzlaS22nHRDObk/bQ3EX4&#10;/wCFdGGdnLRNW66HPiVdR1ad+iubGm6bY2F4twdXtmKA7QGxzjvzWdfaVawwS3C6pbyv12J1P61j&#10;UVUsRBw5eT8WTHDzU+fn/BBWv4Y/5GG2/wCBf+gmsitfwx/yMNt/wL/0E1GF/jQ9UXiv4E/Rno9F&#10;FFfYHy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rm/Gn/IKi/66j+RrpK5vxp/yCov+uo/ka5cb/u8/Q6sF/vEPU4Wi&#10;iivkj6wK6HQ9ZsrK1MEsRimJP+kKoY1z1a0V2kmhvZR6eZJt2TMq5xzn/wCtXRhpuE3JPW3qc2Kg&#10;pwUWtL97F+80661NTLbaot6vXYW2kfhXNkFSQeo4pyM8b5QsrD04IphOeamtUjUd7WfqVRpyprlb&#10;uumgVr+GP+Rhtv8AgX/oJrIrX8Mf8jDbf8C/9BNPC/x4eqDFfwJ+jPR6KKK+wPk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5vxp/yCov+uo/ka6Su&#10;b8af8gqL/rqP5GuXG/7vP0OrBf7xD1OFooor5I+sCumsrq9t9Atm0uMM/mMJ8JuOc8fpXM1v6V/b&#10;01iI9P8AlgRj83yjJ+p6114STU2lfbpucmMinBN20fXY0Y7SVvEEM/2QrFcwZnG3hSRzXJTKEnkV&#10;fuqxA+ma6eS18UyRMjykqRzh1rlmUqxVuoODV4x6L3WtW9TPBrVvmT0S0ErX8Mf8jDbf8C/9BNZF&#10;a/hj/kYbb/gX/oJrDC/x4eqOjFfwJ+jPR6KKK+wPk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5vxp/wAgqL/rqP5Gukrm/Gn/ACCov+uo/ka5cb/u&#10;8/Q6sF/vEPU4Wiiivkj6wK6a1s7zUvDdslq5jMMjZBbaJAT1/CuZp4mkCBBI4UHIAY4rehVVNvmW&#10;jRhXpSqJcrs07m4fD+sgZ81f+/8AWCwKswbqDg07zZP+ej/99UylVnCVuVNeruOlCcb87T9FYK2P&#10;C4z4gtvbd/6Cax66jwbZM93LeMDsjXap9Sa0wUHOvFLuRjZqFCTfY7aiiivrT5I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ub8Z/8AIKi/66j+RrpK&#10;ZJFHKoEiK4HZhmsa9P2tNwvua0KnsqinbY8koxXq/wBitf8An3i/74FH2K1/594v++BXkf2PL+f8&#10;D1/7YX8n4nlGKMV6v9itf+feL/vgUfYrX/n3i/74FH9jy/n/AAD+2F/J+J5RilVWY4VSSewFerfY&#10;rX/n3i/74FOS3hiPyRIv0UChZO+s/wAAecL+T8TgdM8M3t86tKhgh7sw5P0Fd5aWkNlbJbwJtjUc&#10;VPRXpYbB08Ovd37nm4nF1MQ/e27BRRRXWco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" stroked="f" strokecolor="#4a7ebb" strokeweight="1.5pt">
              <v:fill r:id="rId2" o:title="AusAID web address graphic" recolor="t" type="frame"/>
              <v:shadow opacity="22938f" offset="0"/>
              <v:textbox inset=",7.2pt,,7.2pt"/>
              <w10:wrap anchorx="page" anchory="page"/>
              <w10:anchorlock/>
            </v:rect>
          </w:pict>
        </mc:Fallback>
      </mc:AlternateContent>
    </w:r>
    <w:r>
      <w:rPr>
        <w:rFonts w:ascii="Franklin Gothic Medium" w:hAnsi="Franklin Gothic Medium"/>
        <w:color w:val="5A9A98"/>
        <w:sz w:val="14"/>
        <w:szCs w:val="14"/>
      </w:rPr>
      <w:fldChar w:fldCharType="begin"/>
    </w:r>
    <w:r>
      <w:rPr>
        <w:rFonts w:ascii="Franklin Gothic Medium" w:hAnsi="Franklin Gothic Medium"/>
        <w:color w:val="5A9A98"/>
        <w:sz w:val="14"/>
        <w:szCs w:val="14"/>
      </w:rPr>
      <w:instrText xml:space="preserve"> STYLEREF  Title </w:instrText>
    </w:r>
    <w:r>
      <w:rPr>
        <w:rFonts w:ascii="Franklin Gothic Medium" w:hAnsi="Franklin Gothic Medium"/>
        <w:color w:val="5A9A98"/>
        <w:sz w:val="14"/>
        <w:szCs w:val="14"/>
      </w:rPr>
      <w:fldChar w:fldCharType="separate"/>
    </w:r>
    <w:r w:rsidR="006422A3">
      <w:rPr>
        <w:rFonts w:ascii="Franklin Gothic Medium" w:hAnsi="Franklin Gothic Medium"/>
        <w:noProof/>
        <w:color w:val="5A9A98"/>
        <w:sz w:val="14"/>
        <w:szCs w:val="14"/>
      </w:rPr>
      <w:t>Aid Program Performance Report 2013-14</w:t>
    </w:r>
    <w:r>
      <w:rPr>
        <w:rFonts w:ascii="Franklin Gothic Medium" w:hAnsi="Franklin Gothic Medium"/>
        <w:color w:val="5A9A98"/>
        <w:sz w:val="14"/>
        <w:szCs w:val="14"/>
      </w:rPr>
      <w:fldChar w:fldCharType="end"/>
    </w:r>
    <w:r>
      <w:rPr>
        <w:rFonts w:ascii="Franklin Gothic Medium" w:hAnsi="Franklin Gothic Medium"/>
        <w:color w:val="5A9A98"/>
        <w:sz w:val="14"/>
        <w:szCs w:val="14"/>
      </w:rPr>
      <w:tab/>
    </w:r>
    <w:r w:rsidRPr="0050529F">
      <w:rPr>
        <w:rFonts w:ascii="Franklin Gothic Medium" w:hAnsi="Franklin Gothic Medium"/>
        <w:color w:val="54534A"/>
        <w:sz w:val="14"/>
        <w:szCs w:val="14"/>
      </w:rPr>
      <w:fldChar w:fldCharType="begin"/>
    </w:r>
    <w:r w:rsidRPr="0050529F">
      <w:rPr>
        <w:rFonts w:ascii="Franklin Gothic Medium" w:hAnsi="Franklin Gothic Medium"/>
        <w:color w:val="54534A"/>
        <w:sz w:val="14"/>
        <w:szCs w:val="14"/>
      </w:rPr>
      <w:instrText xml:space="preserve"> PAGE </w:instrText>
    </w:r>
    <w:r w:rsidRPr="0050529F">
      <w:rPr>
        <w:rFonts w:ascii="Franklin Gothic Medium" w:hAnsi="Franklin Gothic Medium"/>
        <w:color w:val="54534A"/>
        <w:sz w:val="14"/>
        <w:szCs w:val="14"/>
      </w:rPr>
      <w:fldChar w:fldCharType="separate"/>
    </w:r>
    <w:r>
      <w:rPr>
        <w:rFonts w:ascii="Franklin Gothic Medium" w:hAnsi="Franklin Gothic Medium"/>
        <w:noProof/>
        <w:color w:val="54534A"/>
        <w:sz w:val="14"/>
        <w:szCs w:val="14"/>
      </w:rPr>
      <w:t>18</w:t>
    </w:r>
    <w:r w:rsidRPr="0050529F">
      <w:rPr>
        <w:rFonts w:ascii="Franklin Gothic Medium" w:hAnsi="Franklin Gothic Medium"/>
        <w:color w:val="54534A"/>
        <w:sz w:val="14"/>
        <w:szCs w:val="14"/>
      </w:rPr>
      <w:fldChar w:fldCharType="end"/>
    </w:r>
    <w:r>
      <w:rPr>
        <w:noProof/>
      </w:rPr>
      <mc:AlternateContent>
        <mc:Choice Requires="wps">
          <w:drawing>
            <wp:anchor distT="0" distB="0" distL="114300" distR="114300" simplePos="0" relativeHeight="251719680" behindDoc="1" locked="0" layoutInCell="1" allowOverlap="1" wp14:anchorId="5AA709EE" wp14:editId="5534D596">
              <wp:simplePos x="0" y="0"/>
              <wp:positionH relativeFrom="column">
                <wp:posOffset>0</wp:posOffset>
              </wp:positionH>
              <wp:positionV relativeFrom="paragraph">
                <wp:posOffset>8498840</wp:posOffset>
              </wp:positionV>
              <wp:extent cx="7379970" cy="2181860"/>
              <wp:effectExtent l="0" t="2540" r="1905" b="0"/>
              <wp:wrapNone/>
              <wp:docPr id="21" name="Rectangle 21" descr="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cstate="screen">
                          <a:extLst>
                            <a:ext uri="{28A0092B-C50C-407E-A947-70E740481C1C}">
                              <a14:useLocalDpi xmlns:a14="http://schemas.microsoft.com/office/drawing/2010/main"/>
                            </a:ext>
                          </a:extLst>
                        </a:blip>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alt="AusAID web address graphic" style="position:absolute;margin-left:0;margin-top:669.2pt;width:581.1pt;height:171.8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f6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CcUAFFJkeo&#10;oyPUUXAWikyPUUZHqKLgLRSZHqKMii4C0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XN+NP8AkFRf9dR/I10lc340/wCQVF/11H8jXLjf93n6HVgv94h6nC0U&#10;UV8kfWBW/oraKLf/AEsL9qycGXOz26VgVv6L/Yv2b/S9v2rJ/wBbnZ7V04T+J0+Zy4z+F1+Rozya&#10;x5Lf2cLMwAf8uuCf1rkGJLsW+9nn612E66yYW/s5rIQY6WuBx+Nce2dx3dc81tjt1v8APb5GOA2e&#10;3y3+YlbPhZyuvwAfxBgfyNY1a/hj/kYbb/gX/oJrnwv8eHqjpxX8Cfoz0eiiivsD5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ub8af8gqL/rqP5Gu&#10;krm/Gn/IKi/66j+Rrlxv+7z9DqwX+8Q9ThaKKK+SPrArY03w/cahbfafNSODJG45J49qx63tG0zU&#10;Zbb7VBefZ4MnnJPT2FdGFgp1LONznxU3CndSsPRdF01jm6up5R1EYKDNYDkM7EZwTxmutuNX0+KF&#10;ob1jqEuMbjAExXIsQWJAwM8CtcZyq0Ytei/pmWDcneUk793+miErX8Mf8jDbf8C/9BNZFa/hj/kY&#10;bb/gX/oJrHC/x4eqNsV/An6M9Hooor7A+Q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rm/Gn/IKi/66j+RrpK5vxp/yCov+uo/ka5cb/u8/Q6sF/vEP&#10;U4Wiiivkj6wKt2VzfQuBZyTA/wB2PJ/Sqlb+ja41nbfZBZmQEn54uH5rfDpOesrGGIbUNI3NG1bW&#10;bmPF7Y27x45adQp/z+FcjIMSMMAYJ4FddPox1KFp/td7BxnZdnI/nXIMMMRnOD1roxqklFP731Ob&#10;AuLcmrei6CVr+GP+Rhtv+Bf+gmsitfwx/wAjDbf8C/8AQTXPhf48PVHTiv4E/Rno9FFFfYHy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c340/5BUX&#10;/XUfyNdJXN+NP+QVF/11H8jXLjf93n6HVgv94h6nC0UUV8kfWBW/pGuHTrEwvaM0RJzNGcNz74rA&#10;rcs5NUvdDewtrQSQA8vjnrnFdOFlKM24vW3a5zYuMZQSktL97E0w0rU8t/alxFIf4ZwWH51zzDDE&#10;A5wetS/ZZzK8Xkv5iAllxyMdc1DUVqjnq42ZVGmoXUZXQVr+GP8AkYbb/gX/AKCayK1/DH/Iw23/&#10;AAL/ANBNPC/x4eqDFfwJ+jPR6KKK+wPk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VzfjT/kFRf9dR/I10lc340/5BUX/XUfyNcuN/3efodWC/3iHqcLRRRXyR9YFd&#10;Ha2sOo+H7eKe8ht2hkby9zdQTzkVzlaM1pDDolrcEEzzu2OeAo4row8uXmdrq2pzYmPNyq9nfQuH&#10;w/bAH/icWh/z9aw2XaxXOcHGRXSroWmosFpPcSC/nTcuB8oPpXNyRmKV426qxU/hV4mnyJe7b53J&#10;wtXnbXNf5WG1r+GP+Rhtv+Bf+gmsitfwx/yMNt/wL/0E1nhf48PVGmK/gT9Gej0UUV9gfI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VzfjT/kFRf8A&#10;XUfyNdJXN+NP+QVF/wBdR/I1y43/AHefodWC/wB4h6nC0UUV8kfWBW9pF4Hsxb3GmSXkULFkMakl&#10;SeorBrp7KbUF8P239lKdyyP5+1cknPH4V14O/O35dr3OTGfAl597WM6XV5Zdd+3m3y0f3Y+flAFZ&#10;cjmSRnbqxLH8a7FLK6OvQ3Jtisc0A+0cYAJHNcfMqrPIq/dDED6Zp4qE4q8nu2ThakJO0Vsl/wAM&#10;MrX8Mf8AIw23/Av/AEE1kVr+GP8AkYbb/gX/AKCaywv8eHqjbFfwJ+jPR6KKK+wPk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5vxp/wAgqL/rqP5G&#10;ukrm/Gn/ACCov+uo/ka5cb/u8/Q6sF/vEPU4Wiiivkj6wK6DTLbXLjTY/sU4S3DHaN4U5zzXP1s6&#10;ZpZntDdXN79ltQ20Enlj7V04W7nZX+Tt+JzYqyhd2+av+Bfk0vxJJEyPdbkI5Hm9axf7Kuf7Ne++&#10;TykfYRnnNaj6PDcROdO1bz5VGfKJwSPasAySBDGXbbnJXPGa1xCjG3Mn99zHDOUk+Vr7rDK1/DH/&#10;ACMNt/wL/wBBNZFa/hj/AJGG2/4F/wCgmsML/Hh6o6MV/An6M9Hooor7A+Q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rm/Gn/IKi/66j+RrpK5vxp/&#10;yCov+uo/ka5cb/u8/Q6sF/vEPU4Wiiivkj6wK6O0t7a/8PQ2899DbvHIzIGbsfUVzlaS22nHRDOb&#10;k/bQ3EX4/wCFdGGdnLRNW66HPiVdR1ad+iubGm6bY2F4twdXtmKA7QGxzjvzWdfaVawwS3C6pbyv&#10;12J1P61jUVUsRBw5eT8WTHDzU+fn/BBWv4Y/5GG2/wCBf+gmsitfwx/yMNt/wL/0E1GF/jQ9UXiv&#10;4E/Rno9FFFfYHy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XN+NP+QVF/11H8jXSVzfjT/kFRf9dR/I&#10;1y43/d5+h1YL/eIepwtFFFfJH1gV0Nrcf2PocF5BbxyT3DsGkdc7ADwK56tPTNYubBTAsaTwuc+U&#10;4yM+1dGGmoSd3bz7HPiYOcFZX8u5qWGsT6zdLZXtvDLFICCypgpx1rm5VCTOgOQrEA116Pq15buL&#10;ewgsImHzSHg4rj3Xa7KTkg4zW2Lvyx5m35tWMMHbmlypJdk7ja1/DH/Iw23/AAL/ANBNZFa/hj/k&#10;Ybb/AIF/6Cawwv8AHh6o6MV/An6M9Hooor7A+Q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rm/Gn/IKi/66j+RrpK5vxp/yCov+uo/ka5cb/u8/Q6sF&#10;/vEPU4Wiiivkj6wK6HQ9ZsrK1MEsRimJP+kKoY1z1a0V2kmhvZR6eZJt2TMq5xzn/wCtXRhpuE3J&#10;PW3qc2KgpwUWtL97F+80661NTLbaot6vXYW2kfhXNkFSQeo4pyM8b5QsrD04IphOeamtUjUd7Wfq&#10;VRpyprlbuumgVr+GP+Rhtv8AgX/oJrIrX8Mf8jDbf8C/9BNPC/x4eqDFfwJ+jPR6KKK+wPk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5vxp/yCov+&#10;uo/ka6Sub8af8gqL/rqP5GuXG/7vP0OrBf7xD1OFooor5I+sCumsrq9t9Atm0uMM/mMJ8JuOc8fp&#10;XM1v6V/b01iI9P8AlgRj83yjJ+p6114STU2lfbpucmMinBN20fXY0Y7SVvEEM/2QrFcwZnG3hSRz&#10;XJTKEnkVfuqxA+ma6eS18UyRMjykqRzh1rlmUqxVuoODV4x6L3WtW9TPBrVvmT0S0ErX8Mf8jDbf&#10;8C/9BNZFa/hj/kYbb/gX/oJrDC/x4eqOjFfwJ+jPR6KKK+wPk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5vxp/wAgqL/rqP5Gukrm/Gn/ACCov+uo&#10;/ka5cb/u8/Q6sF/vEPU4Wiiivkj6wK6a1s7zUvDdslq5jMMjZBbaJAT1/CuZp4mkCBBI4UHIAY4r&#10;ehVVNvmWjRhXpSqJcrs07m4fD+sgZ81f+/8AWCwKswbqDg07zZP+ej/99UylVnCVuVNeruOlCcb8&#10;7T9FYK2PC4z4gtvbd/6Cax66jwbZM93LeMDsjXap9Sa0wUHOvFLuRjZqFCTfY7aiiivrT5I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ub8Z/8AIKi/&#10;66j+RrpKZJFHKoEiK4HZhmsa9P2tNwvua0KnsqinbY8koxXq/wBitf8An3i/74FH2K1/594v++BX&#10;kf2PL+f8D1/7YX8n4nlGKMV6v9itf+feL/vgUfYrX/n3i/74FH9jy/n/AAD+2F/J+J5RilVWY4VS&#10;SewFerfYrX/n3i/74FOS3hiPyRIv0UChZO+s/wAAecL+T8TgdM8M3t86tKhgh7sw5P0Fd5aWkNlb&#10;JbwJtjUcVPRXpYbB08Ovd37nm4nF1MQ/e27BRRRXWco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" stroked="f" strokecolor="#4a7ebb" strokeweight="1.5pt">
              <v:fill r:id="rId2" o:title="AusAID web address graphic" recolor="t" type="frame"/>
              <v:shadow opacity="22938f" offset="0"/>
              <v:textbox inset=",7.2pt,,7.2pt"/>
            </v:rect>
          </w:pict>
        </mc:Fallback>
      </mc:AlternateContent>
    </w:r>
    <w:r>
      <w:rPr>
        <w:noProof/>
      </w:rPr>
      <mc:AlternateContent>
        <mc:Choice Requires="wps">
          <w:drawing>
            <wp:anchor distT="0" distB="0" distL="114300" distR="114300" simplePos="0" relativeHeight="251718656" behindDoc="1" locked="0" layoutInCell="1" allowOverlap="1" wp14:anchorId="66F2CB6F" wp14:editId="0B734967">
              <wp:simplePos x="0" y="0"/>
              <wp:positionH relativeFrom="column">
                <wp:posOffset>0</wp:posOffset>
              </wp:positionH>
              <wp:positionV relativeFrom="paragraph">
                <wp:posOffset>8498840</wp:posOffset>
              </wp:positionV>
              <wp:extent cx="7379970" cy="2181860"/>
              <wp:effectExtent l="0" t="2540" r="1905" b="0"/>
              <wp:wrapNone/>
              <wp:docPr id="22" name="Rectangle 22" descr="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cstate="screen">
                          <a:extLst>
                            <a:ext uri="{28A0092B-C50C-407E-A947-70E740481C1C}">
                              <a14:useLocalDpi xmlns:a14="http://schemas.microsoft.com/office/drawing/2010/main"/>
                            </a:ext>
                          </a:extLst>
                        </a:blip>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alt="AusAID web address graphic" style="position:absolute;margin-left:0;margin-top:669.2pt;width:581.1pt;height:171.8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f6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CcUAFFJkeo&#10;oyPUUXAWikyPUUZHqKLgLRSZHqKMii4C0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XN+NP8AkFRf9dR/I10lc340/wCQVF/11H8jXLjf93n6HVgv94h6nC0U&#10;UV8kfWBW/oraKLf/AEsL9qycGXOz26VgVv6L/Yv2b/S9v2rJ/wBbnZ7V04T+J0+Zy4z+F1+Rozya&#10;x5Lf2cLMwAf8uuCf1rkGJLsW+9nn612E66yYW/s5rIQY6WuBx+Nce2dx3dc81tjt1v8APb5GOA2e&#10;3y3+YlbPhZyuvwAfxBgfyNY1a/hj/kYbb/gX/oJrnwv8eHqjpxX8Cfoz0eiiivsD5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ub8af8gqL/rqP5Gu&#10;krm/Gn/IKi/66j+Rrlxv+7z9DqwX+8Q9ThaKKK+SPrArY03w/cahbfafNSODJG45J49qx63tG0zU&#10;Zbb7VBefZ4MnnJPT2FdGFgp1LONznxU3CndSsPRdF01jm6up5R1EYKDNYDkM7EZwTxmutuNX0+KF&#10;ob1jqEuMbjAExXIsQWJAwM8CtcZyq0Ytei/pmWDcneUk793+miErX8Mf8jDbf8C/9BNZFa/hj/kY&#10;bb/gX/oJrHC/x4eqNsV/An6M9Hooor7A+Q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rm/Gn/IKi/66j+RrpK5vxp/yCov+uo/ka5cb/u8/Q6sF/vEP&#10;U4Wiiivkj6wKt2VzfQuBZyTA/wB2PJ/Sqlb+ja41nbfZBZmQEn54uH5rfDpOesrGGIbUNI3NG1bW&#10;bmPF7Y27x45adQp/z+FcjIMSMMAYJ4FddPox1KFp/td7BxnZdnI/nXIMMMRnOD1roxqklFP731Ob&#10;AuLcmrei6CVr+GP+Rhtv+Bf+gmsitfwx/wAjDbf8C/8AQTXPhf48PVHTiv4E/Rno9FFFfYHy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c340/5BUX&#10;/XUfyNdJXN+NP+QVF/11H8jXLjf93n6HVgv94h6nC0UUV8kfWBW/pGuHTrEwvaM0RJzNGcNz74rA&#10;rcs5NUvdDewtrQSQA8vjnrnFdOFlKM24vW3a5zYuMZQSktL97E0w0rU8t/alxFIf4ZwWH51zzDDE&#10;A5wetS/ZZzK8Xkv5iAllxyMdc1DUVqjnq42ZVGmoXUZXQVr+GP8AkYbb/gX/AKCayK1/DH/Iw23/&#10;AAL/ANBNPC/x4eqDFfwJ+jPR6KKK+wPk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VzfjT/kFRf9dR/I10lc340/5BUX/XUfyNcuN/3efodWC/3iHqcLRRRXyR9YFd&#10;Ha2sOo+H7eKe8ht2hkby9zdQTzkVzlaM1pDDolrcEEzzu2OeAo4row8uXmdrq2pzYmPNyq9nfQuH&#10;w/bAH/icWh/z9aw2XaxXOcHGRXSroWmosFpPcSC/nTcuB8oPpXNyRmKV426qxU/hV4mnyJe7b53J&#10;wtXnbXNf5WG1r+GP+Rhtv+Bf+gmsitfwx/yMNt/wL/0E1nhf48PVGmK/gT9Gej0UUV9gfI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VzfjT/kFRf8A&#10;XUfyNdJXN+NP+QVF/wBdR/I1y43/AHefodWC/wB4h6nC0UUV8kfWBW9pF4Hsxb3GmSXkULFkMakl&#10;SeorBrp7KbUF8P239lKdyyP5+1cknPH4V14O/O35dr3OTGfAl597WM6XV5Zdd+3m3y0f3Y+flAFZ&#10;cjmSRnbqxLH8a7FLK6OvQ3Jtisc0A+0cYAJHNcfMqrPIq/dDED6Zp4qE4q8nu2ThakJO0Vsl/wAM&#10;MrX8Mf8AIw23/Av/AEE1kVr+GP8AkYbb/gX/AKCaywv8eHqjbFfwJ+jPR6KKK+wPk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5vxp/wAgqL/rqP5G&#10;ukrm/Gn/ACCov+uo/ka5cb/u8/Q6sF/vEPU4Wiiivkj6wK6DTLbXLjTY/sU4S3DHaN4U5zzXP1s6&#10;ZpZntDdXN79ltQ20Enlj7V04W7nZX+Tt+JzYqyhd2+av+Bfk0vxJJEyPdbkI5Hm9axf7Kuf7Ne++&#10;TykfYRnnNaj6PDcROdO1bz5VGfKJwSPasAySBDGXbbnJXPGa1xCjG3Mn99zHDOUk+Vr7rDK1/DH/&#10;ACMNt/wL/wBBNZFa/hj/AJGG2/4F/wCgmsML/Hh6o6MV/An6M9Hooor7A+Q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rm/Gn/IKi/66j+RrpK5vxp/&#10;yCov+uo/ka5cb/u8/Q6sF/vEPU4Wiiivkj6wK6O0t7a/8PQ2899DbvHIzIGbsfUVzlaS22nHRDOb&#10;k/bQ3EX4/wCFdGGdnLRNW66HPiVdR1ad+iubGm6bY2F4twdXtmKA7QGxzjvzWdfaVawwS3C6pbyv&#10;12J1P61jUVUsRBw5eT8WTHDzU+fn/BBWv4Y/5GG2/wCBf+gmsitfwx/yMNt/wL/0E1GF/jQ9UXiv&#10;4E/Rno9FFFfYHy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XN+NP+QVF/11H8jXSVzfjT/kFRf9dR/I&#10;1y43/d5+h1YL/eIepwtFFFfJH1gV0Nrcf2PocF5BbxyT3DsGkdc7ADwK56tPTNYubBTAsaTwuc+U&#10;4yM+1dGGmoSd3bz7HPiYOcFZX8u5qWGsT6zdLZXtvDLFICCypgpx1rm5VCTOgOQrEA116Pq15buL&#10;ewgsImHzSHg4rj3Xa7KTkg4zW2Lvyx5m35tWMMHbmlypJdk7ja1/DH/Iw23/AAL/ANBNZFa/hj/k&#10;Ybb/AIF/6Cawwv8AHh6o6MV/An6M9Hooor7A+Q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rm/Gn/IKi/66j+RrpK5vxp/yCov+uo/ka5cb/u8/Q6sF&#10;/vEPU4Wiiivkj6wK6HQ9ZsrK1MEsRimJP+kKoY1z1a0V2kmhvZR6eZJt2TMq5xzn/wCtXRhpuE3J&#10;PW3qc2KgpwUWtL97F+80661NTLbaot6vXYW2kfhXNkFSQeo4pyM8b5QsrD04IphOeamtUjUd7Wfq&#10;VRpyprlbuumgVr+GP+Rhtv8AgX/oJrIrX8Mf8jDbf8C/9BNPC/x4eqDFfwJ+jPR6KKK+wPk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5vxp/yCov+&#10;uo/ka6Sub8af8gqL/rqP5GuXG/7vP0OrBf7xD1OFooor5I+sCumsrq9t9Atm0uMM/mMJ8JuOc8fp&#10;XM1v6V/b01iI9P8AlgRj83yjJ+p6114STU2lfbpucmMinBN20fXY0Y7SVvEEM/2QrFcwZnG3hSRz&#10;XJTKEnkVfuqxA+ma6eS18UyRMjykqRzh1rlmUqxVuoODV4x6L3WtW9TPBrVvmT0S0ErX8Mf8jDbf&#10;8C/9BNZFa/hj/kYbb/gX/oJrDC/x4eqOjFfwJ+jPR6KKK+wPk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5vxp/wAgqL/rqP5Gukrm/Gn/ACCov+uo&#10;/ka5cb/u8/Q6sF/vEPU4Wiiivkj6wK6a1s7zUvDdslq5jMMjZBbaJAT1/CuZp4mkCBBI4UHIAY4r&#10;ehVVNvmWjRhXpSqJcrs07m4fD+sgZ81f+/8AWCwKswbqDg07zZP+ej/99UylVnCVuVNeruOlCcb8&#10;7T9FYK2PC4z4gtvbd/6Cax66jwbZM93LeMDsjXap9Sa0wUHOvFLuRjZqFCTfY7aiiivrT5I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ub8Z/8AIKi/&#10;66j+RrpKZJFHKoEiK4HZhmsa9P2tNwvua0KnsqinbY8koxXq/wBitf8An3i/74FH2K1/594v++BX&#10;kf2PL+f8D1/7YX8n4nlGKMV6v9itf+feL/vgUfYrX/n3i/74FH9jy/n/AAD+2F/J+J5RilVWY4VS&#10;SewFerfYrX/n3i/74FOS3hiPyRIv0UChZO+s/wAAecL+T8TgdM8M3t86tKhgh7sw5P0Fd5aWkNlb&#10;JbwJtjUcVPRXpYbB08Ovd37nm4nF1MQ/e27BRRRXWco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" stroked="f" strokecolor="#4a7ebb" strokeweight="1.5pt">
              <v:fill r:id="rId2" o:title="AusAID web address graphic" recolor="t" type="frame"/>
              <v:shadow opacity="22938f" offset="0"/>
              <v:textbox inset=",7.2pt,,7.2pt"/>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3401" w:rsidRDefault="00633401" w:rsidP="0050529F">
      <w:r>
        <w:separator/>
      </w:r>
    </w:p>
  </w:footnote>
  <w:footnote w:type="continuationSeparator" w:id="0">
    <w:p w:rsidR="00633401" w:rsidRDefault="00633401" w:rsidP="0050529F">
      <w:r>
        <w:continuationSeparator/>
      </w:r>
    </w:p>
    <w:p w:rsidR="00633401" w:rsidRDefault="00633401"/>
    <w:p w:rsidR="00633401" w:rsidRDefault="00633401"/>
    <w:p w:rsidR="00633401" w:rsidRDefault="00633401"/>
    <w:p w:rsidR="00633401" w:rsidRDefault="00633401"/>
    <w:p w:rsidR="00633401" w:rsidRDefault="00633401"/>
    <w:p w:rsidR="00633401" w:rsidRDefault="00633401"/>
  </w:footnote>
  <w:footnote w:id="1">
    <w:p w:rsidR="00633401" w:rsidRPr="00A22F4E" w:rsidRDefault="00633401" w:rsidP="0002775C">
      <w:pPr>
        <w:pStyle w:val="FootnoteText"/>
        <w:rPr>
          <w:rFonts w:cs="Arial"/>
          <w:szCs w:val="16"/>
        </w:rPr>
      </w:pPr>
      <w:r>
        <w:rPr>
          <w:rStyle w:val="FootnoteReference"/>
        </w:rPr>
        <w:footnoteRef/>
      </w:r>
      <w:r>
        <w:t xml:space="preserve"> </w:t>
      </w:r>
      <w:r w:rsidRPr="00A22F4E">
        <w:rPr>
          <w:rFonts w:cs="Arial"/>
          <w:szCs w:val="16"/>
        </w:rPr>
        <w:t xml:space="preserve">Australian funding </w:t>
      </w:r>
      <w:r>
        <w:rPr>
          <w:rFonts w:cs="Arial"/>
          <w:szCs w:val="16"/>
        </w:rPr>
        <w:t xml:space="preserve">for health and education </w:t>
      </w:r>
      <w:r w:rsidRPr="00A22F4E">
        <w:rPr>
          <w:rFonts w:cs="Arial"/>
          <w:szCs w:val="16"/>
        </w:rPr>
        <w:t xml:space="preserve">is provided through a pool funding mechanism governed by a </w:t>
      </w:r>
      <w:r w:rsidRPr="00A22F4E">
        <w:rPr>
          <w:rFonts w:cs="Arial"/>
          <w:i/>
          <w:szCs w:val="16"/>
        </w:rPr>
        <w:t>Joint Financing Arrangement</w:t>
      </w:r>
      <w:r w:rsidRPr="00A22F4E">
        <w:rPr>
          <w:rFonts w:cs="Arial"/>
          <w:szCs w:val="16"/>
        </w:rPr>
        <w:t xml:space="preserve"> signed by the GoN and donors. </w:t>
      </w:r>
      <w:r w:rsidRPr="00E40473">
        <w:rPr>
          <w:rFonts w:cs="Arial"/>
          <w:szCs w:val="16"/>
        </w:rPr>
        <w:t xml:space="preserve">Pooling donors disburse their contribution to the </w:t>
      </w:r>
      <w:r>
        <w:rPr>
          <w:rFonts w:cs="Arial"/>
          <w:szCs w:val="16"/>
        </w:rPr>
        <w:t xml:space="preserve">relevant </w:t>
      </w:r>
      <w:r w:rsidRPr="00E40473">
        <w:rPr>
          <w:rFonts w:cs="Arial"/>
          <w:szCs w:val="16"/>
        </w:rPr>
        <w:t xml:space="preserve">Foreign Currency Account, which </w:t>
      </w:r>
      <w:r w:rsidR="0012206B">
        <w:rPr>
          <w:rFonts w:cs="Arial"/>
          <w:szCs w:val="16"/>
        </w:rPr>
        <w:t>functions</w:t>
      </w:r>
      <w:r w:rsidRPr="00E40473">
        <w:rPr>
          <w:rFonts w:cs="Arial"/>
          <w:szCs w:val="16"/>
        </w:rPr>
        <w:t xml:space="preserve"> as a safe deposit for donor contribution.  The </w:t>
      </w:r>
      <w:r>
        <w:rPr>
          <w:rFonts w:cs="Arial"/>
          <w:szCs w:val="16"/>
        </w:rPr>
        <w:t xml:space="preserve">relevant </w:t>
      </w:r>
      <w:r w:rsidRPr="00E40473">
        <w:rPr>
          <w:rFonts w:cs="Arial"/>
          <w:szCs w:val="16"/>
        </w:rPr>
        <w:t xml:space="preserve">Ministry </w:t>
      </w:r>
      <w:r>
        <w:rPr>
          <w:rFonts w:cs="Arial"/>
          <w:szCs w:val="16"/>
        </w:rPr>
        <w:t xml:space="preserve">then </w:t>
      </w:r>
      <w:r w:rsidRPr="00E40473">
        <w:rPr>
          <w:rFonts w:cs="Arial"/>
          <w:szCs w:val="16"/>
        </w:rPr>
        <w:t>draws-down fund</w:t>
      </w:r>
      <w:r>
        <w:rPr>
          <w:rFonts w:cs="Arial"/>
          <w:szCs w:val="16"/>
        </w:rPr>
        <w:t xml:space="preserve">s trimesterly from the account subsequent to approval by </w:t>
      </w:r>
      <w:r w:rsidRPr="00E40473">
        <w:rPr>
          <w:rFonts w:cs="Arial"/>
          <w:szCs w:val="16"/>
        </w:rPr>
        <w:t xml:space="preserve">the World Bank </w:t>
      </w:r>
      <w:r>
        <w:rPr>
          <w:rFonts w:cs="Arial"/>
          <w:szCs w:val="16"/>
        </w:rPr>
        <w:t xml:space="preserve">of </w:t>
      </w:r>
      <w:r w:rsidRPr="00E40473">
        <w:rPr>
          <w:rFonts w:cs="Arial"/>
          <w:szCs w:val="16"/>
        </w:rPr>
        <w:t>annual Financial Management Repor</w:t>
      </w:r>
      <w:r>
        <w:rPr>
          <w:rFonts w:cs="Arial"/>
          <w:szCs w:val="16"/>
        </w:rPr>
        <w:t>ts and audit reports.</w:t>
      </w:r>
    </w:p>
  </w:footnote>
  <w:footnote w:id="2">
    <w:p w:rsidR="00633401" w:rsidRDefault="00633401">
      <w:pPr>
        <w:pStyle w:val="FootnoteText"/>
      </w:pPr>
      <w:r>
        <w:rPr>
          <w:rStyle w:val="FootnoteReference"/>
        </w:rPr>
        <w:footnoteRef/>
      </w:r>
      <w:r>
        <w:t xml:space="preserve"> UNDP website: </w:t>
      </w:r>
      <w:r w:rsidRPr="00511BD4">
        <w:t>http://hdr.undp.org/en/content/table-4-gender-inequality-index</w:t>
      </w:r>
    </w:p>
  </w:footnote>
  <w:footnote w:id="3">
    <w:p w:rsidR="00633401" w:rsidRDefault="00633401" w:rsidP="00145267">
      <w:pPr>
        <w:pStyle w:val="FootnoteText"/>
      </w:pPr>
      <w:r>
        <w:rPr>
          <w:rStyle w:val="FootnoteReference"/>
        </w:rPr>
        <w:footnoteRef/>
      </w:r>
      <w:r>
        <w:t xml:space="preserve"> Nepal’s GDP for 2013 was USD 19.3 billion; DFAT’s Nepal Fact Sheet viewed 2 July 2014</w:t>
      </w:r>
    </w:p>
  </w:footnote>
  <w:footnote w:id="4">
    <w:p w:rsidR="00633401" w:rsidRDefault="00633401">
      <w:pPr>
        <w:pStyle w:val="FootnoteText"/>
      </w:pPr>
      <w:r>
        <w:rPr>
          <w:rStyle w:val="FootnoteReference"/>
        </w:rPr>
        <w:footnoteRef/>
      </w:r>
      <w:r>
        <w:t xml:space="preserve"> These are indicative estimates </w:t>
      </w:r>
      <w:r w:rsidRPr="00047BFD">
        <w:t>of country flows from DFAT's regional and global programs.  These notional flows are not programmed by country programs.</w:t>
      </w:r>
    </w:p>
  </w:footnote>
  <w:footnote w:id="5">
    <w:p w:rsidR="00633401" w:rsidRDefault="00633401">
      <w:pPr>
        <w:pStyle w:val="FootnoteText"/>
      </w:pPr>
      <w:r>
        <w:rPr>
          <w:rStyle w:val="FootnoteReference"/>
        </w:rPr>
        <w:footnoteRef/>
      </w:r>
      <w:r>
        <w:t xml:space="preserve"> All IFC funding is subject to the IFC Sustainability Framework (2012). This includes assessments against gender, climate change, indigenous peoples, human rights, and implementation.</w:t>
      </w:r>
    </w:p>
  </w:footnote>
  <w:footnote w:id="6">
    <w:p w:rsidR="00633401" w:rsidRDefault="00633401">
      <w:pPr>
        <w:pStyle w:val="FootnoteText"/>
      </w:pPr>
      <w:r>
        <w:rPr>
          <w:rStyle w:val="FootnoteReference"/>
        </w:rPr>
        <w:footnoteRef/>
      </w:r>
      <w:r>
        <w:t xml:space="preserve"> Since 2011, Australia has contributed $2.85 million to the fund. Australia did not make a contribution in 2013-14. The fund ceases in 2017.</w:t>
      </w:r>
    </w:p>
  </w:footnote>
  <w:footnote w:id="7">
    <w:p w:rsidR="00332432" w:rsidRDefault="00332432">
      <w:pPr>
        <w:pStyle w:val="FootnoteText"/>
      </w:pPr>
      <w:r>
        <w:rPr>
          <w:rStyle w:val="FootnoteReference"/>
        </w:rPr>
        <w:footnoteRef/>
      </w:r>
      <w:r>
        <w:t xml:space="preserve"> </w:t>
      </w:r>
      <w:r w:rsidRPr="000541C0">
        <w:t>These issues are less pronounced in the education sector as 90 per cent of the budget is for recurrent expenditure rather than infrastructure, goods and services.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0A3" w:rsidRDefault="00E650A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0A3" w:rsidRDefault="00E650A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0A3" w:rsidRDefault="00E650A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401" w:rsidRDefault="00633401" w:rsidP="00AA31F2"/>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401" w:rsidRDefault="0063340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BBF8C6E4"/>
    <w:lvl w:ilvl="0">
      <w:start w:val="1"/>
      <w:numFmt w:val="lowerRoman"/>
      <w:pStyle w:val="ListNumber3"/>
      <w:lvlText w:val="%1."/>
      <w:lvlJc w:val="left"/>
      <w:pPr>
        <w:ind w:left="926" w:hanging="360"/>
      </w:pPr>
      <w:rPr>
        <w:rFonts w:hint="default"/>
      </w:rPr>
    </w:lvl>
  </w:abstractNum>
  <w:abstractNum w:abstractNumId="1">
    <w:nsid w:val="FFFFFF82"/>
    <w:multiLevelType w:val="singleLevel"/>
    <w:tmpl w:val="661CC504"/>
    <w:lvl w:ilvl="0">
      <w:start w:val="1"/>
      <w:numFmt w:val="bullet"/>
      <w:pStyle w:val="ListBullet3"/>
      <w:lvlText w:val="o"/>
      <w:lvlJc w:val="left"/>
      <w:pPr>
        <w:ind w:left="927" w:hanging="360"/>
      </w:pPr>
      <w:rPr>
        <w:rFonts w:ascii="Courier New" w:hAnsi="Courier New" w:cs="Courier New" w:hint="default"/>
        <w:color w:val="auto"/>
        <w:position w:val="3"/>
      </w:rPr>
    </w:lvl>
  </w:abstractNum>
  <w:abstractNum w:abstractNumId="2">
    <w:nsid w:val="06534D9B"/>
    <w:multiLevelType w:val="hybridMultilevel"/>
    <w:tmpl w:val="0EF410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69B0BBC"/>
    <w:multiLevelType w:val="multilevel"/>
    <w:tmpl w:val="9E08230C"/>
    <w:styleLink w:val="StyleBulletedSymbolsymbol95ptLeft063cmHanging"/>
    <w:lvl w:ilvl="0">
      <w:start w:val="1"/>
      <w:numFmt w:val="bullet"/>
      <w:lvlText w:val=""/>
      <w:lvlJc w:val="left"/>
      <w:pPr>
        <w:ind w:left="720" w:hanging="360"/>
      </w:pPr>
      <w:rPr>
        <w:rFonts w:ascii="Symbol" w:hAnsi="Symbol"/>
        <w:sz w:val="19"/>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14621CE7"/>
    <w:multiLevelType w:val="hybridMultilevel"/>
    <w:tmpl w:val="DA600D4A"/>
    <w:lvl w:ilvl="0" w:tplc="D6868174">
      <w:start w:val="1"/>
      <w:numFmt w:val="bullet"/>
      <w:pStyle w:val="TableListBullet2"/>
      <w:lvlText w:val="»"/>
      <w:lvlJc w:val="left"/>
      <w:pPr>
        <w:ind w:left="587"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77B7DD8"/>
    <w:multiLevelType w:val="hybridMultilevel"/>
    <w:tmpl w:val="3EA6F6DE"/>
    <w:lvl w:ilvl="0" w:tplc="FFFFFFFF">
      <w:start w:val="1"/>
      <w:numFmt w:val="lowerLetter"/>
      <w:pStyle w:val="TableListNumber2"/>
      <w:lvlText w:val="%1."/>
      <w:lvlJc w:val="left"/>
      <w:pPr>
        <w:tabs>
          <w:tab w:val="num" w:pos="454"/>
        </w:tabs>
        <w:ind w:left="454" w:hanging="22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nsid w:val="1F2B798C"/>
    <w:multiLevelType w:val="hybridMultilevel"/>
    <w:tmpl w:val="69042CAC"/>
    <w:lvl w:ilvl="0" w:tplc="A120C8FE">
      <w:start w:val="1"/>
      <w:numFmt w:val="bullet"/>
      <w:pStyle w:val="ListParagraph"/>
      <w:lvlText w:val=""/>
      <w:lvlJc w:val="left"/>
      <w:pPr>
        <w:ind w:left="68" w:hanging="360"/>
      </w:pPr>
      <w:rPr>
        <w:rFonts w:ascii="Symbol" w:hAnsi="Symbol" w:hint="default"/>
        <w:color w:val="auto"/>
        <w:sz w:val="24"/>
      </w:rPr>
    </w:lvl>
    <w:lvl w:ilvl="1" w:tplc="0C090003">
      <w:start w:val="1"/>
      <w:numFmt w:val="bullet"/>
      <w:lvlText w:val="o"/>
      <w:lvlJc w:val="left"/>
      <w:pPr>
        <w:ind w:left="788" w:hanging="360"/>
      </w:pPr>
      <w:rPr>
        <w:rFonts w:ascii="Courier New" w:hAnsi="Courier New" w:cs="Courier New" w:hint="default"/>
      </w:rPr>
    </w:lvl>
    <w:lvl w:ilvl="2" w:tplc="0C090005">
      <w:start w:val="1"/>
      <w:numFmt w:val="bullet"/>
      <w:lvlText w:val=""/>
      <w:lvlJc w:val="left"/>
      <w:pPr>
        <w:ind w:left="1508" w:hanging="360"/>
      </w:pPr>
      <w:rPr>
        <w:rFonts w:ascii="Wingdings" w:hAnsi="Wingdings" w:hint="default"/>
      </w:rPr>
    </w:lvl>
    <w:lvl w:ilvl="3" w:tplc="0C090001" w:tentative="1">
      <w:start w:val="1"/>
      <w:numFmt w:val="bullet"/>
      <w:lvlText w:val=""/>
      <w:lvlJc w:val="left"/>
      <w:pPr>
        <w:ind w:left="2228" w:hanging="360"/>
      </w:pPr>
      <w:rPr>
        <w:rFonts w:ascii="Symbol" w:hAnsi="Symbol" w:hint="default"/>
      </w:rPr>
    </w:lvl>
    <w:lvl w:ilvl="4" w:tplc="0C090003" w:tentative="1">
      <w:start w:val="1"/>
      <w:numFmt w:val="bullet"/>
      <w:lvlText w:val="o"/>
      <w:lvlJc w:val="left"/>
      <w:pPr>
        <w:ind w:left="2948" w:hanging="360"/>
      </w:pPr>
      <w:rPr>
        <w:rFonts w:ascii="Courier New" w:hAnsi="Courier New" w:cs="Courier New" w:hint="default"/>
      </w:rPr>
    </w:lvl>
    <w:lvl w:ilvl="5" w:tplc="0C090005" w:tentative="1">
      <w:start w:val="1"/>
      <w:numFmt w:val="bullet"/>
      <w:lvlText w:val=""/>
      <w:lvlJc w:val="left"/>
      <w:pPr>
        <w:ind w:left="3668" w:hanging="360"/>
      </w:pPr>
      <w:rPr>
        <w:rFonts w:ascii="Wingdings" w:hAnsi="Wingdings" w:hint="default"/>
      </w:rPr>
    </w:lvl>
    <w:lvl w:ilvl="6" w:tplc="0C090001" w:tentative="1">
      <w:start w:val="1"/>
      <w:numFmt w:val="bullet"/>
      <w:lvlText w:val=""/>
      <w:lvlJc w:val="left"/>
      <w:pPr>
        <w:ind w:left="4388" w:hanging="360"/>
      </w:pPr>
      <w:rPr>
        <w:rFonts w:ascii="Symbol" w:hAnsi="Symbol" w:hint="default"/>
      </w:rPr>
    </w:lvl>
    <w:lvl w:ilvl="7" w:tplc="0C090003" w:tentative="1">
      <w:start w:val="1"/>
      <w:numFmt w:val="bullet"/>
      <w:lvlText w:val="o"/>
      <w:lvlJc w:val="left"/>
      <w:pPr>
        <w:ind w:left="5108" w:hanging="360"/>
      </w:pPr>
      <w:rPr>
        <w:rFonts w:ascii="Courier New" w:hAnsi="Courier New" w:cs="Courier New" w:hint="default"/>
      </w:rPr>
    </w:lvl>
    <w:lvl w:ilvl="8" w:tplc="0C090005" w:tentative="1">
      <w:start w:val="1"/>
      <w:numFmt w:val="bullet"/>
      <w:lvlText w:val=""/>
      <w:lvlJc w:val="left"/>
      <w:pPr>
        <w:ind w:left="5828" w:hanging="360"/>
      </w:pPr>
      <w:rPr>
        <w:rFonts w:ascii="Wingdings" w:hAnsi="Wingdings" w:hint="default"/>
      </w:rPr>
    </w:lvl>
  </w:abstractNum>
  <w:abstractNum w:abstractNumId="7">
    <w:nsid w:val="209B02A7"/>
    <w:multiLevelType w:val="singleLevel"/>
    <w:tmpl w:val="9D8819C8"/>
    <w:lvl w:ilvl="0">
      <w:start w:val="1"/>
      <w:numFmt w:val="bullet"/>
      <w:pStyle w:val="ListBullet2"/>
      <w:lvlText w:val="»"/>
      <w:lvlJc w:val="left"/>
      <w:pPr>
        <w:ind w:left="644" w:hanging="360"/>
      </w:pPr>
      <w:rPr>
        <w:rFonts w:ascii="Times New Roman" w:hAnsi="Times New Roman" w:cs="Times New Roman" w:hint="default"/>
        <w:color w:val="auto"/>
        <w:sz w:val="21"/>
        <w:szCs w:val="21"/>
      </w:rPr>
    </w:lvl>
  </w:abstractNum>
  <w:abstractNum w:abstractNumId="8">
    <w:nsid w:val="23F227C3"/>
    <w:multiLevelType w:val="hybridMultilevel"/>
    <w:tmpl w:val="1A269A5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nsid w:val="244C239D"/>
    <w:multiLevelType w:val="hybridMultilevel"/>
    <w:tmpl w:val="0D2A7D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5264A5A"/>
    <w:multiLevelType w:val="hybridMultilevel"/>
    <w:tmpl w:val="DA822F1A"/>
    <w:lvl w:ilvl="0" w:tplc="FAAAF8B2">
      <w:start w:val="1"/>
      <w:numFmt w:val="bullet"/>
      <w:pStyle w:val="List-bullet-1"/>
      <w:lvlText w:val=""/>
      <w:lvlJc w:val="left"/>
      <w:pPr>
        <w:tabs>
          <w:tab w:val="num" w:pos="720"/>
        </w:tabs>
        <w:ind w:left="720" w:hanging="363"/>
      </w:pPr>
      <w:rPr>
        <w:rFonts w:ascii="Symbol" w:hAnsi="Symbol" w:hint="default"/>
        <w:color w:val="auto"/>
        <w:sz w:val="20"/>
      </w:rPr>
    </w:lvl>
    <w:lvl w:ilvl="1" w:tplc="04090003">
      <w:start w:val="1"/>
      <w:numFmt w:val="bullet"/>
      <w:lvlText w:val="o"/>
      <w:lvlJc w:val="left"/>
      <w:pPr>
        <w:tabs>
          <w:tab w:val="num" w:pos="1724"/>
        </w:tabs>
        <w:ind w:left="1724" w:hanging="360"/>
      </w:pPr>
      <w:rPr>
        <w:rFonts w:ascii="Courier New" w:hAnsi="Courier New" w:hint="default"/>
      </w:rPr>
    </w:lvl>
    <w:lvl w:ilvl="2" w:tplc="447A71D4">
      <w:start w:val="1"/>
      <w:numFmt w:val="bullet"/>
      <w:lvlText w:val=""/>
      <w:lvlJc w:val="left"/>
      <w:pPr>
        <w:tabs>
          <w:tab w:val="num" w:pos="2480"/>
        </w:tabs>
        <w:ind w:left="2480" w:hanging="396"/>
      </w:pPr>
      <w:rPr>
        <w:rFonts w:ascii="Symbol" w:hAnsi="Symbol" w:hint="default"/>
        <w:color w:val="auto"/>
        <w:sz w:val="20"/>
      </w:rPr>
    </w:lvl>
    <w:lvl w:ilvl="3" w:tplc="0409000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1">
    <w:nsid w:val="25A85EED"/>
    <w:multiLevelType w:val="hybridMultilevel"/>
    <w:tmpl w:val="E09AFEB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27440C8B"/>
    <w:multiLevelType w:val="multilevel"/>
    <w:tmpl w:val="59E651A8"/>
    <w:name w:val="StandardBulletedList"/>
    <w:lvl w:ilvl="0">
      <w:start w:val="1"/>
      <w:numFmt w:val="bullet"/>
      <w:lvlText w:val="•"/>
      <w:lvlJc w:val="left"/>
      <w:pPr>
        <w:tabs>
          <w:tab w:val="num" w:pos="520"/>
        </w:tabs>
        <w:ind w:left="520" w:hanging="520"/>
      </w:pPr>
      <w:rPr>
        <w:rFonts w:ascii="Times New Roman" w:hAnsi="Times New Roman" w:cs="Times New Roman"/>
        <w:b w:val="0"/>
        <w:i w:val="0"/>
      </w:rPr>
    </w:lvl>
    <w:lvl w:ilvl="1">
      <w:start w:val="1"/>
      <w:numFmt w:val="bullet"/>
      <w:lvlText w:val="–"/>
      <w:lvlJc w:val="left"/>
      <w:pPr>
        <w:tabs>
          <w:tab w:val="num" w:pos="1040"/>
        </w:tabs>
        <w:ind w:left="1040" w:hanging="520"/>
      </w:pPr>
      <w:rPr>
        <w:rFonts w:ascii="Times New Roman" w:hAnsi="Times New Roman" w:cs="Times New Roman"/>
        <w:b w:val="0"/>
        <w:i w:val="0"/>
      </w:rPr>
    </w:lvl>
    <w:lvl w:ilvl="2">
      <w:start w:val="1"/>
      <w:numFmt w:val="bullet"/>
      <w:lvlText w:val=":"/>
      <w:lvlJc w:val="left"/>
      <w:pPr>
        <w:tabs>
          <w:tab w:val="num" w:pos="1560"/>
        </w:tabs>
        <w:ind w:left="1560" w:hanging="520"/>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3">
    <w:nsid w:val="27895F49"/>
    <w:multiLevelType w:val="hybridMultilevel"/>
    <w:tmpl w:val="9114551C"/>
    <w:lvl w:ilvl="0" w:tplc="DE9A5BD6">
      <w:start w:val="1"/>
      <w:numFmt w:val="lowerLetter"/>
      <w:pStyle w:val="BoxListNumber2"/>
      <w:lvlText w:val="%1."/>
      <w:lvlJc w:val="left"/>
      <w:pPr>
        <w:ind w:left="644" w:hanging="360"/>
      </w:pPr>
      <w:rPr>
        <w:rFonts w:hint="default"/>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14">
    <w:nsid w:val="2A5F3ABA"/>
    <w:multiLevelType w:val="hybridMultilevel"/>
    <w:tmpl w:val="41E0B11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2F191561"/>
    <w:multiLevelType w:val="hybridMultilevel"/>
    <w:tmpl w:val="C9F8D8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382D65A6"/>
    <w:multiLevelType w:val="hybridMultilevel"/>
    <w:tmpl w:val="A7446C82"/>
    <w:lvl w:ilvl="0" w:tplc="B70A9096">
      <w:start w:val="1"/>
      <w:numFmt w:val="decimal"/>
      <w:pStyle w:val="BoxListNumber"/>
      <w:lvlText w:val="%1."/>
      <w:lvlJc w:val="left"/>
      <w:pPr>
        <w:tabs>
          <w:tab w:val="num" w:pos="284"/>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D261FEF"/>
    <w:multiLevelType w:val="hybridMultilevel"/>
    <w:tmpl w:val="714CE9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6CD579B"/>
    <w:multiLevelType w:val="hybridMultilevel"/>
    <w:tmpl w:val="A5308B10"/>
    <w:lvl w:ilvl="0" w:tplc="35321CFE">
      <w:start w:val="1"/>
      <w:numFmt w:val="bullet"/>
      <w:pStyle w:val="BoxListBullet"/>
      <w:lvlText w:val="›"/>
      <w:lvlJc w:val="left"/>
      <w:pPr>
        <w:ind w:left="360" w:hanging="360"/>
      </w:pPr>
      <w:rPr>
        <w:rFonts w:ascii="Times New Roman" w:hAnsi="Times New Roman" w:cs="Times New Roman" w:hint="default"/>
        <w:color w:val="auto"/>
        <w:position w:val="3"/>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nsid w:val="48176904"/>
    <w:multiLevelType w:val="hybridMultilevel"/>
    <w:tmpl w:val="2F38BBCE"/>
    <w:lvl w:ilvl="0" w:tplc="BBF8C6E4">
      <w:start w:val="1"/>
      <w:numFmt w:val="lowerRoman"/>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53692D64"/>
    <w:multiLevelType w:val="hybridMultilevel"/>
    <w:tmpl w:val="3FC0FB20"/>
    <w:lvl w:ilvl="0" w:tplc="6C461E4A">
      <w:start w:val="1"/>
      <w:numFmt w:val="bullet"/>
      <w:pStyle w:val="BoxListBullet2"/>
      <w:lvlText w:val="»"/>
      <w:lvlJc w:val="left"/>
      <w:pPr>
        <w:ind w:left="644" w:hanging="360"/>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nsid w:val="55241A86"/>
    <w:multiLevelType w:val="hybridMultilevel"/>
    <w:tmpl w:val="8D1CD3AA"/>
    <w:lvl w:ilvl="0" w:tplc="D6E6F048">
      <w:start w:val="1"/>
      <w:numFmt w:val="lowerRoman"/>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598A5214"/>
    <w:multiLevelType w:val="hybridMultilevel"/>
    <w:tmpl w:val="0B5AC610"/>
    <w:lvl w:ilvl="0" w:tplc="FFFFFFFF">
      <w:start w:val="1"/>
      <w:numFmt w:val="decimal"/>
      <w:pStyle w:val="TableListNumber"/>
      <w:lvlText w:val="%1."/>
      <w:lvlJc w:val="left"/>
      <w:pPr>
        <w:tabs>
          <w:tab w:val="num" w:pos="227"/>
        </w:tabs>
        <w:ind w:left="227" w:hanging="227"/>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nsid w:val="5BCF6B29"/>
    <w:multiLevelType w:val="multilevel"/>
    <w:tmpl w:val="878C74C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nsid w:val="605F6DFB"/>
    <w:multiLevelType w:val="hybridMultilevel"/>
    <w:tmpl w:val="1E8E9D9E"/>
    <w:lvl w:ilvl="0" w:tplc="C26C4FB8">
      <w:numFmt w:val="bullet"/>
      <w:lvlText w:val="–"/>
      <w:lvlJc w:val="left"/>
      <w:pPr>
        <w:ind w:left="720" w:hanging="360"/>
      </w:pPr>
      <w:rPr>
        <w:rFonts w:ascii="Franklin Gothic Book" w:eastAsia="Times New Roman" w:hAnsi="Franklin Gothic Book"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6374323D"/>
    <w:multiLevelType w:val="hybridMultilevel"/>
    <w:tmpl w:val="14E294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64F264CF"/>
    <w:multiLevelType w:val="multilevel"/>
    <w:tmpl w:val="537047AE"/>
    <w:lvl w:ilvl="0">
      <w:start w:val="1"/>
      <w:numFmt w:val="none"/>
      <w:suff w:val="nothing"/>
      <w:lvlText w:val=""/>
      <w:lvlJc w:val="left"/>
      <w:pPr>
        <w:ind w:left="-32767" w:firstLine="0"/>
      </w:pPr>
      <w:rPr>
        <w:rFonts w:hint="default"/>
        <w:b w:val="0"/>
        <w:i w:val="0"/>
        <w:color w:val="54534A"/>
      </w:rPr>
    </w:lvl>
    <w:lvl w:ilvl="1">
      <w:start w:val="1"/>
      <w:numFmt w:val="none"/>
      <w:suff w:val="nothing"/>
      <w:lvlText w:val=""/>
      <w:lvlJc w:val="left"/>
      <w:pPr>
        <w:ind w:left="-32767" w:firstLine="0"/>
      </w:pPr>
      <w:rPr>
        <w:rFonts w:hint="default"/>
      </w:rPr>
    </w:lvl>
    <w:lvl w:ilvl="2">
      <w:start w:val="1"/>
      <w:numFmt w:val="none"/>
      <w:lvlRestart w:val="0"/>
      <w:suff w:val="nothing"/>
      <w:lvlText w:val=""/>
      <w:lvlJc w:val="left"/>
      <w:pPr>
        <w:ind w:left="0" w:firstLine="0"/>
      </w:pPr>
      <w:rPr>
        <w:rFonts w:hint="default"/>
      </w:rPr>
    </w:lvl>
    <w:lvl w:ilvl="3">
      <w:start w:val="1"/>
      <w:numFmt w:val="none"/>
      <w:lvlRestart w:val="0"/>
      <w:pStyle w:val="Heading4"/>
      <w:suff w:val="nothing"/>
      <w:lvlText w:val=""/>
      <w:lvlJc w:val="left"/>
      <w:pPr>
        <w:ind w:left="0" w:firstLine="0"/>
      </w:pPr>
      <w:rPr>
        <w:rFonts w:hint="default"/>
      </w:rPr>
    </w:lvl>
    <w:lvl w:ilvl="4">
      <w:start w:val="1"/>
      <w:numFmt w:val="none"/>
      <w:lvlRestart w:val="0"/>
      <w:pStyle w:val="Heading5"/>
      <w:suff w:val="nothing"/>
      <w:lvlText w:val=""/>
      <w:lvlJc w:val="left"/>
      <w:pPr>
        <w:ind w:left="0" w:firstLine="0"/>
      </w:pPr>
      <w:rPr>
        <w:rFonts w:hint="default"/>
      </w:rPr>
    </w:lvl>
    <w:lvl w:ilvl="5">
      <w:start w:val="1"/>
      <w:numFmt w:val="upperLetter"/>
      <w:lvlRestart w:val="0"/>
      <w:lvlText w:val="%6"/>
      <w:lvlJc w:val="left"/>
      <w:pPr>
        <w:tabs>
          <w:tab w:val="num" w:pos="709"/>
        </w:tabs>
        <w:ind w:left="709" w:hanging="709"/>
      </w:pPr>
      <w:rPr>
        <w:rFonts w:ascii="Franklin Gothic Book" w:hAnsi="Franklin Gothic Book" w:hint="default"/>
        <w:b w:val="0"/>
        <w:i w:val="0"/>
        <w:caps w:val="0"/>
        <w:color w:val="54534A"/>
        <w:position w:val="0"/>
        <w:sz w:val="50"/>
        <w:szCs w:val="50"/>
      </w:rPr>
    </w:lvl>
    <w:lvl w:ilvl="6">
      <w:start w:val="1"/>
      <w:numFmt w:val="none"/>
      <w:lvlRestart w:val="0"/>
      <w:suff w:val="nothing"/>
      <w:lvlText w:val=""/>
      <w:lvlJc w:val="left"/>
      <w:pPr>
        <w:ind w:left="0" w:firstLine="0"/>
      </w:pPr>
      <w:rPr>
        <w:rFonts w:hint="default"/>
        <w:caps/>
        <w:sz w:val="22"/>
        <w:szCs w:val="22"/>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7">
    <w:nsid w:val="655E179A"/>
    <w:multiLevelType w:val="hybridMultilevel"/>
    <w:tmpl w:val="4FF4B7A6"/>
    <w:lvl w:ilvl="0" w:tplc="CBE215DA">
      <w:start w:val="1"/>
      <w:numFmt w:val="decimal"/>
      <w:pStyle w:val="ListNumb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66C55035"/>
    <w:multiLevelType w:val="hybridMultilevel"/>
    <w:tmpl w:val="599E5468"/>
    <w:lvl w:ilvl="0" w:tplc="2A42AF7A">
      <w:start w:val="1"/>
      <w:numFmt w:val="bullet"/>
      <w:pStyle w:val="TableListBullet"/>
      <w:lvlText w:val="›"/>
      <w:lvlJc w:val="left"/>
      <w:pPr>
        <w:ind w:left="360" w:hanging="360"/>
      </w:pPr>
      <w:rPr>
        <w:rFonts w:ascii="Times New Roman" w:hAnsi="Times New Roman" w:cs="Times New Roman" w:hint="default"/>
        <w:color w:val="auto"/>
        <w:spacing w:val="0"/>
        <w:w w:val="100"/>
        <w:position w:val="3"/>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nsid w:val="67351699"/>
    <w:multiLevelType w:val="hybridMultilevel"/>
    <w:tmpl w:val="1D8A8A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79E1124E"/>
    <w:multiLevelType w:val="hybridMultilevel"/>
    <w:tmpl w:val="6D42E656"/>
    <w:lvl w:ilvl="0" w:tplc="FFFFFFFF">
      <w:start w:val="1"/>
      <w:numFmt w:val="lowerLetter"/>
      <w:pStyle w:val="ListNumber2"/>
      <w:lvlText w:val="%1."/>
      <w:lvlJc w:val="left"/>
      <w:pPr>
        <w:tabs>
          <w:tab w:val="num" w:pos="567"/>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nsid w:val="7F7A528B"/>
    <w:multiLevelType w:val="hybridMultilevel"/>
    <w:tmpl w:val="A39658C0"/>
    <w:lvl w:ilvl="0" w:tplc="7B640FF6">
      <w:start w:val="1"/>
      <w:numFmt w:val="bullet"/>
      <w:pStyle w:val="ListBullet"/>
      <w:lvlText w:val="›"/>
      <w:lvlJc w:val="left"/>
      <w:pPr>
        <w:ind w:left="360" w:hanging="360"/>
      </w:pPr>
      <w:rPr>
        <w:rFonts w:ascii="Times New Roman" w:hAnsi="Times New Roman" w:cs="Times New Roman" w:hint="default"/>
        <w:color w:val="auto"/>
        <w:position w:val="3"/>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26"/>
  </w:num>
  <w:num w:numId="2">
    <w:abstractNumId w:val="22"/>
  </w:num>
  <w:num w:numId="3">
    <w:abstractNumId w:val="5"/>
  </w:num>
  <w:num w:numId="4">
    <w:abstractNumId w:val="20"/>
  </w:num>
  <w:num w:numId="5">
    <w:abstractNumId w:val="18"/>
  </w:num>
  <w:num w:numId="6">
    <w:abstractNumId w:val="16"/>
  </w:num>
  <w:num w:numId="7">
    <w:abstractNumId w:val="28"/>
  </w:num>
  <w:num w:numId="8">
    <w:abstractNumId w:val="4"/>
  </w:num>
  <w:num w:numId="9">
    <w:abstractNumId w:val="7"/>
  </w:num>
  <w:num w:numId="10">
    <w:abstractNumId w:val="30"/>
  </w:num>
  <w:num w:numId="11">
    <w:abstractNumId w:val="31"/>
  </w:num>
  <w:num w:numId="12">
    <w:abstractNumId w:val="0"/>
  </w:num>
  <w:num w:numId="13">
    <w:abstractNumId w:val="3"/>
  </w:num>
  <w:num w:numId="14">
    <w:abstractNumId w:val="27"/>
  </w:num>
  <w:num w:numId="15">
    <w:abstractNumId w:val="1"/>
  </w:num>
  <w:num w:numId="16">
    <w:abstractNumId w:val="13"/>
  </w:num>
  <w:num w:numId="17">
    <w:abstractNumId w:val="10"/>
  </w:num>
  <w:num w:numId="18">
    <w:abstractNumId w:val="6"/>
  </w:num>
  <w:num w:numId="19">
    <w:abstractNumId w:val="19"/>
  </w:num>
  <w:num w:numId="20">
    <w:abstractNumId w:val="8"/>
  </w:num>
  <w:num w:numId="21">
    <w:abstractNumId w:val="21"/>
  </w:num>
  <w:num w:numId="22">
    <w:abstractNumId w:val="15"/>
  </w:num>
  <w:num w:numId="23">
    <w:abstractNumId w:val="29"/>
  </w:num>
  <w:num w:numId="24">
    <w:abstractNumId w:val="25"/>
  </w:num>
  <w:num w:numId="25">
    <w:abstractNumId w:val="11"/>
  </w:num>
  <w:num w:numId="26">
    <w:abstractNumId w:val="14"/>
  </w:num>
  <w:num w:numId="27">
    <w:abstractNumId w:val="24"/>
  </w:num>
  <w:num w:numId="28">
    <w:abstractNumId w:val="17"/>
  </w:num>
  <w:num w:numId="29">
    <w:abstractNumId w:val="23"/>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num>
  <w:num w:numId="37">
    <w:abstractNumId w:val="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doNotTrackMoves/>
  <w:defaultTabStop w:val="720"/>
  <w:characterSpacingControl w:val="doNotCompress"/>
  <w:hdrShapeDefaults>
    <o:shapedefaults v:ext="edit" spidmax="1187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1DE"/>
    <w:rsid w:val="0000038B"/>
    <w:rsid w:val="000004FF"/>
    <w:rsid w:val="00002161"/>
    <w:rsid w:val="0000242A"/>
    <w:rsid w:val="00002A92"/>
    <w:rsid w:val="00002E28"/>
    <w:rsid w:val="000039CF"/>
    <w:rsid w:val="00004E18"/>
    <w:rsid w:val="00007E94"/>
    <w:rsid w:val="0001075F"/>
    <w:rsid w:val="000142A2"/>
    <w:rsid w:val="000143D9"/>
    <w:rsid w:val="00020121"/>
    <w:rsid w:val="00021A9E"/>
    <w:rsid w:val="00027629"/>
    <w:rsid w:val="0002775C"/>
    <w:rsid w:val="00030111"/>
    <w:rsid w:val="00031100"/>
    <w:rsid w:val="00031EB5"/>
    <w:rsid w:val="0003231A"/>
    <w:rsid w:val="00040AF6"/>
    <w:rsid w:val="000426DF"/>
    <w:rsid w:val="00047BFD"/>
    <w:rsid w:val="000529AD"/>
    <w:rsid w:val="000541C0"/>
    <w:rsid w:val="0005506B"/>
    <w:rsid w:val="000550B0"/>
    <w:rsid w:val="00055E78"/>
    <w:rsid w:val="00057175"/>
    <w:rsid w:val="00057589"/>
    <w:rsid w:val="00057D09"/>
    <w:rsid w:val="00071B95"/>
    <w:rsid w:val="0007395B"/>
    <w:rsid w:val="000745E2"/>
    <w:rsid w:val="0007703B"/>
    <w:rsid w:val="000774FD"/>
    <w:rsid w:val="000804BB"/>
    <w:rsid w:val="000818C0"/>
    <w:rsid w:val="00081F4E"/>
    <w:rsid w:val="000905A8"/>
    <w:rsid w:val="00091824"/>
    <w:rsid w:val="00091878"/>
    <w:rsid w:val="000957FC"/>
    <w:rsid w:val="00095CF5"/>
    <w:rsid w:val="000979A0"/>
    <w:rsid w:val="00097B02"/>
    <w:rsid w:val="000A1618"/>
    <w:rsid w:val="000A4247"/>
    <w:rsid w:val="000B2FF8"/>
    <w:rsid w:val="000B3121"/>
    <w:rsid w:val="000B68F6"/>
    <w:rsid w:val="000B6BE5"/>
    <w:rsid w:val="000B6FEA"/>
    <w:rsid w:val="000B7076"/>
    <w:rsid w:val="000B75E8"/>
    <w:rsid w:val="000C258A"/>
    <w:rsid w:val="000C29BF"/>
    <w:rsid w:val="000C4A7A"/>
    <w:rsid w:val="000C6080"/>
    <w:rsid w:val="000C60A8"/>
    <w:rsid w:val="000D151B"/>
    <w:rsid w:val="000D1993"/>
    <w:rsid w:val="000D733F"/>
    <w:rsid w:val="000D7952"/>
    <w:rsid w:val="000E0AC8"/>
    <w:rsid w:val="000E4573"/>
    <w:rsid w:val="000E7297"/>
    <w:rsid w:val="000E7A8D"/>
    <w:rsid w:val="000F2D94"/>
    <w:rsid w:val="00100485"/>
    <w:rsid w:val="00100AA2"/>
    <w:rsid w:val="001039C5"/>
    <w:rsid w:val="00106185"/>
    <w:rsid w:val="00106BDC"/>
    <w:rsid w:val="00106F66"/>
    <w:rsid w:val="0010729C"/>
    <w:rsid w:val="00107665"/>
    <w:rsid w:val="00112E97"/>
    <w:rsid w:val="001139DE"/>
    <w:rsid w:val="00114751"/>
    <w:rsid w:val="001154CA"/>
    <w:rsid w:val="001171DE"/>
    <w:rsid w:val="00120FC7"/>
    <w:rsid w:val="00121412"/>
    <w:rsid w:val="00122038"/>
    <w:rsid w:val="0012206B"/>
    <w:rsid w:val="001227C3"/>
    <w:rsid w:val="0012429A"/>
    <w:rsid w:val="001258C6"/>
    <w:rsid w:val="0012793C"/>
    <w:rsid w:val="00131FF0"/>
    <w:rsid w:val="00132003"/>
    <w:rsid w:val="00133AAD"/>
    <w:rsid w:val="00135806"/>
    <w:rsid w:val="001366B4"/>
    <w:rsid w:val="001375E3"/>
    <w:rsid w:val="00141A30"/>
    <w:rsid w:val="00143053"/>
    <w:rsid w:val="0014411B"/>
    <w:rsid w:val="001448E7"/>
    <w:rsid w:val="00145267"/>
    <w:rsid w:val="00147846"/>
    <w:rsid w:val="0015043E"/>
    <w:rsid w:val="00152DFD"/>
    <w:rsid w:val="001545FA"/>
    <w:rsid w:val="00154EF9"/>
    <w:rsid w:val="00157858"/>
    <w:rsid w:val="001578C1"/>
    <w:rsid w:val="001612CE"/>
    <w:rsid w:val="001624FB"/>
    <w:rsid w:val="00163185"/>
    <w:rsid w:val="0016544D"/>
    <w:rsid w:val="001657F1"/>
    <w:rsid w:val="00167331"/>
    <w:rsid w:val="0016740F"/>
    <w:rsid w:val="00171BB2"/>
    <w:rsid w:val="00173C6E"/>
    <w:rsid w:val="00175E4C"/>
    <w:rsid w:val="00180B19"/>
    <w:rsid w:val="0018196F"/>
    <w:rsid w:val="001829BB"/>
    <w:rsid w:val="0018305E"/>
    <w:rsid w:val="0018353A"/>
    <w:rsid w:val="00192498"/>
    <w:rsid w:val="001933E4"/>
    <w:rsid w:val="001943B6"/>
    <w:rsid w:val="00194806"/>
    <w:rsid w:val="001A374B"/>
    <w:rsid w:val="001A7B60"/>
    <w:rsid w:val="001B1A0C"/>
    <w:rsid w:val="001B2948"/>
    <w:rsid w:val="001B41CD"/>
    <w:rsid w:val="001B714C"/>
    <w:rsid w:val="001C1EA0"/>
    <w:rsid w:val="001C31B9"/>
    <w:rsid w:val="001C507E"/>
    <w:rsid w:val="001C700E"/>
    <w:rsid w:val="001C7117"/>
    <w:rsid w:val="001C745A"/>
    <w:rsid w:val="001C7DDD"/>
    <w:rsid w:val="001D20FC"/>
    <w:rsid w:val="001D210A"/>
    <w:rsid w:val="001D6059"/>
    <w:rsid w:val="001D7E98"/>
    <w:rsid w:val="001E4BDE"/>
    <w:rsid w:val="001E6635"/>
    <w:rsid w:val="001F060B"/>
    <w:rsid w:val="001F12A2"/>
    <w:rsid w:val="001F5CB1"/>
    <w:rsid w:val="001F61A8"/>
    <w:rsid w:val="001F7480"/>
    <w:rsid w:val="00201174"/>
    <w:rsid w:val="00202880"/>
    <w:rsid w:val="00202E4E"/>
    <w:rsid w:val="00203BCC"/>
    <w:rsid w:val="00204F2A"/>
    <w:rsid w:val="00205E0B"/>
    <w:rsid w:val="00205F2B"/>
    <w:rsid w:val="002073DF"/>
    <w:rsid w:val="002115BD"/>
    <w:rsid w:val="002126BA"/>
    <w:rsid w:val="00212B27"/>
    <w:rsid w:val="0021515C"/>
    <w:rsid w:val="00216C7C"/>
    <w:rsid w:val="002227A9"/>
    <w:rsid w:val="00226DEE"/>
    <w:rsid w:val="00227878"/>
    <w:rsid w:val="00231D45"/>
    <w:rsid w:val="002335A9"/>
    <w:rsid w:val="002343CF"/>
    <w:rsid w:val="00235D29"/>
    <w:rsid w:val="002363D9"/>
    <w:rsid w:val="00236B8C"/>
    <w:rsid w:val="00237C4B"/>
    <w:rsid w:val="00240D59"/>
    <w:rsid w:val="002441D5"/>
    <w:rsid w:val="00246E5F"/>
    <w:rsid w:val="002564DB"/>
    <w:rsid w:val="00261E78"/>
    <w:rsid w:val="00263F5F"/>
    <w:rsid w:val="00270898"/>
    <w:rsid w:val="00272AF0"/>
    <w:rsid w:val="00273C6F"/>
    <w:rsid w:val="00275C42"/>
    <w:rsid w:val="002806CC"/>
    <w:rsid w:val="002849B4"/>
    <w:rsid w:val="00286A0E"/>
    <w:rsid w:val="002911A4"/>
    <w:rsid w:val="00291F1C"/>
    <w:rsid w:val="0029400D"/>
    <w:rsid w:val="0029581A"/>
    <w:rsid w:val="00297FA7"/>
    <w:rsid w:val="002A15F4"/>
    <w:rsid w:val="002A1935"/>
    <w:rsid w:val="002A1A79"/>
    <w:rsid w:val="002A21D1"/>
    <w:rsid w:val="002A22F7"/>
    <w:rsid w:val="002A4D70"/>
    <w:rsid w:val="002A5218"/>
    <w:rsid w:val="002A6B4E"/>
    <w:rsid w:val="002B18C1"/>
    <w:rsid w:val="002B1CB1"/>
    <w:rsid w:val="002B1F66"/>
    <w:rsid w:val="002B31B3"/>
    <w:rsid w:val="002B433A"/>
    <w:rsid w:val="002B61A8"/>
    <w:rsid w:val="002B6EBE"/>
    <w:rsid w:val="002B79D4"/>
    <w:rsid w:val="002C1E00"/>
    <w:rsid w:val="002C639B"/>
    <w:rsid w:val="002D1328"/>
    <w:rsid w:val="002D5D7B"/>
    <w:rsid w:val="002D6914"/>
    <w:rsid w:val="002D6CAF"/>
    <w:rsid w:val="002D6DF0"/>
    <w:rsid w:val="002D743E"/>
    <w:rsid w:val="002D7FFA"/>
    <w:rsid w:val="002E55EA"/>
    <w:rsid w:val="002E5604"/>
    <w:rsid w:val="002E5C4E"/>
    <w:rsid w:val="002F479A"/>
    <w:rsid w:val="002F54F3"/>
    <w:rsid w:val="002F5A14"/>
    <w:rsid w:val="00303038"/>
    <w:rsid w:val="0030318A"/>
    <w:rsid w:val="003065D4"/>
    <w:rsid w:val="00306734"/>
    <w:rsid w:val="00310426"/>
    <w:rsid w:val="00310974"/>
    <w:rsid w:val="00315135"/>
    <w:rsid w:val="00315D13"/>
    <w:rsid w:val="003167E5"/>
    <w:rsid w:val="00316830"/>
    <w:rsid w:val="00320FCE"/>
    <w:rsid w:val="00321715"/>
    <w:rsid w:val="003223F8"/>
    <w:rsid w:val="0032292A"/>
    <w:rsid w:val="00322D92"/>
    <w:rsid w:val="0032486D"/>
    <w:rsid w:val="003260C0"/>
    <w:rsid w:val="003266E1"/>
    <w:rsid w:val="00326B5A"/>
    <w:rsid w:val="003275D0"/>
    <w:rsid w:val="003279FD"/>
    <w:rsid w:val="003305E3"/>
    <w:rsid w:val="003321EC"/>
    <w:rsid w:val="00332432"/>
    <w:rsid w:val="003326BE"/>
    <w:rsid w:val="003327F8"/>
    <w:rsid w:val="00335F19"/>
    <w:rsid w:val="003363C7"/>
    <w:rsid w:val="00341177"/>
    <w:rsid w:val="00341311"/>
    <w:rsid w:val="00342BF7"/>
    <w:rsid w:val="00343B25"/>
    <w:rsid w:val="00345B8E"/>
    <w:rsid w:val="00345D72"/>
    <w:rsid w:val="00351ACA"/>
    <w:rsid w:val="00352AE5"/>
    <w:rsid w:val="00357648"/>
    <w:rsid w:val="00357AF7"/>
    <w:rsid w:val="00360662"/>
    <w:rsid w:val="00371EFC"/>
    <w:rsid w:val="00371F53"/>
    <w:rsid w:val="00372E1B"/>
    <w:rsid w:val="00373824"/>
    <w:rsid w:val="003743C8"/>
    <w:rsid w:val="00383294"/>
    <w:rsid w:val="00383F3F"/>
    <w:rsid w:val="00384342"/>
    <w:rsid w:val="003849ED"/>
    <w:rsid w:val="00385A4C"/>
    <w:rsid w:val="00392981"/>
    <w:rsid w:val="00395CFA"/>
    <w:rsid w:val="003A27D2"/>
    <w:rsid w:val="003A2D7B"/>
    <w:rsid w:val="003A344F"/>
    <w:rsid w:val="003A5D82"/>
    <w:rsid w:val="003A74BF"/>
    <w:rsid w:val="003B122C"/>
    <w:rsid w:val="003B2756"/>
    <w:rsid w:val="003B2865"/>
    <w:rsid w:val="003B5F7E"/>
    <w:rsid w:val="003C288C"/>
    <w:rsid w:val="003C31EE"/>
    <w:rsid w:val="003C5D0C"/>
    <w:rsid w:val="003C7721"/>
    <w:rsid w:val="003D053F"/>
    <w:rsid w:val="003D081D"/>
    <w:rsid w:val="003D2E2F"/>
    <w:rsid w:val="003D2F89"/>
    <w:rsid w:val="003D44F4"/>
    <w:rsid w:val="003E0D7E"/>
    <w:rsid w:val="003E0E66"/>
    <w:rsid w:val="003E4982"/>
    <w:rsid w:val="003E63B3"/>
    <w:rsid w:val="003E7AA9"/>
    <w:rsid w:val="003F6CA8"/>
    <w:rsid w:val="00403152"/>
    <w:rsid w:val="00403AAA"/>
    <w:rsid w:val="00406000"/>
    <w:rsid w:val="00410F26"/>
    <w:rsid w:val="00412707"/>
    <w:rsid w:val="00413539"/>
    <w:rsid w:val="0041396D"/>
    <w:rsid w:val="00415A92"/>
    <w:rsid w:val="0041730D"/>
    <w:rsid w:val="004201E4"/>
    <w:rsid w:val="00420E02"/>
    <w:rsid w:val="00421E78"/>
    <w:rsid w:val="004224FA"/>
    <w:rsid w:val="004228CD"/>
    <w:rsid w:val="00424EA3"/>
    <w:rsid w:val="0042527A"/>
    <w:rsid w:val="00426354"/>
    <w:rsid w:val="00426784"/>
    <w:rsid w:val="004309E9"/>
    <w:rsid w:val="004322B7"/>
    <w:rsid w:val="00437472"/>
    <w:rsid w:val="00437C95"/>
    <w:rsid w:val="00441E77"/>
    <w:rsid w:val="00443639"/>
    <w:rsid w:val="004450BD"/>
    <w:rsid w:val="004453CE"/>
    <w:rsid w:val="00445A3B"/>
    <w:rsid w:val="00445C4E"/>
    <w:rsid w:val="00446742"/>
    <w:rsid w:val="00451121"/>
    <w:rsid w:val="0045475F"/>
    <w:rsid w:val="00457589"/>
    <w:rsid w:val="00462000"/>
    <w:rsid w:val="00464266"/>
    <w:rsid w:val="0046458A"/>
    <w:rsid w:val="00466C98"/>
    <w:rsid w:val="00467C3F"/>
    <w:rsid w:val="00467CE4"/>
    <w:rsid w:val="004761FF"/>
    <w:rsid w:val="00476685"/>
    <w:rsid w:val="0047710F"/>
    <w:rsid w:val="00481777"/>
    <w:rsid w:val="00484B94"/>
    <w:rsid w:val="00490BDE"/>
    <w:rsid w:val="00494504"/>
    <w:rsid w:val="004957EC"/>
    <w:rsid w:val="00496E55"/>
    <w:rsid w:val="00496F8D"/>
    <w:rsid w:val="004A2EC3"/>
    <w:rsid w:val="004A5062"/>
    <w:rsid w:val="004A568F"/>
    <w:rsid w:val="004A7400"/>
    <w:rsid w:val="004B201A"/>
    <w:rsid w:val="004B2ACC"/>
    <w:rsid w:val="004B3252"/>
    <w:rsid w:val="004B41B9"/>
    <w:rsid w:val="004B4A44"/>
    <w:rsid w:val="004B4D86"/>
    <w:rsid w:val="004B64F3"/>
    <w:rsid w:val="004B78D3"/>
    <w:rsid w:val="004C33EA"/>
    <w:rsid w:val="004C35FE"/>
    <w:rsid w:val="004C36CF"/>
    <w:rsid w:val="004C4A3E"/>
    <w:rsid w:val="004C59EA"/>
    <w:rsid w:val="004C65C6"/>
    <w:rsid w:val="004C660D"/>
    <w:rsid w:val="004C6A38"/>
    <w:rsid w:val="004C7E92"/>
    <w:rsid w:val="004D0699"/>
    <w:rsid w:val="004D1529"/>
    <w:rsid w:val="004D19CE"/>
    <w:rsid w:val="004D23F6"/>
    <w:rsid w:val="004D2ED0"/>
    <w:rsid w:val="004D4522"/>
    <w:rsid w:val="004D5142"/>
    <w:rsid w:val="004E01E9"/>
    <w:rsid w:val="004E30DA"/>
    <w:rsid w:val="004E3E40"/>
    <w:rsid w:val="004E570D"/>
    <w:rsid w:val="004E6400"/>
    <w:rsid w:val="004E642E"/>
    <w:rsid w:val="004E6924"/>
    <w:rsid w:val="004E6A61"/>
    <w:rsid w:val="004E6E33"/>
    <w:rsid w:val="004E702A"/>
    <w:rsid w:val="004F0C2D"/>
    <w:rsid w:val="004F3D7E"/>
    <w:rsid w:val="004F4630"/>
    <w:rsid w:val="004F521E"/>
    <w:rsid w:val="004F6FEE"/>
    <w:rsid w:val="00500EB4"/>
    <w:rsid w:val="005011D8"/>
    <w:rsid w:val="00501CD2"/>
    <w:rsid w:val="00503974"/>
    <w:rsid w:val="0050439B"/>
    <w:rsid w:val="0050529F"/>
    <w:rsid w:val="00506A51"/>
    <w:rsid w:val="005110C3"/>
    <w:rsid w:val="00511BD4"/>
    <w:rsid w:val="005135D6"/>
    <w:rsid w:val="00514B5E"/>
    <w:rsid w:val="005157C1"/>
    <w:rsid w:val="00515954"/>
    <w:rsid w:val="00515E3D"/>
    <w:rsid w:val="005208AC"/>
    <w:rsid w:val="0052286C"/>
    <w:rsid w:val="00522AB9"/>
    <w:rsid w:val="005265B9"/>
    <w:rsid w:val="0052724B"/>
    <w:rsid w:val="005307E8"/>
    <w:rsid w:val="0053175E"/>
    <w:rsid w:val="00533533"/>
    <w:rsid w:val="00534CCB"/>
    <w:rsid w:val="00535C99"/>
    <w:rsid w:val="00535E24"/>
    <w:rsid w:val="00537E02"/>
    <w:rsid w:val="00542718"/>
    <w:rsid w:val="00543224"/>
    <w:rsid w:val="005440F6"/>
    <w:rsid w:val="00544CCD"/>
    <w:rsid w:val="0054557A"/>
    <w:rsid w:val="00546DD6"/>
    <w:rsid w:val="005505B6"/>
    <w:rsid w:val="00550EBA"/>
    <w:rsid w:val="0055172C"/>
    <w:rsid w:val="0055719C"/>
    <w:rsid w:val="00557419"/>
    <w:rsid w:val="0055771D"/>
    <w:rsid w:val="00565055"/>
    <w:rsid w:val="00565635"/>
    <w:rsid w:val="00567FCF"/>
    <w:rsid w:val="00570765"/>
    <w:rsid w:val="00571521"/>
    <w:rsid w:val="005732BD"/>
    <w:rsid w:val="005733F9"/>
    <w:rsid w:val="00573E59"/>
    <w:rsid w:val="00575295"/>
    <w:rsid w:val="00581C01"/>
    <w:rsid w:val="0058242D"/>
    <w:rsid w:val="005845CB"/>
    <w:rsid w:val="0058498A"/>
    <w:rsid w:val="00586350"/>
    <w:rsid w:val="0059461A"/>
    <w:rsid w:val="00597520"/>
    <w:rsid w:val="005A18C5"/>
    <w:rsid w:val="005A3ED5"/>
    <w:rsid w:val="005A511C"/>
    <w:rsid w:val="005A7CF6"/>
    <w:rsid w:val="005B238F"/>
    <w:rsid w:val="005B42EE"/>
    <w:rsid w:val="005B457C"/>
    <w:rsid w:val="005B4F7A"/>
    <w:rsid w:val="005B537E"/>
    <w:rsid w:val="005B7C71"/>
    <w:rsid w:val="005C4A6B"/>
    <w:rsid w:val="005C661F"/>
    <w:rsid w:val="005D21DF"/>
    <w:rsid w:val="005D2A59"/>
    <w:rsid w:val="005E247A"/>
    <w:rsid w:val="005E5671"/>
    <w:rsid w:val="005E6A4C"/>
    <w:rsid w:val="005F0C00"/>
    <w:rsid w:val="005F15ED"/>
    <w:rsid w:val="005F33F2"/>
    <w:rsid w:val="005F460C"/>
    <w:rsid w:val="005F51F6"/>
    <w:rsid w:val="005F74D0"/>
    <w:rsid w:val="00600404"/>
    <w:rsid w:val="0060117A"/>
    <w:rsid w:val="00612E14"/>
    <w:rsid w:val="00617F30"/>
    <w:rsid w:val="006231CF"/>
    <w:rsid w:val="0062598A"/>
    <w:rsid w:val="00625A52"/>
    <w:rsid w:val="0062686B"/>
    <w:rsid w:val="00633401"/>
    <w:rsid w:val="00633A74"/>
    <w:rsid w:val="0063477C"/>
    <w:rsid w:val="006364A0"/>
    <w:rsid w:val="00637549"/>
    <w:rsid w:val="006422A3"/>
    <w:rsid w:val="00642A6F"/>
    <w:rsid w:val="00642B0B"/>
    <w:rsid w:val="00642E50"/>
    <w:rsid w:val="00646049"/>
    <w:rsid w:val="00647FBA"/>
    <w:rsid w:val="0065268F"/>
    <w:rsid w:val="0065391A"/>
    <w:rsid w:val="0065679C"/>
    <w:rsid w:val="00657108"/>
    <w:rsid w:val="00660A8A"/>
    <w:rsid w:val="00663306"/>
    <w:rsid w:val="00663909"/>
    <w:rsid w:val="00663E95"/>
    <w:rsid w:val="006659FF"/>
    <w:rsid w:val="006671BC"/>
    <w:rsid w:val="0067299B"/>
    <w:rsid w:val="00673287"/>
    <w:rsid w:val="00680679"/>
    <w:rsid w:val="0068146D"/>
    <w:rsid w:val="00682DB1"/>
    <w:rsid w:val="0068347D"/>
    <w:rsid w:val="00683FFB"/>
    <w:rsid w:val="006863AB"/>
    <w:rsid w:val="0068768A"/>
    <w:rsid w:val="00690BEA"/>
    <w:rsid w:val="00695279"/>
    <w:rsid w:val="00697C69"/>
    <w:rsid w:val="006A7D32"/>
    <w:rsid w:val="006B0F12"/>
    <w:rsid w:val="006B33A7"/>
    <w:rsid w:val="006C1260"/>
    <w:rsid w:val="006C2232"/>
    <w:rsid w:val="006C3381"/>
    <w:rsid w:val="006C6800"/>
    <w:rsid w:val="006D0BC5"/>
    <w:rsid w:val="006D2CF2"/>
    <w:rsid w:val="006D2E37"/>
    <w:rsid w:val="006D34C3"/>
    <w:rsid w:val="006E327C"/>
    <w:rsid w:val="006E6265"/>
    <w:rsid w:val="006E7795"/>
    <w:rsid w:val="006E7E9F"/>
    <w:rsid w:val="006E7FA8"/>
    <w:rsid w:val="006F00DB"/>
    <w:rsid w:val="006F28A7"/>
    <w:rsid w:val="006F4623"/>
    <w:rsid w:val="006F4B40"/>
    <w:rsid w:val="00701FEA"/>
    <w:rsid w:val="00703FD6"/>
    <w:rsid w:val="007040D1"/>
    <w:rsid w:val="00704C4D"/>
    <w:rsid w:val="00705A00"/>
    <w:rsid w:val="007069F7"/>
    <w:rsid w:val="00706DE1"/>
    <w:rsid w:val="00710059"/>
    <w:rsid w:val="00710337"/>
    <w:rsid w:val="007110C9"/>
    <w:rsid w:val="00712349"/>
    <w:rsid w:val="00712FCE"/>
    <w:rsid w:val="007131CA"/>
    <w:rsid w:val="00714BA3"/>
    <w:rsid w:val="00715180"/>
    <w:rsid w:val="0071537B"/>
    <w:rsid w:val="007167AE"/>
    <w:rsid w:val="00721098"/>
    <w:rsid w:val="0072495B"/>
    <w:rsid w:val="007311E0"/>
    <w:rsid w:val="007360D3"/>
    <w:rsid w:val="0073644C"/>
    <w:rsid w:val="00736D2D"/>
    <w:rsid w:val="00737641"/>
    <w:rsid w:val="00737C72"/>
    <w:rsid w:val="007434EE"/>
    <w:rsid w:val="00744AEA"/>
    <w:rsid w:val="007452F9"/>
    <w:rsid w:val="007459C6"/>
    <w:rsid w:val="0074660C"/>
    <w:rsid w:val="00747B69"/>
    <w:rsid w:val="00750E77"/>
    <w:rsid w:val="00751449"/>
    <w:rsid w:val="00755D95"/>
    <w:rsid w:val="00756B0E"/>
    <w:rsid w:val="00757BAA"/>
    <w:rsid w:val="00762876"/>
    <w:rsid w:val="00762B9C"/>
    <w:rsid w:val="00764D52"/>
    <w:rsid w:val="00766491"/>
    <w:rsid w:val="00766BCF"/>
    <w:rsid w:val="00766D37"/>
    <w:rsid w:val="00767F39"/>
    <w:rsid w:val="007705BC"/>
    <w:rsid w:val="007726E1"/>
    <w:rsid w:val="00774F4B"/>
    <w:rsid w:val="00785C58"/>
    <w:rsid w:val="0079256F"/>
    <w:rsid w:val="0079307B"/>
    <w:rsid w:val="007941CF"/>
    <w:rsid w:val="00794B21"/>
    <w:rsid w:val="00796F48"/>
    <w:rsid w:val="007A2A5E"/>
    <w:rsid w:val="007A3C6A"/>
    <w:rsid w:val="007A5821"/>
    <w:rsid w:val="007A6B87"/>
    <w:rsid w:val="007B0EBF"/>
    <w:rsid w:val="007B12EF"/>
    <w:rsid w:val="007B3752"/>
    <w:rsid w:val="007B51E2"/>
    <w:rsid w:val="007B6F81"/>
    <w:rsid w:val="007C08B4"/>
    <w:rsid w:val="007D0A64"/>
    <w:rsid w:val="007D0D96"/>
    <w:rsid w:val="007D5D8D"/>
    <w:rsid w:val="007D608D"/>
    <w:rsid w:val="007E10A5"/>
    <w:rsid w:val="007E2A95"/>
    <w:rsid w:val="007E3D71"/>
    <w:rsid w:val="007E4FEF"/>
    <w:rsid w:val="007F0036"/>
    <w:rsid w:val="007F2841"/>
    <w:rsid w:val="007F3BF4"/>
    <w:rsid w:val="007F3E30"/>
    <w:rsid w:val="0080096B"/>
    <w:rsid w:val="00800B90"/>
    <w:rsid w:val="00802A66"/>
    <w:rsid w:val="00805045"/>
    <w:rsid w:val="00805ADD"/>
    <w:rsid w:val="008103A0"/>
    <w:rsid w:val="00810DE3"/>
    <w:rsid w:val="00821541"/>
    <w:rsid w:val="00821A06"/>
    <w:rsid w:val="008220F3"/>
    <w:rsid w:val="00822273"/>
    <w:rsid w:val="008235DB"/>
    <w:rsid w:val="00826FE4"/>
    <w:rsid w:val="00830647"/>
    <w:rsid w:val="00830E80"/>
    <w:rsid w:val="008310E9"/>
    <w:rsid w:val="00832911"/>
    <w:rsid w:val="00833071"/>
    <w:rsid w:val="00833EB7"/>
    <w:rsid w:val="0084092F"/>
    <w:rsid w:val="00844C87"/>
    <w:rsid w:val="00850A87"/>
    <w:rsid w:val="008532FB"/>
    <w:rsid w:val="008540F0"/>
    <w:rsid w:val="008568C0"/>
    <w:rsid w:val="00860146"/>
    <w:rsid w:val="00864874"/>
    <w:rsid w:val="00871CA1"/>
    <w:rsid w:val="00874F47"/>
    <w:rsid w:val="00876F31"/>
    <w:rsid w:val="00877D87"/>
    <w:rsid w:val="00880255"/>
    <w:rsid w:val="008810FA"/>
    <w:rsid w:val="00884878"/>
    <w:rsid w:val="00885B9C"/>
    <w:rsid w:val="00886D18"/>
    <w:rsid w:val="00892303"/>
    <w:rsid w:val="00896927"/>
    <w:rsid w:val="00897E16"/>
    <w:rsid w:val="008A144E"/>
    <w:rsid w:val="008A310A"/>
    <w:rsid w:val="008A62E0"/>
    <w:rsid w:val="008A6603"/>
    <w:rsid w:val="008B5F25"/>
    <w:rsid w:val="008B5F65"/>
    <w:rsid w:val="008C0FBD"/>
    <w:rsid w:val="008C35E1"/>
    <w:rsid w:val="008C4903"/>
    <w:rsid w:val="008C547E"/>
    <w:rsid w:val="008C5617"/>
    <w:rsid w:val="008C6687"/>
    <w:rsid w:val="008C70BD"/>
    <w:rsid w:val="008C79C7"/>
    <w:rsid w:val="008C7AC8"/>
    <w:rsid w:val="008D0242"/>
    <w:rsid w:val="008D27EF"/>
    <w:rsid w:val="008D28DF"/>
    <w:rsid w:val="008D2DC8"/>
    <w:rsid w:val="008D34F9"/>
    <w:rsid w:val="008D3D46"/>
    <w:rsid w:val="008D745E"/>
    <w:rsid w:val="008E29AB"/>
    <w:rsid w:val="008E44A5"/>
    <w:rsid w:val="008E4EF2"/>
    <w:rsid w:val="008F06F2"/>
    <w:rsid w:val="008F1E28"/>
    <w:rsid w:val="008F2178"/>
    <w:rsid w:val="008F4C4B"/>
    <w:rsid w:val="008F5D80"/>
    <w:rsid w:val="008F7B8C"/>
    <w:rsid w:val="009006D2"/>
    <w:rsid w:val="00907258"/>
    <w:rsid w:val="009103F3"/>
    <w:rsid w:val="009126A4"/>
    <w:rsid w:val="00914FA2"/>
    <w:rsid w:val="009163AF"/>
    <w:rsid w:val="00916D52"/>
    <w:rsid w:val="00917AED"/>
    <w:rsid w:val="00923D3D"/>
    <w:rsid w:val="00924CCB"/>
    <w:rsid w:val="0092520A"/>
    <w:rsid w:val="00927978"/>
    <w:rsid w:val="00932FAD"/>
    <w:rsid w:val="00936ECF"/>
    <w:rsid w:val="00937307"/>
    <w:rsid w:val="009445BA"/>
    <w:rsid w:val="00945130"/>
    <w:rsid w:val="00945B0A"/>
    <w:rsid w:val="00946F68"/>
    <w:rsid w:val="009475F3"/>
    <w:rsid w:val="00951562"/>
    <w:rsid w:val="00951651"/>
    <w:rsid w:val="00953CAB"/>
    <w:rsid w:val="00954DF1"/>
    <w:rsid w:val="00954EF3"/>
    <w:rsid w:val="00955E5B"/>
    <w:rsid w:val="0095603B"/>
    <w:rsid w:val="00956775"/>
    <w:rsid w:val="00957948"/>
    <w:rsid w:val="009668EF"/>
    <w:rsid w:val="009713CF"/>
    <w:rsid w:val="009729A9"/>
    <w:rsid w:val="009761F8"/>
    <w:rsid w:val="00976AF1"/>
    <w:rsid w:val="00976FB3"/>
    <w:rsid w:val="00977D1F"/>
    <w:rsid w:val="0098030D"/>
    <w:rsid w:val="00981980"/>
    <w:rsid w:val="00981B13"/>
    <w:rsid w:val="00981E62"/>
    <w:rsid w:val="00984059"/>
    <w:rsid w:val="00985E6D"/>
    <w:rsid w:val="009928E1"/>
    <w:rsid w:val="0099488A"/>
    <w:rsid w:val="00994D57"/>
    <w:rsid w:val="00996460"/>
    <w:rsid w:val="0099677B"/>
    <w:rsid w:val="009A0E8F"/>
    <w:rsid w:val="009A1E07"/>
    <w:rsid w:val="009A25EB"/>
    <w:rsid w:val="009A290D"/>
    <w:rsid w:val="009B5190"/>
    <w:rsid w:val="009B5381"/>
    <w:rsid w:val="009B5BFC"/>
    <w:rsid w:val="009B654F"/>
    <w:rsid w:val="009C0023"/>
    <w:rsid w:val="009C16DF"/>
    <w:rsid w:val="009C1FDC"/>
    <w:rsid w:val="009C4804"/>
    <w:rsid w:val="009C4B11"/>
    <w:rsid w:val="009C7044"/>
    <w:rsid w:val="009D104E"/>
    <w:rsid w:val="009D1FDF"/>
    <w:rsid w:val="009D3524"/>
    <w:rsid w:val="009D5236"/>
    <w:rsid w:val="009D5458"/>
    <w:rsid w:val="009E1667"/>
    <w:rsid w:val="009E1CA8"/>
    <w:rsid w:val="009E28E1"/>
    <w:rsid w:val="009E38C1"/>
    <w:rsid w:val="009E6780"/>
    <w:rsid w:val="009E79EC"/>
    <w:rsid w:val="009F4D99"/>
    <w:rsid w:val="009F50F0"/>
    <w:rsid w:val="00A01327"/>
    <w:rsid w:val="00A018E7"/>
    <w:rsid w:val="00A03911"/>
    <w:rsid w:val="00A05140"/>
    <w:rsid w:val="00A06F0C"/>
    <w:rsid w:val="00A06FC9"/>
    <w:rsid w:val="00A10DE1"/>
    <w:rsid w:val="00A11D59"/>
    <w:rsid w:val="00A123C7"/>
    <w:rsid w:val="00A13029"/>
    <w:rsid w:val="00A14E44"/>
    <w:rsid w:val="00A14E66"/>
    <w:rsid w:val="00A173E3"/>
    <w:rsid w:val="00A20730"/>
    <w:rsid w:val="00A22538"/>
    <w:rsid w:val="00A22F4E"/>
    <w:rsid w:val="00A27E2B"/>
    <w:rsid w:val="00A33B7B"/>
    <w:rsid w:val="00A34039"/>
    <w:rsid w:val="00A3552E"/>
    <w:rsid w:val="00A35E94"/>
    <w:rsid w:val="00A36449"/>
    <w:rsid w:val="00A40491"/>
    <w:rsid w:val="00A417FA"/>
    <w:rsid w:val="00A42760"/>
    <w:rsid w:val="00A441F2"/>
    <w:rsid w:val="00A443C7"/>
    <w:rsid w:val="00A458B3"/>
    <w:rsid w:val="00A45B60"/>
    <w:rsid w:val="00A45E73"/>
    <w:rsid w:val="00A51779"/>
    <w:rsid w:val="00A5551F"/>
    <w:rsid w:val="00A57836"/>
    <w:rsid w:val="00A61B0C"/>
    <w:rsid w:val="00A623C1"/>
    <w:rsid w:val="00A62E17"/>
    <w:rsid w:val="00A65CAA"/>
    <w:rsid w:val="00A662CF"/>
    <w:rsid w:val="00A708D4"/>
    <w:rsid w:val="00A755C8"/>
    <w:rsid w:val="00A766FD"/>
    <w:rsid w:val="00A80353"/>
    <w:rsid w:val="00A81A8C"/>
    <w:rsid w:val="00A820E7"/>
    <w:rsid w:val="00A82DF8"/>
    <w:rsid w:val="00A87BB1"/>
    <w:rsid w:val="00A9333E"/>
    <w:rsid w:val="00A94EC5"/>
    <w:rsid w:val="00A9554E"/>
    <w:rsid w:val="00AA31F2"/>
    <w:rsid w:val="00AA406C"/>
    <w:rsid w:val="00AA433E"/>
    <w:rsid w:val="00AA4F9F"/>
    <w:rsid w:val="00AA5E1B"/>
    <w:rsid w:val="00AA7256"/>
    <w:rsid w:val="00AB0987"/>
    <w:rsid w:val="00AB1403"/>
    <w:rsid w:val="00AB3900"/>
    <w:rsid w:val="00AB60E8"/>
    <w:rsid w:val="00AB7215"/>
    <w:rsid w:val="00AC005D"/>
    <w:rsid w:val="00AC14DE"/>
    <w:rsid w:val="00AC452B"/>
    <w:rsid w:val="00AC56C2"/>
    <w:rsid w:val="00AC5E19"/>
    <w:rsid w:val="00AC6F49"/>
    <w:rsid w:val="00AD2723"/>
    <w:rsid w:val="00AD445D"/>
    <w:rsid w:val="00AD6F47"/>
    <w:rsid w:val="00AE0908"/>
    <w:rsid w:val="00AE2781"/>
    <w:rsid w:val="00AE5C52"/>
    <w:rsid w:val="00AE6D76"/>
    <w:rsid w:val="00AE6E0A"/>
    <w:rsid w:val="00AF045F"/>
    <w:rsid w:val="00AF0F70"/>
    <w:rsid w:val="00AF0FA2"/>
    <w:rsid w:val="00AF0FDD"/>
    <w:rsid w:val="00AF5A70"/>
    <w:rsid w:val="00AF5C5C"/>
    <w:rsid w:val="00B03FB1"/>
    <w:rsid w:val="00B05932"/>
    <w:rsid w:val="00B15829"/>
    <w:rsid w:val="00B16BCA"/>
    <w:rsid w:val="00B17A9D"/>
    <w:rsid w:val="00B201C7"/>
    <w:rsid w:val="00B206FA"/>
    <w:rsid w:val="00B21C2F"/>
    <w:rsid w:val="00B249B7"/>
    <w:rsid w:val="00B2764E"/>
    <w:rsid w:val="00B30E77"/>
    <w:rsid w:val="00B33F27"/>
    <w:rsid w:val="00B34B88"/>
    <w:rsid w:val="00B375CD"/>
    <w:rsid w:val="00B37A25"/>
    <w:rsid w:val="00B44032"/>
    <w:rsid w:val="00B456CC"/>
    <w:rsid w:val="00B478EF"/>
    <w:rsid w:val="00B51BAD"/>
    <w:rsid w:val="00B55BE4"/>
    <w:rsid w:val="00B564A3"/>
    <w:rsid w:val="00B56514"/>
    <w:rsid w:val="00B56551"/>
    <w:rsid w:val="00B57AE9"/>
    <w:rsid w:val="00B57CA2"/>
    <w:rsid w:val="00B638BD"/>
    <w:rsid w:val="00B65EB5"/>
    <w:rsid w:val="00B66555"/>
    <w:rsid w:val="00B67DD0"/>
    <w:rsid w:val="00B71672"/>
    <w:rsid w:val="00B71B9F"/>
    <w:rsid w:val="00B72318"/>
    <w:rsid w:val="00B72CEC"/>
    <w:rsid w:val="00B73156"/>
    <w:rsid w:val="00B74929"/>
    <w:rsid w:val="00B7716B"/>
    <w:rsid w:val="00B777E6"/>
    <w:rsid w:val="00B80134"/>
    <w:rsid w:val="00B80707"/>
    <w:rsid w:val="00B82487"/>
    <w:rsid w:val="00B861D4"/>
    <w:rsid w:val="00B8737A"/>
    <w:rsid w:val="00B87675"/>
    <w:rsid w:val="00B910DF"/>
    <w:rsid w:val="00B922B7"/>
    <w:rsid w:val="00B922B9"/>
    <w:rsid w:val="00B95043"/>
    <w:rsid w:val="00B9749F"/>
    <w:rsid w:val="00BA3026"/>
    <w:rsid w:val="00BA3EFF"/>
    <w:rsid w:val="00BA4972"/>
    <w:rsid w:val="00BA5FE7"/>
    <w:rsid w:val="00BB1C24"/>
    <w:rsid w:val="00BB2580"/>
    <w:rsid w:val="00BB27EC"/>
    <w:rsid w:val="00BB37EE"/>
    <w:rsid w:val="00BB4DFD"/>
    <w:rsid w:val="00BB530B"/>
    <w:rsid w:val="00BB58D3"/>
    <w:rsid w:val="00BC179B"/>
    <w:rsid w:val="00BC432E"/>
    <w:rsid w:val="00BC6774"/>
    <w:rsid w:val="00BC6C8B"/>
    <w:rsid w:val="00BC6EEF"/>
    <w:rsid w:val="00BC7980"/>
    <w:rsid w:val="00BD1AFA"/>
    <w:rsid w:val="00BD28C5"/>
    <w:rsid w:val="00BD2FEE"/>
    <w:rsid w:val="00BD4D43"/>
    <w:rsid w:val="00BD7695"/>
    <w:rsid w:val="00BE0D5C"/>
    <w:rsid w:val="00BE0EE1"/>
    <w:rsid w:val="00BE2114"/>
    <w:rsid w:val="00BE4857"/>
    <w:rsid w:val="00BE4BDF"/>
    <w:rsid w:val="00BE5FED"/>
    <w:rsid w:val="00BE65E4"/>
    <w:rsid w:val="00BE7D81"/>
    <w:rsid w:val="00BF0AA7"/>
    <w:rsid w:val="00BF2F97"/>
    <w:rsid w:val="00C00765"/>
    <w:rsid w:val="00C00E26"/>
    <w:rsid w:val="00C03A2E"/>
    <w:rsid w:val="00C06287"/>
    <w:rsid w:val="00C12309"/>
    <w:rsid w:val="00C20D5E"/>
    <w:rsid w:val="00C21756"/>
    <w:rsid w:val="00C22569"/>
    <w:rsid w:val="00C23583"/>
    <w:rsid w:val="00C26EEC"/>
    <w:rsid w:val="00C312CC"/>
    <w:rsid w:val="00C36C67"/>
    <w:rsid w:val="00C4066A"/>
    <w:rsid w:val="00C40D0E"/>
    <w:rsid w:val="00C461F8"/>
    <w:rsid w:val="00C469FC"/>
    <w:rsid w:val="00C51DF7"/>
    <w:rsid w:val="00C5255D"/>
    <w:rsid w:val="00C55259"/>
    <w:rsid w:val="00C56BAB"/>
    <w:rsid w:val="00C57E14"/>
    <w:rsid w:val="00C602B7"/>
    <w:rsid w:val="00C60D92"/>
    <w:rsid w:val="00C65930"/>
    <w:rsid w:val="00C759D1"/>
    <w:rsid w:val="00C75AB0"/>
    <w:rsid w:val="00C809DF"/>
    <w:rsid w:val="00C82AA4"/>
    <w:rsid w:val="00C8305C"/>
    <w:rsid w:val="00C844D6"/>
    <w:rsid w:val="00C85FF6"/>
    <w:rsid w:val="00C90995"/>
    <w:rsid w:val="00C9326B"/>
    <w:rsid w:val="00C95691"/>
    <w:rsid w:val="00C96A47"/>
    <w:rsid w:val="00C970CE"/>
    <w:rsid w:val="00CA113C"/>
    <w:rsid w:val="00CA1ECD"/>
    <w:rsid w:val="00CA4C7F"/>
    <w:rsid w:val="00CB13B7"/>
    <w:rsid w:val="00CB6FB2"/>
    <w:rsid w:val="00CB7087"/>
    <w:rsid w:val="00CB723D"/>
    <w:rsid w:val="00CC05E4"/>
    <w:rsid w:val="00CC41EE"/>
    <w:rsid w:val="00CD061B"/>
    <w:rsid w:val="00CD0BF5"/>
    <w:rsid w:val="00CD0FA4"/>
    <w:rsid w:val="00CD1089"/>
    <w:rsid w:val="00CD1BCD"/>
    <w:rsid w:val="00CD41F8"/>
    <w:rsid w:val="00CD6D61"/>
    <w:rsid w:val="00CD7D66"/>
    <w:rsid w:val="00CD7FFC"/>
    <w:rsid w:val="00CE2C6E"/>
    <w:rsid w:val="00CE2D75"/>
    <w:rsid w:val="00CE6C66"/>
    <w:rsid w:val="00CE799B"/>
    <w:rsid w:val="00CF046A"/>
    <w:rsid w:val="00CF321C"/>
    <w:rsid w:val="00CF4FE6"/>
    <w:rsid w:val="00CF556F"/>
    <w:rsid w:val="00CF5974"/>
    <w:rsid w:val="00D0030F"/>
    <w:rsid w:val="00D0445F"/>
    <w:rsid w:val="00D0608D"/>
    <w:rsid w:val="00D06133"/>
    <w:rsid w:val="00D061D5"/>
    <w:rsid w:val="00D06E87"/>
    <w:rsid w:val="00D06EFC"/>
    <w:rsid w:val="00D074BF"/>
    <w:rsid w:val="00D1197E"/>
    <w:rsid w:val="00D11B55"/>
    <w:rsid w:val="00D122E5"/>
    <w:rsid w:val="00D1619E"/>
    <w:rsid w:val="00D206B3"/>
    <w:rsid w:val="00D219C1"/>
    <w:rsid w:val="00D22C33"/>
    <w:rsid w:val="00D27373"/>
    <w:rsid w:val="00D32833"/>
    <w:rsid w:val="00D33DA7"/>
    <w:rsid w:val="00D3507E"/>
    <w:rsid w:val="00D354D0"/>
    <w:rsid w:val="00D41D9A"/>
    <w:rsid w:val="00D461E5"/>
    <w:rsid w:val="00D472D8"/>
    <w:rsid w:val="00D47EB4"/>
    <w:rsid w:val="00D5167F"/>
    <w:rsid w:val="00D5255B"/>
    <w:rsid w:val="00D538F6"/>
    <w:rsid w:val="00D5457D"/>
    <w:rsid w:val="00D54EF5"/>
    <w:rsid w:val="00D56FF4"/>
    <w:rsid w:val="00D61E55"/>
    <w:rsid w:val="00D6213A"/>
    <w:rsid w:val="00D6666D"/>
    <w:rsid w:val="00D70223"/>
    <w:rsid w:val="00D73760"/>
    <w:rsid w:val="00D74036"/>
    <w:rsid w:val="00D802BD"/>
    <w:rsid w:val="00D808EE"/>
    <w:rsid w:val="00D82214"/>
    <w:rsid w:val="00D84610"/>
    <w:rsid w:val="00D87EB2"/>
    <w:rsid w:val="00D87FE7"/>
    <w:rsid w:val="00D91885"/>
    <w:rsid w:val="00D93663"/>
    <w:rsid w:val="00D94097"/>
    <w:rsid w:val="00D95DDC"/>
    <w:rsid w:val="00D96B60"/>
    <w:rsid w:val="00DA0634"/>
    <w:rsid w:val="00DA3E6F"/>
    <w:rsid w:val="00DA62C5"/>
    <w:rsid w:val="00DA7CB8"/>
    <w:rsid w:val="00DA7DA7"/>
    <w:rsid w:val="00DB0871"/>
    <w:rsid w:val="00DB0CB2"/>
    <w:rsid w:val="00DB26EB"/>
    <w:rsid w:val="00DC08BC"/>
    <w:rsid w:val="00DC1F63"/>
    <w:rsid w:val="00DD1011"/>
    <w:rsid w:val="00DE1775"/>
    <w:rsid w:val="00DE221F"/>
    <w:rsid w:val="00DE3A2A"/>
    <w:rsid w:val="00DE55E6"/>
    <w:rsid w:val="00DE5C6E"/>
    <w:rsid w:val="00DE5DBB"/>
    <w:rsid w:val="00DF169D"/>
    <w:rsid w:val="00DF630E"/>
    <w:rsid w:val="00DF7AE1"/>
    <w:rsid w:val="00E0241F"/>
    <w:rsid w:val="00E025F5"/>
    <w:rsid w:val="00E03957"/>
    <w:rsid w:val="00E04482"/>
    <w:rsid w:val="00E04D37"/>
    <w:rsid w:val="00E05840"/>
    <w:rsid w:val="00E07968"/>
    <w:rsid w:val="00E10BA8"/>
    <w:rsid w:val="00E12448"/>
    <w:rsid w:val="00E14683"/>
    <w:rsid w:val="00E207DB"/>
    <w:rsid w:val="00E21EFB"/>
    <w:rsid w:val="00E2267F"/>
    <w:rsid w:val="00E235D4"/>
    <w:rsid w:val="00E25FBA"/>
    <w:rsid w:val="00E270B7"/>
    <w:rsid w:val="00E27C9F"/>
    <w:rsid w:val="00E36A50"/>
    <w:rsid w:val="00E41B22"/>
    <w:rsid w:val="00E43C87"/>
    <w:rsid w:val="00E44BDB"/>
    <w:rsid w:val="00E528EB"/>
    <w:rsid w:val="00E5370B"/>
    <w:rsid w:val="00E56811"/>
    <w:rsid w:val="00E56A3E"/>
    <w:rsid w:val="00E6139F"/>
    <w:rsid w:val="00E61E1E"/>
    <w:rsid w:val="00E62387"/>
    <w:rsid w:val="00E64B3B"/>
    <w:rsid w:val="00E650A3"/>
    <w:rsid w:val="00E67D97"/>
    <w:rsid w:val="00E71A05"/>
    <w:rsid w:val="00E742BC"/>
    <w:rsid w:val="00E75547"/>
    <w:rsid w:val="00E80621"/>
    <w:rsid w:val="00E80AB0"/>
    <w:rsid w:val="00E83CC7"/>
    <w:rsid w:val="00E8435E"/>
    <w:rsid w:val="00E90B9D"/>
    <w:rsid w:val="00E923F1"/>
    <w:rsid w:val="00E93762"/>
    <w:rsid w:val="00E96A6F"/>
    <w:rsid w:val="00E96C75"/>
    <w:rsid w:val="00EA1B79"/>
    <w:rsid w:val="00EA42B1"/>
    <w:rsid w:val="00EA4547"/>
    <w:rsid w:val="00EA4BDE"/>
    <w:rsid w:val="00EA6D03"/>
    <w:rsid w:val="00EB1D3D"/>
    <w:rsid w:val="00EB3D8A"/>
    <w:rsid w:val="00EB4AF9"/>
    <w:rsid w:val="00EB6139"/>
    <w:rsid w:val="00EB711D"/>
    <w:rsid w:val="00EC0476"/>
    <w:rsid w:val="00EC1864"/>
    <w:rsid w:val="00EC3C2B"/>
    <w:rsid w:val="00EC71ED"/>
    <w:rsid w:val="00EC7486"/>
    <w:rsid w:val="00ED04F4"/>
    <w:rsid w:val="00ED2536"/>
    <w:rsid w:val="00ED27A5"/>
    <w:rsid w:val="00ED4341"/>
    <w:rsid w:val="00ED798C"/>
    <w:rsid w:val="00ED7B38"/>
    <w:rsid w:val="00ED7C3B"/>
    <w:rsid w:val="00EE0057"/>
    <w:rsid w:val="00EE0E84"/>
    <w:rsid w:val="00EE120A"/>
    <w:rsid w:val="00EE208F"/>
    <w:rsid w:val="00EE308D"/>
    <w:rsid w:val="00EE44C9"/>
    <w:rsid w:val="00EE451F"/>
    <w:rsid w:val="00EE65AF"/>
    <w:rsid w:val="00EF087C"/>
    <w:rsid w:val="00EF2769"/>
    <w:rsid w:val="00EF366A"/>
    <w:rsid w:val="00EF4DF3"/>
    <w:rsid w:val="00F02F28"/>
    <w:rsid w:val="00F0799D"/>
    <w:rsid w:val="00F12744"/>
    <w:rsid w:val="00F13F24"/>
    <w:rsid w:val="00F1419E"/>
    <w:rsid w:val="00F1472A"/>
    <w:rsid w:val="00F209D8"/>
    <w:rsid w:val="00F27ED1"/>
    <w:rsid w:val="00F30CF8"/>
    <w:rsid w:val="00F31315"/>
    <w:rsid w:val="00F40408"/>
    <w:rsid w:val="00F42301"/>
    <w:rsid w:val="00F42F5E"/>
    <w:rsid w:val="00F43BA3"/>
    <w:rsid w:val="00F46297"/>
    <w:rsid w:val="00F46ABC"/>
    <w:rsid w:val="00F4760B"/>
    <w:rsid w:val="00F5172B"/>
    <w:rsid w:val="00F53129"/>
    <w:rsid w:val="00F53655"/>
    <w:rsid w:val="00F53C1E"/>
    <w:rsid w:val="00F55290"/>
    <w:rsid w:val="00F55956"/>
    <w:rsid w:val="00F56CA9"/>
    <w:rsid w:val="00F6071E"/>
    <w:rsid w:val="00F614AD"/>
    <w:rsid w:val="00F616C5"/>
    <w:rsid w:val="00F62CFC"/>
    <w:rsid w:val="00F639E2"/>
    <w:rsid w:val="00F65284"/>
    <w:rsid w:val="00F711FF"/>
    <w:rsid w:val="00F71512"/>
    <w:rsid w:val="00F74363"/>
    <w:rsid w:val="00F74FA5"/>
    <w:rsid w:val="00F7658C"/>
    <w:rsid w:val="00F769FF"/>
    <w:rsid w:val="00F77E6A"/>
    <w:rsid w:val="00F81D93"/>
    <w:rsid w:val="00F831FB"/>
    <w:rsid w:val="00F86C62"/>
    <w:rsid w:val="00F907B5"/>
    <w:rsid w:val="00F93164"/>
    <w:rsid w:val="00F93332"/>
    <w:rsid w:val="00F940A3"/>
    <w:rsid w:val="00F9413F"/>
    <w:rsid w:val="00F94A2D"/>
    <w:rsid w:val="00F94B1C"/>
    <w:rsid w:val="00F94D21"/>
    <w:rsid w:val="00FA11D0"/>
    <w:rsid w:val="00FA14EB"/>
    <w:rsid w:val="00FA344A"/>
    <w:rsid w:val="00FA39DE"/>
    <w:rsid w:val="00FA406D"/>
    <w:rsid w:val="00FA44DE"/>
    <w:rsid w:val="00FA4570"/>
    <w:rsid w:val="00FA690F"/>
    <w:rsid w:val="00FB0049"/>
    <w:rsid w:val="00FB3748"/>
    <w:rsid w:val="00FB5056"/>
    <w:rsid w:val="00FC0159"/>
    <w:rsid w:val="00FC015B"/>
    <w:rsid w:val="00FC019D"/>
    <w:rsid w:val="00FC19A6"/>
    <w:rsid w:val="00FC3C87"/>
    <w:rsid w:val="00FD0CB0"/>
    <w:rsid w:val="00FD1315"/>
    <w:rsid w:val="00FD19F3"/>
    <w:rsid w:val="00FD3B8F"/>
    <w:rsid w:val="00FD401B"/>
    <w:rsid w:val="00FD7BD8"/>
    <w:rsid w:val="00FE1536"/>
    <w:rsid w:val="00FE25EE"/>
    <w:rsid w:val="00FE4491"/>
    <w:rsid w:val="00FE5718"/>
    <w:rsid w:val="00FE68CD"/>
    <w:rsid w:val="00FF061A"/>
    <w:rsid w:val="00FF20BC"/>
    <w:rsid w:val="00FF2137"/>
    <w:rsid w:val="00FF2D07"/>
    <w:rsid w:val="00FF3DA4"/>
    <w:rsid w:val="00FF6A90"/>
    <w:rsid w:val="00FF6B6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87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lsdException w:name="heading 6" w:uiPriority="0"/>
    <w:lsdException w:name="heading 7" w:uiPriority="0"/>
    <w:lsdException w:name="heading 8" w:uiPriority="0"/>
    <w:lsdException w:name="heading 9" w:uiPriority="0"/>
    <w:lsdException w:name="toc 1" w:uiPriority="0"/>
    <w:lsdException w:name="toc 2" w:uiPriority="0"/>
    <w:lsdException w:name="toc 3" w:uiPriority="0"/>
    <w:lsdException w:name="toc 4" w:uiPriority="39"/>
    <w:lsdException w:name="toc 5" w:uiPriority="39"/>
    <w:lsdException w:name="toc 6" w:uiPriority="0"/>
    <w:lsdException w:name="toc 7" w:uiPriority="0"/>
    <w:lsdException w:name="toc 8" w:uiPriority="39"/>
    <w:lsdException w:name="toc 9" w:uiPriority="39"/>
    <w:lsdException w:name="footnote text" w:uiPriority="0" w:qFormat="1"/>
    <w:lsdException w:name="annotation text" w:uiPriority="0"/>
    <w:lsdException w:name="footer" w:uiPriority="0"/>
    <w:lsdException w:name="caption" w:qFormat="1"/>
    <w:lsdException w:name="table of figures"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Bullet" w:uiPriority="0" w:qFormat="1"/>
    <w:lsdException w:name="List Number" w:uiPriority="0" w:qFormat="1"/>
    <w:lsdException w:name="List Bullet 2" w:uiPriority="0" w:qFormat="1"/>
    <w:lsdException w:name="List Number 2" w:uiPriority="0" w:qFormat="1"/>
    <w:lsdException w:name="List Number 3" w:uiPriority="0"/>
    <w:lsdException w:name="Title" w:semiHidden="0" w:uiPriority="0" w:unhideWhenUsed="0" w:qFormat="1"/>
    <w:lsdException w:name="Default Paragraph Font" w:uiPriority="1"/>
    <w:lsdException w:name="Body Text" w:qFormat="1"/>
    <w:lsdException w:name="Subtitle" w:semiHidden="0" w:uiPriority="0" w:unhideWhenUsed="0" w:qFormat="1"/>
    <w:lsdException w:name="Date" w:uiPriority="0" w:qFormat="1"/>
    <w:lsdException w:name="Hyperlink" w:uiPriority="0"/>
    <w:lsdException w:name="FollowedHyperlink" w:uiPriority="0"/>
    <w:lsdException w:name="Strong" w:semiHidden="0" w:uiPriority="22" w:unhideWhenUsed="0"/>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0" w:unhideWhenUsed="0" w:qFormat="1"/>
    <w:lsdException w:name="Quote" w:semiHidden="0" w:uiPriority="0"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rsid w:val="000D151B"/>
    <w:pPr>
      <w:spacing w:after="0" w:line="240" w:lineRule="auto"/>
    </w:pPr>
    <w:rPr>
      <w:rFonts w:ascii="Times New Roman" w:eastAsia="SimSun" w:hAnsi="Times New Roman" w:cs="Times New Roman"/>
      <w:sz w:val="20"/>
      <w:szCs w:val="24"/>
    </w:rPr>
  </w:style>
  <w:style w:type="paragraph" w:styleId="Heading1">
    <w:name w:val="heading 1"/>
    <w:basedOn w:val="Title"/>
    <w:next w:val="BodyText"/>
    <w:link w:val="Heading1Char"/>
    <w:qFormat/>
    <w:rsid w:val="00F93332"/>
    <w:pPr>
      <w:keepNext/>
      <w:spacing w:before="480" w:after="120"/>
      <w:outlineLvl w:val="0"/>
    </w:pPr>
    <w:rPr>
      <w:rFonts w:cs="Arial"/>
      <w:sz w:val="28"/>
      <w:szCs w:val="28"/>
    </w:rPr>
  </w:style>
  <w:style w:type="paragraph" w:styleId="Heading2">
    <w:name w:val="heading 2"/>
    <w:basedOn w:val="Normal"/>
    <w:next w:val="BodyText"/>
    <w:link w:val="Heading2Char"/>
    <w:qFormat/>
    <w:rsid w:val="006D0BC5"/>
    <w:pPr>
      <w:keepNext/>
      <w:spacing w:before="360" w:after="120"/>
      <w:outlineLvl w:val="1"/>
    </w:pPr>
    <w:rPr>
      <w:rFonts w:ascii="Helvetica" w:eastAsia="Times New Roman" w:hAnsi="Helvetica" w:cs="Arial"/>
      <w:color w:val="007FAD"/>
      <w:kern w:val="28"/>
      <w:sz w:val="24"/>
      <w:szCs w:val="28"/>
    </w:rPr>
  </w:style>
  <w:style w:type="paragraph" w:styleId="Heading3">
    <w:name w:val="heading 3"/>
    <w:basedOn w:val="Heading2"/>
    <w:next w:val="BodyText"/>
    <w:link w:val="Heading3Char"/>
    <w:autoRedefine/>
    <w:qFormat/>
    <w:rsid w:val="006D0BC5"/>
    <w:pPr>
      <w:keepNext w:val="0"/>
      <w:numPr>
        <w:ilvl w:val="2"/>
      </w:numPr>
      <w:spacing w:before="240"/>
      <w:outlineLvl w:val="2"/>
    </w:pPr>
    <w:rPr>
      <w:b/>
      <w:color w:val="124486"/>
      <w:sz w:val="22"/>
      <w:szCs w:val="22"/>
      <w:lang w:eastAsia="zh-CN"/>
    </w:rPr>
  </w:style>
  <w:style w:type="paragraph" w:styleId="Heading4">
    <w:name w:val="heading 4"/>
    <w:basedOn w:val="Heading3"/>
    <w:next w:val="BodyText"/>
    <w:link w:val="Heading4Char"/>
    <w:qFormat/>
    <w:rsid w:val="009E79EC"/>
    <w:pPr>
      <w:numPr>
        <w:ilvl w:val="3"/>
        <w:numId w:val="1"/>
      </w:numPr>
      <w:spacing w:before="320" w:after="0"/>
      <w:outlineLvl w:val="3"/>
    </w:pPr>
    <w:rPr>
      <w:b w:val="0"/>
    </w:rPr>
  </w:style>
  <w:style w:type="paragraph" w:styleId="Heading5">
    <w:name w:val="heading 5"/>
    <w:basedOn w:val="BodyText"/>
    <w:next w:val="BodyText"/>
    <w:link w:val="Heading5Char"/>
    <w:rsid w:val="009E79EC"/>
    <w:pPr>
      <w:keepNext/>
      <w:numPr>
        <w:ilvl w:val="4"/>
        <w:numId w:val="1"/>
      </w:numPr>
      <w:spacing w:before="320" w:after="0"/>
      <w:outlineLvl w:val="4"/>
    </w:pPr>
    <w:rPr>
      <w:rFonts w:ascii="Helvetica" w:hAnsi="Helvetica"/>
      <w:b/>
      <w:color w:val="A8A5A8"/>
      <w:sz w:val="22"/>
    </w:rPr>
  </w:style>
  <w:style w:type="paragraph" w:styleId="Heading6">
    <w:name w:val="heading 6"/>
    <w:next w:val="BodyText"/>
    <w:link w:val="Heading6Char"/>
    <w:rsid w:val="009E79EC"/>
    <w:pPr>
      <w:spacing w:after="240" w:line="280" w:lineRule="atLeast"/>
      <w:outlineLvl w:val="5"/>
    </w:pPr>
    <w:rPr>
      <w:rFonts w:ascii="Franklin Gothic Book" w:eastAsia="Times New Roman" w:hAnsi="Franklin Gothic Book" w:cs="Times New Roman"/>
      <w:b/>
      <w:spacing w:val="-10"/>
      <w:kern w:val="28"/>
      <w:szCs w:val="19"/>
    </w:rPr>
  </w:style>
  <w:style w:type="paragraph" w:styleId="Heading7">
    <w:name w:val="heading 7"/>
    <w:basedOn w:val="Heading6"/>
    <w:next w:val="BodyText"/>
    <w:link w:val="Heading7Char"/>
    <w:rsid w:val="007E10A5"/>
    <w:pPr>
      <w:numPr>
        <w:ilvl w:val="6"/>
      </w:numPr>
      <w:outlineLvl w:val="6"/>
    </w:pPr>
  </w:style>
  <w:style w:type="paragraph" w:styleId="Heading8">
    <w:name w:val="heading 8"/>
    <w:basedOn w:val="Heading7"/>
    <w:next w:val="BodyText"/>
    <w:link w:val="Heading8Char"/>
    <w:rsid w:val="0050529F"/>
    <w:pPr>
      <w:numPr>
        <w:ilvl w:val="7"/>
      </w:numPr>
      <w:outlineLvl w:val="7"/>
    </w:pPr>
  </w:style>
  <w:style w:type="paragraph" w:styleId="Heading9">
    <w:name w:val="heading 9"/>
    <w:basedOn w:val="Heading8"/>
    <w:next w:val="BodyText"/>
    <w:link w:val="Heading9Char"/>
    <w:rsid w:val="0050529F"/>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93332"/>
    <w:rPr>
      <w:rFonts w:ascii="Helvetica" w:eastAsia="Times New Roman" w:hAnsi="Helvetica" w:cs="Arial"/>
      <w:color w:val="124486"/>
      <w:spacing w:val="-10"/>
      <w:kern w:val="28"/>
      <w:sz w:val="28"/>
      <w:szCs w:val="28"/>
    </w:rPr>
  </w:style>
  <w:style w:type="paragraph" w:styleId="BodyText">
    <w:name w:val="Body Text"/>
    <w:basedOn w:val="Normal"/>
    <w:link w:val="BodyTextChar"/>
    <w:uiPriority w:val="99"/>
    <w:qFormat/>
    <w:rsid w:val="00F93332"/>
    <w:pPr>
      <w:spacing w:after="160" w:line="280" w:lineRule="exact"/>
    </w:pPr>
    <w:rPr>
      <w:rFonts w:ascii="Franklin Gothic Book" w:eastAsia="Times New Roman" w:hAnsi="Franklin Gothic Book"/>
      <w:sz w:val="21"/>
    </w:rPr>
  </w:style>
  <w:style w:type="character" w:customStyle="1" w:styleId="BodyTextChar">
    <w:name w:val="Body Text Char"/>
    <w:basedOn w:val="DefaultParagraphFont"/>
    <w:link w:val="BodyText"/>
    <w:uiPriority w:val="99"/>
    <w:rsid w:val="00F93332"/>
    <w:rPr>
      <w:rFonts w:ascii="Franklin Gothic Book" w:eastAsia="Times New Roman" w:hAnsi="Franklin Gothic Book" w:cs="Times New Roman"/>
      <w:sz w:val="21"/>
      <w:szCs w:val="24"/>
    </w:rPr>
  </w:style>
  <w:style w:type="character" w:customStyle="1" w:styleId="Heading2Char">
    <w:name w:val="Heading 2 Char"/>
    <w:basedOn w:val="DefaultParagraphFont"/>
    <w:link w:val="Heading2"/>
    <w:rsid w:val="006D0BC5"/>
    <w:rPr>
      <w:rFonts w:ascii="Helvetica" w:eastAsia="Times New Roman" w:hAnsi="Helvetica" w:cs="Arial"/>
      <w:color w:val="007FAD"/>
      <w:kern w:val="28"/>
      <w:sz w:val="24"/>
      <w:szCs w:val="28"/>
    </w:rPr>
  </w:style>
  <w:style w:type="character" w:customStyle="1" w:styleId="Heading3Char">
    <w:name w:val="Heading 3 Char"/>
    <w:basedOn w:val="DefaultParagraphFont"/>
    <w:link w:val="Heading3"/>
    <w:rsid w:val="006D0BC5"/>
    <w:rPr>
      <w:rFonts w:ascii="Helvetica" w:eastAsia="Times New Roman" w:hAnsi="Helvetica" w:cs="Arial"/>
      <w:b/>
      <w:color w:val="124486"/>
      <w:kern w:val="28"/>
      <w:lang w:eastAsia="zh-CN"/>
    </w:rPr>
  </w:style>
  <w:style w:type="character" w:customStyle="1" w:styleId="Heading4Char">
    <w:name w:val="Heading 4 Char"/>
    <w:basedOn w:val="DefaultParagraphFont"/>
    <w:link w:val="Heading4"/>
    <w:rsid w:val="009E79EC"/>
    <w:rPr>
      <w:rFonts w:ascii="Helvetica" w:eastAsia="Times New Roman" w:hAnsi="Helvetica" w:cs="Arial"/>
      <w:color w:val="124486"/>
      <w:kern w:val="28"/>
      <w:lang w:eastAsia="zh-CN"/>
    </w:rPr>
  </w:style>
  <w:style w:type="character" w:customStyle="1" w:styleId="Heading5Char">
    <w:name w:val="Heading 5 Char"/>
    <w:basedOn w:val="DefaultParagraphFont"/>
    <w:link w:val="Heading5"/>
    <w:rsid w:val="009E79EC"/>
    <w:rPr>
      <w:rFonts w:ascii="Helvetica" w:eastAsia="Times New Roman" w:hAnsi="Helvetica" w:cs="Times New Roman"/>
      <w:b/>
      <w:color w:val="A8A5A8"/>
      <w:szCs w:val="24"/>
    </w:rPr>
  </w:style>
  <w:style w:type="character" w:customStyle="1" w:styleId="Heading6Char">
    <w:name w:val="Heading 6 Char"/>
    <w:basedOn w:val="DefaultParagraphFont"/>
    <w:link w:val="Heading6"/>
    <w:rsid w:val="009E79EC"/>
    <w:rPr>
      <w:rFonts w:ascii="Franklin Gothic Book" w:eastAsia="Times New Roman" w:hAnsi="Franklin Gothic Book" w:cs="Times New Roman"/>
      <w:b/>
      <w:spacing w:val="-10"/>
      <w:kern w:val="28"/>
      <w:szCs w:val="19"/>
    </w:rPr>
  </w:style>
  <w:style w:type="character" w:customStyle="1" w:styleId="Heading7Char">
    <w:name w:val="Heading 7 Char"/>
    <w:basedOn w:val="DefaultParagraphFont"/>
    <w:link w:val="Heading7"/>
    <w:rsid w:val="007E10A5"/>
    <w:rPr>
      <w:rFonts w:ascii="Times New Roman" w:eastAsia="Times New Roman" w:hAnsi="Times New Roman" w:cs="Times New Roman"/>
      <w:b/>
      <w:spacing w:val="-10"/>
      <w:kern w:val="28"/>
      <w:szCs w:val="19"/>
    </w:rPr>
  </w:style>
  <w:style w:type="character" w:customStyle="1" w:styleId="Heading8Char">
    <w:name w:val="Heading 8 Char"/>
    <w:basedOn w:val="DefaultParagraphFont"/>
    <w:link w:val="Heading8"/>
    <w:rsid w:val="007E10A5"/>
    <w:rPr>
      <w:rFonts w:ascii="Times New Roman" w:eastAsia="Times New Roman" w:hAnsi="Times New Roman" w:cs="Times New Roman"/>
      <w:b/>
      <w:spacing w:val="-10"/>
      <w:kern w:val="28"/>
      <w:szCs w:val="19"/>
    </w:rPr>
  </w:style>
  <w:style w:type="character" w:customStyle="1" w:styleId="Heading9Char">
    <w:name w:val="Heading 9 Char"/>
    <w:basedOn w:val="DefaultParagraphFont"/>
    <w:link w:val="Heading9"/>
    <w:rsid w:val="007E10A5"/>
    <w:rPr>
      <w:rFonts w:ascii="Times New Roman" w:eastAsia="Times New Roman" w:hAnsi="Times New Roman" w:cs="Times New Roman"/>
      <w:b/>
      <w:spacing w:val="-10"/>
      <w:kern w:val="28"/>
      <w:szCs w:val="19"/>
    </w:rPr>
  </w:style>
  <w:style w:type="paragraph" w:styleId="Subtitle">
    <w:name w:val="Subtitle"/>
    <w:basedOn w:val="Normal"/>
    <w:next w:val="Normal"/>
    <w:link w:val="SubtitleChar"/>
    <w:qFormat/>
    <w:rsid w:val="00E36A50"/>
    <w:pPr>
      <w:spacing w:before="120" w:after="360"/>
    </w:pPr>
    <w:rPr>
      <w:rFonts w:ascii="Helvetica" w:eastAsia="Times New Roman" w:hAnsi="Helvetica"/>
      <w:color w:val="007FAD"/>
      <w:spacing w:val="-10"/>
      <w:kern w:val="28"/>
      <w:sz w:val="28"/>
      <w:szCs w:val="28"/>
    </w:rPr>
  </w:style>
  <w:style w:type="paragraph" w:customStyle="1" w:styleId="PublicationDate">
    <w:name w:val="Publication Date"/>
    <w:next w:val="Heading1"/>
    <w:rsid w:val="00F93332"/>
    <w:pPr>
      <w:spacing w:after="360"/>
    </w:pPr>
    <w:rPr>
      <w:rFonts w:ascii="Helvetica" w:eastAsia="Times New Roman" w:hAnsi="Helvetica" w:cs="Times New Roman"/>
      <w:color w:val="A8A5A8"/>
      <w:spacing w:val="-10"/>
      <w:kern w:val="24"/>
      <w:sz w:val="24"/>
      <w:szCs w:val="28"/>
    </w:rPr>
  </w:style>
  <w:style w:type="character" w:customStyle="1" w:styleId="SubtitleChar">
    <w:name w:val="Subtitle Char"/>
    <w:basedOn w:val="DefaultParagraphFont"/>
    <w:link w:val="Subtitle"/>
    <w:rsid w:val="00E36A50"/>
    <w:rPr>
      <w:rFonts w:ascii="Helvetica" w:eastAsia="Times New Roman" w:hAnsi="Helvetica" w:cs="Times New Roman"/>
      <w:color w:val="007FAD"/>
      <w:spacing w:val="-10"/>
      <w:kern w:val="28"/>
      <w:sz w:val="28"/>
      <w:szCs w:val="28"/>
    </w:rPr>
  </w:style>
  <w:style w:type="paragraph" w:styleId="Footer">
    <w:name w:val="footer"/>
    <w:basedOn w:val="Normal"/>
    <w:link w:val="FooterChar"/>
    <w:unhideWhenUsed/>
    <w:rsid w:val="009E79EC"/>
    <w:pPr>
      <w:tabs>
        <w:tab w:val="right" w:pos="8222"/>
      </w:tabs>
    </w:pPr>
    <w:rPr>
      <w:rFonts w:ascii="Franklin Gothic Book" w:hAnsi="Franklin Gothic Book"/>
      <w:color w:val="A8A5A8"/>
      <w:sz w:val="14"/>
    </w:rPr>
  </w:style>
  <w:style w:type="paragraph" w:styleId="Title">
    <w:name w:val="Title"/>
    <w:basedOn w:val="Normal"/>
    <w:next w:val="Normal"/>
    <w:link w:val="TitleChar"/>
    <w:qFormat/>
    <w:rsid w:val="00AA406C"/>
    <w:pPr>
      <w:spacing w:before="120" w:after="240"/>
    </w:pPr>
    <w:rPr>
      <w:rFonts w:ascii="Helvetica" w:eastAsia="Times New Roman" w:hAnsi="Helvetica"/>
      <w:color w:val="007FAD"/>
      <w:spacing w:val="-10"/>
      <w:kern w:val="28"/>
      <w:sz w:val="40"/>
      <w:szCs w:val="20"/>
    </w:rPr>
  </w:style>
  <w:style w:type="character" w:customStyle="1" w:styleId="TitleChar">
    <w:name w:val="Title Char"/>
    <w:basedOn w:val="DefaultParagraphFont"/>
    <w:link w:val="Title"/>
    <w:rsid w:val="00AA406C"/>
    <w:rPr>
      <w:rFonts w:ascii="Helvetica" w:eastAsia="Times New Roman" w:hAnsi="Helvetica" w:cs="Times New Roman"/>
      <w:color w:val="007FAD"/>
      <w:spacing w:val="-10"/>
      <w:kern w:val="28"/>
      <w:sz w:val="40"/>
      <w:szCs w:val="20"/>
    </w:rPr>
  </w:style>
  <w:style w:type="character" w:customStyle="1" w:styleId="FooterChar">
    <w:name w:val="Footer Char"/>
    <w:basedOn w:val="DefaultParagraphFont"/>
    <w:link w:val="Footer"/>
    <w:rsid w:val="009E79EC"/>
    <w:rPr>
      <w:rFonts w:ascii="Franklin Gothic Book" w:eastAsia="SimSun" w:hAnsi="Franklin Gothic Book" w:cs="Times New Roman"/>
      <w:color w:val="A8A5A8"/>
      <w:sz w:val="14"/>
      <w:szCs w:val="24"/>
    </w:rPr>
  </w:style>
  <w:style w:type="paragraph" w:styleId="Caption">
    <w:name w:val="caption"/>
    <w:basedOn w:val="Normal"/>
    <w:next w:val="BodyText"/>
    <w:link w:val="CaptionChar"/>
    <w:autoRedefine/>
    <w:uiPriority w:val="99"/>
    <w:qFormat/>
    <w:rsid w:val="001171DE"/>
    <w:pPr>
      <w:keepNext/>
      <w:spacing w:before="80" w:after="80" w:line="280" w:lineRule="atLeast"/>
    </w:pPr>
    <w:rPr>
      <w:rFonts w:ascii="Franklin Gothic Book" w:eastAsia="Times New Roman" w:hAnsi="Franklin Gothic Book" w:cs="Arial"/>
      <w:szCs w:val="19"/>
    </w:rPr>
  </w:style>
  <w:style w:type="paragraph" w:customStyle="1" w:styleId="Note">
    <w:name w:val="Note"/>
    <w:basedOn w:val="TableTextEntries"/>
    <w:next w:val="BodyText"/>
    <w:link w:val="NoteCharChar"/>
    <w:autoRedefine/>
    <w:rsid w:val="006D0BC5"/>
    <w:pPr>
      <w:keepNext/>
      <w:spacing w:before="20" w:after="20" w:line="180" w:lineRule="atLeast"/>
      <w:jc w:val="both"/>
    </w:pPr>
    <w:rPr>
      <w:iCs w:val="0"/>
      <w:sz w:val="14"/>
      <w:szCs w:val="14"/>
      <w:lang w:eastAsia="en-AU"/>
    </w:rPr>
  </w:style>
  <w:style w:type="paragraph" w:customStyle="1" w:styleId="TableTextEntries">
    <w:name w:val="Table Text Entries"/>
    <w:uiPriority w:val="99"/>
    <w:rsid w:val="00B249B7"/>
    <w:pPr>
      <w:keepLines/>
      <w:spacing w:before="40" w:after="40" w:line="200" w:lineRule="atLeast"/>
    </w:pPr>
    <w:rPr>
      <w:rFonts w:ascii="Franklin Gothic Book" w:eastAsia="Times New Roman" w:hAnsi="Franklin Gothic Book" w:cs="Times New Roman"/>
      <w:iCs/>
      <w:sz w:val="17"/>
      <w:szCs w:val="17"/>
      <w:lang w:eastAsia="en-US"/>
    </w:rPr>
  </w:style>
  <w:style w:type="character" w:customStyle="1" w:styleId="NoteCharChar">
    <w:name w:val="Note Char Char"/>
    <w:link w:val="Note"/>
    <w:rsid w:val="006D0BC5"/>
    <w:rPr>
      <w:rFonts w:ascii="Franklin Gothic Book" w:eastAsia="Times New Roman" w:hAnsi="Franklin Gothic Book" w:cs="Times New Roman"/>
      <w:sz w:val="14"/>
      <w:szCs w:val="14"/>
    </w:rPr>
  </w:style>
  <w:style w:type="paragraph" w:customStyle="1" w:styleId="TableDataEntries">
    <w:name w:val="Table Data Entries"/>
    <w:basedOn w:val="TableTextEntries"/>
    <w:rsid w:val="0050529F"/>
    <w:pPr>
      <w:jc w:val="right"/>
    </w:pPr>
  </w:style>
  <w:style w:type="paragraph" w:customStyle="1" w:styleId="TableDataColumnHeading">
    <w:name w:val="Table Data Column Heading"/>
    <w:basedOn w:val="TableDataEntries"/>
    <w:rsid w:val="0050529F"/>
    <w:pPr>
      <w:spacing w:before="80" w:after="80"/>
    </w:pPr>
    <w:rPr>
      <w:rFonts w:ascii="Franklin Gothic Medium" w:hAnsi="Franklin Gothic Medium"/>
    </w:rPr>
  </w:style>
  <w:style w:type="paragraph" w:customStyle="1" w:styleId="TableTextColumnHeading">
    <w:name w:val="Table Text Column Heading"/>
    <w:basedOn w:val="TableDataColumnHeading"/>
    <w:autoRedefine/>
    <w:rsid w:val="0007395B"/>
    <w:pPr>
      <w:jc w:val="left"/>
    </w:pPr>
    <w:rPr>
      <w:b/>
    </w:rPr>
  </w:style>
  <w:style w:type="paragraph" w:styleId="ListBullet3">
    <w:name w:val="List Bullet 3"/>
    <w:basedOn w:val="ListBullet2"/>
    <w:uiPriority w:val="99"/>
    <w:unhideWhenUsed/>
    <w:rsid w:val="007E3D71"/>
    <w:pPr>
      <w:numPr>
        <w:numId w:val="15"/>
      </w:numPr>
      <w:tabs>
        <w:tab w:val="left" w:pos="567"/>
      </w:tabs>
      <w:ind w:left="851" w:hanging="284"/>
      <w:contextualSpacing/>
    </w:pPr>
  </w:style>
  <w:style w:type="table" w:customStyle="1" w:styleId="DFATTable">
    <w:name w:val="DFAT Table"/>
    <w:basedOn w:val="TableNormal"/>
    <w:uiPriority w:val="99"/>
    <w:rsid w:val="003B2756"/>
    <w:pPr>
      <w:spacing w:after="0" w:line="240" w:lineRule="auto"/>
    </w:pPr>
    <w:rPr>
      <w:rFonts w:ascii="Helvetica" w:hAnsi="Helvetica"/>
      <w:sz w:val="17"/>
    </w:rPr>
    <w:tblPr>
      <w:tblInd w:w="0" w:type="dxa"/>
      <w:tblBorders>
        <w:top w:val="single" w:sz="12" w:space="0" w:color="auto"/>
        <w:bottom w:val="single" w:sz="12" w:space="0" w:color="auto"/>
      </w:tblBorders>
      <w:tblCellMar>
        <w:top w:w="0" w:type="dxa"/>
        <w:left w:w="108" w:type="dxa"/>
        <w:bottom w:w="0" w:type="dxa"/>
        <w:right w:w="108" w:type="dxa"/>
      </w:tblCellMar>
    </w:tblPr>
  </w:style>
  <w:style w:type="table" w:customStyle="1" w:styleId="DFATBox">
    <w:name w:val="DFAT Box"/>
    <w:basedOn w:val="TableNormal"/>
    <w:uiPriority w:val="99"/>
    <w:rsid w:val="00AA406C"/>
    <w:pPr>
      <w:spacing w:after="0" w:line="240" w:lineRule="auto"/>
    </w:pPr>
    <w:rPr>
      <w:rFonts w:ascii="Helvetica" w:hAnsi="Helvetica"/>
    </w:rPr>
    <w:tblPr>
      <w:tblInd w:w="0" w:type="dxa"/>
      <w:tblBorders>
        <w:top w:val="single" w:sz="4" w:space="0" w:color="auto"/>
        <w:left w:val="single" w:sz="4" w:space="0" w:color="auto"/>
        <w:bottom w:val="single" w:sz="4" w:space="0" w:color="auto"/>
        <w:right w:val="single" w:sz="4" w:space="0" w:color="auto"/>
      </w:tblBorders>
      <w:tblCellMar>
        <w:top w:w="0" w:type="dxa"/>
        <w:left w:w="108" w:type="dxa"/>
        <w:bottom w:w="0" w:type="dxa"/>
        <w:right w:w="108" w:type="dxa"/>
      </w:tblCellMar>
    </w:tblPr>
    <w:tcPr>
      <w:shd w:val="clear" w:color="auto" w:fill="C7D5E6"/>
    </w:tcPr>
  </w:style>
  <w:style w:type="paragraph" w:styleId="ListBullet">
    <w:name w:val="List Bullet"/>
    <w:basedOn w:val="BodyText"/>
    <w:qFormat/>
    <w:rsid w:val="00F93332"/>
    <w:pPr>
      <w:numPr>
        <w:numId w:val="11"/>
      </w:numPr>
      <w:tabs>
        <w:tab w:val="left" w:pos="284"/>
      </w:tabs>
      <w:spacing w:after="120"/>
    </w:pPr>
  </w:style>
  <w:style w:type="paragraph" w:styleId="ListBullet2">
    <w:name w:val="List Bullet 2"/>
    <w:basedOn w:val="ListBullet"/>
    <w:qFormat/>
    <w:rsid w:val="00F42F5E"/>
    <w:pPr>
      <w:numPr>
        <w:numId w:val="9"/>
      </w:numPr>
      <w:ind w:left="568" w:hanging="284"/>
    </w:pPr>
  </w:style>
  <w:style w:type="paragraph" w:styleId="ListNumber">
    <w:name w:val="List Number"/>
    <w:basedOn w:val="ListBullet"/>
    <w:qFormat/>
    <w:rsid w:val="00F93332"/>
    <w:pPr>
      <w:numPr>
        <w:numId w:val="14"/>
      </w:numPr>
      <w:ind w:left="284" w:hanging="284"/>
    </w:pPr>
  </w:style>
  <w:style w:type="paragraph" w:styleId="ListNumber2">
    <w:name w:val="List Number 2"/>
    <w:basedOn w:val="ListNumber"/>
    <w:qFormat/>
    <w:rsid w:val="007E3D71"/>
    <w:pPr>
      <w:numPr>
        <w:numId w:val="10"/>
      </w:numPr>
      <w:ind w:left="568" w:hanging="284"/>
    </w:pPr>
  </w:style>
  <w:style w:type="paragraph" w:styleId="BalloonText">
    <w:name w:val="Balloon Text"/>
    <w:basedOn w:val="Normal"/>
    <w:link w:val="BalloonTextChar"/>
    <w:semiHidden/>
    <w:unhideWhenUsed/>
    <w:rsid w:val="009E79EC"/>
    <w:rPr>
      <w:rFonts w:ascii="Franklin Gothic Book" w:hAnsi="Franklin Gothic Book" w:cs="Tahoma"/>
      <w:sz w:val="16"/>
      <w:szCs w:val="16"/>
    </w:rPr>
  </w:style>
  <w:style w:type="paragraph" w:styleId="Header">
    <w:name w:val="header"/>
    <w:basedOn w:val="Normal"/>
    <w:link w:val="HeaderChar"/>
    <w:uiPriority w:val="99"/>
    <w:unhideWhenUsed/>
    <w:rsid w:val="009E79EC"/>
    <w:pPr>
      <w:tabs>
        <w:tab w:val="center" w:pos="4513"/>
        <w:tab w:val="right" w:pos="9026"/>
      </w:tabs>
    </w:pPr>
  </w:style>
  <w:style w:type="paragraph" w:styleId="Date">
    <w:name w:val="Date"/>
    <w:basedOn w:val="Normal"/>
    <w:next w:val="Normal"/>
    <w:link w:val="DateChar"/>
    <w:unhideWhenUsed/>
    <w:qFormat/>
    <w:rsid w:val="009E79EC"/>
    <w:rPr>
      <w:rFonts w:ascii="Franklin Gothic Book" w:hAnsi="Franklin Gothic Book"/>
    </w:rPr>
  </w:style>
  <w:style w:type="character" w:styleId="PageNumber">
    <w:name w:val="page number"/>
    <w:semiHidden/>
    <w:rsid w:val="009E79EC"/>
    <w:rPr>
      <w:rFonts w:ascii="Helvetica" w:hAnsi="Helvetica"/>
      <w:color w:val="A8A5A8"/>
      <w:sz w:val="14"/>
      <w:szCs w:val="14"/>
    </w:rPr>
  </w:style>
  <w:style w:type="paragraph" w:styleId="TOC1">
    <w:name w:val="toc 1"/>
    <w:basedOn w:val="BodyText"/>
    <w:next w:val="BodyText"/>
    <w:semiHidden/>
    <w:rsid w:val="009E79EC"/>
    <w:pPr>
      <w:tabs>
        <w:tab w:val="left" w:pos="397"/>
        <w:tab w:val="right" w:pos="7938"/>
      </w:tabs>
      <w:spacing w:before="180" w:after="0"/>
      <w:ind w:left="397" w:right="567" w:hanging="397"/>
    </w:pPr>
    <w:rPr>
      <w:rFonts w:ascii="Helvetica" w:hAnsi="Helvetica"/>
      <w:color w:val="A8A5A8"/>
    </w:rPr>
  </w:style>
  <w:style w:type="paragraph" w:styleId="TOC2">
    <w:name w:val="toc 2"/>
    <w:basedOn w:val="TOC1"/>
    <w:next w:val="TOC1"/>
    <w:semiHidden/>
    <w:rsid w:val="009E79EC"/>
    <w:pPr>
      <w:spacing w:before="120" w:line="200" w:lineRule="atLeast"/>
      <w:ind w:left="0" w:firstLine="0"/>
    </w:pPr>
    <w:rPr>
      <w:color w:val="007FAD"/>
      <w:szCs w:val="21"/>
    </w:rPr>
  </w:style>
  <w:style w:type="character" w:customStyle="1" w:styleId="BalloonTextChar">
    <w:name w:val="Balloon Text Char"/>
    <w:basedOn w:val="DefaultParagraphFont"/>
    <w:link w:val="BalloonText"/>
    <w:semiHidden/>
    <w:rsid w:val="009E79EC"/>
    <w:rPr>
      <w:rFonts w:ascii="Franklin Gothic Book" w:eastAsia="SimSun" w:hAnsi="Franklin Gothic Book" w:cs="Tahoma"/>
      <w:sz w:val="16"/>
      <w:szCs w:val="16"/>
    </w:rPr>
  </w:style>
  <w:style w:type="paragraph" w:customStyle="1" w:styleId="BoxListBullet">
    <w:name w:val="Box List Bullet"/>
    <w:basedOn w:val="BoxText"/>
    <w:rsid w:val="00976FB3"/>
    <w:pPr>
      <w:keepLines/>
      <w:numPr>
        <w:numId w:val="5"/>
      </w:numPr>
      <w:spacing w:line="240" w:lineRule="auto"/>
      <w:ind w:left="284" w:hanging="284"/>
      <w:contextualSpacing/>
      <w:mirrorIndents/>
    </w:pPr>
  </w:style>
  <w:style w:type="paragraph" w:customStyle="1" w:styleId="BoxText">
    <w:name w:val="Box Text"/>
    <w:link w:val="BoxTextChar"/>
    <w:autoRedefine/>
    <w:rsid w:val="00FD1315"/>
    <w:pPr>
      <w:pBdr>
        <w:top w:val="single" w:sz="4" w:space="10" w:color="auto"/>
        <w:left w:val="single" w:sz="4" w:space="10" w:color="auto"/>
        <w:bottom w:val="single" w:sz="4" w:space="10" w:color="auto"/>
        <w:right w:val="single" w:sz="4" w:space="10" w:color="auto"/>
      </w:pBdr>
      <w:shd w:val="clear" w:color="auto" w:fill="C7D5E6"/>
      <w:spacing w:after="120" w:line="280" w:lineRule="exact"/>
    </w:pPr>
    <w:rPr>
      <w:rFonts w:ascii="Franklin Gothic Book" w:eastAsia="Times New Roman" w:hAnsi="Franklin Gothic Book" w:cs="Times New Roman"/>
      <w:iCs/>
      <w:sz w:val="20"/>
      <w:szCs w:val="20"/>
    </w:rPr>
  </w:style>
  <w:style w:type="character" w:customStyle="1" w:styleId="BoxTextChar">
    <w:name w:val="Box Text Char"/>
    <w:link w:val="BoxText"/>
    <w:rsid w:val="00FD1315"/>
    <w:rPr>
      <w:rFonts w:ascii="Franklin Gothic Book" w:eastAsia="Times New Roman" w:hAnsi="Franklin Gothic Book" w:cs="Times New Roman"/>
      <w:iCs/>
      <w:sz w:val="20"/>
      <w:szCs w:val="20"/>
      <w:shd w:val="clear" w:color="auto" w:fill="C7D5E6"/>
    </w:rPr>
  </w:style>
  <w:style w:type="character" w:customStyle="1" w:styleId="HeaderChar">
    <w:name w:val="Header Char"/>
    <w:basedOn w:val="DefaultParagraphFont"/>
    <w:link w:val="Header"/>
    <w:uiPriority w:val="99"/>
    <w:rsid w:val="009E79EC"/>
    <w:rPr>
      <w:rFonts w:ascii="Times New Roman" w:eastAsia="SimSun" w:hAnsi="Times New Roman" w:cs="Times New Roman"/>
      <w:sz w:val="20"/>
      <w:szCs w:val="24"/>
    </w:rPr>
  </w:style>
  <w:style w:type="paragraph" w:customStyle="1" w:styleId="BoxHeading1">
    <w:name w:val="Box Heading 1"/>
    <w:basedOn w:val="BoxText"/>
    <w:next w:val="BoxText"/>
    <w:rsid w:val="0016740F"/>
    <w:pPr>
      <w:spacing w:before="120" w:line="240" w:lineRule="auto"/>
    </w:pPr>
    <w:rPr>
      <w:b/>
      <w:color w:val="000000"/>
    </w:rPr>
  </w:style>
  <w:style w:type="paragraph" w:customStyle="1" w:styleId="BoxHeading2">
    <w:name w:val="Box Heading 2"/>
    <w:basedOn w:val="BoxHeading1"/>
    <w:next w:val="BoxText"/>
    <w:rsid w:val="0016740F"/>
    <w:rPr>
      <w:i/>
      <w:color w:val="auto"/>
    </w:rPr>
  </w:style>
  <w:style w:type="paragraph" w:customStyle="1" w:styleId="TableListBullet">
    <w:name w:val="Table List Bullet"/>
    <w:basedOn w:val="TableTextEntries"/>
    <w:rsid w:val="00235D29"/>
    <w:pPr>
      <w:numPr>
        <w:numId w:val="7"/>
      </w:numPr>
      <w:ind w:left="284" w:hanging="284"/>
    </w:pPr>
    <w:rPr>
      <w:rFonts w:ascii="Helvetica" w:hAnsi="Helvetica"/>
    </w:rPr>
  </w:style>
  <w:style w:type="paragraph" w:styleId="TOC3">
    <w:name w:val="toc 3"/>
    <w:basedOn w:val="TOC2"/>
    <w:next w:val="BodyText"/>
    <w:semiHidden/>
    <w:rsid w:val="009E79EC"/>
    <w:pPr>
      <w:tabs>
        <w:tab w:val="clear" w:pos="397"/>
      </w:tabs>
      <w:spacing w:before="40" w:line="230" w:lineRule="atLeast"/>
      <w:ind w:left="567" w:hanging="567"/>
    </w:pPr>
    <w:rPr>
      <w:color w:val="auto"/>
      <w:sz w:val="19"/>
      <w:szCs w:val="19"/>
    </w:rPr>
  </w:style>
  <w:style w:type="paragraph" w:styleId="CommentText">
    <w:name w:val="annotation text"/>
    <w:basedOn w:val="BodyText"/>
    <w:link w:val="CommentTextChar"/>
    <w:semiHidden/>
    <w:rsid w:val="009E79EC"/>
    <w:pPr>
      <w:spacing w:line="240" w:lineRule="atLeast"/>
    </w:pPr>
    <w:rPr>
      <w:sz w:val="18"/>
      <w:szCs w:val="18"/>
    </w:rPr>
  </w:style>
  <w:style w:type="character" w:customStyle="1" w:styleId="CommentTextChar">
    <w:name w:val="Comment Text Char"/>
    <w:basedOn w:val="DefaultParagraphFont"/>
    <w:link w:val="CommentText"/>
    <w:semiHidden/>
    <w:rsid w:val="009E79EC"/>
    <w:rPr>
      <w:rFonts w:ascii="Franklin Gothic Book" w:eastAsia="Times New Roman" w:hAnsi="Franklin Gothic Book" w:cs="Times New Roman"/>
      <w:sz w:val="18"/>
      <w:szCs w:val="18"/>
    </w:rPr>
  </w:style>
  <w:style w:type="character" w:styleId="Hyperlink">
    <w:name w:val="Hyperlink"/>
    <w:rsid w:val="0050529F"/>
    <w:rPr>
      <w:color w:val="00467F"/>
      <w:sz w:val="20"/>
      <w:szCs w:val="20"/>
      <w:u w:val="none"/>
    </w:rPr>
  </w:style>
  <w:style w:type="paragraph" w:customStyle="1" w:styleId="TableHeading1">
    <w:name w:val="Table Heading 1"/>
    <w:basedOn w:val="TableTextEntries"/>
    <w:next w:val="TableTextEntries"/>
    <w:rsid w:val="00D6213A"/>
    <w:pPr>
      <w:spacing w:before="80" w:after="80"/>
    </w:pPr>
    <w:rPr>
      <w:b/>
    </w:rPr>
  </w:style>
  <w:style w:type="paragraph" w:customStyle="1" w:styleId="TableHeading2">
    <w:name w:val="Table Heading 2"/>
    <w:basedOn w:val="TableHeading1"/>
    <w:next w:val="TableTextEntries"/>
    <w:rsid w:val="00235D29"/>
    <w:pPr>
      <w:spacing w:before="40" w:after="40"/>
    </w:pPr>
    <w:rPr>
      <w:i/>
    </w:rPr>
  </w:style>
  <w:style w:type="paragraph" w:customStyle="1" w:styleId="TableListBullet2">
    <w:name w:val="Table List Bullet 2"/>
    <w:basedOn w:val="TableListBullet"/>
    <w:link w:val="TableListBullet2Char"/>
    <w:rsid w:val="00235D29"/>
    <w:pPr>
      <w:numPr>
        <w:numId w:val="8"/>
      </w:numPr>
      <w:ind w:left="568" w:hanging="284"/>
    </w:pPr>
  </w:style>
  <w:style w:type="character" w:customStyle="1" w:styleId="TableListBullet2Char">
    <w:name w:val="Table List Bullet 2 Char"/>
    <w:link w:val="TableListBullet2"/>
    <w:rsid w:val="00235D29"/>
    <w:rPr>
      <w:rFonts w:ascii="Helvetica" w:eastAsia="Times New Roman" w:hAnsi="Helvetica" w:cs="Times New Roman"/>
      <w:iCs/>
      <w:sz w:val="17"/>
      <w:szCs w:val="17"/>
      <w:lang w:eastAsia="en-US"/>
    </w:rPr>
  </w:style>
  <w:style w:type="paragraph" w:customStyle="1" w:styleId="TableListNumber">
    <w:name w:val="Table List Number"/>
    <w:basedOn w:val="TableTextEntries"/>
    <w:rsid w:val="00235D29"/>
    <w:pPr>
      <w:numPr>
        <w:numId w:val="2"/>
      </w:numPr>
      <w:ind w:left="284" w:hanging="284"/>
    </w:pPr>
    <w:rPr>
      <w:rFonts w:ascii="Helvetica" w:hAnsi="Helvetica"/>
    </w:rPr>
  </w:style>
  <w:style w:type="paragraph" w:customStyle="1" w:styleId="TableListNumber2">
    <w:name w:val="Table List Number 2"/>
    <w:basedOn w:val="TableListNumber"/>
    <w:rsid w:val="00235D29"/>
    <w:pPr>
      <w:numPr>
        <w:numId w:val="3"/>
      </w:numPr>
      <w:ind w:left="568" w:hanging="284"/>
    </w:pPr>
  </w:style>
  <w:style w:type="character" w:styleId="FollowedHyperlink">
    <w:name w:val="FollowedHyperlink"/>
    <w:semiHidden/>
    <w:rsid w:val="0050529F"/>
    <w:rPr>
      <w:color w:val="333399"/>
      <w:u w:val="none"/>
    </w:rPr>
  </w:style>
  <w:style w:type="paragraph" w:customStyle="1" w:styleId="BoxListBullet2">
    <w:name w:val="Box List Bullet 2"/>
    <w:basedOn w:val="BoxText"/>
    <w:rsid w:val="00BD7695"/>
    <w:pPr>
      <w:keepLines/>
      <w:numPr>
        <w:numId w:val="4"/>
      </w:numPr>
      <w:tabs>
        <w:tab w:val="left" w:pos="284"/>
        <w:tab w:val="left" w:pos="851"/>
      </w:tabs>
      <w:spacing w:line="240" w:lineRule="auto"/>
      <w:ind w:left="284" w:hanging="284"/>
      <w:contextualSpacing/>
      <w:mirrorIndents/>
    </w:pPr>
    <w:rPr>
      <w:szCs w:val="18"/>
    </w:rPr>
  </w:style>
  <w:style w:type="paragraph" w:customStyle="1" w:styleId="BoxListNumber">
    <w:name w:val="Box List Number"/>
    <w:basedOn w:val="BoxListBullet"/>
    <w:rsid w:val="00BD7695"/>
    <w:pPr>
      <w:numPr>
        <w:numId w:val="6"/>
      </w:numPr>
      <w:tabs>
        <w:tab w:val="left" w:pos="284"/>
      </w:tabs>
      <w:ind w:left="568"/>
    </w:pPr>
  </w:style>
  <w:style w:type="paragraph" w:customStyle="1" w:styleId="BoxListNumber2">
    <w:name w:val="Box List Number 2"/>
    <w:basedOn w:val="BoxListNumber"/>
    <w:rsid w:val="00BD7695"/>
    <w:pPr>
      <w:numPr>
        <w:numId w:val="16"/>
      </w:numPr>
      <w:tabs>
        <w:tab w:val="left" w:pos="284"/>
      </w:tabs>
      <w:ind w:left="284" w:hanging="284"/>
    </w:pPr>
    <w:rPr>
      <w:szCs w:val="22"/>
    </w:rPr>
  </w:style>
  <w:style w:type="paragraph" w:customStyle="1" w:styleId="BoxNoteSource">
    <w:name w:val="Box Note/Source"/>
    <w:basedOn w:val="BoxText"/>
    <w:rsid w:val="00701FEA"/>
    <w:pPr>
      <w:spacing w:before="100" w:after="100" w:line="180" w:lineRule="atLeast"/>
    </w:pPr>
    <w:rPr>
      <w:sz w:val="14"/>
      <w:szCs w:val="14"/>
    </w:rPr>
  </w:style>
  <w:style w:type="paragraph" w:customStyle="1" w:styleId="BoxQuote">
    <w:name w:val="Box Quote"/>
    <w:basedOn w:val="BoxText"/>
    <w:next w:val="BoxText"/>
    <w:rsid w:val="0050529F"/>
    <w:pPr>
      <w:spacing w:line="240" w:lineRule="atLeast"/>
      <w:ind w:left="284"/>
    </w:pPr>
    <w:rPr>
      <w:sz w:val="16"/>
      <w:szCs w:val="16"/>
    </w:rPr>
  </w:style>
  <w:style w:type="paragraph" w:customStyle="1" w:styleId="Photocaption">
    <w:name w:val="Photo caption"/>
    <w:basedOn w:val="Normal"/>
    <w:next w:val="BodyText"/>
    <w:semiHidden/>
    <w:rsid w:val="009E79EC"/>
    <w:pPr>
      <w:spacing w:before="140" w:after="240" w:line="180" w:lineRule="exact"/>
    </w:pPr>
    <w:rPr>
      <w:rFonts w:ascii="Franklin Gothic Book" w:eastAsia="Times New Roman" w:hAnsi="Franklin Gothic Book"/>
      <w:color w:val="A8A5A8"/>
      <w:sz w:val="14"/>
      <w:szCs w:val="14"/>
    </w:rPr>
  </w:style>
  <w:style w:type="table" w:styleId="TableGrid">
    <w:name w:val="Table Grid"/>
    <w:basedOn w:val="TableNormal"/>
    <w:uiPriority w:val="59"/>
    <w:rsid w:val="0050529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2-Accent2">
    <w:name w:val="Medium Grid 2 Accent 2"/>
    <w:basedOn w:val="TableNormal"/>
    <w:uiPriority w:val="68"/>
    <w:rsid w:val="0050529F"/>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LightShading">
    <w:name w:val="Light Shading"/>
    <w:basedOn w:val="TableNormal"/>
    <w:uiPriority w:val="60"/>
    <w:rsid w:val="00706DE1"/>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Shading2-Accent5">
    <w:name w:val="Medium Shading 2 Accent 5"/>
    <w:basedOn w:val="TableNormal"/>
    <w:uiPriority w:val="64"/>
    <w:rsid w:val="00706DE1"/>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Shading-Accent1">
    <w:name w:val="Light Shading Accent 1"/>
    <w:basedOn w:val="TableNormal"/>
    <w:uiPriority w:val="60"/>
    <w:rsid w:val="00706DE1"/>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Revision">
    <w:name w:val="Revision"/>
    <w:hidden/>
    <w:uiPriority w:val="71"/>
    <w:rsid w:val="00F53655"/>
    <w:pPr>
      <w:spacing w:after="0" w:line="240" w:lineRule="auto"/>
    </w:pPr>
    <w:rPr>
      <w:rFonts w:ascii="Times New Roman" w:eastAsia="Times New Roman" w:hAnsi="Times New Roman" w:cs="Times New Roman"/>
      <w:sz w:val="20"/>
      <w:szCs w:val="24"/>
    </w:rPr>
  </w:style>
  <w:style w:type="paragraph" w:styleId="ListNumber3">
    <w:name w:val="List Number 3"/>
    <w:basedOn w:val="ListNumber2"/>
    <w:rsid w:val="007E3D71"/>
    <w:pPr>
      <w:numPr>
        <w:numId w:val="12"/>
      </w:numPr>
      <w:ind w:left="851" w:hanging="284"/>
    </w:pPr>
  </w:style>
  <w:style w:type="paragraph" w:styleId="EndnoteText">
    <w:name w:val="endnote text"/>
    <w:basedOn w:val="Normal"/>
    <w:link w:val="EndnoteTextChar"/>
    <w:rsid w:val="009E79EC"/>
    <w:rPr>
      <w:rFonts w:ascii="Franklin Gothic Book" w:eastAsia="Times New Roman" w:hAnsi="Franklin Gothic Book"/>
      <w:sz w:val="21"/>
      <w:szCs w:val="20"/>
    </w:rPr>
  </w:style>
  <w:style w:type="character" w:customStyle="1" w:styleId="EndnoteTextChar">
    <w:name w:val="Endnote Text Char"/>
    <w:basedOn w:val="DefaultParagraphFont"/>
    <w:link w:val="EndnoteText"/>
    <w:rsid w:val="009E79EC"/>
    <w:rPr>
      <w:rFonts w:ascii="Franklin Gothic Book" w:eastAsia="Times New Roman" w:hAnsi="Franklin Gothic Book" w:cs="Times New Roman"/>
      <w:sz w:val="21"/>
      <w:szCs w:val="20"/>
    </w:rPr>
  </w:style>
  <w:style w:type="character" w:styleId="EndnoteReference">
    <w:name w:val="endnote reference"/>
    <w:rsid w:val="009E79EC"/>
    <w:rPr>
      <w:rFonts w:ascii="Franklin Gothic Book" w:hAnsi="Franklin Gothic Book"/>
      <w:sz w:val="21"/>
      <w:vertAlign w:val="superscript"/>
    </w:rPr>
  </w:style>
  <w:style w:type="numbering" w:customStyle="1" w:styleId="StyleBulletedSymbolsymbol95ptLeft063cmHanging">
    <w:name w:val="Style Bulleted Symbol (symbol) 9.5 pt Left:  0.63 cm Hanging:  ..."/>
    <w:basedOn w:val="NoList"/>
    <w:rsid w:val="002A1935"/>
    <w:pPr>
      <w:numPr>
        <w:numId w:val="13"/>
      </w:numPr>
    </w:pPr>
  </w:style>
  <w:style w:type="character" w:customStyle="1" w:styleId="CaptionChar">
    <w:name w:val="Caption Char"/>
    <w:link w:val="Caption"/>
    <w:uiPriority w:val="99"/>
    <w:locked/>
    <w:rsid w:val="001171DE"/>
    <w:rPr>
      <w:rFonts w:ascii="Franklin Gothic Book" w:eastAsia="Times New Roman" w:hAnsi="Franklin Gothic Book" w:cs="Arial"/>
      <w:sz w:val="20"/>
      <w:szCs w:val="19"/>
    </w:rPr>
  </w:style>
  <w:style w:type="paragraph" w:styleId="FootnoteText">
    <w:name w:val="footnote text"/>
    <w:basedOn w:val="BodyText"/>
    <w:link w:val="FootnoteTextChar"/>
    <w:unhideWhenUsed/>
    <w:qFormat/>
    <w:rsid w:val="00DA7CB8"/>
    <w:pPr>
      <w:spacing w:after="0"/>
      <w:contextualSpacing/>
    </w:pPr>
    <w:rPr>
      <w:sz w:val="16"/>
      <w:szCs w:val="20"/>
    </w:rPr>
  </w:style>
  <w:style w:type="character" w:customStyle="1" w:styleId="FootnoteTextChar">
    <w:name w:val="Footnote Text Char"/>
    <w:basedOn w:val="DefaultParagraphFont"/>
    <w:link w:val="FootnoteText"/>
    <w:rsid w:val="00DA7CB8"/>
    <w:rPr>
      <w:rFonts w:ascii="Times New Roman" w:eastAsia="Times New Roman" w:hAnsi="Times New Roman" w:cs="Times New Roman"/>
      <w:sz w:val="16"/>
      <w:szCs w:val="20"/>
    </w:rPr>
  </w:style>
  <w:style w:type="character" w:styleId="FootnoteReference">
    <w:name w:val="footnote reference"/>
    <w:rsid w:val="003B2756"/>
    <w:rPr>
      <w:rFonts w:ascii="Times New Roman" w:hAnsi="Times New Roman"/>
      <w:w w:val="100"/>
      <w:position w:val="6"/>
      <w:sz w:val="16"/>
      <w:szCs w:val="12"/>
      <w:vertAlign w:val="baseline"/>
    </w:rPr>
  </w:style>
  <w:style w:type="paragraph" w:styleId="NormalWeb">
    <w:name w:val="Normal (Web)"/>
    <w:basedOn w:val="Normal"/>
    <w:uiPriority w:val="99"/>
    <w:semiHidden/>
    <w:unhideWhenUsed/>
    <w:rsid w:val="00AB0987"/>
    <w:pPr>
      <w:spacing w:before="100" w:beforeAutospacing="1" w:after="100" w:afterAutospacing="1"/>
    </w:pPr>
    <w:rPr>
      <w:rFonts w:eastAsia="Times New Roman"/>
      <w:sz w:val="24"/>
    </w:rPr>
  </w:style>
  <w:style w:type="table" w:styleId="LightShading-Accent3">
    <w:name w:val="Light Shading Accent 3"/>
    <w:basedOn w:val="TableNormal"/>
    <w:uiPriority w:val="60"/>
    <w:rsid w:val="00F02F28"/>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CommentReference">
    <w:name w:val="annotation reference"/>
    <w:basedOn w:val="DefaultParagraphFont"/>
    <w:semiHidden/>
    <w:unhideWhenUsed/>
    <w:rsid w:val="009E79EC"/>
    <w:rPr>
      <w:rFonts w:ascii="Franklin Gothic Book" w:hAnsi="Franklin Gothic Book"/>
      <w:sz w:val="16"/>
      <w:szCs w:val="16"/>
    </w:rPr>
  </w:style>
  <w:style w:type="paragraph" w:styleId="CommentSubject">
    <w:name w:val="annotation subject"/>
    <w:basedOn w:val="CommentText"/>
    <w:next w:val="CommentText"/>
    <w:link w:val="CommentSubjectChar"/>
    <w:unhideWhenUsed/>
    <w:rsid w:val="009E79EC"/>
    <w:pPr>
      <w:spacing w:after="0" w:line="240" w:lineRule="auto"/>
    </w:pPr>
    <w:rPr>
      <w:rFonts w:eastAsia="SimSun"/>
      <w:b/>
      <w:bCs/>
      <w:sz w:val="20"/>
      <w:szCs w:val="20"/>
    </w:rPr>
  </w:style>
  <w:style w:type="character" w:customStyle="1" w:styleId="CommentSubjectChar">
    <w:name w:val="Comment Subject Char"/>
    <w:basedOn w:val="CommentTextChar"/>
    <w:link w:val="CommentSubject"/>
    <w:rsid w:val="009E79EC"/>
    <w:rPr>
      <w:rFonts w:ascii="Franklin Gothic Book" w:eastAsia="SimSun" w:hAnsi="Franklin Gothic Book" w:cs="Times New Roman"/>
      <w:b/>
      <w:bCs/>
      <w:sz w:val="20"/>
      <w:szCs w:val="20"/>
    </w:rPr>
  </w:style>
  <w:style w:type="character" w:customStyle="1" w:styleId="DateChar">
    <w:name w:val="Date Char"/>
    <w:basedOn w:val="DefaultParagraphFont"/>
    <w:link w:val="Date"/>
    <w:rsid w:val="009E79EC"/>
    <w:rPr>
      <w:rFonts w:ascii="Franklin Gothic Book" w:eastAsia="SimSun" w:hAnsi="Franklin Gothic Book" w:cs="Times New Roman"/>
      <w:sz w:val="20"/>
      <w:szCs w:val="24"/>
    </w:rPr>
  </w:style>
  <w:style w:type="paragraph" w:customStyle="1" w:styleId="GuidanceText">
    <w:name w:val="Guidance Text"/>
    <w:basedOn w:val="BodyText"/>
    <w:rsid w:val="00C85FF6"/>
    <w:pPr>
      <w:spacing w:before="60" w:after="60" w:line="240" w:lineRule="atLeast"/>
    </w:pPr>
    <w:rPr>
      <w:rFonts w:ascii="Calibri" w:hAnsi="Calibri"/>
      <w:color w:val="0000FF"/>
      <w:sz w:val="20"/>
      <w:szCs w:val="20"/>
    </w:rPr>
  </w:style>
  <w:style w:type="paragraph" w:customStyle="1" w:styleId="List-bullet-1">
    <w:name w:val="List-bullet-1"/>
    <w:basedOn w:val="Normal"/>
    <w:link w:val="List-bullet-1Char"/>
    <w:rsid w:val="00FD7BD8"/>
    <w:pPr>
      <w:numPr>
        <w:numId w:val="17"/>
      </w:numPr>
      <w:spacing w:before="120"/>
    </w:pPr>
    <w:rPr>
      <w:rFonts w:ascii="Arial" w:eastAsia="Times New Roman" w:hAnsi="Arial" w:cs="Arial"/>
      <w:szCs w:val="22"/>
      <w:lang w:eastAsia="en-US"/>
    </w:rPr>
  </w:style>
  <w:style w:type="character" w:customStyle="1" w:styleId="List-bullet-1Char">
    <w:name w:val="List-bullet-1 Char"/>
    <w:link w:val="List-bullet-1"/>
    <w:rsid w:val="00FD7BD8"/>
    <w:rPr>
      <w:rFonts w:ascii="Arial" w:eastAsia="Times New Roman" w:hAnsi="Arial" w:cs="Arial"/>
      <w:sz w:val="20"/>
      <w:lang w:eastAsia="en-US"/>
    </w:rPr>
  </w:style>
  <w:style w:type="paragraph" w:styleId="ListParagraph">
    <w:name w:val="List Paragraph"/>
    <w:aliases w:val="List Paragraph1,Recommendation,List Paragraph11,L,CV text,Table text,F5 List Paragraph,Dot pt,List Paragraph111,Medium Grid 1 - Accent 21,Numbered Paragraph,List Paragraph2,Bulleted Para,NFP GP Bulleted List,FooterText,numbered,列出段落,列出段落1"/>
    <w:basedOn w:val="BodyText"/>
    <w:link w:val="ListParagraphChar"/>
    <w:qFormat/>
    <w:rsid w:val="00FD7BD8"/>
    <w:pPr>
      <w:numPr>
        <w:numId w:val="18"/>
      </w:numPr>
      <w:tabs>
        <w:tab w:val="num" w:pos="360"/>
      </w:tabs>
      <w:spacing w:after="120" w:line="240" w:lineRule="auto"/>
      <w:ind w:left="0" w:firstLine="0"/>
    </w:pPr>
    <w:rPr>
      <w:rFonts w:ascii="Times New Roman" w:hAnsi="Times New Roman"/>
      <w:sz w:val="22"/>
    </w:rPr>
  </w:style>
  <w:style w:type="table" w:customStyle="1" w:styleId="APPR">
    <w:name w:val="APPR"/>
    <w:basedOn w:val="TableNormal"/>
    <w:uiPriority w:val="99"/>
    <w:rsid w:val="002B1F66"/>
    <w:pPr>
      <w:spacing w:after="0" w:line="240" w:lineRule="auto"/>
    </w:pPr>
    <w:rPr>
      <w:rFonts w:ascii="Franklin Gothic Book" w:hAnsi="Franklin Gothic Book"/>
      <w:sz w:val="17"/>
    </w:rPr>
    <w:tblPr>
      <w:tblStyleRowBandSize w:val="1"/>
      <w:tblCellSpacing w:w="14" w:type="dxa"/>
      <w:tblInd w:w="0" w:type="dxa"/>
      <w:tblBorders>
        <w:top w:val="single" w:sz="12" w:space="0" w:color="000000" w:themeColor="text1"/>
        <w:bottom w:val="single" w:sz="12" w:space="0" w:color="000000" w:themeColor="text1"/>
      </w:tblBorders>
      <w:tblCellMar>
        <w:top w:w="0" w:type="dxa"/>
        <w:left w:w="108" w:type="dxa"/>
        <w:bottom w:w="0" w:type="dxa"/>
        <w:right w:w="108" w:type="dxa"/>
      </w:tblCellMar>
    </w:tblPr>
    <w:trPr>
      <w:tblHeader/>
      <w:tblCellSpacing w:w="14" w:type="dxa"/>
    </w:trPr>
    <w:tblStylePr w:type="firstRow">
      <w:pPr>
        <w:wordWrap/>
      </w:pPr>
      <w:rPr>
        <w:rFonts w:ascii="Franklin Gothic Medium" w:hAnsi="Franklin Gothic Medium"/>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character" w:customStyle="1" w:styleId="ListParagraphChar">
    <w:name w:val="List Paragraph Char"/>
    <w:aliases w:val="List Paragraph1 Char,Recommendation Char,List Paragraph11 Char,L Char,CV text Char,Table text Char,F5 List Paragraph Char,Dot pt Char,List Paragraph111 Char,Medium Grid 1 - Accent 21 Char,Numbered Paragraph Char,List Paragraph2 Char"/>
    <w:basedOn w:val="DefaultParagraphFont"/>
    <w:link w:val="ListParagraph"/>
    <w:locked/>
    <w:rsid w:val="00BB4DFD"/>
    <w:rPr>
      <w:rFonts w:ascii="Times New Roman" w:eastAsia="Times New Roman" w:hAnsi="Times New Roman" w:cs="Times New Roman"/>
      <w:szCs w:val="24"/>
    </w:rPr>
  </w:style>
  <w:style w:type="paragraph" w:customStyle="1" w:styleId="Default">
    <w:name w:val="Default"/>
    <w:rsid w:val="00BB4DFD"/>
    <w:pPr>
      <w:autoSpaceDE w:val="0"/>
      <w:autoSpaceDN w:val="0"/>
      <w:adjustRightInd w:val="0"/>
      <w:spacing w:after="0" w:line="240" w:lineRule="auto"/>
    </w:pPr>
    <w:rPr>
      <w:rFonts w:ascii="Garamond" w:hAnsi="Garamond" w:cs="Garamond"/>
      <w:color w:val="000000"/>
      <w:sz w:val="24"/>
      <w:szCs w:val="24"/>
    </w:rPr>
  </w:style>
  <w:style w:type="character" w:styleId="Emphasis">
    <w:name w:val="Emphasis"/>
    <w:basedOn w:val="DefaultParagraphFont"/>
    <w:uiPriority w:val="20"/>
    <w:qFormat/>
    <w:rsid w:val="0046458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lsdException w:name="heading 6" w:uiPriority="0"/>
    <w:lsdException w:name="heading 7" w:uiPriority="0"/>
    <w:lsdException w:name="heading 8" w:uiPriority="0"/>
    <w:lsdException w:name="heading 9" w:uiPriority="0"/>
    <w:lsdException w:name="toc 1" w:uiPriority="0"/>
    <w:lsdException w:name="toc 2" w:uiPriority="0"/>
    <w:lsdException w:name="toc 3" w:uiPriority="0"/>
    <w:lsdException w:name="toc 4" w:uiPriority="39"/>
    <w:lsdException w:name="toc 5" w:uiPriority="39"/>
    <w:lsdException w:name="toc 6" w:uiPriority="0"/>
    <w:lsdException w:name="toc 7" w:uiPriority="0"/>
    <w:lsdException w:name="toc 8" w:uiPriority="39"/>
    <w:lsdException w:name="toc 9" w:uiPriority="39"/>
    <w:lsdException w:name="footnote text" w:uiPriority="0" w:qFormat="1"/>
    <w:lsdException w:name="annotation text" w:uiPriority="0"/>
    <w:lsdException w:name="footer" w:uiPriority="0"/>
    <w:lsdException w:name="caption" w:qFormat="1"/>
    <w:lsdException w:name="table of figures"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Bullet" w:uiPriority="0" w:qFormat="1"/>
    <w:lsdException w:name="List Number" w:uiPriority="0" w:qFormat="1"/>
    <w:lsdException w:name="List Bullet 2" w:uiPriority="0" w:qFormat="1"/>
    <w:lsdException w:name="List Number 2" w:uiPriority="0" w:qFormat="1"/>
    <w:lsdException w:name="List Number 3" w:uiPriority="0"/>
    <w:lsdException w:name="Title" w:semiHidden="0" w:uiPriority="0" w:unhideWhenUsed="0" w:qFormat="1"/>
    <w:lsdException w:name="Default Paragraph Font" w:uiPriority="1"/>
    <w:lsdException w:name="Body Text" w:qFormat="1"/>
    <w:lsdException w:name="Subtitle" w:semiHidden="0" w:uiPriority="0" w:unhideWhenUsed="0" w:qFormat="1"/>
    <w:lsdException w:name="Date" w:uiPriority="0" w:qFormat="1"/>
    <w:lsdException w:name="Hyperlink" w:uiPriority="0"/>
    <w:lsdException w:name="FollowedHyperlink" w:uiPriority="0"/>
    <w:lsdException w:name="Strong" w:semiHidden="0" w:uiPriority="22" w:unhideWhenUsed="0"/>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0" w:unhideWhenUsed="0" w:qFormat="1"/>
    <w:lsdException w:name="Quote" w:semiHidden="0" w:uiPriority="0"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rsid w:val="000D151B"/>
    <w:pPr>
      <w:spacing w:after="0" w:line="240" w:lineRule="auto"/>
    </w:pPr>
    <w:rPr>
      <w:rFonts w:ascii="Times New Roman" w:eastAsia="SimSun" w:hAnsi="Times New Roman" w:cs="Times New Roman"/>
      <w:sz w:val="20"/>
      <w:szCs w:val="24"/>
    </w:rPr>
  </w:style>
  <w:style w:type="paragraph" w:styleId="Heading1">
    <w:name w:val="heading 1"/>
    <w:basedOn w:val="Title"/>
    <w:next w:val="BodyText"/>
    <w:link w:val="Heading1Char"/>
    <w:qFormat/>
    <w:rsid w:val="00F93332"/>
    <w:pPr>
      <w:keepNext/>
      <w:spacing w:before="480" w:after="120"/>
      <w:outlineLvl w:val="0"/>
    </w:pPr>
    <w:rPr>
      <w:rFonts w:cs="Arial"/>
      <w:sz w:val="28"/>
      <w:szCs w:val="28"/>
    </w:rPr>
  </w:style>
  <w:style w:type="paragraph" w:styleId="Heading2">
    <w:name w:val="heading 2"/>
    <w:basedOn w:val="Normal"/>
    <w:next w:val="BodyText"/>
    <w:link w:val="Heading2Char"/>
    <w:qFormat/>
    <w:rsid w:val="006D0BC5"/>
    <w:pPr>
      <w:keepNext/>
      <w:spacing w:before="360" w:after="120"/>
      <w:outlineLvl w:val="1"/>
    </w:pPr>
    <w:rPr>
      <w:rFonts w:ascii="Helvetica" w:eastAsia="Times New Roman" w:hAnsi="Helvetica" w:cs="Arial"/>
      <w:color w:val="007FAD"/>
      <w:kern w:val="28"/>
      <w:sz w:val="24"/>
      <w:szCs w:val="28"/>
    </w:rPr>
  </w:style>
  <w:style w:type="paragraph" w:styleId="Heading3">
    <w:name w:val="heading 3"/>
    <w:basedOn w:val="Heading2"/>
    <w:next w:val="BodyText"/>
    <w:link w:val="Heading3Char"/>
    <w:autoRedefine/>
    <w:qFormat/>
    <w:rsid w:val="006D0BC5"/>
    <w:pPr>
      <w:keepNext w:val="0"/>
      <w:numPr>
        <w:ilvl w:val="2"/>
      </w:numPr>
      <w:spacing w:before="240"/>
      <w:outlineLvl w:val="2"/>
    </w:pPr>
    <w:rPr>
      <w:b/>
      <w:color w:val="124486"/>
      <w:sz w:val="22"/>
      <w:szCs w:val="22"/>
      <w:lang w:eastAsia="zh-CN"/>
    </w:rPr>
  </w:style>
  <w:style w:type="paragraph" w:styleId="Heading4">
    <w:name w:val="heading 4"/>
    <w:basedOn w:val="Heading3"/>
    <w:next w:val="BodyText"/>
    <w:link w:val="Heading4Char"/>
    <w:qFormat/>
    <w:rsid w:val="009E79EC"/>
    <w:pPr>
      <w:numPr>
        <w:ilvl w:val="3"/>
        <w:numId w:val="1"/>
      </w:numPr>
      <w:spacing w:before="320" w:after="0"/>
      <w:outlineLvl w:val="3"/>
    </w:pPr>
    <w:rPr>
      <w:b w:val="0"/>
    </w:rPr>
  </w:style>
  <w:style w:type="paragraph" w:styleId="Heading5">
    <w:name w:val="heading 5"/>
    <w:basedOn w:val="BodyText"/>
    <w:next w:val="BodyText"/>
    <w:link w:val="Heading5Char"/>
    <w:rsid w:val="009E79EC"/>
    <w:pPr>
      <w:keepNext/>
      <w:numPr>
        <w:ilvl w:val="4"/>
        <w:numId w:val="1"/>
      </w:numPr>
      <w:spacing w:before="320" w:after="0"/>
      <w:outlineLvl w:val="4"/>
    </w:pPr>
    <w:rPr>
      <w:rFonts w:ascii="Helvetica" w:hAnsi="Helvetica"/>
      <w:b/>
      <w:color w:val="A8A5A8"/>
      <w:sz w:val="22"/>
    </w:rPr>
  </w:style>
  <w:style w:type="paragraph" w:styleId="Heading6">
    <w:name w:val="heading 6"/>
    <w:next w:val="BodyText"/>
    <w:link w:val="Heading6Char"/>
    <w:rsid w:val="009E79EC"/>
    <w:pPr>
      <w:spacing w:after="240" w:line="280" w:lineRule="atLeast"/>
      <w:outlineLvl w:val="5"/>
    </w:pPr>
    <w:rPr>
      <w:rFonts w:ascii="Franklin Gothic Book" w:eastAsia="Times New Roman" w:hAnsi="Franklin Gothic Book" w:cs="Times New Roman"/>
      <w:b/>
      <w:spacing w:val="-10"/>
      <w:kern w:val="28"/>
      <w:szCs w:val="19"/>
    </w:rPr>
  </w:style>
  <w:style w:type="paragraph" w:styleId="Heading7">
    <w:name w:val="heading 7"/>
    <w:basedOn w:val="Heading6"/>
    <w:next w:val="BodyText"/>
    <w:link w:val="Heading7Char"/>
    <w:rsid w:val="007E10A5"/>
    <w:pPr>
      <w:numPr>
        <w:ilvl w:val="6"/>
      </w:numPr>
      <w:outlineLvl w:val="6"/>
    </w:pPr>
  </w:style>
  <w:style w:type="paragraph" w:styleId="Heading8">
    <w:name w:val="heading 8"/>
    <w:basedOn w:val="Heading7"/>
    <w:next w:val="BodyText"/>
    <w:link w:val="Heading8Char"/>
    <w:rsid w:val="0050529F"/>
    <w:pPr>
      <w:numPr>
        <w:ilvl w:val="7"/>
      </w:numPr>
      <w:outlineLvl w:val="7"/>
    </w:pPr>
  </w:style>
  <w:style w:type="paragraph" w:styleId="Heading9">
    <w:name w:val="heading 9"/>
    <w:basedOn w:val="Heading8"/>
    <w:next w:val="BodyText"/>
    <w:link w:val="Heading9Char"/>
    <w:rsid w:val="0050529F"/>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93332"/>
    <w:rPr>
      <w:rFonts w:ascii="Helvetica" w:eastAsia="Times New Roman" w:hAnsi="Helvetica" w:cs="Arial"/>
      <w:color w:val="124486"/>
      <w:spacing w:val="-10"/>
      <w:kern w:val="28"/>
      <w:sz w:val="28"/>
      <w:szCs w:val="28"/>
    </w:rPr>
  </w:style>
  <w:style w:type="paragraph" w:styleId="BodyText">
    <w:name w:val="Body Text"/>
    <w:basedOn w:val="Normal"/>
    <w:link w:val="BodyTextChar"/>
    <w:uiPriority w:val="99"/>
    <w:qFormat/>
    <w:rsid w:val="00F93332"/>
    <w:pPr>
      <w:spacing w:after="160" w:line="280" w:lineRule="exact"/>
    </w:pPr>
    <w:rPr>
      <w:rFonts w:ascii="Franklin Gothic Book" w:eastAsia="Times New Roman" w:hAnsi="Franklin Gothic Book"/>
      <w:sz w:val="21"/>
    </w:rPr>
  </w:style>
  <w:style w:type="character" w:customStyle="1" w:styleId="BodyTextChar">
    <w:name w:val="Body Text Char"/>
    <w:basedOn w:val="DefaultParagraphFont"/>
    <w:link w:val="BodyText"/>
    <w:uiPriority w:val="99"/>
    <w:rsid w:val="00F93332"/>
    <w:rPr>
      <w:rFonts w:ascii="Franklin Gothic Book" w:eastAsia="Times New Roman" w:hAnsi="Franklin Gothic Book" w:cs="Times New Roman"/>
      <w:sz w:val="21"/>
      <w:szCs w:val="24"/>
    </w:rPr>
  </w:style>
  <w:style w:type="character" w:customStyle="1" w:styleId="Heading2Char">
    <w:name w:val="Heading 2 Char"/>
    <w:basedOn w:val="DefaultParagraphFont"/>
    <w:link w:val="Heading2"/>
    <w:rsid w:val="006D0BC5"/>
    <w:rPr>
      <w:rFonts w:ascii="Helvetica" w:eastAsia="Times New Roman" w:hAnsi="Helvetica" w:cs="Arial"/>
      <w:color w:val="007FAD"/>
      <w:kern w:val="28"/>
      <w:sz w:val="24"/>
      <w:szCs w:val="28"/>
    </w:rPr>
  </w:style>
  <w:style w:type="character" w:customStyle="1" w:styleId="Heading3Char">
    <w:name w:val="Heading 3 Char"/>
    <w:basedOn w:val="DefaultParagraphFont"/>
    <w:link w:val="Heading3"/>
    <w:rsid w:val="006D0BC5"/>
    <w:rPr>
      <w:rFonts w:ascii="Helvetica" w:eastAsia="Times New Roman" w:hAnsi="Helvetica" w:cs="Arial"/>
      <w:b/>
      <w:color w:val="124486"/>
      <w:kern w:val="28"/>
      <w:lang w:eastAsia="zh-CN"/>
    </w:rPr>
  </w:style>
  <w:style w:type="character" w:customStyle="1" w:styleId="Heading4Char">
    <w:name w:val="Heading 4 Char"/>
    <w:basedOn w:val="DefaultParagraphFont"/>
    <w:link w:val="Heading4"/>
    <w:rsid w:val="009E79EC"/>
    <w:rPr>
      <w:rFonts w:ascii="Helvetica" w:eastAsia="Times New Roman" w:hAnsi="Helvetica" w:cs="Arial"/>
      <w:color w:val="124486"/>
      <w:kern w:val="28"/>
      <w:lang w:eastAsia="zh-CN"/>
    </w:rPr>
  </w:style>
  <w:style w:type="character" w:customStyle="1" w:styleId="Heading5Char">
    <w:name w:val="Heading 5 Char"/>
    <w:basedOn w:val="DefaultParagraphFont"/>
    <w:link w:val="Heading5"/>
    <w:rsid w:val="009E79EC"/>
    <w:rPr>
      <w:rFonts w:ascii="Helvetica" w:eastAsia="Times New Roman" w:hAnsi="Helvetica" w:cs="Times New Roman"/>
      <w:b/>
      <w:color w:val="A8A5A8"/>
      <w:szCs w:val="24"/>
    </w:rPr>
  </w:style>
  <w:style w:type="character" w:customStyle="1" w:styleId="Heading6Char">
    <w:name w:val="Heading 6 Char"/>
    <w:basedOn w:val="DefaultParagraphFont"/>
    <w:link w:val="Heading6"/>
    <w:rsid w:val="009E79EC"/>
    <w:rPr>
      <w:rFonts w:ascii="Franklin Gothic Book" w:eastAsia="Times New Roman" w:hAnsi="Franklin Gothic Book" w:cs="Times New Roman"/>
      <w:b/>
      <w:spacing w:val="-10"/>
      <w:kern w:val="28"/>
      <w:szCs w:val="19"/>
    </w:rPr>
  </w:style>
  <w:style w:type="character" w:customStyle="1" w:styleId="Heading7Char">
    <w:name w:val="Heading 7 Char"/>
    <w:basedOn w:val="DefaultParagraphFont"/>
    <w:link w:val="Heading7"/>
    <w:rsid w:val="007E10A5"/>
    <w:rPr>
      <w:rFonts w:ascii="Times New Roman" w:eastAsia="Times New Roman" w:hAnsi="Times New Roman" w:cs="Times New Roman"/>
      <w:b/>
      <w:spacing w:val="-10"/>
      <w:kern w:val="28"/>
      <w:szCs w:val="19"/>
    </w:rPr>
  </w:style>
  <w:style w:type="character" w:customStyle="1" w:styleId="Heading8Char">
    <w:name w:val="Heading 8 Char"/>
    <w:basedOn w:val="DefaultParagraphFont"/>
    <w:link w:val="Heading8"/>
    <w:rsid w:val="007E10A5"/>
    <w:rPr>
      <w:rFonts w:ascii="Times New Roman" w:eastAsia="Times New Roman" w:hAnsi="Times New Roman" w:cs="Times New Roman"/>
      <w:b/>
      <w:spacing w:val="-10"/>
      <w:kern w:val="28"/>
      <w:szCs w:val="19"/>
    </w:rPr>
  </w:style>
  <w:style w:type="character" w:customStyle="1" w:styleId="Heading9Char">
    <w:name w:val="Heading 9 Char"/>
    <w:basedOn w:val="DefaultParagraphFont"/>
    <w:link w:val="Heading9"/>
    <w:rsid w:val="007E10A5"/>
    <w:rPr>
      <w:rFonts w:ascii="Times New Roman" w:eastAsia="Times New Roman" w:hAnsi="Times New Roman" w:cs="Times New Roman"/>
      <w:b/>
      <w:spacing w:val="-10"/>
      <w:kern w:val="28"/>
      <w:szCs w:val="19"/>
    </w:rPr>
  </w:style>
  <w:style w:type="paragraph" w:styleId="Subtitle">
    <w:name w:val="Subtitle"/>
    <w:basedOn w:val="Normal"/>
    <w:next w:val="Normal"/>
    <w:link w:val="SubtitleChar"/>
    <w:qFormat/>
    <w:rsid w:val="00E36A50"/>
    <w:pPr>
      <w:spacing w:before="120" w:after="360"/>
    </w:pPr>
    <w:rPr>
      <w:rFonts w:ascii="Helvetica" w:eastAsia="Times New Roman" w:hAnsi="Helvetica"/>
      <w:color w:val="007FAD"/>
      <w:spacing w:val="-10"/>
      <w:kern w:val="28"/>
      <w:sz w:val="28"/>
      <w:szCs w:val="28"/>
    </w:rPr>
  </w:style>
  <w:style w:type="paragraph" w:customStyle="1" w:styleId="PublicationDate">
    <w:name w:val="Publication Date"/>
    <w:next w:val="Heading1"/>
    <w:rsid w:val="00F93332"/>
    <w:pPr>
      <w:spacing w:after="360"/>
    </w:pPr>
    <w:rPr>
      <w:rFonts w:ascii="Helvetica" w:eastAsia="Times New Roman" w:hAnsi="Helvetica" w:cs="Times New Roman"/>
      <w:color w:val="A8A5A8"/>
      <w:spacing w:val="-10"/>
      <w:kern w:val="24"/>
      <w:sz w:val="24"/>
      <w:szCs w:val="28"/>
    </w:rPr>
  </w:style>
  <w:style w:type="character" w:customStyle="1" w:styleId="SubtitleChar">
    <w:name w:val="Subtitle Char"/>
    <w:basedOn w:val="DefaultParagraphFont"/>
    <w:link w:val="Subtitle"/>
    <w:rsid w:val="00E36A50"/>
    <w:rPr>
      <w:rFonts w:ascii="Helvetica" w:eastAsia="Times New Roman" w:hAnsi="Helvetica" w:cs="Times New Roman"/>
      <w:color w:val="007FAD"/>
      <w:spacing w:val="-10"/>
      <w:kern w:val="28"/>
      <w:sz w:val="28"/>
      <w:szCs w:val="28"/>
    </w:rPr>
  </w:style>
  <w:style w:type="paragraph" w:styleId="Footer">
    <w:name w:val="footer"/>
    <w:basedOn w:val="Normal"/>
    <w:link w:val="FooterChar"/>
    <w:unhideWhenUsed/>
    <w:rsid w:val="009E79EC"/>
    <w:pPr>
      <w:tabs>
        <w:tab w:val="right" w:pos="8222"/>
      </w:tabs>
    </w:pPr>
    <w:rPr>
      <w:rFonts w:ascii="Franklin Gothic Book" w:hAnsi="Franklin Gothic Book"/>
      <w:color w:val="A8A5A8"/>
      <w:sz w:val="14"/>
    </w:rPr>
  </w:style>
  <w:style w:type="paragraph" w:styleId="Title">
    <w:name w:val="Title"/>
    <w:basedOn w:val="Normal"/>
    <w:next w:val="Normal"/>
    <w:link w:val="TitleChar"/>
    <w:qFormat/>
    <w:rsid w:val="00AA406C"/>
    <w:pPr>
      <w:spacing w:before="120" w:after="240"/>
    </w:pPr>
    <w:rPr>
      <w:rFonts w:ascii="Helvetica" w:eastAsia="Times New Roman" w:hAnsi="Helvetica"/>
      <w:color w:val="007FAD"/>
      <w:spacing w:val="-10"/>
      <w:kern w:val="28"/>
      <w:sz w:val="40"/>
      <w:szCs w:val="20"/>
    </w:rPr>
  </w:style>
  <w:style w:type="character" w:customStyle="1" w:styleId="TitleChar">
    <w:name w:val="Title Char"/>
    <w:basedOn w:val="DefaultParagraphFont"/>
    <w:link w:val="Title"/>
    <w:rsid w:val="00AA406C"/>
    <w:rPr>
      <w:rFonts w:ascii="Helvetica" w:eastAsia="Times New Roman" w:hAnsi="Helvetica" w:cs="Times New Roman"/>
      <w:color w:val="007FAD"/>
      <w:spacing w:val="-10"/>
      <w:kern w:val="28"/>
      <w:sz w:val="40"/>
      <w:szCs w:val="20"/>
    </w:rPr>
  </w:style>
  <w:style w:type="character" w:customStyle="1" w:styleId="FooterChar">
    <w:name w:val="Footer Char"/>
    <w:basedOn w:val="DefaultParagraphFont"/>
    <w:link w:val="Footer"/>
    <w:rsid w:val="009E79EC"/>
    <w:rPr>
      <w:rFonts w:ascii="Franklin Gothic Book" w:eastAsia="SimSun" w:hAnsi="Franklin Gothic Book" w:cs="Times New Roman"/>
      <w:color w:val="A8A5A8"/>
      <w:sz w:val="14"/>
      <w:szCs w:val="24"/>
    </w:rPr>
  </w:style>
  <w:style w:type="paragraph" w:styleId="Caption">
    <w:name w:val="caption"/>
    <w:basedOn w:val="Normal"/>
    <w:next w:val="BodyText"/>
    <w:link w:val="CaptionChar"/>
    <w:autoRedefine/>
    <w:uiPriority w:val="99"/>
    <w:qFormat/>
    <w:rsid w:val="001171DE"/>
    <w:pPr>
      <w:keepNext/>
      <w:spacing w:before="80" w:after="80" w:line="280" w:lineRule="atLeast"/>
    </w:pPr>
    <w:rPr>
      <w:rFonts w:ascii="Franklin Gothic Book" w:eastAsia="Times New Roman" w:hAnsi="Franklin Gothic Book" w:cs="Arial"/>
      <w:szCs w:val="19"/>
    </w:rPr>
  </w:style>
  <w:style w:type="paragraph" w:customStyle="1" w:styleId="Note">
    <w:name w:val="Note"/>
    <w:basedOn w:val="TableTextEntries"/>
    <w:next w:val="BodyText"/>
    <w:link w:val="NoteCharChar"/>
    <w:autoRedefine/>
    <w:rsid w:val="006D0BC5"/>
    <w:pPr>
      <w:keepNext/>
      <w:spacing w:before="20" w:after="20" w:line="180" w:lineRule="atLeast"/>
      <w:jc w:val="both"/>
    </w:pPr>
    <w:rPr>
      <w:iCs w:val="0"/>
      <w:sz w:val="14"/>
      <w:szCs w:val="14"/>
      <w:lang w:eastAsia="en-AU"/>
    </w:rPr>
  </w:style>
  <w:style w:type="paragraph" w:customStyle="1" w:styleId="TableTextEntries">
    <w:name w:val="Table Text Entries"/>
    <w:uiPriority w:val="99"/>
    <w:rsid w:val="00B249B7"/>
    <w:pPr>
      <w:keepLines/>
      <w:spacing w:before="40" w:after="40" w:line="200" w:lineRule="atLeast"/>
    </w:pPr>
    <w:rPr>
      <w:rFonts w:ascii="Franklin Gothic Book" w:eastAsia="Times New Roman" w:hAnsi="Franklin Gothic Book" w:cs="Times New Roman"/>
      <w:iCs/>
      <w:sz w:val="17"/>
      <w:szCs w:val="17"/>
      <w:lang w:eastAsia="en-US"/>
    </w:rPr>
  </w:style>
  <w:style w:type="character" w:customStyle="1" w:styleId="NoteCharChar">
    <w:name w:val="Note Char Char"/>
    <w:link w:val="Note"/>
    <w:rsid w:val="006D0BC5"/>
    <w:rPr>
      <w:rFonts w:ascii="Franklin Gothic Book" w:eastAsia="Times New Roman" w:hAnsi="Franklin Gothic Book" w:cs="Times New Roman"/>
      <w:sz w:val="14"/>
      <w:szCs w:val="14"/>
    </w:rPr>
  </w:style>
  <w:style w:type="paragraph" w:customStyle="1" w:styleId="TableDataEntries">
    <w:name w:val="Table Data Entries"/>
    <w:basedOn w:val="TableTextEntries"/>
    <w:rsid w:val="0050529F"/>
    <w:pPr>
      <w:jc w:val="right"/>
    </w:pPr>
  </w:style>
  <w:style w:type="paragraph" w:customStyle="1" w:styleId="TableDataColumnHeading">
    <w:name w:val="Table Data Column Heading"/>
    <w:basedOn w:val="TableDataEntries"/>
    <w:rsid w:val="0050529F"/>
    <w:pPr>
      <w:spacing w:before="80" w:after="80"/>
    </w:pPr>
    <w:rPr>
      <w:rFonts w:ascii="Franklin Gothic Medium" w:hAnsi="Franklin Gothic Medium"/>
    </w:rPr>
  </w:style>
  <w:style w:type="paragraph" w:customStyle="1" w:styleId="TableTextColumnHeading">
    <w:name w:val="Table Text Column Heading"/>
    <w:basedOn w:val="TableDataColumnHeading"/>
    <w:autoRedefine/>
    <w:rsid w:val="0007395B"/>
    <w:pPr>
      <w:jc w:val="left"/>
    </w:pPr>
    <w:rPr>
      <w:b/>
    </w:rPr>
  </w:style>
  <w:style w:type="paragraph" w:styleId="ListBullet3">
    <w:name w:val="List Bullet 3"/>
    <w:basedOn w:val="ListBullet2"/>
    <w:uiPriority w:val="99"/>
    <w:unhideWhenUsed/>
    <w:rsid w:val="007E3D71"/>
    <w:pPr>
      <w:numPr>
        <w:numId w:val="15"/>
      </w:numPr>
      <w:tabs>
        <w:tab w:val="left" w:pos="567"/>
      </w:tabs>
      <w:ind w:left="851" w:hanging="284"/>
      <w:contextualSpacing/>
    </w:pPr>
  </w:style>
  <w:style w:type="table" w:customStyle="1" w:styleId="DFATTable">
    <w:name w:val="DFAT Table"/>
    <w:basedOn w:val="TableNormal"/>
    <w:uiPriority w:val="99"/>
    <w:rsid w:val="003B2756"/>
    <w:pPr>
      <w:spacing w:after="0" w:line="240" w:lineRule="auto"/>
    </w:pPr>
    <w:rPr>
      <w:rFonts w:ascii="Helvetica" w:hAnsi="Helvetica"/>
      <w:sz w:val="17"/>
    </w:rPr>
    <w:tblPr>
      <w:tblInd w:w="0" w:type="dxa"/>
      <w:tblBorders>
        <w:top w:val="single" w:sz="12" w:space="0" w:color="auto"/>
        <w:bottom w:val="single" w:sz="12" w:space="0" w:color="auto"/>
      </w:tblBorders>
      <w:tblCellMar>
        <w:top w:w="0" w:type="dxa"/>
        <w:left w:w="108" w:type="dxa"/>
        <w:bottom w:w="0" w:type="dxa"/>
        <w:right w:w="108" w:type="dxa"/>
      </w:tblCellMar>
    </w:tblPr>
  </w:style>
  <w:style w:type="table" w:customStyle="1" w:styleId="DFATBox">
    <w:name w:val="DFAT Box"/>
    <w:basedOn w:val="TableNormal"/>
    <w:uiPriority w:val="99"/>
    <w:rsid w:val="00AA406C"/>
    <w:pPr>
      <w:spacing w:after="0" w:line="240" w:lineRule="auto"/>
    </w:pPr>
    <w:rPr>
      <w:rFonts w:ascii="Helvetica" w:hAnsi="Helvetica"/>
    </w:rPr>
    <w:tblPr>
      <w:tblInd w:w="0" w:type="dxa"/>
      <w:tblBorders>
        <w:top w:val="single" w:sz="4" w:space="0" w:color="auto"/>
        <w:left w:val="single" w:sz="4" w:space="0" w:color="auto"/>
        <w:bottom w:val="single" w:sz="4" w:space="0" w:color="auto"/>
        <w:right w:val="single" w:sz="4" w:space="0" w:color="auto"/>
      </w:tblBorders>
      <w:tblCellMar>
        <w:top w:w="0" w:type="dxa"/>
        <w:left w:w="108" w:type="dxa"/>
        <w:bottom w:w="0" w:type="dxa"/>
        <w:right w:w="108" w:type="dxa"/>
      </w:tblCellMar>
    </w:tblPr>
    <w:tcPr>
      <w:shd w:val="clear" w:color="auto" w:fill="C7D5E6"/>
    </w:tcPr>
  </w:style>
  <w:style w:type="paragraph" w:styleId="ListBullet">
    <w:name w:val="List Bullet"/>
    <w:basedOn w:val="BodyText"/>
    <w:qFormat/>
    <w:rsid w:val="00F93332"/>
    <w:pPr>
      <w:numPr>
        <w:numId w:val="11"/>
      </w:numPr>
      <w:tabs>
        <w:tab w:val="left" w:pos="284"/>
      </w:tabs>
      <w:spacing w:after="120"/>
    </w:pPr>
  </w:style>
  <w:style w:type="paragraph" w:styleId="ListBullet2">
    <w:name w:val="List Bullet 2"/>
    <w:basedOn w:val="ListBullet"/>
    <w:qFormat/>
    <w:rsid w:val="00F42F5E"/>
    <w:pPr>
      <w:numPr>
        <w:numId w:val="9"/>
      </w:numPr>
      <w:ind w:left="568" w:hanging="284"/>
    </w:pPr>
  </w:style>
  <w:style w:type="paragraph" w:styleId="ListNumber">
    <w:name w:val="List Number"/>
    <w:basedOn w:val="ListBullet"/>
    <w:qFormat/>
    <w:rsid w:val="00F93332"/>
    <w:pPr>
      <w:numPr>
        <w:numId w:val="14"/>
      </w:numPr>
      <w:ind w:left="284" w:hanging="284"/>
    </w:pPr>
  </w:style>
  <w:style w:type="paragraph" w:styleId="ListNumber2">
    <w:name w:val="List Number 2"/>
    <w:basedOn w:val="ListNumber"/>
    <w:qFormat/>
    <w:rsid w:val="007E3D71"/>
    <w:pPr>
      <w:numPr>
        <w:numId w:val="10"/>
      </w:numPr>
      <w:ind w:left="568" w:hanging="284"/>
    </w:pPr>
  </w:style>
  <w:style w:type="paragraph" w:styleId="BalloonText">
    <w:name w:val="Balloon Text"/>
    <w:basedOn w:val="Normal"/>
    <w:link w:val="BalloonTextChar"/>
    <w:semiHidden/>
    <w:unhideWhenUsed/>
    <w:rsid w:val="009E79EC"/>
    <w:rPr>
      <w:rFonts w:ascii="Franklin Gothic Book" w:hAnsi="Franklin Gothic Book" w:cs="Tahoma"/>
      <w:sz w:val="16"/>
      <w:szCs w:val="16"/>
    </w:rPr>
  </w:style>
  <w:style w:type="paragraph" w:styleId="Header">
    <w:name w:val="header"/>
    <w:basedOn w:val="Normal"/>
    <w:link w:val="HeaderChar"/>
    <w:uiPriority w:val="99"/>
    <w:unhideWhenUsed/>
    <w:rsid w:val="009E79EC"/>
    <w:pPr>
      <w:tabs>
        <w:tab w:val="center" w:pos="4513"/>
        <w:tab w:val="right" w:pos="9026"/>
      </w:tabs>
    </w:pPr>
  </w:style>
  <w:style w:type="paragraph" w:styleId="Date">
    <w:name w:val="Date"/>
    <w:basedOn w:val="Normal"/>
    <w:next w:val="Normal"/>
    <w:link w:val="DateChar"/>
    <w:unhideWhenUsed/>
    <w:qFormat/>
    <w:rsid w:val="009E79EC"/>
    <w:rPr>
      <w:rFonts w:ascii="Franklin Gothic Book" w:hAnsi="Franklin Gothic Book"/>
    </w:rPr>
  </w:style>
  <w:style w:type="character" w:styleId="PageNumber">
    <w:name w:val="page number"/>
    <w:semiHidden/>
    <w:rsid w:val="009E79EC"/>
    <w:rPr>
      <w:rFonts w:ascii="Helvetica" w:hAnsi="Helvetica"/>
      <w:color w:val="A8A5A8"/>
      <w:sz w:val="14"/>
      <w:szCs w:val="14"/>
    </w:rPr>
  </w:style>
  <w:style w:type="paragraph" w:styleId="TOC1">
    <w:name w:val="toc 1"/>
    <w:basedOn w:val="BodyText"/>
    <w:next w:val="BodyText"/>
    <w:semiHidden/>
    <w:rsid w:val="009E79EC"/>
    <w:pPr>
      <w:tabs>
        <w:tab w:val="left" w:pos="397"/>
        <w:tab w:val="right" w:pos="7938"/>
      </w:tabs>
      <w:spacing w:before="180" w:after="0"/>
      <w:ind w:left="397" w:right="567" w:hanging="397"/>
    </w:pPr>
    <w:rPr>
      <w:rFonts w:ascii="Helvetica" w:hAnsi="Helvetica"/>
      <w:color w:val="A8A5A8"/>
    </w:rPr>
  </w:style>
  <w:style w:type="paragraph" w:styleId="TOC2">
    <w:name w:val="toc 2"/>
    <w:basedOn w:val="TOC1"/>
    <w:next w:val="TOC1"/>
    <w:semiHidden/>
    <w:rsid w:val="009E79EC"/>
    <w:pPr>
      <w:spacing w:before="120" w:line="200" w:lineRule="atLeast"/>
      <w:ind w:left="0" w:firstLine="0"/>
    </w:pPr>
    <w:rPr>
      <w:color w:val="007FAD"/>
      <w:szCs w:val="21"/>
    </w:rPr>
  </w:style>
  <w:style w:type="character" w:customStyle="1" w:styleId="BalloonTextChar">
    <w:name w:val="Balloon Text Char"/>
    <w:basedOn w:val="DefaultParagraphFont"/>
    <w:link w:val="BalloonText"/>
    <w:semiHidden/>
    <w:rsid w:val="009E79EC"/>
    <w:rPr>
      <w:rFonts w:ascii="Franklin Gothic Book" w:eastAsia="SimSun" w:hAnsi="Franklin Gothic Book" w:cs="Tahoma"/>
      <w:sz w:val="16"/>
      <w:szCs w:val="16"/>
    </w:rPr>
  </w:style>
  <w:style w:type="paragraph" w:customStyle="1" w:styleId="BoxListBullet">
    <w:name w:val="Box List Bullet"/>
    <w:basedOn w:val="BoxText"/>
    <w:rsid w:val="00976FB3"/>
    <w:pPr>
      <w:keepLines/>
      <w:numPr>
        <w:numId w:val="5"/>
      </w:numPr>
      <w:spacing w:line="240" w:lineRule="auto"/>
      <w:ind w:left="284" w:hanging="284"/>
      <w:contextualSpacing/>
      <w:mirrorIndents/>
    </w:pPr>
  </w:style>
  <w:style w:type="paragraph" w:customStyle="1" w:styleId="BoxText">
    <w:name w:val="Box Text"/>
    <w:link w:val="BoxTextChar"/>
    <w:autoRedefine/>
    <w:rsid w:val="00FD1315"/>
    <w:pPr>
      <w:pBdr>
        <w:top w:val="single" w:sz="4" w:space="10" w:color="auto"/>
        <w:left w:val="single" w:sz="4" w:space="10" w:color="auto"/>
        <w:bottom w:val="single" w:sz="4" w:space="10" w:color="auto"/>
        <w:right w:val="single" w:sz="4" w:space="10" w:color="auto"/>
      </w:pBdr>
      <w:shd w:val="clear" w:color="auto" w:fill="C7D5E6"/>
      <w:spacing w:after="120" w:line="280" w:lineRule="exact"/>
    </w:pPr>
    <w:rPr>
      <w:rFonts w:ascii="Franklin Gothic Book" w:eastAsia="Times New Roman" w:hAnsi="Franklin Gothic Book" w:cs="Times New Roman"/>
      <w:iCs/>
      <w:sz w:val="20"/>
      <w:szCs w:val="20"/>
    </w:rPr>
  </w:style>
  <w:style w:type="character" w:customStyle="1" w:styleId="BoxTextChar">
    <w:name w:val="Box Text Char"/>
    <w:link w:val="BoxText"/>
    <w:rsid w:val="00FD1315"/>
    <w:rPr>
      <w:rFonts w:ascii="Franklin Gothic Book" w:eastAsia="Times New Roman" w:hAnsi="Franklin Gothic Book" w:cs="Times New Roman"/>
      <w:iCs/>
      <w:sz w:val="20"/>
      <w:szCs w:val="20"/>
      <w:shd w:val="clear" w:color="auto" w:fill="C7D5E6"/>
    </w:rPr>
  </w:style>
  <w:style w:type="character" w:customStyle="1" w:styleId="HeaderChar">
    <w:name w:val="Header Char"/>
    <w:basedOn w:val="DefaultParagraphFont"/>
    <w:link w:val="Header"/>
    <w:uiPriority w:val="99"/>
    <w:rsid w:val="009E79EC"/>
    <w:rPr>
      <w:rFonts w:ascii="Times New Roman" w:eastAsia="SimSun" w:hAnsi="Times New Roman" w:cs="Times New Roman"/>
      <w:sz w:val="20"/>
      <w:szCs w:val="24"/>
    </w:rPr>
  </w:style>
  <w:style w:type="paragraph" w:customStyle="1" w:styleId="BoxHeading1">
    <w:name w:val="Box Heading 1"/>
    <w:basedOn w:val="BoxText"/>
    <w:next w:val="BoxText"/>
    <w:rsid w:val="0016740F"/>
    <w:pPr>
      <w:spacing w:before="120" w:line="240" w:lineRule="auto"/>
    </w:pPr>
    <w:rPr>
      <w:b/>
      <w:color w:val="000000"/>
    </w:rPr>
  </w:style>
  <w:style w:type="paragraph" w:customStyle="1" w:styleId="BoxHeading2">
    <w:name w:val="Box Heading 2"/>
    <w:basedOn w:val="BoxHeading1"/>
    <w:next w:val="BoxText"/>
    <w:rsid w:val="0016740F"/>
    <w:rPr>
      <w:i/>
      <w:color w:val="auto"/>
    </w:rPr>
  </w:style>
  <w:style w:type="paragraph" w:customStyle="1" w:styleId="TableListBullet">
    <w:name w:val="Table List Bullet"/>
    <w:basedOn w:val="TableTextEntries"/>
    <w:rsid w:val="00235D29"/>
    <w:pPr>
      <w:numPr>
        <w:numId w:val="7"/>
      </w:numPr>
      <w:ind w:left="284" w:hanging="284"/>
    </w:pPr>
    <w:rPr>
      <w:rFonts w:ascii="Helvetica" w:hAnsi="Helvetica"/>
    </w:rPr>
  </w:style>
  <w:style w:type="paragraph" w:styleId="TOC3">
    <w:name w:val="toc 3"/>
    <w:basedOn w:val="TOC2"/>
    <w:next w:val="BodyText"/>
    <w:semiHidden/>
    <w:rsid w:val="009E79EC"/>
    <w:pPr>
      <w:tabs>
        <w:tab w:val="clear" w:pos="397"/>
      </w:tabs>
      <w:spacing w:before="40" w:line="230" w:lineRule="atLeast"/>
      <w:ind w:left="567" w:hanging="567"/>
    </w:pPr>
    <w:rPr>
      <w:color w:val="auto"/>
      <w:sz w:val="19"/>
      <w:szCs w:val="19"/>
    </w:rPr>
  </w:style>
  <w:style w:type="paragraph" w:styleId="CommentText">
    <w:name w:val="annotation text"/>
    <w:basedOn w:val="BodyText"/>
    <w:link w:val="CommentTextChar"/>
    <w:semiHidden/>
    <w:rsid w:val="009E79EC"/>
    <w:pPr>
      <w:spacing w:line="240" w:lineRule="atLeast"/>
    </w:pPr>
    <w:rPr>
      <w:sz w:val="18"/>
      <w:szCs w:val="18"/>
    </w:rPr>
  </w:style>
  <w:style w:type="character" w:customStyle="1" w:styleId="CommentTextChar">
    <w:name w:val="Comment Text Char"/>
    <w:basedOn w:val="DefaultParagraphFont"/>
    <w:link w:val="CommentText"/>
    <w:semiHidden/>
    <w:rsid w:val="009E79EC"/>
    <w:rPr>
      <w:rFonts w:ascii="Franklin Gothic Book" w:eastAsia="Times New Roman" w:hAnsi="Franklin Gothic Book" w:cs="Times New Roman"/>
      <w:sz w:val="18"/>
      <w:szCs w:val="18"/>
    </w:rPr>
  </w:style>
  <w:style w:type="character" w:styleId="Hyperlink">
    <w:name w:val="Hyperlink"/>
    <w:rsid w:val="0050529F"/>
    <w:rPr>
      <w:color w:val="00467F"/>
      <w:sz w:val="20"/>
      <w:szCs w:val="20"/>
      <w:u w:val="none"/>
    </w:rPr>
  </w:style>
  <w:style w:type="paragraph" w:customStyle="1" w:styleId="TableHeading1">
    <w:name w:val="Table Heading 1"/>
    <w:basedOn w:val="TableTextEntries"/>
    <w:next w:val="TableTextEntries"/>
    <w:rsid w:val="00D6213A"/>
    <w:pPr>
      <w:spacing w:before="80" w:after="80"/>
    </w:pPr>
    <w:rPr>
      <w:b/>
    </w:rPr>
  </w:style>
  <w:style w:type="paragraph" w:customStyle="1" w:styleId="TableHeading2">
    <w:name w:val="Table Heading 2"/>
    <w:basedOn w:val="TableHeading1"/>
    <w:next w:val="TableTextEntries"/>
    <w:rsid w:val="00235D29"/>
    <w:pPr>
      <w:spacing w:before="40" w:after="40"/>
    </w:pPr>
    <w:rPr>
      <w:i/>
    </w:rPr>
  </w:style>
  <w:style w:type="paragraph" w:customStyle="1" w:styleId="TableListBullet2">
    <w:name w:val="Table List Bullet 2"/>
    <w:basedOn w:val="TableListBullet"/>
    <w:link w:val="TableListBullet2Char"/>
    <w:rsid w:val="00235D29"/>
    <w:pPr>
      <w:numPr>
        <w:numId w:val="8"/>
      </w:numPr>
      <w:ind w:left="568" w:hanging="284"/>
    </w:pPr>
  </w:style>
  <w:style w:type="character" w:customStyle="1" w:styleId="TableListBullet2Char">
    <w:name w:val="Table List Bullet 2 Char"/>
    <w:link w:val="TableListBullet2"/>
    <w:rsid w:val="00235D29"/>
    <w:rPr>
      <w:rFonts w:ascii="Helvetica" w:eastAsia="Times New Roman" w:hAnsi="Helvetica" w:cs="Times New Roman"/>
      <w:iCs/>
      <w:sz w:val="17"/>
      <w:szCs w:val="17"/>
      <w:lang w:eastAsia="en-US"/>
    </w:rPr>
  </w:style>
  <w:style w:type="paragraph" w:customStyle="1" w:styleId="TableListNumber">
    <w:name w:val="Table List Number"/>
    <w:basedOn w:val="TableTextEntries"/>
    <w:rsid w:val="00235D29"/>
    <w:pPr>
      <w:numPr>
        <w:numId w:val="2"/>
      </w:numPr>
      <w:ind w:left="284" w:hanging="284"/>
    </w:pPr>
    <w:rPr>
      <w:rFonts w:ascii="Helvetica" w:hAnsi="Helvetica"/>
    </w:rPr>
  </w:style>
  <w:style w:type="paragraph" w:customStyle="1" w:styleId="TableListNumber2">
    <w:name w:val="Table List Number 2"/>
    <w:basedOn w:val="TableListNumber"/>
    <w:rsid w:val="00235D29"/>
    <w:pPr>
      <w:numPr>
        <w:numId w:val="3"/>
      </w:numPr>
      <w:ind w:left="568" w:hanging="284"/>
    </w:pPr>
  </w:style>
  <w:style w:type="character" w:styleId="FollowedHyperlink">
    <w:name w:val="FollowedHyperlink"/>
    <w:semiHidden/>
    <w:rsid w:val="0050529F"/>
    <w:rPr>
      <w:color w:val="333399"/>
      <w:u w:val="none"/>
    </w:rPr>
  </w:style>
  <w:style w:type="paragraph" w:customStyle="1" w:styleId="BoxListBullet2">
    <w:name w:val="Box List Bullet 2"/>
    <w:basedOn w:val="BoxText"/>
    <w:rsid w:val="00BD7695"/>
    <w:pPr>
      <w:keepLines/>
      <w:numPr>
        <w:numId w:val="4"/>
      </w:numPr>
      <w:tabs>
        <w:tab w:val="left" w:pos="284"/>
        <w:tab w:val="left" w:pos="851"/>
      </w:tabs>
      <w:spacing w:line="240" w:lineRule="auto"/>
      <w:ind w:left="284" w:hanging="284"/>
      <w:contextualSpacing/>
      <w:mirrorIndents/>
    </w:pPr>
    <w:rPr>
      <w:szCs w:val="18"/>
    </w:rPr>
  </w:style>
  <w:style w:type="paragraph" w:customStyle="1" w:styleId="BoxListNumber">
    <w:name w:val="Box List Number"/>
    <w:basedOn w:val="BoxListBullet"/>
    <w:rsid w:val="00BD7695"/>
    <w:pPr>
      <w:numPr>
        <w:numId w:val="6"/>
      </w:numPr>
      <w:tabs>
        <w:tab w:val="left" w:pos="284"/>
      </w:tabs>
      <w:ind w:left="568"/>
    </w:pPr>
  </w:style>
  <w:style w:type="paragraph" w:customStyle="1" w:styleId="BoxListNumber2">
    <w:name w:val="Box List Number 2"/>
    <w:basedOn w:val="BoxListNumber"/>
    <w:rsid w:val="00BD7695"/>
    <w:pPr>
      <w:numPr>
        <w:numId w:val="16"/>
      </w:numPr>
      <w:tabs>
        <w:tab w:val="left" w:pos="284"/>
      </w:tabs>
      <w:ind w:left="284" w:hanging="284"/>
    </w:pPr>
    <w:rPr>
      <w:szCs w:val="22"/>
    </w:rPr>
  </w:style>
  <w:style w:type="paragraph" w:customStyle="1" w:styleId="BoxNoteSource">
    <w:name w:val="Box Note/Source"/>
    <w:basedOn w:val="BoxText"/>
    <w:rsid w:val="00701FEA"/>
    <w:pPr>
      <w:spacing w:before="100" w:after="100" w:line="180" w:lineRule="atLeast"/>
    </w:pPr>
    <w:rPr>
      <w:sz w:val="14"/>
      <w:szCs w:val="14"/>
    </w:rPr>
  </w:style>
  <w:style w:type="paragraph" w:customStyle="1" w:styleId="BoxQuote">
    <w:name w:val="Box Quote"/>
    <w:basedOn w:val="BoxText"/>
    <w:next w:val="BoxText"/>
    <w:rsid w:val="0050529F"/>
    <w:pPr>
      <w:spacing w:line="240" w:lineRule="atLeast"/>
      <w:ind w:left="284"/>
    </w:pPr>
    <w:rPr>
      <w:sz w:val="16"/>
      <w:szCs w:val="16"/>
    </w:rPr>
  </w:style>
  <w:style w:type="paragraph" w:customStyle="1" w:styleId="Photocaption">
    <w:name w:val="Photo caption"/>
    <w:basedOn w:val="Normal"/>
    <w:next w:val="BodyText"/>
    <w:semiHidden/>
    <w:rsid w:val="009E79EC"/>
    <w:pPr>
      <w:spacing w:before="140" w:after="240" w:line="180" w:lineRule="exact"/>
    </w:pPr>
    <w:rPr>
      <w:rFonts w:ascii="Franklin Gothic Book" w:eastAsia="Times New Roman" w:hAnsi="Franklin Gothic Book"/>
      <w:color w:val="A8A5A8"/>
      <w:sz w:val="14"/>
      <w:szCs w:val="14"/>
    </w:rPr>
  </w:style>
  <w:style w:type="table" w:styleId="TableGrid">
    <w:name w:val="Table Grid"/>
    <w:basedOn w:val="TableNormal"/>
    <w:uiPriority w:val="59"/>
    <w:rsid w:val="0050529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2-Accent2">
    <w:name w:val="Medium Grid 2 Accent 2"/>
    <w:basedOn w:val="TableNormal"/>
    <w:uiPriority w:val="68"/>
    <w:rsid w:val="0050529F"/>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LightShading">
    <w:name w:val="Light Shading"/>
    <w:basedOn w:val="TableNormal"/>
    <w:uiPriority w:val="60"/>
    <w:rsid w:val="00706DE1"/>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Shading2-Accent5">
    <w:name w:val="Medium Shading 2 Accent 5"/>
    <w:basedOn w:val="TableNormal"/>
    <w:uiPriority w:val="64"/>
    <w:rsid w:val="00706DE1"/>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Shading-Accent1">
    <w:name w:val="Light Shading Accent 1"/>
    <w:basedOn w:val="TableNormal"/>
    <w:uiPriority w:val="60"/>
    <w:rsid w:val="00706DE1"/>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Revision">
    <w:name w:val="Revision"/>
    <w:hidden/>
    <w:uiPriority w:val="71"/>
    <w:rsid w:val="00F53655"/>
    <w:pPr>
      <w:spacing w:after="0" w:line="240" w:lineRule="auto"/>
    </w:pPr>
    <w:rPr>
      <w:rFonts w:ascii="Times New Roman" w:eastAsia="Times New Roman" w:hAnsi="Times New Roman" w:cs="Times New Roman"/>
      <w:sz w:val="20"/>
      <w:szCs w:val="24"/>
    </w:rPr>
  </w:style>
  <w:style w:type="paragraph" w:styleId="ListNumber3">
    <w:name w:val="List Number 3"/>
    <w:basedOn w:val="ListNumber2"/>
    <w:rsid w:val="007E3D71"/>
    <w:pPr>
      <w:numPr>
        <w:numId w:val="12"/>
      </w:numPr>
      <w:ind w:left="851" w:hanging="284"/>
    </w:pPr>
  </w:style>
  <w:style w:type="paragraph" w:styleId="EndnoteText">
    <w:name w:val="endnote text"/>
    <w:basedOn w:val="Normal"/>
    <w:link w:val="EndnoteTextChar"/>
    <w:rsid w:val="009E79EC"/>
    <w:rPr>
      <w:rFonts w:ascii="Franklin Gothic Book" w:eastAsia="Times New Roman" w:hAnsi="Franklin Gothic Book"/>
      <w:sz w:val="21"/>
      <w:szCs w:val="20"/>
    </w:rPr>
  </w:style>
  <w:style w:type="character" w:customStyle="1" w:styleId="EndnoteTextChar">
    <w:name w:val="Endnote Text Char"/>
    <w:basedOn w:val="DefaultParagraphFont"/>
    <w:link w:val="EndnoteText"/>
    <w:rsid w:val="009E79EC"/>
    <w:rPr>
      <w:rFonts w:ascii="Franklin Gothic Book" w:eastAsia="Times New Roman" w:hAnsi="Franklin Gothic Book" w:cs="Times New Roman"/>
      <w:sz w:val="21"/>
      <w:szCs w:val="20"/>
    </w:rPr>
  </w:style>
  <w:style w:type="character" w:styleId="EndnoteReference">
    <w:name w:val="endnote reference"/>
    <w:rsid w:val="009E79EC"/>
    <w:rPr>
      <w:rFonts w:ascii="Franklin Gothic Book" w:hAnsi="Franklin Gothic Book"/>
      <w:sz w:val="21"/>
      <w:vertAlign w:val="superscript"/>
    </w:rPr>
  </w:style>
  <w:style w:type="numbering" w:customStyle="1" w:styleId="StyleBulletedSymbolsymbol95ptLeft063cmHanging">
    <w:name w:val="Style Bulleted Symbol (symbol) 9.5 pt Left:  0.63 cm Hanging:  ..."/>
    <w:basedOn w:val="NoList"/>
    <w:rsid w:val="002A1935"/>
    <w:pPr>
      <w:numPr>
        <w:numId w:val="13"/>
      </w:numPr>
    </w:pPr>
  </w:style>
  <w:style w:type="character" w:customStyle="1" w:styleId="CaptionChar">
    <w:name w:val="Caption Char"/>
    <w:link w:val="Caption"/>
    <w:uiPriority w:val="99"/>
    <w:locked/>
    <w:rsid w:val="001171DE"/>
    <w:rPr>
      <w:rFonts w:ascii="Franklin Gothic Book" w:eastAsia="Times New Roman" w:hAnsi="Franklin Gothic Book" w:cs="Arial"/>
      <w:sz w:val="20"/>
      <w:szCs w:val="19"/>
    </w:rPr>
  </w:style>
  <w:style w:type="paragraph" w:styleId="FootnoteText">
    <w:name w:val="footnote text"/>
    <w:basedOn w:val="BodyText"/>
    <w:link w:val="FootnoteTextChar"/>
    <w:unhideWhenUsed/>
    <w:qFormat/>
    <w:rsid w:val="00DA7CB8"/>
    <w:pPr>
      <w:spacing w:after="0"/>
      <w:contextualSpacing/>
    </w:pPr>
    <w:rPr>
      <w:sz w:val="16"/>
      <w:szCs w:val="20"/>
    </w:rPr>
  </w:style>
  <w:style w:type="character" w:customStyle="1" w:styleId="FootnoteTextChar">
    <w:name w:val="Footnote Text Char"/>
    <w:basedOn w:val="DefaultParagraphFont"/>
    <w:link w:val="FootnoteText"/>
    <w:rsid w:val="00DA7CB8"/>
    <w:rPr>
      <w:rFonts w:ascii="Times New Roman" w:eastAsia="Times New Roman" w:hAnsi="Times New Roman" w:cs="Times New Roman"/>
      <w:sz w:val="16"/>
      <w:szCs w:val="20"/>
    </w:rPr>
  </w:style>
  <w:style w:type="character" w:styleId="FootnoteReference">
    <w:name w:val="footnote reference"/>
    <w:rsid w:val="003B2756"/>
    <w:rPr>
      <w:rFonts w:ascii="Times New Roman" w:hAnsi="Times New Roman"/>
      <w:w w:val="100"/>
      <w:position w:val="6"/>
      <w:sz w:val="16"/>
      <w:szCs w:val="12"/>
      <w:vertAlign w:val="baseline"/>
    </w:rPr>
  </w:style>
  <w:style w:type="paragraph" w:styleId="NormalWeb">
    <w:name w:val="Normal (Web)"/>
    <w:basedOn w:val="Normal"/>
    <w:uiPriority w:val="99"/>
    <w:semiHidden/>
    <w:unhideWhenUsed/>
    <w:rsid w:val="00AB0987"/>
    <w:pPr>
      <w:spacing w:before="100" w:beforeAutospacing="1" w:after="100" w:afterAutospacing="1"/>
    </w:pPr>
    <w:rPr>
      <w:rFonts w:eastAsia="Times New Roman"/>
      <w:sz w:val="24"/>
    </w:rPr>
  </w:style>
  <w:style w:type="table" w:styleId="LightShading-Accent3">
    <w:name w:val="Light Shading Accent 3"/>
    <w:basedOn w:val="TableNormal"/>
    <w:uiPriority w:val="60"/>
    <w:rsid w:val="00F02F28"/>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CommentReference">
    <w:name w:val="annotation reference"/>
    <w:basedOn w:val="DefaultParagraphFont"/>
    <w:semiHidden/>
    <w:unhideWhenUsed/>
    <w:rsid w:val="009E79EC"/>
    <w:rPr>
      <w:rFonts w:ascii="Franklin Gothic Book" w:hAnsi="Franklin Gothic Book"/>
      <w:sz w:val="16"/>
      <w:szCs w:val="16"/>
    </w:rPr>
  </w:style>
  <w:style w:type="paragraph" w:styleId="CommentSubject">
    <w:name w:val="annotation subject"/>
    <w:basedOn w:val="CommentText"/>
    <w:next w:val="CommentText"/>
    <w:link w:val="CommentSubjectChar"/>
    <w:unhideWhenUsed/>
    <w:rsid w:val="009E79EC"/>
    <w:pPr>
      <w:spacing w:after="0" w:line="240" w:lineRule="auto"/>
    </w:pPr>
    <w:rPr>
      <w:rFonts w:eastAsia="SimSun"/>
      <w:b/>
      <w:bCs/>
      <w:sz w:val="20"/>
      <w:szCs w:val="20"/>
    </w:rPr>
  </w:style>
  <w:style w:type="character" w:customStyle="1" w:styleId="CommentSubjectChar">
    <w:name w:val="Comment Subject Char"/>
    <w:basedOn w:val="CommentTextChar"/>
    <w:link w:val="CommentSubject"/>
    <w:rsid w:val="009E79EC"/>
    <w:rPr>
      <w:rFonts w:ascii="Franklin Gothic Book" w:eastAsia="SimSun" w:hAnsi="Franklin Gothic Book" w:cs="Times New Roman"/>
      <w:b/>
      <w:bCs/>
      <w:sz w:val="20"/>
      <w:szCs w:val="20"/>
    </w:rPr>
  </w:style>
  <w:style w:type="character" w:customStyle="1" w:styleId="DateChar">
    <w:name w:val="Date Char"/>
    <w:basedOn w:val="DefaultParagraphFont"/>
    <w:link w:val="Date"/>
    <w:rsid w:val="009E79EC"/>
    <w:rPr>
      <w:rFonts w:ascii="Franklin Gothic Book" w:eastAsia="SimSun" w:hAnsi="Franklin Gothic Book" w:cs="Times New Roman"/>
      <w:sz w:val="20"/>
      <w:szCs w:val="24"/>
    </w:rPr>
  </w:style>
  <w:style w:type="paragraph" w:customStyle="1" w:styleId="GuidanceText">
    <w:name w:val="Guidance Text"/>
    <w:basedOn w:val="BodyText"/>
    <w:rsid w:val="00C85FF6"/>
    <w:pPr>
      <w:spacing w:before="60" w:after="60" w:line="240" w:lineRule="atLeast"/>
    </w:pPr>
    <w:rPr>
      <w:rFonts w:ascii="Calibri" w:hAnsi="Calibri"/>
      <w:color w:val="0000FF"/>
      <w:sz w:val="20"/>
      <w:szCs w:val="20"/>
    </w:rPr>
  </w:style>
  <w:style w:type="paragraph" w:customStyle="1" w:styleId="List-bullet-1">
    <w:name w:val="List-bullet-1"/>
    <w:basedOn w:val="Normal"/>
    <w:link w:val="List-bullet-1Char"/>
    <w:rsid w:val="00FD7BD8"/>
    <w:pPr>
      <w:numPr>
        <w:numId w:val="17"/>
      </w:numPr>
      <w:spacing w:before="120"/>
    </w:pPr>
    <w:rPr>
      <w:rFonts w:ascii="Arial" w:eastAsia="Times New Roman" w:hAnsi="Arial" w:cs="Arial"/>
      <w:szCs w:val="22"/>
      <w:lang w:eastAsia="en-US"/>
    </w:rPr>
  </w:style>
  <w:style w:type="character" w:customStyle="1" w:styleId="List-bullet-1Char">
    <w:name w:val="List-bullet-1 Char"/>
    <w:link w:val="List-bullet-1"/>
    <w:rsid w:val="00FD7BD8"/>
    <w:rPr>
      <w:rFonts w:ascii="Arial" w:eastAsia="Times New Roman" w:hAnsi="Arial" w:cs="Arial"/>
      <w:sz w:val="20"/>
      <w:lang w:eastAsia="en-US"/>
    </w:rPr>
  </w:style>
  <w:style w:type="paragraph" w:styleId="ListParagraph">
    <w:name w:val="List Paragraph"/>
    <w:aliases w:val="List Paragraph1,Recommendation,List Paragraph11,L,CV text,Table text,F5 List Paragraph,Dot pt,List Paragraph111,Medium Grid 1 - Accent 21,Numbered Paragraph,List Paragraph2,Bulleted Para,NFP GP Bulleted List,FooterText,numbered,列出段落,列出段落1"/>
    <w:basedOn w:val="BodyText"/>
    <w:link w:val="ListParagraphChar"/>
    <w:qFormat/>
    <w:rsid w:val="00FD7BD8"/>
    <w:pPr>
      <w:numPr>
        <w:numId w:val="18"/>
      </w:numPr>
      <w:tabs>
        <w:tab w:val="num" w:pos="360"/>
      </w:tabs>
      <w:spacing w:after="120" w:line="240" w:lineRule="auto"/>
      <w:ind w:left="0" w:firstLine="0"/>
    </w:pPr>
    <w:rPr>
      <w:rFonts w:ascii="Times New Roman" w:hAnsi="Times New Roman"/>
      <w:sz w:val="22"/>
    </w:rPr>
  </w:style>
  <w:style w:type="table" w:customStyle="1" w:styleId="APPR">
    <w:name w:val="APPR"/>
    <w:basedOn w:val="TableNormal"/>
    <w:uiPriority w:val="99"/>
    <w:rsid w:val="002B1F66"/>
    <w:pPr>
      <w:spacing w:after="0" w:line="240" w:lineRule="auto"/>
    </w:pPr>
    <w:rPr>
      <w:rFonts w:ascii="Franklin Gothic Book" w:hAnsi="Franklin Gothic Book"/>
      <w:sz w:val="17"/>
    </w:rPr>
    <w:tblPr>
      <w:tblStyleRowBandSize w:val="1"/>
      <w:tblCellSpacing w:w="14" w:type="dxa"/>
      <w:tblInd w:w="0" w:type="dxa"/>
      <w:tblBorders>
        <w:top w:val="single" w:sz="12" w:space="0" w:color="000000" w:themeColor="text1"/>
        <w:bottom w:val="single" w:sz="12" w:space="0" w:color="000000" w:themeColor="text1"/>
      </w:tblBorders>
      <w:tblCellMar>
        <w:top w:w="0" w:type="dxa"/>
        <w:left w:w="108" w:type="dxa"/>
        <w:bottom w:w="0" w:type="dxa"/>
        <w:right w:w="108" w:type="dxa"/>
      </w:tblCellMar>
    </w:tblPr>
    <w:trPr>
      <w:tblHeader/>
      <w:tblCellSpacing w:w="14" w:type="dxa"/>
    </w:trPr>
    <w:tblStylePr w:type="firstRow">
      <w:pPr>
        <w:wordWrap/>
      </w:pPr>
      <w:rPr>
        <w:rFonts w:ascii="Franklin Gothic Medium" w:hAnsi="Franklin Gothic Medium"/>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character" w:customStyle="1" w:styleId="ListParagraphChar">
    <w:name w:val="List Paragraph Char"/>
    <w:aliases w:val="List Paragraph1 Char,Recommendation Char,List Paragraph11 Char,L Char,CV text Char,Table text Char,F5 List Paragraph Char,Dot pt Char,List Paragraph111 Char,Medium Grid 1 - Accent 21 Char,Numbered Paragraph Char,List Paragraph2 Char"/>
    <w:basedOn w:val="DefaultParagraphFont"/>
    <w:link w:val="ListParagraph"/>
    <w:locked/>
    <w:rsid w:val="00BB4DFD"/>
    <w:rPr>
      <w:rFonts w:ascii="Times New Roman" w:eastAsia="Times New Roman" w:hAnsi="Times New Roman" w:cs="Times New Roman"/>
      <w:szCs w:val="24"/>
    </w:rPr>
  </w:style>
  <w:style w:type="paragraph" w:customStyle="1" w:styleId="Default">
    <w:name w:val="Default"/>
    <w:rsid w:val="00BB4DFD"/>
    <w:pPr>
      <w:autoSpaceDE w:val="0"/>
      <w:autoSpaceDN w:val="0"/>
      <w:adjustRightInd w:val="0"/>
      <w:spacing w:after="0" w:line="240" w:lineRule="auto"/>
    </w:pPr>
    <w:rPr>
      <w:rFonts w:ascii="Garamond" w:hAnsi="Garamond" w:cs="Garamond"/>
      <w:color w:val="000000"/>
      <w:sz w:val="24"/>
      <w:szCs w:val="24"/>
    </w:rPr>
  </w:style>
  <w:style w:type="character" w:styleId="Emphasis">
    <w:name w:val="Emphasis"/>
    <w:basedOn w:val="DefaultParagraphFont"/>
    <w:uiPriority w:val="20"/>
    <w:qFormat/>
    <w:rsid w:val="0046458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2419">
      <w:bodyDiv w:val="1"/>
      <w:marLeft w:val="0"/>
      <w:marRight w:val="0"/>
      <w:marTop w:val="0"/>
      <w:marBottom w:val="0"/>
      <w:divBdr>
        <w:top w:val="none" w:sz="0" w:space="0" w:color="auto"/>
        <w:left w:val="none" w:sz="0" w:space="0" w:color="auto"/>
        <w:bottom w:val="none" w:sz="0" w:space="0" w:color="auto"/>
        <w:right w:val="none" w:sz="0" w:space="0" w:color="auto"/>
      </w:divBdr>
    </w:div>
    <w:div w:id="170800594">
      <w:bodyDiv w:val="1"/>
      <w:marLeft w:val="0"/>
      <w:marRight w:val="0"/>
      <w:marTop w:val="0"/>
      <w:marBottom w:val="0"/>
      <w:divBdr>
        <w:top w:val="none" w:sz="0" w:space="0" w:color="auto"/>
        <w:left w:val="none" w:sz="0" w:space="0" w:color="auto"/>
        <w:bottom w:val="none" w:sz="0" w:space="0" w:color="auto"/>
        <w:right w:val="none" w:sz="0" w:space="0" w:color="auto"/>
      </w:divBdr>
      <w:divsChild>
        <w:div w:id="1849826520">
          <w:marLeft w:val="0"/>
          <w:marRight w:val="0"/>
          <w:marTop w:val="0"/>
          <w:marBottom w:val="0"/>
          <w:divBdr>
            <w:top w:val="none" w:sz="0" w:space="0" w:color="auto"/>
            <w:left w:val="none" w:sz="0" w:space="0" w:color="auto"/>
            <w:bottom w:val="none" w:sz="0" w:space="0" w:color="auto"/>
            <w:right w:val="none" w:sz="0" w:space="0" w:color="auto"/>
          </w:divBdr>
        </w:div>
      </w:divsChild>
    </w:div>
    <w:div w:id="418449527">
      <w:bodyDiv w:val="1"/>
      <w:marLeft w:val="0"/>
      <w:marRight w:val="0"/>
      <w:marTop w:val="0"/>
      <w:marBottom w:val="0"/>
      <w:divBdr>
        <w:top w:val="none" w:sz="0" w:space="0" w:color="auto"/>
        <w:left w:val="none" w:sz="0" w:space="0" w:color="auto"/>
        <w:bottom w:val="none" w:sz="0" w:space="0" w:color="auto"/>
        <w:right w:val="none" w:sz="0" w:space="0" w:color="auto"/>
      </w:divBdr>
    </w:div>
    <w:div w:id="506408543">
      <w:bodyDiv w:val="1"/>
      <w:marLeft w:val="0"/>
      <w:marRight w:val="0"/>
      <w:marTop w:val="0"/>
      <w:marBottom w:val="0"/>
      <w:divBdr>
        <w:top w:val="none" w:sz="0" w:space="0" w:color="auto"/>
        <w:left w:val="none" w:sz="0" w:space="0" w:color="auto"/>
        <w:bottom w:val="none" w:sz="0" w:space="0" w:color="auto"/>
        <w:right w:val="none" w:sz="0" w:space="0" w:color="auto"/>
      </w:divBdr>
      <w:divsChild>
        <w:div w:id="463234166">
          <w:marLeft w:val="0"/>
          <w:marRight w:val="0"/>
          <w:marTop w:val="0"/>
          <w:marBottom w:val="0"/>
          <w:divBdr>
            <w:top w:val="none" w:sz="0" w:space="0" w:color="auto"/>
            <w:left w:val="none" w:sz="0" w:space="0" w:color="auto"/>
            <w:bottom w:val="none" w:sz="0" w:space="0" w:color="auto"/>
            <w:right w:val="none" w:sz="0" w:space="0" w:color="auto"/>
          </w:divBdr>
          <w:divsChild>
            <w:div w:id="1944414580">
              <w:marLeft w:val="0"/>
              <w:marRight w:val="0"/>
              <w:marTop w:val="0"/>
              <w:marBottom w:val="0"/>
              <w:divBdr>
                <w:top w:val="none" w:sz="0" w:space="0" w:color="auto"/>
                <w:left w:val="none" w:sz="0" w:space="0" w:color="auto"/>
                <w:bottom w:val="none" w:sz="0" w:space="0" w:color="auto"/>
                <w:right w:val="none" w:sz="0" w:space="0" w:color="auto"/>
              </w:divBdr>
              <w:divsChild>
                <w:div w:id="239683585">
                  <w:marLeft w:val="0"/>
                  <w:marRight w:val="0"/>
                  <w:marTop w:val="0"/>
                  <w:marBottom w:val="0"/>
                  <w:divBdr>
                    <w:top w:val="none" w:sz="0" w:space="0" w:color="auto"/>
                    <w:left w:val="none" w:sz="0" w:space="0" w:color="auto"/>
                    <w:bottom w:val="none" w:sz="0" w:space="0" w:color="auto"/>
                    <w:right w:val="none" w:sz="0" w:space="0" w:color="auto"/>
                  </w:divBdr>
                  <w:divsChild>
                    <w:div w:id="937493328">
                      <w:marLeft w:val="0"/>
                      <w:marRight w:val="0"/>
                      <w:marTop w:val="0"/>
                      <w:marBottom w:val="0"/>
                      <w:divBdr>
                        <w:top w:val="none" w:sz="0" w:space="0" w:color="auto"/>
                        <w:left w:val="none" w:sz="0" w:space="0" w:color="auto"/>
                        <w:bottom w:val="none" w:sz="0" w:space="0" w:color="auto"/>
                        <w:right w:val="none" w:sz="0" w:space="0" w:color="auto"/>
                      </w:divBdr>
                      <w:divsChild>
                        <w:div w:id="644550695">
                          <w:marLeft w:val="300"/>
                          <w:marRight w:val="300"/>
                          <w:marTop w:val="195"/>
                          <w:marBottom w:val="0"/>
                          <w:divBdr>
                            <w:top w:val="none" w:sz="0" w:space="0" w:color="auto"/>
                            <w:left w:val="none" w:sz="0" w:space="0" w:color="auto"/>
                            <w:bottom w:val="none" w:sz="0" w:space="0" w:color="auto"/>
                            <w:right w:val="none" w:sz="0" w:space="0" w:color="auto"/>
                          </w:divBdr>
                          <w:divsChild>
                            <w:div w:id="669210461">
                              <w:marLeft w:val="0"/>
                              <w:marRight w:val="0"/>
                              <w:marTop w:val="0"/>
                              <w:marBottom w:val="0"/>
                              <w:divBdr>
                                <w:top w:val="none" w:sz="0" w:space="0" w:color="auto"/>
                                <w:left w:val="none" w:sz="0" w:space="0" w:color="auto"/>
                                <w:bottom w:val="none" w:sz="0" w:space="0" w:color="auto"/>
                                <w:right w:val="none" w:sz="0" w:space="0" w:color="auto"/>
                              </w:divBdr>
                              <w:divsChild>
                                <w:div w:id="773475651">
                                  <w:marLeft w:val="0"/>
                                  <w:marRight w:val="0"/>
                                  <w:marTop w:val="0"/>
                                  <w:marBottom w:val="0"/>
                                  <w:divBdr>
                                    <w:top w:val="none" w:sz="0" w:space="0" w:color="auto"/>
                                    <w:left w:val="none" w:sz="0" w:space="0" w:color="auto"/>
                                    <w:bottom w:val="single" w:sz="12" w:space="8" w:color="D7DCCF"/>
                                    <w:right w:val="none" w:sz="0" w:space="0" w:color="auto"/>
                                  </w:divBdr>
                                  <w:divsChild>
                                    <w:div w:id="165999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3911255">
      <w:bodyDiv w:val="1"/>
      <w:marLeft w:val="0"/>
      <w:marRight w:val="0"/>
      <w:marTop w:val="0"/>
      <w:marBottom w:val="0"/>
      <w:divBdr>
        <w:top w:val="none" w:sz="0" w:space="0" w:color="auto"/>
        <w:left w:val="none" w:sz="0" w:space="0" w:color="auto"/>
        <w:bottom w:val="none" w:sz="0" w:space="0" w:color="auto"/>
        <w:right w:val="none" w:sz="0" w:space="0" w:color="auto"/>
      </w:divBdr>
    </w:div>
    <w:div w:id="790975192">
      <w:bodyDiv w:val="1"/>
      <w:marLeft w:val="0"/>
      <w:marRight w:val="0"/>
      <w:marTop w:val="0"/>
      <w:marBottom w:val="0"/>
      <w:divBdr>
        <w:top w:val="none" w:sz="0" w:space="0" w:color="auto"/>
        <w:left w:val="none" w:sz="0" w:space="0" w:color="auto"/>
        <w:bottom w:val="none" w:sz="0" w:space="0" w:color="auto"/>
        <w:right w:val="none" w:sz="0" w:space="0" w:color="auto"/>
      </w:divBdr>
    </w:div>
    <w:div w:id="849375196">
      <w:bodyDiv w:val="1"/>
      <w:marLeft w:val="0"/>
      <w:marRight w:val="0"/>
      <w:marTop w:val="0"/>
      <w:marBottom w:val="0"/>
      <w:divBdr>
        <w:top w:val="none" w:sz="0" w:space="0" w:color="auto"/>
        <w:left w:val="none" w:sz="0" w:space="0" w:color="auto"/>
        <w:bottom w:val="none" w:sz="0" w:space="0" w:color="auto"/>
        <w:right w:val="none" w:sz="0" w:space="0" w:color="auto"/>
      </w:divBdr>
      <w:divsChild>
        <w:div w:id="958099486">
          <w:marLeft w:val="0"/>
          <w:marRight w:val="0"/>
          <w:marTop w:val="0"/>
          <w:marBottom w:val="0"/>
          <w:divBdr>
            <w:top w:val="none" w:sz="0" w:space="0" w:color="auto"/>
            <w:left w:val="none" w:sz="0" w:space="0" w:color="auto"/>
            <w:bottom w:val="none" w:sz="0" w:space="0" w:color="auto"/>
            <w:right w:val="none" w:sz="0" w:space="0" w:color="auto"/>
          </w:divBdr>
        </w:div>
        <w:div w:id="1610623587">
          <w:marLeft w:val="0"/>
          <w:marRight w:val="0"/>
          <w:marTop w:val="0"/>
          <w:marBottom w:val="0"/>
          <w:divBdr>
            <w:top w:val="none" w:sz="0" w:space="0" w:color="auto"/>
            <w:left w:val="none" w:sz="0" w:space="0" w:color="auto"/>
            <w:bottom w:val="none" w:sz="0" w:space="0" w:color="auto"/>
            <w:right w:val="none" w:sz="0" w:space="0" w:color="auto"/>
          </w:divBdr>
        </w:div>
      </w:divsChild>
    </w:div>
    <w:div w:id="869995118">
      <w:bodyDiv w:val="1"/>
      <w:marLeft w:val="0"/>
      <w:marRight w:val="0"/>
      <w:marTop w:val="0"/>
      <w:marBottom w:val="0"/>
      <w:divBdr>
        <w:top w:val="none" w:sz="0" w:space="0" w:color="auto"/>
        <w:left w:val="none" w:sz="0" w:space="0" w:color="auto"/>
        <w:bottom w:val="none" w:sz="0" w:space="0" w:color="auto"/>
        <w:right w:val="none" w:sz="0" w:space="0" w:color="auto"/>
      </w:divBdr>
    </w:div>
    <w:div w:id="906887770">
      <w:bodyDiv w:val="1"/>
      <w:marLeft w:val="0"/>
      <w:marRight w:val="0"/>
      <w:marTop w:val="0"/>
      <w:marBottom w:val="0"/>
      <w:divBdr>
        <w:top w:val="none" w:sz="0" w:space="0" w:color="auto"/>
        <w:left w:val="none" w:sz="0" w:space="0" w:color="auto"/>
        <w:bottom w:val="none" w:sz="0" w:space="0" w:color="auto"/>
        <w:right w:val="none" w:sz="0" w:space="0" w:color="auto"/>
      </w:divBdr>
      <w:divsChild>
        <w:div w:id="1687058485">
          <w:marLeft w:val="0"/>
          <w:marRight w:val="0"/>
          <w:marTop w:val="0"/>
          <w:marBottom w:val="0"/>
          <w:divBdr>
            <w:top w:val="none" w:sz="0" w:space="0" w:color="auto"/>
            <w:left w:val="none" w:sz="0" w:space="0" w:color="auto"/>
            <w:bottom w:val="none" w:sz="0" w:space="0" w:color="auto"/>
            <w:right w:val="none" w:sz="0" w:space="0" w:color="auto"/>
          </w:divBdr>
          <w:divsChild>
            <w:div w:id="1750345560">
              <w:marLeft w:val="0"/>
              <w:marRight w:val="0"/>
              <w:marTop w:val="0"/>
              <w:marBottom w:val="0"/>
              <w:divBdr>
                <w:top w:val="none" w:sz="0" w:space="0" w:color="auto"/>
                <w:left w:val="none" w:sz="0" w:space="0" w:color="auto"/>
                <w:bottom w:val="none" w:sz="0" w:space="0" w:color="auto"/>
                <w:right w:val="none" w:sz="0" w:space="0" w:color="auto"/>
              </w:divBdr>
              <w:divsChild>
                <w:div w:id="987590386">
                  <w:marLeft w:val="0"/>
                  <w:marRight w:val="0"/>
                  <w:marTop w:val="0"/>
                  <w:marBottom w:val="0"/>
                  <w:divBdr>
                    <w:top w:val="none" w:sz="0" w:space="0" w:color="auto"/>
                    <w:left w:val="none" w:sz="0" w:space="0" w:color="auto"/>
                    <w:bottom w:val="none" w:sz="0" w:space="0" w:color="auto"/>
                    <w:right w:val="none" w:sz="0" w:space="0" w:color="auto"/>
                  </w:divBdr>
                  <w:divsChild>
                    <w:div w:id="1207717354">
                      <w:marLeft w:val="2325"/>
                      <w:marRight w:val="0"/>
                      <w:marTop w:val="0"/>
                      <w:marBottom w:val="0"/>
                      <w:divBdr>
                        <w:top w:val="none" w:sz="0" w:space="0" w:color="auto"/>
                        <w:left w:val="none" w:sz="0" w:space="0" w:color="auto"/>
                        <w:bottom w:val="none" w:sz="0" w:space="0" w:color="auto"/>
                        <w:right w:val="none" w:sz="0" w:space="0" w:color="auto"/>
                      </w:divBdr>
                      <w:divsChild>
                        <w:div w:id="397361162">
                          <w:marLeft w:val="0"/>
                          <w:marRight w:val="0"/>
                          <w:marTop w:val="0"/>
                          <w:marBottom w:val="0"/>
                          <w:divBdr>
                            <w:top w:val="none" w:sz="0" w:space="0" w:color="auto"/>
                            <w:left w:val="none" w:sz="0" w:space="0" w:color="auto"/>
                            <w:bottom w:val="none" w:sz="0" w:space="0" w:color="auto"/>
                            <w:right w:val="none" w:sz="0" w:space="0" w:color="auto"/>
                          </w:divBdr>
                          <w:divsChild>
                            <w:div w:id="1968852841">
                              <w:marLeft w:val="0"/>
                              <w:marRight w:val="0"/>
                              <w:marTop w:val="0"/>
                              <w:marBottom w:val="0"/>
                              <w:divBdr>
                                <w:top w:val="none" w:sz="0" w:space="0" w:color="auto"/>
                                <w:left w:val="none" w:sz="0" w:space="0" w:color="auto"/>
                                <w:bottom w:val="none" w:sz="0" w:space="0" w:color="auto"/>
                                <w:right w:val="none" w:sz="0" w:space="0" w:color="auto"/>
                              </w:divBdr>
                              <w:divsChild>
                                <w:div w:id="519928029">
                                  <w:marLeft w:val="0"/>
                                  <w:marRight w:val="0"/>
                                  <w:marTop w:val="0"/>
                                  <w:marBottom w:val="0"/>
                                  <w:divBdr>
                                    <w:top w:val="none" w:sz="0" w:space="0" w:color="auto"/>
                                    <w:left w:val="none" w:sz="0" w:space="0" w:color="auto"/>
                                    <w:bottom w:val="none" w:sz="0" w:space="0" w:color="auto"/>
                                    <w:right w:val="none" w:sz="0" w:space="0" w:color="auto"/>
                                  </w:divBdr>
                                  <w:divsChild>
                                    <w:div w:id="419180244">
                                      <w:marLeft w:val="0"/>
                                      <w:marRight w:val="0"/>
                                      <w:marTop w:val="0"/>
                                      <w:marBottom w:val="0"/>
                                      <w:divBdr>
                                        <w:top w:val="none" w:sz="0" w:space="0" w:color="auto"/>
                                        <w:left w:val="none" w:sz="0" w:space="0" w:color="auto"/>
                                        <w:bottom w:val="none" w:sz="0" w:space="0" w:color="auto"/>
                                        <w:right w:val="none" w:sz="0" w:space="0" w:color="auto"/>
                                      </w:divBdr>
                                      <w:divsChild>
                                        <w:div w:id="846676688">
                                          <w:marLeft w:val="0"/>
                                          <w:marRight w:val="0"/>
                                          <w:marTop w:val="0"/>
                                          <w:marBottom w:val="0"/>
                                          <w:divBdr>
                                            <w:top w:val="none" w:sz="0" w:space="0" w:color="auto"/>
                                            <w:left w:val="none" w:sz="0" w:space="0" w:color="auto"/>
                                            <w:bottom w:val="none" w:sz="0" w:space="0" w:color="auto"/>
                                            <w:right w:val="none" w:sz="0" w:space="0" w:color="auto"/>
                                          </w:divBdr>
                                          <w:divsChild>
                                            <w:div w:id="1963998040">
                                              <w:marLeft w:val="0"/>
                                              <w:marRight w:val="0"/>
                                              <w:marTop w:val="0"/>
                                              <w:marBottom w:val="0"/>
                                              <w:divBdr>
                                                <w:top w:val="none" w:sz="0" w:space="0" w:color="auto"/>
                                                <w:left w:val="none" w:sz="0" w:space="0" w:color="auto"/>
                                                <w:bottom w:val="none" w:sz="0" w:space="0" w:color="auto"/>
                                                <w:right w:val="none" w:sz="0" w:space="0" w:color="auto"/>
                                              </w:divBdr>
                                              <w:divsChild>
                                                <w:div w:id="260185647">
                                                  <w:marLeft w:val="0"/>
                                                  <w:marRight w:val="0"/>
                                                  <w:marTop w:val="0"/>
                                                  <w:marBottom w:val="0"/>
                                                  <w:divBdr>
                                                    <w:top w:val="none" w:sz="0" w:space="0" w:color="auto"/>
                                                    <w:left w:val="none" w:sz="0" w:space="0" w:color="auto"/>
                                                    <w:bottom w:val="none" w:sz="0" w:space="0" w:color="auto"/>
                                                    <w:right w:val="none" w:sz="0" w:space="0" w:color="auto"/>
                                                  </w:divBdr>
                                                  <w:divsChild>
                                                    <w:div w:id="1983389395">
                                                      <w:marLeft w:val="0"/>
                                                      <w:marRight w:val="0"/>
                                                      <w:marTop w:val="0"/>
                                                      <w:marBottom w:val="0"/>
                                                      <w:divBdr>
                                                        <w:top w:val="none" w:sz="0" w:space="0" w:color="auto"/>
                                                        <w:left w:val="none" w:sz="0" w:space="0" w:color="auto"/>
                                                        <w:bottom w:val="none" w:sz="0" w:space="0" w:color="auto"/>
                                                        <w:right w:val="none" w:sz="0" w:space="0" w:color="auto"/>
                                                      </w:divBdr>
                                                      <w:divsChild>
                                                        <w:div w:id="1875917744">
                                                          <w:marLeft w:val="0"/>
                                                          <w:marRight w:val="0"/>
                                                          <w:marTop w:val="15"/>
                                                          <w:marBottom w:val="15"/>
                                                          <w:divBdr>
                                                            <w:top w:val="none" w:sz="0" w:space="0" w:color="auto"/>
                                                            <w:left w:val="none" w:sz="0" w:space="0" w:color="auto"/>
                                                            <w:bottom w:val="none" w:sz="0" w:space="0" w:color="auto"/>
                                                            <w:right w:val="none" w:sz="0" w:space="0" w:color="auto"/>
                                                          </w:divBdr>
                                                          <w:divsChild>
                                                            <w:div w:id="1225338489">
                                                              <w:marLeft w:val="0"/>
                                                              <w:marRight w:val="0"/>
                                                              <w:marTop w:val="0"/>
                                                              <w:marBottom w:val="0"/>
                                                              <w:divBdr>
                                                                <w:top w:val="none" w:sz="0" w:space="0" w:color="auto"/>
                                                                <w:left w:val="none" w:sz="0" w:space="0" w:color="auto"/>
                                                                <w:bottom w:val="none" w:sz="0" w:space="0" w:color="auto"/>
                                                                <w:right w:val="none" w:sz="0" w:space="0" w:color="auto"/>
                                                              </w:divBdr>
                                                              <w:divsChild>
                                                                <w:div w:id="1743914366">
                                                                  <w:marLeft w:val="0"/>
                                                                  <w:marRight w:val="0"/>
                                                                  <w:marTop w:val="0"/>
                                                                  <w:marBottom w:val="0"/>
                                                                  <w:divBdr>
                                                                    <w:top w:val="none" w:sz="0" w:space="0" w:color="auto"/>
                                                                    <w:left w:val="none" w:sz="0" w:space="0" w:color="auto"/>
                                                                    <w:bottom w:val="none" w:sz="0" w:space="0" w:color="auto"/>
                                                                    <w:right w:val="none" w:sz="0" w:space="0" w:color="auto"/>
                                                                  </w:divBdr>
                                                                  <w:divsChild>
                                                                    <w:div w:id="2131656692">
                                                                      <w:marLeft w:val="0"/>
                                                                      <w:marRight w:val="0"/>
                                                                      <w:marTop w:val="0"/>
                                                                      <w:marBottom w:val="0"/>
                                                                      <w:divBdr>
                                                                        <w:top w:val="none" w:sz="0" w:space="0" w:color="auto"/>
                                                                        <w:left w:val="none" w:sz="0" w:space="0" w:color="auto"/>
                                                                        <w:bottom w:val="none" w:sz="0" w:space="0" w:color="auto"/>
                                                                        <w:right w:val="none" w:sz="0" w:space="0" w:color="auto"/>
                                                                      </w:divBdr>
                                                                      <w:divsChild>
                                                                        <w:div w:id="2075080198">
                                                                          <w:marLeft w:val="0"/>
                                                                          <w:marRight w:val="0"/>
                                                                          <w:marTop w:val="0"/>
                                                                          <w:marBottom w:val="0"/>
                                                                          <w:divBdr>
                                                                            <w:top w:val="none" w:sz="0" w:space="0" w:color="auto"/>
                                                                            <w:left w:val="none" w:sz="0" w:space="0" w:color="auto"/>
                                                                            <w:bottom w:val="none" w:sz="0" w:space="0" w:color="auto"/>
                                                                            <w:right w:val="none" w:sz="0" w:space="0" w:color="auto"/>
                                                                          </w:divBdr>
                                                                          <w:divsChild>
                                                                            <w:div w:id="1240795041">
                                                                              <w:marLeft w:val="0"/>
                                                                              <w:marRight w:val="0"/>
                                                                              <w:marTop w:val="0"/>
                                                                              <w:marBottom w:val="0"/>
                                                                              <w:divBdr>
                                                                                <w:top w:val="none" w:sz="0" w:space="0" w:color="auto"/>
                                                                                <w:left w:val="none" w:sz="0" w:space="0" w:color="auto"/>
                                                                                <w:bottom w:val="none" w:sz="0" w:space="0" w:color="auto"/>
                                                                                <w:right w:val="none" w:sz="0" w:space="0" w:color="auto"/>
                                                                              </w:divBdr>
                                                                              <w:divsChild>
                                                                                <w:div w:id="160045370">
                                                                                  <w:marLeft w:val="0"/>
                                                                                  <w:marRight w:val="0"/>
                                                                                  <w:marTop w:val="0"/>
                                                                                  <w:marBottom w:val="0"/>
                                                                                  <w:divBdr>
                                                                                    <w:top w:val="none" w:sz="0" w:space="0" w:color="auto"/>
                                                                                    <w:left w:val="none" w:sz="0" w:space="0" w:color="auto"/>
                                                                                    <w:bottom w:val="none" w:sz="0" w:space="0" w:color="auto"/>
                                                                                    <w:right w:val="none" w:sz="0" w:space="0" w:color="auto"/>
                                                                                  </w:divBdr>
                                                                                  <w:divsChild>
                                                                                    <w:div w:id="215051749">
                                                                                      <w:marLeft w:val="0"/>
                                                                                      <w:marRight w:val="0"/>
                                                                                      <w:marTop w:val="0"/>
                                                                                      <w:marBottom w:val="0"/>
                                                                                      <w:divBdr>
                                                                                        <w:top w:val="none" w:sz="0" w:space="0" w:color="auto"/>
                                                                                        <w:left w:val="none" w:sz="0" w:space="0" w:color="auto"/>
                                                                                        <w:bottom w:val="none" w:sz="0" w:space="0" w:color="auto"/>
                                                                                        <w:right w:val="none" w:sz="0" w:space="0" w:color="auto"/>
                                                                                      </w:divBdr>
                                                                                      <w:divsChild>
                                                                                        <w:div w:id="1480030714">
                                                                                          <w:marLeft w:val="0"/>
                                                                                          <w:marRight w:val="0"/>
                                                                                          <w:marTop w:val="0"/>
                                                                                          <w:marBottom w:val="0"/>
                                                                                          <w:divBdr>
                                                                                            <w:top w:val="none" w:sz="0" w:space="0" w:color="auto"/>
                                                                                            <w:left w:val="none" w:sz="0" w:space="0" w:color="auto"/>
                                                                                            <w:bottom w:val="none" w:sz="0" w:space="0" w:color="auto"/>
                                                                                            <w:right w:val="none" w:sz="0" w:space="0" w:color="auto"/>
                                                                                          </w:divBdr>
                                                                                          <w:divsChild>
                                                                                            <w:div w:id="78296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2581698">
      <w:bodyDiv w:val="1"/>
      <w:marLeft w:val="0"/>
      <w:marRight w:val="0"/>
      <w:marTop w:val="0"/>
      <w:marBottom w:val="0"/>
      <w:divBdr>
        <w:top w:val="none" w:sz="0" w:space="0" w:color="auto"/>
        <w:left w:val="none" w:sz="0" w:space="0" w:color="auto"/>
        <w:bottom w:val="none" w:sz="0" w:space="0" w:color="auto"/>
        <w:right w:val="none" w:sz="0" w:space="0" w:color="auto"/>
      </w:divBdr>
      <w:divsChild>
        <w:div w:id="2052915962">
          <w:marLeft w:val="0"/>
          <w:marRight w:val="0"/>
          <w:marTop w:val="0"/>
          <w:marBottom w:val="0"/>
          <w:divBdr>
            <w:top w:val="none" w:sz="0" w:space="0" w:color="auto"/>
            <w:left w:val="none" w:sz="0" w:space="0" w:color="auto"/>
            <w:bottom w:val="none" w:sz="0" w:space="0" w:color="auto"/>
            <w:right w:val="none" w:sz="0" w:space="0" w:color="auto"/>
          </w:divBdr>
        </w:div>
      </w:divsChild>
    </w:div>
    <w:div w:id="1127041827">
      <w:bodyDiv w:val="1"/>
      <w:marLeft w:val="0"/>
      <w:marRight w:val="0"/>
      <w:marTop w:val="0"/>
      <w:marBottom w:val="0"/>
      <w:divBdr>
        <w:top w:val="none" w:sz="0" w:space="0" w:color="auto"/>
        <w:left w:val="none" w:sz="0" w:space="0" w:color="auto"/>
        <w:bottom w:val="none" w:sz="0" w:space="0" w:color="auto"/>
        <w:right w:val="none" w:sz="0" w:space="0" w:color="auto"/>
      </w:divBdr>
    </w:div>
    <w:div w:id="1225022999">
      <w:bodyDiv w:val="1"/>
      <w:marLeft w:val="0"/>
      <w:marRight w:val="0"/>
      <w:marTop w:val="0"/>
      <w:marBottom w:val="0"/>
      <w:divBdr>
        <w:top w:val="none" w:sz="0" w:space="0" w:color="auto"/>
        <w:left w:val="none" w:sz="0" w:space="0" w:color="auto"/>
        <w:bottom w:val="none" w:sz="0" w:space="0" w:color="auto"/>
        <w:right w:val="none" w:sz="0" w:space="0" w:color="auto"/>
      </w:divBdr>
      <w:divsChild>
        <w:div w:id="933049636">
          <w:marLeft w:val="0"/>
          <w:marRight w:val="0"/>
          <w:marTop w:val="0"/>
          <w:marBottom w:val="0"/>
          <w:divBdr>
            <w:top w:val="none" w:sz="0" w:space="0" w:color="auto"/>
            <w:left w:val="none" w:sz="0" w:space="0" w:color="auto"/>
            <w:bottom w:val="none" w:sz="0" w:space="0" w:color="auto"/>
            <w:right w:val="none" w:sz="0" w:space="0" w:color="auto"/>
          </w:divBdr>
        </w:div>
      </w:divsChild>
    </w:div>
    <w:div w:id="1283151696">
      <w:bodyDiv w:val="1"/>
      <w:marLeft w:val="0"/>
      <w:marRight w:val="0"/>
      <w:marTop w:val="0"/>
      <w:marBottom w:val="0"/>
      <w:divBdr>
        <w:top w:val="none" w:sz="0" w:space="0" w:color="auto"/>
        <w:left w:val="none" w:sz="0" w:space="0" w:color="auto"/>
        <w:bottom w:val="none" w:sz="0" w:space="0" w:color="auto"/>
        <w:right w:val="none" w:sz="0" w:space="0" w:color="auto"/>
      </w:divBdr>
    </w:div>
    <w:div w:id="1319577261">
      <w:bodyDiv w:val="1"/>
      <w:marLeft w:val="0"/>
      <w:marRight w:val="0"/>
      <w:marTop w:val="0"/>
      <w:marBottom w:val="0"/>
      <w:divBdr>
        <w:top w:val="none" w:sz="0" w:space="0" w:color="auto"/>
        <w:left w:val="none" w:sz="0" w:space="0" w:color="auto"/>
        <w:bottom w:val="none" w:sz="0" w:space="0" w:color="auto"/>
        <w:right w:val="none" w:sz="0" w:space="0" w:color="auto"/>
      </w:divBdr>
      <w:divsChild>
        <w:div w:id="1633053962">
          <w:marLeft w:val="0"/>
          <w:marRight w:val="0"/>
          <w:marTop w:val="0"/>
          <w:marBottom w:val="0"/>
          <w:divBdr>
            <w:top w:val="none" w:sz="0" w:space="0" w:color="auto"/>
            <w:left w:val="none" w:sz="0" w:space="0" w:color="auto"/>
            <w:bottom w:val="none" w:sz="0" w:space="0" w:color="auto"/>
            <w:right w:val="none" w:sz="0" w:space="0" w:color="auto"/>
          </w:divBdr>
        </w:div>
      </w:divsChild>
    </w:div>
    <w:div w:id="1341005079">
      <w:bodyDiv w:val="1"/>
      <w:marLeft w:val="0"/>
      <w:marRight w:val="0"/>
      <w:marTop w:val="0"/>
      <w:marBottom w:val="0"/>
      <w:divBdr>
        <w:top w:val="none" w:sz="0" w:space="0" w:color="auto"/>
        <w:left w:val="none" w:sz="0" w:space="0" w:color="auto"/>
        <w:bottom w:val="none" w:sz="0" w:space="0" w:color="auto"/>
        <w:right w:val="none" w:sz="0" w:space="0" w:color="auto"/>
      </w:divBdr>
    </w:div>
    <w:div w:id="1352878279">
      <w:bodyDiv w:val="1"/>
      <w:marLeft w:val="0"/>
      <w:marRight w:val="0"/>
      <w:marTop w:val="0"/>
      <w:marBottom w:val="0"/>
      <w:divBdr>
        <w:top w:val="none" w:sz="0" w:space="0" w:color="auto"/>
        <w:left w:val="none" w:sz="0" w:space="0" w:color="auto"/>
        <w:bottom w:val="none" w:sz="0" w:space="0" w:color="auto"/>
        <w:right w:val="none" w:sz="0" w:space="0" w:color="auto"/>
      </w:divBdr>
    </w:div>
    <w:div w:id="1423917138">
      <w:bodyDiv w:val="1"/>
      <w:marLeft w:val="0"/>
      <w:marRight w:val="0"/>
      <w:marTop w:val="0"/>
      <w:marBottom w:val="0"/>
      <w:divBdr>
        <w:top w:val="none" w:sz="0" w:space="0" w:color="auto"/>
        <w:left w:val="none" w:sz="0" w:space="0" w:color="auto"/>
        <w:bottom w:val="none" w:sz="0" w:space="0" w:color="auto"/>
        <w:right w:val="none" w:sz="0" w:space="0" w:color="auto"/>
      </w:divBdr>
      <w:divsChild>
        <w:div w:id="1976829254">
          <w:marLeft w:val="0"/>
          <w:marRight w:val="0"/>
          <w:marTop w:val="0"/>
          <w:marBottom w:val="0"/>
          <w:divBdr>
            <w:top w:val="none" w:sz="0" w:space="0" w:color="auto"/>
            <w:left w:val="none" w:sz="0" w:space="0" w:color="auto"/>
            <w:bottom w:val="none" w:sz="0" w:space="0" w:color="auto"/>
            <w:right w:val="none" w:sz="0" w:space="0" w:color="auto"/>
          </w:divBdr>
        </w:div>
      </w:divsChild>
    </w:div>
    <w:div w:id="1446346657">
      <w:bodyDiv w:val="1"/>
      <w:marLeft w:val="0"/>
      <w:marRight w:val="0"/>
      <w:marTop w:val="0"/>
      <w:marBottom w:val="0"/>
      <w:divBdr>
        <w:top w:val="none" w:sz="0" w:space="0" w:color="auto"/>
        <w:left w:val="none" w:sz="0" w:space="0" w:color="auto"/>
        <w:bottom w:val="none" w:sz="0" w:space="0" w:color="auto"/>
        <w:right w:val="none" w:sz="0" w:space="0" w:color="auto"/>
      </w:divBdr>
    </w:div>
    <w:div w:id="1572930605">
      <w:bodyDiv w:val="1"/>
      <w:marLeft w:val="0"/>
      <w:marRight w:val="0"/>
      <w:marTop w:val="0"/>
      <w:marBottom w:val="0"/>
      <w:divBdr>
        <w:top w:val="none" w:sz="0" w:space="0" w:color="auto"/>
        <w:left w:val="none" w:sz="0" w:space="0" w:color="auto"/>
        <w:bottom w:val="none" w:sz="0" w:space="0" w:color="auto"/>
        <w:right w:val="none" w:sz="0" w:space="0" w:color="auto"/>
      </w:divBdr>
    </w:div>
    <w:div w:id="1647008294">
      <w:bodyDiv w:val="1"/>
      <w:marLeft w:val="0"/>
      <w:marRight w:val="0"/>
      <w:marTop w:val="0"/>
      <w:marBottom w:val="0"/>
      <w:divBdr>
        <w:top w:val="none" w:sz="0" w:space="0" w:color="auto"/>
        <w:left w:val="none" w:sz="0" w:space="0" w:color="auto"/>
        <w:bottom w:val="none" w:sz="0" w:space="0" w:color="auto"/>
        <w:right w:val="none" w:sz="0" w:space="0" w:color="auto"/>
      </w:divBdr>
    </w:div>
    <w:div w:id="1652325527">
      <w:bodyDiv w:val="1"/>
      <w:marLeft w:val="0"/>
      <w:marRight w:val="0"/>
      <w:marTop w:val="0"/>
      <w:marBottom w:val="0"/>
      <w:divBdr>
        <w:top w:val="none" w:sz="0" w:space="0" w:color="auto"/>
        <w:left w:val="none" w:sz="0" w:space="0" w:color="auto"/>
        <w:bottom w:val="none" w:sz="0" w:space="0" w:color="auto"/>
        <w:right w:val="none" w:sz="0" w:space="0" w:color="auto"/>
      </w:divBdr>
      <w:divsChild>
        <w:div w:id="421488937">
          <w:marLeft w:val="0"/>
          <w:marRight w:val="0"/>
          <w:marTop w:val="0"/>
          <w:marBottom w:val="0"/>
          <w:divBdr>
            <w:top w:val="none" w:sz="0" w:space="0" w:color="auto"/>
            <w:left w:val="none" w:sz="0" w:space="0" w:color="auto"/>
            <w:bottom w:val="none" w:sz="0" w:space="0" w:color="auto"/>
            <w:right w:val="none" w:sz="0" w:space="0" w:color="auto"/>
          </w:divBdr>
          <w:divsChild>
            <w:div w:id="166599492">
              <w:marLeft w:val="0"/>
              <w:marRight w:val="0"/>
              <w:marTop w:val="0"/>
              <w:marBottom w:val="0"/>
              <w:divBdr>
                <w:top w:val="none" w:sz="0" w:space="0" w:color="auto"/>
                <w:left w:val="none" w:sz="0" w:space="0" w:color="auto"/>
                <w:bottom w:val="none" w:sz="0" w:space="0" w:color="auto"/>
                <w:right w:val="none" w:sz="0" w:space="0" w:color="auto"/>
              </w:divBdr>
              <w:divsChild>
                <w:div w:id="584343549">
                  <w:marLeft w:val="0"/>
                  <w:marRight w:val="0"/>
                  <w:marTop w:val="0"/>
                  <w:marBottom w:val="0"/>
                  <w:divBdr>
                    <w:top w:val="none" w:sz="0" w:space="0" w:color="auto"/>
                    <w:left w:val="none" w:sz="0" w:space="0" w:color="auto"/>
                    <w:bottom w:val="none" w:sz="0" w:space="0" w:color="auto"/>
                    <w:right w:val="none" w:sz="0" w:space="0" w:color="auto"/>
                  </w:divBdr>
                  <w:divsChild>
                    <w:div w:id="1326397638">
                      <w:marLeft w:val="2325"/>
                      <w:marRight w:val="0"/>
                      <w:marTop w:val="0"/>
                      <w:marBottom w:val="0"/>
                      <w:divBdr>
                        <w:top w:val="none" w:sz="0" w:space="0" w:color="auto"/>
                        <w:left w:val="none" w:sz="0" w:space="0" w:color="auto"/>
                        <w:bottom w:val="none" w:sz="0" w:space="0" w:color="auto"/>
                        <w:right w:val="none" w:sz="0" w:space="0" w:color="auto"/>
                      </w:divBdr>
                      <w:divsChild>
                        <w:div w:id="1988512745">
                          <w:marLeft w:val="0"/>
                          <w:marRight w:val="0"/>
                          <w:marTop w:val="0"/>
                          <w:marBottom w:val="0"/>
                          <w:divBdr>
                            <w:top w:val="none" w:sz="0" w:space="0" w:color="auto"/>
                            <w:left w:val="none" w:sz="0" w:space="0" w:color="auto"/>
                            <w:bottom w:val="none" w:sz="0" w:space="0" w:color="auto"/>
                            <w:right w:val="none" w:sz="0" w:space="0" w:color="auto"/>
                          </w:divBdr>
                          <w:divsChild>
                            <w:div w:id="347098481">
                              <w:marLeft w:val="0"/>
                              <w:marRight w:val="0"/>
                              <w:marTop w:val="0"/>
                              <w:marBottom w:val="0"/>
                              <w:divBdr>
                                <w:top w:val="none" w:sz="0" w:space="0" w:color="auto"/>
                                <w:left w:val="none" w:sz="0" w:space="0" w:color="auto"/>
                                <w:bottom w:val="none" w:sz="0" w:space="0" w:color="auto"/>
                                <w:right w:val="none" w:sz="0" w:space="0" w:color="auto"/>
                              </w:divBdr>
                              <w:divsChild>
                                <w:div w:id="1839804660">
                                  <w:marLeft w:val="0"/>
                                  <w:marRight w:val="0"/>
                                  <w:marTop w:val="0"/>
                                  <w:marBottom w:val="0"/>
                                  <w:divBdr>
                                    <w:top w:val="none" w:sz="0" w:space="0" w:color="auto"/>
                                    <w:left w:val="none" w:sz="0" w:space="0" w:color="auto"/>
                                    <w:bottom w:val="none" w:sz="0" w:space="0" w:color="auto"/>
                                    <w:right w:val="none" w:sz="0" w:space="0" w:color="auto"/>
                                  </w:divBdr>
                                  <w:divsChild>
                                    <w:div w:id="2095658928">
                                      <w:marLeft w:val="0"/>
                                      <w:marRight w:val="0"/>
                                      <w:marTop w:val="0"/>
                                      <w:marBottom w:val="0"/>
                                      <w:divBdr>
                                        <w:top w:val="none" w:sz="0" w:space="0" w:color="auto"/>
                                        <w:left w:val="none" w:sz="0" w:space="0" w:color="auto"/>
                                        <w:bottom w:val="none" w:sz="0" w:space="0" w:color="auto"/>
                                        <w:right w:val="none" w:sz="0" w:space="0" w:color="auto"/>
                                      </w:divBdr>
                                      <w:divsChild>
                                        <w:div w:id="721366120">
                                          <w:marLeft w:val="0"/>
                                          <w:marRight w:val="0"/>
                                          <w:marTop w:val="0"/>
                                          <w:marBottom w:val="0"/>
                                          <w:divBdr>
                                            <w:top w:val="none" w:sz="0" w:space="0" w:color="auto"/>
                                            <w:left w:val="none" w:sz="0" w:space="0" w:color="auto"/>
                                            <w:bottom w:val="none" w:sz="0" w:space="0" w:color="auto"/>
                                            <w:right w:val="none" w:sz="0" w:space="0" w:color="auto"/>
                                          </w:divBdr>
                                          <w:divsChild>
                                            <w:div w:id="1299870889">
                                              <w:marLeft w:val="0"/>
                                              <w:marRight w:val="0"/>
                                              <w:marTop w:val="0"/>
                                              <w:marBottom w:val="0"/>
                                              <w:divBdr>
                                                <w:top w:val="none" w:sz="0" w:space="0" w:color="auto"/>
                                                <w:left w:val="none" w:sz="0" w:space="0" w:color="auto"/>
                                                <w:bottom w:val="none" w:sz="0" w:space="0" w:color="auto"/>
                                                <w:right w:val="none" w:sz="0" w:space="0" w:color="auto"/>
                                              </w:divBdr>
                                              <w:divsChild>
                                                <w:div w:id="1994791883">
                                                  <w:marLeft w:val="0"/>
                                                  <w:marRight w:val="0"/>
                                                  <w:marTop w:val="0"/>
                                                  <w:marBottom w:val="0"/>
                                                  <w:divBdr>
                                                    <w:top w:val="none" w:sz="0" w:space="0" w:color="auto"/>
                                                    <w:left w:val="none" w:sz="0" w:space="0" w:color="auto"/>
                                                    <w:bottom w:val="none" w:sz="0" w:space="0" w:color="auto"/>
                                                    <w:right w:val="none" w:sz="0" w:space="0" w:color="auto"/>
                                                  </w:divBdr>
                                                  <w:divsChild>
                                                    <w:div w:id="1403261082">
                                                      <w:marLeft w:val="0"/>
                                                      <w:marRight w:val="0"/>
                                                      <w:marTop w:val="0"/>
                                                      <w:marBottom w:val="0"/>
                                                      <w:divBdr>
                                                        <w:top w:val="none" w:sz="0" w:space="0" w:color="auto"/>
                                                        <w:left w:val="none" w:sz="0" w:space="0" w:color="auto"/>
                                                        <w:bottom w:val="none" w:sz="0" w:space="0" w:color="auto"/>
                                                        <w:right w:val="none" w:sz="0" w:space="0" w:color="auto"/>
                                                      </w:divBdr>
                                                      <w:divsChild>
                                                        <w:div w:id="746343835">
                                                          <w:marLeft w:val="0"/>
                                                          <w:marRight w:val="0"/>
                                                          <w:marTop w:val="15"/>
                                                          <w:marBottom w:val="15"/>
                                                          <w:divBdr>
                                                            <w:top w:val="none" w:sz="0" w:space="0" w:color="auto"/>
                                                            <w:left w:val="none" w:sz="0" w:space="0" w:color="auto"/>
                                                            <w:bottom w:val="none" w:sz="0" w:space="0" w:color="auto"/>
                                                            <w:right w:val="none" w:sz="0" w:space="0" w:color="auto"/>
                                                          </w:divBdr>
                                                          <w:divsChild>
                                                            <w:div w:id="420953050">
                                                              <w:marLeft w:val="0"/>
                                                              <w:marRight w:val="0"/>
                                                              <w:marTop w:val="0"/>
                                                              <w:marBottom w:val="0"/>
                                                              <w:divBdr>
                                                                <w:top w:val="none" w:sz="0" w:space="0" w:color="auto"/>
                                                                <w:left w:val="none" w:sz="0" w:space="0" w:color="auto"/>
                                                                <w:bottom w:val="none" w:sz="0" w:space="0" w:color="auto"/>
                                                                <w:right w:val="none" w:sz="0" w:space="0" w:color="auto"/>
                                                              </w:divBdr>
                                                              <w:divsChild>
                                                                <w:div w:id="1451508521">
                                                                  <w:marLeft w:val="0"/>
                                                                  <w:marRight w:val="0"/>
                                                                  <w:marTop w:val="0"/>
                                                                  <w:marBottom w:val="0"/>
                                                                  <w:divBdr>
                                                                    <w:top w:val="none" w:sz="0" w:space="0" w:color="auto"/>
                                                                    <w:left w:val="none" w:sz="0" w:space="0" w:color="auto"/>
                                                                    <w:bottom w:val="none" w:sz="0" w:space="0" w:color="auto"/>
                                                                    <w:right w:val="none" w:sz="0" w:space="0" w:color="auto"/>
                                                                  </w:divBdr>
                                                                  <w:divsChild>
                                                                    <w:div w:id="336738887">
                                                                      <w:marLeft w:val="0"/>
                                                                      <w:marRight w:val="0"/>
                                                                      <w:marTop w:val="0"/>
                                                                      <w:marBottom w:val="0"/>
                                                                      <w:divBdr>
                                                                        <w:top w:val="none" w:sz="0" w:space="0" w:color="auto"/>
                                                                        <w:left w:val="none" w:sz="0" w:space="0" w:color="auto"/>
                                                                        <w:bottom w:val="none" w:sz="0" w:space="0" w:color="auto"/>
                                                                        <w:right w:val="none" w:sz="0" w:space="0" w:color="auto"/>
                                                                      </w:divBdr>
                                                                      <w:divsChild>
                                                                        <w:div w:id="279529876">
                                                                          <w:marLeft w:val="0"/>
                                                                          <w:marRight w:val="0"/>
                                                                          <w:marTop w:val="0"/>
                                                                          <w:marBottom w:val="0"/>
                                                                          <w:divBdr>
                                                                            <w:top w:val="none" w:sz="0" w:space="0" w:color="auto"/>
                                                                            <w:left w:val="none" w:sz="0" w:space="0" w:color="auto"/>
                                                                            <w:bottom w:val="none" w:sz="0" w:space="0" w:color="auto"/>
                                                                            <w:right w:val="none" w:sz="0" w:space="0" w:color="auto"/>
                                                                          </w:divBdr>
                                                                          <w:divsChild>
                                                                            <w:div w:id="455299996">
                                                                              <w:marLeft w:val="0"/>
                                                                              <w:marRight w:val="0"/>
                                                                              <w:marTop w:val="0"/>
                                                                              <w:marBottom w:val="0"/>
                                                                              <w:divBdr>
                                                                                <w:top w:val="none" w:sz="0" w:space="0" w:color="auto"/>
                                                                                <w:left w:val="none" w:sz="0" w:space="0" w:color="auto"/>
                                                                                <w:bottom w:val="none" w:sz="0" w:space="0" w:color="auto"/>
                                                                                <w:right w:val="none" w:sz="0" w:space="0" w:color="auto"/>
                                                                              </w:divBdr>
                                                                              <w:divsChild>
                                                                                <w:div w:id="1721709142">
                                                                                  <w:marLeft w:val="0"/>
                                                                                  <w:marRight w:val="0"/>
                                                                                  <w:marTop w:val="0"/>
                                                                                  <w:marBottom w:val="0"/>
                                                                                  <w:divBdr>
                                                                                    <w:top w:val="none" w:sz="0" w:space="0" w:color="auto"/>
                                                                                    <w:left w:val="none" w:sz="0" w:space="0" w:color="auto"/>
                                                                                    <w:bottom w:val="none" w:sz="0" w:space="0" w:color="auto"/>
                                                                                    <w:right w:val="none" w:sz="0" w:space="0" w:color="auto"/>
                                                                                  </w:divBdr>
                                                                                  <w:divsChild>
                                                                                    <w:div w:id="1334409477">
                                                                                      <w:marLeft w:val="0"/>
                                                                                      <w:marRight w:val="0"/>
                                                                                      <w:marTop w:val="0"/>
                                                                                      <w:marBottom w:val="0"/>
                                                                                      <w:divBdr>
                                                                                        <w:top w:val="none" w:sz="0" w:space="0" w:color="auto"/>
                                                                                        <w:left w:val="none" w:sz="0" w:space="0" w:color="auto"/>
                                                                                        <w:bottom w:val="none" w:sz="0" w:space="0" w:color="auto"/>
                                                                                        <w:right w:val="none" w:sz="0" w:space="0" w:color="auto"/>
                                                                                      </w:divBdr>
                                                                                      <w:divsChild>
                                                                                        <w:div w:id="1203245876">
                                                                                          <w:marLeft w:val="0"/>
                                                                                          <w:marRight w:val="0"/>
                                                                                          <w:marTop w:val="0"/>
                                                                                          <w:marBottom w:val="0"/>
                                                                                          <w:divBdr>
                                                                                            <w:top w:val="none" w:sz="0" w:space="0" w:color="auto"/>
                                                                                            <w:left w:val="none" w:sz="0" w:space="0" w:color="auto"/>
                                                                                            <w:bottom w:val="none" w:sz="0" w:space="0" w:color="auto"/>
                                                                                            <w:right w:val="none" w:sz="0" w:space="0" w:color="auto"/>
                                                                                          </w:divBdr>
                                                                                          <w:divsChild>
                                                                                            <w:div w:id="982543266">
                                                                                              <w:marLeft w:val="0"/>
                                                                                              <w:marRight w:val="0"/>
                                                                                              <w:marTop w:val="0"/>
                                                                                              <w:marBottom w:val="0"/>
                                                                                              <w:divBdr>
                                                                                                <w:top w:val="none" w:sz="0" w:space="0" w:color="auto"/>
                                                                                                <w:left w:val="none" w:sz="0" w:space="0" w:color="auto"/>
                                                                                                <w:bottom w:val="none" w:sz="0" w:space="0" w:color="auto"/>
                                                                                                <w:right w:val="none" w:sz="0" w:space="0" w:color="auto"/>
                                                                                              </w:divBdr>
                                                                                              <w:divsChild>
                                                                                                <w:div w:id="1430079688">
                                                                                                  <w:marLeft w:val="0"/>
                                                                                                  <w:marRight w:val="0"/>
                                                                                                  <w:marTop w:val="0"/>
                                                                                                  <w:marBottom w:val="0"/>
                                                                                                  <w:divBdr>
                                                                                                    <w:top w:val="none" w:sz="0" w:space="0" w:color="auto"/>
                                                                                                    <w:left w:val="none" w:sz="0" w:space="0" w:color="auto"/>
                                                                                                    <w:bottom w:val="none" w:sz="0" w:space="0" w:color="auto"/>
                                                                                                    <w:right w:val="none" w:sz="0" w:space="0" w:color="auto"/>
                                                                                                  </w:divBdr>
                                                                                                  <w:divsChild>
                                                                                                    <w:div w:id="62217148">
                                                                                                      <w:marLeft w:val="0"/>
                                                                                                      <w:marRight w:val="0"/>
                                                                                                      <w:marTop w:val="0"/>
                                                                                                      <w:marBottom w:val="0"/>
                                                                                                      <w:divBdr>
                                                                                                        <w:top w:val="none" w:sz="0" w:space="0" w:color="auto"/>
                                                                                                        <w:left w:val="none" w:sz="0" w:space="0" w:color="auto"/>
                                                                                                        <w:bottom w:val="none" w:sz="0" w:space="0" w:color="auto"/>
                                                                                                        <w:right w:val="none" w:sz="0" w:space="0" w:color="auto"/>
                                                                                                      </w:divBdr>
                                                                                                      <w:divsChild>
                                                                                                        <w:div w:id="204448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3246237">
      <w:bodyDiv w:val="1"/>
      <w:marLeft w:val="0"/>
      <w:marRight w:val="0"/>
      <w:marTop w:val="0"/>
      <w:marBottom w:val="0"/>
      <w:divBdr>
        <w:top w:val="none" w:sz="0" w:space="0" w:color="auto"/>
        <w:left w:val="none" w:sz="0" w:space="0" w:color="auto"/>
        <w:bottom w:val="none" w:sz="0" w:space="0" w:color="auto"/>
        <w:right w:val="none" w:sz="0" w:space="0" w:color="auto"/>
      </w:divBdr>
    </w:div>
    <w:div w:id="1920403121">
      <w:bodyDiv w:val="1"/>
      <w:marLeft w:val="0"/>
      <w:marRight w:val="0"/>
      <w:marTop w:val="0"/>
      <w:marBottom w:val="0"/>
      <w:divBdr>
        <w:top w:val="none" w:sz="0" w:space="0" w:color="auto"/>
        <w:left w:val="none" w:sz="0" w:space="0" w:color="auto"/>
        <w:bottom w:val="none" w:sz="0" w:space="0" w:color="auto"/>
        <w:right w:val="none" w:sz="0" w:space="0" w:color="auto"/>
      </w:divBdr>
    </w:div>
    <w:div w:id="1967467924">
      <w:bodyDiv w:val="1"/>
      <w:marLeft w:val="0"/>
      <w:marRight w:val="0"/>
      <w:marTop w:val="0"/>
      <w:marBottom w:val="0"/>
      <w:divBdr>
        <w:top w:val="none" w:sz="0" w:space="0" w:color="auto"/>
        <w:left w:val="none" w:sz="0" w:space="0" w:color="auto"/>
        <w:bottom w:val="none" w:sz="0" w:space="0" w:color="auto"/>
        <w:right w:val="none" w:sz="0" w:space="0" w:color="auto"/>
      </w:divBdr>
    </w:div>
    <w:div w:id="2080440744">
      <w:bodyDiv w:val="1"/>
      <w:marLeft w:val="0"/>
      <w:marRight w:val="0"/>
      <w:marTop w:val="0"/>
      <w:marBottom w:val="0"/>
      <w:divBdr>
        <w:top w:val="none" w:sz="0" w:space="0" w:color="auto"/>
        <w:left w:val="none" w:sz="0" w:space="0" w:color="auto"/>
        <w:bottom w:val="none" w:sz="0" w:space="0" w:color="auto"/>
        <w:right w:val="none" w:sz="0" w:space="0" w:color="auto"/>
      </w:divBdr>
      <w:divsChild>
        <w:div w:id="482626885">
          <w:marLeft w:val="0"/>
          <w:marRight w:val="0"/>
          <w:marTop w:val="0"/>
          <w:marBottom w:val="0"/>
          <w:divBdr>
            <w:top w:val="none" w:sz="0" w:space="0" w:color="auto"/>
            <w:left w:val="none" w:sz="0" w:space="0" w:color="auto"/>
            <w:bottom w:val="none" w:sz="0" w:space="0" w:color="auto"/>
            <w:right w:val="none" w:sz="0" w:space="0" w:color="auto"/>
          </w:divBdr>
          <w:divsChild>
            <w:div w:id="1090394708">
              <w:marLeft w:val="0"/>
              <w:marRight w:val="0"/>
              <w:marTop w:val="0"/>
              <w:marBottom w:val="0"/>
              <w:divBdr>
                <w:top w:val="none" w:sz="0" w:space="0" w:color="auto"/>
                <w:left w:val="none" w:sz="0" w:space="0" w:color="auto"/>
                <w:bottom w:val="none" w:sz="0" w:space="0" w:color="auto"/>
                <w:right w:val="none" w:sz="0" w:space="0" w:color="auto"/>
              </w:divBdr>
              <w:divsChild>
                <w:div w:id="1027752456">
                  <w:marLeft w:val="0"/>
                  <w:marRight w:val="0"/>
                  <w:marTop w:val="0"/>
                  <w:marBottom w:val="0"/>
                  <w:divBdr>
                    <w:top w:val="none" w:sz="0" w:space="0" w:color="auto"/>
                    <w:left w:val="none" w:sz="0" w:space="0" w:color="auto"/>
                    <w:bottom w:val="none" w:sz="0" w:space="0" w:color="auto"/>
                    <w:right w:val="none" w:sz="0" w:space="0" w:color="auto"/>
                  </w:divBdr>
                  <w:divsChild>
                    <w:div w:id="1281646560">
                      <w:marLeft w:val="0"/>
                      <w:marRight w:val="0"/>
                      <w:marTop w:val="0"/>
                      <w:marBottom w:val="0"/>
                      <w:divBdr>
                        <w:top w:val="none" w:sz="0" w:space="0" w:color="auto"/>
                        <w:left w:val="none" w:sz="0" w:space="0" w:color="auto"/>
                        <w:bottom w:val="none" w:sz="0" w:space="0" w:color="auto"/>
                        <w:right w:val="none" w:sz="0" w:space="0" w:color="auto"/>
                      </w:divBdr>
                      <w:divsChild>
                        <w:div w:id="423303639">
                          <w:marLeft w:val="0"/>
                          <w:marRight w:val="0"/>
                          <w:marTop w:val="0"/>
                          <w:marBottom w:val="0"/>
                          <w:divBdr>
                            <w:top w:val="none" w:sz="0" w:space="0" w:color="auto"/>
                            <w:left w:val="none" w:sz="0" w:space="0" w:color="auto"/>
                            <w:bottom w:val="none" w:sz="0" w:space="0" w:color="auto"/>
                            <w:right w:val="none" w:sz="0" w:space="0" w:color="auto"/>
                          </w:divBdr>
                          <w:divsChild>
                            <w:div w:id="519128867">
                              <w:marLeft w:val="0"/>
                              <w:marRight w:val="0"/>
                              <w:marTop w:val="0"/>
                              <w:marBottom w:val="0"/>
                              <w:divBdr>
                                <w:top w:val="none" w:sz="0" w:space="0" w:color="auto"/>
                                <w:left w:val="none" w:sz="0" w:space="0" w:color="auto"/>
                                <w:bottom w:val="none" w:sz="0" w:space="0" w:color="auto"/>
                                <w:right w:val="none" w:sz="0" w:space="0" w:color="auto"/>
                              </w:divBdr>
                              <w:divsChild>
                                <w:div w:id="605581978">
                                  <w:marLeft w:val="0"/>
                                  <w:marRight w:val="0"/>
                                  <w:marTop w:val="0"/>
                                  <w:marBottom w:val="0"/>
                                  <w:divBdr>
                                    <w:top w:val="none" w:sz="0" w:space="0" w:color="auto"/>
                                    <w:left w:val="none" w:sz="0" w:space="0" w:color="auto"/>
                                    <w:bottom w:val="none" w:sz="0" w:space="0" w:color="auto"/>
                                    <w:right w:val="none" w:sz="0" w:space="0" w:color="auto"/>
                                  </w:divBdr>
                                  <w:divsChild>
                                    <w:div w:id="743455315">
                                      <w:marLeft w:val="0"/>
                                      <w:marRight w:val="0"/>
                                      <w:marTop w:val="0"/>
                                      <w:marBottom w:val="0"/>
                                      <w:divBdr>
                                        <w:top w:val="none" w:sz="0" w:space="0" w:color="auto"/>
                                        <w:left w:val="none" w:sz="0" w:space="0" w:color="auto"/>
                                        <w:bottom w:val="none" w:sz="0" w:space="0" w:color="auto"/>
                                        <w:right w:val="none" w:sz="0" w:space="0" w:color="auto"/>
                                      </w:divBdr>
                                      <w:divsChild>
                                        <w:div w:id="477382358">
                                          <w:marLeft w:val="0"/>
                                          <w:marRight w:val="0"/>
                                          <w:marTop w:val="0"/>
                                          <w:marBottom w:val="0"/>
                                          <w:divBdr>
                                            <w:top w:val="none" w:sz="0" w:space="0" w:color="auto"/>
                                            <w:left w:val="none" w:sz="0" w:space="0" w:color="auto"/>
                                            <w:bottom w:val="none" w:sz="0" w:space="0" w:color="auto"/>
                                            <w:right w:val="none" w:sz="0" w:space="0" w:color="auto"/>
                                          </w:divBdr>
                                          <w:divsChild>
                                            <w:div w:id="22560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04379645">
      <w:bodyDiv w:val="1"/>
      <w:marLeft w:val="0"/>
      <w:marRight w:val="0"/>
      <w:marTop w:val="0"/>
      <w:marBottom w:val="0"/>
      <w:divBdr>
        <w:top w:val="none" w:sz="0" w:space="0" w:color="auto"/>
        <w:left w:val="none" w:sz="0" w:space="0" w:color="auto"/>
        <w:bottom w:val="none" w:sz="0" w:space="0" w:color="auto"/>
        <w:right w:val="none" w:sz="0" w:space="0" w:color="auto"/>
      </w:divBdr>
      <w:divsChild>
        <w:div w:id="16842385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customXml" Target="../customXml/item4.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customXml" Target="../customXml/item3.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customXml" Target="../customXml/item2.xml"/></Relationships>
</file>

<file path=word/_rels/footer4.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3.jpeg"/></Relationships>
</file>

<file path=word/theme/_rels/theme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blipFill dpi="0" rotWithShape="0">
          <a:blip xmlns:r="http://schemas.openxmlformats.org/officeDocument/2006/relationships"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a:spPr>
      <a:bodyPr rot="0" vert="horz" wrap="square" lIns="91440" tIns="91440" rIns="91440" bIns="9144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89AEE8A-60AE-4B6B-9173-33AA87EDE4E0}"/>
</file>

<file path=customXml/itemProps2.xml><?xml version="1.0" encoding="utf-8"?>
<ds:datastoreItem xmlns:ds="http://schemas.openxmlformats.org/officeDocument/2006/customXml" ds:itemID="{E26D59FE-27EE-4A73-92B1-62DCC66AB310}"/>
</file>

<file path=customXml/itemProps3.xml><?xml version="1.0" encoding="utf-8"?>
<ds:datastoreItem xmlns:ds="http://schemas.openxmlformats.org/officeDocument/2006/customXml" ds:itemID="{34D0E994-D2E5-44C8-BC0D-69B709F431D5}"/>
</file>

<file path=customXml/itemProps4.xml><?xml version="1.0" encoding="utf-8"?>
<ds:datastoreItem xmlns:ds="http://schemas.openxmlformats.org/officeDocument/2006/customXml" ds:itemID="{AF5888B5-84B6-4178-B025-40CEE93D81A6}"/>
</file>

<file path=docProps/app.xml><?xml version="1.0" encoding="utf-8"?>
<Properties xmlns="http://schemas.openxmlformats.org/officeDocument/2006/extended-properties" xmlns:vt="http://schemas.openxmlformats.org/officeDocument/2006/docPropsVTypes">
  <Template>DEB70208</Template>
  <TotalTime>0</TotalTime>
  <Pages>17</Pages>
  <Words>6019</Words>
  <Characters>34313</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40252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2014-10-28T23:21:00Z</dcterms:created>
  <dcterms:modified xsi:type="dcterms:W3CDTF">2014-10-28T23:21:00Z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Order">
    <vt:r8>906300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