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29FE14" w14:textId="77777777" w:rsidR="00230777" w:rsidRPr="00867443" w:rsidRDefault="00230777" w:rsidP="00230777">
      <w:pPr>
        <w:pStyle w:val="Title"/>
        <w:rPr>
          <w:sz w:val="16"/>
          <w:szCs w:val="16"/>
        </w:rPr>
      </w:pPr>
    </w:p>
    <w:p w14:paraId="13050688" w14:textId="77777777" w:rsidR="00494F98" w:rsidRDefault="00494F98" w:rsidP="00EB398C">
      <w:pPr>
        <w:pStyle w:val="Title"/>
        <w:rPr>
          <w:sz w:val="36"/>
          <w:szCs w:val="36"/>
        </w:rPr>
      </w:pPr>
    </w:p>
    <w:p w14:paraId="42D84AE6" w14:textId="77777777" w:rsidR="00EB398C" w:rsidRDefault="00494F98" w:rsidP="00EB398C">
      <w:pPr>
        <w:pStyle w:val="Title"/>
        <w:rPr>
          <w:sz w:val="36"/>
          <w:szCs w:val="36"/>
        </w:rPr>
      </w:pPr>
      <w:r>
        <w:rPr>
          <w:sz w:val="36"/>
          <w:szCs w:val="36"/>
        </w:rPr>
        <w:t xml:space="preserve">2019-20 </w:t>
      </w:r>
      <w:r w:rsidR="00D87DCB">
        <w:rPr>
          <w:sz w:val="36"/>
          <w:szCs w:val="36"/>
        </w:rPr>
        <w:t>NEPAL</w:t>
      </w:r>
      <w:r w:rsidR="00235EAB">
        <w:rPr>
          <w:sz w:val="36"/>
          <w:szCs w:val="36"/>
        </w:rPr>
        <w:t xml:space="preserve"> </w:t>
      </w:r>
      <w:r w:rsidR="004C5598">
        <w:rPr>
          <w:sz w:val="36"/>
          <w:szCs w:val="36"/>
        </w:rPr>
        <w:t>development program progress report</w:t>
      </w:r>
      <w:r w:rsidR="00660121">
        <w:rPr>
          <w:sz w:val="36"/>
          <w:szCs w:val="36"/>
        </w:rPr>
        <w:t xml:space="preserve">  </w:t>
      </w:r>
    </w:p>
    <w:p w14:paraId="7EBE3BEF"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9.1&#10;Regional – 5.0&#10;Global – 7.4&#10;Other Government Departments – 1.0&#10;Total Australian ODA – 22.5&#10;Note. Actual expenditure is expected to be available in December 2020&#10;"/>
      </w:tblPr>
      <w:tblGrid>
        <w:gridCol w:w="3715"/>
        <w:gridCol w:w="1551"/>
      </w:tblGrid>
      <w:tr w:rsidR="003C3B44" w:rsidRPr="007E3FF9" w14:paraId="4D2505E8" w14:textId="77777777" w:rsidTr="00F857E7">
        <w:trPr>
          <w:trHeight w:hRule="exact" w:val="680"/>
        </w:trPr>
        <w:tc>
          <w:tcPr>
            <w:tcW w:w="3715" w:type="dxa"/>
            <w:shd w:val="clear" w:color="auto" w:fill="C1E7E0" w:themeFill="accent1" w:themeFillTint="66"/>
            <w:vAlign w:val="center"/>
          </w:tcPr>
          <w:p w14:paraId="51163247" w14:textId="77777777" w:rsidR="003C3B44" w:rsidRPr="004B09C3" w:rsidRDefault="003C3B44" w:rsidP="00F857E7">
            <w:pPr>
              <w:pStyle w:val="NormalWeb"/>
              <w:spacing w:before="120" w:beforeAutospacing="0" w:after="60" w:afterAutospacing="0" w:line="200" w:lineRule="exact"/>
              <w:jc w:val="center"/>
              <w:rPr>
                <w:rFonts w:asciiTheme="minorHAnsi" w:hAnsiTheme="minorHAnsi" w:cstheme="minorHAnsi"/>
                <w:b/>
                <w:bCs/>
                <w:kern w:val="24"/>
                <w:sz w:val="22"/>
                <w:szCs w:val="20"/>
              </w:rPr>
            </w:pPr>
            <w:r w:rsidRPr="004B09C3">
              <w:rPr>
                <w:rFonts w:asciiTheme="minorHAnsi" w:hAnsiTheme="minorHAnsi" w:cstheme="minorHAnsi"/>
                <w:b/>
                <w:sz w:val="22"/>
              </w:rPr>
              <w:t>Program Budget</w:t>
            </w:r>
          </w:p>
        </w:tc>
        <w:tc>
          <w:tcPr>
            <w:tcW w:w="1551" w:type="dxa"/>
            <w:shd w:val="clear" w:color="auto" w:fill="C1E7E0" w:themeFill="accent1" w:themeFillTint="66"/>
            <w:vAlign w:val="center"/>
          </w:tcPr>
          <w:p w14:paraId="5B93B8CA" w14:textId="77777777" w:rsidR="003C3B44" w:rsidRPr="004B09C3" w:rsidRDefault="003C3B44" w:rsidP="00F857E7">
            <w:pPr>
              <w:pStyle w:val="NormalWeb"/>
              <w:spacing w:before="120" w:beforeAutospacing="0" w:after="60" w:afterAutospacing="0" w:line="200" w:lineRule="exact"/>
              <w:jc w:val="center"/>
              <w:rPr>
                <w:rFonts w:asciiTheme="minorHAnsi" w:hAnsiTheme="minorHAnsi" w:cstheme="minorHAnsi"/>
                <w:b/>
                <w:bCs/>
                <w:kern w:val="24"/>
                <w:sz w:val="20"/>
                <w:szCs w:val="20"/>
              </w:rPr>
            </w:pPr>
            <w:r w:rsidRPr="004B09C3">
              <w:rPr>
                <w:rFonts w:asciiTheme="minorHAnsi" w:hAnsiTheme="minorHAnsi" w:cstheme="minorHAnsi"/>
                <w:b/>
                <w:bCs/>
                <w:kern w:val="24"/>
                <w:sz w:val="20"/>
                <w:szCs w:val="20"/>
              </w:rPr>
              <w:t>2019-20 Budget Estimate ($m)</w:t>
            </w:r>
            <w:r w:rsidRPr="004B09C3">
              <w:rPr>
                <w:rFonts w:asciiTheme="minorHAnsi" w:hAnsiTheme="minorHAnsi" w:cstheme="minorHAnsi"/>
                <w:b/>
                <w:bCs/>
                <w:kern w:val="24"/>
                <w:sz w:val="20"/>
                <w:szCs w:val="20"/>
                <w:vertAlign w:val="superscript"/>
              </w:rPr>
              <w:t>*</w:t>
            </w:r>
          </w:p>
        </w:tc>
      </w:tr>
      <w:tr w:rsidR="003C3B44" w14:paraId="2F72FF75" w14:textId="77777777" w:rsidTr="00F857E7">
        <w:trPr>
          <w:trHeight w:hRule="exact" w:val="454"/>
        </w:trPr>
        <w:tc>
          <w:tcPr>
            <w:tcW w:w="3715" w:type="dxa"/>
            <w:shd w:val="clear" w:color="auto" w:fill="auto"/>
            <w:vAlign w:val="bottom"/>
          </w:tcPr>
          <w:p w14:paraId="20607E09" w14:textId="77777777" w:rsidR="003C3B44" w:rsidRPr="00A67681" w:rsidRDefault="003C3B44" w:rsidP="00F857E7">
            <w:pPr>
              <w:pStyle w:val="NormalWeb"/>
              <w:spacing w:before="20" w:beforeAutospacing="0" w:after="20" w:afterAutospacing="0"/>
              <w:ind w:right="172"/>
              <w:rPr>
                <w:rFonts w:asciiTheme="minorHAnsi" w:hAnsiTheme="minorHAnsi" w:cstheme="minorHAnsi"/>
                <w:sz w:val="20"/>
                <w:szCs w:val="20"/>
              </w:rPr>
            </w:pPr>
            <w:r w:rsidRPr="004452E8">
              <w:rPr>
                <w:rFonts w:asciiTheme="minorHAnsi" w:hAnsiTheme="minorHAnsi" w:cstheme="minorHAnsi"/>
                <w:color w:val="000000" w:themeColor="dark1"/>
                <w:kern w:val="24"/>
                <w:sz w:val="20"/>
                <w:szCs w:val="20"/>
              </w:rPr>
              <w:t>Bilateral</w:t>
            </w:r>
          </w:p>
        </w:tc>
        <w:tc>
          <w:tcPr>
            <w:tcW w:w="1551" w:type="dxa"/>
            <w:vAlign w:val="bottom"/>
          </w:tcPr>
          <w:p w14:paraId="30CFD033" w14:textId="77777777" w:rsidR="003C3B44" w:rsidRPr="00A67681" w:rsidRDefault="003C3B44" w:rsidP="00F857E7">
            <w:pPr>
              <w:pStyle w:val="NormalWeb"/>
              <w:spacing w:before="20" w:beforeAutospacing="0" w:after="20" w:afterAutospacing="0"/>
              <w:ind w:right="172"/>
              <w:jc w:val="right"/>
              <w:rPr>
                <w:rFonts w:asciiTheme="minorHAnsi" w:hAnsiTheme="minorHAnsi" w:cstheme="minorHAnsi"/>
                <w:sz w:val="20"/>
                <w:szCs w:val="20"/>
              </w:rPr>
            </w:pPr>
            <w:r>
              <w:rPr>
                <w:rFonts w:asciiTheme="minorHAnsi" w:hAnsiTheme="minorHAnsi" w:cstheme="minorHAnsi"/>
                <w:sz w:val="20"/>
                <w:szCs w:val="20"/>
              </w:rPr>
              <w:t>9.1</w:t>
            </w:r>
          </w:p>
        </w:tc>
      </w:tr>
      <w:tr w:rsidR="003C3B44" w14:paraId="55CD9B16" w14:textId="77777777" w:rsidTr="00F857E7">
        <w:trPr>
          <w:trHeight w:hRule="exact" w:val="454"/>
        </w:trPr>
        <w:tc>
          <w:tcPr>
            <w:tcW w:w="3715" w:type="dxa"/>
            <w:shd w:val="clear" w:color="auto" w:fill="auto"/>
            <w:vAlign w:val="bottom"/>
          </w:tcPr>
          <w:p w14:paraId="69BEF78E" w14:textId="77777777" w:rsidR="003C3B44" w:rsidRPr="00A67681" w:rsidRDefault="003C3B44" w:rsidP="00F857E7">
            <w:pPr>
              <w:pStyle w:val="NormalWeb"/>
              <w:spacing w:before="20" w:beforeAutospacing="0" w:after="20" w:afterAutospacing="0"/>
              <w:ind w:right="172"/>
              <w:rPr>
                <w:rFonts w:asciiTheme="minorHAnsi" w:hAnsiTheme="minorHAnsi" w:cstheme="minorHAnsi"/>
                <w:sz w:val="20"/>
                <w:szCs w:val="20"/>
              </w:rPr>
            </w:pPr>
            <w:r w:rsidRPr="004452E8">
              <w:rPr>
                <w:rFonts w:asciiTheme="minorHAnsi" w:hAnsiTheme="minorHAnsi" w:cstheme="minorHAnsi"/>
                <w:color w:val="000000" w:themeColor="dark1"/>
                <w:kern w:val="24"/>
                <w:sz w:val="20"/>
                <w:szCs w:val="20"/>
              </w:rPr>
              <w:t>Regional</w:t>
            </w:r>
          </w:p>
        </w:tc>
        <w:tc>
          <w:tcPr>
            <w:tcW w:w="1551" w:type="dxa"/>
            <w:vAlign w:val="bottom"/>
          </w:tcPr>
          <w:p w14:paraId="5E2BEA6F" w14:textId="77777777" w:rsidR="003C3B44" w:rsidRPr="00A67681" w:rsidRDefault="003C3B44" w:rsidP="00F857E7">
            <w:pPr>
              <w:pStyle w:val="NormalWeb"/>
              <w:spacing w:before="20" w:beforeAutospacing="0" w:after="20" w:afterAutospacing="0"/>
              <w:ind w:right="172"/>
              <w:jc w:val="right"/>
              <w:rPr>
                <w:rFonts w:asciiTheme="minorHAnsi" w:hAnsiTheme="minorHAnsi" w:cstheme="minorHAnsi"/>
                <w:sz w:val="20"/>
                <w:szCs w:val="20"/>
              </w:rPr>
            </w:pPr>
            <w:r>
              <w:rPr>
                <w:rFonts w:asciiTheme="minorHAnsi" w:hAnsiTheme="minorHAnsi" w:cstheme="minorHAnsi"/>
                <w:sz w:val="20"/>
                <w:szCs w:val="20"/>
              </w:rPr>
              <w:t>5.0</w:t>
            </w:r>
          </w:p>
        </w:tc>
      </w:tr>
      <w:tr w:rsidR="003C3B44" w14:paraId="7B7070AF" w14:textId="77777777" w:rsidTr="00F857E7">
        <w:trPr>
          <w:trHeight w:hRule="exact" w:val="454"/>
        </w:trPr>
        <w:tc>
          <w:tcPr>
            <w:tcW w:w="3715" w:type="dxa"/>
            <w:shd w:val="clear" w:color="auto" w:fill="auto"/>
            <w:vAlign w:val="bottom"/>
          </w:tcPr>
          <w:p w14:paraId="4BC37102" w14:textId="77777777" w:rsidR="003C3B44" w:rsidRPr="00A67681" w:rsidRDefault="003C3B44" w:rsidP="00F857E7">
            <w:pPr>
              <w:pStyle w:val="NormalWeb"/>
              <w:spacing w:before="20" w:beforeAutospacing="0" w:after="20" w:afterAutospacing="0"/>
              <w:ind w:right="172"/>
              <w:rPr>
                <w:rFonts w:asciiTheme="minorHAnsi" w:hAnsiTheme="minorHAnsi" w:cstheme="minorHAnsi"/>
                <w:sz w:val="20"/>
                <w:szCs w:val="20"/>
              </w:rPr>
            </w:pPr>
            <w:r w:rsidRPr="004452E8">
              <w:rPr>
                <w:rFonts w:asciiTheme="minorHAnsi" w:hAnsiTheme="minorHAnsi" w:cstheme="minorHAnsi"/>
                <w:color w:val="000000" w:themeColor="dark1"/>
                <w:kern w:val="24"/>
                <w:sz w:val="20"/>
                <w:szCs w:val="20"/>
              </w:rPr>
              <w:t>Global</w:t>
            </w:r>
          </w:p>
        </w:tc>
        <w:tc>
          <w:tcPr>
            <w:tcW w:w="1551" w:type="dxa"/>
            <w:vAlign w:val="bottom"/>
          </w:tcPr>
          <w:p w14:paraId="23D347A6" w14:textId="77777777" w:rsidR="003C3B44" w:rsidRPr="00A67681" w:rsidRDefault="003C3B44" w:rsidP="00F857E7">
            <w:pPr>
              <w:pStyle w:val="NormalWeb"/>
              <w:spacing w:before="20" w:beforeAutospacing="0" w:after="20" w:afterAutospacing="0"/>
              <w:ind w:right="172"/>
              <w:jc w:val="right"/>
              <w:rPr>
                <w:rFonts w:asciiTheme="minorHAnsi" w:hAnsiTheme="minorHAnsi" w:cstheme="minorHAnsi"/>
                <w:sz w:val="20"/>
                <w:szCs w:val="20"/>
              </w:rPr>
            </w:pPr>
            <w:r>
              <w:rPr>
                <w:rFonts w:asciiTheme="minorHAnsi" w:hAnsiTheme="minorHAnsi" w:cstheme="minorHAnsi"/>
                <w:sz w:val="20"/>
                <w:szCs w:val="20"/>
              </w:rPr>
              <w:t>7.4</w:t>
            </w:r>
          </w:p>
        </w:tc>
      </w:tr>
      <w:tr w:rsidR="003C3B44" w14:paraId="1C8515D7" w14:textId="77777777" w:rsidTr="00F857E7">
        <w:trPr>
          <w:trHeight w:hRule="exact" w:val="454"/>
        </w:trPr>
        <w:tc>
          <w:tcPr>
            <w:tcW w:w="3715" w:type="dxa"/>
            <w:shd w:val="clear" w:color="auto" w:fill="auto"/>
            <w:vAlign w:val="bottom"/>
          </w:tcPr>
          <w:p w14:paraId="239FF16C" w14:textId="77777777" w:rsidR="003C3B44" w:rsidRPr="00A67681" w:rsidRDefault="003C3B44" w:rsidP="00F857E7">
            <w:pPr>
              <w:pStyle w:val="NormalWeb"/>
              <w:spacing w:before="20" w:beforeAutospacing="0" w:after="20" w:afterAutospacing="0"/>
              <w:ind w:right="172"/>
              <w:rPr>
                <w:rFonts w:asciiTheme="minorHAnsi" w:hAnsiTheme="minorHAnsi" w:cstheme="minorHAnsi"/>
                <w:sz w:val="20"/>
                <w:szCs w:val="20"/>
              </w:rPr>
            </w:pPr>
            <w:r w:rsidRPr="004452E8">
              <w:rPr>
                <w:rFonts w:asciiTheme="minorHAnsi" w:hAnsiTheme="minorHAnsi" w:cstheme="minorHAnsi"/>
                <w:color w:val="000000" w:themeColor="dark1"/>
                <w:kern w:val="24"/>
                <w:sz w:val="20"/>
                <w:szCs w:val="20"/>
              </w:rPr>
              <w:t>Other Government Departments</w:t>
            </w:r>
          </w:p>
        </w:tc>
        <w:tc>
          <w:tcPr>
            <w:tcW w:w="1551" w:type="dxa"/>
            <w:vAlign w:val="bottom"/>
          </w:tcPr>
          <w:p w14:paraId="49FD7BD9" w14:textId="77777777" w:rsidR="003C3B44" w:rsidRPr="00A67681" w:rsidRDefault="003C3B44" w:rsidP="00F857E7">
            <w:pPr>
              <w:pStyle w:val="NormalWeb"/>
              <w:spacing w:before="20" w:beforeAutospacing="0" w:after="20" w:afterAutospacing="0"/>
              <w:ind w:right="172"/>
              <w:jc w:val="right"/>
              <w:rPr>
                <w:rFonts w:asciiTheme="minorHAnsi" w:hAnsiTheme="minorHAnsi" w:cstheme="minorHAnsi"/>
                <w:sz w:val="20"/>
                <w:szCs w:val="20"/>
              </w:rPr>
            </w:pPr>
            <w:r>
              <w:rPr>
                <w:rFonts w:asciiTheme="minorHAnsi" w:hAnsiTheme="minorHAnsi" w:cstheme="minorHAnsi"/>
                <w:sz w:val="20"/>
                <w:szCs w:val="20"/>
              </w:rPr>
              <w:t>1.0</w:t>
            </w:r>
          </w:p>
        </w:tc>
      </w:tr>
      <w:tr w:rsidR="003C3B44" w14:paraId="13B70610" w14:textId="77777777" w:rsidTr="00F857E7">
        <w:trPr>
          <w:trHeight w:hRule="exact" w:val="454"/>
        </w:trPr>
        <w:tc>
          <w:tcPr>
            <w:tcW w:w="3715" w:type="dxa"/>
            <w:tcBorders>
              <w:bottom w:val="single" w:sz="2" w:space="0" w:color="65C5B4" w:themeColor="accent1"/>
            </w:tcBorders>
            <w:shd w:val="clear" w:color="auto" w:fill="auto"/>
            <w:vAlign w:val="bottom"/>
          </w:tcPr>
          <w:p w14:paraId="38A3A30F" w14:textId="77777777" w:rsidR="003C3B44" w:rsidRPr="00A67681" w:rsidRDefault="003C3B44" w:rsidP="00F857E7">
            <w:pPr>
              <w:pStyle w:val="NormalWeb"/>
              <w:spacing w:before="20" w:beforeAutospacing="0" w:after="20" w:afterAutospacing="0"/>
              <w:rPr>
                <w:rFonts w:asciiTheme="minorHAnsi" w:hAnsiTheme="minorHAnsi" w:cstheme="minorHAnsi"/>
                <w:b/>
                <w:sz w:val="20"/>
                <w:szCs w:val="20"/>
              </w:rPr>
            </w:pPr>
            <w:r w:rsidRPr="004452E8">
              <w:rPr>
                <w:rFonts w:asciiTheme="minorHAnsi" w:hAnsiTheme="minorHAnsi" w:cstheme="minorHAnsi"/>
                <w:b/>
                <w:bCs/>
                <w:color w:val="000000" w:themeColor="dark1"/>
                <w:kern w:val="24"/>
                <w:sz w:val="20"/>
                <w:szCs w:val="20"/>
              </w:rPr>
              <w:t>Total Australian ODA to Nepal</w:t>
            </w:r>
          </w:p>
        </w:tc>
        <w:tc>
          <w:tcPr>
            <w:tcW w:w="1551" w:type="dxa"/>
            <w:tcBorders>
              <w:bottom w:val="single" w:sz="2" w:space="0" w:color="65C5B4" w:themeColor="accent1"/>
            </w:tcBorders>
            <w:vAlign w:val="bottom"/>
          </w:tcPr>
          <w:p w14:paraId="78B35B00" w14:textId="77777777" w:rsidR="003C3B44" w:rsidRPr="00A67681" w:rsidRDefault="003C3B44" w:rsidP="00F857E7">
            <w:pPr>
              <w:pStyle w:val="NormalWeb"/>
              <w:spacing w:before="20" w:beforeAutospacing="0" w:after="20" w:afterAutospacing="0"/>
              <w:ind w:right="172"/>
              <w:jc w:val="right"/>
              <w:rPr>
                <w:rFonts w:asciiTheme="minorHAnsi" w:hAnsiTheme="minorHAnsi" w:cstheme="minorHAnsi"/>
                <w:b/>
                <w:sz w:val="20"/>
                <w:szCs w:val="20"/>
              </w:rPr>
            </w:pPr>
            <w:r>
              <w:rPr>
                <w:rFonts w:asciiTheme="minorHAnsi" w:hAnsiTheme="minorHAnsi" w:cstheme="minorHAnsi"/>
                <w:b/>
                <w:sz w:val="20"/>
                <w:szCs w:val="20"/>
              </w:rPr>
              <w:t>22.5</w:t>
            </w:r>
          </w:p>
        </w:tc>
      </w:tr>
    </w:tbl>
    <w:p w14:paraId="5E6A44E4" w14:textId="77777777" w:rsidR="003C3B44" w:rsidRDefault="003C3B44" w:rsidP="003C3B44">
      <w:pPr>
        <w:spacing w:before="0" w:line="240" w:lineRule="auto"/>
        <w:rPr>
          <w:rFonts w:ascii="Calibri Light" w:eastAsia="Calibri Light" w:hAnsi="Calibri Light"/>
          <w:bCs/>
          <w:kern w:val="24"/>
          <w:sz w:val="18"/>
          <w:szCs w:val="20"/>
        </w:rPr>
      </w:pPr>
      <w:r w:rsidRPr="002D2BCA">
        <w:rPr>
          <w:rFonts w:cstheme="minorHAnsi"/>
          <w:sz w:val="16"/>
          <w:szCs w:val="20"/>
        </w:rPr>
        <w:t>*Actual expenditure is expected to be available in December 2020</w:t>
      </w:r>
    </w:p>
    <w:p w14:paraId="40717FAA" w14:textId="7E19C0CD" w:rsidR="00452298" w:rsidRDefault="003C3B44" w:rsidP="00494F98">
      <w:pPr>
        <w:spacing w:before="0" w:after="0"/>
      </w:pPr>
      <w:r>
        <w:rPr>
          <w:noProof/>
          <w:lang w:val="en-AU" w:eastAsia="en-AU"/>
        </w:rPr>
        <w:drawing>
          <wp:inline distT="0" distB="0" distL="0" distR="0" wp14:anchorId="3D066C3D" wp14:editId="00C59B39">
            <wp:extent cx="3343275" cy="1796691"/>
            <wp:effectExtent l="0" t="0" r="0" b="0"/>
            <wp:docPr id="1" name="Picture 1" descr="Infrastructure and trade – 3%&#10;Agriculture, fisheries and water – 26%&#10;Governance – 20%&#10;Education – 32%&#10;Health – 7%&#10;Building resilience – 9%&#10;General development support – 3%&#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55834" cy="1803440"/>
                    </a:xfrm>
                    <a:prstGeom prst="rect">
                      <a:avLst/>
                    </a:prstGeom>
                    <a:noFill/>
                  </pic:spPr>
                </pic:pic>
              </a:graphicData>
            </a:graphic>
          </wp:inline>
        </w:drawing>
      </w:r>
    </w:p>
    <w:p w14:paraId="07993870" w14:textId="2754D1A8" w:rsidR="003C3B44" w:rsidRDefault="003C3B44" w:rsidP="00494F98">
      <w:pPr>
        <w:spacing w:before="0" w:after="0"/>
      </w:pPr>
    </w:p>
    <w:p w14:paraId="7BFBED6C" w14:textId="77777777" w:rsidR="003C3B44" w:rsidRPr="00452298" w:rsidRDefault="003C3B44" w:rsidP="00494F98">
      <w:pPr>
        <w:spacing w:before="0" w:after="0"/>
        <w:sectPr w:rsidR="003C3B44" w:rsidRPr="00452298" w:rsidSect="003C3B44">
          <w:type w:val="continuous"/>
          <w:pgSz w:w="11906" w:h="16838" w:code="9"/>
          <w:pgMar w:top="1701" w:right="140" w:bottom="1418" w:left="709" w:header="142" w:footer="493" w:gutter="0"/>
          <w:cols w:num="2" w:space="397"/>
          <w:titlePg/>
          <w:docGrid w:linePitch="360"/>
        </w:sectPr>
      </w:pPr>
    </w:p>
    <w:p w14:paraId="5D3B8608" w14:textId="77777777" w:rsidR="003500CF" w:rsidRDefault="00651213" w:rsidP="00C32299">
      <w:pPr>
        <w:rPr>
          <w:b/>
        </w:rPr>
      </w:pPr>
      <w:r>
        <w:rPr>
          <w:b/>
          <w:sz w:val="24"/>
        </w:rPr>
        <w:t>COVID-19 Development Response</w:t>
      </w:r>
      <w:r w:rsidR="003500CF">
        <w:rPr>
          <w:b/>
        </w:rPr>
        <w:tab/>
      </w:r>
    </w:p>
    <w:p w14:paraId="4F91C29D" w14:textId="119CE4D1" w:rsidR="009C7EDD" w:rsidRDefault="002F00D8" w:rsidP="00543AE5">
      <w:pPr>
        <w:pStyle w:val="ListParagraph"/>
        <w:numPr>
          <w:ilvl w:val="0"/>
          <w:numId w:val="12"/>
        </w:numPr>
      </w:pPr>
      <w:r w:rsidRPr="00543AE5">
        <w:rPr>
          <w:rFonts w:cstheme="minorHAnsi"/>
        </w:rPr>
        <w:t xml:space="preserve">Through </w:t>
      </w:r>
      <w:r w:rsidR="00190A7F" w:rsidRPr="00543AE5">
        <w:rPr>
          <w:rFonts w:cstheme="minorHAnsi"/>
        </w:rPr>
        <w:t>a pivot of our</w:t>
      </w:r>
      <w:r w:rsidRPr="00543AE5">
        <w:rPr>
          <w:rFonts w:cstheme="minorHAnsi"/>
        </w:rPr>
        <w:t xml:space="preserve"> existing programs,</w:t>
      </w:r>
      <w:r w:rsidR="00C41067">
        <w:t xml:space="preserve"> Australia</w:t>
      </w:r>
      <w:r w:rsidR="00C41067" w:rsidRPr="00543AE5">
        <w:rPr>
          <w:rFonts w:cstheme="minorHAnsi"/>
        </w:rPr>
        <w:t xml:space="preserve"> </w:t>
      </w:r>
      <w:r w:rsidRPr="00543AE5">
        <w:rPr>
          <w:rFonts w:cstheme="minorHAnsi"/>
        </w:rPr>
        <w:t>is</w:t>
      </w:r>
      <w:r w:rsidR="008C73C6">
        <w:t xml:space="preserve"> support</w:t>
      </w:r>
      <w:r>
        <w:t xml:space="preserve">ing </w:t>
      </w:r>
      <w:r w:rsidR="008C73C6">
        <w:t xml:space="preserve">Nepal’s immediate </w:t>
      </w:r>
      <w:r w:rsidR="00190A7F" w:rsidRPr="00543AE5">
        <w:rPr>
          <w:rFonts w:cstheme="minorHAnsi"/>
        </w:rPr>
        <w:t>response to COVID-19</w:t>
      </w:r>
      <w:r w:rsidR="00ED1A6D" w:rsidRPr="00543AE5">
        <w:rPr>
          <w:rFonts w:cstheme="minorHAnsi"/>
        </w:rPr>
        <w:t xml:space="preserve"> </w:t>
      </w:r>
      <w:r w:rsidR="008C73C6">
        <w:t>and</w:t>
      </w:r>
      <w:r w:rsidR="00D46E7D">
        <w:t xml:space="preserve"> its </w:t>
      </w:r>
      <w:r w:rsidR="008C73C6">
        <w:t>longer-term recovery needs</w:t>
      </w:r>
      <w:r w:rsidR="009C7EDD" w:rsidRPr="00543AE5">
        <w:rPr>
          <w:rFonts w:cstheme="minorHAnsi"/>
          <w:iCs/>
        </w:rPr>
        <w:t xml:space="preserve">. </w:t>
      </w:r>
      <w:r w:rsidR="006B2383" w:rsidRPr="00543AE5">
        <w:rPr>
          <w:rFonts w:cstheme="minorHAnsi"/>
          <w:iCs/>
        </w:rPr>
        <w:t xml:space="preserve"> </w:t>
      </w:r>
    </w:p>
    <w:p w14:paraId="39B1BBFC" w14:textId="3E310BB0" w:rsidR="008174A1" w:rsidRPr="00B0528C" w:rsidRDefault="008174A1" w:rsidP="00543AE5">
      <w:pPr>
        <w:pStyle w:val="ListParagraph"/>
        <w:numPr>
          <w:ilvl w:val="0"/>
          <w:numId w:val="12"/>
        </w:numPr>
      </w:pPr>
      <w:r>
        <w:t>In partnership with The Asia Foundation</w:t>
      </w:r>
      <w:r w:rsidR="006E11CC">
        <w:t>,</w:t>
      </w:r>
      <w:r>
        <w:t xml:space="preserve"> and in consultation with the Government of Nepal, o</w:t>
      </w:r>
      <w:r w:rsidR="00454471" w:rsidRPr="00CF6209">
        <w:t>ur</w:t>
      </w:r>
      <w:r w:rsidR="00DF43E6" w:rsidRPr="00CF6209">
        <w:t xml:space="preserve"> </w:t>
      </w:r>
      <w:r w:rsidR="008047C8" w:rsidRPr="00CF6209">
        <w:t>Sub-</w:t>
      </w:r>
      <w:r w:rsidR="00FE6323" w:rsidRPr="00CF6209">
        <w:t>N</w:t>
      </w:r>
      <w:r w:rsidR="008047C8" w:rsidRPr="00CF6209">
        <w:t>ational Governance Program</w:t>
      </w:r>
      <w:r w:rsidRPr="00CF6209">
        <w:t xml:space="preserve"> (SNGP)</w:t>
      </w:r>
      <w:r w:rsidR="00454471" w:rsidRPr="00CF6209">
        <w:t xml:space="preserve"> </w:t>
      </w:r>
      <w:r w:rsidRPr="00B0528C">
        <w:t xml:space="preserve">supported the development of key legislation, </w:t>
      </w:r>
      <w:r w:rsidR="005E7DC7">
        <w:t>which ha</w:t>
      </w:r>
      <w:r w:rsidR="00DF2D4F">
        <w:t>s</w:t>
      </w:r>
      <w:r w:rsidRPr="00B0528C">
        <w:t xml:space="preserve"> helped</w:t>
      </w:r>
      <w:r w:rsidR="00DF2D4F">
        <w:t xml:space="preserve"> </w:t>
      </w:r>
      <w:r w:rsidRPr="00B0528C">
        <w:t>ensure the supply of essential medical equipment and goods during the COVID−19 pandemic. </w:t>
      </w:r>
    </w:p>
    <w:p w14:paraId="30819E5C" w14:textId="4917915D" w:rsidR="008E31CD" w:rsidRDefault="0041673D" w:rsidP="00543AE5">
      <w:pPr>
        <w:pStyle w:val="ListParagraph"/>
        <w:numPr>
          <w:ilvl w:val="0"/>
          <w:numId w:val="12"/>
        </w:numPr>
      </w:pPr>
      <w:r>
        <w:t xml:space="preserve">Our </w:t>
      </w:r>
      <w:r w:rsidR="00214315">
        <w:t xml:space="preserve">humanitarian partners, the World Food Programme (WFP) and United Nations Population Fund (UNFPA) are </w:t>
      </w:r>
      <w:r w:rsidR="00214315" w:rsidRPr="003C5240">
        <w:t xml:space="preserve">working closely with the Ministry of Health and Population, the Nepal Army and humanitarian agencies to coordinate and manage the supply of COVID−19 </w:t>
      </w:r>
      <w:r w:rsidR="00D46E7D">
        <w:t xml:space="preserve">response </w:t>
      </w:r>
      <w:r w:rsidR="00214315" w:rsidRPr="003C5240">
        <w:t xml:space="preserve">commodities, and provide storage and </w:t>
      </w:r>
      <w:r w:rsidR="00190A7F">
        <w:t>transport,</w:t>
      </w:r>
      <w:r w:rsidR="00214315" w:rsidRPr="003C5240">
        <w:t xml:space="preserve"> which </w:t>
      </w:r>
      <w:r w:rsidR="000D0B1D">
        <w:t xml:space="preserve">was </w:t>
      </w:r>
      <w:r w:rsidR="00214315">
        <w:t xml:space="preserve">also </w:t>
      </w:r>
      <w:r w:rsidR="00214315" w:rsidRPr="003C5240">
        <w:t xml:space="preserve">used during </w:t>
      </w:r>
      <w:r w:rsidR="00214315">
        <w:t xml:space="preserve">the 2020 </w:t>
      </w:r>
      <w:r w:rsidR="00214315" w:rsidRPr="003C5240">
        <w:t>monsoon response.</w:t>
      </w:r>
      <w:r w:rsidR="00ED1A6D">
        <w:t xml:space="preserve"> </w:t>
      </w:r>
      <w:r w:rsidR="00AA4026">
        <w:t xml:space="preserve">Through </w:t>
      </w:r>
      <w:r w:rsidR="000D0B1D">
        <w:t xml:space="preserve">Australia’s </w:t>
      </w:r>
      <w:r w:rsidR="00AA4026">
        <w:t xml:space="preserve">support, </w:t>
      </w:r>
      <w:r w:rsidR="00B83D51">
        <w:t>UNFPA</w:t>
      </w:r>
      <w:r w:rsidR="00AA4026">
        <w:t xml:space="preserve"> has</w:t>
      </w:r>
      <w:r w:rsidR="00B83D51">
        <w:t xml:space="preserve"> </w:t>
      </w:r>
      <w:r w:rsidR="0027293F">
        <w:t xml:space="preserve">distributed </w:t>
      </w:r>
      <w:r w:rsidR="00CB4A31">
        <w:t>Dignity Kits to women in quarantine centres</w:t>
      </w:r>
      <w:r w:rsidR="00AA4026">
        <w:t>,</w:t>
      </w:r>
      <w:r w:rsidR="00CB4A31">
        <w:t xml:space="preserve"> </w:t>
      </w:r>
      <w:r w:rsidR="0027293F">
        <w:t>enabling them to</w:t>
      </w:r>
      <w:r w:rsidR="00AA4026">
        <w:t xml:space="preserve"> continue to</w:t>
      </w:r>
      <w:r w:rsidR="00CB4A31">
        <w:t xml:space="preserve"> meet their basic </w:t>
      </w:r>
      <w:r w:rsidR="00CB4A31" w:rsidRPr="00D05A2C">
        <w:t>hygiene and protection needs</w:t>
      </w:r>
      <w:r w:rsidR="00CB4A31">
        <w:t xml:space="preserve">. </w:t>
      </w:r>
    </w:p>
    <w:p w14:paraId="45C2B020" w14:textId="4F0096A6" w:rsidR="00D46E7D" w:rsidRDefault="00D46E7D" w:rsidP="003B3380">
      <w:pPr>
        <w:pStyle w:val="ListParagraph"/>
        <w:numPr>
          <w:ilvl w:val="0"/>
          <w:numId w:val="12"/>
        </w:numPr>
      </w:pPr>
      <w:r w:rsidRPr="00D46E7D">
        <w:rPr>
          <w:lang w:val="en-AU" w:eastAsia="en-AU"/>
        </w:rPr>
        <w:t xml:space="preserve">Australia has developed a COVID-19 Response Plan 2010-21 for Nepal, which outlines our key development objectives for the next two years in support of the </w:t>
      </w:r>
      <w:r w:rsidRPr="00D46E7D">
        <w:rPr>
          <w:i/>
          <w:iCs/>
          <w:lang w:val="en-AU" w:eastAsia="en-AU"/>
        </w:rPr>
        <w:t>Partnerships for Recovery</w:t>
      </w:r>
      <w:r w:rsidRPr="00D46E7D">
        <w:rPr>
          <w:lang w:val="en-AU" w:eastAsia="en-AU"/>
        </w:rPr>
        <w:t xml:space="preserve"> Strategy.  </w:t>
      </w:r>
    </w:p>
    <w:p w14:paraId="47A05CB8" w14:textId="77777777" w:rsidR="008A5FB7" w:rsidRDefault="008A5FB7" w:rsidP="00B16FE3">
      <w:pPr>
        <w:rPr>
          <w:b/>
          <w:sz w:val="24"/>
        </w:rPr>
      </w:pPr>
    </w:p>
    <w:p w14:paraId="7FFA94C5" w14:textId="77777777" w:rsidR="00BE1E36" w:rsidRDefault="00BE1E36" w:rsidP="00B16FE3">
      <w:pPr>
        <w:rPr>
          <w:b/>
          <w:sz w:val="24"/>
        </w:rPr>
      </w:pPr>
    </w:p>
    <w:p w14:paraId="2B2D8D02" w14:textId="13E62A89" w:rsidR="003500CF" w:rsidRPr="00452298" w:rsidRDefault="00651213" w:rsidP="00B16FE3">
      <w:pPr>
        <w:rPr>
          <w:b/>
          <w:sz w:val="24"/>
        </w:rPr>
      </w:pPr>
      <w:r>
        <w:rPr>
          <w:b/>
          <w:sz w:val="24"/>
        </w:rPr>
        <w:t>Other program highlights</w:t>
      </w:r>
    </w:p>
    <w:p w14:paraId="0D87451F" w14:textId="0DDC9AC9" w:rsidR="00935ABC" w:rsidRPr="00543AE5" w:rsidRDefault="00486D02" w:rsidP="00543AE5">
      <w:pPr>
        <w:pStyle w:val="ListParagraph"/>
        <w:numPr>
          <w:ilvl w:val="0"/>
          <w:numId w:val="13"/>
        </w:numPr>
        <w:rPr>
          <w:lang w:val="en-AU" w:eastAsia="en-AU"/>
        </w:rPr>
      </w:pPr>
      <w:r>
        <w:t xml:space="preserve">SNGP </w:t>
      </w:r>
      <w:r w:rsidRPr="00CF6209">
        <w:t xml:space="preserve">has </w:t>
      </w:r>
      <w:r w:rsidR="00ED1A6D">
        <w:t xml:space="preserve">supported the Government of Nepal to strengthen </w:t>
      </w:r>
      <w:r w:rsidR="00FC4C51">
        <w:t xml:space="preserve">the effective transition to federalism and </w:t>
      </w:r>
      <w:r w:rsidRPr="00CF6209">
        <w:t>develop model procedures to ensure transparency and accountability in</w:t>
      </w:r>
      <w:r w:rsidR="00ED1A6D">
        <w:t xml:space="preserve"> government funding</w:t>
      </w:r>
      <w:r w:rsidRPr="00CF6209">
        <w:t xml:space="preserve">. </w:t>
      </w:r>
      <w:r w:rsidR="00FC4C51">
        <w:t xml:space="preserve">In the reporting period the program </w:t>
      </w:r>
      <w:r w:rsidR="00E35C8E">
        <w:t xml:space="preserve">began development of the </w:t>
      </w:r>
      <w:r w:rsidR="00E006C7" w:rsidRPr="00543AE5">
        <w:rPr>
          <w:lang w:val="en-AU"/>
        </w:rPr>
        <w:t xml:space="preserve">second phase </w:t>
      </w:r>
      <w:r w:rsidR="003E1DC2" w:rsidRPr="00543AE5">
        <w:rPr>
          <w:lang w:val="en-AU"/>
        </w:rPr>
        <w:t xml:space="preserve">to </w:t>
      </w:r>
      <w:r w:rsidR="00756D00" w:rsidRPr="00543AE5">
        <w:rPr>
          <w:lang w:val="en-AU"/>
        </w:rPr>
        <w:t>support</w:t>
      </w:r>
      <w:r w:rsidR="00B03ED7" w:rsidRPr="00543AE5">
        <w:rPr>
          <w:lang w:val="en-AU"/>
        </w:rPr>
        <w:t xml:space="preserve"> </w:t>
      </w:r>
      <w:r w:rsidR="00756D00" w:rsidRPr="00543AE5">
        <w:rPr>
          <w:lang w:val="en-AU"/>
        </w:rPr>
        <w:t>the</w:t>
      </w:r>
      <w:r w:rsidR="00D46E7D">
        <w:rPr>
          <w:lang w:val="en-AU"/>
        </w:rPr>
        <w:t xml:space="preserve"> coordinated </w:t>
      </w:r>
      <w:r w:rsidR="00B03ED7" w:rsidRPr="00543AE5">
        <w:rPr>
          <w:lang w:val="en-AU"/>
        </w:rPr>
        <w:t>stabilisation of federalis</w:t>
      </w:r>
      <w:r w:rsidR="003E1DC2" w:rsidRPr="00543AE5">
        <w:rPr>
          <w:lang w:val="en-AU"/>
        </w:rPr>
        <w:t>m</w:t>
      </w:r>
      <w:r w:rsidR="00B03ED7" w:rsidRPr="00543AE5">
        <w:rPr>
          <w:lang w:val="en-AU"/>
        </w:rPr>
        <w:t xml:space="preserve"> in Nepal</w:t>
      </w:r>
      <w:r w:rsidR="00FC4C51">
        <w:rPr>
          <w:lang w:val="en-AU"/>
        </w:rPr>
        <w:t xml:space="preserve"> </w:t>
      </w:r>
      <w:r w:rsidR="00214315" w:rsidRPr="00543AE5">
        <w:rPr>
          <w:lang w:val="en-AU"/>
        </w:rPr>
        <w:t xml:space="preserve">with </w:t>
      </w:r>
      <w:r w:rsidR="003E1DC2" w:rsidRPr="00543AE5">
        <w:rPr>
          <w:lang w:val="en-AU"/>
        </w:rPr>
        <w:t>an</w:t>
      </w:r>
      <w:r w:rsidR="00B03ED7" w:rsidRPr="00543AE5">
        <w:rPr>
          <w:lang w:val="en-AU"/>
        </w:rPr>
        <w:t xml:space="preserve"> increased focus on health </w:t>
      </w:r>
      <w:r w:rsidR="00117BBC" w:rsidRPr="00543AE5">
        <w:rPr>
          <w:lang w:val="en-AU"/>
        </w:rPr>
        <w:t xml:space="preserve">governance </w:t>
      </w:r>
      <w:r w:rsidR="00B03ED7" w:rsidRPr="00543AE5">
        <w:rPr>
          <w:lang w:val="en-AU"/>
        </w:rPr>
        <w:t>and economic recovery</w:t>
      </w:r>
      <w:r w:rsidR="005D61DF" w:rsidRPr="00543AE5">
        <w:rPr>
          <w:lang w:val="en-AU"/>
        </w:rPr>
        <w:t>.</w:t>
      </w:r>
      <w:r w:rsidR="00756D00" w:rsidRPr="00543AE5">
        <w:rPr>
          <w:lang w:val="en-AU"/>
        </w:rPr>
        <w:t xml:space="preserve">  </w:t>
      </w:r>
      <w:r w:rsidR="00CC53E0" w:rsidRPr="00543AE5">
        <w:rPr>
          <w:lang w:val="en-AU"/>
        </w:rPr>
        <w:t xml:space="preserve">  </w:t>
      </w:r>
    </w:p>
    <w:p w14:paraId="2AC034C4" w14:textId="77BA83C4" w:rsidR="00486D02" w:rsidRDefault="00486D02" w:rsidP="00543AE5">
      <w:pPr>
        <w:pStyle w:val="ListParagraph"/>
        <w:numPr>
          <w:ilvl w:val="0"/>
          <w:numId w:val="13"/>
        </w:numPr>
      </w:pPr>
      <w:r>
        <w:t>T</w:t>
      </w:r>
      <w:r w:rsidRPr="00B0528C">
        <w:t>he Australian NGO Cooperation Program</w:t>
      </w:r>
      <w:r>
        <w:t xml:space="preserve"> </w:t>
      </w:r>
      <w:r w:rsidRPr="00B0528C">
        <w:t>is delivering projects through</w:t>
      </w:r>
      <w:r>
        <w:t>out Nepal,</w:t>
      </w:r>
      <w:r w:rsidRPr="00B0528C">
        <w:t xml:space="preserve"> </w:t>
      </w:r>
      <w:r w:rsidR="00190A7F">
        <w:t>providing support to</w:t>
      </w:r>
      <w:r>
        <w:t xml:space="preserve"> local communities in regional and remote areas</w:t>
      </w:r>
      <w:r w:rsidR="00D46E7D">
        <w:t xml:space="preserve">, in </w:t>
      </w:r>
      <w:r w:rsidR="00190A7F">
        <w:t xml:space="preserve">food security, </w:t>
      </w:r>
      <w:r>
        <w:t xml:space="preserve">education and health care.  </w:t>
      </w:r>
    </w:p>
    <w:p w14:paraId="399CE0F4" w14:textId="28306817" w:rsidR="00190A7F" w:rsidRPr="00543AE5" w:rsidRDefault="00C41067" w:rsidP="00543AE5">
      <w:pPr>
        <w:pStyle w:val="ListParagraph"/>
        <w:numPr>
          <w:ilvl w:val="0"/>
          <w:numId w:val="13"/>
        </w:numPr>
        <w:rPr>
          <w:lang w:val="en-AU" w:eastAsia="en-AU"/>
        </w:rPr>
      </w:pPr>
      <w:r w:rsidRPr="00543AE5">
        <w:rPr>
          <w:lang w:val="en-AU" w:eastAsia="en-AU"/>
        </w:rPr>
        <w:t>Ensuring our program</w:t>
      </w:r>
      <w:r w:rsidR="001831D4" w:rsidRPr="00543AE5">
        <w:rPr>
          <w:lang w:val="en-AU" w:eastAsia="en-AU"/>
        </w:rPr>
        <w:t>s</w:t>
      </w:r>
      <w:r w:rsidRPr="00543AE5">
        <w:rPr>
          <w:lang w:val="en-AU" w:eastAsia="en-AU"/>
        </w:rPr>
        <w:t xml:space="preserve"> </w:t>
      </w:r>
      <w:r w:rsidR="00DF2D4F" w:rsidRPr="00543AE5">
        <w:rPr>
          <w:lang w:val="en-AU" w:eastAsia="en-AU"/>
        </w:rPr>
        <w:t>are inclusive</w:t>
      </w:r>
      <w:r w:rsidR="00376D64" w:rsidRPr="00543AE5">
        <w:rPr>
          <w:lang w:val="en-AU" w:eastAsia="en-AU"/>
        </w:rPr>
        <w:t xml:space="preserve"> </w:t>
      </w:r>
      <w:r w:rsidR="00841BDC" w:rsidRPr="00543AE5">
        <w:rPr>
          <w:lang w:val="en-AU" w:eastAsia="en-AU"/>
        </w:rPr>
        <w:t>remain</w:t>
      </w:r>
      <w:r w:rsidRPr="00543AE5">
        <w:rPr>
          <w:lang w:val="en-AU" w:eastAsia="en-AU"/>
        </w:rPr>
        <w:t>s</w:t>
      </w:r>
      <w:r w:rsidR="00841BDC" w:rsidRPr="00543AE5">
        <w:rPr>
          <w:lang w:val="en-AU" w:eastAsia="en-AU"/>
        </w:rPr>
        <w:t xml:space="preserve"> </w:t>
      </w:r>
      <w:r w:rsidR="00B51B9B" w:rsidRPr="00543AE5">
        <w:rPr>
          <w:lang w:val="en-AU" w:eastAsia="en-AU"/>
        </w:rPr>
        <w:t xml:space="preserve">a </w:t>
      </w:r>
      <w:r w:rsidR="00841BDC" w:rsidRPr="00543AE5">
        <w:rPr>
          <w:lang w:val="en-AU" w:eastAsia="en-AU"/>
        </w:rPr>
        <w:t>key</w:t>
      </w:r>
      <w:r w:rsidR="00B51B9B" w:rsidRPr="00543AE5">
        <w:rPr>
          <w:lang w:val="en-AU" w:eastAsia="en-AU"/>
        </w:rPr>
        <w:t xml:space="preserve"> priority</w:t>
      </w:r>
      <w:r w:rsidR="00DF2D4F" w:rsidRPr="00543AE5">
        <w:rPr>
          <w:lang w:val="en-AU" w:eastAsia="en-AU"/>
        </w:rPr>
        <w:t>. I</w:t>
      </w:r>
      <w:r w:rsidR="002F00D8" w:rsidRPr="00543AE5">
        <w:rPr>
          <w:lang w:val="en-AU" w:eastAsia="en-AU"/>
        </w:rPr>
        <w:t>n 2019</w:t>
      </w:r>
      <w:r w:rsidR="00DF2D4F" w:rsidRPr="00543AE5">
        <w:rPr>
          <w:lang w:val="en-AU" w:eastAsia="en-AU"/>
        </w:rPr>
        <w:t>,</w:t>
      </w:r>
      <w:r w:rsidR="00841BDC" w:rsidRPr="00543AE5">
        <w:rPr>
          <w:lang w:val="en-AU" w:eastAsia="en-AU"/>
        </w:rPr>
        <w:t xml:space="preserve"> </w:t>
      </w:r>
      <w:r w:rsidR="00FE6323" w:rsidRPr="00543AE5">
        <w:rPr>
          <w:lang w:val="en-AU" w:eastAsia="en-AU"/>
        </w:rPr>
        <w:t>P</w:t>
      </w:r>
      <w:r w:rsidR="00841BDC" w:rsidRPr="00543AE5">
        <w:rPr>
          <w:lang w:val="en-AU" w:eastAsia="en-AU"/>
        </w:rPr>
        <w:t xml:space="preserve">ost finalised </w:t>
      </w:r>
      <w:r w:rsidR="00FB3FC7" w:rsidRPr="00543AE5">
        <w:rPr>
          <w:lang w:val="en-AU" w:eastAsia="en-AU"/>
        </w:rPr>
        <w:t>its</w:t>
      </w:r>
      <w:r w:rsidR="009A4B89" w:rsidRPr="00543AE5">
        <w:rPr>
          <w:lang w:val="en-AU" w:eastAsia="en-AU"/>
        </w:rPr>
        <w:t xml:space="preserve"> G</w:t>
      </w:r>
      <w:r w:rsidR="00FB3FC7" w:rsidRPr="00543AE5">
        <w:rPr>
          <w:lang w:val="en-AU" w:eastAsia="en-AU"/>
        </w:rPr>
        <w:t xml:space="preserve">ender </w:t>
      </w:r>
      <w:r w:rsidR="009A4B89" w:rsidRPr="00543AE5">
        <w:rPr>
          <w:lang w:val="en-AU" w:eastAsia="en-AU"/>
        </w:rPr>
        <w:t>E</w:t>
      </w:r>
      <w:r w:rsidR="00FB3FC7" w:rsidRPr="00543AE5">
        <w:rPr>
          <w:lang w:val="en-AU" w:eastAsia="en-AU"/>
        </w:rPr>
        <w:t>quality</w:t>
      </w:r>
      <w:r w:rsidR="00B339A8" w:rsidRPr="00543AE5">
        <w:rPr>
          <w:lang w:val="en-AU" w:eastAsia="en-AU"/>
        </w:rPr>
        <w:t xml:space="preserve">, </w:t>
      </w:r>
      <w:r w:rsidR="00FB3FC7" w:rsidRPr="00543AE5">
        <w:rPr>
          <w:lang w:val="en-AU" w:eastAsia="en-AU"/>
        </w:rPr>
        <w:t>Disabilit</w:t>
      </w:r>
      <w:r w:rsidR="00C96232" w:rsidRPr="00543AE5">
        <w:rPr>
          <w:lang w:val="en-AU" w:eastAsia="en-AU"/>
        </w:rPr>
        <w:t>y</w:t>
      </w:r>
      <w:r w:rsidR="00FB3FC7" w:rsidRPr="00543AE5">
        <w:rPr>
          <w:lang w:val="en-AU" w:eastAsia="en-AU"/>
        </w:rPr>
        <w:t xml:space="preserve"> and Social Inclusion </w:t>
      </w:r>
      <w:r w:rsidR="00376D64" w:rsidRPr="00543AE5">
        <w:rPr>
          <w:lang w:val="en-AU" w:eastAsia="en-AU"/>
        </w:rPr>
        <w:t>S</w:t>
      </w:r>
      <w:r w:rsidR="001A5735" w:rsidRPr="00543AE5">
        <w:rPr>
          <w:lang w:val="en-AU" w:eastAsia="en-AU"/>
        </w:rPr>
        <w:t>trategy</w:t>
      </w:r>
      <w:r w:rsidR="00D46E7D">
        <w:rPr>
          <w:lang w:val="en-AU" w:eastAsia="en-AU"/>
        </w:rPr>
        <w:t xml:space="preserve">. </w:t>
      </w:r>
      <w:r w:rsidR="00DF2D4F" w:rsidRPr="00543AE5">
        <w:rPr>
          <w:lang w:val="en-AU" w:eastAsia="en-AU"/>
        </w:rPr>
        <w:t>I</w:t>
      </w:r>
      <w:r w:rsidR="00376D64" w:rsidRPr="00543AE5">
        <w:rPr>
          <w:lang w:val="en-AU" w:eastAsia="en-AU"/>
        </w:rPr>
        <w:t xml:space="preserve">ts implementation will ensure women and girls, people with diverse disabilities and people from different caste and ethnic backgrounds, especially those who </w:t>
      </w:r>
      <w:r w:rsidR="00D46E7D">
        <w:rPr>
          <w:lang w:val="en-AU" w:eastAsia="en-AU"/>
        </w:rPr>
        <w:t xml:space="preserve">have </w:t>
      </w:r>
      <w:r w:rsidR="00376D64" w:rsidRPr="00543AE5">
        <w:rPr>
          <w:lang w:val="en-AU" w:eastAsia="en-AU"/>
        </w:rPr>
        <w:t>historically</w:t>
      </w:r>
      <w:r w:rsidR="00D46E7D">
        <w:rPr>
          <w:lang w:val="en-AU" w:eastAsia="en-AU"/>
        </w:rPr>
        <w:t xml:space="preserve"> been </w:t>
      </w:r>
      <w:r w:rsidR="00376D64" w:rsidRPr="00543AE5">
        <w:rPr>
          <w:lang w:val="en-AU" w:eastAsia="en-AU"/>
        </w:rPr>
        <w:t xml:space="preserve">marginalised and excluded, </w:t>
      </w:r>
      <w:r w:rsidR="00DF2D4F" w:rsidRPr="00543AE5">
        <w:rPr>
          <w:lang w:val="en-AU" w:eastAsia="en-AU"/>
        </w:rPr>
        <w:t xml:space="preserve">contribute to, and </w:t>
      </w:r>
      <w:r w:rsidR="00376D64" w:rsidRPr="00543AE5">
        <w:rPr>
          <w:lang w:val="en-AU" w:eastAsia="en-AU"/>
        </w:rPr>
        <w:t>benefit from</w:t>
      </w:r>
      <w:r w:rsidR="00DF2D4F" w:rsidRPr="00543AE5">
        <w:rPr>
          <w:lang w:val="en-AU" w:eastAsia="en-AU"/>
        </w:rPr>
        <w:t>,</w:t>
      </w:r>
      <w:r w:rsidR="00376D64" w:rsidRPr="00543AE5">
        <w:rPr>
          <w:lang w:val="en-AU" w:eastAsia="en-AU"/>
        </w:rPr>
        <w:t xml:space="preserve"> the</w:t>
      </w:r>
      <w:r w:rsidR="00D46E7D">
        <w:rPr>
          <w:lang w:val="en-AU" w:eastAsia="en-AU"/>
        </w:rPr>
        <w:t xml:space="preserve"> activities </w:t>
      </w:r>
      <w:r w:rsidR="00376D64" w:rsidRPr="00543AE5">
        <w:rPr>
          <w:lang w:val="en-AU" w:eastAsia="en-AU"/>
        </w:rPr>
        <w:t>we support.</w:t>
      </w:r>
    </w:p>
    <w:p w14:paraId="19735D01" w14:textId="7A9A2FDB" w:rsidR="00977676" w:rsidRPr="00543AE5" w:rsidRDefault="00190A7F" w:rsidP="00543AE5">
      <w:pPr>
        <w:pStyle w:val="ListParagraph"/>
        <w:numPr>
          <w:ilvl w:val="0"/>
          <w:numId w:val="13"/>
        </w:numPr>
        <w:rPr>
          <w:lang w:val="en-AU" w:eastAsia="en-AU"/>
        </w:rPr>
      </w:pPr>
      <w:r w:rsidRPr="00543AE5">
        <w:rPr>
          <w:lang w:val="en-AU" w:eastAsia="en-AU"/>
        </w:rPr>
        <w:t xml:space="preserve">We maintain a commitment to monitoring and evaluation and continuous learning to strengthen </w:t>
      </w:r>
      <w:r w:rsidR="00ED1A6D" w:rsidRPr="00543AE5">
        <w:rPr>
          <w:lang w:val="en-AU" w:eastAsia="en-AU"/>
        </w:rPr>
        <w:t>our</w:t>
      </w:r>
      <w:r w:rsidRPr="00543AE5">
        <w:rPr>
          <w:lang w:val="en-AU" w:eastAsia="en-AU"/>
        </w:rPr>
        <w:t xml:space="preserve"> ongoing work. </w:t>
      </w:r>
      <w:r w:rsidR="00486D02" w:rsidRPr="00486D02">
        <w:t xml:space="preserve"> </w:t>
      </w:r>
    </w:p>
    <w:p w14:paraId="60C3C9DB" w14:textId="77777777" w:rsidR="00977676" w:rsidRDefault="00977676" w:rsidP="00230777">
      <w:pPr>
        <w:sectPr w:rsidR="00977676" w:rsidSect="00A6324B">
          <w:headerReference w:type="default" r:id="rId16"/>
          <w:footerReference w:type="default" r:id="rId17"/>
          <w:headerReference w:type="first" r:id="rId18"/>
          <w:footerReference w:type="first" r:id="rId19"/>
          <w:type w:val="continuous"/>
          <w:pgSz w:w="11906" w:h="16838" w:code="9"/>
          <w:pgMar w:top="1701" w:right="1134" w:bottom="1418" w:left="851" w:header="425" w:footer="493" w:gutter="0"/>
          <w:cols w:num="2" w:space="397"/>
          <w:titlePg/>
          <w:docGrid w:linePitch="360"/>
        </w:sectPr>
      </w:pPr>
    </w:p>
    <w:p w14:paraId="5223B1E5" w14:textId="2D07744C" w:rsidR="004C5598" w:rsidRDefault="00D00153" w:rsidP="004C5598">
      <w:pPr>
        <w:pStyle w:val="Heading2"/>
        <w:spacing w:before="360" w:line="300" w:lineRule="exact"/>
        <w:contextualSpacing w:val="0"/>
        <w:rPr>
          <w:sz w:val="24"/>
          <w:szCs w:val="24"/>
        </w:rPr>
      </w:pPr>
      <w:r>
        <w:lastRenderedPageBreak/>
        <w:t>P</w:t>
      </w:r>
      <w:r w:rsidR="004C5598">
        <w:t>rogress against 2019-20 performance indicators</w:t>
      </w:r>
      <w:r w:rsidR="00C32299">
        <w:br/>
      </w:r>
    </w:p>
    <w:tbl>
      <w:tblPr>
        <w:tblStyle w:val="TableGrid"/>
        <w:tblW w:w="10201" w:type="dxa"/>
        <w:tblLook w:val="04A0" w:firstRow="1" w:lastRow="0" w:firstColumn="1" w:lastColumn="0" w:noHBand="0" w:noVBand="1"/>
        <w:tblCaption w:val="Performance Assessment Framework1"/>
        <w:tblDescription w:val="This program has three strategic objectives and nine performance benchmark, indicators that are used to measure progress."/>
      </w:tblPr>
      <w:tblGrid>
        <w:gridCol w:w="2095"/>
        <w:gridCol w:w="3712"/>
        <w:gridCol w:w="4394"/>
      </w:tblGrid>
      <w:tr w:rsidR="004C5598" w:rsidRPr="00274483" w14:paraId="5FC12F59" w14:textId="77777777" w:rsidTr="00574698">
        <w:trPr>
          <w:tblHeader/>
        </w:trPr>
        <w:tc>
          <w:tcPr>
            <w:tcW w:w="2095" w:type="dxa"/>
            <w:shd w:val="clear" w:color="auto" w:fill="C1E7E0" w:themeFill="accent1" w:themeFillTint="66"/>
          </w:tcPr>
          <w:p w14:paraId="3E6C8824" w14:textId="77777777" w:rsidR="004C5598" w:rsidRPr="00C41067" w:rsidRDefault="004C5598" w:rsidP="008C160B">
            <w:pPr>
              <w:pStyle w:val="BodyText"/>
              <w:spacing w:before="40" w:after="40" w:line="240" w:lineRule="auto"/>
              <w:rPr>
                <w:rFonts w:eastAsiaTheme="majorEastAsia" w:cstheme="minorHAnsi"/>
                <w:b/>
                <w:caps/>
                <w:sz w:val="20"/>
                <w:szCs w:val="20"/>
              </w:rPr>
            </w:pPr>
            <w:r w:rsidRPr="00C41067">
              <w:rPr>
                <w:rFonts w:eastAsiaTheme="majorEastAsia" w:cstheme="minorHAnsi"/>
                <w:b/>
                <w:caps/>
                <w:sz w:val="20"/>
                <w:szCs w:val="20"/>
              </w:rPr>
              <w:t>title of strategic OBJECTIVE</w:t>
            </w:r>
          </w:p>
        </w:tc>
        <w:tc>
          <w:tcPr>
            <w:tcW w:w="3712" w:type="dxa"/>
            <w:shd w:val="clear" w:color="auto" w:fill="C1E7E0" w:themeFill="accent1" w:themeFillTint="66"/>
          </w:tcPr>
          <w:p w14:paraId="64AFA0C5" w14:textId="77777777" w:rsidR="004C5598" w:rsidRPr="00C41067" w:rsidRDefault="004C5598" w:rsidP="008C160B">
            <w:pPr>
              <w:pStyle w:val="BodyText"/>
              <w:spacing w:before="40" w:after="40" w:line="240" w:lineRule="auto"/>
              <w:rPr>
                <w:rFonts w:eastAsiaTheme="majorEastAsia" w:cstheme="minorHAnsi"/>
                <w:b/>
                <w:caps/>
                <w:sz w:val="20"/>
                <w:szCs w:val="20"/>
              </w:rPr>
            </w:pPr>
            <w:r w:rsidRPr="00C41067">
              <w:rPr>
                <w:rFonts w:eastAsiaTheme="majorEastAsia" w:cstheme="minorHAnsi"/>
                <w:b/>
                <w:caps/>
                <w:sz w:val="20"/>
                <w:szCs w:val="20"/>
              </w:rPr>
              <w:t>Performance assessment framework indicator/benchmark</w:t>
            </w:r>
          </w:p>
        </w:tc>
        <w:tc>
          <w:tcPr>
            <w:tcW w:w="4394" w:type="dxa"/>
            <w:shd w:val="clear" w:color="auto" w:fill="C1E7E0" w:themeFill="accent1" w:themeFillTint="66"/>
          </w:tcPr>
          <w:p w14:paraId="40B7A1A6" w14:textId="77777777" w:rsidR="004C5598" w:rsidRPr="00C41067" w:rsidRDefault="004C5598" w:rsidP="001A7ED5">
            <w:pPr>
              <w:pStyle w:val="BodyText"/>
              <w:spacing w:before="40" w:after="40" w:line="240" w:lineRule="auto"/>
              <w:rPr>
                <w:rFonts w:eastAsiaTheme="majorEastAsia" w:cstheme="minorHAnsi"/>
                <w:b/>
                <w:caps/>
                <w:sz w:val="20"/>
                <w:szCs w:val="20"/>
              </w:rPr>
            </w:pPr>
            <w:r w:rsidRPr="00C41067">
              <w:rPr>
                <w:rFonts w:eastAsiaTheme="majorEastAsia" w:cstheme="minorHAnsi"/>
                <w:b/>
                <w:caps/>
                <w:sz w:val="20"/>
                <w:szCs w:val="20"/>
              </w:rPr>
              <w:t>Brief summary of progress against indicator/ben</w:t>
            </w:r>
            <w:r w:rsidR="001A7ED5" w:rsidRPr="00C41067">
              <w:rPr>
                <w:rFonts w:eastAsiaTheme="majorEastAsia" w:cstheme="minorHAnsi"/>
                <w:b/>
                <w:caps/>
                <w:sz w:val="20"/>
                <w:szCs w:val="20"/>
              </w:rPr>
              <w:t>ch</w:t>
            </w:r>
            <w:r w:rsidRPr="00C41067">
              <w:rPr>
                <w:rFonts w:eastAsiaTheme="majorEastAsia" w:cstheme="minorHAnsi"/>
                <w:b/>
                <w:caps/>
                <w:sz w:val="20"/>
                <w:szCs w:val="20"/>
              </w:rPr>
              <w:t>mark</w:t>
            </w:r>
          </w:p>
        </w:tc>
      </w:tr>
      <w:tr w:rsidR="001A7ED5" w:rsidRPr="00274483" w14:paraId="480AB887" w14:textId="77777777" w:rsidTr="00574698">
        <w:trPr>
          <w:tblHeader/>
        </w:trPr>
        <w:tc>
          <w:tcPr>
            <w:tcW w:w="2095" w:type="dxa"/>
          </w:tcPr>
          <w:p w14:paraId="1B9CD670" w14:textId="77777777" w:rsidR="00F37293" w:rsidRDefault="007E0B43" w:rsidP="00FB634E">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Objective 1. </w:t>
            </w:r>
          </w:p>
          <w:p w14:paraId="11426591" w14:textId="4FD0E2E2" w:rsidR="001A7ED5" w:rsidRPr="00C41067" w:rsidRDefault="007E0B43" w:rsidP="00FB634E">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Expand economic opportunities for the poor, particularly women, by promoting enterprise and job creation</w:t>
            </w:r>
          </w:p>
        </w:tc>
        <w:tc>
          <w:tcPr>
            <w:tcW w:w="3712" w:type="dxa"/>
          </w:tcPr>
          <w:p w14:paraId="08C3CCBB" w14:textId="77777777" w:rsidR="001A7ED5" w:rsidRDefault="00BB3B72" w:rsidP="00D46E7D">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1.1 </w:t>
            </w:r>
            <w:r w:rsidR="00C96232">
              <w:rPr>
                <w:rFonts w:eastAsiaTheme="majorEastAsia" w:cstheme="minorHAnsi"/>
                <w:sz w:val="20"/>
                <w:szCs w:val="20"/>
              </w:rPr>
              <w:t>Micro Enterprise Development for Poverty Alleviation (</w:t>
            </w:r>
            <w:r w:rsidR="007E0B43" w:rsidRPr="00C41067">
              <w:rPr>
                <w:rFonts w:eastAsiaTheme="majorEastAsia" w:cstheme="minorHAnsi"/>
                <w:sz w:val="20"/>
                <w:szCs w:val="20"/>
              </w:rPr>
              <w:t>MEDPA</w:t>
            </w:r>
            <w:r w:rsidR="00C96232">
              <w:rPr>
                <w:rFonts w:eastAsiaTheme="majorEastAsia" w:cstheme="minorHAnsi"/>
                <w:sz w:val="20"/>
                <w:szCs w:val="20"/>
              </w:rPr>
              <w:t>)</w:t>
            </w:r>
            <w:r w:rsidR="007E0B43" w:rsidRPr="00C41067">
              <w:rPr>
                <w:rFonts w:eastAsiaTheme="majorEastAsia" w:cstheme="minorHAnsi"/>
                <w:sz w:val="20"/>
                <w:szCs w:val="20"/>
              </w:rPr>
              <w:t xml:space="preserve"> is further aligned with the federal structure. With the additional funding from DFAT, UNDP and </w:t>
            </w:r>
            <w:r w:rsidR="00C96232">
              <w:rPr>
                <w:rFonts w:eastAsiaTheme="majorEastAsia" w:cstheme="minorHAnsi"/>
                <w:sz w:val="20"/>
                <w:szCs w:val="20"/>
              </w:rPr>
              <w:t>Government of Nepal (</w:t>
            </w:r>
            <w:proofErr w:type="spellStart"/>
            <w:r w:rsidR="007E0B43" w:rsidRPr="00C41067">
              <w:rPr>
                <w:rFonts w:eastAsiaTheme="majorEastAsia" w:cstheme="minorHAnsi"/>
                <w:sz w:val="20"/>
                <w:szCs w:val="20"/>
              </w:rPr>
              <w:t>GoN</w:t>
            </w:r>
            <w:proofErr w:type="spellEnd"/>
            <w:r w:rsidR="00C96232">
              <w:rPr>
                <w:rFonts w:eastAsiaTheme="majorEastAsia" w:cstheme="minorHAnsi"/>
                <w:sz w:val="20"/>
                <w:szCs w:val="20"/>
              </w:rPr>
              <w:t>)</w:t>
            </w:r>
            <w:r w:rsidR="007E0B43" w:rsidRPr="00C41067">
              <w:rPr>
                <w:rFonts w:eastAsiaTheme="majorEastAsia" w:cstheme="minorHAnsi"/>
                <w:sz w:val="20"/>
                <w:szCs w:val="20"/>
              </w:rPr>
              <w:t xml:space="preserve"> in June 2019, the </w:t>
            </w:r>
            <w:r w:rsidR="00D46E7D">
              <w:rPr>
                <w:rFonts w:eastAsiaTheme="majorEastAsia" w:cstheme="minorHAnsi"/>
                <w:sz w:val="20"/>
                <w:szCs w:val="20"/>
              </w:rPr>
              <w:t xml:space="preserve">technical assistance </w:t>
            </w:r>
            <w:r w:rsidR="007E0B43" w:rsidRPr="00C41067">
              <w:rPr>
                <w:rFonts w:eastAsiaTheme="majorEastAsia" w:cstheme="minorHAnsi"/>
                <w:sz w:val="20"/>
                <w:szCs w:val="20"/>
              </w:rPr>
              <w:t xml:space="preserve">team will be expanded to increase its overall efficiency and to help achieve the objectives of institutionalising MEDPA in </w:t>
            </w:r>
            <w:proofErr w:type="spellStart"/>
            <w:r w:rsidR="007E0B43" w:rsidRPr="00C41067">
              <w:rPr>
                <w:rFonts w:eastAsiaTheme="majorEastAsia" w:cstheme="minorHAnsi"/>
                <w:sz w:val="20"/>
                <w:szCs w:val="20"/>
              </w:rPr>
              <w:t>G</w:t>
            </w:r>
            <w:r w:rsidR="00C96232">
              <w:rPr>
                <w:rFonts w:eastAsiaTheme="majorEastAsia" w:cstheme="minorHAnsi"/>
                <w:sz w:val="20"/>
                <w:szCs w:val="20"/>
              </w:rPr>
              <w:t>o</w:t>
            </w:r>
            <w:r w:rsidR="007E0B43" w:rsidRPr="00C41067">
              <w:rPr>
                <w:rFonts w:eastAsiaTheme="majorEastAsia" w:cstheme="minorHAnsi"/>
                <w:sz w:val="20"/>
                <w:szCs w:val="20"/>
              </w:rPr>
              <w:t>N</w:t>
            </w:r>
            <w:proofErr w:type="spellEnd"/>
            <w:r w:rsidR="007E0B43" w:rsidRPr="00C41067">
              <w:rPr>
                <w:rFonts w:eastAsiaTheme="majorEastAsia" w:cstheme="minorHAnsi"/>
                <w:sz w:val="20"/>
                <w:szCs w:val="20"/>
              </w:rPr>
              <w:t xml:space="preserve"> systems.</w:t>
            </w:r>
          </w:p>
          <w:p w14:paraId="1A0BE481" w14:textId="77777777" w:rsidR="00F37293" w:rsidRDefault="00F37293" w:rsidP="00D46E7D">
            <w:pPr>
              <w:pStyle w:val="BodyText"/>
              <w:spacing w:before="40" w:after="40" w:line="240" w:lineRule="auto"/>
              <w:rPr>
                <w:rFonts w:eastAsiaTheme="majorEastAsia" w:cstheme="minorHAnsi"/>
                <w:sz w:val="20"/>
                <w:szCs w:val="20"/>
              </w:rPr>
            </w:pPr>
          </w:p>
          <w:p w14:paraId="3B3F254C" w14:textId="54C6F627" w:rsidR="00F37293" w:rsidRPr="00C41067" w:rsidRDefault="00F37293" w:rsidP="00D46E7D">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1.2 A new livelihoods investment (PRAGATI) </w:t>
            </w:r>
            <w:r>
              <w:rPr>
                <w:rFonts w:eastAsiaTheme="majorEastAsia" w:cstheme="minorHAnsi"/>
                <w:sz w:val="20"/>
                <w:szCs w:val="20"/>
              </w:rPr>
              <w:t xml:space="preserve">to </w:t>
            </w:r>
            <w:r w:rsidRPr="00C41067">
              <w:rPr>
                <w:rFonts w:eastAsiaTheme="majorEastAsia" w:cstheme="minorHAnsi"/>
                <w:sz w:val="20"/>
                <w:szCs w:val="20"/>
              </w:rPr>
              <w:t xml:space="preserve">commence in 2019-2020. </w:t>
            </w:r>
            <w:r>
              <w:rPr>
                <w:rFonts w:eastAsiaTheme="majorEastAsia" w:cstheme="minorHAnsi"/>
                <w:sz w:val="20"/>
                <w:szCs w:val="20"/>
              </w:rPr>
              <w:t xml:space="preserve">PRAGATI </w:t>
            </w:r>
            <w:r w:rsidRPr="00C41067">
              <w:rPr>
                <w:rFonts w:eastAsiaTheme="majorEastAsia" w:cstheme="minorHAnsi"/>
                <w:sz w:val="20"/>
                <w:szCs w:val="20"/>
              </w:rPr>
              <w:t>aims to reach 5,000 poor households through a ‘lift-reach’ of which 1,250 households will be extremely poor.</w:t>
            </w:r>
          </w:p>
        </w:tc>
        <w:tc>
          <w:tcPr>
            <w:tcW w:w="4394" w:type="dxa"/>
          </w:tcPr>
          <w:p w14:paraId="7B8C6444" w14:textId="77777777" w:rsidR="001A7ED5" w:rsidRDefault="00F37293">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C96232" w:rsidRPr="00C96232">
              <w:rPr>
                <w:rFonts w:eastAsiaTheme="majorEastAsia" w:cstheme="minorHAnsi"/>
                <w:sz w:val="20"/>
                <w:szCs w:val="20"/>
              </w:rPr>
              <w:t xml:space="preserve">MEDPA has been incorporated into the </w:t>
            </w:r>
            <w:proofErr w:type="spellStart"/>
            <w:r w:rsidR="00190A7F">
              <w:rPr>
                <w:rFonts w:eastAsiaTheme="majorEastAsia" w:cstheme="minorHAnsi"/>
                <w:sz w:val="20"/>
                <w:szCs w:val="20"/>
              </w:rPr>
              <w:t>GoN’s</w:t>
            </w:r>
            <w:proofErr w:type="spellEnd"/>
            <w:r w:rsidR="00190A7F">
              <w:rPr>
                <w:rFonts w:eastAsiaTheme="majorEastAsia" w:cstheme="minorHAnsi"/>
                <w:sz w:val="20"/>
                <w:szCs w:val="20"/>
              </w:rPr>
              <w:t xml:space="preserve"> 15th Periodic Plan</w:t>
            </w:r>
            <w:r w:rsidR="00C96232">
              <w:rPr>
                <w:rFonts w:eastAsiaTheme="majorEastAsia" w:cstheme="minorHAnsi"/>
                <w:sz w:val="20"/>
                <w:szCs w:val="20"/>
              </w:rPr>
              <w:t xml:space="preserve"> </w:t>
            </w:r>
            <w:r w:rsidR="00C96232" w:rsidRPr="00C96232">
              <w:rPr>
                <w:rFonts w:eastAsiaTheme="majorEastAsia" w:cstheme="minorHAnsi"/>
                <w:sz w:val="20"/>
                <w:szCs w:val="20"/>
              </w:rPr>
              <w:t>and microenterprise has been incorporated into the Local Government Operations Act</w:t>
            </w:r>
            <w:r w:rsidR="002D2639">
              <w:rPr>
                <w:rFonts w:eastAsiaTheme="majorEastAsia" w:cstheme="minorHAnsi"/>
                <w:sz w:val="20"/>
                <w:szCs w:val="20"/>
              </w:rPr>
              <w:t xml:space="preserve">. </w:t>
            </w:r>
            <w:r w:rsidR="00117BBC">
              <w:rPr>
                <w:rFonts w:eastAsiaTheme="majorEastAsia" w:cstheme="minorHAnsi"/>
                <w:sz w:val="20"/>
                <w:szCs w:val="20"/>
              </w:rPr>
              <w:t>T</w:t>
            </w:r>
            <w:r w:rsidR="00C96232" w:rsidRPr="00C96232">
              <w:rPr>
                <w:rFonts w:eastAsiaTheme="majorEastAsia" w:cstheme="minorHAnsi"/>
                <w:sz w:val="20"/>
                <w:szCs w:val="20"/>
              </w:rPr>
              <w:t xml:space="preserve">he </w:t>
            </w:r>
            <w:proofErr w:type="spellStart"/>
            <w:r w:rsidR="00117BBC">
              <w:rPr>
                <w:rFonts w:eastAsiaTheme="majorEastAsia" w:cstheme="minorHAnsi"/>
                <w:sz w:val="20"/>
                <w:szCs w:val="20"/>
              </w:rPr>
              <w:t>GoN</w:t>
            </w:r>
            <w:proofErr w:type="spellEnd"/>
            <w:r w:rsidR="00C96232" w:rsidRPr="00C96232">
              <w:rPr>
                <w:rFonts w:eastAsiaTheme="majorEastAsia" w:cstheme="minorHAnsi"/>
                <w:sz w:val="20"/>
                <w:szCs w:val="20"/>
              </w:rPr>
              <w:t xml:space="preserve"> ha</w:t>
            </w:r>
            <w:r w:rsidR="002D2639">
              <w:rPr>
                <w:rFonts w:eastAsiaTheme="majorEastAsia" w:cstheme="minorHAnsi"/>
                <w:sz w:val="20"/>
                <w:szCs w:val="20"/>
              </w:rPr>
              <w:t>s doubled the budget for MEDPA</w:t>
            </w:r>
            <w:r w:rsidR="00117BBC">
              <w:rPr>
                <w:rFonts w:eastAsiaTheme="majorEastAsia" w:cstheme="minorHAnsi"/>
                <w:sz w:val="20"/>
                <w:szCs w:val="20"/>
              </w:rPr>
              <w:t xml:space="preserve"> in 2020-21</w:t>
            </w:r>
            <w:r w:rsidR="00C96232" w:rsidRPr="00C96232">
              <w:rPr>
                <w:rFonts w:eastAsiaTheme="majorEastAsia" w:cstheme="minorHAnsi"/>
                <w:sz w:val="20"/>
                <w:szCs w:val="20"/>
              </w:rPr>
              <w:t xml:space="preserve">, which will be implemented through the 753 local governments. </w:t>
            </w:r>
            <w:r w:rsidR="00BE5FFD">
              <w:rPr>
                <w:rFonts w:eastAsiaTheme="majorEastAsia" w:cstheme="minorHAnsi"/>
                <w:sz w:val="20"/>
                <w:szCs w:val="20"/>
              </w:rPr>
              <w:t>T</w:t>
            </w:r>
            <w:r w:rsidR="002D2639">
              <w:rPr>
                <w:rFonts w:eastAsiaTheme="majorEastAsia" w:cstheme="minorHAnsi"/>
                <w:sz w:val="20"/>
                <w:szCs w:val="20"/>
              </w:rPr>
              <w:t>echnical assistance</w:t>
            </w:r>
            <w:r w:rsidR="00D16B91">
              <w:rPr>
                <w:rFonts w:eastAsiaTheme="majorEastAsia" w:cstheme="minorHAnsi"/>
                <w:sz w:val="20"/>
                <w:szCs w:val="20"/>
              </w:rPr>
              <w:t xml:space="preserve"> staff</w:t>
            </w:r>
            <w:r w:rsidR="00C96232" w:rsidRPr="00C96232">
              <w:rPr>
                <w:rFonts w:eastAsiaTheme="majorEastAsia" w:cstheme="minorHAnsi"/>
                <w:sz w:val="20"/>
                <w:szCs w:val="20"/>
              </w:rPr>
              <w:t xml:space="preserve"> has been expanded </w:t>
            </w:r>
            <w:r w:rsidR="00D16B91">
              <w:rPr>
                <w:rFonts w:eastAsiaTheme="majorEastAsia" w:cstheme="minorHAnsi"/>
                <w:sz w:val="20"/>
                <w:szCs w:val="20"/>
              </w:rPr>
              <w:t xml:space="preserve">to </w:t>
            </w:r>
            <w:r w:rsidR="00C96232" w:rsidRPr="00C96232">
              <w:rPr>
                <w:rFonts w:eastAsiaTheme="majorEastAsia" w:cstheme="minorHAnsi"/>
                <w:sz w:val="20"/>
                <w:szCs w:val="20"/>
              </w:rPr>
              <w:t>39</w:t>
            </w:r>
            <w:r w:rsidR="00D16B91">
              <w:rPr>
                <w:rFonts w:eastAsiaTheme="majorEastAsia" w:cstheme="minorHAnsi"/>
                <w:sz w:val="20"/>
                <w:szCs w:val="20"/>
              </w:rPr>
              <w:t xml:space="preserve"> (from 28)</w:t>
            </w:r>
            <w:r w:rsidR="00C96232" w:rsidRPr="00C96232">
              <w:rPr>
                <w:rFonts w:eastAsiaTheme="majorEastAsia" w:cstheme="minorHAnsi"/>
                <w:sz w:val="20"/>
                <w:szCs w:val="20"/>
              </w:rPr>
              <w:t xml:space="preserve"> to support the institutionalisation of MEDPA in </w:t>
            </w:r>
            <w:proofErr w:type="spellStart"/>
            <w:r w:rsidR="00C96232" w:rsidRPr="00C96232">
              <w:rPr>
                <w:rFonts w:eastAsiaTheme="majorEastAsia" w:cstheme="minorHAnsi"/>
                <w:sz w:val="20"/>
                <w:szCs w:val="20"/>
              </w:rPr>
              <w:t>GoN</w:t>
            </w:r>
            <w:proofErr w:type="spellEnd"/>
            <w:r w:rsidR="00C96232" w:rsidRPr="00C96232">
              <w:rPr>
                <w:rFonts w:eastAsiaTheme="majorEastAsia" w:cstheme="minorHAnsi"/>
                <w:sz w:val="20"/>
                <w:szCs w:val="20"/>
              </w:rPr>
              <w:t xml:space="preserve"> systems.</w:t>
            </w:r>
          </w:p>
          <w:p w14:paraId="0086A23D" w14:textId="0515597B" w:rsidR="00F37293" w:rsidRPr="00C41067" w:rsidRDefault="00F37293">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C41067">
              <w:rPr>
                <w:rFonts w:eastAsiaTheme="majorEastAsia" w:cstheme="minorHAnsi"/>
                <w:sz w:val="20"/>
                <w:szCs w:val="20"/>
              </w:rPr>
              <w:t xml:space="preserve">Due to </w:t>
            </w:r>
            <w:r>
              <w:rPr>
                <w:rFonts w:eastAsiaTheme="majorEastAsia" w:cstheme="minorHAnsi"/>
                <w:sz w:val="20"/>
                <w:szCs w:val="20"/>
              </w:rPr>
              <w:t>changing priorities in 2019-20</w:t>
            </w:r>
            <w:r w:rsidRPr="00C41067">
              <w:rPr>
                <w:rFonts w:eastAsiaTheme="majorEastAsia" w:cstheme="minorHAnsi"/>
                <w:sz w:val="20"/>
                <w:szCs w:val="20"/>
              </w:rPr>
              <w:t xml:space="preserve">, </w:t>
            </w:r>
            <w:r>
              <w:rPr>
                <w:rFonts w:eastAsiaTheme="majorEastAsia" w:cstheme="minorHAnsi"/>
                <w:sz w:val="20"/>
                <w:szCs w:val="20"/>
              </w:rPr>
              <w:t>PRAGATI</w:t>
            </w:r>
            <w:r w:rsidRPr="00C41067">
              <w:rPr>
                <w:rFonts w:eastAsiaTheme="majorEastAsia" w:cstheme="minorHAnsi"/>
                <w:sz w:val="20"/>
                <w:szCs w:val="20"/>
              </w:rPr>
              <w:t xml:space="preserve"> has not</w:t>
            </w:r>
            <w:r>
              <w:rPr>
                <w:rFonts w:eastAsiaTheme="majorEastAsia" w:cstheme="minorHAnsi"/>
                <w:sz w:val="20"/>
                <w:szCs w:val="20"/>
              </w:rPr>
              <w:t xml:space="preserve"> yet</w:t>
            </w:r>
            <w:r w:rsidRPr="00C41067">
              <w:rPr>
                <w:rFonts w:eastAsiaTheme="majorEastAsia" w:cstheme="minorHAnsi"/>
                <w:sz w:val="20"/>
                <w:szCs w:val="20"/>
              </w:rPr>
              <w:t xml:space="preserve"> commenced. As we </w:t>
            </w:r>
            <w:r>
              <w:rPr>
                <w:rFonts w:eastAsiaTheme="majorEastAsia" w:cstheme="minorHAnsi"/>
                <w:sz w:val="20"/>
                <w:szCs w:val="20"/>
              </w:rPr>
              <w:t>continue to focus our</w:t>
            </w:r>
            <w:r w:rsidRPr="00C41067">
              <w:rPr>
                <w:rFonts w:eastAsiaTheme="majorEastAsia" w:cstheme="minorHAnsi"/>
                <w:sz w:val="20"/>
                <w:szCs w:val="20"/>
              </w:rPr>
              <w:t xml:space="preserve"> efforts to support Nepal’s immediate COVID-19 response and recovery, PRAGATI will remain on hold.</w:t>
            </w:r>
          </w:p>
        </w:tc>
      </w:tr>
      <w:tr w:rsidR="001A7ED5" w:rsidRPr="00274483" w14:paraId="33653353" w14:textId="77777777" w:rsidTr="00574698">
        <w:trPr>
          <w:tblHeader/>
        </w:trPr>
        <w:tc>
          <w:tcPr>
            <w:tcW w:w="2095" w:type="dxa"/>
          </w:tcPr>
          <w:p w14:paraId="14C96AA6" w14:textId="77777777" w:rsidR="00F37293" w:rsidRDefault="001A7ED5" w:rsidP="001A7ED5">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Objective 2</w:t>
            </w:r>
            <w:r w:rsidR="007E0B43" w:rsidRPr="00C41067">
              <w:rPr>
                <w:rFonts w:eastAsiaTheme="majorEastAsia" w:cstheme="minorHAnsi"/>
                <w:sz w:val="20"/>
                <w:szCs w:val="20"/>
              </w:rPr>
              <w:t xml:space="preserve">. </w:t>
            </w:r>
          </w:p>
          <w:p w14:paraId="06DC1754" w14:textId="7870A727" w:rsidR="001A7ED5" w:rsidRPr="00C41067" w:rsidRDefault="007E0B43" w:rsidP="001A7ED5">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Support the government to improve governance and policy implementation</w:t>
            </w:r>
          </w:p>
        </w:tc>
        <w:tc>
          <w:tcPr>
            <w:tcW w:w="3712" w:type="dxa"/>
          </w:tcPr>
          <w:p w14:paraId="5C25E79E" w14:textId="77777777" w:rsidR="001A7ED5" w:rsidRDefault="00BB3B72" w:rsidP="00050D69">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2.1 </w:t>
            </w:r>
            <w:r w:rsidR="007E0B43" w:rsidRPr="00C41067">
              <w:rPr>
                <w:rFonts w:eastAsiaTheme="majorEastAsia" w:cstheme="minorHAnsi"/>
                <w:sz w:val="20"/>
                <w:szCs w:val="20"/>
              </w:rPr>
              <w:t>Completion of the third survey of the Nepali people regarding perceptions on subnational governance</w:t>
            </w:r>
            <w:r w:rsidR="002F4A70">
              <w:rPr>
                <w:rFonts w:eastAsiaTheme="majorEastAsia" w:cstheme="minorHAnsi"/>
                <w:sz w:val="20"/>
                <w:szCs w:val="20"/>
              </w:rPr>
              <w:t xml:space="preserve"> through the </w:t>
            </w:r>
            <w:r w:rsidR="00050D69">
              <w:rPr>
                <w:rFonts w:eastAsiaTheme="majorEastAsia" w:cstheme="minorHAnsi"/>
                <w:sz w:val="20"/>
                <w:szCs w:val="20"/>
              </w:rPr>
              <w:t xml:space="preserve">Subnational Governance program. </w:t>
            </w:r>
          </w:p>
          <w:p w14:paraId="24C262C9" w14:textId="77777777" w:rsidR="00F37293" w:rsidRDefault="00F37293" w:rsidP="00050D69">
            <w:pPr>
              <w:pStyle w:val="BodyText"/>
              <w:spacing w:before="40" w:after="40" w:line="240" w:lineRule="auto"/>
              <w:rPr>
                <w:rFonts w:eastAsiaTheme="majorEastAsia" w:cstheme="minorHAnsi"/>
                <w:sz w:val="20"/>
                <w:szCs w:val="20"/>
              </w:rPr>
            </w:pPr>
          </w:p>
          <w:p w14:paraId="000760DF" w14:textId="20C4461C" w:rsidR="00F37293" w:rsidRDefault="00F37293" w:rsidP="00050D69">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2.2 Five-</w:t>
            </w:r>
            <w:r>
              <w:rPr>
                <w:rFonts w:eastAsiaTheme="majorEastAsia" w:cstheme="minorHAnsi"/>
                <w:sz w:val="20"/>
                <w:szCs w:val="20"/>
              </w:rPr>
              <w:t>Y</w:t>
            </w:r>
            <w:r w:rsidRPr="00C41067">
              <w:rPr>
                <w:rFonts w:eastAsiaTheme="majorEastAsia" w:cstheme="minorHAnsi"/>
                <w:sz w:val="20"/>
                <w:szCs w:val="20"/>
              </w:rPr>
              <w:t>ear Strategic Plans developed for five municipalities</w:t>
            </w:r>
          </w:p>
          <w:p w14:paraId="1D293D95" w14:textId="77777777" w:rsidR="00F37293" w:rsidRDefault="00F37293" w:rsidP="00050D69">
            <w:pPr>
              <w:pStyle w:val="BodyText"/>
              <w:spacing w:before="40" w:after="40" w:line="240" w:lineRule="auto"/>
              <w:rPr>
                <w:rFonts w:eastAsiaTheme="majorEastAsia" w:cstheme="minorHAnsi"/>
                <w:sz w:val="20"/>
                <w:szCs w:val="20"/>
              </w:rPr>
            </w:pPr>
          </w:p>
          <w:p w14:paraId="01E1B9B3" w14:textId="5B2E6017" w:rsidR="00F37293" w:rsidRDefault="00F37293" w:rsidP="00050D69">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2.3 Community Mediation </w:t>
            </w:r>
            <w:r>
              <w:rPr>
                <w:rFonts w:eastAsiaTheme="majorEastAsia" w:cstheme="minorHAnsi"/>
                <w:sz w:val="20"/>
                <w:szCs w:val="20"/>
              </w:rPr>
              <w:t>s</w:t>
            </w:r>
            <w:r w:rsidRPr="00C41067">
              <w:rPr>
                <w:rFonts w:eastAsiaTheme="majorEastAsia" w:cstheme="minorHAnsi"/>
                <w:sz w:val="20"/>
                <w:szCs w:val="20"/>
              </w:rPr>
              <w:t>ervices extended to an additional six municipalities by establishing 90 new mediation centres in these six municipalities</w:t>
            </w:r>
            <w:r>
              <w:rPr>
                <w:rFonts w:eastAsiaTheme="majorEastAsia" w:cstheme="minorHAnsi"/>
                <w:sz w:val="20"/>
                <w:szCs w:val="20"/>
              </w:rPr>
              <w:t>.</w:t>
            </w:r>
          </w:p>
          <w:p w14:paraId="1C8D0F8F" w14:textId="77777777" w:rsidR="00F37293" w:rsidRDefault="00F37293" w:rsidP="00050D69">
            <w:pPr>
              <w:pStyle w:val="BodyText"/>
              <w:spacing w:before="40" w:after="40" w:line="240" w:lineRule="auto"/>
              <w:rPr>
                <w:rFonts w:eastAsiaTheme="majorEastAsia" w:cstheme="minorHAnsi"/>
                <w:sz w:val="20"/>
                <w:szCs w:val="20"/>
              </w:rPr>
            </w:pPr>
          </w:p>
          <w:p w14:paraId="121A70F9" w14:textId="7E9B07F4" w:rsidR="00F37293" w:rsidRPr="00C41067" w:rsidRDefault="00F37293" w:rsidP="00050D69">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2.4 500 mediators (40 per cent women) trained in Community Mediation</w:t>
            </w:r>
          </w:p>
        </w:tc>
        <w:tc>
          <w:tcPr>
            <w:tcW w:w="4394" w:type="dxa"/>
          </w:tcPr>
          <w:p w14:paraId="6494AA45" w14:textId="77777777" w:rsidR="001A7ED5" w:rsidRDefault="00F37293" w:rsidP="00050D69">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002D2639">
              <w:rPr>
                <w:rFonts w:eastAsiaTheme="majorEastAsia" w:cstheme="minorHAnsi"/>
                <w:sz w:val="20"/>
                <w:szCs w:val="20"/>
              </w:rPr>
              <w:t xml:space="preserve">Survey field work, data analysis and </w:t>
            </w:r>
            <w:r w:rsidR="002D2639" w:rsidRPr="005841B3">
              <w:rPr>
                <w:rFonts w:eastAsiaTheme="majorEastAsia" w:cstheme="minorHAnsi"/>
                <w:sz w:val="20"/>
                <w:szCs w:val="20"/>
              </w:rPr>
              <w:t xml:space="preserve">consultation </w:t>
            </w:r>
            <w:r w:rsidR="00117BBC">
              <w:rPr>
                <w:rFonts w:eastAsiaTheme="majorEastAsia" w:cstheme="minorHAnsi"/>
                <w:sz w:val="20"/>
                <w:szCs w:val="20"/>
              </w:rPr>
              <w:t xml:space="preserve">were </w:t>
            </w:r>
            <w:r w:rsidR="002D2639">
              <w:rPr>
                <w:rFonts w:eastAsiaTheme="majorEastAsia" w:cstheme="minorHAnsi"/>
                <w:sz w:val="20"/>
                <w:szCs w:val="20"/>
              </w:rPr>
              <w:t>completed</w:t>
            </w:r>
            <w:r w:rsidR="00050D69">
              <w:rPr>
                <w:rFonts w:eastAsiaTheme="majorEastAsia" w:cstheme="minorHAnsi"/>
                <w:sz w:val="20"/>
                <w:szCs w:val="20"/>
              </w:rPr>
              <w:t xml:space="preserve"> by the program</w:t>
            </w:r>
            <w:r w:rsidR="002D2639">
              <w:rPr>
                <w:rFonts w:eastAsiaTheme="majorEastAsia" w:cstheme="minorHAnsi"/>
                <w:sz w:val="20"/>
                <w:szCs w:val="20"/>
              </w:rPr>
              <w:t xml:space="preserve"> </w:t>
            </w:r>
            <w:r w:rsidR="00612E8A">
              <w:rPr>
                <w:rFonts w:eastAsiaTheme="majorEastAsia" w:cstheme="minorHAnsi"/>
                <w:sz w:val="20"/>
                <w:szCs w:val="20"/>
              </w:rPr>
              <w:t xml:space="preserve">in March, </w:t>
            </w:r>
            <w:r w:rsidR="002D2639">
              <w:rPr>
                <w:rFonts w:eastAsiaTheme="majorEastAsia" w:cstheme="minorHAnsi"/>
                <w:sz w:val="20"/>
                <w:szCs w:val="20"/>
              </w:rPr>
              <w:t>and p</w:t>
            </w:r>
            <w:r w:rsidR="00612E8A">
              <w:rPr>
                <w:rFonts w:eastAsiaTheme="majorEastAsia" w:cstheme="minorHAnsi"/>
                <w:sz w:val="20"/>
                <w:szCs w:val="20"/>
              </w:rPr>
              <w:t xml:space="preserve">reliminary findings </w:t>
            </w:r>
            <w:r w:rsidR="002D2639" w:rsidRPr="005841B3">
              <w:rPr>
                <w:rFonts w:eastAsiaTheme="majorEastAsia" w:cstheme="minorHAnsi"/>
                <w:sz w:val="20"/>
                <w:szCs w:val="20"/>
              </w:rPr>
              <w:t xml:space="preserve">shared with key stakeholders. </w:t>
            </w:r>
            <w:r w:rsidR="00612E8A">
              <w:rPr>
                <w:rFonts w:eastAsiaTheme="majorEastAsia" w:cstheme="minorHAnsi"/>
                <w:sz w:val="20"/>
                <w:szCs w:val="20"/>
              </w:rPr>
              <w:t>The survey is expected to be finalis</w:t>
            </w:r>
            <w:r w:rsidR="002D2639" w:rsidRPr="005841B3">
              <w:rPr>
                <w:rFonts w:eastAsiaTheme="majorEastAsia" w:cstheme="minorHAnsi"/>
                <w:sz w:val="20"/>
                <w:szCs w:val="20"/>
              </w:rPr>
              <w:t>ed by October 2020</w:t>
            </w:r>
            <w:r w:rsidR="00612E8A">
              <w:rPr>
                <w:rFonts w:eastAsiaTheme="majorEastAsia" w:cstheme="minorHAnsi"/>
                <w:sz w:val="20"/>
                <w:szCs w:val="20"/>
              </w:rPr>
              <w:t xml:space="preserve"> (delayed </w:t>
            </w:r>
            <w:r w:rsidR="00117BBC">
              <w:rPr>
                <w:rFonts w:eastAsiaTheme="majorEastAsia" w:cstheme="minorHAnsi"/>
                <w:sz w:val="20"/>
                <w:szCs w:val="20"/>
              </w:rPr>
              <w:t xml:space="preserve">since June, </w:t>
            </w:r>
            <w:r w:rsidR="00612E8A">
              <w:rPr>
                <w:rFonts w:eastAsiaTheme="majorEastAsia" w:cstheme="minorHAnsi"/>
                <w:sz w:val="20"/>
                <w:szCs w:val="20"/>
              </w:rPr>
              <w:t>due to COVID-19)</w:t>
            </w:r>
            <w:r w:rsidR="002D2639" w:rsidRPr="005841B3">
              <w:rPr>
                <w:rFonts w:eastAsiaTheme="majorEastAsia" w:cstheme="minorHAnsi"/>
                <w:sz w:val="20"/>
                <w:szCs w:val="20"/>
              </w:rPr>
              <w:t>.</w:t>
            </w:r>
          </w:p>
          <w:p w14:paraId="7498B93C" w14:textId="77777777" w:rsidR="00F37293" w:rsidRDefault="00F37293" w:rsidP="00050D69">
            <w:pPr>
              <w:pStyle w:val="BodyText"/>
              <w:spacing w:before="40" w:after="40" w:line="240" w:lineRule="auto"/>
              <w:rPr>
                <w:rFonts w:eastAsiaTheme="majorEastAsia" w:cstheme="minorHAnsi"/>
                <w:sz w:val="20"/>
                <w:szCs w:val="20"/>
              </w:rPr>
            </w:pPr>
            <w:r>
              <w:rPr>
                <w:rFonts w:eastAsiaTheme="majorEastAsia" w:cstheme="minorHAnsi"/>
                <w:sz w:val="20"/>
                <w:szCs w:val="20"/>
              </w:rPr>
              <w:t>~ SNGP has developed Five-Year S</w:t>
            </w:r>
            <w:r w:rsidRPr="005841B3">
              <w:rPr>
                <w:rFonts w:eastAsiaTheme="majorEastAsia" w:cstheme="minorHAnsi"/>
                <w:sz w:val="20"/>
                <w:szCs w:val="20"/>
              </w:rPr>
              <w:t xml:space="preserve">trategic Plans for five municipalities. </w:t>
            </w:r>
            <w:r>
              <w:rPr>
                <w:rFonts w:eastAsiaTheme="majorEastAsia" w:cstheme="minorHAnsi"/>
                <w:sz w:val="20"/>
                <w:szCs w:val="20"/>
              </w:rPr>
              <w:t xml:space="preserve">Four </w:t>
            </w:r>
            <w:r w:rsidRPr="005841B3">
              <w:rPr>
                <w:rFonts w:eastAsiaTheme="majorEastAsia" w:cstheme="minorHAnsi"/>
                <w:sz w:val="20"/>
                <w:szCs w:val="20"/>
              </w:rPr>
              <w:t xml:space="preserve">municipalities (Waling, </w:t>
            </w:r>
            <w:proofErr w:type="spellStart"/>
            <w:r w:rsidRPr="005841B3">
              <w:rPr>
                <w:rFonts w:eastAsiaTheme="majorEastAsia" w:cstheme="minorHAnsi"/>
                <w:sz w:val="20"/>
                <w:szCs w:val="20"/>
              </w:rPr>
              <w:t>Tikapur</w:t>
            </w:r>
            <w:proofErr w:type="spellEnd"/>
            <w:r w:rsidRPr="005841B3">
              <w:rPr>
                <w:rFonts w:eastAsiaTheme="majorEastAsia" w:cstheme="minorHAnsi"/>
                <w:sz w:val="20"/>
                <w:szCs w:val="20"/>
              </w:rPr>
              <w:t xml:space="preserve">, </w:t>
            </w:r>
            <w:proofErr w:type="spellStart"/>
            <w:r w:rsidRPr="005841B3">
              <w:rPr>
                <w:rFonts w:eastAsiaTheme="majorEastAsia" w:cstheme="minorHAnsi"/>
                <w:sz w:val="20"/>
                <w:szCs w:val="20"/>
              </w:rPr>
              <w:t>Bhi</w:t>
            </w:r>
            <w:r>
              <w:rPr>
                <w:rFonts w:eastAsiaTheme="majorEastAsia" w:cstheme="minorHAnsi"/>
                <w:sz w:val="20"/>
                <w:szCs w:val="20"/>
              </w:rPr>
              <w:t>meshwor</w:t>
            </w:r>
            <w:proofErr w:type="spellEnd"/>
            <w:r>
              <w:rPr>
                <w:rFonts w:eastAsiaTheme="majorEastAsia" w:cstheme="minorHAnsi"/>
                <w:sz w:val="20"/>
                <w:szCs w:val="20"/>
              </w:rPr>
              <w:t xml:space="preserve"> and </w:t>
            </w:r>
            <w:proofErr w:type="spellStart"/>
            <w:r>
              <w:rPr>
                <w:rFonts w:eastAsiaTheme="majorEastAsia" w:cstheme="minorHAnsi"/>
                <w:sz w:val="20"/>
                <w:szCs w:val="20"/>
              </w:rPr>
              <w:t>Tansen</w:t>
            </w:r>
            <w:proofErr w:type="spellEnd"/>
            <w:r>
              <w:rPr>
                <w:rFonts w:eastAsiaTheme="majorEastAsia" w:cstheme="minorHAnsi"/>
                <w:sz w:val="20"/>
                <w:szCs w:val="20"/>
              </w:rPr>
              <w:t>) have</w:t>
            </w:r>
            <w:r w:rsidRPr="005841B3">
              <w:rPr>
                <w:rFonts w:eastAsiaTheme="majorEastAsia" w:cstheme="minorHAnsi"/>
                <w:sz w:val="20"/>
                <w:szCs w:val="20"/>
              </w:rPr>
              <w:t xml:space="preserve"> endorsed </w:t>
            </w:r>
            <w:r>
              <w:rPr>
                <w:rFonts w:eastAsiaTheme="majorEastAsia" w:cstheme="minorHAnsi"/>
                <w:sz w:val="20"/>
                <w:szCs w:val="20"/>
              </w:rPr>
              <w:t xml:space="preserve">the plans. The </w:t>
            </w:r>
            <w:proofErr w:type="spellStart"/>
            <w:r>
              <w:rPr>
                <w:rFonts w:eastAsiaTheme="majorEastAsia" w:cstheme="minorHAnsi"/>
                <w:sz w:val="20"/>
                <w:szCs w:val="20"/>
              </w:rPr>
              <w:t>Damak</w:t>
            </w:r>
            <w:proofErr w:type="spellEnd"/>
            <w:r w:rsidRPr="005841B3">
              <w:rPr>
                <w:rFonts w:eastAsiaTheme="majorEastAsia" w:cstheme="minorHAnsi"/>
                <w:sz w:val="20"/>
                <w:szCs w:val="20"/>
              </w:rPr>
              <w:t xml:space="preserve"> </w:t>
            </w:r>
            <w:r>
              <w:rPr>
                <w:rFonts w:eastAsiaTheme="majorEastAsia" w:cstheme="minorHAnsi"/>
                <w:sz w:val="20"/>
                <w:szCs w:val="20"/>
              </w:rPr>
              <w:t xml:space="preserve">plan </w:t>
            </w:r>
            <w:r w:rsidRPr="005841B3">
              <w:rPr>
                <w:rFonts w:eastAsiaTheme="majorEastAsia" w:cstheme="minorHAnsi"/>
                <w:sz w:val="20"/>
                <w:szCs w:val="20"/>
              </w:rPr>
              <w:t xml:space="preserve">is pending formal approval from </w:t>
            </w:r>
            <w:r>
              <w:rPr>
                <w:rFonts w:eastAsiaTheme="majorEastAsia" w:cstheme="minorHAnsi"/>
                <w:sz w:val="20"/>
                <w:szCs w:val="20"/>
              </w:rPr>
              <w:t>the municipal assembly</w:t>
            </w:r>
            <w:r w:rsidRPr="005841B3">
              <w:rPr>
                <w:rFonts w:eastAsiaTheme="majorEastAsia" w:cstheme="minorHAnsi"/>
                <w:sz w:val="20"/>
                <w:szCs w:val="20"/>
              </w:rPr>
              <w:t xml:space="preserve"> </w:t>
            </w:r>
            <w:r>
              <w:rPr>
                <w:rFonts w:eastAsiaTheme="majorEastAsia" w:cstheme="minorHAnsi"/>
                <w:sz w:val="20"/>
                <w:szCs w:val="20"/>
              </w:rPr>
              <w:t>(</w:t>
            </w:r>
            <w:r w:rsidRPr="005841B3">
              <w:rPr>
                <w:rFonts w:eastAsiaTheme="majorEastAsia" w:cstheme="minorHAnsi"/>
                <w:sz w:val="20"/>
                <w:szCs w:val="20"/>
              </w:rPr>
              <w:t>delayed d</w:t>
            </w:r>
            <w:r>
              <w:rPr>
                <w:rFonts w:eastAsiaTheme="majorEastAsia" w:cstheme="minorHAnsi"/>
                <w:sz w:val="20"/>
                <w:szCs w:val="20"/>
              </w:rPr>
              <w:t>u</w:t>
            </w:r>
            <w:r w:rsidRPr="005841B3">
              <w:rPr>
                <w:rFonts w:eastAsiaTheme="majorEastAsia" w:cstheme="minorHAnsi"/>
                <w:sz w:val="20"/>
                <w:szCs w:val="20"/>
              </w:rPr>
              <w:t>e to COVID-19</w:t>
            </w:r>
            <w:r>
              <w:rPr>
                <w:rFonts w:eastAsiaTheme="majorEastAsia" w:cstheme="minorHAnsi"/>
                <w:sz w:val="20"/>
                <w:szCs w:val="20"/>
              </w:rPr>
              <w:t>)</w:t>
            </w:r>
            <w:r w:rsidRPr="005841B3">
              <w:rPr>
                <w:rFonts w:eastAsiaTheme="majorEastAsia" w:cstheme="minorHAnsi"/>
                <w:sz w:val="20"/>
                <w:szCs w:val="20"/>
              </w:rPr>
              <w:t>.</w:t>
            </w:r>
          </w:p>
          <w:p w14:paraId="5D7C271D" w14:textId="77777777" w:rsidR="00F37293" w:rsidRDefault="00F37293" w:rsidP="00050D69">
            <w:pPr>
              <w:pStyle w:val="BodyText"/>
              <w:spacing w:before="40" w:after="40" w:line="240" w:lineRule="auto"/>
              <w:rPr>
                <w:rFonts w:eastAsiaTheme="majorEastAsia" w:cstheme="minorHAnsi"/>
                <w:sz w:val="20"/>
                <w:szCs w:val="20"/>
              </w:rPr>
            </w:pPr>
            <w:r>
              <w:rPr>
                <w:rFonts w:eastAsiaTheme="majorEastAsia" w:cstheme="minorHAnsi"/>
                <w:sz w:val="20"/>
                <w:szCs w:val="20"/>
              </w:rPr>
              <w:t>~ Community Mediation s</w:t>
            </w:r>
            <w:r w:rsidRPr="005841B3">
              <w:rPr>
                <w:rFonts w:eastAsiaTheme="majorEastAsia" w:cstheme="minorHAnsi"/>
                <w:sz w:val="20"/>
                <w:szCs w:val="20"/>
              </w:rPr>
              <w:t>ervices have been extended to all six municipalities</w:t>
            </w:r>
            <w:r>
              <w:rPr>
                <w:rFonts w:eastAsiaTheme="majorEastAsia" w:cstheme="minorHAnsi"/>
                <w:sz w:val="20"/>
                <w:szCs w:val="20"/>
              </w:rPr>
              <w:t xml:space="preserve">. </w:t>
            </w:r>
            <w:r w:rsidRPr="005841B3">
              <w:rPr>
                <w:rFonts w:eastAsiaTheme="majorEastAsia" w:cstheme="minorHAnsi"/>
                <w:sz w:val="20"/>
                <w:szCs w:val="20"/>
              </w:rPr>
              <w:t>74 new community mediation centres have been established in five municipalities (</w:t>
            </w:r>
            <w:proofErr w:type="spellStart"/>
            <w:r w:rsidRPr="005841B3">
              <w:rPr>
                <w:rFonts w:eastAsiaTheme="majorEastAsia" w:cstheme="minorHAnsi"/>
                <w:sz w:val="20"/>
                <w:szCs w:val="20"/>
              </w:rPr>
              <w:t>Tikapur</w:t>
            </w:r>
            <w:proofErr w:type="spellEnd"/>
            <w:r w:rsidRPr="005841B3">
              <w:rPr>
                <w:rFonts w:eastAsiaTheme="majorEastAsia" w:cstheme="minorHAnsi"/>
                <w:sz w:val="20"/>
                <w:szCs w:val="20"/>
              </w:rPr>
              <w:t xml:space="preserve">, </w:t>
            </w:r>
            <w:proofErr w:type="spellStart"/>
            <w:r w:rsidRPr="005841B3">
              <w:rPr>
                <w:rFonts w:eastAsiaTheme="majorEastAsia" w:cstheme="minorHAnsi"/>
                <w:sz w:val="20"/>
                <w:szCs w:val="20"/>
              </w:rPr>
              <w:t>Damak</w:t>
            </w:r>
            <w:proofErr w:type="spellEnd"/>
            <w:r w:rsidRPr="005841B3">
              <w:rPr>
                <w:rFonts w:eastAsiaTheme="majorEastAsia" w:cstheme="minorHAnsi"/>
                <w:sz w:val="20"/>
                <w:szCs w:val="20"/>
              </w:rPr>
              <w:t xml:space="preserve">, Waling, </w:t>
            </w:r>
            <w:proofErr w:type="spellStart"/>
            <w:r w:rsidRPr="005841B3">
              <w:rPr>
                <w:rFonts w:eastAsiaTheme="majorEastAsia" w:cstheme="minorHAnsi"/>
                <w:sz w:val="20"/>
                <w:szCs w:val="20"/>
              </w:rPr>
              <w:t>Tansen</w:t>
            </w:r>
            <w:proofErr w:type="spellEnd"/>
            <w:r w:rsidRPr="005841B3">
              <w:rPr>
                <w:rFonts w:eastAsiaTheme="majorEastAsia" w:cstheme="minorHAnsi"/>
                <w:sz w:val="20"/>
                <w:szCs w:val="20"/>
              </w:rPr>
              <w:t xml:space="preserve"> and </w:t>
            </w:r>
            <w:proofErr w:type="spellStart"/>
            <w:r w:rsidRPr="005841B3">
              <w:rPr>
                <w:rFonts w:eastAsiaTheme="majorEastAsia" w:cstheme="minorHAnsi"/>
                <w:sz w:val="20"/>
                <w:szCs w:val="20"/>
              </w:rPr>
              <w:t>Kalaiya</w:t>
            </w:r>
            <w:proofErr w:type="spellEnd"/>
            <w:r w:rsidRPr="005841B3">
              <w:rPr>
                <w:rFonts w:eastAsiaTheme="majorEastAsia" w:cstheme="minorHAnsi"/>
                <w:sz w:val="20"/>
                <w:szCs w:val="20"/>
              </w:rPr>
              <w:t xml:space="preserve">). All preparatory tasks have been completed to establish the remaining 16 mediation centres in </w:t>
            </w:r>
            <w:proofErr w:type="spellStart"/>
            <w:r w:rsidRPr="005841B3">
              <w:rPr>
                <w:rFonts w:eastAsiaTheme="majorEastAsia" w:cstheme="minorHAnsi"/>
                <w:sz w:val="20"/>
                <w:szCs w:val="20"/>
              </w:rPr>
              <w:t>Birendranagar</w:t>
            </w:r>
            <w:proofErr w:type="spellEnd"/>
            <w:r w:rsidRPr="005841B3">
              <w:rPr>
                <w:rFonts w:eastAsiaTheme="majorEastAsia" w:cstheme="minorHAnsi"/>
                <w:sz w:val="20"/>
                <w:szCs w:val="20"/>
              </w:rPr>
              <w:t xml:space="preserve"> municipality</w:t>
            </w:r>
            <w:r>
              <w:rPr>
                <w:rFonts w:eastAsiaTheme="majorEastAsia" w:cstheme="minorHAnsi"/>
                <w:sz w:val="20"/>
                <w:szCs w:val="20"/>
              </w:rPr>
              <w:t xml:space="preserve">, however </w:t>
            </w:r>
            <w:r w:rsidRPr="005841B3">
              <w:rPr>
                <w:rFonts w:eastAsiaTheme="majorEastAsia" w:cstheme="minorHAnsi"/>
                <w:sz w:val="20"/>
                <w:szCs w:val="20"/>
              </w:rPr>
              <w:t xml:space="preserve">the process </w:t>
            </w:r>
            <w:r>
              <w:rPr>
                <w:rFonts w:eastAsiaTheme="majorEastAsia" w:cstheme="minorHAnsi"/>
                <w:sz w:val="20"/>
                <w:szCs w:val="20"/>
              </w:rPr>
              <w:t>has been</w:t>
            </w:r>
            <w:r w:rsidRPr="005841B3">
              <w:rPr>
                <w:rFonts w:eastAsiaTheme="majorEastAsia" w:cstheme="minorHAnsi"/>
                <w:sz w:val="20"/>
                <w:szCs w:val="20"/>
              </w:rPr>
              <w:t xml:space="preserve"> </w:t>
            </w:r>
            <w:r>
              <w:rPr>
                <w:rFonts w:eastAsiaTheme="majorEastAsia" w:cstheme="minorHAnsi"/>
                <w:sz w:val="20"/>
                <w:szCs w:val="20"/>
              </w:rPr>
              <w:t xml:space="preserve">suspended </w:t>
            </w:r>
            <w:r w:rsidRPr="005841B3">
              <w:rPr>
                <w:rFonts w:eastAsiaTheme="majorEastAsia" w:cstheme="minorHAnsi"/>
                <w:sz w:val="20"/>
                <w:szCs w:val="20"/>
              </w:rPr>
              <w:t>due to COVID-19</w:t>
            </w:r>
            <w:r>
              <w:rPr>
                <w:rFonts w:eastAsiaTheme="majorEastAsia" w:cstheme="minorHAnsi"/>
                <w:sz w:val="20"/>
                <w:szCs w:val="20"/>
              </w:rPr>
              <w:t>.</w:t>
            </w:r>
          </w:p>
          <w:p w14:paraId="1B6CAE3E" w14:textId="080E1DD8" w:rsidR="00F37293" w:rsidRPr="00C41067" w:rsidRDefault="00F37293" w:rsidP="00050D69">
            <w:pPr>
              <w:pStyle w:val="BodyText"/>
              <w:spacing w:before="40" w:after="40" w:line="240" w:lineRule="auto"/>
              <w:rPr>
                <w:rFonts w:eastAsiaTheme="majorEastAsia" w:cstheme="minorHAnsi"/>
                <w:sz w:val="20"/>
                <w:szCs w:val="20"/>
              </w:rPr>
            </w:pPr>
            <w:r>
              <w:rPr>
                <w:rFonts w:eastAsiaTheme="majorEastAsia" w:cstheme="minorHAnsi"/>
                <w:sz w:val="20"/>
                <w:szCs w:val="20"/>
              </w:rPr>
              <w:t>~ 585</w:t>
            </w:r>
            <w:r w:rsidRPr="005841B3">
              <w:rPr>
                <w:rFonts w:eastAsiaTheme="majorEastAsia" w:cstheme="minorHAnsi"/>
                <w:sz w:val="20"/>
                <w:szCs w:val="20"/>
              </w:rPr>
              <w:t xml:space="preserve"> mediators (51 per</w:t>
            </w:r>
            <w:r>
              <w:rPr>
                <w:rFonts w:eastAsiaTheme="majorEastAsia" w:cstheme="minorHAnsi"/>
                <w:sz w:val="20"/>
                <w:szCs w:val="20"/>
              </w:rPr>
              <w:t xml:space="preserve"> </w:t>
            </w:r>
            <w:r w:rsidRPr="005841B3">
              <w:rPr>
                <w:rFonts w:eastAsiaTheme="majorEastAsia" w:cstheme="minorHAnsi"/>
                <w:sz w:val="20"/>
                <w:szCs w:val="20"/>
              </w:rPr>
              <w:t>cent women) trained in Community Mediation across six partner municipalities.</w:t>
            </w:r>
          </w:p>
        </w:tc>
      </w:tr>
    </w:tbl>
    <w:p w14:paraId="30832DE4" w14:textId="24180BBD" w:rsidR="00574698" w:rsidRDefault="00574698"/>
    <w:p w14:paraId="49870B6E" w14:textId="77777777" w:rsidR="00574698" w:rsidRDefault="00574698">
      <w:pPr>
        <w:suppressAutoHyphens w:val="0"/>
        <w:spacing w:before="0" w:after="120" w:line="440" w:lineRule="atLeast"/>
      </w:pPr>
      <w:r>
        <w:br w:type="page"/>
      </w:r>
    </w:p>
    <w:p w14:paraId="6DAD1553" w14:textId="77777777" w:rsidR="00574698" w:rsidRDefault="00574698"/>
    <w:tbl>
      <w:tblPr>
        <w:tblStyle w:val="TableGrid"/>
        <w:tblW w:w="10201" w:type="dxa"/>
        <w:tblLook w:val="04A0" w:firstRow="1" w:lastRow="0" w:firstColumn="1" w:lastColumn="0" w:noHBand="0" w:noVBand="1"/>
        <w:tblCaption w:val="Performance Assessment Framework2"/>
        <w:tblDescription w:val="This program has three strategic objectives and nine performance benchmark, indicators that are used to measure progress."/>
      </w:tblPr>
      <w:tblGrid>
        <w:gridCol w:w="2095"/>
        <w:gridCol w:w="3712"/>
        <w:gridCol w:w="4394"/>
      </w:tblGrid>
      <w:tr w:rsidR="00574698" w:rsidRPr="00274483" w14:paraId="2EAE5FC5" w14:textId="77777777" w:rsidTr="00574698">
        <w:trPr>
          <w:tblHeader/>
        </w:trPr>
        <w:tc>
          <w:tcPr>
            <w:tcW w:w="2095" w:type="dxa"/>
            <w:shd w:val="clear" w:color="auto" w:fill="C1E7E0" w:themeFill="accent1" w:themeFillTint="66"/>
          </w:tcPr>
          <w:p w14:paraId="20721113" w14:textId="35C0506F" w:rsidR="00574698" w:rsidRPr="00C41067"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b/>
                <w:caps/>
                <w:sz w:val="20"/>
                <w:szCs w:val="20"/>
              </w:rPr>
              <w:t>title of strategic OBJECTIVE</w:t>
            </w:r>
          </w:p>
        </w:tc>
        <w:tc>
          <w:tcPr>
            <w:tcW w:w="3712" w:type="dxa"/>
            <w:shd w:val="clear" w:color="auto" w:fill="C1E7E0" w:themeFill="accent1" w:themeFillTint="66"/>
          </w:tcPr>
          <w:p w14:paraId="5305B781" w14:textId="2DDA8F77" w:rsidR="00574698" w:rsidRPr="00C41067"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b/>
                <w:caps/>
                <w:sz w:val="20"/>
                <w:szCs w:val="20"/>
              </w:rPr>
              <w:t>Performance assessment framework indicator/benchmark</w:t>
            </w:r>
          </w:p>
        </w:tc>
        <w:tc>
          <w:tcPr>
            <w:tcW w:w="4394" w:type="dxa"/>
            <w:shd w:val="clear" w:color="auto" w:fill="C1E7E0" w:themeFill="accent1" w:themeFillTint="66"/>
          </w:tcPr>
          <w:p w14:paraId="1D5DB325" w14:textId="34BE8A3E" w:rsidR="00574698"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b/>
                <w:caps/>
                <w:sz w:val="20"/>
                <w:szCs w:val="20"/>
              </w:rPr>
              <w:t>Brief summary of progress against indicator/benchmark</w:t>
            </w:r>
          </w:p>
        </w:tc>
      </w:tr>
      <w:tr w:rsidR="00574698" w:rsidRPr="00274483" w14:paraId="121D7357" w14:textId="77777777" w:rsidTr="00574698">
        <w:trPr>
          <w:tblHeader/>
        </w:trPr>
        <w:tc>
          <w:tcPr>
            <w:tcW w:w="2095" w:type="dxa"/>
          </w:tcPr>
          <w:p w14:paraId="4CA17ECA" w14:textId="77777777" w:rsidR="00574698"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Objective 3. </w:t>
            </w:r>
          </w:p>
          <w:p w14:paraId="1BD06846" w14:textId="09ACFE39" w:rsidR="00574698" w:rsidRPr="00C41067"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Promote human development through improved access to and quality of education</w:t>
            </w:r>
          </w:p>
        </w:tc>
        <w:tc>
          <w:tcPr>
            <w:tcW w:w="3712" w:type="dxa"/>
          </w:tcPr>
          <w:p w14:paraId="253CFC8B" w14:textId="2BD26391" w:rsidR="00574698" w:rsidRPr="00C41067"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 xml:space="preserve">3.1 In accordance </w:t>
            </w:r>
            <w:r>
              <w:rPr>
                <w:rFonts w:eastAsiaTheme="majorEastAsia" w:cstheme="minorHAnsi"/>
                <w:sz w:val="20"/>
                <w:szCs w:val="20"/>
              </w:rPr>
              <w:t xml:space="preserve">with </w:t>
            </w:r>
            <w:r w:rsidRPr="00C41067">
              <w:rPr>
                <w:rFonts w:eastAsiaTheme="majorEastAsia" w:cstheme="minorHAnsi"/>
                <w:sz w:val="20"/>
                <w:szCs w:val="20"/>
              </w:rPr>
              <w:t>the indicators set out by the global Australia Awards Scholarships program:</w:t>
            </w:r>
          </w:p>
          <w:p w14:paraId="2FB117AF" w14:textId="77777777" w:rsidR="00574698" w:rsidRPr="00C41067" w:rsidRDefault="00574698" w:rsidP="00574698">
            <w:pPr>
              <w:pStyle w:val="BodyText"/>
              <w:numPr>
                <w:ilvl w:val="0"/>
                <w:numId w:val="11"/>
              </w:numPr>
              <w:spacing w:before="40" w:after="40" w:line="240" w:lineRule="auto"/>
              <w:rPr>
                <w:rFonts w:eastAsiaTheme="majorEastAsia" w:cstheme="minorHAnsi"/>
                <w:sz w:val="20"/>
                <w:szCs w:val="20"/>
              </w:rPr>
            </w:pPr>
            <w:r w:rsidRPr="00C41067">
              <w:rPr>
                <w:rFonts w:eastAsiaTheme="majorEastAsia" w:cstheme="minorHAnsi"/>
                <w:sz w:val="20"/>
                <w:szCs w:val="20"/>
              </w:rPr>
              <w:t>Alumni using their skills, knowledge and networks to contribute to sustainable development</w:t>
            </w:r>
          </w:p>
          <w:p w14:paraId="37E652BA" w14:textId="77777777" w:rsidR="00574698" w:rsidRPr="00C41067" w:rsidRDefault="00574698" w:rsidP="00574698">
            <w:pPr>
              <w:pStyle w:val="BodyText"/>
              <w:numPr>
                <w:ilvl w:val="0"/>
                <w:numId w:val="11"/>
              </w:numPr>
              <w:spacing w:before="40" w:after="40" w:line="240" w:lineRule="auto"/>
              <w:rPr>
                <w:rFonts w:eastAsiaTheme="majorEastAsia" w:cstheme="minorHAnsi"/>
                <w:sz w:val="20"/>
                <w:szCs w:val="20"/>
              </w:rPr>
            </w:pPr>
            <w:r w:rsidRPr="00C41067">
              <w:rPr>
                <w:rFonts w:eastAsiaTheme="majorEastAsia" w:cstheme="minorHAnsi"/>
                <w:sz w:val="20"/>
                <w:szCs w:val="20"/>
              </w:rPr>
              <w:t>Alumni contributing to cooperation between Australia and partner countries</w:t>
            </w:r>
          </w:p>
          <w:p w14:paraId="1A0089F8" w14:textId="77777777" w:rsidR="00574698" w:rsidRPr="00C41067" w:rsidRDefault="00574698" w:rsidP="00574698">
            <w:pPr>
              <w:pStyle w:val="BodyText"/>
              <w:numPr>
                <w:ilvl w:val="0"/>
                <w:numId w:val="11"/>
              </w:numPr>
              <w:spacing w:before="40" w:after="40" w:line="240" w:lineRule="auto"/>
              <w:rPr>
                <w:rFonts w:eastAsiaTheme="majorEastAsia" w:cstheme="minorHAnsi"/>
                <w:sz w:val="20"/>
                <w:szCs w:val="20"/>
              </w:rPr>
            </w:pPr>
            <w:r w:rsidRPr="00C41067">
              <w:rPr>
                <w:rFonts w:eastAsiaTheme="majorEastAsia" w:cstheme="minorHAnsi"/>
                <w:sz w:val="20"/>
                <w:szCs w:val="20"/>
              </w:rPr>
              <w:t>Effective, mutually advantageous partnerships between institutions and businesses in Australia and partner countries</w:t>
            </w:r>
          </w:p>
          <w:p w14:paraId="791607D6" w14:textId="77777777" w:rsidR="00574698" w:rsidRDefault="00574698" w:rsidP="00574698">
            <w:pPr>
              <w:pStyle w:val="BodyText"/>
              <w:numPr>
                <w:ilvl w:val="0"/>
                <w:numId w:val="11"/>
              </w:numPr>
              <w:spacing w:before="40" w:after="40" w:line="240" w:lineRule="auto"/>
              <w:rPr>
                <w:rFonts w:eastAsiaTheme="majorEastAsia" w:cstheme="minorHAnsi"/>
                <w:sz w:val="20"/>
                <w:szCs w:val="20"/>
              </w:rPr>
            </w:pPr>
            <w:r w:rsidRPr="00C41067">
              <w:rPr>
                <w:rFonts w:eastAsiaTheme="majorEastAsia" w:cstheme="minorHAnsi"/>
                <w:sz w:val="20"/>
                <w:szCs w:val="20"/>
              </w:rPr>
              <w:t>Alumni view Australia, Australians and Australian expertise positively.</w:t>
            </w:r>
          </w:p>
          <w:p w14:paraId="4F62964E" w14:textId="77777777" w:rsidR="00574698" w:rsidRDefault="00574698" w:rsidP="00574698">
            <w:pPr>
              <w:pStyle w:val="BodyText"/>
              <w:spacing w:before="40" w:after="40" w:line="240" w:lineRule="auto"/>
              <w:rPr>
                <w:rFonts w:eastAsiaTheme="majorEastAsia" w:cstheme="minorHAnsi"/>
                <w:sz w:val="20"/>
                <w:szCs w:val="20"/>
              </w:rPr>
            </w:pPr>
          </w:p>
          <w:p w14:paraId="3868A52D" w14:textId="77DC096D" w:rsidR="00574698"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3.2 Australia Award scholarships awarded reflect shared human resource priorities, with selection process taking account of gender and social diversity</w:t>
            </w:r>
            <w:r>
              <w:rPr>
                <w:rFonts w:eastAsiaTheme="majorEastAsia" w:cstheme="minorHAnsi"/>
                <w:sz w:val="20"/>
                <w:szCs w:val="20"/>
              </w:rPr>
              <w:t>.</w:t>
            </w:r>
          </w:p>
          <w:p w14:paraId="759E15D6" w14:textId="77777777" w:rsidR="00574698" w:rsidRDefault="00574698" w:rsidP="00574698">
            <w:pPr>
              <w:pStyle w:val="BodyText"/>
              <w:spacing w:before="40" w:after="40" w:line="240" w:lineRule="auto"/>
              <w:rPr>
                <w:rFonts w:eastAsiaTheme="majorEastAsia" w:cstheme="minorHAnsi"/>
                <w:sz w:val="20"/>
                <w:szCs w:val="20"/>
              </w:rPr>
            </w:pPr>
          </w:p>
          <w:p w14:paraId="21B9A98A" w14:textId="376300AA" w:rsidR="00574698" w:rsidRPr="00C41067" w:rsidRDefault="00574698" w:rsidP="00574698">
            <w:pPr>
              <w:pStyle w:val="BodyText"/>
              <w:spacing w:before="40" w:after="40" w:line="240" w:lineRule="auto"/>
              <w:rPr>
                <w:rFonts w:eastAsiaTheme="majorEastAsia" w:cstheme="minorHAnsi"/>
                <w:sz w:val="20"/>
                <w:szCs w:val="20"/>
              </w:rPr>
            </w:pPr>
            <w:r w:rsidRPr="00C41067">
              <w:rPr>
                <w:rFonts w:eastAsiaTheme="majorEastAsia" w:cstheme="minorHAnsi"/>
                <w:sz w:val="20"/>
                <w:szCs w:val="20"/>
              </w:rPr>
              <w:t>3.3 Two short courses delivered in areas of Nepal’s development priorities.</w:t>
            </w:r>
          </w:p>
        </w:tc>
        <w:tc>
          <w:tcPr>
            <w:tcW w:w="4394" w:type="dxa"/>
          </w:tcPr>
          <w:p w14:paraId="18466E37" w14:textId="77777777" w:rsidR="00574698" w:rsidRDefault="00574698" w:rsidP="00574698">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612E8A">
              <w:rPr>
                <w:rFonts w:eastAsiaTheme="majorEastAsia" w:cstheme="minorHAnsi"/>
                <w:sz w:val="20"/>
                <w:szCs w:val="20"/>
              </w:rPr>
              <w:t xml:space="preserve">Australia Awards alumni </w:t>
            </w:r>
            <w:r>
              <w:rPr>
                <w:rFonts w:eastAsiaTheme="majorEastAsia" w:cstheme="minorHAnsi"/>
                <w:sz w:val="20"/>
                <w:szCs w:val="20"/>
              </w:rPr>
              <w:t>supported</w:t>
            </w:r>
            <w:r w:rsidRPr="00612E8A">
              <w:rPr>
                <w:rFonts w:eastAsiaTheme="majorEastAsia" w:cstheme="minorHAnsi"/>
                <w:sz w:val="20"/>
                <w:szCs w:val="20"/>
              </w:rPr>
              <w:t xml:space="preserve"> community members</w:t>
            </w:r>
            <w:r>
              <w:rPr>
                <w:rFonts w:eastAsiaTheme="majorEastAsia" w:cstheme="minorHAnsi"/>
                <w:sz w:val="20"/>
                <w:szCs w:val="20"/>
              </w:rPr>
              <w:t>,</w:t>
            </w:r>
            <w:r w:rsidRPr="00612E8A">
              <w:rPr>
                <w:rFonts w:eastAsiaTheme="majorEastAsia" w:cstheme="minorHAnsi"/>
                <w:sz w:val="20"/>
                <w:szCs w:val="20"/>
              </w:rPr>
              <w:t xml:space="preserve"> particularly people with disabilit</w:t>
            </w:r>
            <w:r>
              <w:rPr>
                <w:rFonts w:eastAsiaTheme="majorEastAsia" w:cstheme="minorHAnsi"/>
                <w:sz w:val="20"/>
                <w:szCs w:val="20"/>
              </w:rPr>
              <w:t>ies, in projects on</w:t>
            </w:r>
            <w:r w:rsidRPr="00612E8A">
              <w:rPr>
                <w:rFonts w:eastAsiaTheme="majorEastAsia" w:cstheme="minorHAnsi"/>
                <w:sz w:val="20"/>
                <w:szCs w:val="20"/>
              </w:rPr>
              <w:t xml:space="preserve"> inclusive education, vision </w:t>
            </w:r>
            <w:r>
              <w:rPr>
                <w:rFonts w:eastAsiaTheme="majorEastAsia" w:cstheme="minorHAnsi"/>
                <w:sz w:val="20"/>
                <w:szCs w:val="20"/>
              </w:rPr>
              <w:t>impairment</w:t>
            </w:r>
            <w:r w:rsidRPr="00612E8A">
              <w:rPr>
                <w:rFonts w:eastAsiaTheme="majorEastAsia" w:cstheme="minorHAnsi"/>
                <w:sz w:val="20"/>
                <w:szCs w:val="20"/>
              </w:rPr>
              <w:t xml:space="preserve"> prevention and management in </w:t>
            </w:r>
            <w:r>
              <w:rPr>
                <w:rFonts w:eastAsiaTheme="majorEastAsia" w:cstheme="minorHAnsi"/>
                <w:sz w:val="20"/>
                <w:szCs w:val="20"/>
              </w:rPr>
              <w:t>older people</w:t>
            </w:r>
            <w:r w:rsidRPr="00612E8A">
              <w:rPr>
                <w:rFonts w:eastAsiaTheme="majorEastAsia" w:cstheme="minorHAnsi"/>
                <w:sz w:val="20"/>
                <w:szCs w:val="20"/>
              </w:rPr>
              <w:t>, and an inclusive learning online platform</w:t>
            </w:r>
            <w:r>
              <w:rPr>
                <w:rFonts w:eastAsiaTheme="majorEastAsia" w:cstheme="minorHAnsi"/>
                <w:sz w:val="20"/>
                <w:szCs w:val="20"/>
              </w:rPr>
              <w:t xml:space="preserve">, through </w:t>
            </w:r>
            <w:r w:rsidRPr="00612E8A">
              <w:rPr>
                <w:rFonts w:eastAsiaTheme="majorEastAsia" w:cstheme="minorHAnsi"/>
                <w:sz w:val="20"/>
                <w:szCs w:val="20"/>
              </w:rPr>
              <w:t>Alumni D</w:t>
            </w:r>
            <w:r>
              <w:rPr>
                <w:rFonts w:eastAsiaTheme="majorEastAsia" w:cstheme="minorHAnsi"/>
                <w:sz w:val="20"/>
                <w:szCs w:val="20"/>
              </w:rPr>
              <w:t xml:space="preserve">isability Initiative Grants. </w:t>
            </w:r>
            <w:r w:rsidRPr="00612E8A">
              <w:rPr>
                <w:rFonts w:eastAsiaTheme="majorEastAsia" w:cstheme="minorHAnsi"/>
                <w:sz w:val="20"/>
                <w:szCs w:val="20"/>
              </w:rPr>
              <w:t xml:space="preserve">Alumni also </w:t>
            </w:r>
            <w:r>
              <w:rPr>
                <w:rFonts w:eastAsiaTheme="majorEastAsia" w:cstheme="minorHAnsi"/>
                <w:sz w:val="20"/>
                <w:szCs w:val="20"/>
              </w:rPr>
              <w:t>provided</w:t>
            </w:r>
            <w:r w:rsidRPr="00845F91">
              <w:rPr>
                <w:rFonts w:eastAsiaTheme="majorEastAsia" w:cstheme="minorHAnsi"/>
                <w:sz w:val="20"/>
                <w:szCs w:val="20"/>
              </w:rPr>
              <w:t xml:space="preserve"> sanitation materials </w:t>
            </w:r>
            <w:r>
              <w:rPr>
                <w:rFonts w:eastAsiaTheme="majorEastAsia" w:cstheme="minorHAnsi"/>
                <w:sz w:val="20"/>
                <w:szCs w:val="20"/>
              </w:rPr>
              <w:t xml:space="preserve">to 139 households and delivered </w:t>
            </w:r>
            <w:r w:rsidRPr="00845F91">
              <w:rPr>
                <w:rFonts w:eastAsiaTheme="majorEastAsia" w:cstheme="minorHAnsi"/>
                <w:sz w:val="20"/>
                <w:szCs w:val="20"/>
              </w:rPr>
              <w:t xml:space="preserve">hygiene awareness orientation </w:t>
            </w:r>
            <w:r>
              <w:rPr>
                <w:rFonts w:eastAsiaTheme="majorEastAsia" w:cstheme="minorHAnsi"/>
                <w:sz w:val="20"/>
                <w:szCs w:val="20"/>
              </w:rPr>
              <w:t xml:space="preserve">to 600 people through COVID-19 Response Grants. Alumni </w:t>
            </w:r>
            <w:r w:rsidRPr="00601844">
              <w:rPr>
                <w:rFonts w:eastAsiaTheme="majorEastAsia" w:cstheme="minorHAnsi"/>
                <w:sz w:val="20"/>
                <w:szCs w:val="20"/>
              </w:rPr>
              <w:t xml:space="preserve">actively participated in regular </w:t>
            </w:r>
            <w:r>
              <w:rPr>
                <w:rFonts w:eastAsiaTheme="majorEastAsia" w:cstheme="minorHAnsi"/>
                <w:sz w:val="20"/>
                <w:szCs w:val="20"/>
              </w:rPr>
              <w:t>program</w:t>
            </w:r>
            <w:r w:rsidRPr="00601844">
              <w:rPr>
                <w:rFonts w:eastAsiaTheme="majorEastAsia" w:cstheme="minorHAnsi"/>
                <w:sz w:val="20"/>
                <w:szCs w:val="20"/>
              </w:rPr>
              <w:t xml:space="preserve"> activities </w:t>
            </w:r>
            <w:r>
              <w:rPr>
                <w:rFonts w:eastAsiaTheme="majorEastAsia" w:cstheme="minorHAnsi"/>
                <w:sz w:val="20"/>
                <w:szCs w:val="20"/>
              </w:rPr>
              <w:t xml:space="preserve">including </w:t>
            </w:r>
            <w:r w:rsidRPr="00601844">
              <w:rPr>
                <w:rFonts w:eastAsiaTheme="majorEastAsia" w:cstheme="minorHAnsi"/>
                <w:sz w:val="20"/>
                <w:szCs w:val="20"/>
              </w:rPr>
              <w:t>the Regional Alumni Workshop and Alumni Forums</w:t>
            </w:r>
            <w:r>
              <w:rPr>
                <w:rFonts w:eastAsiaTheme="majorEastAsia" w:cstheme="minorHAnsi"/>
                <w:sz w:val="20"/>
                <w:szCs w:val="20"/>
              </w:rPr>
              <w:t>, highlighting their</w:t>
            </w:r>
            <w:r w:rsidRPr="00601844">
              <w:rPr>
                <w:rFonts w:eastAsiaTheme="majorEastAsia" w:cstheme="minorHAnsi"/>
                <w:sz w:val="20"/>
                <w:szCs w:val="20"/>
              </w:rPr>
              <w:t xml:space="preserve"> transformative experiences at Australian universities, and longstanding linkages to Australia.</w:t>
            </w:r>
          </w:p>
          <w:p w14:paraId="6F21A6A7" w14:textId="77777777" w:rsidR="00574698" w:rsidRDefault="00574698" w:rsidP="00574698">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3050D9">
              <w:rPr>
                <w:rFonts w:eastAsiaTheme="majorEastAsia" w:cstheme="minorHAnsi"/>
                <w:sz w:val="20"/>
                <w:szCs w:val="20"/>
              </w:rPr>
              <w:t xml:space="preserve">Australia Awards </w:t>
            </w:r>
            <w:r>
              <w:rPr>
                <w:rFonts w:eastAsiaTheme="majorEastAsia" w:cstheme="minorHAnsi"/>
                <w:sz w:val="20"/>
                <w:szCs w:val="20"/>
              </w:rPr>
              <w:t>supports Nepal’s human resource development priorities in</w:t>
            </w:r>
            <w:r w:rsidRPr="003050D9">
              <w:rPr>
                <w:rFonts w:eastAsiaTheme="majorEastAsia" w:cstheme="minorHAnsi"/>
                <w:sz w:val="20"/>
                <w:szCs w:val="20"/>
              </w:rPr>
              <w:t xml:space="preserve"> education, economic development, governance, health</w:t>
            </w:r>
            <w:r>
              <w:rPr>
                <w:rFonts w:eastAsiaTheme="majorEastAsia" w:cstheme="minorHAnsi"/>
                <w:sz w:val="20"/>
                <w:szCs w:val="20"/>
              </w:rPr>
              <w:t>,</w:t>
            </w:r>
            <w:r w:rsidRPr="003050D9">
              <w:rPr>
                <w:rFonts w:eastAsiaTheme="majorEastAsia" w:cstheme="minorHAnsi"/>
                <w:sz w:val="20"/>
                <w:szCs w:val="20"/>
              </w:rPr>
              <w:t xml:space="preserve"> water-resource management</w:t>
            </w:r>
            <w:r>
              <w:rPr>
                <w:rFonts w:eastAsiaTheme="majorEastAsia" w:cstheme="minorHAnsi"/>
                <w:sz w:val="20"/>
                <w:szCs w:val="20"/>
              </w:rPr>
              <w:t xml:space="preserve">, and </w:t>
            </w:r>
            <w:r w:rsidRPr="003050D9">
              <w:rPr>
                <w:rFonts w:eastAsiaTheme="majorEastAsia" w:cstheme="minorHAnsi"/>
                <w:sz w:val="20"/>
                <w:szCs w:val="20"/>
              </w:rPr>
              <w:t>gender equality</w:t>
            </w:r>
            <w:r>
              <w:rPr>
                <w:rFonts w:eastAsiaTheme="majorEastAsia" w:cstheme="minorHAnsi"/>
                <w:sz w:val="20"/>
                <w:szCs w:val="20"/>
              </w:rPr>
              <w:t>,</w:t>
            </w:r>
            <w:r w:rsidRPr="003050D9">
              <w:rPr>
                <w:rFonts w:eastAsiaTheme="majorEastAsia" w:cstheme="minorHAnsi"/>
                <w:sz w:val="20"/>
                <w:szCs w:val="20"/>
              </w:rPr>
              <w:t xml:space="preserve"> disability inclusi</w:t>
            </w:r>
            <w:r>
              <w:rPr>
                <w:rFonts w:eastAsiaTheme="majorEastAsia" w:cstheme="minorHAnsi"/>
                <w:sz w:val="20"/>
                <w:szCs w:val="20"/>
              </w:rPr>
              <w:t>on and social inclusion (GEDSI)</w:t>
            </w:r>
            <w:r w:rsidRPr="003050D9">
              <w:rPr>
                <w:rFonts w:eastAsiaTheme="majorEastAsia" w:cstheme="minorHAnsi"/>
                <w:sz w:val="20"/>
                <w:szCs w:val="20"/>
              </w:rPr>
              <w:t xml:space="preserve">. </w:t>
            </w:r>
            <w:r>
              <w:rPr>
                <w:rFonts w:eastAsiaTheme="majorEastAsia" w:cstheme="minorHAnsi"/>
                <w:sz w:val="20"/>
                <w:szCs w:val="20"/>
              </w:rPr>
              <w:t>A</w:t>
            </w:r>
            <w:r w:rsidRPr="003050D9">
              <w:rPr>
                <w:rFonts w:eastAsiaTheme="majorEastAsia" w:cstheme="minorHAnsi"/>
                <w:sz w:val="20"/>
                <w:szCs w:val="20"/>
              </w:rPr>
              <w:t xml:space="preserve"> GEDSI str</w:t>
            </w:r>
            <w:r>
              <w:rPr>
                <w:rFonts w:eastAsiaTheme="majorEastAsia" w:cstheme="minorHAnsi"/>
                <w:sz w:val="20"/>
                <w:szCs w:val="20"/>
              </w:rPr>
              <w:t>ategy was developed to ensure</w:t>
            </w:r>
            <w:r w:rsidRPr="003050D9">
              <w:rPr>
                <w:rFonts w:eastAsiaTheme="majorEastAsia" w:cstheme="minorHAnsi"/>
                <w:sz w:val="20"/>
                <w:szCs w:val="20"/>
              </w:rPr>
              <w:t xml:space="preserve"> </w:t>
            </w:r>
            <w:r>
              <w:rPr>
                <w:rFonts w:eastAsiaTheme="majorEastAsia" w:cstheme="minorHAnsi"/>
                <w:sz w:val="20"/>
                <w:szCs w:val="20"/>
              </w:rPr>
              <w:t>women, people with disabilities and</w:t>
            </w:r>
            <w:r w:rsidRPr="003050D9">
              <w:rPr>
                <w:rFonts w:eastAsiaTheme="majorEastAsia" w:cstheme="minorHAnsi"/>
                <w:sz w:val="20"/>
                <w:szCs w:val="20"/>
              </w:rPr>
              <w:t xml:space="preserve"> </w:t>
            </w:r>
            <w:r>
              <w:rPr>
                <w:rFonts w:eastAsiaTheme="majorEastAsia" w:cstheme="minorHAnsi"/>
                <w:sz w:val="20"/>
                <w:szCs w:val="20"/>
              </w:rPr>
              <w:t>other marginalised groups are targeted in the selection process</w:t>
            </w:r>
            <w:r w:rsidRPr="003050D9">
              <w:rPr>
                <w:rFonts w:eastAsiaTheme="majorEastAsia" w:cstheme="minorHAnsi"/>
                <w:sz w:val="20"/>
                <w:szCs w:val="20"/>
              </w:rPr>
              <w:t xml:space="preserve">. </w:t>
            </w:r>
            <w:r>
              <w:rPr>
                <w:rFonts w:eastAsiaTheme="majorEastAsia" w:cstheme="minorHAnsi"/>
                <w:sz w:val="20"/>
                <w:szCs w:val="20"/>
              </w:rPr>
              <w:t>52 long-term scholarships were awarded in 2019-20. Of these, 28 were awarded to women (24 to men), and four scholarships were awarded to people with disabilities (two females and two males).</w:t>
            </w:r>
          </w:p>
          <w:p w14:paraId="6AA9E0AE" w14:textId="3FB547EB" w:rsidR="00574698" w:rsidRPr="00CF6209" w:rsidRDefault="00574698" w:rsidP="00574698">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The University of Queensland delivered a short course on </w:t>
            </w:r>
            <w:r w:rsidRPr="001B0BB7">
              <w:rPr>
                <w:rFonts w:eastAsiaTheme="majorEastAsia" w:cstheme="minorHAnsi"/>
                <w:i/>
                <w:iCs/>
                <w:sz w:val="20"/>
                <w:szCs w:val="20"/>
              </w:rPr>
              <w:t>Inclusive Governance for Effective Disaster Risk Reduction</w:t>
            </w:r>
            <w:r>
              <w:rPr>
                <w:rFonts w:eastAsiaTheme="majorEastAsia" w:cstheme="minorHAnsi"/>
                <w:sz w:val="20"/>
                <w:szCs w:val="20"/>
              </w:rPr>
              <w:t xml:space="preserve"> for 21 </w:t>
            </w:r>
            <w:proofErr w:type="spellStart"/>
            <w:r>
              <w:rPr>
                <w:rFonts w:eastAsiaTheme="majorEastAsia" w:cstheme="minorHAnsi"/>
                <w:sz w:val="20"/>
                <w:szCs w:val="20"/>
              </w:rPr>
              <w:t>GoN</w:t>
            </w:r>
            <w:proofErr w:type="spellEnd"/>
            <w:r>
              <w:rPr>
                <w:rFonts w:eastAsiaTheme="majorEastAsia" w:cstheme="minorHAnsi"/>
                <w:sz w:val="20"/>
                <w:szCs w:val="20"/>
              </w:rPr>
              <w:t xml:space="preserve"> officials.</w:t>
            </w:r>
            <w:r>
              <w:t xml:space="preserve"> </w:t>
            </w:r>
            <w:r>
              <w:rPr>
                <w:rFonts w:eastAsiaTheme="majorEastAsia" w:cstheme="minorHAnsi"/>
                <w:sz w:val="20"/>
                <w:szCs w:val="20"/>
              </w:rPr>
              <w:t xml:space="preserve">A </w:t>
            </w:r>
            <w:r w:rsidRPr="00150BA8">
              <w:rPr>
                <w:rFonts w:eastAsiaTheme="majorEastAsia" w:cstheme="minorHAnsi"/>
                <w:sz w:val="20"/>
                <w:szCs w:val="20"/>
              </w:rPr>
              <w:t xml:space="preserve">regional short course on </w:t>
            </w:r>
            <w:r w:rsidRPr="00150BA8">
              <w:rPr>
                <w:rFonts w:eastAsiaTheme="majorEastAsia" w:cstheme="minorHAnsi"/>
                <w:i/>
                <w:iCs/>
                <w:sz w:val="20"/>
                <w:szCs w:val="20"/>
              </w:rPr>
              <w:t>Promoting Resilient and Sustainable Infrastructure Development</w:t>
            </w:r>
            <w:r w:rsidRPr="00150BA8">
              <w:rPr>
                <w:rFonts w:eastAsiaTheme="majorEastAsia" w:cstheme="minorHAnsi"/>
                <w:sz w:val="20"/>
                <w:szCs w:val="20"/>
              </w:rPr>
              <w:t xml:space="preserve"> wa</w:t>
            </w:r>
            <w:r>
              <w:rPr>
                <w:rFonts w:eastAsiaTheme="majorEastAsia" w:cstheme="minorHAnsi"/>
                <w:sz w:val="20"/>
                <w:szCs w:val="20"/>
              </w:rPr>
              <w:t>s delivered through</w:t>
            </w:r>
            <w:r w:rsidRPr="00150BA8">
              <w:rPr>
                <w:rFonts w:eastAsiaTheme="majorEastAsia" w:cstheme="minorHAnsi"/>
                <w:sz w:val="20"/>
                <w:szCs w:val="20"/>
              </w:rPr>
              <w:t xml:space="preserve"> the University of the Sunshine Coast</w:t>
            </w:r>
            <w:r>
              <w:rPr>
                <w:rFonts w:eastAsiaTheme="majorEastAsia" w:cstheme="minorHAnsi"/>
                <w:sz w:val="20"/>
                <w:szCs w:val="20"/>
              </w:rPr>
              <w:t>, in which f</w:t>
            </w:r>
            <w:r w:rsidRPr="00150BA8">
              <w:rPr>
                <w:rFonts w:eastAsiaTheme="majorEastAsia" w:cstheme="minorHAnsi"/>
                <w:sz w:val="20"/>
                <w:szCs w:val="20"/>
              </w:rPr>
              <w:t xml:space="preserve">our </w:t>
            </w:r>
            <w:proofErr w:type="spellStart"/>
            <w:r>
              <w:rPr>
                <w:rFonts w:eastAsiaTheme="majorEastAsia" w:cstheme="minorHAnsi"/>
                <w:sz w:val="20"/>
                <w:szCs w:val="20"/>
              </w:rPr>
              <w:t>GoN</w:t>
            </w:r>
            <w:proofErr w:type="spellEnd"/>
            <w:r w:rsidRPr="00150BA8">
              <w:rPr>
                <w:rFonts w:eastAsiaTheme="majorEastAsia" w:cstheme="minorHAnsi"/>
                <w:sz w:val="20"/>
                <w:szCs w:val="20"/>
              </w:rPr>
              <w:t xml:space="preserve"> officials participated.</w:t>
            </w:r>
            <w:r>
              <w:rPr>
                <w:rFonts w:eastAsiaTheme="majorEastAsia" w:cstheme="minorHAnsi"/>
                <w:sz w:val="20"/>
                <w:szCs w:val="20"/>
              </w:rPr>
              <w:t xml:space="preserve"> The final phase of the </w:t>
            </w:r>
            <w:r w:rsidRPr="00CF6209">
              <w:rPr>
                <w:rFonts w:eastAsiaTheme="majorEastAsia" w:cstheme="minorHAnsi"/>
                <w:i/>
                <w:iCs/>
                <w:sz w:val="20"/>
                <w:szCs w:val="20"/>
              </w:rPr>
              <w:t>Building Capacity in Vocational Training and Assessment Nepal</w:t>
            </w:r>
            <w:r>
              <w:rPr>
                <w:rFonts w:eastAsiaTheme="majorEastAsia" w:cstheme="minorHAnsi"/>
                <w:sz w:val="20"/>
                <w:szCs w:val="20"/>
              </w:rPr>
              <w:t xml:space="preserve"> delivered by TAFE NSW was not completed due to COVID-19 travel restrictions.</w:t>
            </w:r>
          </w:p>
        </w:tc>
      </w:tr>
    </w:tbl>
    <w:p w14:paraId="5305987F" w14:textId="6149F010" w:rsidR="00276A54" w:rsidRDefault="004C5598" w:rsidP="00574698">
      <w:pPr>
        <w:pStyle w:val="Heading2"/>
        <w:spacing w:before="360" w:line="300" w:lineRule="exact"/>
        <w:contextualSpacing w:val="0"/>
      </w:pPr>
      <w:r w:rsidRPr="002A51CA">
        <w:tab/>
      </w:r>
    </w:p>
    <w:p w14:paraId="18B82BA9" w14:textId="77777777" w:rsidR="00276A54" w:rsidRDefault="00276A54" w:rsidP="00276A54"/>
    <w:p w14:paraId="6C6FBEF8" w14:textId="77777777" w:rsidR="00276A54" w:rsidRDefault="00276A54" w:rsidP="00276A54"/>
    <w:p w14:paraId="15FE225D" w14:textId="77777777" w:rsidR="00276A54" w:rsidRDefault="00276A54" w:rsidP="00276A54"/>
    <w:p w14:paraId="5178FD69" w14:textId="77777777" w:rsidR="00276A54" w:rsidRDefault="00276A54" w:rsidP="00276A54"/>
    <w:p w14:paraId="299E84C1" w14:textId="77777777" w:rsidR="00276A54" w:rsidRDefault="00276A54" w:rsidP="00276A54"/>
    <w:p w14:paraId="4157B143" w14:textId="77777777" w:rsidR="00276A54" w:rsidRDefault="00276A54" w:rsidP="00276A54"/>
    <w:p w14:paraId="32D87655" w14:textId="77777777" w:rsidR="00276A54" w:rsidRDefault="00276A54" w:rsidP="00276A54"/>
    <w:p w14:paraId="00BCD735" w14:textId="77777777" w:rsidR="00276A54" w:rsidRDefault="00276A54" w:rsidP="00276A54">
      <w:pPr>
        <w:sectPr w:rsidR="00276A54" w:rsidSect="00494F98">
          <w:headerReference w:type="default" r:id="rId20"/>
          <w:pgSz w:w="11906" w:h="16838" w:code="9"/>
          <w:pgMar w:top="1701" w:right="1134" w:bottom="1418" w:left="1134" w:header="425" w:footer="493" w:gutter="0"/>
          <w:cols w:space="397"/>
          <w:docGrid w:linePitch="360"/>
        </w:sectPr>
      </w:pPr>
    </w:p>
    <w:p w14:paraId="6798B6D0" w14:textId="77777777"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14:paraId="68AA29FF" w14:textId="77777777" w:rsidR="00390828" w:rsidRDefault="00B927C4" w:rsidP="00390828">
      <w:pPr>
        <w:pStyle w:val="Heading3"/>
      </w:pPr>
      <w:r>
        <w:t>Investment Monitoring Report</w:t>
      </w:r>
      <w:r w:rsidR="00390828">
        <w:t xml:space="preserve"> ratings</w:t>
      </w:r>
    </w:p>
    <w:tbl>
      <w:tblPr>
        <w:tblStyle w:val="APPR"/>
        <w:tblW w:w="4721" w:type="pct"/>
        <w:tblBorders>
          <w:top w:val="single" w:sz="12" w:space="0" w:color="auto"/>
          <w:bottom w:val="single" w:sz="12" w:space="0" w:color="auto"/>
        </w:tblBorders>
        <w:tblLook w:val="0020" w:firstRow="1" w:lastRow="0" w:firstColumn="0" w:lastColumn="0" w:noHBand="0" w:noVBand="0"/>
      </w:tblPr>
      <w:tblGrid>
        <w:gridCol w:w="4821"/>
        <w:gridCol w:w="936"/>
        <w:gridCol w:w="1289"/>
        <w:gridCol w:w="680"/>
        <w:gridCol w:w="680"/>
        <w:gridCol w:w="694"/>
      </w:tblGrid>
      <w:tr w:rsidR="00B61304" w:rsidRPr="00812509" w14:paraId="6B03F918" w14:textId="77777777" w:rsidTr="006F34BD">
        <w:trPr>
          <w:cnfStyle w:val="100000000000" w:firstRow="1" w:lastRow="0" w:firstColumn="0" w:lastColumn="0" w:oddVBand="0" w:evenVBand="0" w:oddHBand="0" w:evenHBand="0" w:firstRowFirstColumn="0" w:firstRowLastColumn="0" w:lastRowFirstColumn="0" w:lastRowLastColumn="0"/>
          <w:trHeight w:val="1413"/>
        </w:trPr>
        <w:tc>
          <w:tcPr>
            <w:tcW w:w="2625" w:type="pct"/>
            <w:tcBorders>
              <w:top w:val="none" w:sz="0" w:space="0" w:color="auto"/>
              <w:bottom w:val="none" w:sz="0" w:space="0" w:color="auto"/>
            </w:tcBorders>
          </w:tcPr>
          <w:p w14:paraId="6319F82C" w14:textId="0FD7C91B" w:rsidR="00B61304" w:rsidRPr="00812509" w:rsidRDefault="00B61304"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0528" behindDoc="0" locked="0" layoutInCell="1" allowOverlap="1" wp14:anchorId="6231918E" wp14:editId="31AB30D2">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F57D6">
              <w:rPr>
                <w:rFonts w:asciiTheme="minorHAnsi" w:eastAsia="Times New Roman" w:hAnsiTheme="minorHAnsi"/>
                <w:iCs/>
                <w:szCs w:val="17"/>
                <w:lang w:eastAsia="en-US"/>
              </w:rPr>
              <w:t>Investment name</w:t>
            </w:r>
          </w:p>
        </w:tc>
        <w:tc>
          <w:tcPr>
            <w:tcW w:w="499" w:type="pct"/>
            <w:tcBorders>
              <w:top w:val="none" w:sz="0" w:space="0" w:color="auto"/>
              <w:bottom w:val="none" w:sz="0" w:space="0" w:color="auto"/>
            </w:tcBorders>
            <w:textDirection w:val="btLr"/>
          </w:tcPr>
          <w:p w14:paraId="76529655" w14:textId="77777777" w:rsidR="00B61304" w:rsidRPr="00812509" w:rsidRDefault="00B61304"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693" w:type="pct"/>
            <w:tcBorders>
              <w:top w:val="none" w:sz="0" w:space="0" w:color="auto"/>
              <w:bottom w:val="none" w:sz="0" w:space="0" w:color="auto"/>
            </w:tcBorders>
            <w:textDirection w:val="btLr"/>
          </w:tcPr>
          <w:p w14:paraId="595E3FBA" w14:textId="77777777" w:rsidR="00B61304" w:rsidRPr="00812509" w:rsidRDefault="00B61304"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58" w:type="pct"/>
            <w:tcBorders>
              <w:top w:val="none" w:sz="0" w:space="0" w:color="auto"/>
              <w:bottom w:val="none" w:sz="0" w:space="0" w:color="auto"/>
            </w:tcBorders>
            <w:textDirection w:val="btLr"/>
          </w:tcPr>
          <w:p w14:paraId="0FBF9E5C" w14:textId="77777777" w:rsidR="00B61304" w:rsidRPr="00812509" w:rsidRDefault="00B61304"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58" w:type="pct"/>
            <w:tcBorders>
              <w:top w:val="none" w:sz="0" w:space="0" w:color="auto"/>
              <w:bottom w:val="none" w:sz="0" w:space="0" w:color="auto"/>
            </w:tcBorders>
            <w:textDirection w:val="btLr"/>
          </w:tcPr>
          <w:p w14:paraId="452AF674" w14:textId="77777777" w:rsidR="00B61304" w:rsidRPr="00812509" w:rsidRDefault="00B61304"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58" w:type="pct"/>
            <w:tcBorders>
              <w:top w:val="none" w:sz="0" w:space="0" w:color="auto"/>
              <w:bottom w:val="none" w:sz="0" w:space="0" w:color="auto"/>
            </w:tcBorders>
            <w:textDirection w:val="btLr"/>
          </w:tcPr>
          <w:p w14:paraId="1C3DA17A" w14:textId="77777777" w:rsidR="00B61304" w:rsidRPr="00812509" w:rsidRDefault="00B61304"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B61304" w:rsidRPr="00812509" w14:paraId="051664F9" w14:textId="77777777" w:rsidTr="006F34BD">
        <w:trPr>
          <w:cnfStyle w:val="100000000000" w:firstRow="1" w:lastRow="0" w:firstColumn="0" w:lastColumn="0" w:oddVBand="0" w:evenVBand="0" w:oddHBand="0" w:evenHBand="0" w:firstRowFirstColumn="0" w:firstRowLastColumn="0" w:lastRowFirstColumn="0" w:lastRowLastColumn="0"/>
          <w:trHeight w:val="429"/>
        </w:trPr>
        <w:tc>
          <w:tcPr>
            <w:tcW w:w="2625" w:type="pct"/>
            <w:tcBorders>
              <w:top w:val="single" w:sz="2" w:space="0" w:color="65C5B4" w:themeColor="accent1"/>
            </w:tcBorders>
            <w:vAlign w:val="center"/>
          </w:tcPr>
          <w:p w14:paraId="1277F114" w14:textId="77777777" w:rsidR="00B61304" w:rsidRPr="00A02848" w:rsidRDefault="00B61304" w:rsidP="00A02848">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INM141- Subnational Governance Program</w:t>
            </w:r>
          </w:p>
        </w:tc>
        <w:tc>
          <w:tcPr>
            <w:tcW w:w="499" w:type="pct"/>
            <w:tcBorders>
              <w:top w:val="single" w:sz="2" w:space="0" w:color="65C5B4" w:themeColor="accent1"/>
            </w:tcBorders>
          </w:tcPr>
          <w:p w14:paraId="6DB216EC" w14:textId="5B1ADFD4" w:rsidR="00B61304" w:rsidRPr="00A02848" w:rsidRDefault="00B61304" w:rsidP="00964047">
            <w:pPr>
              <w:autoSpaceDE w:val="0"/>
              <w:autoSpaceDN w:val="0"/>
              <w:adjustRightInd w:val="0"/>
              <w:spacing w:line="230" w:lineRule="atLeast"/>
              <w:rPr>
                <w:rFonts w:asciiTheme="minorHAnsi" w:eastAsia="Times New Roman" w:hAnsiTheme="minorHAnsi" w:cstheme="minorHAnsi"/>
                <w:szCs w:val="17"/>
              </w:rPr>
            </w:pPr>
            <w:r w:rsidRPr="00A02848">
              <w:rPr>
                <w:rFonts w:asciiTheme="minorHAnsi" w:eastAsia="Times New Roman" w:hAnsiTheme="minorHAnsi" w:cstheme="minorHAnsi"/>
                <w:szCs w:val="17"/>
              </w:rPr>
              <w:t>$20m</w:t>
            </w:r>
          </w:p>
        </w:tc>
        <w:tc>
          <w:tcPr>
            <w:tcW w:w="693" w:type="pct"/>
            <w:tcBorders>
              <w:top w:val="single" w:sz="2" w:space="0" w:color="65C5B4" w:themeColor="accent1"/>
            </w:tcBorders>
            <w:vAlign w:val="center"/>
          </w:tcPr>
          <w:p w14:paraId="64265BB6" w14:textId="77777777" w:rsidR="00B61304" w:rsidRPr="00A02848" w:rsidRDefault="00B61304" w:rsidP="00B61304">
            <w:pPr>
              <w:keepLines/>
              <w:spacing w:before="0" w:after="0" w:line="240" w:lineRule="auto"/>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2019 AQC</w:t>
            </w:r>
          </w:p>
        </w:tc>
        <w:tc>
          <w:tcPr>
            <w:tcW w:w="358" w:type="pct"/>
            <w:tcBorders>
              <w:top w:val="single" w:sz="2" w:space="0" w:color="65C5B4" w:themeColor="accent1"/>
            </w:tcBorders>
            <w:shd w:val="clear" w:color="auto" w:fill="auto"/>
            <w:noWrap/>
            <w:vAlign w:val="center"/>
          </w:tcPr>
          <w:p w14:paraId="2E993840" w14:textId="77777777" w:rsidR="00B61304" w:rsidRPr="00A02848" w:rsidRDefault="00B61304" w:rsidP="00B61304">
            <w:pPr>
              <w:keepLines/>
              <w:spacing w:before="0" w:after="0" w:line="240" w:lineRule="auto"/>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4</w:t>
            </w:r>
          </w:p>
        </w:tc>
        <w:tc>
          <w:tcPr>
            <w:tcW w:w="358" w:type="pct"/>
            <w:tcBorders>
              <w:top w:val="single" w:sz="2" w:space="0" w:color="65C5B4" w:themeColor="accent1"/>
            </w:tcBorders>
            <w:shd w:val="clear" w:color="auto" w:fill="auto"/>
            <w:noWrap/>
            <w:vAlign w:val="center"/>
          </w:tcPr>
          <w:p w14:paraId="470FAEA4" w14:textId="77777777" w:rsidR="00B61304" w:rsidRPr="00A02848" w:rsidRDefault="00B61304" w:rsidP="00B61304">
            <w:pPr>
              <w:keepLines/>
              <w:spacing w:before="0" w:after="0" w:line="240" w:lineRule="auto"/>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c>
          <w:tcPr>
            <w:tcW w:w="358" w:type="pct"/>
            <w:tcBorders>
              <w:top w:val="single" w:sz="2" w:space="0" w:color="65C5B4" w:themeColor="accent1"/>
            </w:tcBorders>
            <w:shd w:val="clear" w:color="auto" w:fill="auto"/>
            <w:noWrap/>
            <w:vAlign w:val="center"/>
          </w:tcPr>
          <w:p w14:paraId="3FAB96AE" w14:textId="77777777" w:rsidR="00B61304" w:rsidRPr="00A02848" w:rsidRDefault="00B61304" w:rsidP="00B61304">
            <w:pPr>
              <w:keepLines/>
              <w:spacing w:before="0" w:after="0" w:line="240" w:lineRule="auto"/>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4</w:t>
            </w:r>
          </w:p>
        </w:tc>
      </w:tr>
      <w:tr w:rsidR="00B61304" w:rsidRPr="00812509" w14:paraId="042A5C80" w14:textId="77777777" w:rsidTr="006F34BD">
        <w:trPr>
          <w:cnfStyle w:val="100000000000" w:firstRow="1" w:lastRow="0" w:firstColumn="0" w:lastColumn="0" w:oddVBand="0" w:evenVBand="0" w:oddHBand="0" w:evenHBand="0" w:firstRowFirstColumn="0" w:firstRowLastColumn="0" w:lastRowFirstColumn="0" w:lastRowLastColumn="0"/>
          <w:trHeight w:val="284"/>
        </w:trPr>
        <w:tc>
          <w:tcPr>
            <w:tcW w:w="2625" w:type="pct"/>
            <w:vAlign w:val="center"/>
          </w:tcPr>
          <w:p w14:paraId="472C5370" w14:textId="77777777" w:rsidR="00B61304" w:rsidRPr="00A02848" w:rsidRDefault="00B61304" w:rsidP="00A02848">
            <w:pPr>
              <w:keepLines/>
              <w:spacing w:before="40" w:after="40" w:line="200" w:lineRule="atLeast"/>
              <w:rPr>
                <w:rFonts w:asciiTheme="minorHAnsi" w:eastAsia="Times New Roman" w:hAnsiTheme="minorHAnsi" w:cstheme="minorHAnsi"/>
                <w:iCs/>
                <w:szCs w:val="17"/>
                <w:lang w:eastAsia="en-US"/>
              </w:rPr>
            </w:pPr>
          </w:p>
        </w:tc>
        <w:tc>
          <w:tcPr>
            <w:tcW w:w="499" w:type="pct"/>
          </w:tcPr>
          <w:p w14:paraId="0A89C542" w14:textId="3CB72861" w:rsidR="00B61304" w:rsidRPr="00A02848" w:rsidRDefault="00964047" w:rsidP="00A02848">
            <w:pPr>
              <w:autoSpaceDE w:val="0"/>
              <w:autoSpaceDN w:val="0"/>
              <w:adjustRightInd w:val="0"/>
              <w:spacing w:line="230" w:lineRule="atLeast"/>
              <w:rPr>
                <w:rFonts w:asciiTheme="minorHAnsi" w:eastAsia="Times New Roman" w:hAnsiTheme="minorHAnsi" w:cstheme="minorHAnsi"/>
                <w:szCs w:val="17"/>
              </w:rPr>
            </w:pPr>
            <w:r w:rsidRPr="00A02848">
              <w:rPr>
                <w:rFonts w:asciiTheme="minorHAnsi" w:eastAsia="Times New Roman" w:hAnsiTheme="minorHAnsi" w:cstheme="minorHAnsi"/>
                <w:szCs w:val="17"/>
              </w:rPr>
              <w:t>2017-21</w:t>
            </w:r>
          </w:p>
        </w:tc>
        <w:tc>
          <w:tcPr>
            <w:tcW w:w="693" w:type="pct"/>
            <w:tcBorders>
              <w:top w:val="single" w:sz="2" w:space="0" w:color="65C5B4" w:themeColor="accent1"/>
            </w:tcBorders>
            <w:vAlign w:val="center"/>
          </w:tcPr>
          <w:p w14:paraId="62613916" w14:textId="77777777" w:rsidR="00B61304" w:rsidRPr="00A02848" w:rsidRDefault="00B61304" w:rsidP="00390828">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2020 AQC</w:t>
            </w:r>
          </w:p>
        </w:tc>
        <w:tc>
          <w:tcPr>
            <w:tcW w:w="358" w:type="pct"/>
            <w:tcBorders>
              <w:top w:val="single" w:sz="2" w:space="0" w:color="65C5B4" w:themeColor="accent1"/>
            </w:tcBorders>
            <w:shd w:val="clear" w:color="auto" w:fill="auto"/>
            <w:noWrap/>
            <w:vAlign w:val="center"/>
          </w:tcPr>
          <w:p w14:paraId="46D7DF1A"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c>
          <w:tcPr>
            <w:tcW w:w="358" w:type="pct"/>
            <w:tcBorders>
              <w:top w:val="single" w:sz="2" w:space="0" w:color="65C5B4" w:themeColor="accent1"/>
            </w:tcBorders>
            <w:shd w:val="clear" w:color="auto" w:fill="auto"/>
            <w:noWrap/>
            <w:vAlign w:val="center"/>
          </w:tcPr>
          <w:p w14:paraId="6296C7AD"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c>
          <w:tcPr>
            <w:tcW w:w="358" w:type="pct"/>
            <w:tcBorders>
              <w:top w:val="single" w:sz="2" w:space="0" w:color="65C5B4" w:themeColor="accent1"/>
            </w:tcBorders>
            <w:shd w:val="clear" w:color="auto" w:fill="auto"/>
            <w:noWrap/>
            <w:vAlign w:val="center"/>
          </w:tcPr>
          <w:p w14:paraId="4D7732E1"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r>
      <w:tr w:rsidR="00B61304" w:rsidRPr="00812509" w14:paraId="6D42197E" w14:textId="77777777" w:rsidTr="006F34BD">
        <w:trPr>
          <w:cnfStyle w:val="100000000000" w:firstRow="1" w:lastRow="0" w:firstColumn="0" w:lastColumn="0" w:oddVBand="0" w:evenVBand="0" w:oddHBand="0" w:evenHBand="0" w:firstRowFirstColumn="0" w:firstRowLastColumn="0" w:lastRowFirstColumn="0" w:lastRowLastColumn="0"/>
          <w:trHeight w:val="360"/>
        </w:trPr>
        <w:tc>
          <w:tcPr>
            <w:tcW w:w="2625" w:type="pct"/>
            <w:tcBorders>
              <w:top w:val="single" w:sz="2" w:space="0" w:color="65C5B4" w:themeColor="accent1"/>
            </w:tcBorders>
            <w:vAlign w:val="center"/>
          </w:tcPr>
          <w:p w14:paraId="682B46DB" w14:textId="77777777" w:rsidR="00B61304" w:rsidRPr="00A02848" w:rsidRDefault="00B61304" w:rsidP="00A02848">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INL973 World Bank Multi Donor Trust Fund</w:t>
            </w:r>
          </w:p>
        </w:tc>
        <w:tc>
          <w:tcPr>
            <w:tcW w:w="499" w:type="pct"/>
            <w:tcBorders>
              <w:top w:val="single" w:sz="2" w:space="0" w:color="65C5B4" w:themeColor="accent1"/>
            </w:tcBorders>
          </w:tcPr>
          <w:p w14:paraId="3BCB0C8D" w14:textId="2197E437" w:rsidR="00B61304" w:rsidRPr="00A02848" w:rsidRDefault="00B61304" w:rsidP="00964047">
            <w:pPr>
              <w:autoSpaceDE w:val="0"/>
              <w:autoSpaceDN w:val="0"/>
              <w:adjustRightInd w:val="0"/>
              <w:spacing w:line="230" w:lineRule="atLeast"/>
              <w:rPr>
                <w:rFonts w:asciiTheme="minorHAnsi" w:eastAsia="Times New Roman" w:hAnsiTheme="minorHAnsi" w:cstheme="minorHAnsi"/>
                <w:szCs w:val="17"/>
              </w:rPr>
            </w:pPr>
            <w:r w:rsidRPr="00A02848">
              <w:rPr>
                <w:rFonts w:asciiTheme="minorHAnsi" w:eastAsia="Times New Roman" w:hAnsiTheme="minorHAnsi" w:cstheme="minorHAnsi"/>
                <w:szCs w:val="17"/>
              </w:rPr>
              <w:t>$7.6m</w:t>
            </w:r>
          </w:p>
        </w:tc>
        <w:tc>
          <w:tcPr>
            <w:tcW w:w="693" w:type="pct"/>
            <w:tcBorders>
              <w:top w:val="single" w:sz="2" w:space="0" w:color="65C5B4" w:themeColor="accent1"/>
            </w:tcBorders>
            <w:vAlign w:val="center"/>
          </w:tcPr>
          <w:p w14:paraId="77AD4E38" w14:textId="77777777" w:rsidR="00B61304" w:rsidRPr="00A02848" w:rsidRDefault="00B61304" w:rsidP="00A02848">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2019 AQC</w:t>
            </w:r>
          </w:p>
        </w:tc>
        <w:tc>
          <w:tcPr>
            <w:tcW w:w="358" w:type="pct"/>
            <w:tcBorders>
              <w:top w:val="single" w:sz="2" w:space="0" w:color="65C5B4" w:themeColor="accent1"/>
            </w:tcBorders>
            <w:shd w:val="clear" w:color="auto" w:fill="auto"/>
            <w:noWrap/>
            <w:vAlign w:val="center"/>
          </w:tcPr>
          <w:p w14:paraId="4E9EA1BF"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58" w:type="pct"/>
            <w:tcBorders>
              <w:top w:val="single" w:sz="2" w:space="0" w:color="65C5B4" w:themeColor="accent1"/>
            </w:tcBorders>
            <w:shd w:val="clear" w:color="auto" w:fill="auto"/>
            <w:noWrap/>
            <w:vAlign w:val="center"/>
          </w:tcPr>
          <w:p w14:paraId="36AFE957"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4</w:t>
            </w:r>
          </w:p>
        </w:tc>
        <w:tc>
          <w:tcPr>
            <w:tcW w:w="358" w:type="pct"/>
            <w:tcBorders>
              <w:top w:val="single" w:sz="2" w:space="0" w:color="65C5B4" w:themeColor="accent1"/>
            </w:tcBorders>
            <w:shd w:val="clear" w:color="auto" w:fill="auto"/>
            <w:noWrap/>
            <w:vAlign w:val="center"/>
          </w:tcPr>
          <w:p w14:paraId="159776FD"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rPr>
            </w:pPr>
            <w:r>
              <w:rPr>
                <w:rFonts w:asciiTheme="minorHAnsi" w:eastAsia="Times New Roman" w:hAnsiTheme="minorHAnsi" w:cstheme="minorHAnsi"/>
                <w:iCs/>
                <w:szCs w:val="17"/>
              </w:rPr>
              <w:t>3</w:t>
            </w:r>
          </w:p>
        </w:tc>
      </w:tr>
      <w:tr w:rsidR="00B61304" w:rsidRPr="00812509" w14:paraId="44105ABE" w14:textId="77777777" w:rsidTr="006F34BD">
        <w:trPr>
          <w:cnfStyle w:val="100000000000" w:firstRow="1" w:lastRow="0" w:firstColumn="0" w:lastColumn="0" w:oddVBand="0" w:evenVBand="0" w:oddHBand="0" w:evenHBand="0" w:firstRowFirstColumn="0" w:firstRowLastColumn="0" w:lastRowFirstColumn="0" w:lastRowLastColumn="0"/>
          <w:trHeight w:val="355"/>
        </w:trPr>
        <w:tc>
          <w:tcPr>
            <w:tcW w:w="2625" w:type="pct"/>
            <w:vAlign w:val="center"/>
          </w:tcPr>
          <w:p w14:paraId="1BD8D722" w14:textId="77777777" w:rsidR="00B61304" w:rsidRPr="00A02848" w:rsidRDefault="00B61304" w:rsidP="00A02848">
            <w:pPr>
              <w:keepLines/>
              <w:spacing w:before="40" w:after="40" w:line="200" w:lineRule="atLeast"/>
              <w:rPr>
                <w:rFonts w:eastAsia="Times New Roman" w:cstheme="minorHAnsi"/>
                <w:iCs/>
                <w:szCs w:val="17"/>
              </w:rPr>
            </w:pPr>
          </w:p>
        </w:tc>
        <w:tc>
          <w:tcPr>
            <w:tcW w:w="499" w:type="pct"/>
          </w:tcPr>
          <w:p w14:paraId="68C1FD9A" w14:textId="50DD5EB2" w:rsidR="00B61304" w:rsidRPr="00A02848" w:rsidRDefault="00964047" w:rsidP="00A02848">
            <w:pPr>
              <w:autoSpaceDE w:val="0"/>
              <w:autoSpaceDN w:val="0"/>
              <w:adjustRightInd w:val="0"/>
              <w:spacing w:line="230" w:lineRule="atLeast"/>
              <w:rPr>
                <w:rFonts w:eastAsia="Times New Roman" w:cstheme="minorHAnsi"/>
                <w:szCs w:val="17"/>
              </w:rPr>
            </w:pPr>
            <w:r w:rsidRPr="00A02848">
              <w:rPr>
                <w:rFonts w:asciiTheme="minorHAnsi" w:eastAsia="Times New Roman" w:hAnsiTheme="minorHAnsi" w:cstheme="minorHAnsi"/>
                <w:szCs w:val="17"/>
              </w:rPr>
              <w:t>2016-22</w:t>
            </w:r>
          </w:p>
        </w:tc>
        <w:tc>
          <w:tcPr>
            <w:tcW w:w="693" w:type="pct"/>
            <w:tcBorders>
              <w:top w:val="single" w:sz="2" w:space="0" w:color="65C5B4" w:themeColor="accent1"/>
            </w:tcBorders>
            <w:vAlign w:val="center"/>
          </w:tcPr>
          <w:p w14:paraId="752AFD5F" w14:textId="77777777" w:rsidR="00B61304" w:rsidRPr="00A02848" w:rsidRDefault="00B61304" w:rsidP="00A02848">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2020 AQC</w:t>
            </w:r>
          </w:p>
        </w:tc>
        <w:tc>
          <w:tcPr>
            <w:tcW w:w="358" w:type="pct"/>
            <w:tcBorders>
              <w:top w:val="single" w:sz="2" w:space="0" w:color="65C5B4" w:themeColor="accent1"/>
            </w:tcBorders>
            <w:shd w:val="clear" w:color="auto" w:fill="auto"/>
            <w:noWrap/>
            <w:vAlign w:val="center"/>
          </w:tcPr>
          <w:p w14:paraId="0D470C18" w14:textId="77777777" w:rsidR="00B61304" w:rsidRPr="00BE4305" w:rsidRDefault="00B61304" w:rsidP="00AB506D">
            <w:pPr>
              <w:keepLines/>
              <w:spacing w:before="40" w:after="40" w:line="200" w:lineRule="atLeast"/>
              <w:jc w:val="center"/>
              <w:rPr>
                <w:rFonts w:asciiTheme="minorHAnsi" w:eastAsia="Times New Roman" w:hAnsiTheme="minorHAnsi" w:cstheme="minorHAnsi"/>
                <w:iCs/>
                <w:szCs w:val="17"/>
              </w:rPr>
            </w:pPr>
            <w:r w:rsidRPr="00BE4305">
              <w:rPr>
                <w:rFonts w:asciiTheme="minorHAnsi" w:eastAsia="Times New Roman" w:hAnsiTheme="minorHAnsi" w:cstheme="minorHAnsi"/>
                <w:iCs/>
                <w:szCs w:val="17"/>
              </w:rPr>
              <w:t>4</w:t>
            </w:r>
          </w:p>
        </w:tc>
        <w:tc>
          <w:tcPr>
            <w:tcW w:w="358" w:type="pct"/>
            <w:tcBorders>
              <w:top w:val="single" w:sz="2" w:space="0" w:color="65C5B4" w:themeColor="accent1"/>
            </w:tcBorders>
            <w:shd w:val="clear" w:color="auto" w:fill="auto"/>
            <w:noWrap/>
            <w:vAlign w:val="center"/>
          </w:tcPr>
          <w:p w14:paraId="79A79B74" w14:textId="77777777" w:rsidR="00B61304" w:rsidRPr="00BE4305" w:rsidRDefault="00B61304" w:rsidP="00AB506D">
            <w:pPr>
              <w:keepLines/>
              <w:spacing w:before="40" w:after="40" w:line="200" w:lineRule="atLeast"/>
              <w:jc w:val="center"/>
              <w:rPr>
                <w:rFonts w:asciiTheme="minorHAnsi" w:eastAsia="Times New Roman" w:hAnsiTheme="minorHAnsi" w:cstheme="minorHAnsi"/>
                <w:iCs/>
                <w:szCs w:val="17"/>
              </w:rPr>
            </w:pPr>
            <w:r w:rsidRPr="00BE4305">
              <w:rPr>
                <w:rFonts w:asciiTheme="minorHAnsi" w:eastAsia="Times New Roman" w:hAnsiTheme="minorHAnsi" w:cstheme="minorHAnsi"/>
                <w:iCs/>
                <w:szCs w:val="17"/>
              </w:rPr>
              <w:t>4</w:t>
            </w:r>
          </w:p>
        </w:tc>
        <w:tc>
          <w:tcPr>
            <w:tcW w:w="358" w:type="pct"/>
            <w:tcBorders>
              <w:top w:val="single" w:sz="2" w:space="0" w:color="65C5B4" w:themeColor="accent1"/>
            </w:tcBorders>
            <w:shd w:val="clear" w:color="auto" w:fill="auto"/>
            <w:noWrap/>
            <w:vAlign w:val="center"/>
          </w:tcPr>
          <w:p w14:paraId="2E03ADD3" w14:textId="77777777" w:rsidR="00B61304" w:rsidRPr="00BE4305" w:rsidRDefault="00B61304" w:rsidP="00AB506D">
            <w:pPr>
              <w:keepLines/>
              <w:spacing w:before="40" w:after="40" w:line="200" w:lineRule="atLeast"/>
              <w:jc w:val="center"/>
              <w:rPr>
                <w:rFonts w:asciiTheme="minorHAnsi" w:eastAsia="Times New Roman" w:hAnsiTheme="minorHAnsi" w:cstheme="minorHAnsi"/>
                <w:iCs/>
                <w:szCs w:val="17"/>
              </w:rPr>
            </w:pPr>
            <w:r w:rsidRPr="00BE4305">
              <w:rPr>
                <w:rFonts w:asciiTheme="minorHAnsi" w:eastAsia="Times New Roman" w:hAnsiTheme="minorHAnsi" w:cstheme="minorHAnsi"/>
                <w:iCs/>
                <w:szCs w:val="17"/>
              </w:rPr>
              <w:t>4</w:t>
            </w:r>
          </w:p>
        </w:tc>
      </w:tr>
      <w:tr w:rsidR="00B61304" w:rsidRPr="00812509" w14:paraId="4B528AC2" w14:textId="77777777" w:rsidTr="00964047">
        <w:trPr>
          <w:cnfStyle w:val="100000000000" w:firstRow="1" w:lastRow="0" w:firstColumn="0" w:lastColumn="0" w:oddVBand="0" w:evenVBand="0" w:oddHBand="0" w:evenHBand="0" w:firstRowFirstColumn="0" w:firstRowLastColumn="0" w:lastRowFirstColumn="0" w:lastRowLastColumn="0"/>
          <w:trHeight w:val="285"/>
        </w:trPr>
        <w:tc>
          <w:tcPr>
            <w:tcW w:w="2625" w:type="pct"/>
            <w:tcBorders>
              <w:top w:val="single" w:sz="2" w:space="0" w:color="65C5B4" w:themeColor="accent1"/>
            </w:tcBorders>
            <w:vAlign w:val="center"/>
          </w:tcPr>
          <w:p w14:paraId="4275FC78" w14:textId="77777777" w:rsidR="00B61304" w:rsidRPr="00A02848" w:rsidRDefault="00B61304" w:rsidP="00AB506D">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INM504 Strengthening Humanitarian Preparedness in Nepal</w:t>
            </w:r>
          </w:p>
        </w:tc>
        <w:tc>
          <w:tcPr>
            <w:tcW w:w="499" w:type="pct"/>
            <w:tcBorders>
              <w:top w:val="single" w:sz="2" w:space="0" w:color="65C5B4" w:themeColor="accent1"/>
            </w:tcBorders>
          </w:tcPr>
          <w:p w14:paraId="592A33A3" w14:textId="080ACE45" w:rsidR="00B61304" w:rsidRPr="00A02848" w:rsidRDefault="00B61304" w:rsidP="00964047">
            <w:pPr>
              <w:autoSpaceDE w:val="0"/>
              <w:autoSpaceDN w:val="0"/>
              <w:adjustRightInd w:val="0"/>
              <w:spacing w:line="230" w:lineRule="atLeast"/>
              <w:rPr>
                <w:rFonts w:asciiTheme="minorHAnsi" w:eastAsia="Times New Roman" w:hAnsiTheme="minorHAnsi" w:cstheme="minorHAnsi"/>
                <w:szCs w:val="17"/>
              </w:rPr>
            </w:pPr>
            <w:r w:rsidRPr="00A02848">
              <w:rPr>
                <w:rFonts w:asciiTheme="minorHAnsi" w:eastAsia="Times New Roman" w:hAnsiTheme="minorHAnsi" w:cstheme="minorHAnsi"/>
                <w:szCs w:val="17"/>
              </w:rPr>
              <w:t>$5.2m</w:t>
            </w:r>
          </w:p>
        </w:tc>
        <w:tc>
          <w:tcPr>
            <w:tcW w:w="693" w:type="pct"/>
            <w:tcBorders>
              <w:top w:val="single" w:sz="2" w:space="0" w:color="65C5B4" w:themeColor="accent1"/>
              <w:bottom w:val="single" w:sz="2" w:space="0" w:color="65C5B4" w:themeColor="accent1"/>
            </w:tcBorders>
            <w:vAlign w:val="center"/>
          </w:tcPr>
          <w:p w14:paraId="430BE535" w14:textId="77777777" w:rsidR="00B61304" w:rsidRPr="00A02848" w:rsidRDefault="00B61304" w:rsidP="00AB506D">
            <w:pPr>
              <w:keepLines/>
              <w:spacing w:before="40" w:after="40" w:line="200" w:lineRule="atLeast"/>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2019 AQC</w:t>
            </w:r>
          </w:p>
        </w:tc>
        <w:tc>
          <w:tcPr>
            <w:tcW w:w="358" w:type="pct"/>
            <w:tcBorders>
              <w:top w:val="single" w:sz="2" w:space="0" w:color="65C5B4" w:themeColor="accent1"/>
              <w:bottom w:val="single" w:sz="2" w:space="0" w:color="65C5B4" w:themeColor="accent1"/>
            </w:tcBorders>
            <w:shd w:val="clear" w:color="auto" w:fill="auto"/>
            <w:noWrap/>
            <w:vAlign w:val="center"/>
          </w:tcPr>
          <w:p w14:paraId="3A64F8CC" w14:textId="77777777" w:rsidR="00B61304" w:rsidRPr="00BE4305" w:rsidRDefault="00B61304" w:rsidP="00AB506D">
            <w:pPr>
              <w:keepLines/>
              <w:spacing w:before="40" w:after="40" w:line="200" w:lineRule="atLeast"/>
              <w:jc w:val="center"/>
              <w:rPr>
                <w:rFonts w:asciiTheme="minorHAnsi" w:eastAsia="Times New Roman" w:hAnsiTheme="minorHAnsi" w:cstheme="minorHAnsi"/>
                <w:iCs/>
                <w:szCs w:val="17"/>
              </w:rPr>
            </w:pPr>
            <w:r w:rsidRPr="00BE4305">
              <w:rPr>
                <w:rFonts w:asciiTheme="minorHAnsi" w:eastAsia="Times New Roman" w:hAnsiTheme="minorHAnsi" w:cstheme="minorHAnsi"/>
                <w:iCs/>
                <w:szCs w:val="17"/>
              </w:rPr>
              <w:t>4</w:t>
            </w:r>
          </w:p>
        </w:tc>
        <w:tc>
          <w:tcPr>
            <w:tcW w:w="358" w:type="pct"/>
            <w:tcBorders>
              <w:top w:val="single" w:sz="2" w:space="0" w:color="65C5B4" w:themeColor="accent1"/>
              <w:bottom w:val="single" w:sz="2" w:space="0" w:color="65C5B4" w:themeColor="accent1"/>
            </w:tcBorders>
            <w:shd w:val="clear" w:color="auto" w:fill="auto"/>
            <w:noWrap/>
            <w:vAlign w:val="center"/>
          </w:tcPr>
          <w:p w14:paraId="4EA97C15" w14:textId="77777777" w:rsidR="00B61304" w:rsidRPr="00BE4305" w:rsidRDefault="00B61304" w:rsidP="00AB506D">
            <w:pPr>
              <w:keepLines/>
              <w:spacing w:before="40" w:after="40" w:line="200" w:lineRule="atLeast"/>
              <w:jc w:val="center"/>
              <w:rPr>
                <w:rFonts w:asciiTheme="minorHAnsi" w:eastAsia="Times New Roman" w:hAnsiTheme="minorHAnsi" w:cstheme="minorHAnsi"/>
                <w:iCs/>
                <w:szCs w:val="17"/>
              </w:rPr>
            </w:pPr>
            <w:r w:rsidRPr="00BE4305">
              <w:rPr>
                <w:rFonts w:asciiTheme="minorHAnsi" w:eastAsia="Times New Roman" w:hAnsiTheme="minorHAnsi" w:cstheme="minorHAnsi"/>
                <w:iCs/>
                <w:szCs w:val="17"/>
              </w:rPr>
              <w:t>4</w:t>
            </w:r>
          </w:p>
        </w:tc>
        <w:tc>
          <w:tcPr>
            <w:tcW w:w="358" w:type="pct"/>
            <w:tcBorders>
              <w:top w:val="single" w:sz="2" w:space="0" w:color="65C5B4" w:themeColor="accent1"/>
              <w:bottom w:val="single" w:sz="2" w:space="0" w:color="65C5B4" w:themeColor="accent1"/>
            </w:tcBorders>
            <w:shd w:val="clear" w:color="auto" w:fill="auto"/>
            <w:noWrap/>
            <w:vAlign w:val="center"/>
          </w:tcPr>
          <w:p w14:paraId="570A0087" w14:textId="77777777" w:rsidR="00B61304" w:rsidRPr="00BE4305" w:rsidRDefault="00B61304" w:rsidP="00AB506D">
            <w:pPr>
              <w:keepLines/>
              <w:spacing w:before="40" w:after="40" w:line="200" w:lineRule="atLeast"/>
              <w:jc w:val="center"/>
              <w:rPr>
                <w:rFonts w:asciiTheme="minorHAnsi" w:eastAsia="Times New Roman" w:hAnsiTheme="minorHAnsi" w:cstheme="minorHAnsi"/>
                <w:iCs/>
                <w:szCs w:val="17"/>
              </w:rPr>
            </w:pPr>
            <w:r w:rsidRPr="00BE4305">
              <w:rPr>
                <w:rFonts w:asciiTheme="minorHAnsi" w:eastAsia="Times New Roman" w:hAnsiTheme="minorHAnsi" w:cstheme="minorHAnsi"/>
                <w:iCs/>
                <w:szCs w:val="17"/>
              </w:rPr>
              <w:t>4</w:t>
            </w:r>
          </w:p>
        </w:tc>
      </w:tr>
      <w:tr w:rsidR="00B61304" w:rsidRPr="00812509" w14:paraId="118880B1" w14:textId="77777777" w:rsidTr="006F34BD">
        <w:trPr>
          <w:cnfStyle w:val="100000000000" w:firstRow="1" w:lastRow="0" w:firstColumn="0" w:lastColumn="0" w:oddVBand="0" w:evenVBand="0" w:oddHBand="0" w:evenHBand="0" w:firstRowFirstColumn="0" w:firstRowLastColumn="0" w:lastRowFirstColumn="0" w:lastRowLastColumn="0"/>
          <w:trHeight w:val="375"/>
        </w:trPr>
        <w:tc>
          <w:tcPr>
            <w:tcW w:w="2625" w:type="pct"/>
            <w:tcBorders>
              <w:bottom w:val="none" w:sz="0" w:space="0" w:color="auto"/>
            </w:tcBorders>
          </w:tcPr>
          <w:p w14:paraId="38A2106A" w14:textId="77777777" w:rsidR="00B61304" w:rsidRPr="00A02848" w:rsidRDefault="00B61304" w:rsidP="00AB506D">
            <w:pPr>
              <w:keepLines/>
              <w:spacing w:before="40" w:after="40" w:line="200" w:lineRule="atLeast"/>
              <w:rPr>
                <w:rFonts w:eastAsia="Times New Roman" w:cstheme="minorHAnsi"/>
                <w:iCs/>
                <w:szCs w:val="17"/>
              </w:rPr>
            </w:pPr>
          </w:p>
        </w:tc>
        <w:tc>
          <w:tcPr>
            <w:tcW w:w="499" w:type="pct"/>
            <w:tcBorders>
              <w:bottom w:val="none" w:sz="0" w:space="0" w:color="auto"/>
            </w:tcBorders>
          </w:tcPr>
          <w:p w14:paraId="3C5C877A" w14:textId="69BCB8CF" w:rsidR="00B61304" w:rsidRPr="00A02848" w:rsidRDefault="00964047" w:rsidP="00AB506D">
            <w:pPr>
              <w:autoSpaceDE w:val="0"/>
              <w:autoSpaceDN w:val="0"/>
              <w:adjustRightInd w:val="0"/>
              <w:spacing w:line="230" w:lineRule="atLeast"/>
              <w:rPr>
                <w:rFonts w:eastAsia="Times New Roman" w:cstheme="minorHAnsi"/>
                <w:szCs w:val="17"/>
              </w:rPr>
            </w:pPr>
            <w:r w:rsidRPr="00A02848">
              <w:rPr>
                <w:rFonts w:asciiTheme="minorHAnsi" w:eastAsia="Times New Roman" w:hAnsiTheme="minorHAnsi" w:cstheme="minorHAnsi"/>
                <w:szCs w:val="17"/>
              </w:rPr>
              <w:t>2018-24</w:t>
            </w:r>
          </w:p>
        </w:tc>
        <w:tc>
          <w:tcPr>
            <w:tcW w:w="693" w:type="pct"/>
            <w:tcBorders>
              <w:bottom w:val="none" w:sz="0" w:space="0" w:color="auto"/>
            </w:tcBorders>
            <w:vAlign w:val="center"/>
          </w:tcPr>
          <w:p w14:paraId="44C62C69" w14:textId="77777777" w:rsidR="00B61304" w:rsidRPr="00A02848" w:rsidRDefault="00B61304" w:rsidP="00B61304">
            <w:pPr>
              <w:keepLines/>
              <w:spacing w:before="0" w:after="0" w:line="240" w:lineRule="auto"/>
              <w:rPr>
                <w:rFonts w:asciiTheme="minorHAnsi" w:eastAsia="Times New Roman" w:hAnsiTheme="minorHAnsi" w:cstheme="minorHAnsi"/>
                <w:iCs/>
                <w:szCs w:val="17"/>
                <w:lang w:eastAsia="en-US"/>
              </w:rPr>
            </w:pPr>
            <w:r w:rsidRPr="00A02848">
              <w:rPr>
                <w:rFonts w:asciiTheme="minorHAnsi" w:eastAsia="Times New Roman" w:hAnsiTheme="minorHAnsi" w:cstheme="minorHAnsi"/>
                <w:iCs/>
                <w:szCs w:val="17"/>
                <w:lang w:eastAsia="en-US"/>
              </w:rPr>
              <w:t>2020 AQC</w:t>
            </w:r>
          </w:p>
        </w:tc>
        <w:tc>
          <w:tcPr>
            <w:tcW w:w="358" w:type="pct"/>
            <w:tcBorders>
              <w:bottom w:val="none" w:sz="0" w:space="0" w:color="auto"/>
            </w:tcBorders>
            <w:shd w:val="clear" w:color="auto" w:fill="auto"/>
            <w:noWrap/>
            <w:vAlign w:val="center"/>
          </w:tcPr>
          <w:p w14:paraId="01A290DD"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c>
          <w:tcPr>
            <w:tcW w:w="358" w:type="pct"/>
            <w:tcBorders>
              <w:bottom w:val="none" w:sz="0" w:space="0" w:color="auto"/>
            </w:tcBorders>
            <w:shd w:val="clear" w:color="auto" w:fill="auto"/>
            <w:noWrap/>
            <w:vAlign w:val="center"/>
          </w:tcPr>
          <w:p w14:paraId="549C2428"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c>
          <w:tcPr>
            <w:tcW w:w="358" w:type="pct"/>
            <w:tcBorders>
              <w:bottom w:val="none" w:sz="0" w:space="0" w:color="auto"/>
            </w:tcBorders>
            <w:shd w:val="clear" w:color="auto" w:fill="auto"/>
            <w:noWrap/>
            <w:vAlign w:val="center"/>
          </w:tcPr>
          <w:p w14:paraId="05240361" w14:textId="77777777" w:rsidR="00B61304" w:rsidRPr="00A02848" w:rsidRDefault="00B61304" w:rsidP="00AB506D">
            <w:pPr>
              <w:keepLines/>
              <w:spacing w:before="40" w:after="40" w:line="200" w:lineRule="atLeast"/>
              <w:jc w:val="center"/>
              <w:rPr>
                <w:rFonts w:asciiTheme="minorHAnsi" w:eastAsia="Times New Roman" w:hAnsiTheme="minorHAnsi" w:cstheme="minorHAnsi"/>
                <w:iCs/>
                <w:szCs w:val="17"/>
                <w:lang w:eastAsia="en-US"/>
              </w:rPr>
            </w:pPr>
            <w:r>
              <w:rPr>
                <w:rFonts w:asciiTheme="minorHAnsi" w:eastAsia="Times New Roman" w:hAnsiTheme="minorHAnsi" w:cstheme="minorHAnsi"/>
                <w:iCs/>
                <w:szCs w:val="17"/>
                <w:lang w:eastAsia="en-US"/>
              </w:rPr>
              <w:t>5</w:t>
            </w:r>
          </w:p>
        </w:tc>
      </w:tr>
    </w:tbl>
    <w:p w14:paraId="3CBDB9A1" w14:textId="77777777" w:rsidR="00390828" w:rsidRPr="00812509" w:rsidRDefault="00390828" w:rsidP="00390828">
      <w:pPr>
        <w:spacing w:before="20" w:after="20" w:line="180" w:lineRule="atLeast"/>
        <w:jc w:val="both"/>
        <w:rPr>
          <w:rFonts w:eastAsia="Times New Roman"/>
          <w:b/>
          <w:sz w:val="14"/>
          <w:szCs w:val="14"/>
        </w:rPr>
      </w:pPr>
    </w:p>
    <w:p w14:paraId="55871939" w14:textId="77777777"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3ADF8157"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2B71B415"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44165C6D"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28E4906D"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63855C5E"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3491B6FB" w14:textId="179D16C5" w:rsidR="002F388C" w:rsidRDefault="00390828" w:rsidP="0021651B">
      <w:pPr>
        <w:spacing w:before="20" w:after="20" w:line="180" w:lineRule="atLeast"/>
        <w:rPr>
          <w:rFonts w:asciiTheme="majorHAnsi" w:eastAsiaTheme="majorEastAsia" w:hAnsiTheme="majorHAnsi" w:cstheme="majorHAnsi"/>
          <w:bCs/>
          <w:iCs/>
          <w:caps/>
          <w:spacing w:val="-10"/>
          <w:kern w:val="28"/>
          <w:sz w:val="28"/>
          <w:szCs w:val="28"/>
        </w:rPr>
      </w:pPr>
      <w:r w:rsidRPr="00812509">
        <w:rPr>
          <w:rFonts w:eastAsia="Times New Roman"/>
          <w:b/>
          <w:sz w:val="16"/>
          <w:szCs w:val="14"/>
        </w:rPr>
        <w:t xml:space="preserve"> 2 = Poor; does not satisfy criteria in major areas.  1 = Very poor; does not satisfy</w:t>
      </w:r>
      <w:bookmarkStart w:id="0" w:name="_GoBack"/>
      <w:bookmarkEnd w:id="0"/>
      <w:r w:rsidRPr="00812509">
        <w:rPr>
          <w:rFonts w:eastAsia="Times New Roman"/>
          <w:b/>
          <w:sz w:val="16"/>
          <w:szCs w:val="14"/>
        </w:rPr>
        <w:t xml:space="preserve"> criteria in many major area.</w:t>
      </w:r>
    </w:p>
    <w:sectPr w:rsidR="002F388C"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2CDF04" w14:textId="77777777" w:rsidR="00B6495A" w:rsidRDefault="00B6495A" w:rsidP="00D37B04">
      <w:r>
        <w:separator/>
      </w:r>
    </w:p>
  </w:endnote>
  <w:endnote w:type="continuationSeparator" w:id="0">
    <w:p w14:paraId="0B1C21BE" w14:textId="77777777" w:rsidR="00B6495A" w:rsidRDefault="00B6495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B67881" w14:textId="77777777" w:rsidR="00230777" w:rsidRPr="00FC322F" w:rsidRDefault="00230777" w:rsidP="00FC322F">
    <w:pPr>
      <w:pStyle w:val="Footer"/>
      <w:rPr>
        <w:b/>
      </w:rPr>
    </w:pPr>
    <w:r w:rsidRPr="00FC322F">
      <w:rPr>
        <w:b/>
        <w:noProof/>
        <w:lang w:val="en-AU" w:eastAsia="en-AU"/>
      </w:rPr>
      <w:drawing>
        <wp:inline distT="0" distB="0" distL="0" distR="0" wp14:anchorId="6F14072A" wp14:editId="6E63BA6F">
          <wp:extent cx="108000" cy="87480"/>
          <wp:effectExtent l="0" t="0" r="6350" b="8255"/>
          <wp:docPr id="69" name="Picture 6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98353983"/>
      <w:docPartObj>
        <w:docPartGallery w:val="Page Numbers (Bottom of Page)"/>
        <w:docPartUnique/>
      </w:docPartObj>
    </w:sdtPr>
    <w:sdtEndPr>
      <w:rPr>
        <w:noProof/>
      </w:rPr>
    </w:sdtEndPr>
    <w:sdtContent>
      <w:p w14:paraId="69915775" w14:textId="5277628E" w:rsidR="008A5FB7" w:rsidRDefault="008A5FB7">
        <w:pPr>
          <w:pStyle w:val="Footer"/>
          <w:jc w:val="center"/>
        </w:pPr>
        <w:r>
          <w:fldChar w:fldCharType="begin"/>
        </w:r>
        <w:r>
          <w:instrText xml:space="preserve"> PAGE   \* MERGEFORMAT </w:instrText>
        </w:r>
        <w:r>
          <w:fldChar w:fldCharType="separate"/>
        </w:r>
        <w:r w:rsidR="00574698">
          <w:rPr>
            <w:noProof/>
          </w:rPr>
          <w:t>1</w:t>
        </w:r>
        <w:r>
          <w:rPr>
            <w:noProof/>
          </w:rPr>
          <w:fldChar w:fldCharType="end"/>
        </w:r>
      </w:p>
    </w:sdtContent>
  </w:sdt>
  <w:p w14:paraId="3E7606C2" w14:textId="5D56E4B8"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541015"/>
      <w:docPartObj>
        <w:docPartGallery w:val="Page Numbers (Bottom of Page)"/>
        <w:docPartUnique/>
      </w:docPartObj>
    </w:sdtPr>
    <w:sdtEndPr>
      <w:rPr>
        <w:noProof/>
      </w:rPr>
    </w:sdtEndPr>
    <w:sdtContent>
      <w:p w14:paraId="24C05039" w14:textId="403815E2" w:rsidR="008A5FB7" w:rsidRDefault="008A5FB7">
        <w:pPr>
          <w:pStyle w:val="Footer"/>
          <w:jc w:val="center"/>
        </w:pPr>
        <w:r>
          <w:fldChar w:fldCharType="begin"/>
        </w:r>
        <w:r>
          <w:instrText xml:space="preserve"> PAGE   \* MERGEFORMAT </w:instrText>
        </w:r>
        <w:r>
          <w:fldChar w:fldCharType="separate"/>
        </w:r>
        <w:r w:rsidR="00574698">
          <w:rPr>
            <w:noProof/>
          </w:rPr>
          <w:t>3</w:t>
        </w:r>
        <w:r>
          <w:rPr>
            <w:noProof/>
          </w:rPr>
          <w:fldChar w:fldCharType="end"/>
        </w:r>
      </w:p>
    </w:sdtContent>
  </w:sdt>
  <w:p w14:paraId="08BFA1DC" w14:textId="55D3430E"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FCAE45" w14:textId="77777777" w:rsidR="00FC322F" w:rsidRPr="00FC322F" w:rsidRDefault="00FC322F" w:rsidP="00FC322F">
    <w:pPr>
      <w:pStyle w:val="Footer"/>
      <w:rPr>
        <w:b/>
      </w:rPr>
    </w:pPr>
    <w:r w:rsidRPr="00FC322F">
      <w:rPr>
        <w:b/>
        <w:noProof/>
        <w:lang w:val="en-AU" w:eastAsia="en-AU"/>
      </w:rPr>
      <w:drawing>
        <wp:inline distT="0" distB="0" distL="0" distR="0" wp14:anchorId="793D074F" wp14:editId="354E5850">
          <wp:extent cx="108000" cy="87480"/>
          <wp:effectExtent l="0" t="0" r="6350" b="8255"/>
          <wp:docPr id="85" name="Picture 8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94991262"/>
      <w:docPartObj>
        <w:docPartGallery w:val="Page Numbers (Bottom of Page)"/>
        <w:docPartUnique/>
      </w:docPartObj>
    </w:sdtPr>
    <w:sdtEndPr>
      <w:rPr>
        <w:noProof/>
      </w:rPr>
    </w:sdtEndPr>
    <w:sdtContent>
      <w:p w14:paraId="19B8B4C8" w14:textId="20FE6CB8" w:rsidR="008A5FB7" w:rsidRDefault="008A5FB7">
        <w:pPr>
          <w:pStyle w:val="Footer"/>
          <w:jc w:val="center"/>
        </w:pPr>
        <w:r>
          <w:fldChar w:fldCharType="begin"/>
        </w:r>
        <w:r>
          <w:instrText xml:space="preserve"> PAGE   \* MERGEFORMAT </w:instrText>
        </w:r>
        <w:r>
          <w:fldChar w:fldCharType="separate"/>
        </w:r>
        <w:r w:rsidR="00574698">
          <w:rPr>
            <w:noProof/>
          </w:rPr>
          <w:t>4</w:t>
        </w:r>
        <w:r>
          <w:rPr>
            <w:noProof/>
          </w:rPr>
          <w:fldChar w:fldCharType="end"/>
        </w:r>
      </w:p>
    </w:sdtContent>
  </w:sdt>
  <w:p w14:paraId="48731D40" w14:textId="17EDD2B2"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1C6850" w14:textId="77777777" w:rsidR="00B6495A" w:rsidRPr="008C5A0E" w:rsidRDefault="00B6495A" w:rsidP="00D37B04">
      <w:pPr>
        <w:pStyle w:val="Footer"/>
      </w:pPr>
    </w:p>
  </w:footnote>
  <w:footnote w:type="continuationSeparator" w:id="0">
    <w:p w14:paraId="0ACAB23F" w14:textId="77777777" w:rsidR="00B6495A" w:rsidRDefault="00B6495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B0B26C"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4F31ED4D" wp14:editId="0F7CB17F">
          <wp:simplePos x="0" y="0"/>
          <wp:positionH relativeFrom="page">
            <wp:posOffset>12700</wp:posOffset>
          </wp:positionH>
          <wp:positionV relativeFrom="page">
            <wp:posOffset>0</wp:posOffset>
          </wp:positionV>
          <wp:extent cx="7559040" cy="10692765"/>
          <wp:effectExtent l="0" t="0" r="3810" b="0"/>
          <wp:wrapNone/>
          <wp:docPr id="68" name="Picture 6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A345F1"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02F42EFC" wp14:editId="3DB21A5F">
          <wp:simplePos x="0" y="0"/>
          <wp:positionH relativeFrom="page">
            <wp:posOffset>5699125</wp:posOffset>
          </wp:positionH>
          <wp:positionV relativeFrom="topMargin">
            <wp:align>bottom</wp:align>
          </wp:positionV>
          <wp:extent cx="1115060" cy="512445"/>
          <wp:effectExtent l="0" t="0" r="8890" b="1905"/>
          <wp:wrapNone/>
          <wp:docPr id="70" name="Picture 7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65BAB9D5" wp14:editId="74AA820E">
          <wp:simplePos x="0" y="0"/>
          <wp:positionH relativeFrom="page">
            <wp:posOffset>713740</wp:posOffset>
          </wp:positionH>
          <wp:positionV relativeFrom="topMargin">
            <wp:align>bottom</wp:align>
          </wp:positionV>
          <wp:extent cx="3166745" cy="554355"/>
          <wp:effectExtent l="0" t="0" r="0" b="0"/>
          <wp:wrapNone/>
          <wp:docPr id="71" name="Picture 7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6378E8FA" wp14:editId="4C4C413B">
          <wp:simplePos x="0" y="0"/>
          <wp:positionH relativeFrom="page">
            <wp:posOffset>12700</wp:posOffset>
          </wp:positionH>
          <wp:positionV relativeFrom="page">
            <wp:posOffset>-68580</wp:posOffset>
          </wp:positionV>
          <wp:extent cx="7559040" cy="10692130"/>
          <wp:effectExtent l="0" t="0" r="3810" b="0"/>
          <wp:wrapNone/>
          <wp:docPr id="72" name="Picture 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80691C"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4D1E7465" wp14:editId="246F4EE0">
          <wp:simplePos x="0" y="0"/>
          <wp:positionH relativeFrom="page">
            <wp:posOffset>12700</wp:posOffset>
          </wp:positionH>
          <wp:positionV relativeFrom="page">
            <wp:posOffset>0</wp:posOffset>
          </wp:positionV>
          <wp:extent cx="7559040" cy="10692765"/>
          <wp:effectExtent l="0" t="0" r="3810" b="0"/>
          <wp:wrapNone/>
          <wp:docPr id="80" name="Picture 8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D119A" w14:textId="301DA1E6"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964047">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50BC741E" wp14:editId="5D31A411">
          <wp:simplePos x="0" y="0"/>
          <wp:positionH relativeFrom="page">
            <wp:posOffset>5724525</wp:posOffset>
          </wp:positionH>
          <wp:positionV relativeFrom="page">
            <wp:posOffset>720090</wp:posOffset>
          </wp:positionV>
          <wp:extent cx="1115060" cy="512445"/>
          <wp:effectExtent l="0" t="0" r="8890" b="1905"/>
          <wp:wrapNone/>
          <wp:docPr id="82" name="Picture 8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1668E197" wp14:editId="546FFEF6">
          <wp:simplePos x="0" y="0"/>
          <wp:positionH relativeFrom="page">
            <wp:posOffset>720090</wp:posOffset>
          </wp:positionH>
          <wp:positionV relativeFrom="page">
            <wp:posOffset>683895</wp:posOffset>
          </wp:positionV>
          <wp:extent cx="3166745" cy="554355"/>
          <wp:effectExtent l="0" t="0" r="0" b="0"/>
          <wp:wrapNone/>
          <wp:docPr id="83" name="Picture 8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1F210A69" wp14:editId="6794F496">
          <wp:simplePos x="0" y="0"/>
          <wp:positionH relativeFrom="page">
            <wp:posOffset>12700</wp:posOffset>
          </wp:positionH>
          <wp:positionV relativeFrom="page">
            <wp:posOffset>-69850</wp:posOffset>
          </wp:positionV>
          <wp:extent cx="10585450" cy="10692130"/>
          <wp:effectExtent l="0" t="0" r="6350" b="0"/>
          <wp:wrapNone/>
          <wp:docPr id="84" name="Picture 8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6D3532" w14:textId="77777777" w:rsidR="00494F98" w:rsidRPr="000854FD" w:rsidRDefault="00494F98" w:rsidP="002D5B25">
    <w:pPr>
      <w:pStyle w:val="Header"/>
    </w:pPr>
    <w:r w:rsidRPr="00943730">
      <w:rPr>
        <w:noProof/>
        <w:lang w:val="en-AU" w:eastAsia="en-AU"/>
      </w:rPr>
      <w:drawing>
        <wp:anchor distT="0" distB="0" distL="114300" distR="114300" simplePos="0" relativeHeight="251674624" behindDoc="1" locked="1" layoutInCell="1" allowOverlap="1" wp14:anchorId="199EBD39" wp14:editId="58781ACC">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E5499E" w14:textId="77777777" w:rsidR="00B637DD" w:rsidRDefault="00B637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C0C3CF"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6AB4ED0C" wp14:editId="2FE143F4">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F2949C"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4C567F13" wp14:editId="6FF8AA53">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2" w15:restartNumberingAfterBreak="0">
    <w:nsid w:val="1CB050D1"/>
    <w:multiLevelType w:val="hybridMultilevel"/>
    <w:tmpl w:val="28DE5008"/>
    <w:lvl w:ilvl="0" w:tplc="3906228E">
      <w:start w:val="2"/>
      <w:numFmt w:val="bullet"/>
      <w:lvlText w:val="-"/>
      <w:lvlJc w:val="left"/>
      <w:pPr>
        <w:ind w:left="360" w:hanging="360"/>
      </w:pPr>
      <w:rPr>
        <w:rFonts w:ascii="Calibri" w:eastAsiaTheme="majorEastAsia"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52553D9F"/>
    <w:multiLevelType w:val="multilevel"/>
    <w:tmpl w:val="A6FA45D0"/>
    <w:numStyleLink w:val="BulletsList"/>
  </w:abstractNum>
  <w:abstractNum w:abstractNumId="5" w15:restartNumberingAfterBreak="0">
    <w:nsid w:val="545D4495"/>
    <w:multiLevelType w:val="hybridMultilevel"/>
    <w:tmpl w:val="561490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7"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8"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9" w15:restartNumberingAfterBreak="0">
    <w:nsid w:val="76BA05A0"/>
    <w:multiLevelType w:val="hybridMultilevel"/>
    <w:tmpl w:val="9D1470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8"/>
  </w:num>
  <w:num w:numId="2">
    <w:abstractNumId w:val="0"/>
  </w:num>
  <w:num w:numId="3">
    <w:abstractNumId w:val="3"/>
  </w:num>
  <w:num w:numId="4">
    <w:abstractNumId w:val="6"/>
  </w:num>
  <w:num w:numId="5">
    <w:abstractNumId w:val="7"/>
  </w:num>
  <w:num w:numId="6">
    <w:abstractNumId w:val="3"/>
  </w:num>
  <w:num w:numId="7">
    <w:abstractNumId w:val="0"/>
  </w:num>
  <w:num w:numId="8">
    <w:abstractNumId w:val="1"/>
  </w:num>
  <w:num w:numId="9">
    <w:abstractNumId w:val="10"/>
  </w:num>
  <w:num w:numId="10">
    <w:abstractNumId w:val="4"/>
  </w:num>
  <w:num w:numId="11">
    <w:abstractNumId w:val="2"/>
  </w:num>
  <w:num w:numId="12">
    <w:abstractNumId w:val="9"/>
  </w:num>
  <w:num w:numId="1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1269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92F"/>
    <w:rsid w:val="00001DA8"/>
    <w:rsid w:val="000020C1"/>
    <w:rsid w:val="00015783"/>
    <w:rsid w:val="0002080A"/>
    <w:rsid w:val="0002782F"/>
    <w:rsid w:val="00031C05"/>
    <w:rsid w:val="00031CD9"/>
    <w:rsid w:val="00035BBF"/>
    <w:rsid w:val="00040DF1"/>
    <w:rsid w:val="00050806"/>
    <w:rsid w:val="00050D69"/>
    <w:rsid w:val="000546D9"/>
    <w:rsid w:val="00054AAA"/>
    <w:rsid w:val="00054E4D"/>
    <w:rsid w:val="00060073"/>
    <w:rsid w:val="000616C6"/>
    <w:rsid w:val="00071788"/>
    <w:rsid w:val="000854FD"/>
    <w:rsid w:val="000A3256"/>
    <w:rsid w:val="000B37F5"/>
    <w:rsid w:val="000C5205"/>
    <w:rsid w:val="000D0B1D"/>
    <w:rsid w:val="000D439A"/>
    <w:rsid w:val="000D66D6"/>
    <w:rsid w:val="000E3410"/>
    <w:rsid w:val="00110C81"/>
    <w:rsid w:val="00113288"/>
    <w:rsid w:val="00117BBC"/>
    <w:rsid w:val="001214BE"/>
    <w:rsid w:val="0013101C"/>
    <w:rsid w:val="001461D6"/>
    <w:rsid w:val="00146470"/>
    <w:rsid w:val="00150BA8"/>
    <w:rsid w:val="001541EA"/>
    <w:rsid w:val="001616D0"/>
    <w:rsid w:val="00180783"/>
    <w:rsid w:val="00180B12"/>
    <w:rsid w:val="001831D4"/>
    <w:rsid w:val="001907AA"/>
    <w:rsid w:val="00190A7F"/>
    <w:rsid w:val="001962F2"/>
    <w:rsid w:val="001A5735"/>
    <w:rsid w:val="001A7ED5"/>
    <w:rsid w:val="001B777F"/>
    <w:rsid w:val="001C50B3"/>
    <w:rsid w:val="001D663E"/>
    <w:rsid w:val="001D6AC9"/>
    <w:rsid w:val="001E1DC0"/>
    <w:rsid w:val="001E20B7"/>
    <w:rsid w:val="001E5276"/>
    <w:rsid w:val="00203277"/>
    <w:rsid w:val="00205B2E"/>
    <w:rsid w:val="002068B7"/>
    <w:rsid w:val="002127F9"/>
    <w:rsid w:val="00213A46"/>
    <w:rsid w:val="00214315"/>
    <w:rsid w:val="0021651B"/>
    <w:rsid w:val="002228A4"/>
    <w:rsid w:val="0022631C"/>
    <w:rsid w:val="00230777"/>
    <w:rsid w:val="00235EAB"/>
    <w:rsid w:val="002400D1"/>
    <w:rsid w:val="00243935"/>
    <w:rsid w:val="00252C04"/>
    <w:rsid w:val="002646C3"/>
    <w:rsid w:val="00265DDB"/>
    <w:rsid w:val="0027293F"/>
    <w:rsid w:val="00276A54"/>
    <w:rsid w:val="0028318B"/>
    <w:rsid w:val="0028602A"/>
    <w:rsid w:val="002A7F56"/>
    <w:rsid w:val="002B5E10"/>
    <w:rsid w:val="002B7846"/>
    <w:rsid w:val="002C793D"/>
    <w:rsid w:val="002D2639"/>
    <w:rsid w:val="002D2BCA"/>
    <w:rsid w:val="002D5B25"/>
    <w:rsid w:val="002F00D8"/>
    <w:rsid w:val="002F0699"/>
    <w:rsid w:val="002F388C"/>
    <w:rsid w:val="002F4A70"/>
    <w:rsid w:val="002F4F2B"/>
    <w:rsid w:val="003002C0"/>
    <w:rsid w:val="00301144"/>
    <w:rsid w:val="003031C6"/>
    <w:rsid w:val="00304411"/>
    <w:rsid w:val="00304984"/>
    <w:rsid w:val="003050D9"/>
    <w:rsid w:val="00312BF8"/>
    <w:rsid w:val="003148B7"/>
    <w:rsid w:val="003158C3"/>
    <w:rsid w:val="003274CD"/>
    <w:rsid w:val="00330E12"/>
    <w:rsid w:val="00333501"/>
    <w:rsid w:val="003365E4"/>
    <w:rsid w:val="003457C4"/>
    <w:rsid w:val="003500CF"/>
    <w:rsid w:val="0035119D"/>
    <w:rsid w:val="00351F0E"/>
    <w:rsid w:val="00356DD2"/>
    <w:rsid w:val="00365569"/>
    <w:rsid w:val="00372FC5"/>
    <w:rsid w:val="003753EF"/>
    <w:rsid w:val="00376D64"/>
    <w:rsid w:val="00384D40"/>
    <w:rsid w:val="00387B92"/>
    <w:rsid w:val="00390828"/>
    <w:rsid w:val="003931A1"/>
    <w:rsid w:val="0039344A"/>
    <w:rsid w:val="00395163"/>
    <w:rsid w:val="003A6E87"/>
    <w:rsid w:val="003B4F12"/>
    <w:rsid w:val="003C3B44"/>
    <w:rsid w:val="003C6AE5"/>
    <w:rsid w:val="003D4C6F"/>
    <w:rsid w:val="003E1DC2"/>
    <w:rsid w:val="003F048E"/>
    <w:rsid w:val="003F2041"/>
    <w:rsid w:val="003F57D6"/>
    <w:rsid w:val="00401332"/>
    <w:rsid w:val="00402ACC"/>
    <w:rsid w:val="004120EC"/>
    <w:rsid w:val="0041673D"/>
    <w:rsid w:val="00423D76"/>
    <w:rsid w:val="00423F31"/>
    <w:rsid w:val="00426A9A"/>
    <w:rsid w:val="00431899"/>
    <w:rsid w:val="00442055"/>
    <w:rsid w:val="004430AA"/>
    <w:rsid w:val="004452E8"/>
    <w:rsid w:val="00445656"/>
    <w:rsid w:val="00452298"/>
    <w:rsid w:val="00454471"/>
    <w:rsid w:val="0048171A"/>
    <w:rsid w:val="00482AE8"/>
    <w:rsid w:val="0048492D"/>
    <w:rsid w:val="00486804"/>
    <w:rsid w:val="00486D02"/>
    <w:rsid w:val="0049258C"/>
    <w:rsid w:val="004939C4"/>
    <w:rsid w:val="00494F98"/>
    <w:rsid w:val="004A258D"/>
    <w:rsid w:val="004B09C3"/>
    <w:rsid w:val="004B1618"/>
    <w:rsid w:val="004B3775"/>
    <w:rsid w:val="004C12B1"/>
    <w:rsid w:val="004C5598"/>
    <w:rsid w:val="004C603C"/>
    <w:rsid w:val="004C6342"/>
    <w:rsid w:val="004D0BA0"/>
    <w:rsid w:val="004E058F"/>
    <w:rsid w:val="004E3B87"/>
    <w:rsid w:val="00505577"/>
    <w:rsid w:val="00510921"/>
    <w:rsid w:val="00510AD3"/>
    <w:rsid w:val="00513348"/>
    <w:rsid w:val="00513AD8"/>
    <w:rsid w:val="005204D2"/>
    <w:rsid w:val="00522396"/>
    <w:rsid w:val="00527B3D"/>
    <w:rsid w:val="0053046C"/>
    <w:rsid w:val="00533B5D"/>
    <w:rsid w:val="005347B1"/>
    <w:rsid w:val="00543AE5"/>
    <w:rsid w:val="0057067F"/>
    <w:rsid w:val="00574698"/>
    <w:rsid w:val="00591B5F"/>
    <w:rsid w:val="005A20F6"/>
    <w:rsid w:val="005B1513"/>
    <w:rsid w:val="005B55E8"/>
    <w:rsid w:val="005C2F99"/>
    <w:rsid w:val="005D3655"/>
    <w:rsid w:val="005D61DF"/>
    <w:rsid w:val="005E4830"/>
    <w:rsid w:val="005E7DC7"/>
    <w:rsid w:val="005F42E6"/>
    <w:rsid w:val="00601844"/>
    <w:rsid w:val="006121A1"/>
    <w:rsid w:val="00612E8A"/>
    <w:rsid w:val="00622B86"/>
    <w:rsid w:val="00623BA1"/>
    <w:rsid w:val="00624B2D"/>
    <w:rsid w:val="006346BC"/>
    <w:rsid w:val="006439C3"/>
    <w:rsid w:val="00651213"/>
    <w:rsid w:val="00660121"/>
    <w:rsid w:val="006604FF"/>
    <w:rsid w:val="0066652A"/>
    <w:rsid w:val="00667907"/>
    <w:rsid w:val="00671951"/>
    <w:rsid w:val="006719C3"/>
    <w:rsid w:val="00675561"/>
    <w:rsid w:val="0067788C"/>
    <w:rsid w:val="00680522"/>
    <w:rsid w:val="00682167"/>
    <w:rsid w:val="006B2383"/>
    <w:rsid w:val="006C42AF"/>
    <w:rsid w:val="006E11CC"/>
    <w:rsid w:val="006E4151"/>
    <w:rsid w:val="006E716D"/>
    <w:rsid w:val="006F34BD"/>
    <w:rsid w:val="007031B5"/>
    <w:rsid w:val="00705F12"/>
    <w:rsid w:val="00711163"/>
    <w:rsid w:val="00711D8E"/>
    <w:rsid w:val="007125F2"/>
    <w:rsid w:val="00712672"/>
    <w:rsid w:val="00715351"/>
    <w:rsid w:val="00717770"/>
    <w:rsid w:val="00720E58"/>
    <w:rsid w:val="00734E3F"/>
    <w:rsid w:val="00736985"/>
    <w:rsid w:val="00745DF5"/>
    <w:rsid w:val="00756D00"/>
    <w:rsid w:val="0076250F"/>
    <w:rsid w:val="007670A3"/>
    <w:rsid w:val="007706B8"/>
    <w:rsid w:val="00774EE4"/>
    <w:rsid w:val="0077515F"/>
    <w:rsid w:val="00780FA5"/>
    <w:rsid w:val="00790171"/>
    <w:rsid w:val="00792742"/>
    <w:rsid w:val="00794177"/>
    <w:rsid w:val="00795A78"/>
    <w:rsid w:val="007A1C2C"/>
    <w:rsid w:val="007A5328"/>
    <w:rsid w:val="007A6663"/>
    <w:rsid w:val="007B06DC"/>
    <w:rsid w:val="007B3620"/>
    <w:rsid w:val="007B59BC"/>
    <w:rsid w:val="007B6200"/>
    <w:rsid w:val="007C3015"/>
    <w:rsid w:val="007E0B43"/>
    <w:rsid w:val="007E3FF9"/>
    <w:rsid w:val="007E4969"/>
    <w:rsid w:val="007F2677"/>
    <w:rsid w:val="007F3395"/>
    <w:rsid w:val="007F49AB"/>
    <w:rsid w:val="00801B9F"/>
    <w:rsid w:val="0080204D"/>
    <w:rsid w:val="008047C8"/>
    <w:rsid w:val="00805B9C"/>
    <w:rsid w:val="00810213"/>
    <w:rsid w:val="008174A1"/>
    <w:rsid w:val="00817DE6"/>
    <w:rsid w:val="00823B7F"/>
    <w:rsid w:val="00824ABD"/>
    <w:rsid w:val="0083052F"/>
    <w:rsid w:val="00841BDC"/>
    <w:rsid w:val="008420EF"/>
    <w:rsid w:val="00845F91"/>
    <w:rsid w:val="008475F0"/>
    <w:rsid w:val="00854659"/>
    <w:rsid w:val="00855319"/>
    <w:rsid w:val="008557A7"/>
    <w:rsid w:val="00870928"/>
    <w:rsid w:val="00880AFF"/>
    <w:rsid w:val="00885A62"/>
    <w:rsid w:val="0089405C"/>
    <w:rsid w:val="00897FA2"/>
    <w:rsid w:val="008A36C4"/>
    <w:rsid w:val="008A5AFE"/>
    <w:rsid w:val="008A5FB7"/>
    <w:rsid w:val="008A7AF1"/>
    <w:rsid w:val="008C48F9"/>
    <w:rsid w:val="008C5A0E"/>
    <w:rsid w:val="008C73C6"/>
    <w:rsid w:val="008D6D8E"/>
    <w:rsid w:val="008E31CD"/>
    <w:rsid w:val="00914C29"/>
    <w:rsid w:val="00927172"/>
    <w:rsid w:val="009278D2"/>
    <w:rsid w:val="00935ABC"/>
    <w:rsid w:val="00943730"/>
    <w:rsid w:val="0095053A"/>
    <w:rsid w:val="00961E72"/>
    <w:rsid w:val="00964047"/>
    <w:rsid w:val="00975CA5"/>
    <w:rsid w:val="00977676"/>
    <w:rsid w:val="00980574"/>
    <w:rsid w:val="00983AED"/>
    <w:rsid w:val="0098486F"/>
    <w:rsid w:val="00986590"/>
    <w:rsid w:val="00992C76"/>
    <w:rsid w:val="009969D6"/>
    <w:rsid w:val="009A0908"/>
    <w:rsid w:val="009A3DD2"/>
    <w:rsid w:val="009A4B89"/>
    <w:rsid w:val="009B1266"/>
    <w:rsid w:val="009B4D3B"/>
    <w:rsid w:val="009B7942"/>
    <w:rsid w:val="009C7D15"/>
    <w:rsid w:val="009C7EDD"/>
    <w:rsid w:val="009D57C0"/>
    <w:rsid w:val="009D7407"/>
    <w:rsid w:val="009E0866"/>
    <w:rsid w:val="009E273C"/>
    <w:rsid w:val="009E49EA"/>
    <w:rsid w:val="009F0926"/>
    <w:rsid w:val="009F1350"/>
    <w:rsid w:val="009F6423"/>
    <w:rsid w:val="009F713D"/>
    <w:rsid w:val="00A0210F"/>
    <w:rsid w:val="00A02848"/>
    <w:rsid w:val="00A14D20"/>
    <w:rsid w:val="00A175B3"/>
    <w:rsid w:val="00A24A62"/>
    <w:rsid w:val="00A31C9F"/>
    <w:rsid w:val="00A35285"/>
    <w:rsid w:val="00A4144F"/>
    <w:rsid w:val="00A4288E"/>
    <w:rsid w:val="00A52FD7"/>
    <w:rsid w:val="00A61B4D"/>
    <w:rsid w:val="00A6324B"/>
    <w:rsid w:val="00A63917"/>
    <w:rsid w:val="00A67681"/>
    <w:rsid w:val="00A73091"/>
    <w:rsid w:val="00A75F95"/>
    <w:rsid w:val="00A80F95"/>
    <w:rsid w:val="00A81645"/>
    <w:rsid w:val="00A91795"/>
    <w:rsid w:val="00A940CA"/>
    <w:rsid w:val="00A97BF1"/>
    <w:rsid w:val="00AA14F8"/>
    <w:rsid w:val="00AA249B"/>
    <w:rsid w:val="00AA298A"/>
    <w:rsid w:val="00AA315B"/>
    <w:rsid w:val="00AA4026"/>
    <w:rsid w:val="00AB376E"/>
    <w:rsid w:val="00AB4389"/>
    <w:rsid w:val="00AB506D"/>
    <w:rsid w:val="00AC164A"/>
    <w:rsid w:val="00AC68FC"/>
    <w:rsid w:val="00AD7657"/>
    <w:rsid w:val="00AE448A"/>
    <w:rsid w:val="00AE4899"/>
    <w:rsid w:val="00AF2050"/>
    <w:rsid w:val="00B0385D"/>
    <w:rsid w:val="00B03CA8"/>
    <w:rsid w:val="00B03ED7"/>
    <w:rsid w:val="00B05089"/>
    <w:rsid w:val="00B05598"/>
    <w:rsid w:val="00B120ED"/>
    <w:rsid w:val="00B16FE3"/>
    <w:rsid w:val="00B2325E"/>
    <w:rsid w:val="00B339A8"/>
    <w:rsid w:val="00B33C0A"/>
    <w:rsid w:val="00B51B9B"/>
    <w:rsid w:val="00B55E19"/>
    <w:rsid w:val="00B61304"/>
    <w:rsid w:val="00B637DD"/>
    <w:rsid w:val="00B6495A"/>
    <w:rsid w:val="00B66722"/>
    <w:rsid w:val="00B70B50"/>
    <w:rsid w:val="00B7610A"/>
    <w:rsid w:val="00B83D51"/>
    <w:rsid w:val="00B927C4"/>
    <w:rsid w:val="00B94758"/>
    <w:rsid w:val="00B952AB"/>
    <w:rsid w:val="00BA0538"/>
    <w:rsid w:val="00BA4B6D"/>
    <w:rsid w:val="00BB26C5"/>
    <w:rsid w:val="00BB3B72"/>
    <w:rsid w:val="00BC31BD"/>
    <w:rsid w:val="00BD2CB3"/>
    <w:rsid w:val="00BE1E36"/>
    <w:rsid w:val="00BE4305"/>
    <w:rsid w:val="00BE5FFD"/>
    <w:rsid w:val="00BF4DE6"/>
    <w:rsid w:val="00C06B13"/>
    <w:rsid w:val="00C1248F"/>
    <w:rsid w:val="00C14CD9"/>
    <w:rsid w:val="00C27D25"/>
    <w:rsid w:val="00C31CE8"/>
    <w:rsid w:val="00C32299"/>
    <w:rsid w:val="00C41067"/>
    <w:rsid w:val="00C42541"/>
    <w:rsid w:val="00C42CDE"/>
    <w:rsid w:val="00C5182A"/>
    <w:rsid w:val="00C63EE9"/>
    <w:rsid w:val="00C8138A"/>
    <w:rsid w:val="00C819D1"/>
    <w:rsid w:val="00C96232"/>
    <w:rsid w:val="00CA16F3"/>
    <w:rsid w:val="00CA37B1"/>
    <w:rsid w:val="00CB1959"/>
    <w:rsid w:val="00CB4A31"/>
    <w:rsid w:val="00CC53E0"/>
    <w:rsid w:val="00CC741B"/>
    <w:rsid w:val="00CD0E4B"/>
    <w:rsid w:val="00CE4C89"/>
    <w:rsid w:val="00CE685B"/>
    <w:rsid w:val="00CF07BA"/>
    <w:rsid w:val="00CF6209"/>
    <w:rsid w:val="00CF6C83"/>
    <w:rsid w:val="00D00153"/>
    <w:rsid w:val="00D0296C"/>
    <w:rsid w:val="00D10EA0"/>
    <w:rsid w:val="00D16B91"/>
    <w:rsid w:val="00D32D6F"/>
    <w:rsid w:val="00D36835"/>
    <w:rsid w:val="00D37560"/>
    <w:rsid w:val="00D37B04"/>
    <w:rsid w:val="00D44250"/>
    <w:rsid w:val="00D46E7D"/>
    <w:rsid w:val="00D5174F"/>
    <w:rsid w:val="00D52C9A"/>
    <w:rsid w:val="00D540C6"/>
    <w:rsid w:val="00D62FE9"/>
    <w:rsid w:val="00D64BD1"/>
    <w:rsid w:val="00D65749"/>
    <w:rsid w:val="00D75D4C"/>
    <w:rsid w:val="00D813DF"/>
    <w:rsid w:val="00D87DCB"/>
    <w:rsid w:val="00D92254"/>
    <w:rsid w:val="00D93BC6"/>
    <w:rsid w:val="00DA0400"/>
    <w:rsid w:val="00DA177B"/>
    <w:rsid w:val="00DA274E"/>
    <w:rsid w:val="00DA44EF"/>
    <w:rsid w:val="00DD5399"/>
    <w:rsid w:val="00DD6035"/>
    <w:rsid w:val="00DE084C"/>
    <w:rsid w:val="00DF2D4F"/>
    <w:rsid w:val="00DF43E6"/>
    <w:rsid w:val="00E006C7"/>
    <w:rsid w:val="00E14F51"/>
    <w:rsid w:val="00E30736"/>
    <w:rsid w:val="00E357B7"/>
    <w:rsid w:val="00E35C8E"/>
    <w:rsid w:val="00E53800"/>
    <w:rsid w:val="00E6081F"/>
    <w:rsid w:val="00E62452"/>
    <w:rsid w:val="00E63945"/>
    <w:rsid w:val="00E655FE"/>
    <w:rsid w:val="00E8296D"/>
    <w:rsid w:val="00E8457B"/>
    <w:rsid w:val="00E860FC"/>
    <w:rsid w:val="00EA04B2"/>
    <w:rsid w:val="00EA1D2A"/>
    <w:rsid w:val="00EA20F3"/>
    <w:rsid w:val="00EB398C"/>
    <w:rsid w:val="00EB43D4"/>
    <w:rsid w:val="00EB74C9"/>
    <w:rsid w:val="00EC3C2D"/>
    <w:rsid w:val="00EC53BA"/>
    <w:rsid w:val="00ED04FD"/>
    <w:rsid w:val="00ED1A6D"/>
    <w:rsid w:val="00ED2831"/>
    <w:rsid w:val="00ED43D1"/>
    <w:rsid w:val="00EE05C8"/>
    <w:rsid w:val="00EE1027"/>
    <w:rsid w:val="00EE25F4"/>
    <w:rsid w:val="00EE4EE1"/>
    <w:rsid w:val="00EF4574"/>
    <w:rsid w:val="00EF5FB3"/>
    <w:rsid w:val="00F22EB8"/>
    <w:rsid w:val="00F25A93"/>
    <w:rsid w:val="00F2684E"/>
    <w:rsid w:val="00F30087"/>
    <w:rsid w:val="00F366DB"/>
    <w:rsid w:val="00F37293"/>
    <w:rsid w:val="00F43BE5"/>
    <w:rsid w:val="00F51465"/>
    <w:rsid w:val="00F5404C"/>
    <w:rsid w:val="00F617F9"/>
    <w:rsid w:val="00F72407"/>
    <w:rsid w:val="00F729EF"/>
    <w:rsid w:val="00F744A2"/>
    <w:rsid w:val="00F74546"/>
    <w:rsid w:val="00F77CAE"/>
    <w:rsid w:val="00F82271"/>
    <w:rsid w:val="00F83428"/>
    <w:rsid w:val="00F950F7"/>
    <w:rsid w:val="00F96BB9"/>
    <w:rsid w:val="00FA69AF"/>
    <w:rsid w:val="00FA7833"/>
    <w:rsid w:val="00FB30AD"/>
    <w:rsid w:val="00FB3FC7"/>
    <w:rsid w:val="00FB634E"/>
    <w:rsid w:val="00FB6D8C"/>
    <w:rsid w:val="00FC01DB"/>
    <w:rsid w:val="00FC322F"/>
    <w:rsid w:val="00FC4C51"/>
    <w:rsid w:val="00FD0827"/>
    <w:rsid w:val="00FE49E6"/>
    <w:rsid w:val="00FE6323"/>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ecimalSymbol w:val="."/>
  <w:listSeparator w:val=","/>
  <w14:docId w14:val="72945EA8"/>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10"/>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7"/>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6"/>
      </w:numPr>
    </w:pPr>
  </w:style>
  <w:style w:type="paragraph" w:customStyle="1" w:styleId="Heading2Numbered">
    <w:name w:val="Heading 2 Numbered"/>
    <w:basedOn w:val="Heading2"/>
    <w:next w:val="Normal"/>
    <w:qFormat/>
    <w:rsid w:val="00ED2831"/>
    <w:pPr>
      <w:numPr>
        <w:ilvl w:val="1"/>
        <w:numId w:val="6"/>
      </w:numPr>
      <w:spacing w:after="60"/>
    </w:pPr>
    <w:rPr>
      <w:bCs/>
    </w:rPr>
  </w:style>
  <w:style w:type="paragraph" w:customStyle="1" w:styleId="Heading3Numbered">
    <w:name w:val="Heading 3 Numbered"/>
    <w:basedOn w:val="Heading3"/>
    <w:next w:val="Normal"/>
    <w:qFormat/>
    <w:rsid w:val="00ED2831"/>
    <w:pPr>
      <w:numPr>
        <w:ilvl w:val="2"/>
        <w:numId w:val="6"/>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6F34BD"/>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6F34BD"/>
    <w:rPr>
      <w:b/>
      <w:caps/>
      <w:sz w:val="20"/>
      <w:lang w:val="en-GB"/>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6F34BD"/>
    <w:pPr>
      <w:spacing w:before="0" w:after="0" w:line="240" w:lineRule="exact"/>
      <w:ind w:left="284" w:right="284"/>
    </w:pPr>
    <w:rPr>
      <w:color w:val="auto"/>
    </w:rPr>
  </w:style>
  <w:style w:type="character" w:customStyle="1" w:styleId="FooterChar">
    <w:name w:val="Footer Char"/>
    <w:basedOn w:val="DefaultParagraphFont"/>
    <w:link w:val="Footer"/>
    <w:uiPriority w:val="99"/>
    <w:rsid w:val="006F34BD"/>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6F34BD"/>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8"/>
      </w:numPr>
      <w:ind w:left="454" w:hanging="170"/>
    </w:pPr>
  </w:style>
  <w:style w:type="paragraph" w:customStyle="1" w:styleId="Box2Bullet">
    <w:name w:val="Box 2 Bullet"/>
    <w:basedOn w:val="Box2Text"/>
    <w:qFormat/>
    <w:rsid w:val="00C42541"/>
    <w:pPr>
      <w:numPr>
        <w:numId w:val="9"/>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table" w:customStyle="1" w:styleId="DFATTable">
    <w:name w:val="DFAT Table"/>
    <w:basedOn w:val="TableNormal"/>
    <w:uiPriority w:val="99"/>
    <w:rsid w:val="004C603C"/>
    <w:pPr>
      <w:spacing w:after="0" w:line="240" w:lineRule="auto"/>
    </w:pPr>
    <w:rPr>
      <w:rFonts w:ascii="Helvetica" w:eastAsia="Times New Roman" w:hAnsi="Helvetica" w:cs="Times New Roman"/>
      <w:sz w:val="17"/>
      <w:lang w:eastAsia="en-AU"/>
    </w:rPr>
    <w:tblPr>
      <w:tblBorders>
        <w:top w:val="single" w:sz="12" w:space="0" w:color="auto"/>
        <w:bottom w:val="single" w:sz="12"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23765687">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754517583">
      <w:bodyDiv w:val="1"/>
      <w:marLeft w:val="0"/>
      <w:marRight w:val="0"/>
      <w:marTop w:val="0"/>
      <w:marBottom w:val="0"/>
      <w:divBdr>
        <w:top w:val="none" w:sz="0" w:space="0" w:color="auto"/>
        <w:left w:val="none" w:sz="0" w:space="0" w:color="auto"/>
        <w:bottom w:val="none" w:sz="0" w:space="0" w:color="auto"/>
        <w:right w:val="none" w:sz="0" w:space="0" w:color="auto"/>
      </w:divBdr>
    </w:div>
    <w:div w:id="790782676">
      <w:bodyDiv w:val="1"/>
      <w:marLeft w:val="0"/>
      <w:marRight w:val="0"/>
      <w:marTop w:val="0"/>
      <w:marBottom w:val="0"/>
      <w:divBdr>
        <w:top w:val="none" w:sz="0" w:space="0" w:color="auto"/>
        <w:left w:val="none" w:sz="0" w:space="0" w:color="auto"/>
        <w:bottom w:val="none" w:sz="0" w:space="0" w:color="auto"/>
        <w:right w:val="none" w:sz="0" w:space="0" w:color="auto"/>
      </w:divBdr>
    </w:div>
    <w:div w:id="883061603">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080173085">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184586979">
      <w:bodyDiv w:val="1"/>
      <w:marLeft w:val="0"/>
      <w:marRight w:val="0"/>
      <w:marTop w:val="0"/>
      <w:marBottom w:val="0"/>
      <w:divBdr>
        <w:top w:val="none" w:sz="0" w:space="0" w:color="auto"/>
        <w:left w:val="none" w:sz="0" w:space="0" w:color="auto"/>
        <w:bottom w:val="none" w:sz="0" w:space="0" w:color="auto"/>
        <w:right w:val="none" w:sz="0" w:space="0" w:color="auto"/>
      </w:divBdr>
    </w:div>
    <w:div w:id="1311906327">
      <w:bodyDiv w:val="1"/>
      <w:marLeft w:val="0"/>
      <w:marRight w:val="0"/>
      <w:marTop w:val="0"/>
      <w:marBottom w:val="0"/>
      <w:divBdr>
        <w:top w:val="none" w:sz="0" w:space="0" w:color="auto"/>
        <w:left w:val="none" w:sz="0" w:space="0" w:color="auto"/>
        <w:bottom w:val="none" w:sz="0" w:space="0" w:color="auto"/>
        <w:right w:val="none" w:sz="0" w:space="0" w:color="auto"/>
      </w:divBdr>
    </w:div>
    <w:div w:id="1329945895">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656834832">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838955625">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6b894c73-1921-4299-aefc-49f5a4cb1310"/>
    <ds:schemaRef ds:uri="http://www.w3.org/XML/1998/namespace"/>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1232A2CF-38A8-4977-82D4-1C95CDFA1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Pages>
  <Words>1363</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9115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11</cp:revision>
  <cp:lastPrinted>2020-09-23T06:39:00Z</cp:lastPrinted>
  <dcterms:created xsi:type="dcterms:W3CDTF">2020-11-03T23:03:00Z</dcterms:created>
  <dcterms:modified xsi:type="dcterms:W3CDTF">2020-11-17T22:14:00Z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b47c1d55-c51c-4f87-922a-1241d800fe94</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