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C1572" w14:textId="0357260D" w:rsidR="008D1FA6" w:rsidRDefault="006C5F61" w:rsidP="008D1FA6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000000"/>
          <w:spacing w:val="2"/>
          <w:sz w:val="28"/>
          <w:szCs w:val="28"/>
          <w:lang w:eastAsia="en-AU"/>
        </w:rPr>
      </w:pPr>
      <w:r w:rsidRPr="004B37F9">
        <w:rPr>
          <w:rFonts w:eastAsia="Times New Roman" w:cstheme="minorHAnsi"/>
          <w:b/>
          <w:color w:val="000000"/>
          <w:spacing w:val="2"/>
          <w:sz w:val="28"/>
          <w:szCs w:val="28"/>
          <w:lang w:eastAsia="en-AU"/>
        </w:rPr>
        <w:t xml:space="preserve">New Colombo Plan Mobility Program </w:t>
      </w:r>
    </w:p>
    <w:p w14:paraId="091F391D" w14:textId="0C590AC8" w:rsidR="00F57ACC" w:rsidRPr="004B37F9" w:rsidRDefault="00F57ACC" w:rsidP="004B37F9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000000"/>
          <w:spacing w:val="2"/>
          <w:sz w:val="28"/>
          <w:szCs w:val="28"/>
          <w:lang w:eastAsia="en-AU"/>
        </w:rPr>
      </w:pPr>
      <w:r w:rsidRPr="00C401CE">
        <w:rPr>
          <w:rFonts w:eastAsia="Times New Roman" w:cstheme="minorHAnsi"/>
          <w:b/>
          <w:color w:val="000000"/>
          <w:spacing w:val="2"/>
          <w:kern w:val="36"/>
          <w:sz w:val="28"/>
          <w:szCs w:val="28"/>
          <w:lang w:eastAsia="en-AU"/>
        </w:rPr>
        <w:t>2022 Round</w:t>
      </w:r>
    </w:p>
    <w:p w14:paraId="05581529" w14:textId="6659122E" w:rsidR="00273E84" w:rsidRPr="004B37F9" w:rsidRDefault="00273E84" w:rsidP="004B37F9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000000"/>
          <w:spacing w:val="2"/>
          <w:kern w:val="36"/>
          <w:sz w:val="28"/>
          <w:szCs w:val="28"/>
          <w:lang w:eastAsia="en-AU"/>
        </w:rPr>
      </w:pPr>
      <w:r w:rsidRPr="004B37F9">
        <w:rPr>
          <w:rFonts w:eastAsia="Times New Roman" w:cstheme="minorHAnsi"/>
          <w:b/>
          <w:color w:val="000000"/>
          <w:spacing w:val="2"/>
          <w:kern w:val="36"/>
          <w:sz w:val="28"/>
          <w:szCs w:val="28"/>
          <w:lang w:eastAsia="en-AU"/>
        </w:rPr>
        <w:t>Advice to applicants</w:t>
      </w:r>
      <w:r w:rsidR="00F57ACC">
        <w:rPr>
          <w:rFonts w:eastAsia="Times New Roman" w:cstheme="minorHAnsi"/>
          <w:b/>
          <w:color w:val="000000"/>
          <w:spacing w:val="2"/>
          <w:kern w:val="36"/>
          <w:sz w:val="28"/>
          <w:szCs w:val="28"/>
          <w:lang w:eastAsia="en-AU"/>
        </w:rPr>
        <w:t xml:space="preserve"> </w:t>
      </w:r>
      <w:r w:rsidR="008D1FA6" w:rsidRPr="004B37F9">
        <w:rPr>
          <w:rFonts w:eastAsia="Times New Roman" w:cstheme="minorHAnsi"/>
          <w:b/>
          <w:color w:val="000000"/>
          <w:spacing w:val="2"/>
          <w:kern w:val="36"/>
          <w:sz w:val="28"/>
          <w:szCs w:val="28"/>
          <w:lang w:eastAsia="en-AU"/>
        </w:rPr>
        <w:t xml:space="preserve"> </w:t>
      </w:r>
    </w:p>
    <w:p w14:paraId="3AD8C84A" w14:textId="5C8F9483" w:rsidR="007B3DF4" w:rsidRPr="00CB5EA7" w:rsidRDefault="007229D4" w:rsidP="002D1B0C">
      <w:pPr>
        <w:pStyle w:val="ListParagraph"/>
        <w:spacing w:before="113" w:after="113" w:line="240" w:lineRule="auto"/>
        <w:ind w:left="0"/>
        <w:rPr>
          <w:rFonts w:cstheme="minorHAnsi"/>
          <w:color w:val="000000"/>
          <w:spacing w:val="2"/>
        </w:rPr>
      </w:pPr>
      <w:r w:rsidRPr="00CB5EA7">
        <w:rPr>
          <w:rFonts w:cstheme="minorHAnsi"/>
          <w:color w:val="000000"/>
          <w:spacing w:val="2"/>
        </w:rPr>
        <w:t xml:space="preserve">Applicants </w:t>
      </w:r>
      <w:r w:rsidR="002B37EB" w:rsidRPr="00CB5EA7">
        <w:rPr>
          <w:rFonts w:cstheme="minorHAnsi"/>
          <w:color w:val="000000"/>
          <w:spacing w:val="2"/>
        </w:rPr>
        <w:t xml:space="preserve">must read </w:t>
      </w:r>
      <w:r w:rsidRPr="00CB5EA7">
        <w:rPr>
          <w:rFonts w:cstheme="minorHAnsi"/>
          <w:color w:val="000000"/>
          <w:spacing w:val="2"/>
        </w:rPr>
        <w:t xml:space="preserve">the </w:t>
      </w:r>
      <w:r w:rsidR="008D1FA6" w:rsidRPr="00CB5EA7">
        <w:rPr>
          <w:rFonts w:eastAsia="Times New Roman" w:cstheme="minorHAnsi"/>
          <w:color w:val="000000"/>
          <w:spacing w:val="2"/>
          <w:lang w:eastAsia="en-AU"/>
        </w:rPr>
        <w:t>202</w:t>
      </w:r>
      <w:r w:rsidR="008D1FA6">
        <w:rPr>
          <w:rFonts w:eastAsia="Times New Roman" w:cstheme="minorHAnsi"/>
          <w:color w:val="000000"/>
          <w:spacing w:val="2"/>
          <w:lang w:eastAsia="en-AU"/>
        </w:rPr>
        <w:t>2</w:t>
      </w:r>
      <w:r w:rsidR="008D1FA6" w:rsidRPr="00CB5EA7">
        <w:rPr>
          <w:rFonts w:eastAsia="Times New Roman" w:cstheme="minorHAnsi"/>
          <w:color w:val="000000"/>
          <w:spacing w:val="2"/>
          <w:lang w:eastAsia="en-AU"/>
        </w:rPr>
        <w:t xml:space="preserve"> New Colombo Plan Mobility Program </w:t>
      </w:r>
      <w:r w:rsidRPr="00CB5EA7">
        <w:rPr>
          <w:rFonts w:cstheme="minorHAnsi"/>
          <w:color w:val="000000"/>
          <w:spacing w:val="2"/>
        </w:rPr>
        <w:t xml:space="preserve">Guidelines </w:t>
      </w:r>
      <w:r w:rsidR="00E54B0A">
        <w:rPr>
          <w:rFonts w:cstheme="minorHAnsi"/>
          <w:color w:val="000000"/>
          <w:spacing w:val="2"/>
        </w:rPr>
        <w:t>(</w:t>
      </w:r>
      <w:r w:rsidRPr="00CB5EA7">
        <w:rPr>
          <w:rFonts w:cstheme="minorHAnsi"/>
          <w:color w:val="000000"/>
          <w:spacing w:val="2"/>
        </w:rPr>
        <w:t>available on</w:t>
      </w:r>
      <w:hyperlink r:id="rId8" w:history="1">
        <w:r w:rsidR="007B3DF4" w:rsidRPr="00CB5EA7">
          <w:rPr>
            <w:rStyle w:val="Hyperlink"/>
            <w:rFonts w:eastAsia="Times New Roman" w:cstheme="minorHAnsi"/>
            <w:spacing w:val="2"/>
            <w:lang w:eastAsia="en-AU"/>
          </w:rPr>
          <w:t xml:space="preserve"> </w:t>
        </w:r>
        <w:proofErr w:type="spellStart"/>
        <w:r w:rsidR="007B3DF4" w:rsidRPr="00CB5EA7">
          <w:rPr>
            <w:rStyle w:val="Hyperlink"/>
            <w:rFonts w:eastAsia="Times New Roman" w:cstheme="minorHAnsi"/>
            <w:spacing w:val="2"/>
            <w:lang w:eastAsia="en-AU"/>
          </w:rPr>
          <w:t>GrantConnect</w:t>
        </w:r>
        <w:proofErr w:type="spellEnd"/>
      </w:hyperlink>
      <w:r w:rsidR="00E54B0A" w:rsidRPr="00490417">
        <w:rPr>
          <w:color w:val="000000"/>
        </w:rPr>
        <w:t>)</w:t>
      </w:r>
      <w:r w:rsidR="008D1FA6" w:rsidRPr="009D35E7">
        <w:rPr>
          <w:color w:val="000000"/>
        </w:rPr>
        <w:t xml:space="preserve"> </w:t>
      </w:r>
      <w:r w:rsidR="002B37EB" w:rsidRPr="00CB5EA7">
        <w:rPr>
          <w:rFonts w:cstheme="minorHAnsi"/>
          <w:color w:val="000000"/>
          <w:spacing w:val="2"/>
        </w:rPr>
        <w:t xml:space="preserve">before </w:t>
      </w:r>
      <w:r w:rsidR="007A3BF1">
        <w:rPr>
          <w:rFonts w:cstheme="minorHAnsi"/>
          <w:color w:val="000000"/>
          <w:spacing w:val="2"/>
        </w:rPr>
        <w:t xml:space="preserve">completing </w:t>
      </w:r>
      <w:r w:rsidR="002B37EB" w:rsidRPr="00CB5EA7">
        <w:rPr>
          <w:rFonts w:cstheme="minorHAnsi"/>
          <w:color w:val="000000"/>
          <w:spacing w:val="2"/>
        </w:rPr>
        <w:t xml:space="preserve"> an application.</w:t>
      </w:r>
    </w:p>
    <w:p w14:paraId="1F4DA631" w14:textId="29B5150F" w:rsidR="007229D4" w:rsidRDefault="0066162C" w:rsidP="002D1B0C">
      <w:pPr>
        <w:spacing w:before="113" w:after="113" w:line="240" w:lineRule="auto"/>
      </w:pPr>
      <w:r>
        <w:t xml:space="preserve">The revised </w:t>
      </w:r>
      <w:r w:rsidRPr="004B37F9">
        <w:rPr>
          <w:i/>
          <w:iCs/>
        </w:rPr>
        <w:t>2021</w:t>
      </w:r>
      <w:r>
        <w:rPr>
          <w:i/>
          <w:iCs/>
        </w:rPr>
        <w:t xml:space="preserve"> </w:t>
      </w:r>
      <w:r w:rsidR="00FB3C04" w:rsidRPr="004B37F9">
        <w:rPr>
          <w:i/>
          <w:iCs/>
        </w:rPr>
        <w:t>Principle</w:t>
      </w:r>
      <w:r w:rsidR="00400467" w:rsidRPr="004B37F9">
        <w:rPr>
          <w:i/>
          <w:iCs/>
        </w:rPr>
        <w:t>s</w:t>
      </w:r>
      <w:r w:rsidR="00FB3C04" w:rsidRPr="004B37F9">
        <w:rPr>
          <w:i/>
          <w:iCs/>
        </w:rPr>
        <w:t xml:space="preserve"> for </w:t>
      </w:r>
      <w:r w:rsidR="00400467" w:rsidRPr="004B37F9">
        <w:rPr>
          <w:i/>
          <w:iCs/>
        </w:rPr>
        <w:t xml:space="preserve">the </w:t>
      </w:r>
      <w:r>
        <w:rPr>
          <w:i/>
          <w:iCs/>
        </w:rPr>
        <w:t>V</w:t>
      </w:r>
      <w:r w:rsidR="00FB3C04" w:rsidRPr="004B37F9">
        <w:rPr>
          <w:i/>
          <w:iCs/>
        </w:rPr>
        <w:t xml:space="preserve">irtual </w:t>
      </w:r>
      <w:r>
        <w:rPr>
          <w:i/>
          <w:iCs/>
        </w:rPr>
        <w:t>D</w:t>
      </w:r>
      <w:r w:rsidR="00FB3C04" w:rsidRPr="004B37F9">
        <w:rPr>
          <w:i/>
          <w:iCs/>
        </w:rPr>
        <w:t>elivery of Mobility project</w:t>
      </w:r>
      <w:r>
        <w:rPr>
          <w:i/>
          <w:iCs/>
        </w:rPr>
        <w:t xml:space="preserve">s, </w:t>
      </w:r>
      <w:r w:rsidRPr="004B37F9">
        <w:t>which take effect from 1 July 2021</w:t>
      </w:r>
      <w:r>
        <w:rPr>
          <w:i/>
          <w:iCs/>
        </w:rPr>
        <w:t>,</w:t>
      </w:r>
      <w:r w:rsidR="00FB3C04" w:rsidRPr="004B37F9">
        <w:rPr>
          <w:i/>
          <w:iCs/>
        </w:rPr>
        <w:t xml:space="preserve"> </w:t>
      </w:r>
      <w:r>
        <w:t>are available in the Resource Centre on ISEO.</w:t>
      </w:r>
    </w:p>
    <w:p w14:paraId="22F596C6" w14:textId="77777777" w:rsidR="00D85E7C" w:rsidRPr="00F3396F" w:rsidRDefault="00D85E7C" w:rsidP="002D1B0C">
      <w:pPr>
        <w:spacing w:before="113" w:after="113" w:line="240" w:lineRule="auto"/>
        <w:rPr>
          <w:rFonts w:cstheme="minorHAnsi"/>
          <w:color w:val="000000"/>
          <w:spacing w:val="2"/>
        </w:rPr>
      </w:pPr>
    </w:p>
    <w:p w14:paraId="1D5570A5" w14:textId="2BB25743" w:rsidR="00273E84" w:rsidRPr="00336B71" w:rsidRDefault="00273E84" w:rsidP="002D1B0C">
      <w:pPr>
        <w:pStyle w:val="ListParagraph"/>
        <w:numPr>
          <w:ilvl w:val="0"/>
          <w:numId w:val="16"/>
        </w:numPr>
        <w:ind w:left="426" w:hanging="426"/>
        <w:rPr>
          <w:b/>
          <w:u w:val="single"/>
        </w:rPr>
      </w:pPr>
      <w:bookmarkStart w:id="0" w:name="Key_changes_in_the_2021_round"/>
      <w:r w:rsidRPr="00336B71">
        <w:rPr>
          <w:b/>
          <w:u w:val="single"/>
        </w:rPr>
        <w:t>Key changes in the 202</w:t>
      </w:r>
      <w:r w:rsidR="001C36C8" w:rsidRPr="00336B71">
        <w:rPr>
          <w:b/>
          <w:u w:val="single"/>
        </w:rPr>
        <w:t>2</w:t>
      </w:r>
      <w:r w:rsidRPr="00336B71">
        <w:rPr>
          <w:b/>
          <w:u w:val="single"/>
        </w:rPr>
        <w:t xml:space="preserve"> round</w:t>
      </w:r>
    </w:p>
    <w:bookmarkEnd w:id="0"/>
    <w:p w14:paraId="24B7F054" w14:textId="77777777" w:rsidR="00336B71" w:rsidRDefault="00336B71" w:rsidP="00336B71">
      <w:pPr>
        <w:pStyle w:val="ListParagraph"/>
        <w:spacing w:before="113" w:after="113" w:line="240" w:lineRule="auto"/>
        <w:ind w:left="1080"/>
      </w:pPr>
    </w:p>
    <w:p w14:paraId="631C6BF2" w14:textId="28F39C17" w:rsidR="00DB016D" w:rsidRPr="00336B71" w:rsidRDefault="00F66ECF" w:rsidP="00D85E7C">
      <w:pPr>
        <w:pStyle w:val="ListParagraph"/>
        <w:numPr>
          <w:ilvl w:val="0"/>
          <w:numId w:val="17"/>
        </w:numPr>
        <w:spacing w:before="113" w:after="113" w:line="240" w:lineRule="auto"/>
        <w:ind w:left="567" w:hanging="425"/>
        <w:rPr>
          <w:b/>
          <w:bCs/>
        </w:rPr>
      </w:pPr>
      <w:r w:rsidRPr="00336B71">
        <w:rPr>
          <w:b/>
          <w:bCs/>
        </w:rPr>
        <w:t>Grant</w:t>
      </w:r>
      <w:r w:rsidR="0069631F" w:rsidRPr="00336B71">
        <w:rPr>
          <w:b/>
          <w:bCs/>
        </w:rPr>
        <w:t xml:space="preserve"> </w:t>
      </w:r>
      <w:r w:rsidRPr="00336B71">
        <w:rPr>
          <w:b/>
          <w:bCs/>
        </w:rPr>
        <w:t xml:space="preserve">period </w:t>
      </w:r>
    </w:p>
    <w:p w14:paraId="69C50664" w14:textId="3BF28FDD" w:rsidR="00E54B0A" w:rsidRDefault="00E54B0A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F</w:t>
      </w:r>
      <w:r w:rsidR="00DB016D" w:rsidRPr="007A3BF1">
        <w:rPr>
          <w:rFonts w:eastAsia="Times New Roman" w:cstheme="minorHAnsi"/>
          <w:color w:val="000000"/>
          <w:spacing w:val="2"/>
          <w:lang w:eastAsia="en-AU"/>
        </w:rPr>
        <w:t>unding will be offered for single-term</w:t>
      </w:r>
      <w:r>
        <w:rPr>
          <w:rFonts w:eastAsia="Times New Roman" w:cstheme="minorHAnsi"/>
          <w:color w:val="000000"/>
          <w:spacing w:val="2"/>
          <w:lang w:eastAsia="en-AU"/>
        </w:rPr>
        <w:t xml:space="preserve"> projects</w:t>
      </w:r>
      <w:r w:rsidR="00DB016D" w:rsidRPr="007A3BF1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02474D">
        <w:rPr>
          <w:rFonts w:eastAsia="Times New Roman" w:cstheme="minorHAnsi"/>
          <w:color w:val="000000"/>
          <w:spacing w:val="2"/>
          <w:lang w:eastAsia="en-AU"/>
        </w:rPr>
        <w:t xml:space="preserve">only </w:t>
      </w:r>
      <w:r w:rsidR="00DB016D">
        <w:rPr>
          <w:rFonts w:eastAsia="Times New Roman" w:cstheme="minorHAnsi"/>
          <w:color w:val="000000"/>
          <w:spacing w:val="2"/>
          <w:lang w:eastAsia="en-AU"/>
        </w:rPr>
        <w:t>(i</w:t>
      </w:r>
      <w:r w:rsidR="004B398D">
        <w:rPr>
          <w:rFonts w:eastAsia="Times New Roman" w:cstheme="minorHAnsi"/>
          <w:color w:val="000000"/>
          <w:spacing w:val="2"/>
          <w:lang w:eastAsia="en-AU"/>
        </w:rPr>
        <w:t>.</w:t>
      </w:r>
      <w:r w:rsidR="00DB016D">
        <w:rPr>
          <w:rFonts w:eastAsia="Times New Roman" w:cstheme="minorHAnsi"/>
          <w:color w:val="000000"/>
          <w:spacing w:val="2"/>
          <w:lang w:eastAsia="en-AU"/>
        </w:rPr>
        <w:t>e</w:t>
      </w:r>
      <w:r w:rsidR="004B398D">
        <w:rPr>
          <w:rFonts w:eastAsia="Times New Roman" w:cstheme="minorHAnsi"/>
          <w:color w:val="000000"/>
          <w:spacing w:val="2"/>
          <w:lang w:eastAsia="en-AU"/>
        </w:rPr>
        <w:t>.</w:t>
      </w:r>
      <w:r w:rsidR="00DB016D">
        <w:rPr>
          <w:rFonts w:eastAsia="Times New Roman" w:cstheme="minorHAnsi"/>
          <w:color w:val="000000"/>
          <w:spacing w:val="2"/>
          <w:lang w:eastAsia="en-AU"/>
        </w:rPr>
        <w:t xml:space="preserve"> no multi-term projects). The project term is </w:t>
      </w:r>
      <w:r>
        <w:rPr>
          <w:rFonts w:eastAsia="Times New Roman" w:cstheme="minorHAnsi"/>
          <w:color w:val="000000"/>
          <w:spacing w:val="2"/>
          <w:lang w:eastAsia="en-AU"/>
        </w:rPr>
        <w:t xml:space="preserve">extended to </w:t>
      </w:r>
      <w:r w:rsidR="00EA1999">
        <w:rPr>
          <w:rFonts w:eastAsia="Times New Roman" w:cstheme="minorHAnsi"/>
          <w:color w:val="000000"/>
          <w:spacing w:val="2"/>
          <w:lang w:eastAsia="en-AU"/>
        </w:rPr>
        <w:t xml:space="preserve">21 </w:t>
      </w:r>
      <w:r w:rsidR="00DB016D">
        <w:rPr>
          <w:rFonts w:eastAsia="Times New Roman" w:cstheme="minorHAnsi"/>
          <w:color w:val="000000"/>
          <w:spacing w:val="2"/>
          <w:lang w:eastAsia="en-AU"/>
        </w:rPr>
        <w:t>months</w:t>
      </w:r>
      <w:r w:rsidR="005A6E40" w:rsidRPr="007A3BF1">
        <w:rPr>
          <w:rFonts w:eastAsia="Times New Roman" w:cstheme="minorHAnsi"/>
          <w:color w:val="000000"/>
          <w:spacing w:val="2"/>
          <w:lang w:eastAsia="en-AU"/>
        </w:rPr>
        <w:t>, from 1 January 2022 to 30 September 2023</w:t>
      </w:r>
      <w:r w:rsidR="00DB016D">
        <w:rPr>
          <w:rFonts w:eastAsia="Times New Roman" w:cstheme="minorHAnsi"/>
          <w:color w:val="000000"/>
          <w:spacing w:val="2"/>
          <w:lang w:eastAsia="en-AU"/>
        </w:rPr>
        <w:t>.</w:t>
      </w:r>
    </w:p>
    <w:p w14:paraId="12270016" w14:textId="3107B203" w:rsidR="00E54B0A" w:rsidRDefault="00E54B0A" w:rsidP="00DB016D">
      <w:pPr>
        <w:pStyle w:val="ListParagraph"/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</w:p>
    <w:p w14:paraId="3CD64764" w14:textId="42D88C99" w:rsidR="001854E5" w:rsidRPr="00336B71" w:rsidRDefault="006F5281" w:rsidP="00D85E7C">
      <w:pPr>
        <w:pStyle w:val="ListParagraph"/>
        <w:numPr>
          <w:ilvl w:val="0"/>
          <w:numId w:val="17"/>
        </w:numPr>
        <w:spacing w:before="113" w:after="113" w:line="240" w:lineRule="auto"/>
        <w:ind w:left="567" w:hanging="425"/>
        <w:rPr>
          <w:b/>
          <w:bCs/>
        </w:rPr>
      </w:pPr>
      <w:r w:rsidRPr="00336B71">
        <w:rPr>
          <w:b/>
          <w:bCs/>
        </w:rPr>
        <w:t>Project d</w:t>
      </w:r>
      <w:r w:rsidR="00A25734" w:rsidRPr="00336B71">
        <w:rPr>
          <w:b/>
          <w:bCs/>
        </w:rPr>
        <w:t xml:space="preserve">uration </w:t>
      </w:r>
    </w:p>
    <w:p w14:paraId="2B4F1489" w14:textId="0BB8C39C" w:rsidR="008D1FA6" w:rsidRDefault="00E54B0A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 xml:space="preserve">A </w:t>
      </w:r>
      <w:r w:rsidR="00F66ECF" w:rsidRPr="00A25734">
        <w:rPr>
          <w:rFonts w:eastAsia="Times New Roman" w:cstheme="minorHAnsi"/>
          <w:color w:val="000000"/>
          <w:spacing w:val="2"/>
          <w:lang w:eastAsia="en-AU"/>
        </w:rPr>
        <w:t xml:space="preserve">mobility project must be for a minimum of 14 continuous </w:t>
      </w:r>
      <w:r w:rsidR="00A36948" w:rsidRPr="00A25734">
        <w:rPr>
          <w:rFonts w:eastAsia="Times New Roman" w:cstheme="minorHAnsi"/>
          <w:color w:val="000000"/>
          <w:spacing w:val="2"/>
          <w:lang w:eastAsia="en-AU"/>
        </w:rPr>
        <w:t>days</w:t>
      </w:r>
      <w:r w:rsidR="005A6E40" w:rsidRPr="00A25734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F66ECF" w:rsidRPr="00A25734">
        <w:rPr>
          <w:rFonts w:eastAsia="Times New Roman" w:cstheme="minorHAnsi"/>
          <w:color w:val="000000"/>
          <w:spacing w:val="2"/>
          <w:lang w:eastAsia="en-AU"/>
        </w:rPr>
        <w:t>(from date of departure to the overseas project location</w:t>
      </w:r>
      <w:r w:rsidR="001C36C8" w:rsidRPr="00A25734">
        <w:rPr>
          <w:rFonts w:eastAsia="Times New Roman" w:cstheme="minorHAnsi"/>
          <w:color w:val="000000"/>
          <w:spacing w:val="2"/>
          <w:lang w:eastAsia="en-AU"/>
        </w:rPr>
        <w:t>,</w:t>
      </w:r>
      <w:r w:rsidR="00F66ECF" w:rsidRPr="00A25734">
        <w:rPr>
          <w:rFonts w:eastAsia="Times New Roman" w:cstheme="minorHAnsi"/>
          <w:color w:val="000000"/>
          <w:spacing w:val="2"/>
          <w:lang w:eastAsia="en-AU"/>
        </w:rPr>
        <w:t xml:space="preserve"> to return from that</w:t>
      </w:r>
      <w:r w:rsidR="005A6E40" w:rsidRPr="00A25734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F66ECF" w:rsidRPr="00A25734">
        <w:rPr>
          <w:rFonts w:eastAsia="Times New Roman" w:cstheme="minorHAnsi"/>
          <w:color w:val="000000"/>
          <w:spacing w:val="2"/>
          <w:lang w:eastAsia="en-AU"/>
        </w:rPr>
        <w:t>location)</w:t>
      </w:r>
      <w:r w:rsidR="00F022CA" w:rsidRPr="00A25734">
        <w:rPr>
          <w:rFonts w:eastAsia="Times New Roman" w:cstheme="minorHAnsi"/>
          <w:color w:val="000000"/>
          <w:spacing w:val="2"/>
          <w:lang w:eastAsia="en-AU"/>
        </w:rPr>
        <w:t>, and must be completed by the end date of the project</w:t>
      </w:r>
      <w:r w:rsidR="005A6E40" w:rsidRPr="00A25734">
        <w:rPr>
          <w:rFonts w:eastAsia="Times New Roman" w:cstheme="minorHAnsi"/>
          <w:color w:val="000000"/>
          <w:spacing w:val="2"/>
          <w:lang w:eastAsia="en-AU"/>
        </w:rPr>
        <w:t xml:space="preserve">. </w:t>
      </w:r>
    </w:p>
    <w:p w14:paraId="4A34EC7D" w14:textId="77777777" w:rsidR="002D1B0C" w:rsidRPr="004B398D" w:rsidRDefault="002D1B0C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56FC7257" w14:textId="244DA42E" w:rsidR="00F66ECF" w:rsidRDefault="00F022CA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 w:rsidRPr="004B37F9">
        <w:rPr>
          <w:rFonts w:eastAsia="Times New Roman" w:cstheme="minorHAnsi"/>
          <w:color w:val="000000"/>
          <w:spacing w:val="2"/>
          <w:lang w:eastAsia="en-AU"/>
        </w:rPr>
        <w:t>A mobility project</w:t>
      </w:r>
      <w:r w:rsidR="00A25734" w:rsidRPr="004B37F9">
        <w:rPr>
          <w:rFonts w:eastAsia="Times New Roman" w:cstheme="minorHAnsi"/>
          <w:color w:val="000000"/>
          <w:spacing w:val="2"/>
          <w:lang w:eastAsia="en-AU"/>
        </w:rPr>
        <w:t xml:space="preserve"> may offer multiple</w:t>
      </w:r>
      <w:r w:rsidR="00DB016D" w:rsidRPr="004B37F9">
        <w:rPr>
          <w:rFonts w:eastAsia="Times New Roman" w:cstheme="minorHAnsi"/>
          <w:color w:val="000000"/>
          <w:spacing w:val="2"/>
          <w:lang w:eastAsia="en-AU"/>
        </w:rPr>
        <w:t xml:space="preserve">, different-length </w:t>
      </w:r>
      <w:r w:rsidR="00A25734" w:rsidRPr="004B37F9">
        <w:rPr>
          <w:rFonts w:eastAsia="Times New Roman" w:cstheme="minorHAnsi"/>
          <w:color w:val="000000"/>
          <w:spacing w:val="2"/>
          <w:lang w:eastAsia="en-AU"/>
        </w:rPr>
        <w:t xml:space="preserve">periods for overseas </w:t>
      </w:r>
      <w:r w:rsidR="00DB016D" w:rsidRPr="004B37F9">
        <w:rPr>
          <w:rFonts w:eastAsia="Times New Roman" w:cstheme="minorHAnsi"/>
          <w:color w:val="000000"/>
          <w:spacing w:val="2"/>
          <w:lang w:eastAsia="en-AU"/>
        </w:rPr>
        <w:t>mobility</w:t>
      </w:r>
      <w:r w:rsidR="00A25734" w:rsidRPr="004B37F9">
        <w:rPr>
          <w:rFonts w:eastAsia="Times New Roman" w:cstheme="minorHAnsi"/>
          <w:color w:val="000000"/>
          <w:spacing w:val="2"/>
          <w:lang w:eastAsia="en-AU"/>
        </w:rPr>
        <w:t xml:space="preserve">. For example, a mobility project may offer a 2-week </w:t>
      </w:r>
      <w:r w:rsidR="00C50A3B" w:rsidRPr="004B37F9">
        <w:rPr>
          <w:rFonts w:eastAsia="Times New Roman" w:cstheme="minorHAnsi"/>
          <w:color w:val="000000"/>
          <w:spacing w:val="2"/>
          <w:lang w:eastAsia="en-AU"/>
        </w:rPr>
        <w:t>mode</w:t>
      </w:r>
      <w:r w:rsidR="00A25734" w:rsidRPr="004B37F9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A25734" w:rsidRPr="002D1B0C">
        <w:rPr>
          <w:rFonts w:eastAsia="Times New Roman" w:cstheme="minorHAnsi"/>
          <w:color w:val="000000"/>
          <w:spacing w:val="2"/>
          <w:lang w:eastAsia="en-AU"/>
        </w:rPr>
        <w:t>and</w:t>
      </w:r>
      <w:r w:rsidR="00A25734" w:rsidRPr="004B37F9">
        <w:rPr>
          <w:rFonts w:eastAsia="Times New Roman" w:cstheme="minorHAnsi"/>
          <w:color w:val="000000"/>
          <w:spacing w:val="2"/>
          <w:lang w:eastAsia="en-AU"/>
        </w:rPr>
        <w:t xml:space="preserve"> a </w:t>
      </w:r>
      <w:r w:rsidR="001854E5" w:rsidRPr="004B37F9">
        <w:rPr>
          <w:rFonts w:eastAsia="Times New Roman" w:cstheme="minorHAnsi"/>
          <w:color w:val="000000"/>
          <w:spacing w:val="2"/>
          <w:lang w:eastAsia="en-AU"/>
        </w:rPr>
        <w:t>10</w:t>
      </w:r>
      <w:r w:rsidR="00A25734" w:rsidRPr="004B37F9">
        <w:rPr>
          <w:rFonts w:eastAsia="Times New Roman" w:cstheme="minorHAnsi"/>
          <w:color w:val="000000"/>
          <w:spacing w:val="2"/>
          <w:lang w:eastAsia="en-AU"/>
        </w:rPr>
        <w:t xml:space="preserve">-week </w:t>
      </w:r>
      <w:r w:rsidR="00C50A3B" w:rsidRPr="004B37F9">
        <w:rPr>
          <w:rFonts w:eastAsia="Times New Roman" w:cstheme="minorHAnsi"/>
          <w:color w:val="000000"/>
          <w:spacing w:val="2"/>
          <w:lang w:eastAsia="en-AU"/>
        </w:rPr>
        <w:t>mode</w:t>
      </w:r>
      <w:r w:rsidR="00DB016D" w:rsidRPr="004B37F9">
        <w:rPr>
          <w:rFonts w:eastAsia="Times New Roman" w:cstheme="minorHAnsi"/>
          <w:color w:val="000000"/>
          <w:spacing w:val="2"/>
          <w:lang w:eastAsia="en-AU"/>
        </w:rPr>
        <w:t>.</w:t>
      </w:r>
      <w:r w:rsidR="00A25734" w:rsidRPr="004B37F9">
        <w:rPr>
          <w:rFonts w:eastAsia="Times New Roman" w:cstheme="minorHAnsi"/>
          <w:color w:val="000000"/>
          <w:spacing w:val="2"/>
          <w:lang w:eastAsia="en-AU"/>
        </w:rPr>
        <w:t xml:space="preserve"> T</w:t>
      </w:r>
      <w:r w:rsidR="005A6E40" w:rsidRPr="004B37F9">
        <w:rPr>
          <w:rFonts w:eastAsia="Times New Roman" w:cstheme="minorHAnsi"/>
          <w:color w:val="000000"/>
          <w:spacing w:val="2"/>
          <w:lang w:eastAsia="en-AU"/>
        </w:rPr>
        <w:t>he</w:t>
      </w:r>
      <w:r w:rsidR="00A25734" w:rsidRPr="004B37F9">
        <w:rPr>
          <w:rFonts w:eastAsia="Times New Roman" w:cstheme="minorHAnsi"/>
          <w:color w:val="000000"/>
          <w:spacing w:val="2"/>
          <w:lang w:eastAsia="en-AU"/>
        </w:rPr>
        <w:t xml:space="preserve">re is no </w:t>
      </w:r>
      <w:r w:rsidR="009D35E7">
        <w:rPr>
          <w:rFonts w:eastAsia="Times New Roman" w:cstheme="minorHAnsi"/>
          <w:color w:val="000000"/>
          <w:spacing w:val="2"/>
          <w:lang w:eastAsia="en-AU"/>
        </w:rPr>
        <w:t xml:space="preserve">longer a </w:t>
      </w:r>
      <w:r w:rsidR="005A6E40" w:rsidRPr="004B37F9">
        <w:rPr>
          <w:rFonts w:eastAsia="Times New Roman" w:cstheme="minorHAnsi"/>
          <w:color w:val="000000"/>
          <w:spacing w:val="2"/>
          <w:lang w:eastAsia="en-AU"/>
        </w:rPr>
        <w:t>requirement to stipulate whether a grant is for a Short-term or Semester length</w:t>
      </w:r>
      <w:r w:rsidR="00C50A3B" w:rsidRPr="004B37F9">
        <w:rPr>
          <w:rFonts w:eastAsia="Times New Roman" w:cstheme="minorHAnsi"/>
          <w:color w:val="000000"/>
          <w:spacing w:val="2"/>
          <w:lang w:eastAsia="en-AU"/>
        </w:rPr>
        <w:t xml:space="preserve"> project</w:t>
      </w:r>
      <w:r w:rsidR="006254A8" w:rsidRPr="004B37F9">
        <w:rPr>
          <w:rFonts w:eastAsia="Times New Roman" w:cstheme="minorHAnsi"/>
          <w:color w:val="000000"/>
          <w:spacing w:val="2"/>
          <w:lang w:eastAsia="en-AU"/>
        </w:rPr>
        <w:t>.</w:t>
      </w:r>
      <w:r w:rsidR="005A6E40" w:rsidRPr="004B37F9">
        <w:rPr>
          <w:rFonts w:eastAsia="Times New Roman" w:cstheme="minorHAnsi"/>
          <w:color w:val="000000"/>
          <w:spacing w:val="2"/>
          <w:lang w:eastAsia="en-AU"/>
        </w:rPr>
        <w:t xml:space="preserve"> </w:t>
      </w:r>
    </w:p>
    <w:p w14:paraId="3DA59296" w14:textId="77777777" w:rsidR="00D85E7C" w:rsidRPr="002D1B0C" w:rsidRDefault="00D85E7C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0CEC2692" w14:textId="03BEC3B7" w:rsidR="001854E5" w:rsidRPr="00336B71" w:rsidRDefault="00F66ECF" w:rsidP="00D85E7C">
      <w:pPr>
        <w:pStyle w:val="ListParagraph"/>
        <w:numPr>
          <w:ilvl w:val="0"/>
          <w:numId w:val="17"/>
        </w:numPr>
        <w:spacing w:before="113" w:after="113" w:line="240" w:lineRule="auto"/>
        <w:ind w:left="567" w:hanging="425"/>
        <w:rPr>
          <w:b/>
          <w:bCs/>
        </w:rPr>
      </w:pPr>
      <w:r w:rsidRPr="00336B71">
        <w:rPr>
          <w:b/>
          <w:bCs/>
        </w:rPr>
        <w:t>Grant amount</w:t>
      </w:r>
      <w:r w:rsidR="008A1E27" w:rsidRPr="00336B71">
        <w:rPr>
          <w:b/>
          <w:bCs/>
        </w:rPr>
        <w:t>s</w:t>
      </w:r>
      <w:r w:rsidRPr="00336B71">
        <w:rPr>
          <w:b/>
          <w:bCs/>
        </w:rPr>
        <w:t xml:space="preserve"> </w:t>
      </w:r>
    </w:p>
    <w:p w14:paraId="579E4494" w14:textId="675DEBF8" w:rsidR="002C6AEE" w:rsidRDefault="00A17D12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 xml:space="preserve">You will be required to indicate the number of students who will participate in the project. </w:t>
      </w:r>
    </w:p>
    <w:p w14:paraId="09A9B79F" w14:textId="77777777" w:rsidR="002C6AEE" w:rsidRDefault="002C6AEE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577CDEF9" w14:textId="193277EA" w:rsidR="00FF7646" w:rsidRDefault="00847EC6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Y</w:t>
      </w:r>
      <w:r w:rsidR="00C50A3B" w:rsidRPr="00847EC6">
        <w:rPr>
          <w:rFonts w:eastAsia="Times New Roman" w:cstheme="minorHAnsi"/>
          <w:color w:val="000000"/>
          <w:spacing w:val="2"/>
          <w:lang w:eastAsia="en-AU"/>
        </w:rPr>
        <w:t>ou</w:t>
      </w:r>
      <w:r w:rsidR="00A17D12">
        <w:rPr>
          <w:rFonts w:eastAsia="Times New Roman" w:cstheme="minorHAnsi"/>
          <w:color w:val="000000"/>
          <w:spacing w:val="2"/>
          <w:lang w:eastAsia="en-AU"/>
        </w:rPr>
        <w:t xml:space="preserve"> should</w:t>
      </w:r>
      <w:r w:rsidR="002C6AEE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A17D12">
        <w:rPr>
          <w:rFonts w:eastAsia="Times New Roman" w:cstheme="minorHAnsi"/>
          <w:color w:val="000000"/>
          <w:spacing w:val="2"/>
          <w:lang w:eastAsia="en-AU"/>
        </w:rPr>
        <w:t>include the actual cost per student in the Project Description (</w:t>
      </w:r>
      <w:r w:rsidR="005534B3" w:rsidRPr="00847EC6">
        <w:rPr>
          <w:rFonts w:eastAsia="Times New Roman" w:cstheme="minorHAnsi"/>
          <w:color w:val="000000"/>
          <w:spacing w:val="2"/>
          <w:lang w:eastAsia="en-AU"/>
        </w:rPr>
        <w:t>between $1,000 and $7,000</w:t>
      </w:r>
      <w:r w:rsidR="00A17D12">
        <w:rPr>
          <w:rFonts w:eastAsia="Times New Roman" w:cstheme="minorHAnsi"/>
          <w:color w:val="000000"/>
          <w:spacing w:val="2"/>
          <w:lang w:eastAsia="en-AU"/>
        </w:rPr>
        <w:t>)</w:t>
      </w:r>
      <w:r w:rsidR="002C6AEE">
        <w:rPr>
          <w:rFonts w:eastAsia="Times New Roman" w:cstheme="minorHAnsi"/>
          <w:color w:val="000000"/>
          <w:spacing w:val="2"/>
          <w:lang w:eastAsia="en-AU"/>
        </w:rPr>
        <w:t>, as well as any differences in grant amounts (see below)</w:t>
      </w:r>
      <w:r w:rsidR="00CC5C4C" w:rsidRPr="00847EC6">
        <w:rPr>
          <w:rFonts w:eastAsia="Times New Roman" w:cstheme="minorHAnsi"/>
          <w:color w:val="000000"/>
          <w:spacing w:val="2"/>
          <w:lang w:eastAsia="en-AU"/>
        </w:rPr>
        <w:t>.</w:t>
      </w:r>
      <w:r w:rsidR="007C398C" w:rsidRPr="00847EC6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CC5C4C" w:rsidRPr="00847EC6">
        <w:rPr>
          <w:rFonts w:eastAsia="Times New Roman" w:cstheme="minorHAnsi"/>
          <w:color w:val="000000"/>
          <w:spacing w:val="2"/>
          <w:lang w:eastAsia="en-AU"/>
        </w:rPr>
        <w:t>A</w:t>
      </w:r>
      <w:r w:rsidR="0069631F" w:rsidRPr="00847EC6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9D35E7">
        <w:rPr>
          <w:rFonts w:eastAsia="Times New Roman" w:cstheme="minorHAnsi"/>
          <w:color w:val="000000"/>
          <w:spacing w:val="2"/>
          <w:lang w:eastAsia="en-AU"/>
        </w:rPr>
        <w:t xml:space="preserve">guide </w:t>
      </w:r>
      <w:r w:rsidR="0022652A" w:rsidRPr="00847EC6">
        <w:rPr>
          <w:rFonts w:eastAsia="Times New Roman" w:cstheme="minorHAnsi"/>
          <w:color w:val="000000"/>
          <w:spacing w:val="2"/>
          <w:lang w:eastAsia="en-AU"/>
        </w:rPr>
        <w:t>for determining the amount</w:t>
      </w:r>
      <w:r w:rsidR="00C50A3B" w:rsidRPr="00847EC6">
        <w:rPr>
          <w:rFonts w:eastAsia="Times New Roman" w:cstheme="minorHAnsi"/>
          <w:color w:val="000000"/>
          <w:spacing w:val="2"/>
          <w:lang w:eastAsia="en-AU"/>
        </w:rPr>
        <w:t xml:space="preserve"> of</w:t>
      </w:r>
      <w:r w:rsidR="0022652A" w:rsidRPr="00847EC6">
        <w:rPr>
          <w:rFonts w:eastAsia="Times New Roman" w:cstheme="minorHAnsi"/>
          <w:color w:val="000000"/>
          <w:spacing w:val="2"/>
          <w:lang w:eastAsia="en-AU"/>
        </w:rPr>
        <w:t xml:space="preserve"> each student grant </w:t>
      </w:r>
      <w:r w:rsidR="0069631F" w:rsidRPr="00847EC6">
        <w:rPr>
          <w:rFonts w:eastAsia="Times New Roman" w:cstheme="minorHAnsi"/>
          <w:color w:val="000000"/>
          <w:spacing w:val="2"/>
          <w:lang w:eastAsia="en-AU"/>
        </w:rPr>
        <w:t xml:space="preserve">is </w:t>
      </w:r>
      <w:r w:rsidR="00CC5C4C" w:rsidRPr="00847EC6">
        <w:rPr>
          <w:rFonts w:eastAsia="Times New Roman" w:cstheme="minorHAnsi"/>
          <w:color w:val="000000"/>
          <w:spacing w:val="2"/>
          <w:lang w:eastAsia="en-AU"/>
        </w:rPr>
        <w:t xml:space="preserve">outlined </w:t>
      </w:r>
      <w:r w:rsidR="005534B3" w:rsidRPr="00847EC6">
        <w:rPr>
          <w:rFonts w:eastAsia="Times New Roman" w:cstheme="minorHAnsi"/>
          <w:color w:val="000000"/>
          <w:spacing w:val="2"/>
          <w:lang w:eastAsia="en-AU"/>
        </w:rPr>
        <w:t xml:space="preserve">in the Guidelines </w:t>
      </w:r>
      <w:r w:rsidR="00CC5C4C" w:rsidRPr="00847EC6">
        <w:rPr>
          <w:rFonts w:eastAsia="Times New Roman" w:cstheme="minorHAnsi"/>
          <w:color w:val="000000"/>
          <w:spacing w:val="2"/>
          <w:lang w:eastAsia="en-AU"/>
        </w:rPr>
        <w:t>(</w:t>
      </w:r>
      <w:r w:rsidR="0002474D" w:rsidRPr="00847EC6">
        <w:rPr>
          <w:rFonts w:eastAsia="Times New Roman" w:cstheme="minorHAnsi"/>
          <w:color w:val="000000"/>
          <w:spacing w:val="2"/>
          <w:lang w:eastAsia="en-AU"/>
        </w:rPr>
        <w:t xml:space="preserve">see </w:t>
      </w:r>
      <w:r w:rsidR="00CC5C4C" w:rsidRPr="00847EC6">
        <w:rPr>
          <w:rFonts w:eastAsia="Times New Roman" w:cstheme="minorHAnsi"/>
          <w:color w:val="000000"/>
          <w:spacing w:val="2"/>
          <w:lang w:eastAsia="en-AU"/>
        </w:rPr>
        <w:t>section 5.2)</w:t>
      </w:r>
      <w:r w:rsidR="005534B3" w:rsidRPr="00847EC6">
        <w:rPr>
          <w:rFonts w:eastAsia="Times New Roman" w:cstheme="minorHAnsi"/>
          <w:color w:val="000000"/>
          <w:spacing w:val="2"/>
          <w:lang w:eastAsia="en-AU"/>
        </w:rPr>
        <w:t xml:space="preserve">. </w:t>
      </w:r>
    </w:p>
    <w:p w14:paraId="38770872" w14:textId="77777777" w:rsidR="00FF7646" w:rsidRDefault="00FF7646" w:rsidP="00FF7646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7E6F439A" w14:textId="4D5D4A2C" w:rsidR="00FF7646" w:rsidRDefault="00FF7646" w:rsidP="00FF7646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Students who undertake different activities within a project may receive different grant amounts. For example, where one student is participating in a 10-week mode of the project while a second student is participating in a 2-week mode of the project.</w:t>
      </w:r>
      <w:r w:rsidR="002C6AEE">
        <w:rPr>
          <w:rFonts w:eastAsia="Times New Roman" w:cstheme="minorHAnsi"/>
          <w:color w:val="000000"/>
          <w:spacing w:val="2"/>
          <w:lang w:eastAsia="en-AU"/>
        </w:rPr>
        <w:t xml:space="preserve"> This should be outlined in the Project Description, along with the actual cost per student in the following format (examples only):</w:t>
      </w:r>
    </w:p>
    <w:p w14:paraId="4B7810E9" w14:textId="6B3BBA72" w:rsidR="002C6AEE" w:rsidRPr="002C6AEE" w:rsidRDefault="002C6AEE" w:rsidP="002F5EA6">
      <w:pPr>
        <w:pStyle w:val="ListParagraph"/>
        <w:spacing w:after="150" w:line="240" w:lineRule="auto"/>
        <w:ind w:left="1440"/>
        <w:rPr>
          <w:rFonts w:eastAsia="Times New Roman" w:cstheme="minorHAnsi"/>
          <w:i/>
          <w:iCs/>
          <w:color w:val="000000"/>
          <w:spacing w:val="2"/>
          <w:lang w:eastAsia="en-AU"/>
        </w:rPr>
      </w:pPr>
      <w:r>
        <w:rPr>
          <w:rFonts w:eastAsia="Times New Roman" w:cstheme="minorHAnsi"/>
          <w:i/>
          <w:iCs/>
          <w:color w:val="000000"/>
          <w:spacing w:val="2"/>
          <w:lang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5EA6" w14:paraId="48F7033A" w14:textId="77777777" w:rsidTr="002F5EA6">
        <w:tc>
          <w:tcPr>
            <w:tcW w:w="4531" w:type="dxa"/>
          </w:tcPr>
          <w:p w14:paraId="32C16020" w14:textId="2522623F" w:rsidR="002F5EA6" w:rsidRDefault="002F5EA6" w:rsidP="002F5EA6">
            <w:pPr>
              <w:spacing w:after="150"/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>5 students for 10 weeks at $5,000 per student</w:t>
            </w:r>
          </w:p>
        </w:tc>
        <w:tc>
          <w:tcPr>
            <w:tcW w:w="4531" w:type="dxa"/>
          </w:tcPr>
          <w:p w14:paraId="3F916C5D" w14:textId="53EDB99A" w:rsidR="002F5EA6" w:rsidRDefault="002F5EA6" w:rsidP="002F5EA6">
            <w:pPr>
              <w:spacing w:after="150"/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>$25,000 total</w:t>
            </w:r>
          </w:p>
        </w:tc>
      </w:tr>
      <w:tr w:rsidR="002F5EA6" w14:paraId="78BB513C" w14:textId="77777777" w:rsidTr="002F5EA6">
        <w:tc>
          <w:tcPr>
            <w:tcW w:w="4531" w:type="dxa"/>
          </w:tcPr>
          <w:p w14:paraId="4743A0EF" w14:textId="6D442B3D" w:rsidR="002F5EA6" w:rsidRDefault="002F5EA6" w:rsidP="002F5EA6">
            <w:pPr>
              <w:spacing w:after="150"/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 xml:space="preserve">20 </w:t>
            </w:r>
            <w:r w:rsidRPr="002C6AEE"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>students for 2 weeks</w:t>
            </w:r>
            <w:r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 xml:space="preserve"> at $1,000 per student</w:t>
            </w:r>
          </w:p>
        </w:tc>
        <w:tc>
          <w:tcPr>
            <w:tcW w:w="4531" w:type="dxa"/>
          </w:tcPr>
          <w:p w14:paraId="0881DB00" w14:textId="5AD97A9F" w:rsidR="002F5EA6" w:rsidRDefault="002F5EA6" w:rsidP="002F5EA6">
            <w:pPr>
              <w:spacing w:after="150"/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>$20,000 total</w:t>
            </w:r>
          </w:p>
        </w:tc>
      </w:tr>
      <w:tr w:rsidR="002F5EA6" w14:paraId="0A0F6FCD" w14:textId="77777777" w:rsidTr="002F5EA6">
        <w:tc>
          <w:tcPr>
            <w:tcW w:w="4531" w:type="dxa"/>
          </w:tcPr>
          <w:p w14:paraId="45285A84" w14:textId="179CF0E0" w:rsidR="002F5EA6" w:rsidRDefault="002F5EA6" w:rsidP="002F5EA6">
            <w:pPr>
              <w:spacing w:after="150"/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>Total cost</w:t>
            </w:r>
          </w:p>
        </w:tc>
        <w:tc>
          <w:tcPr>
            <w:tcW w:w="4531" w:type="dxa"/>
          </w:tcPr>
          <w:p w14:paraId="38254D33" w14:textId="5B262233" w:rsidR="002F5EA6" w:rsidRDefault="002F5EA6" w:rsidP="002F5EA6">
            <w:pPr>
              <w:spacing w:after="150"/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>$45,000</w:t>
            </w:r>
          </w:p>
        </w:tc>
      </w:tr>
      <w:tr w:rsidR="002F5EA6" w14:paraId="6CD5C6AC" w14:textId="77777777" w:rsidTr="002F5EA6">
        <w:tc>
          <w:tcPr>
            <w:tcW w:w="4531" w:type="dxa"/>
          </w:tcPr>
          <w:p w14:paraId="214C203D" w14:textId="6B503A7B" w:rsidR="002F5EA6" w:rsidRDefault="002F5EA6" w:rsidP="002F5EA6">
            <w:pPr>
              <w:spacing w:after="150"/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>Average cost per student</w:t>
            </w:r>
          </w:p>
        </w:tc>
        <w:tc>
          <w:tcPr>
            <w:tcW w:w="4531" w:type="dxa"/>
          </w:tcPr>
          <w:p w14:paraId="007D9550" w14:textId="4AD6F6C1" w:rsidR="002F5EA6" w:rsidRDefault="002F5EA6" w:rsidP="002F5EA6">
            <w:pPr>
              <w:spacing w:after="150"/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spacing w:val="2"/>
                <w:lang w:eastAsia="en-AU"/>
              </w:rPr>
              <w:t>$1,800</w:t>
            </w:r>
          </w:p>
        </w:tc>
      </w:tr>
    </w:tbl>
    <w:p w14:paraId="0568179F" w14:textId="7FE07B56" w:rsidR="001B4FD2" w:rsidRPr="001B4FD2" w:rsidRDefault="001B4FD2" w:rsidP="001B4FD2">
      <w:p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lastRenderedPageBreak/>
        <w:t>If you are also delivering the project virtually, please outline the average costs per student.</w:t>
      </w:r>
    </w:p>
    <w:p w14:paraId="78D6648D" w14:textId="2C7487A1" w:rsidR="00E54B0A" w:rsidRPr="00847EC6" w:rsidRDefault="009D35E7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 xml:space="preserve">Assessors will </w:t>
      </w:r>
      <w:r w:rsidR="008B06E3">
        <w:rPr>
          <w:rFonts w:eastAsia="Times New Roman" w:cstheme="minorHAnsi"/>
          <w:color w:val="000000"/>
          <w:spacing w:val="2"/>
          <w:lang w:eastAsia="en-AU"/>
        </w:rPr>
        <w:t>consider</w:t>
      </w:r>
      <w:r>
        <w:rPr>
          <w:rFonts w:eastAsia="Times New Roman" w:cstheme="minorHAnsi"/>
          <w:color w:val="000000"/>
          <w:spacing w:val="2"/>
          <w:lang w:eastAsia="en-AU"/>
        </w:rPr>
        <w:t xml:space="preserve"> relative value-with-money</w:t>
      </w:r>
      <w:r w:rsidR="008B06E3">
        <w:rPr>
          <w:rFonts w:eastAsia="Times New Roman" w:cstheme="minorHAnsi"/>
          <w:color w:val="000000"/>
          <w:spacing w:val="2"/>
          <w:lang w:eastAsia="en-AU"/>
        </w:rPr>
        <w:t>,</w:t>
      </w:r>
      <w:r>
        <w:rPr>
          <w:rFonts w:eastAsia="Times New Roman" w:cstheme="minorHAnsi"/>
          <w:color w:val="000000"/>
          <w:spacing w:val="2"/>
          <w:lang w:eastAsia="en-AU"/>
        </w:rPr>
        <w:t xml:space="preserve"> and the NCP goal of maximising student participation. Where </w:t>
      </w:r>
      <w:r w:rsidR="00FF7646">
        <w:rPr>
          <w:rFonts w:eastAsia="Times New Roman" w:cstheme="minorHAnsi"/>
          <w:color w:val="000000"/>
          <w:spacing w:val="2"/>
          <w:lang w:eastAsia="en-AU"/>
        </w:rPr>
        <w:t xml:space="preserve">the proposed per student grant is </w:t>
      </w:r>
      <w:r>
        <w:rPr>
          <w:rFonts w:eastAsia="Times New Roman" w:cstheme="minorHAnsi"/>
          <w:color w:val="000000"/>
          <w:spacing w:val="2"/>
          <w:lang w:eastAsia="en-AU"/>
        </w:rPr>
        <w:t xml:space="preserve">outside the guide in 5.2, applicants </w:t>
      </w:r>
      <w:r w:rsidR="00FF7646">
        <w:rPr>
          <w:rFonts w:eastAsia="Times New Roman" w:cstheme="minorHAnsi"/>
          <w:color w:val="000000"/>
          <w:spacing w:val="2"/>
          <w:lang w:eastAsia="en-AU"/>
        </w:rPr>
        <w:t xml:space="preserve">should provide a justification in their </w:t>
      </w:r>
      <w:r>
        <w:rPr>
          <w:rFonts w:eastAsia="Times New Roman" w:cstheme="minorHAnsi"/>
          <w:color w:val="000000"/>
          <w:spacing w:val="2"/>
          <w:lang w:eastAsia="en-AU"/>
        </w:rPr>
        <w:t>response</w:t>
      </w:r>
      <w:r w:rsidR="00FF7646">
        <w:rPr>
          <w:rFonts w:eastAsia="Times New Roman" w:cstheme="minorHAnsi"/>
          <w:color w:val="000000"/>
          <w:spacing w:val="2"/>
          <w:lang w:eastAsia="en-AU"/>
        </w:rPr>
        <w:t xml:space="preserve">s to </w:t>
      </w:r>
      <w:r>
        <w:rPr>
          <w:rFonts w:eastAsia="Times New Roman" w:cstheme="minorHAnsi"/>
          <w:color w:val="000000"/>
          <w:spacing w:val="2"/>
          <w:lang w:eastAsia="en-AU"/>
        </w:rPr>
        <w:t xml:space="preserve">Criterion 3 and/or 4. </w:t>
      </w:r>
    </w:p>
    <w:p w14:paraId="6128AC22" w14:textId="77777777" w:rsidR="002D1B0C" w:rsidRDefault="002D1B0C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4230B43C" w14:textId="55F3C1DB" w:rsidR="004B37F9" w:rsidRPr="00336B71" w:rsidRDefault="004B398D" w:rsidP="00D85E7C">
      <w:pPr>
        <w:pStyle w:val="ListParagraph"/>
        <w:numPr>
          <w:ilvl w:val="0"/>
          <w:numId w:val="17"/>
        </w:numPr>
        <w:spacing w:before="113" w:after="113" w:line="240" w:lineRule="auto"/>
        <w:ind w:left="567" w:hanging="425"/>
        <w:rPr>
          <w:b/>
          <w:bCs/>
        </w:rPr>
      </w:pPr>
      <w:r w:rsidRPr="00336B71">
        <w:rPr>
          <w:b/>
          <w:bCs/>
        </w:rPr>
        <w:t xml:space="preserve">Secondary locations </w:t>
      </w:r>
    </w:p>
    <w:p w14:paraId="07C312B4" w14:textId="46996C49" w:rsidR="00304FBC" w:rsidRDefault="004B398D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You may now nominate a secondary host location</w:t>
      </w:r>
      <w:r w:rsidR="002320D7">
        <w:rPr>
          <w:rFonts w:eastAsia="Times New Roman" w:cstheme="minorHAnsi"/>
          <w:color w:val="000000"/>
          <w:spacing w:val="2"/>
          <w:lang w:eastAsia="en-AU"/>
        </w:rPr>
        <w:t>, noting that projects in single locations are still preferred</w:t>
      </w:r>
      <w:r>
        <w:rPr>
          <w:rFonts w:eastAsia="Times New Roman" w:cstheme="minorHAnsi"/>
          <w:color w:val="000000"/>
          <w:spacing w:val="2"/>
          <w:lang w:eastAsia="en-AU"/>
        </w:rPr>
        <w:t xml:space="preserve">. </w:t>
      </w:r>
    </w:p>
    <w:p w14:paraId="06DC05D6" w14:textId="77777777" w:rsidR="008C224B" w:rsidRDefault="008C224B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1D0BAF48" w14:textId="4B7DD7F9" w:rsidR="00FF7646" w:rsidRDefault="00FF7646" w:rsidP="00FF7646">
      <w:pPr>
        <w:pStyle w:val="ListParagraph"/>
        <w:numPr>
          <w:ilvl w:val="0"/>
          <w:numId w:val="17"/>
        </w:numPr>
        <w:spacing w:before="113" w:after="113" w:line="240" w:lineRule="auto"/>
        <w:ind w:left="567" w:hanging="425"/>
        <w:rPr>
          <w:b/>
          <w:bCs/>
        </w:rPr>
      </w:pPr>
      <w:r>
        <w:rPr>
          <w:b/>
          <w:bCs/>
        </w:rPr>
        <w:t>V</w:t>
      </w:r>
      <w:r w:rsidRPr="00336B71">
        <w:rPr>
          <w:b/>
          <w:bCs/>
        </w:rPr>
        <w:t>irtual delivery</w:t>
      </w:r>
      <w:r w:rsidR="00890C54">
        <w:rPr>
          <w:b/>
          <w:bCs/>
        </w:rPr>
        <w:t xml:space="preserve"> </w:t>
      </w:r>
    </w:p>
    <w:p w14:paraId="382EB802" w14:textId="08B55501" w:rsidR="00FF7646" w:rsidRPr="008C224B" w:rsidRDefault="00FF7646" w:rsidP="008C224B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 w:rsidRPr="008C224B">
        <w:rPr>
          <w:rFonts w:eastAsia="Times New Roman" w:cstheme="minorHAnsi"/>
          <w:color w:val="000000"/>
          <w:spacing w:val="2"/>
          <w:lang w:eastAsia="en-AU"/>
        </w:rPr>
        <w:t>A</w:t>
      </w:r>
      <w:r w:rsidR="00890C54" w:rsidRPr="008C224B">
        <w:rPr>
          <w:rFonts w:eastAsia="Times New Roman" w:cstheme="minorHAnsi"/>
          <w:color w:val="000000"/>
          <w:spacing w:val="2"/>
          <w:lang w:eastAsia="en-AU"/>
        </w:rPr>
        <w:t xml:space="preserve">n application may include, as a secondary location, a ‘virtual’ location. (An approved 2022 project which has a virtual location will not require a variation to allow virtual implementation) </w:t>
      </w:r>
    </w:p>
    <w:p w14:paraId="3D81DAE8" w14:textId="77777777" w:rsidR="008C224B" w:rsidRDefault="008C224B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506BC80D" w14:textId="71BB6796" w:rsidR="008C52ED" w:rsidRDefault="00890C54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F</w:t>
      </w:r>
      <w:r w:rsidR="00CF1017">
        <w:rPr>
          <w:rFonts w:eastAsia="Times New Roman" w:cstheme="minorHAnsi"/>
          <w:color w:val="000000"/>
          <w:spacing w:val="2"/>
          <w:lang w:eastAsia="en-AU"/>
        </w:rPr>
        <w:t>or the 2022 Round, w</w:t>
      </w:r>
      <w:r w:rsidR="008C52ED" w:rsidRPr="00222329">
        <w:rPr>
          <w:rFonts w:eastAsia="Times New Roman" w:cstheme="minorHAnsi"/>
          <w:color w:val="000000"/>
          <w:spacing w:val="2"/>
          <w:lang w:eastAsia="en-AU"/>
        </w:rPr>
        <w:t>e encourage institutions to develop flexible projects that c</w:t>
      </w:r>
      <w:r w:rsidR="008C52ED">
        <w:rPr>
          <w:rFonts w:eastAsia="Times New Roman" w:cstheme="minorHAnsi"/>
          <w:color w:val="000000"/>
          <w:spacing w:val="2"/>
          <w:lang w:eastAsia="en-AU"/>
        </w:rPr>
        <w:t>ould</w:t>
      </w:r>
      <w:r w:rsidR="008C52ED" w:rsidRPr="00222329">
        <w:rPr>
          <w:rFonts w:eastAsia="Times New Roman" w:cstheme="minorHAnsi"/>
          <w:color w:val="000000"/>
          <w:spacing w:val="2"/>
          <w:lang w:eastAsia="en-AU"/>
        </w:rPr>
        <w:t xml:space="preserve"> be adapted for face-to face or virtual delivery</w:t>
      </w:r>
      <w:r>
        <w:rPr>
          <w:rFonts w:eastAsia="Times New Roman" w:cstheme="minorHAnsi"/>
          <w:color w:val="000000"/>
          <w:spacing w:val="2"/>
          <w:lang w:eastAsia="en-AU"/>
        </w:rPr>
        <w:t>, as circumstances allow</w:t>
      </w:r>
      <w:r w:rsidR="008C52ED">
        <w:rPr>
          <w:rFonts w:eastAsia="Times New Roman" w:cstheme="minorHAnsi"/>
          <w:color w:val="000000"/>
          <w:spacing w:val="2"/>
          <w:lang w:eastAsia="en-AU"/>
        </w:rPr>
        <w:t>.</w:t>
      </w:r>
    </w:p>
    <w:p w14:paraId="13CD0A90" w14:textId="3C1AE55E" w:rsidR="008C52ED" w:rsidRDefault="008C52ED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6EDE23AF" w14:textId="7A8B4BD3" w:rsidR="008C52ED" w:rsidRDefault="008C52ED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 xml:space="preserve">Where a project includes virtual and face-to-face modes of delivery, </w:t>
      </w:r>
      <w:r w:rsidRPr="006B43C4">
        <w:rPr>
          <w:rFonts w:eastAsia="Times New Roman" w:cstheme="minorHAnsi"/>
          <w:b/>
          <w:bCs/>
          <w:color w:val="000000"/>
          <w:spacing w:val="2"/>
          <w:lang w:eastAsia="en-AU"/>
        </w:rPr>
        <w:t>please provide differentiated costs for both modes of delivery</w:t>
      </w:r>
      <w:r>
        <w:rPr>
          <w:rFonts w:eastAsia="Times New Roman" w:cstheme="minorHAnsi"/>
          <w:color w:val="000000"/>
          <w:spacing w:val="2"/>
          <w:lang w:eastAsia="en-AU"/>
        </w:rPr>
        <w:t>.</w:t>
      </w:r>
    </w:p>
    <w:p w14:paraId="0D62A8D9" w14:textId="1CF43E53" w:rsidR="00890C54" w:rsidRDefault="00890C54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6107A4CB" w14:textId="27399770" w:rsidR="00890C54" w:rsidRDefault="00890C54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If a project application does not include a virtual secondary location, the host university may during the implementation period, seek a variation to allow virtual delivery.</w:t>
      </w:r>
    </w:p>
    <w:p w14:paraId="12867765" w14:textId="77777777" w:rsidR="00D85E7C" w:rsidRDefault="00D85E7C" w:rsidP="00D85E7C">
      <w:pPr>
        <w:pStyle w:val="ListParagraph"/>
        <w:spacing w:before="113" w:after="113" w:line="240" w:lineRule="auto"/>
        <w:ind w:left="567"/>
        <w:rPr>
          <w:b/>
          <w:bCs/>
        </w:rPr>
      </w:pPr>
    </w:p>
    <w:p w14:paraId="4009520B" w14:textId="3C03F4A6" w:rsidR="00CF44E2" w:rsidRPr="00336B71" w:rsidRDefault="0002474D" w:rsidP="00D85E7C">
      <w:pPr>
        <w:pStyle w:val="ListParagraph"/>
        <w:numPr>
          <w:ilvl w:val="0"/>
          <w:numId w:val="17"/>
        </w:numPr>
        <w:spacing w:before="113" w:after="113" w:line="240" w:lineRule="auto"/>
        <w:ind w:left="567" w:hanging="425"/>
        <w:rPr>
          <w:b/>
          <w:bCs/>
        </w:rPr>
      </w:pPr>
      <w:r w:rsidRPr="00336B71">
        <w:rPr>
          <w:b/>
          <w:bCs/>
        </w:rPr>
        <w:t xml:space="preserve">Host institution </w:t>
      </w:r>
    </w:p>
    <w:p w14:paraId="7E49A1A2" w14:textId="0F80C29F" w:rsidR="00175272" w:rsidRDefault="00A17D12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P</w:t>
      </w:r>
      <w:r w:rsidR="00175272">
        <w:rPr>
          <w:rFonts w:eastAsia="Times New Roman" w:cstheme="minorHAnsi"/>
          <w:color w:val="000000"/>
          <w:spacing w:val="2"/>
          <w:lang w:eastAsia="en-AU"/>
        </w:rPr>
        <w:t xml:space="preserve">rojects </w:t>
      </w:r>
      <w:r w:rsidR="008A1E27">
        <w:rPr>
          <w:rFonts w:eastAsia="Times New Roman" w:cstheme="minorHAnsi"/>
          <w:color w:val="000000"/>
          <w:spacing w:val="2"/>
          <w:lang w:eastAsia="en-AU"/>
        </w:rPr>
        <w:t xml:space="preserve">may </w:t>
      </w:r>
      <w:r w:rsidR="00175272" w:rsidRPr="006B43C4">
        <w:rPr>
          <w:rFonts w:eastAsia="Times New Roman" w:cstheme="minorHAnsi"/>
          <w:b/>
          <w:bCs/>
          <w:color w:val="000000"/>
          <w:spacing w:val="2"/>
          <w:lang w:eastAsia="en-AU"/>
        </w:rPr>
        <w:t>not</w:t>
      </w:r>
      <w:r w:rsidR="00175272">
        <w:rPr>
          <w:rFonts w:eastAsia="Times New Roman" w:cstheme="minorHAnsi"/>
          <w:color w:val="000000"/>
          <w:spacing w:val="2"/>
          <w:lang w:eastAsia="en-AU"/>
        </w:rPr>
        <w:t xml:space="preserve"> be undertaken at an offshore campus of an Australian university or a university established or headquartered outside the host location </w:t>
      </w:r>
      <w:r w:rsidR="00175272" w:rsidRPr="00175272">
        <w:rPr>
          <w:rFonts w:eastAsia="Times New Roman" w:cstheme="minorHAnsi"/>
          <w:color w:val="000000"/>
          <w:spacing w:val="2"/>
          <w:lang w:eastAsia="en-AU"/>
        </w:rPr>
        <w:t>(</w:t>
      </w:r>
      <w:r w:rsidR="0002474D">
        <w:rPr>
          <w:rFonts w:eastAsia="Times New Roman" w:cstheme="minorHAnsi"/>
          <w:color w:val="000000"/>
          <w:spacing w:val="2"/>
          <w:lang w:eastAsia="en-AU"/>
        </w:rPr>
        <w:t xml:space="preserve">see </w:t>
      </w:r>
      <w:r w:rsidR="00175272" w:rsidRPr="00175272">
        <w:rPr>
          <w:rFonts w:eastAsia="Times New Roman" w:cstheme="minorHAnsi"/>
          <w:color w:val="000000"/>
          <w:spacing w:val="2"/>
          <w:lang w:eastAsia="en-AU"/>
        </w:rPr>
        <w:t>section 5.8).</w:t>
      </w:r>
    </w:p>
    <w:p w14:paraId="673A855B" w14:textId="6C0D6C8F" w:rsidR="00CF44E2" w:rsidRDefault="00CF44E2" w:rsidP="00CF44E2">
      <w:pPr>
        <w:pStyle w:val="ListParagraph"/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</w:p>
    <w:p w14:paraId="58DAB953" w14:textId="77777777" w:rsidR="00CF44E2" w:rsidRPr="00336B71" w:rsidRDefault="00CF44E2" w:rsidP="00D85E7C">
      <w:pPr>
        <w:pStyle w:val="ListParagraph"/>
        <w:numPr>
          <w:ilvl w:val="0"/>
          <w:numId w:val="17"/>
        </w:numPr>
        <w:spacing w:before="113" w:after="113" w:line="240" w:lineRule="auto"/>
        <w:ind w:left="567" w:hanging="425"/>
        <w:rPr>
          <w:b/>
          <w:bCs/>
        </w:rPr>
      </w:pPr>
      <w:r w:rsidRPr="00336B71">
        <w:rPr>
          <w:b/>
          <w:bCs/>
        </w:rPr>
        <w:t>Project partners</w:t>
      </w:r>
    </w:p>
    <w:p w14:paraId="5A0493AC" w14:textId="2E99ACAC" w:rsidR="00CF44E2" w:rsidRPr="002D1B0C" w:rsidRDefault="00CF44E2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 w:rsidRPr="002D1B0C">
        <w:rPr>
          <w:rFonts w:eastAsia="Times New Roman" w:cstheme="minorHAnsi"/>
          <w:color w:val="000000"/>
          <w:spacing w:val="2"/>
          <w:lang w:eastAsia="en-AU"/>
        </w:rPr>
        <w:t xml:space="preserve">Universities must exercise due diligence in their choice of partners, including investigating partners’ bona fides, </w:t>
      </w:r>
      <w:proofErr w:type="gramStart"/>
      <w:r w:rsidRPr="002D1B0C">
        <w:rPr>
          <w:rFonts w:eastAsia="Times New Roman" w:cstheme="minorHAnsi"/>
          <w:color w:val="000000"/>
          <w:spacing w:val="2"/>
          <w:lang w:eastAsia="en-AU"/>
        </w:rPr>
        <w:t>systems</w:t>
      </w:r>
      <w:proofErr w:type="gramEnd"/>
      <w:r w:rsidRPr="002D1B0C">
        <w:rPr>
          <w:rFonts w:eastAsia="Times New Roman" w:cstheme="minorHAnsi"/>
          <w:color w:val="000000"/>
          <w:spacing w:val="2"/>
          <w:lang w:eastAsia="en-AU"/>
        </w:rPr>
        <w:t xml:space="preserve"> and safeguards (for example, risk management and child protection) and capacity to comply with relevant NCP Guidelines.</w:t>
      </w:r>
    </w:p>
    <w:p w14:paraId="7CA2043F" w14:textId="77777777" w:rsidR="00CF44E2" w:rsidRPr="002D1B0C" w:rsidRDefault="00CF44E2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4C03704E" w14:textId="5D7A7A68" w:rsidR="006B43C4" w:rsidRPr="006B43C4" w:rsidRDefault="00CF44E2" w:rsidP="006B43C4">
      <w:pPr>
        <w:pStyle w:val="ListParagraph"/>
        <w:spacing w:after="150" w:line="240" w:lineRule="auto"/>
        <w:ind w:left="0"/>
        <w:rPr>
          <w:rFonts w:eastAsia="Times New Roman" w:cstheme="minorHAnsi"/>
          <w:bCs/>
          <w:color w:val="000000"/>
          <w:spacing w:val="2"/>
          <w:lang w:eastAsia="en-AU"/>
        </w:rPr>
      </w:pPr>
      <w:r w:rsidRPr="002D1B0C">
        <w:rPr>
          <w:rFonts w:eastAsia="Times New Roman" w:cstheme="minorHAnsi"/>
          <w:color w:val="000000"/>
          <w:spacing w:val="2"/>
          <w:lang w:eastAsia="en-AU"/>
        </w:rPr>
        <w:t xml:space="preserve">Universities should consider how their projects will impact local communities. </w:t>
      </w:r>
      <w:r w:rsidR="00304FBC">
        <w:rPr>
          <w:rFonts w:eastAsia="Times New Roman" w:cstheme="minorHAnsi"/>
          <w:color w:val="000000"/>
          <w:spacing w:val="2"/>
          <w:lang w:eastAsia="en-AU"/>
        </w:rPr>
        <w:t>For example, s</w:t>
      </w:r>
      <w:r w:rsidRPr="002D1B0C">
        <w:rPr>
          <w:rFonts w:eastAsia="Times New Roman" w:cstheme="minorHAnsi"/>
          <w:color w:val="000000"/>
          <w:spacing w:val="2"/>
          <w:lang w:eastAsia="en-AU"/>
        </w:rPr>
        <w:t>tudents paying to volunteer can lead to demand–driven activities in disadvantaged communities.</w:t>
      </w:r>
      <w:r w:rsidR="00CF1017" w:rsidRPr="002D1B0C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6B43C4" w:rsidRPr="006B43C4">
        <w:rPr>
          <w:rFonts w:eastAsia="Times New Roman" w:cstheme="minorHAnsi"/>
          <w:bCs/>
          <w:color w:val="000000"/>
          <w:spacing w:val="2"/>
          <w:lang w:eastAsia="en-AU"/>
        </w:rPr>
        <w:t xml:space="preserve">Applicants whose projects include volunteering overseas should read DFAT advice on </w:t>
      </w:r>
      <w:hyperlink r:id="rId9" w:history="1">
        <w:r w:rsidR="006B43C4" w:rsidRPr="006B43C4">
          <w:rPr>
            <w:rStyle w:val="Hyperlink"/>
            <w:rFonts w:eastAsia="Times New Roman" w:cstheme="minorHAnsi"/>
            <w:bCs/>
            <w:spacing w:val="2"/>
            <w:lang w:eastAsia="en-AU"/>
          </w:rPr>
          <w:t>smart volunteering</w:t>
        </w:r>
      </w:hyperlink>
      <w:r w:rsidR="006B43C4" w:rsidRPr="006B43C4">
        <w:rPr>
          <w:rFonts w:eastAsia="Times New Roman" w:cstheme="minorHAnsi"/>
          <w:bCs/>
          <w:color w:val="000000"/>
          <w:spacing w:val="2"/>
          <w:lang w:eastAsia="en-AU"/>
        </w:rPr>
        <w:t xml:space="preserve"> and </w:t>
      </w:r>
      <w:hyperlink r:id="rId10" w:history="1">
        <w:proofErr w:type="spellStart"/>
        <w:r w:rsidR="006B43C4" w:rsidRPr="00CF0520">
          <w:rPr>
            <w:rStyle w:val="Hyperlink"/>
            <w:rFonts w:eastAsia="Times New Roman" w:cstheme="minorHAnsi"/>
            <w:bCs/>
            <w:spacing w:val="2"/>
            <w:lang w:eastAsia="en-AU"/>
          </w:rPr>
          <w:t>Smartraveller</w:t>
        </w:r>
        <w:proofErr w:type="spellEnd"/>
      </w:hyperlink>
      <w:r w:rsidR="006B43C4" w:rsidRPr="006B43C4">
        <w:rPr>
          <w:rFonts w:eastAsia="Times New Roman" w:cstheme="minorHAnsi"/>
          <w:bCs/>
          <w:color w:val="000000"/>
          <w:spacing w:val="2"/>
          <w:lang w:eastAsia="en-AU"/>
        </w:rPr>
        <w:t xml:space="preserve"> advice on </w:t>
      </w:r>
      <w:hyperlink r:id="rId11" w:anchor="responsible" w:history="1">
        <w:r w:rsidR="006B43C4" w:rsidRPr="006B43C4">
          <w:rPr>
            <w:rStyle w:val="Hyperlink"/>
            <w:rFonts w:eastAsia="Times New Roman" w:cstheme="minorHAnsi"/>
            <w:bCs/>
            <w:spacing w:val="2"/>
            <w:lang w:eastAsia="en-AU"/>
          </w:rPr>
          <w:t>responsible volunteering</w:t>
        </w:r>
      </w:hyperlink>
      <w:r w:rsidR="006B43C4" w:rsidRPr="006B43C4">
        <w:rPr>
          <w:rFonts w:eastAsia="Times New Roman" w:cstheme="minorHAnsi"/>
          <w:bCs/>
          <w:color w:val="000000"/>
          <w:spacing w:val="2"/>
          <w:lang w:eastAsia="en-AU"/>
        </w:rPr>
        <w:t xml:space="preserve">. </w:t>
      </w:r>
    </w:p>
    <w:p w14:paraId="4BF57A17" w14:textId="77777777" w:rsidR="00CF44E2" w:rsidRPr="006261EE" w:rsidRDefault="00CF44E2" w:rsidP="00CF44E2">
      <w:pPr>
        <w:pStyle w:val="ListParagraph"/>
        <w:spacing w:after="150" w:line="240" w:lineRule="auto"/>
        <w:rPr>
          <w:rFonts w:eastAsia="Times New Roman" w:cstheme="minorHAnsi"/>
          <w:b/>
          <w:bCs/>
          <w:color w:val="000000"/>
          <w:spacing w:val="2"/>
          <w:highlight w:val="yellow"/>
          <w:lang w:eastAsia="en-AU"/>
        </w:rPr>
      </w:pPr>
    </w:p>
    <w:p w14:paraId="5C79A272" w14:textId="25D3ACE6" w:rsidR="006F5281" w:rsidRPr="00336B71" w:rsidRDefault="00CF44E2" w:rsidP="00D85E7C">
      <w:pPr>
        <w:pStyle w:val="ListParagraph"/>
        <w:numPr>
          <w:ilvl w:val="0"/>
          <w:numId w:val="17"/>
        </w:numPr>
        <w:spacing w:before="113" w:after="113" w:line="240" w:lineRule="auto"/>
        <w:ind w:left="567" w:hanging="425"/>
        <w:rPr>
          <w:b/>
          <w:bCs/>
        </w:rPr>
      </w:pPr>
      <w:r w:rsidRPr="00336B71">
        <w:rPr>
          <w:b/>
          <w:bCs/>
        </w:rPr>
        <w:t>Pre-departure Training</w:t>
      </w:r>
    </w:p>
    <w:p w14:paraId="2359B3C7" w14:textId="0DBB0E1A" w:rsidR="00CF44E2" w:rsidRPr="002D1B0C" w:rsidRDefault="00304FBC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 xml:space="preserve">DFAT provided eLearning on Risks and Responsibilities must be undertaken by all students. </w:t>
      </w:r>
      <w:r w:rsidR="00514AFB">
        <w:rPr>
          <w:rFonts w:eastAsia="Times New Roman" w:cstheme="minorHAnsi"/>
          <w:color w:val="000000"/>
          <w:spacing w:val="2"/>
          <w:lang w:eastAsia="en-AU"/>
        </w:rPr>
        <w:t xml:space="preserve">Please see </w:t>
      </w:r>
      <w:r w:rsidR="00CF44E2" w:rsidRPr="006261EE">
        <w:rPr>
          <w:rFonts w:eastAsia="Times New Roman" w:cstheme="minorHAnsi"/>
          <w:color w:val="000000"/>
          <w:spacing w:val="2"/>
          <w:lang w:eastAsia="en-AU"/>
        </w:rPr>
        <w:t xml:space="preserve">updated wording </w:t>
      </w:r>
      <w:r w:rsidR="00514AFB">
        <w:rPr>
          <w:rFonts w:eastAsia="Times New Roman" w:cstheme="minorHAnsi"/>
          <w:color w:val="000000"/>
          <w:spacing w:val="2"/>
          <w:lang w:eastAsia="en-AU"/>
        </w:rPr>
        <w:t xml:space="preserve">at </w:t>
      </w:r>
      <w:r w:rsidR="00CF44E2" w:rsidRPr="006261EE">
        <w:rPr>
          <w:rFonts w:eastAsia="Times New Roman" w:cstheme="minorHAnsi"/>
          <w:color w:val="000000"/>
          <w:spacing w:val="2"/>
          <w:lang w:eastAsia="en-AU"/>
        </w:rPr>
        <w:t>section 2.5</w:t>
      </w:r>
      <w:r w:rsidR="00AC6B05">
        <w:rPr>
          <w:rFonts w:eastAsia="Times New Roman" w:cstheme="minorHAnsi"/>
          <w:color w:val="000000"/>
          <w:spacing w:val="2"/>
          <w:lang w:eastAsia="en-AU"/>
        </w:rPr>
        <w:t>(</w:t>
      </w:r>
      <w:r w:rsidR="00CF44E2" w:rsidRPr="006261EE">
        <w:rPr>
          <w:rFonts w:eastAsia="Times New Roman" w:cstheme="minorHAnsi"/>
          <w:color w:val="000000"/>
          <w:spacing w:val="2"/>
          <w:lang w:eastAsia="en-AU"/>
        </w:rPr>
        <w:t>q</w:t>
      </w:r>
      <w:r w:rsidR="00AC6B05">
        <w:rPr>
          <w:rFonts w:eastAsia="Times New Roman" w:cstheme="minorHAnsi"/>
          <w:color w:val="000000"/>
          <w:spacing w:val="2"/>
          <w:lang w:eastAsia="en-AU"/>
        </w:rPr>
        <w:t>)</w:t>
      </w:r>
      <w:r w:rsidR="00514AFB">
        <w:rPr>
          <w:rFonts w:eastAsia="Times New Roman" w:cstheme="minorHAnsi"/>
          <w:color w:val="000000"/>
          <w:spacing w:val="2"/>
          <w:lang w:eastAsia="en-AU"/>
        </w:rPr>
        <w:t>.</w:t>
      </w:r>
    </w:p>
    <w:p w14:paraId="43529097" w14:textId="77777777" w:rsidR="00CF44E2" w:rsidRDefault="00CF44E2" w:rsidP="00CF44E2">
      <w:pPr>
        <w:pStyle w:val="ListParagraph"/>
        <w:rPr>
          <w:rFonts w:eastAsia="Times New Roman" w:cstheme="minorHAnsi"/>
          <w:b/>
          <w:bCs/>
          <w:color w:val="000000"/>
          <w:spacing w:val="2"/>
          <w:lang w:eastAsia="en-AU"/>
        </w:rPr>
      </w:pPr>
    </w:p>
    <w:p w14:paraId="3C3253B4" w14:textId="44FFED49" w:rsidR="00CF44E2" w:rsidRPr="00336B71" w:rsidRDefault="00653462" w:rsidP="00D85E7C">
      <w:pPr>
        <w:pStyle w:val="ListParagraph"/>
        <w:numPr>
          <w:ilvl w:val="0"/>
          <w:numId w:val="17"/>
        </w:numPr>
        <w:spacing w:before="113" w:after="113" w:line="240" w:lineRule="auto"/>
        <w:ind w:left="567" w:hanging="425"/>
        <w:rPr>
          <w:b/>
          <w:bCs/>
        </w:rPr>
      </w:pPr>
      <w:r w:rsidRPr="00336B71">
        <w:rPr>
          <w:b/>
          <w:bCs/>
        </w:rPr>
        <w:t xml:space="preserve">Assessment process </w:t>
      </w:r>
    </w:p>
    <w:p w14:paraId="27B21FC7" w14:textId="7538DCBE" w:rsidR="006F5281" w:rsidRDefault="00CF44E2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T</w:t>
      </w:r>
      <w:r w:rsidR="00653462" w:rsidRPr="004B37F9">
        <w:rPr>
          <w:rFonts w:eastAsia="Times New Roman" w:cstheme="minorHAnsi"/>
          <w:color w:val="000000"/>
          <w:spacing w:val="2"/>
          <w:lang w:eastAsia="en-AU"/>
        </w:rPr>
        <w:t xml:space="preserve">he </w:t>
      </w:r>
      <w:r w:rsidR="00653462" w:rsidRPr="002D1B0C">
        <w:rPr>
          <w:rFonts w:eastAsia="Times New Roman" w:cstheme="minorHAnsi"/>
          <w:color w:val="000000"/>
          <w:spacing w:val="2"/>
          <w:lang w:eastAsia="en-AU"/>
        </w:rPr>
        <w:t>four</w:t>
      </w:r>
      <w:r w:rsidR="00653462" w:rsidRPr="004B37F9">
        <w:rPr>
          <w:rFonts w:eastAsia="Times New Roman" w:cstheme="minorHAnsi"/>
          <w:color w:val="000000"/>
          <w:spacing w:val="2"/>
          <w:lang w:eastAsia="en-AU"/>
        </w:rPr>
        <w:t xml:space="preserve"> assessment criteria</w:t>
      </w:r>
      <w:r w:rsidR="003D6C90" w:rsidRPr="004B37F9">
        <w:rPr>
          <w:rFonts w:eastAsia="Times New Roman" w:cstheme="minorHAnsi"/>
          <w:color w:val="000000"/>
          <w:spacing w:val="2"/>
          <w:lang w:eastAsia="en-AU"/>
        </w:rPr>
        <w:t xml:space="preserve"> are </w:t>
      </w:r>
      <w:r w:rsidR="00653462" w:rsidRPr="004B37F9">
        <w:rPr>
          <w:rFonts w:eastAsia="Times New Roman" w:cstheme="minorHAnsi"/>
          <w:color w:val="000000"/>
          <w:spacing w:val="2"/>
          <w:lang w:eastAsia="en-AU"/>
        </w:rPr>
        <w:t xml:space="preserve">weighted equally. Eligible applications will be assessed against </w:t>
      </w:r>
      <w:r w:rsidR="00CD05A1" w:rsidRPr="004B37F9">
        <w:rPr>
          <w:rFonts w:eastAsia="Times New Roman" w:cstheme="minorHAnsi"/>
          <w:color w:val="000000"/>
          <w:spacing w:val="2"/>
          <w:lang w:eastAsia="en-AU"/>
        </w:rPr>
        <w:t xml:space="preserve">how well they meet </w:t>
      </w:r>
      <w:r w:rsidR="00653462" w:rsidRPr="004B37F9">
        <w:rPr>
          <w:rFonts w:eastAsia="Times New Roman" w:cstheme="minorHAnsi"/>
          <w:color w:val="000000"/>
          <w:spacing w:val="2"/>
          <w:lang w:eastAsia="en-AU"/>
        </w:rPr>
        <w:t>the selection criteria</w:t>
      </w:r>
      <w:r w:rsidR="00AD5886" w:rsidRPr="004B37F9">
        <w:rPr>
          <w:rFonts w:eastAsia="Times New Roman" w:cstheme="minorHAnsi"/>
          <w:color w:val="000000"/>
          <w:spacing w:val="2"/>
          <w:lang w:eastAsia="en-AU"/>
        </w:rPr>
        <w:t xml:space="preserve">. </w:t>
      </w:r>
      <w:r w:rsidR="00CD05A1" w:rsidRPr="004B37F9">
        <w:rPr>
          <w:rFonts w:eastAsia="Times New Roman" w:cstheme="minorHAnsi"/>
          <w:color w:val="000000"/>
          <w:spacing w:val="2"/>
          <w:lang w:eastAsia="en-AU"/>
        </w:rPr>
        <w:t>C</w:t>
      </w:r>
      <w:r w:rsidR="00653462" w:rsidRPr="004B37F9">
        <w:rPr>
          <w:rFonts w:eastAsia="Times New Roman" w:cstheme="minorHAnsi"/>
          <w:color w:val="000000"/>
          <w:spacing w:val="2"/>
          <w:lang w:eastAsia="en-AU"/>
        </w:rPr>
        <w:t xml:space="preserve">onsideration </w:t>
      </w:r>
      <w:r w:rsidR="00CD05A1" w:rsidRPr="004B37F9">
        <w:rPr>
          <w:rFonts w:eastAsia="Times New Roman" w:cstheme="minorHAnsi"/>
          <w:color w:val="000000"/>
          <w:spacing w:val="2"/>
          <w:lang w:eastAsia="en-AU"/>
        </w:rPr>
        <w:t xml:space="preserve">will </w:t>
      </w:r>
      <w:r w:rsidR="00FB3FBD" w:rsidRPr="004B37F9">
        <w:rPr>
          <w:rFonts w:eastAsia="Times New Roman" w:cstheme="minorHAnsi"/>
          <w:color w:val="000000"/>
          <w:spacing w:val="2"/>
          <w:lang w:eastAsia="en-AU"/>
        </w:rPr>
        <w:t xml:space="preserve">also </w:t>
      </w:r>
      <w:r w:rsidR="00CD05A1" w:rsidRPr="004B37F9">
        <w:rPr>
          <w:rFonts w:eastAsia="Times New Roman" w:cstheme="minorHAnsi"/>
          <w:color w:val="000000"/>
          <w:spacing w:val="2"/>
          <w:lang w:eastAsia="en-AU"/>
        </w:rPr>
        <w:t>be given</w:t>
      </w:r>
      <w:r w:rsidR="00CA26FB" w:rsidRPr="004B37F9">
        <w:rPr>
          <w:rFonts w:eastAsia="Times New Roman" w:cstheme="minorHAnsi"/>
          <w:color w:val="000000"/>
          <w:spacing w:val="2"/>
          <w:lang w:eastAsia="en-AU"/>
        </w:rPr>
        <w:t xml:space="preserve"> to</w:t>
      </w:r>
      <w:r w:rsidR="006F5281">
        <w:rPr>
          <w:rFonts w:eastAsia="Times New Roman" w:cstheme="minorHAnsi"/>
          <w:color w:val="000000"/>
          <w:spacing w:val="2"/>
          <w:lang w:eastAsia="en-AU"/>
        </w:rPr>
        <w:t>:</w:t>
      </w:r>
    </w:p>
    <w:p w14:paraId="6DE71CEF" w14:textId="449CAE13" w:rsidR="002612D3" w:rsidRPr="002D1B0C" w:rsidRDefault="002612D3" w:rsidP="002D1B0C">
      <w:pPr>
        <w:pStyle w:val="ListParagraph"/>
        <w:numPr>
          <w:ilvl w:val="0"/>
          <w:numId w:val="19"/>
        </w:num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v</w:t>
      </w:r>
      <w:r w:rsidR="006F5281" w:rsidRPr="006F5281">
        <w:rPr>
          <w:rFonts w:eastAsia="Times New Roman" w:cstheme="minorHAnsi"/>
          <w:color w:val="000000"/>
          <w:spacing w:val="2"/>
          <w:lang w:eastAsia="en-AU"/>
        </w:rPr>
        <w:t>alue</w:t>
      </w:r>
      <w:r w:rsidR="00AC6B05">
        <w:rPr>
          <w:rFonts w:eastAsia="Times New Roman" w:cstheme="minorHAnsi"/>
          <w:color w:val="000000"/>
          <w:spacing w:val="2"/>
          <w:lang w:eastAsia="en-AU"/>
        </w:rPr>
        <w:t xml:space="preserve"> with </w:t>
      </w:r>
      <w:r w:rsidR="006F5281" w:rsidRPr="006F5281">
        <w:rPr>
          <w:rFonts w:eastAsia="Times New Roman" w:cstheme="minorHAnsi"/>
          <w:color w:val="000000"/>
          <w:spacing w:val="2"/>
          <w:lang w:eastAsia="en-AU"/>
        </w:rPr>
        <w:t>money</w:t>
      </w:r>
      <w:r w:rsidR="006F5281">
        <w:rPr>
          <w:rFonts w:eastAsia="Times New Roman" w:cstheme="minorHAnsi"/>
          <w:color w:val="000000"/>
          <w:spacing w:val="2"/>
          <w:lang w:eastAsia="en-AU"/>
        </w:rPr>
        <w:t xml:space="preserve">, as demonstrated by </w:t>
      </w:r>
      <w:r>
        <w:rPr>
          <w:rFonts w:eastAsia="Times New Roman" w:cstheme="minorHAnsi"/>
          <w:color w:val="000000"/>
          <w:spacing w:val="2"/>
          <w:lang w:eastAsia="en-AU"/>
        </w:rPr>
        <w:t>t</w:t>
      </w:r>
      <w:r w:rsidRPr="006261EE">
        <w:rPr>
          <w:rFonts w:eastAsia="Times New Roman" w:cstheme="minorHAnsi"/>
          <w:color w:val="000000"/>
          <w:spacing w:val="2"/>
          <w:lang w:eastAsia="en-AU"/>
        </w:rPr>
        <w:t>he number of university students expected to participate</w:t>
      </w:r>
      <w:r w:rsidR="008B06E3">
        <w:rPr>
          <w:rFonts w:eastAsia="Times New Roman" w:cstheme="minorHAnsi"/>
          <w:color w:val="000000"/>
          <w:spacing w:val="2"/>
          <w:lang w:eastAsia="en-AU"/>
        </w:rPr>
        <w:t>, grant amounts,</w:t>
      </w:r>
      <w:r w:rsidRPr="006261EE">
        <w:rPr>
          <w:rFonts w:eastAsia="Times New Roman" w:cstheme="minorHAnsi"/>
          <w:color w:val="000000"/>
          <w:spacing w:val="2"/>
          <w:lang w:eastAsia="en-AU"/>
        </w:rPr>
        <w:t xml:space="preserve"> and the duration of the mobility project</w:t>
      </w:r>
    </w:p>
    <w:p w14:paraId="493E252B" w14:textId="75FBE2B3" w:rsidR="002612D3" w:rsidRDefault="002612D3" w:rsidP="002D1B0C">
      <w:pPr>
        <w:pStyle w:val="ListParagraph"/>
        <w:numPr>
          <w:ilvl w:val="0"/>
          <w:numId w:val="19"/>
        </w:num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lastRenderedPageBreak/>
        <w:t xml:space="preserve">quality education outcomes </w:t>
      </w:r>
    </w:p>
    <w:p w14:paraId="41362ACE" w14:textId="151109B4" w:rsidR="006F5281" w:rsidRDefault="006F5281" w:rsidP="002D1B0C">
      <w:pPr>
        <w:pStyle w:val="ListParagraph"/>
        <w:numPr>
          <w:ilvl w:val="0"/>
          <w:numId w:val="19"/>
        </w:num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6F5281">
        <w:rPr>
          <w:rFonts w:eastAsia="Times New Roman" w:cstheme="minorHAnsi"/>
          <w:color w:val="000000"/>
          <w:spacing w:val="2"/>
          <w:lang w:eastAsia="en-AU"/>
        </w:rPr>
        <w:t>sustaining linkages and i</w:t>
      </w:r>
      <w:r w:rsidR="002612D3">
        <w:rPr>
          <w:rFonts w:eastAsia="Times New Roman" w:cstheme="minorHAnsi"/>
          <w:color w:val="000000"/>
          <w:spacing w:val="2"/>
          <w:lang w:eastAsia="en-AU"/>
        </w:rPr>
        <w:t>mpact</w:t>
      </w:r>
    </w:p>
    <w:p w14:paraId="5066C69D" w14:textId="4FD4C1BA" w:rsidR="002612D3" w:rsidRDefault="006F5281" w:rsidP="002D1B0C">
      <w:pPr>
        <w:pStyle w:val="ListParagraph"/>
        <w:numPr>
          <w:ilvl w:val="0"/>
          <w:numId w:val="19"/>
        </w:num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6F5281">
        <w:rPr>
          <w:rFonts w:eastAsia="Times New Roman" w:cstheme="minorHAnsi"/>
          <w:color w:val="000000"/>
          <w:spacing w:val="2"/>
          <w:lang w:eastAsia="en-AU"/>
        </w:rPr>
        <w:t xml:space="preserve">sound risk management </w:t>
      </w:r>
    </w:p>
    <w:p w14:paraId="221F5E0A" w14:textId="4ED5BEC7" w:rsidR="00D76E29" w:rsidRPr="00D76E29" w:rsidRDefault="002D1B0C" w:rsidP="0079613F">
      <w:pPr>
        <w:pStyle w:val="ListParagraph"/>
        <w:numPr>
          <w:ilvl w:val="0"/>
          <w:numId w:val="19"/>
        </w:numPr>
        <w:spacing w:after="150" w:line="240" w:lineRule="auto"/>
        <w:rPr>
          <w:b/>
          <w:u w:val="single"/>
        </w:rPr>
      </w:pPr>
      <w:r w:rsidRPr="008C224B">
        <w:rPr>
          <w:rFonts w:eastAsia="Times New Roman" w:cstheme="minorHAnsi"/>
          <w:color w:val="000000"/>
          <w:spacing w:val="2"/>
          <w:lang w:eastAsia="en-AU"/>
        </w:rPr>
        <w:t>t</w:t>
      </w:r>
      <w:r w:rsidR="002612D3" w:rsidRPr="008C224B">
        <w:rPr>
          <w:rFonts w:eastAsia="Times New Roman" w:cstheme="minorHAnsi"/>
          <w:color w:val="000000"/>
          <w:spacing w:val="2"/>
          <w:lang w:eastAsia="en-AU"/>
        </w:rPr>
        <w:t>he university’s track record in meeting reporting requirements</w:t>
      </w:r>
      <w:r w:rsidR="00A17D12" w:rsidRPr="008C224B">
        <w:rPr>
          <w:rFonts w:eastAsia="Times New Roman" w:cstheme="minorHAnsi"/>
          <w:color w:val="000000"/>
          <w:spacing w:val="2"/>
          <w:lang w:eastAsia="en-AU"/>
        </w:rPr>
        <w:t xml:space="preserve">, including completion </w:t>
      </w:r>
      <w:r w:rsidR="008C224B">
        <w:rPr>
          <w:rFonts w:eastAsia="Times New Roman" w:cstheme="minorHAnsi"/>
          <w:color w:val="000000"/>
          <w:spacing w:val="2"/>
          <w:lang w:eastAsia="en-AU"/>
        </w:rPr>
        <w:t xml:space="preserve">reports </w:t>
      </w:r>
      <w:r w:rsidR="00A17D12" w:rsidRPr="008C224B">
        <w:rPr>
          <w:rFonts w:eastAsia="Times New Roman" w:cstheme="minorHAnsi"/>
          <w:color w:val="000000"/>
          <w:spacing w:val="2"/>
          <w:lang w:eastAsia="en-AU"/>
        </w:rPr>
        <w:t xml:space="preserve">and financial acquittal, </w:t>
      </w:r>
      <w:r w:rsidR="002612D3" w:rsidRPr="008C224B">
        <w:rPr>
          <w:rFonts w:eastAsia="Times New Roman" w:cstheme="minorHAnsi"/>
          <w:color w:val="000000"/>
          <w:spacing w:val="2"/>
          <w:lang w:eastAsia="en-AU"/>
        </w:rPr>
        <w:t>under previous NCP Mobility funded projects</w:t>
      </w:r>
      <w:r w:rsidR="008B06E3" w:rsidRPr="008C224B">
        <w:rPr>
          <w:rFonts w:eastAsia="Times New Roman" w:cstheme="minorHAnsi"/>
          <w:color w:val="000000"/>
          <w:spacing w:val="2"/>
          <w:lang w:eastAsia="en-AU"/>
        </w:rPr>
        <w:t>.</w:t>
      </w:r>
      <w:bookmarkStart w:id="1" w:name="_Hlk74063462"/>
    </w:p>
    <w:p w14:paraId="7904A936" w14:textId="77777777" w:rsidR="00D76E29" w:rsidRPr="00D76E29" w:rsidRDefault="00D76E29" w:rsidP="00D76E29">
      <w:pPr>
        <w:pStyle w:val="ListParagraph"/>
        <w:spacing w:after="150" w:line="240" w:lineRule="auto"/>
        <w:rPr>
          <w:b/>
          <w:u w:val="single"/>
        </w:rPr>
      </w:pPr>
    </w:p>
    <w:p w14:paraId="239237B2" w14:textId="20F77BE1" w:rsidR="006F5281" w:rsidRDefault="00CF44E2" w:rsidP="002D1B0C">
      <w:pPr>
        <w:pStyle w:val="ListParagraph"/>
        <w:numPr>
          <w:ilvl w:val="0"/>
          <w:numId w:val="16"/>
        </w:numPr>
        <w:ind w:left="426" w:hanging="426"/>
        <w:rPr>
          <w:b/>
          <w:u w:val="single"/>
        </w:rPr>
      </w:pPr>
      <w:r w:rsidRPr="002D1B0C">
        <w:rPr>
          <w:b/>
          <w:u w:val="single"/>
        </w:rPr>
        <w:t>Priority themes</w:t>
      </w:r>
    </w:p>
    <w:p w14:paraId="4C8F7F62" w14:textId="42A5F7DB" w:rsidR="002D1B0C" w:rsidRDefault="002D1B0C" w:rsidP="002D1B0C">
      <w:pPr>
        <w:pStyle w:val="ListParagraph"/>
        <w:rPr>
          <w:b/>
          <w:u w:val="single"/>
        </w:rPr>
      </w:pPr>
    </w:p>
    <w:p w14:paraId="742262CC" w14:textId="3E455B5F" w:rsidR="00D85E7C" w:rsidRPr="00D85E7C" w:rsidRDefault="00D85E7C" w:rsidP="00D85E7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Universities are encouraged to consider the following themes when preparing their applications:</w:t>
      </w:r>
    </w:p>
    <w:p w14:paraId="5178A5F4" w14:textId="32D14035" w:rsidR="00A72193" w:rsidRPr="004B37F9" w:rsidRDefault="00A72193" w:rsidP="004B37F9">
      <w:pPr>
        <w:pStyle w:val="ListParagraph"/>
        <w:numPr>
          <w:ilvl w:val="0"/>
          <w:numId w:val="15"/>
        </w:num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>
        <w:rPr>
          <w:rFonts w:eastAsia="Times New Roman" w:cstheme="minorHAnsi"/>
          <w:color w:val="000000"/>
          <w:spacing w:val="2"/>
          <w:lang w:eastAsia="en-AU"/>
        </w:rPr>
        <w:t>t</w:t>
      </w:r>
      <w:r w:rsidRPr="004B37F9">
        <w:rPr>
          <w:rFonts w:eastAsia="Times New Roman" w:cstheme="minorHAnsi"/>
          <w:color w:val="000000"/>
          <w:spacing w:val="2"/>
          <w:lang w:eastAsia="en-AU"/>
        </w:rPr>
        <w:t>ackl</w:t>
      </w:r>
      <w:r>
        <w:rPr>
          <w:rFonts w:eastAsia="Times New Roman" w:cstheme="minorHAnsi"/>
          <w:color w:val="000000"/>
          <w:spacing w:val="2"/>
          <w:lang w:eastAsia="en-AU"/>
        </w:rPr>
        <w:t>ing</w:t>
      </w:r>
      <w:r w:rsidRPr="004B37F9">
        <w:rPr>
          <w:rFonts w:eastAsia="Times New Roman" w:cstheme="minorHAnsi"/>
          <w:color w:val="000000"/>
          <w:spacing w:val="2"/>
          <w:lang w:eastAsia="en-AU"/>
        </w:rPr>
        <w:t xml:space="preserve"> shared challenges with the Indo-Pacific, such as communicable disease, cybersecurity, climate change and regional stability</w:t>
      </w:r>
    </w:p>
    <w:p w14:paraId="627E92C6" w14:textId="3442E3DF" w:rsidR="00E02FED" w:rsidRPr="00C401CE" w:rsidRDefault="00A72193" w:rsidP="00E02FED">
      <w:pPr>
        <w:pStyle w:val="ListParagraph"/>
        <w:numPr>
          <w:ilvl w:val="0"/>
          <w:numId w:val="15"/>
        </w:num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4B37F9">
        <w:rPr>
          <w:rFonts w:eastAsia="Times New Roman" w:cstheme="minorHAnsi"/>
          <w:color w:val="000000"/>
          <w:spacing w:val="2"/>
          <w:lang w:eastAsia="en-AU"/>
        </w:rPr>
        <w:t xml:space="preserve">embracing innovation </w:t>
      </w:r>
      <w:r w:rsidR="00E02FED">
        <w:rPr>
          <w:rFonts w:eastAsia="Times New Roman" w:cstheme="minorHAnsi"/>
          <w:color w:val="000000"/>
          <w:spacing w:val="2"/>
          <w:lang w:eastAsia="en-AU"/>
        </w:rPr>
        <w:t>and new ways of working, such</w:t>
      </w:r>
      <w:r w:rsidR="00514AFB" w:rsidRPr="00514AFB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FF7646">
        <w:rPr>
          <w:rFonts w:eastAsia="Times New Roman" w:cstheme="minorHAnsi"/>
          <w:color w:val="000000"/>
          <w:spacing w:val="2"/>
          <w:lang w:eastAsia="en-AU"/>
        </w:rPr>
        <w:t xml:space="preserve">as </w:t>
      </w:r>
      <w:r w:rsidR="00514AFB">
        <w:rPr>
          <w:rFonts w:eastAsia="Times New Roman" w:cstheme="minorHAnsi"/>
          <w:color w:val="000000"/>
          <w:spacing w:val="2"/>
          <w:lang w:eastAsia="en-AU"/>
        </w:rPr>
        <w:t>clean energy,</w:t>
      </w:r>
      <w:r w:rsidR="00E02FED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E02FED" w:rsidRPr="00C401CE">
        <w:rPr>
          <w:rFonts w:eastAsia="Times New Roman" w:cstheme="minorHAnsi"/>
          <w:color w:val="000000"/>
          <w:spacing w:val="2"/>
          <w:lang w:eastAsia="en-AU"/>
        </w:rPr>
        <w:t>e-commerce</w:t>
      </w:r>
      <w:r w:rsidR="00E02FED">
        <w:rPr>
          <w:rFonts w:eastAsia="Times New Roman" w:cstheme="minorHAnsi"/>
          <w:color w:val="000000"/>
          <w:spacing w:val="2"/>
          <w:lang w:eastAsia="en-AU"/>
        </w:rPr>
        <w:t xml:space="preserve">, </w:t>
      </w:r>
      <w:r w:rsidR="00514AFB">
        <w:rPr>
          <w:rFonts w:eastAsia="Times New Roman" w:cstheme="minorHAnsi"/>
          <w:color w:val="000000"/>
          <w:spacing w:val="2"/>
          <w:lang w:eastAsia="en-AU"/>
        </w:rPr>
        <w:t xml:space="preserve">and </w:t>
      </w:r>
      <w:r w:rsidR="00E02FED">
        <w:rPr>
          <w:rFonts w:eastAsia="Times New Roman" w:cstheme="minorHAnsi"/>
          <w:color w:val="000000"/>
          <w:spacing w:val="2"/>
          <w:lang w:eastAsia="en-AU"/>
        </w:rPr>
        <w:t>tele-health</w:t>
      </w:r>
      <w:r w:rsidR="000D30EB">
        <w:rPr>
          <w:rFonts w:eastAsia="Times New Roman" w:cstheme="minorHAnsi"/>
          <w:color w:val="000000"/>
          <w:spacing w:val="2"/>
          <w:lang w:eastAsia="en-AU"/>
        </w:rPr>
        <w:t xml:space="preserve"> and eng</w:t>
      </w:r>
      <w:r w:rsidR="00BD31CC">
        <w:rPr>
          <w:rFonts w:eastAsia="Times New Roman" w:cstheme="minorHAnsi"/>
          <w:color w:val="000000"/>
          <w:spacing w:val="2"/>
          <w:lang w:eastAsia="en-AU"/>
        </w:rPr>
        <w:t>i</w:t>
      </w:r>
      <w:r w:rsidR="000D30EB">
        <w:rPr>
          <w:rFonts w:eastAsia="Times New Roman" w:cstheme="minorHAnsi"/>
          <w:color w:val="000000"/>
          <w:spacing w:val="2"/>
          <w:lang w:eastAsia="en-AU"/>
        </w:rPr>
        <w:t>neering</w:t>
      </w:r>
      <w:r w:rsidR="00E02FED">
        <w:rPr>
          <w:rFonts w:eastAsia="Times New Roman" w:cstheme="minorHAnsi"/>
          <w:color w:val="000000"/>
          <w:spacing w:val="2"/>
          <w:lang w:eastAsia="en-AU"/>
        </w:rPr>
        <w:t xml:space="preserve"> </w:t>
      </w:r>
    </w:p>
    <w:p w14:paraId="57DB6828" w14:textId="6D3E0CC4" w:rsidR="00A72193" w:rsidRDefault="00A72193" w:rsidP="00E02FED">
      <w:pPr>
        <w:pStyle w:val="ListParagraph"/>
        <w:numPr>
          <w:ilvl w:val="0"/>
          <w:numId w:val="15"/>
        </w:num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4B37F9">
        <w:rPr>
          <w:rFonts w:eastAsia="Times New Roman" w:cstheme="minorHAnsi"/>
          <w:color w:val="000000"/>
          <w:spacing w:val="2"/>
          <w:lang w:eastAsia="en-AU"/>
        </w:rPr>
        <w:t>building capacity in areas such as education, health, transport</w:t>
      </w:r>
      <w:r w:rsidR="00E02FED">
        <w:rPr>
          <w:rFonts w:eastAsia="Times New Roman" w:cstheme="minorHAnsi"/>
          <w:color w:val="000000"/>
          <w:spacing w:val="2"/>
          <w:lang w:eastAsia="en-AU"/>
        </w:rPr>
        <w:t>,</w:t>
      </w:r>
      <w:r w:rsidRPr="004B37F9">
        <w:rPr>
          <w:rFonts w:eastAsia="Times New Roman" w:cstheme="minorHAnsi"/>
          <w:color w:val="000000"/>
          <w:spacing w:val="2"/>
          <w:lang w:eastAsia="en-AU"/>
        </w:rPr>
        <w:t xml:space="preserve"> environmental </w:t>
      </w:r>
      <w:proofErr w:type="gramStart"/>
      <w:r w:rsidRPr="004B37F9">
        <w:rPr>
          <w:rFonts w:eastAsia="Times New Roman" w:cstheme="minorHAnsi"/>
          <w:color w:val="000000"/>
          <w:spacing w:val="2"/>
          <w:lang w:eastAsia="en-AU"/>
        </w:rPr>
        <w:t>manag</w:t>
      </w:r>
      <w:r w:rsidR="000D30EB">
        <w:rPr>
          <w:rFonts w:eastAsia="Times New Roman" w:cstheme="minorHAnsi"/>
          <w:color w:val="000000"/>
          <w:spacing w:val="2"/>
          <w:lang w:eastAsia="en-AU"/>
        </w:rPr>
        <w:t>e</w:t>
      </w:r>
      <w:r w:rsidRPr="004B37F9">
        <w:rPr>
          <w:rFonts w:eastAsia="Times New Roman" w:cstheme="minorHAnsi"/>
          <w:color w:val="000000"/>
          <w:spacing w:val="2"/>
          <w:lang w:eastAsia="en-AU"/>
        </w:rPr>
        <w:t>ment</w:t>
      </w:r>
      <w:proofErr w:type="gramEnd"/>
      <w:r w:rsidR="00E02FED">
        <w:rPr>
          <w:rFonts w:eastAsia="Times New Roman" w:cstheme="minorHAnsi"/>
          <w:color w:val="000000"/>
          <w:spacing w:val="2"/>
          <w:lang w:eastAsia="en-AU"/>
        </w:rPr>
        <w:t xml:space="preserve"> and governance</w:t>
      </w:r>
    </w:p>
    <w:p w14:paraId="792BF380" w14:textId="2CCB1BF7" w:rsidR="00E02FED" w:rsidRDefault="00E02FED" w:rsidP="00E02FED">
      <w:pPr>
        <w:pStyle w:val="ListParagraph"/>
        <w:numPr>
          <w:ilvl w:val="0"/>
          <w:numId w:val="15"/>
        </w:num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C401CE">
        <w:rPr>
          <w:rFonts w:eastAsia="Times New Roman" w:cstheme="minorHAnsi"/>
          <w:color w:val="000000"/>
          <w:spacing w:val="2"/>
          <w:lang w:eastAsia="en-AU"/>
        </w:rPr>
        <w:t>increasing trade and investment opportunities</w:t>
      </w:r>
      <w:r>
        <w:rPr>
          <w:rFonts w:eastAsia="Times New Roman" w:cstheme="minorHAnsi"/>
          <w:color w:val="000000"/>
          <w:spacing w:val="2"/>
          <w:lang w:eastAsia="en-AU"/>
        </w:rPr>
        <w:t>, and recovery from COVID-19</w:t>
      </w:r>
    </w:p>
    <w:p w14:paraId="06FCA3A8" w14:textId="51C7491A" w:rsidR="002D1B0C" w:rsidRDefault="002D1B0C" w:rsidP="002D1B0C">
      <w:pPr>
        <w:pStyle w:val="ListParagraph"/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</w:p>
    <w:bookmarkEnd w:id="1"/>
    <w:p w14:paraId="53F2486A" w14:textId="40BDF368" w:rsidR="0038288B" w:rsidRPr="002D1B0C" w:rsidRDefault="00E5275C" w:rsidP="002D1B0C">
      <w:pPr>
        <w:pStyle w:val="ListParagraph"/>
        <w:numPr>
          <w:ilvl w:val="0"/>
          <w:numId w:val="16"/>
        </w:numPr>
        <w:ind w:left="426" w:hanging="426"/>
        <w:rPr>
          <w:b/>
          <w:u w:val="single"/>
        </w:rPr>
      </w:pPr>
      <w:r w:rsidRPr="002D1B0C">
        <w:rPr>
          <w:b/>
          <w:u w:val="single"/>
        </w:rPr>
        <w:t>H</w:t>
      </w:r>
      <w:r w:rsidR="002E327C" w:rsidRPr="002D1B0C">
        <w:rPr>
          <w:b/>
          <w:u w:val="single"/>
        </w:rPr>
        <w:t>ost locatio</w:t>
      </w:r>
      <w:r w:rsidR="00376F82" w:rsidRPr="002D1B0C">
        <w:rPr>
          <w:b/>
          <w:u w:val="single"/>
        </w:rPr>
        <w:t>n eligibility</w:t>
      </w:r>
    </w:p>
    <w:p w14:paraId="45A4FB41" w14:textId="77777777" w:rsidR="007672BD" w:rsidRDefault="007672BD" w:rsidP="0038288B">
      <w:pPr>
        <w:spacing w:before="113" w:after="113" w:line="240" w:lineRule="auto"/>
        <w:rPr>
          <w:rFonts w:cstheme="minorHAnsi"/>
          <w:bCs/>
        </w:rPr>
      </w:pPr>
      <w:r>
        <w:rPr>
          <w:rFonts w:cstheme="minorHAnsi"/>
          <w:bCs/>
        </w:rPr>
        <w:t>Section 5.6 states that</w:t>
      </w:r>
      <w:r w:rsidRPr="007672BD">
        <w:t xml:space="preserve"> </w:t>
      </w:r>
      <w:r>
        <w:t>“</w:t>
      </w:r>
      <w:r w:rsidRPr="007672BD">
        <w:rPr>
          <w:rFonts w:cstheme="minorHAnsi"/>
          <w:bCs/>
        </w:rPr>
        <w:t xml:space="preserve">Mobility projects must not involve travel to or remain in a Host Location or region within a host location for which the </w:t>
      </w:r>
      <w:proofErr w:type="spellStart"/>
      <w:r w:rsidRPr="007672BD">
        <w:rPr>
          <w:rFonts w:cstheme="minorHAnsi"/>
          <w:bCs/>
        </w:rPr>
        <w:t>Smartraveller</w:t>
      </w:r>
      <w:proofErr w:type="spellEnd"/>
      <w:r w:rsidRPr="007672BD">
        <w:rPr>
          <w:rFonts w:cstheme="minorHAnsi"/>
          <w:bCs/>
        </w:rPr>
        <w:t xml:space="preserve"> advice is ‘Do not travel’ or ‘Reconsider your need to travel’</w:t>
      </w:r>
      <w:r>
        <w:rPr>
          <w:rFonts w:cstheme="minorHAnsi"/>
          <w:bCs/>
        </w:rPr>
        <w:t>”</w:t>
      </w:r>
      <w:r w:rsidRPr="007672BD">
        <w:rPr>
          <w:rFonts w:cstheme="minorHAnsi"/>
          <w:bCs/>
        </w:rPr>
        <w:t xml:space="preserve">. </w:t>
      </w:r>
    </w:p>
    <w:p w14:paraId="1A6E386D" w14:textId="6B071205" w:rsidR="007672BD" w:rsidRDefault="00AC6B05" w:rsidP="0038288B">
      <w:pPr>
        <w:spacing w:before="113" w:after="113" w:line="240" w:lineRule="auto"/>
        <w:rPr>
          <w:rFonts w:cstheme="minorHAnsi"/>
        </w:rPr>
      </w:pPr>
      <w:r>
        <w:rPr>
          <w:rFonts w:cstheme="minorHAnsi"/>
          <w:bCs/>
        </w:rPr>
        <w:t>It is anticipated that host</w:t>
      </w:r>
      <w:r w:rsidR="0072565D">
        <w:rPr>
          <w:rFonts w:cstheme="minorHAnsi"/>
          <w:bCs/>
        </w:rPr>
        <w:t xml:space="preserve"> many</w:t>
      </w:r>
      <w:r>
        <w:rPr>
          <w:rFonts w:cstheme="minorHAnsi"/>
          <w:bCs/>
        </w:rPr>
        <w:t xml:space="preserve"> locations </w:t>
      </w:r>
      <w:r w:rsidR="007672BD">
        <w:rPr>
          <w:rFonts w:cstheme="minorHAnsi"/>
          <w:bCs/>
        </w:rPr>
        <w:t xml:space="preserve">will </w:t>
      </w:r>
      <w:r>
        <w:rPr>
          <w:rFonts w:cstheme="minorHAnsi"/>
          <w:bCs/>
        </w:rPr>
        <w:t xml:space="preserve">still be listed as </w:t>
      </w:r>
      <w:r w:rsidR="007672BD">
        <w:rPr>
          <w:rFonts w:cstheme="minorHAnsi"/>
          <w:bCs/>
        </w:rPr>
        <w:t>‘</w:t>
      </w:r>
      <w:r>
        <w:rPr>
          <w:rFonts w:cstheme="minorHAnsi"/>
          <w:bCs/>
        </w:rPr>
        <w:t>Do not travel</w:t>
      </w:r>
      <w:r w:rsidR="007672BD">
        <w:rPr>
          <w:rFonts w:cstheme="minorHAnsi"/>
          <w:bCs/>
        </w:rPr>
        <w:t>’</w:t>
      </w:r>
      <w:r>
        <w:rPr>
          <w:rFonts w:cstheme="minorHAnsi"/>
          <w:bCs/>
        </w:rPr>
        <w:t xml:space="preserve"> during the application period</w:t>
      </w:r>
      <w:r w:rsidRPr="00AC6B05">
        <w:t xml:space="preserve"> </w:t>
      </w:r>
      <w:r w:rsidRPr="00AC6B05">
        <w:rPr>
          <w:rFonts w:cstheme="minorHAnsi"/>
          <w:bCs/>
        </w:rPr>
        <w:t xml:space="preserve">due to the health risks from the COVID-19 pandemic and the significant disruptions to global travel. Some </w:t>
      </w:r>
      <w:r>
        <w:rPr>
          <w:rFonts w:cstheme="minorHAnsi"/>
          <w:bCs/>
        </w:rPr>
        <w:t xml:space="preserve">locations </w:t>
      </w:r>
      <w:r w:rsidRPr="00AC6B05">
        <w:rPr>
          <w:rFonts w:cstheme="minorHAnsi"/>
          <w:bCs/>
        </w:rPr>
        <w:t xml:space="preserve">were already set at </w:t>
      </w:r>
      <w:r w:rsidR="007672BD">
        <w:rPr>
          <w:rFonts w:cstheme="minorHAnsi"/>
          <w:bCs/>
        </w:rPr>
        <w:t>‘</w:t>
      </w:r>
      <w:r w:rsidRPr="00AC6B05">
        <w:rPr>
          <w:rFonts w:cstheme="minorHAnsi"/>
          <w:bCs/>
        </w:rPr>
        <w:t xml:space="preserve">Do </w:t>
      </w:r>
      <w:r>
        <w:rPr>
          <w:rFonts w:cstheme="minorHAnsi"/>
          <w:bCs/>
        </w:rPr>
        <w:t>n</w:t>
      </w:r>
      <w:r w:rsidRPr="00AC6B05">
        <w:rPr>
          <w:rFonts w:cstheme="minorHAnsi"/>
          <w:bCs/>
        </w:rPr>
        <w:t xml:space="preserve">ot </w:t>
      </w:r>
      <w:r>
        <w:rPr>
          <w:rFonts w:cstheme="minorHAnsi"/>
          <w:bCs/>
        </w:rPr>
        <w:t>t</w:t>
      </w:r>
      <w:r w:rsidRPr="00AC6B05">
        <w:rPr>
          <w:rFonts w:cstheme="minorHAnsi"/>
          <w:bCs/>
        </w:rPr>
        <w:t>ravel</w:t>
      </w:r>
      <w:r w:rsidR="007672BD">
        <w:rPr>
          <w:rFonts w:cstheme="minorHAnsi"/>
          <w:bCs/>
        </w:rPr>
        <w:t>’</w:t>
      </w:r>
      <w:r w:rsidRPr="00AC6B05">
        <w:rPr>
          <w:rFonts w:cstheme="minorHAnsi"/>
          <w:bCs/>
        </w:rPr>
        <w:t xml:space="preserve"> prior to COVID-19 due to the risk to safety.</w:t>
      </w:r>
      <w:r>
        <w:rPr>
          <w:rFonts w:cstheme="minorHAnsi"/>
          <w:bCs/>
        </w:rPr>
        <w:t xml:space="preserve"> </w:t>
      </w:r>
      <w:r w:rsidR="002E327C" w:rsidRPr="00CB5EA7">
        <w:rPr>
          <w:rFonts w:cstheme="minorHAnsi"/>
          <w:bCs/>
        </w:rPr>
        <w:t>Applicants</w:t>
      </w:r>
      <w:r w:rsidR="002E327C" w:rsidRPr="00CB5EA7">
        <w:rPr>
          <w:rFonts w:cstheme="minorHAnsi"/>
        </w:rPr>
        <w:t xml:space="preserve"> </w:t>
      </w:r>
      <w:r w:rsidR="007672BD">
        <w:rPr>
          <w:rFonts w:cstheme="minorHAnsi"/>
        </w:rPr>
        <w:t xml:space="preserve">may propose projects for travel to ‘Do not travel’ locations, but </w:t>
      </w:r>
      <w:r w:rsidR="002E327C" w:rsidRPr="00CB5EA7">
        <w:rPr>
          <w:rFonts w:cstheme="minorHAnsi"/>
        </w:rPr>
        <w:t xml:space="preserve">are strongly discouraged from proposing programs in a Host Location, or region within a Host Location, for which </w:t>
      </w:r>
      <w:hyperlink r:id="rId12" w:history="1">
        <w:proofErr w:type="spellStart"/>
        <w:r w:rsidR="007F491A" w:rsidRPr="007F491A">
          <w:rPr>
            <w:rStyle w:val="Hyperlink"/>
            <w:rFonts w:cstheme="minorHAnsi"/>
          </w:rPr>
          <w:t>Smartraveller</w:t>
        </w:r>
        <w:proofErr w:type="spellEnd"/>
      </w:hyperlink>
      <w:r w:rsidR="007F491A">
        <w:rPr>
          <w:rFonts w:cstheme="minorHAnsi"/>
        </w:rPr>
        <w:t xml:space="preserve"> </w:t>
      </w:r>
      <w:r w:rsidR="002E327C" w:rsidRPr="00CB5EA7">
        <w:rPr>
          <w:rFonts w:cstheme="minorHAnsi"/>
        </w:rPr>
        <w:t xml:space="preserve">recommends “Do not travel” </w:t>
      </w:r>
      <w:r w:rsidRPr="006B43C4">
        <w:rPr>
          <w:rFonts w:cstheme="minorHAnsi"/>
          <w:u w:val="single"/>
        </w:rPr>
        <w:t>for reasons</w:t>
      </w:r>
      <w:r w:rsidR="00EE040C" w:rsidRPr="006B43C4">
        <w:rPr>
          <w:rFonts w:cstheme="minorHAnsi"/>
          <w:u w:val="single"/>
        </w:rPr>
        <w:t xml:space="preserve"> in addition to the health risks from the COVID-19 pandemic and the significant disruptions to global travel</w:t>
      </w:r>
      <w:r w:rsidR="002E327C" w:rsidRPr="00CB5EA7">
        <w:rPr>
          <w:rFonts w:cstheme="minorHAnsi"/>
        </w:rPr>
        <w:t xml:space="preserve">. </w:t>
      </w:r>
      <w:r w:rsidR="007672BD">
        <w:rPr>
          <w:rFonts w:cstheme="minorHAnsi"/>
        </w:rPr>
        <w:t xml:space="preserve">This distinction is made clear in </w:t>
      </w:r>
      <w:proofErr w:type="spellStart"/>
      <w:r w:rsidR="007672BD">
        <w:rPr>
          <w:rFonts w:cstheme="minorHAnsi"/>
        </w:rPr>
        <w:t>Smartraveller</w:t>
      </w:r>
      <w:proofErr w:type="spellEnd"/>
      <w:r w:rsidR="007672BD">
        <w:rPr>
          <w:rFonts w:cstheme="minorHAnsi"/>
        </w:rPr>
        <w:t xml:space="preserve">. </w:t>
      </w:r>
    </w:p>
    <w:p w14:paraId="5B2E9926" w14:textId="49DBE1FA" w:rsidR="002E327C" w:rsidRDefault="00376F82" w:rsidP="0038288B">
      <w:pPr>
        <w:spacing w:before="113" w:after="113" w:line="240" w:lineRule="auto"/>
        <w:rPr>
          <w:rFonts w:cstheme="minorHAnsi"/>
        </w:rPr>
      </w:pPr>
      <w:r w:rsidRPr="00CB5EA7">
        <w:rPr>
          <w:rFonts w:cstheme="minorHAnsi"/>
        </w:rPr>
        <w:t>T</w:t>
      </w:r>
      <w:r w:rsidR="002E327C" w:rsidRPr="00CB5EA7">
        <w:rPr>
          <w:rFonts w:cstheme="minorHAnsi"/>
        </w:rPr>
        <w:t xml:space="preserve">ravel cannot proceed to such locations if that travel advice remains in place at the </w:t>
      </w:r>
      <w:r w:rsidR="007672BD">
        <w:rPr>
          <w:rFonts w:cstheme="minorHAnsi"/>
        </w:rPr>
        <w:t xml:space="preserve">proposed </w:t>
      </w:r>
      <w:r w:rsidR="002E327C" w:rsidRPr="00CB5EA7">
        <w:rPr>
          <w:rFonts w:cstheme="minorHAnsi"/>
        </w:rPr>
        <w:t>time of departure (see 2.</w:t>
      </w:r>
      <w:r w:rsidR="00AA3770">
        <w:rPr>
          <w:rFonts w:cstheme="minorHAnsi"/>
        </w:rPr>
        <w:t>5</w:t>
      </w:r>
      <w:r w:rsidR="002E327C" w:rsidRPr="00CB5EA7">
        <w:rPr>
          <w:rFonts w:cstheme="minorHAnsi"/>
        </w:rPr>
        <w:t xml:space="preserve"> (</w:t>
      </w:r>
      <w:r w:rsidR="00AA3770">
        <w:rPr>
          <w:rFonts w:cstheme="minorHAnsi"/>
        </w:rPr>
        <w:t>b</w:t>
      </w:r>
      <w:r w:rsidR="002E327C" w:rsidRPr="00CB5EA7">
        <w:rPr>
          <w:rFonts w:cstheme="minorHAnsi"/>
        </w:rPr>
        <w:t>))</w:t>
      </w:r>
      <w:r w:rsidR="0072565D">
        <w:rPr>
          <w:rFonts w:cstheme="minorHAnsi"/>
        </w:rPr>
        <w:t xml:space="preserve"> for any reason</w:t>
      </w:r>
      <w:r w:rsidR="002E327C" w:rsidRPr="00CB5EA7">
        <w:rPr>
          <w:rFonts w:cstheme="minorHAnsi"/>
        </w:rPr>
        <w:t xml:space="preserve">. </w:t>
      </w:r>
    </w:p>
    <w:p w14:paraId="34B6BE5B" w14:textId="77777777" w:rsidR="002D1B0C" w:rsidRPr="00CB5EA7" w:rsidRDefault="002D1B0C" w:rsidP="0038288B">
      <w:pPr>
        <w:spacing w:before="113" w:after="113" w:line="240" w:lineRule="auto"/>
        <w:rPr>
          <w:rFonts w:eastAsia="Times New Roman" w:cstheme="minorHAnsi"/>
          <w:b/>
          <w:color w:val="000000"/>
          <w:spacing w:val="2"/>
          <w:lang w:eastAsia="en-AU"/>
        </w:rPr>
      </w:pPr>
    </w:p>
    <w:p w14:paraId="645577FD" w14:textId="5D0FCD6E" w:rsidR="00273E84" w:rsidRPr="002D1B0C" w:rsidRDefault="00273E84" w:rsidP="002D1B0C">
      <w:pPr>
        <w:pStyle w:val="ListParagraph"/>
        <w:numPr>
          <w:ilvl w:val="0"/>
          <w:numId w:val="16"/>
        </w:numPr>
        <w:ind w:left="426" w:hanging="426"/>
        <w:rPr>
          <w:b/>
          <w:u w:val="single"/>
        </w:rPr>
      </w:pPr>
      <w:bookmarkStart w:id="2" w:name="Lessons_learned"/>
      <w:r w:rsidRPr="002D1B0C">
        <w:rPr>
          <w:b/>
          <w:u w:val="single"/>
        </w:rPr>
        <w:t>Lessons from previous rounds</w:t>
      </w:r>
      <w:r w:rsidR="00A76FC7" w:rsidRPr="002D1B0C">
        <w:rPr>
          <w:b/>
          <w:u w:val="single"/>
        </w:rPr>
        <w:t xml:space="preserve"> </w:t>
      </w:r>
    </w:p>
    <w:bookmarkEnd w:id="2"/>
    <w:p w14:paraId="7BF7CAC2" w14:textId="77777777" w:rsidR="002D1B0C" w:rsidRDefault="002D1B0C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3102E095" w14:textId="094B4B25" w:rsidR="00273E84" w:rsidRPr="00CB5EA7" w:rsidRDefault="008A7924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 w:rsidRPr="00CB5EA7">
        <w:rPr>
          <w:rFonts w:eastAsia="Times New Roman" w:cstheme="minorHAnsi"/>
          <w:color w:val="000000"/>
          <w:spacing w:val="2"/>
          <w:lang w:eastAsia="en-AU"/>
        </w:rPr>
        <w:t>A</w:t>
      </w:r>
      <w:r w:rsidR="00273E84" w:rsidRPr="00CB5EA7">
        <w:rPr>
          <w:rFonts w:eastAsia="Times New Roman" w:cstheme="minorHAnsi"/>
          <w:color w:val="000000"/>
          <w:spacing w:val="2"/>
          <w:lang w:eastAsia="en-AU"/>
        </w:rPr>
        <w:t xml:space="preserve">pplications that were unsuccessful in previous rounds </w:t>
      </w:r>
      <w:r w:rsidR="002074E7" w:rsidRPr="00CB5EA7">
        <w:rPr>
          <w:rFonts w:eastAsia="Times New Roman" w:cstheme="minorHAnsi"/>
          <w:color w:val="000000"/>
          <w:spacing w:val="2"/>
          <w:lang w:eastAsia="en-AU"/>
        </w:rPr>
        <w:t>often lacked specific detail of project activities</w:t>
      </w:r>
      <w:r w:rsidR="005569F4">
        <w:rPr>
          <w:rFonts w:eastAsia="Times New Roman" w:cstheme="minorHAnsi"/>
          <w:color w:val="000000"/>
          <w:spacing w:val="2"/>
          <w:lang w:eastAsia="en-AU"/>
        </w:rPr>
        <w:t>. The applications</w:t>
      </w:r>
      <w:r w:rsidR="002074E7" w:rsidRPr="00CB5EA7">
        <w:rPr>
          <w:rFonts w:eastAsia="Times New Roman" w:cstheme="minorHAnsi"/>
          <w:color w:val="000000"/>
          <w:spacing w:val="2"/>
          <w:lang w:eastAsia="en-AU"/>
        </w:rPr>
        <w:t xml:space="preserve"> did not indicate how links with the Indo-Pacific </w:t>
      </w:r>
      <w:r w:rsidR="00895743" w:rsidRPr="00CB5EA7">
        <w:rPr>
          <w:rFonts w:eastAsia="Times New Roman" w:cstheme="minorHAnsi"/>
          <w:color w:val="000000"/>
          <w:spacing w:val="2"/>
          <w:lang w:eastAsia="en-AU"/>
        </w:rPr>
        <w:t xml:space="preserve">(institution and people-to-people) </w:t>
      </w:r>
      <w:r w:rsidR="002074E7" w:rsidRPr="00CB5EA7">
        <w:rPr>
          <w:rFonts w:eastAsia="Times New Roman" w:cstheme="minorHAnsi"/>
          <w:color w:val="000000"/>
          <w:spacing w:val="2"/>
          <w:lang w:eastAsia="en-AU"/>
        </w:rPr>
        <w:t xml:space="preserve">would be sustained </w:t>
      </w:r>
      <w:r w:rsidR="00895743" w:rsidRPr="00CB5EA7">
        <w:rPr>
          <w:rFonts w:eastAsia="Times New Roman" w:cstheme="minorHAnsi"/>
          <w:color w:val="000000"/>
          <w:spacing w:val="2"/>
          <w:lang w:eastAsia="en-AU"/>
        </w:rPr>
        <w:t>beyond the life of the project or did not provide details of efforts to supp</w:t>
      </w:r>
      <w:r w:rsidR="001821AD" w:rsidRPr="00CB5EA7">
        <w:rPr>
          <w:rFonts w:eastAsia="Times New Roman" w:cstheme="minorHAnsi"/>
          <w:color w:val="000000"/>
          <w:spacing w:val="2"/>
          <w:lang w:eastAsia="en-AU"/>
        </w:rPr>
        <w:t>ort participation by students f</w:t>
      </w:r>
      <w:r w:rsidR="00895743" w:rsidRPr="00CB5EA7">
        <w:rPr>
          <w:rFonts w:eastAsia="Times New Roman" w:cstheme="minorHAnsi"/>
          <w:color w:val="000000"/>
          <w:spacing w:val="2"/>
          <w:lang w:eastAsia="en-AU"/>
        </w:rPr>
        <w:t>r</w:t>
      </w:r>
      <w:r w:rsidR="001821AD" w:rsidRPr="00CB5EA7">
        <w:rPr>
          <w:rFonts w:eastAsia="Times New Roman" w:cstheme="minorHAnsi"/>
          <w:color w:val="000000"/>
          <w:spacing w:val="2"/>
          <w:lang w:eastAsia="en-AU"/>
        </w:rPr>
        <w:t>o</w:t>
      </w:r>
      <w:r w:rsidR="00895743" w:rsidRPr="00CB5EA7">
        <w:rPr>
          <w:rFonts w:eastAsia="Times New Roman" w:cstheme="minorHAnsi"/>
          <w:color w:val="000000"/>
          <w:spacing w:val="2"/>
          <w:lang w:eastAsia="en-AU"/>
        </w:rPr>
        <w:t>m a diverse range of backgrounds.</w:t>
      </w:r>
      <w:r w:rsidR="002074E7" w:rsidRPr="00CB5EA7">
        <w:rPr>
          <w:rFonts w:eastAsia="Times New Roman" w:cstheme="minorHAnsi"/>
          <w:color w:val="000000"/>
          <w:spacing w:val="2"/>
          <w:lang w:eastAsia="en-AU"/>
        </w:rPr>
        <w:t xml:space="preserve"> </w:t>
      </w:r>
    </w:p>
    <w:p w14:paraId="7E8B8065" w14:textId="77777777" w:rsidR="002D1B0C" w:rsidRDefault="002D1B0C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740F79C0" w14:textId="17E6710B" w:rsidR="00306FAD" w:rsidRDefault="00895743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 w:rsidRPr="00CB5EA7">
        <w:rPr>
          <w:rFonts w:eastAsia="Times New Roman" w:cstheme="minorHAnsi"/>
          <w:color w:val="000000"/>
          <w:spacing w:val="2"/>
          <w:lang w:eastAsia="en-AU"/>
        </w:rPr>
        <w:t xml:space="preserve">Stronger applications demonstrated the direct links that would be established between Australian institutions </w:t>
      </w:r>
      <w:r w:rsidR="001F4593" w:rsidRPr="00CB5EA7">
        <w:rPr>
          <w:rFonts w:eastAsia="Times New Roman" w:cstheme="minorHAnsi"/>
          <w:color w:val="000000"/>
          <w:spacing w:val="2"/>
          <w:lang w:eastAsia="en-AU"/>
        </w:rPr>
        <w:t xml:space="preserve">and those </w:t>
      </w:r>
      <w:r w:rsidRPr="00CB5EA7">
        <w:rPr>
          <w:rFonts w:eastAsia="Times New Roman" w:cstheme="minorHAnsi"/>
          <w:color w:val="000000"/>
          <w:spacing w:val="2"/>
          <w:lang w:eastAsia="en-AU"/>
        </w:rPr>
        <w:t xml:space="preserve">in the </w:t>
      </w:r>
      <w:r w:rsidR="001F4593" w:rsidRPr="00CB5EA7">
        <w:rPr>
          <w:rFonts w:eastAsia="Times New Roman" w:cstheme="minorHAnsi"/>
          <w:color w:val="000000"/>
          <w:spacing w:val="2"/>
          <w:lang w:eastAsia="en-AU"/>
        </w:rPr>
        <w:t>Indo</w:t>
      </w:r>
      <w:r w:rsidRPr="00CB5EA7">
        <w:rPr>
          <w:rFonts w:eastAsia="Times New Roman" w:cstheme="minorHAnsi"/>
          <w:color w:val="000000"/>
          <w:spacing w:val="2"/>
          <w:lang w:eastAsia="en-AU"/>
        </w:rPr>
        <w:t xml:space="preserve">-Pacific (rather than using third party providers) and how relationships would be sustained beyond NCP funding, </w:t>
      </w:r>
      <w:r w:rsidR="00154907" w:rsidRPr="00CB5EA7">
        <w:rPr>
          <w:rFonts w:eastAsia="Times New Roman" w:cstheme="minorHAnsi"/>
          <w:color w:val="000000"/>
          <w:spacing w:val="2"/>
          <w:lang w:eastAsia="en-AU"/>
        </w:rPr>
        <w:t>e.g.</w:t>
      </w:r>
      <w:r w:rsidRPr="00CB5EA7">
        <w:rPr>
          <w:rFonts w:eastAsia="Times New Roman" w:cstheme="minorHAnsi"/>
          <w:color w:val="000000"/>
          <w:spacing w:val="2"/>
          <w:lang w:eastAsia="en-AU"/>
        </w:rPr>
        <w:t xml:space="preserve"> th</w:t>
      </w:r>
      <w:r w:rsidR="00154907">
        <w:rPr>
          <w:rFonts w:eastAsia="Times New Roman" w:cstheme="minorHAnsi"/>
          <w:color w:val="000000"/>
          <w:spacing w:val="2"/>
          <w:lang w:eastAsia="en-AU"/>
        </w:rPr>
        <w:t>r</w:t>
      </w:r>
      <w:r w:rsidRPr="00CB5EA7">
        <w:rPr>
          <w:rFonts w:eastAsia="Times New Roman" w:cstheme="minorHAnsi"/>
          <w:color w:val="000000"/>
          <w:spacing w:val="2"/>
          <w:lang w:eastAsia="en-AU"/>
        </w:rPr>
        <w:t>ough joint research/innovation, reciprocal student/staff mobility, joint delivery of academic programs and alumni engagement.</w:t>
      </w:r>
    </w:p>
    <w:p w14:paraId="7861750B" w14:textId="77777777" w:rsidR="002D1B0C" w:rsidRDefault="002D1B0C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6392B812" w14:textId="3F7BADA8" w:rsidR="008D1FA6" w:rsidRDefault="008D1FA6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  <w:r w:rsidRPr="00CB5EA7">
        <w:rPr>
          <w:rFonts w:eastAsia="Times New Roman" w:cstheme="minorHAnsi"/>
          <w:color w:val="000000"/>
          <w:spacing w:val="2"/>
          <w:lang w:eastAsia="en-AU"/>
        </w:rPr>
        <w:t>Applications that proposed the use of</w:t>
      </w:r>
      <w:r w:rsidR="003A5E9B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72565D">
        <w:rPr>
          <w:rFonts w:eastAsia="Times New Roman" w:cstheme="minorHAnsi"/>
          <w:color w:val="000000"/>
          <w:spacing w:val="2"/>
          <w:lang w:eastAsia="en-AU"/>
        </w:rPr>
        <w:t>T</w:t>
      </w:r>
      <w:r w:rsidR="0072565D" w:rsidRPr="00CB5EA7">
        <w:rPr>
          <w:rFonts w:eastAsia="Times New Roman" w:cstheme="minorHAnsi"/>
          <w:color w:val="000000"/>
          <w:spacing w:val="2"/>
          <w:lang w:eastAsia="en-AU"/>
        </w:rPr>
        <w:t>hird-Party</w:t>
      </w:r>
      <w:r w:rsidRPr="00CB5EA7">
        <w:rPr>
          <w:rFonts w:eastAsia="Times New Roman" w:cstheme="minorHAnsi"/>
          <w:color w:val="000000"/>
          <w:spacing w:val="2"/>
          <w:lang w:eastAsia="en-AU"/>
        </w:rPr>
        <w:t xml:space="preserve"> </w:t>
      </w:r>
      <w:r w:rsidR="003A5E9B">
        <w:rPr>
          <w:rFonts w:eastAsia="Times New Roman" w:cstheme="minorHAnsi"/>
          <w:color w:val="000000"/>
          <w:spacing w:val="2"/>
          <w:lang w:eastAsia="en-AU"/>
        </w:rPr>
        <w:t>P</w:t>
      </w:r>
      <w:r w:rsidRPr="00CB5EA7">
        <w:rPr>
          <w:rFonts w:eastAsia="Times New Roman" w:cstheme="minorHAnsi"/>
          <w:color w:val="000000"/>
          <w:spacing w:val="2"/>
          <w:lang w:eastAsia="en-AU"/>
        </w:rPr>
        <w:t xml:space="preserve">roviders were often unclear as to how the linkages between Australian and Indo-Pacific institutions would be sustained beyond NCP funding. Applications that established direct relationships with Indo-Pacific institutions </w:t>
      </w:r>
      <w:r>
        <w:rPr>
          <w:rFonts w:eastAsia="Times New Roman" w:cstheme="minorHAnsi"/>
          <w:color w:val="000000"/>
          <w:spacing w:val="2"/>
          <w:lang w:eastAsia="en-AU"/>
        </w:rPr>
        <w:t xml:space="preserve">usually </w:t>
      </w:r>
      <w:r w:rsidRPr="00CB5EA7">
        <w:rPr>
          <w:rFonts w:eastAsia="Times New Roman" w:cstheme="minorHAnsi"/>
          <w:color w:val="000000"/>
          <w:spacing w:val="2"/>
          <w:lang w:eastAsia="en-AU"/>
        </w:rPr>
        <w:t xml:space="preserve">provided stronger evidence that these links would be sustained. </w:t>
      </w:r>
    </w:p>
    <w:p w14:paraId="5AA0E337" w14:textId="77777777" w:rsidR="002D1B0C" w:rsidRPr="00CB5EA7" w:rsidRDefault="002D1B0C" w:rsidP="002D1B0C">
      <w:pPr>
        <w:pStyle w:val="ListParagraph"/>
        <w:spacing w:after="150" w:line="240" w:lineRule="auto"/>
        <w:ind w:left="0"/>
        <w:rPr>
          <w:rFonts w:eastAsia="Times New Roman" w:cstheme="minorHAnsi"/>
          <w:color w:val="000000"/>
          <w:spacing w:val="2"/>
          <w:lang w:eastAsia="en-AU"/>
        </w:rPr>
      </w:pPr>
    </w:p>
    <w:p w14:paraId="0EDD9DB3" w14:textId="204DAAF9" w:rsidR="003B0CD2" w:rsidRPr="00D85E7C" w:rsidRDefault="003B0CD2" w:rsidP="00D85E7C">
      <w:pPr>
        <w:pStyle w:val="ListParagraph"/>
        <w:numPr>
          <w:ilvl w:val="0"/>
          <w:numId w:val="16"/>
        </w:numPr>
        <w:ind w:left="426" w:hanging="426"/>
        <w:rPr>
          <w:b/>
          <w:u w:val="single"/>
        </w:rPr>
      </w:pPr>
      <w:r w:rsidRPr="00D85E7C">
        <w:rPr>
          <w:b/>
          <w:u w:val="single"/>
        </w:rPr>
        <w:t>What defines a strong application for the NCP Mobility Program?</w:t>
      </w:r>
    </w:p>
    <w:p w14:paraId="5C2A2296" w14:textId="77777777" w:rsidR="00D42F3F" w:rsidRPr="00CB5EA7" w:rsidRDefault="00D42F3F" w:rsidP="00D42F3F">
      <w:p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CB5EA7">
        <w:rPr>
          <w:rFonts w:eastAsia="Times New Roman" w:cstheme="minorHAnsi"/>
          <w:color w:val="000000"/>
          <w:spacing w:val="2"/>
          <w:lang w:eastAsia="en-AU"/>
        </w:rPr>
        <w:t>Mobility project applications that scored well in previous rounds</w:t>
      </w:r>
      <w:r>
        <w:rPr>
          <w:rFonts w:eastAsia="Times New Roman" w:cstheme="minorHAnsi"/>
          <w:color w:val="000000"/>
          <w:spacing w:val="2"/>
          <w:lang w:eastAsia="en-AU"/>
        </w:rPr>
        <w:t>:</w:t>
      </w:r>
    </w:p>
    <w:p w14:paraId="577DC290" w14:textId="68D8D112" w:rsidR="00D42F3F" w:rsidRPr="00CB5EA7" w:rsidRDefault="00D42F3F" w:rsidP="00D42F3F">
      <w:pPr>
        <w:numPr>
          <w:ilvl w:val="0"/>
          <w:numId w:val="5"/>
        </w:numPr>
        <w:spacing w:before="113" w:after="113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CB5EA7">
        <w:rPr>
          <w:rFonts w:eastAsia="Times New Roman" w:cstheme="minorHAnsi"/>
          <w:color w:val="000000"/>
          <w:spacing w:val="2"/>
          <w:lang w:eastAsia="en-AU"/>
        </w:rPr>
        <w:t>clearly and concisely addressed all elements of each relevant assessment criterion</w:t>
      </w:r>
      <w:r w:rsidR="0049152F">
        <w:rPr>
          <w:rFonts w:eastAsia="Times New Roman" w:cstheme="minorHAnsi"/>
          <w:color w:val="000000"/>
          <w:spacing w:val="2"/>
          <w:lang w:eastAsia="en-AU"/>
        </w:rPr>
        <w:t>,</w:t>
      </w:r>
      <w:r w:rsidRPr="00CB5EA7">
        <w:rPr>
          <w:rFonts w:eastAsia="Times New Roman" w:cstheme="minorHAnsi"/>
          <w:color w:val="000000"/>
          <w:spacing w:val="2"/>
          <w:lang w:eastAsia="en-AU"/>
        </w:rPr>
        <w:t xml:space="preserve"> and</w:t>
      </w:r>
    </w:p>
    <w:p w14:paraId="3502B1C7" w14:textId="1A22EFC0" w:rsidR="002D1B0C" w:rsidRPr="002D1B0C" w:rsidRDefault="00D42F3F" w:rsidP="002D1B0C">
      <w:pPr>
        <w:numPr>
          <w:ilvl w:val="0"/>
          <w:numId w:val="5"/>
        </w:numPr>
        <w:spacing w:before="113" w:after="113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CB5EA7">
        <w:rPr>
          <w:rFonts w:eastAsia="Times New Roman" w:cstheme="minorHAnsi"/>
          <w:color w:val="000000"/>
          <w:spacing w:val="2"/>
          <w:lang w:eastAsia="en-AU"/>
        </w:rPr>
        <w:t>provided practical examples to demonstrate how the project meets the assessment criteria and will achieve the NCP objectives.</w:t>
      </w:r>
    </w:p>
    <w:p w14:paraId="0FDFB085" w14:textId="24DB2A53" w:rsidR="00A74530" w:rsidRPr="002D1B0C" w:rsidRDefault="00A74530" w:rsidP="00D85E7C">
      <w:pPr>
        <w:pStyle w:val="ListParagraph"/>
        <w:numPr>
          <w:ilvl w:val="0"/>
          <w:numId w:val="21"/>
        </w:numPr>
        <w:spacing w:before="113" w:after="113" w:line="240" w:lineRule="auto"/>
        <w:rPr>
          <w:b/>
          <w:bCs/>
        </w:rPr>
      </w:pPr>
      <w:r w:rsidRPr="002D1B0C">
        <w:rPr>
          <w:b/>
          <w:bCs/>
        </w:rPr>
        <w:t>Project summary</w:t>
      </w:r>
    </w:p>
    <w:p w14:paraId="13839EC2" w14:textId="449B1ED2" w:rsidR="00A74530" w:rsidRPr="004B37F9" w:rsidRDefault="00D42F3F" w:rsidP="0049152F">
      <w:p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4B37F9">
        <w:rPr>
          <w:rFonts w:eastAsia="Times New Roman" w:cstheme="minorHAnsi"/>
          <w:color w:val="000000"/>
          <w:spacing w:val="2"/>
          <w:lang w:eastAsia="en-AU"/>
        </w:rPr>
        <w:t>A</w:t>
      </w:r>
      <w:r w:rsidR="00A74530" w:rsidRPr="004B37F9">
        <w:rPr>
          <w:rFonts w:eastAsia="Times New Roman" w:cstheme="minorHAnsi"/>
          <w:color w:val="000000"/>
          <w:spacing w:val="2"/>
          <w:lang w:eastAsia="en-AU"/>
        </w:rPr>
        <w:t xml:space="preserve"> clear</w:t>
      </w:r>
      <w:r w:rsidRPr="004B37F9">
        <w:rPr>
          <w:rFonts w:eastAsia="Times New Roman" w:cstheme="minorHAnsi"/>
          <w:color w:val="000000"/>
          <w:spacing w:val="2"/>
          <w:lang w:eastAsia="en-AU"/>
        </w:rPr>
        <w:t>, comprehensive</w:t>
      </w:r>
      <w:r w:rsidR="00A74530" w:rsidRPr="004B37F9">
        <w:rPr>
          <w:rFonts w:eastAsia="Times New Roman" w:cstheme="minorHAnsi"/>
          <w:color w:val="000000"/>
          <w:spacing w:val="2"/>
          <w:lang w:eastAsia="en-AU"/>
        </w:rPr>
        <w:t xml:space="preserve"> project description, outlining the project’s objectives and rationale, with practical examples of project activities, and </w:t>
      </w:r>
      <w:r w:rsidR="00A74530" w:rsidRPr="0049152F">
        <w:rPr>
          <w:rFonts w:cstheme="minorHAnsi"/>
        </w:rPr>
        <w:t xml:space="preserve">the lessons learned from previous engagement, </w:t>
      </w:r>
      <w:r w:rsidR="00A74530" w:rsidRPr="004B37F9">
        <w:rPr>
          <w:rFonts w:eastAsia="Times New Roman" w:cstheme="minorHAnsi"/>
          <w:color w:val="000000"/>
          <w:spacing w:val="2"/>
          <w:lang w:eastAsia="en-AU"/>
        </w:rPr>
        <w:t xml:space="preserve">will enable assessors to understand the project and provide a more informed assessment. </w:t>
      </w:r>
    </w:p>
    <w:p w14:paraId="6219ADB8" w14:textId="5D226E17" w:rsidR="00A74530" w:rsidRPr="002D1B0C" w:rsidRDefault="00A74530" w:rsidP="00D85E7C">
      <w:pPr>
        <w:pStyle w:val="ListParagraph"/>
        <w:numPr>
          <w:ilvl w:val="0"/>
          <w:numId w:val="21"/>
        </w:numPr>
        <w:spacing w:before="113" w:after="113" w:line="240" w:lineRule="auto"/>
        <w:rPr>
          <w:b/>
          <w:bCs/>
        </w:rPr>
      </w:pPr>
      <w:r w:rsidRPr="002D1B0C">
        <w:rPr>
          <w:b/>
          <w:bCs/>
        </w:rPr>
        <w:t xml:space="preserve">Selection criteria </w:t>
      </w:r>
    </w:p>
    <w:p w14:paraId="78750650" w14:textId="02B5808D" w:rsidR="0049152F" w:rsidRDefault="003B0CD2" w:rsidP="003B0CD2">
      <w:pPr>
        <w:spacing w:line="240" w:lineRule="auto"/>
        <w:rPr>
          <w:rFonts w:cstheme="minorHAnsi"/>
        </w:rPr>
      </w:pPr>
      <w:r w:rsidRPr="00EE5A41">
        <w:rPr>
          <w:rFonts w:cstheme="minorHAnsi"/>
        </w:rPr>
        <w:t xml:space="preserve">Applicants should address all elements of </w:t>
      </w:r>
      <w:r w:rsidR="0049152F">
        <w:rPr>
          <w:rFonts w:cstheme="minorHAnsi"/>
        </w:rPr>
        <w:t xml:space="preserve">the </w:t>
      </w:r>
      <w:r w:rsidRPr="00EE5A41">
        <w:rPr>
          <w:rFonts w:cstheme="minorHAnsi"/>
        </w:rPr>
        <w:t xml:space="preserve">assessment criteria and provide practical examples. </w:t>
      </w:r>
    </w:p>
    <w:p w14:paraId="5FA10E2A" w14:textId="77777777" w:rsidR="00CF44E2" w:rsidRDefault="0049152F" w:rsidP="0049152F">
      <w:pPr>
        <w:spacing w:line="240" w:lineRule="auto"/>
        <w:rPr>
          <w:rFonts w:cstheme="minorHAnsi"/>
        </w:rPr>
      </w:pPr>
      <w:r w:rsidRPr="00EE5A41">
        <w:rPr>
          <w:rFonts w:cstheme="minorHAnsi"/>
        </w:rPr>
        <w:t>Strong applications demonstrate</w:t>
      </w:r>
      <w:r w:rsidR="00CF44E2">
        <w:rPr>
          <w:rFonts w:cstheme="minorHAnsi"/>
        </w:rPr>
        <w:t>:</w:t>
      </w:r>
    </w:p>
    <w:p w14:paraId="74FD3E91" w14:textId="288E91B3" w:rsidR="00CF44E2" w:rsidRPr="002D1B0C" w:rsidRDefault="0049152F" w:rsidP="002D1B0C">
      <w:pPr>
        <w:numPr>
          <w:ilvl w:val="0"/>
          <w:numId w:val="5"/>
        </w:numPr>
        <w:spacing w:before="113" w:after="113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2D1B0C">
        <w:rPr>
          <w:rFonts w:eastAsia="Times New Roman" w:cstheme="minorHAnsi"/>
          <w:color w:val="000000"/>
          <w:spacing w:val="2"/>
          <w:lang w:eastAsia="en-AU"/>
        </w:rPr>
        <w:t xml:space="preserve">clear understanding of the New Colombo Plan’s strategic objectives and outcomes and explain how a project will meet those objectives. </w:t>
      </w:r>
    </w:p>
    <w:p w14:paraId="2725D80C" w14:textId="3CA46F22" w:rsidR="00CF44E2" w:rsidRPr="002D1B0C" w:rsidRDefault="0049152F" w:rsidP="002D1B0C">
      <w:pPr>
        <w:numPr>
          <w:ilvl w:val="0"/>
          <w:numId w:val="5"/>
        </w:numPr>
        <w:spacing w:before="113" w:after="113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2D1B0C">
        <w:rPr>
          <w:rFonts w:eastAsia="Times New Roman" w:cstheme="minorHAnsi"/>
          <w:color w:val="000000"/>
          <w:spacing w:val="2"/>
          <w:lang w:eastAsia="en-AU"/>
        </w:rPr>
        <w:t>direct links that w</w:t>
      </w:r>
      <w:r w:rsidR="00F57ACC" w:rsidRPr="002D1B0C">
        <w:rPr>
          <w:rFonts w:eastAsia="Times New Roman" w:cstheme="minorHAnsi"/>
          <w:color w:val="000000"/>
          <w:spacing w:val="2"/>
          <w:lang w:eastAsia="en-AU"/>
        </w:rPr>
        <w:t xml:space="preserve">ill </w:t>
      </w:r>
      <w:r w:rsidRPr="002D1B0C">
        <w:rPr>
          <w:rFonts w:eastAsia="Times New Roman" w:cstheme="minorHAnsi"/>
          <w:color w:val="000000"/>
          <w:spacing w:val="2"/>
          <w:lang w:eastAsia="en-AU"/>
        </w:rPr>
        <w:t xml:space="preserve">be established between Australian institutions and those in the Indo-Pacific (rather than using third party providers) and </w:t>
      </w:r>
    </w:p>
    <w:p w14:paraId="019CC1A9" w14:textId="77777777" w:rsidR="002D1B0C" w:rsidRDefault="0049152F" w:rsidP="002D1B0C">
      <w:pPr>
        <w:numPr>
          <w:ilvl w:val="0"/>
          <w:numId w:val="5"/>
        </w:numPr>
        <w:spacing w:before="113" w:after="113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2D1B0C">
        <w:rPr>
          <w:rFonts w:eastAsia="Times New Roman" w:cstheme="minorHAnsi"/>
          <w:color w:val="000000"/>
          <w:spacing w:val="2"/>
          <w:lang w:eastAsia="en-AU"/>
        </w:rPr>
        <w:t xml:space="preserve">how relationships </w:t>
      </w:r>
      <w:r w:rsidR="00CF44E2" w:rsidRPr="002D1B0C">
        <w:rPr>
          <w:rFonts w:eastAsia="Times New Roman" w:cstheme="minorHAnsi"/>
          <w:color w:val="000000"/>
          <w:spacing w:val="2"/>
          <w:lang w:eastAsia="en-AU"/>
        </w:rPr>
        <w:t xml:space="preserve">will </w:t>
      </w:r>
      <w:r w:rsidRPr="002D1B0C">
        <w:rPr>
          <w:rFonts w:eastAsia="Times New Roman" w:cstheme="minorHAnsi"/>
          <w:color w:val="000000"/>
          <w:spacing w:val="2"/>
          <w:lang w:eastAsia="en-AU"/>
        </w:rPr>
        <w:t>be sustained beyond NCP funding, e.g. through joint research/innovation, reciprocal student/staff mobility, joint delivery of academic programs and alumni engagement.</w:t>
      </w:r>
    </w:p>
    <w:p w14:paraId="1FFEA9DD" w14:textId="75BE12DC" w:rsidR="003B0CD2" w:rsidRPr="002D1B0C" w:rsidRDefault="003B0CD2" w:rsidP="002D1B0C">
      <w:pPr>
        <w:spacing w:before="113" w:after="113" w:line="240" w:lineRule="auto"/>
        <w:rPr>
          <w:rFonts w:eastAsia="Times New Roman" w:cstheme="minorHAnsi"/>
          <w:color w:val="000000"/>
          <w:spacing w:val="2"/>
          <w:lang w:eastAsia="en-AU"/>
        </w:rPr>
      </w:pPr>
      <w:r w:rsidRPr="006261EE">
        <w:rPr>
          <w:highlight w:val="yellow"/>
        </w:rPr>
        <w:br/>
      </w:r>
      <w:r w:rsidRPr="002D1B0C">
        <w:rPr>
          <w:rFonts w:eastAsia="Times New Roman" w:cstheme="minorHAnsi"/>
          <w:color w:val="000000"/>
          <w:spacing w:val="2"/>
          <w:lang w:eastAsia="en-AU"/>
        </w:rPr>
        <w:t>Applications were assessed more highly if they explained/justified the choice of host location and showed an appreciation of the local context. For example, articulation of what Australian students will gain by studying/interning in a particular country/location/institution.</w:t>
      </w:r>
    </w:p>
    <w:p w14:paraId="3C6E035F" w14:textId="77777777" w:rsidR="00EE5A41" w:rsidRPr="00CB5EA7" w:rsidRDefault="00EE5A41" w:rsidP="001B0528">
      <w:pPr>
        <w:spacing w:after="150" w:line="240" w:lineRule="auto"/>
        <w:rPr>
          <w:rFonts w:eastAsia="Times New Roman" w:cstheme="minorHAnsi"/>
          <w:color w:val="000000"/>
          <w:spacing w:val="2"/>
          <w:lang w:eastAsia="en-AU"/>
        </w:rPr>
      </w:pPr>
    </w:p>
    <w:p w14:paraId="70C53DB6" w14:textId="77777777" w:rsidR="00485367" w:rsidRPr="00CB5EA7" w:rsidRDefault="00485367" w:rsidP="001B0528">
      <w:pPr>
        <w:spacing w:before="113" w:after="113" w:line="240" w:lineRule="auto"/>
        <w:rPr>
          <w:rFonts w:eastAsia="Times New Roman" w:cstheme="minorHAnsi"/>
          <w:color w:val="000000"/>
          <w:spacing w:val="2"/>
          <w:lang w:eastAsia="en-AU"/>
        </w:rPr>
      </w:pPr>
    </w:p>
    <w:sectPr w:rsidR="00485367" w:rsidRPr="00CB5EA7" w:rsidSect="008C224B">
      <w:headerReference w:type="default" r:id="rId13"/>
      <w:footerReference w:type="default" r:id="rId14"/>
      <w:pgSz w:w="11906" w:h="16838"/>
      <w:pgMar w:top="2694" w:right="1416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D55EA" w14:textId="77777777" w:rsidR="00002450" w:rsidRDefault="00002450" w:rsidP="00002450">
      <w:pPr>
        <w:spacing w:after="0" w:line="240" w:lineRule="auto"/>
      </w:pPr>
      <w:r>
        <w:separator/>
      </w:r>
    </w:p>
  </w:endnote>
  <w:endnote w:type="continuationSeparator" w:id="0">
    <w:p w14:paraId="21FB774A" w14:textId="77777777" w:rsidR="00002450" w:rsidRDefault="00002450" w:rsidP="0000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2389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33865" w14:textId="7EC548B7" w:rsidR="00002450" w:rsidRDefault="00002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309965" w14:textId="77777777" w:rsidR="00002450" w:rsidRDefault="0000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37ED4" w14:textId="77777777" w:rsidR="00002450" w:rsidRDefault="00002450" w:rsidP="00002450">
      <w:pPr>
        <w:spacing w:after="0" w:line="240" w:lineRule="auto"/>
      </w:pPr>
      <w:r>
        <w:separator/>
      </w:r>
    </w:p>
  </w:footnote>
  <w:footnote w:type="continuationSeparator" w:id="0">
    <w:p w14:paraId="5A6EC22E" w14:textId="77777777" w:rsidR="00002450" w:rsidRDefault="00002450" w:rsidP="0000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C8EE" w14:textId="5C4F4D2E" w:rsidR="00336B71" w:rsidRDefault="00336B7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50D405" wp14:editId="6D48D1F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900" cy="1447800"/>
          <wp:effectExtent l="0" t="0" r="0" b="0"/>
          <wp:wrapTight wrapText="bothSides">
            <wp:wrapPolygon edited="0">
              <wp:start x="0" y="0"/>
              <wp:lineTo x="0" y="21316"/>
              <wp:lineTo x="21546" y="21316"/>
              <wp:lineTo x="215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72C8"/>
    <w:multiLevelType w:val="hybridMultilevel"/>
    <w:tmpl w:val="A9A6C332"/>
    <w:lvl w:ilvl="0" w:tplc="0DE093F0">
      <w:start w:val="1"/>
      <w:numFmt w:val="lowerLetter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1F0238C2"/>
    <w:multiLevelType w:val="multilevel"/>
    <w:tmpl w:val="40BE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F4177"/>
    <w:multiLevelType w:val="hybridMultilevel"/>
    <w:tmpl w:val="0E005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499C"/>
    <w:multiLevelType w:val="hybridMultilevel"/>
    <w:tmpl w:val="7182F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43D5"/>
    <w:multiLevelType w:val="hybridMultilevel"/>
    <w:tmpl w:val="598A5482"/>
    <w:lvl w:ilvl="0" w:tplc="C3CAC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E240C"/>
    <w:multiLevelType w:val="multilevel"/>
    <w:tmpl w:val="5354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622DE"/>
    <w:multiLevelType w:val="multilevel"/>
    <w:tmpl w:val="B3B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E77BE"/>
    <w:multiLevelType w:val="hybridMultilevel"/>
    <w:tmpl w:val="5802C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10B6"/>
    <w:multiLevelType w:val="hybridMultilevel"/>
    <w:tmpl w:val="598A5482"/>
    <w:lvl w:ilvl="0" w:tplc="C3CAC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05432"/>
    <w:multiLevelType w:val="multilevel"/>
    <w:tmpl w:val="72B8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D01"/>
    <w:multiLevelType w:val="hybridMultilevel"/>
    <w:tmpl w:val="598A5482"/>
    <w:lvl w:ilvl="0" w:tplc="C3CAC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913FC6"/>
    <w:multiLevelType w:val="hybridMultilevel"/>
    <w:tmpl w:val="15CEFA32"/>
    <w:lvl w:ilvl="0" w:tplc="74B6CF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4844"/>
    <w:multiLevelType w:val="hybridMultilevel"/>
    <w:tmpl w:val="35823F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729C"/>
    <w:multiLevelType w:val="hybridMultilevel"/>
    <w:tmpl w:val="82244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D4E8A"/>
    <w:multiLevelType w:val="hybridMultilevel"/>
    <w:tmpl w:val="B28E8E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F14CC1"/>
    <w:multiLevelType w:val="multilevel"/>
    <w:tmpl w:val="8BD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CA4A51"/>
    <w:multiLevelType w:val="multilevel"/>
    <w:tmpl w:val="9B7A0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E80EEF"/>
    <w:multiLevelType w:val="hybridMultilevel"/>
    <w:tmpl w:val="F866FE54"/>
    <w:lvl w:ilvl="0" w:tplc="28EC403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0A65E9F"/>
    <w:multiLevelType w:val="multilevel"/>
    <w:tmpl w:val="9CCA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816EA"/>
    <w:multiLevelType w:val="hybridMultilevel"/>
    <w:tmpl w:val="8C0630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C93605"/>
    <w:multiLevelType w:val="hybridMultilevel"/>
    <w:tmpl w:val="4104A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623B0"/>
    <w:multiLevelType w:val="multilevel"/>
    <w:tmpl w:val="B2B4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155465"/>
    <w:multiLevelType w:val="hybridMultilevel"/>
    <w:tmpl w:val="CA70AE20"/>
    <w:lvl w:ilvl="0" w:tplc="8534C5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8"/>
  </w:num>
  <w:num w:numId="5">
    <w:abstractNumId w:val="1"/>
  </w:num>
  <w:num w:numId="6">
    <w:abstractNumId w:val="19"/>
  </w:num>
  <w:num w:numId="7">
    <w:abstractNumId w:val="21"/>
  </w:num>
  <w:num w:numId="8">
    <w:abstractNumId w:val="7"/>
  </w:num>
  <w:num w:numId="9">
    <w:abstractNumId w:val="9"/>
  </w:num>
  <w:num w:numId="10">
    <w:abstractNumId w:val="0"/>
  </w:num>
  <w:num w:numId="11">
    <w:abstractNumId w:val="16"/>
  </w:num>
  <w:num w:numId="12">
    <w:abstractNumId w:val="22"/>
  </w:num>
  <w:num w:numId="13">
    <w:abstractNumId w:val="3"/>
  </w:num>
  <w:num w:numId="14">
    <w:abstractNumId w:val="11"/>
  </w:num>
  <w:num w:numId="15">
    <w:abstractNumId w:val="13"/>
  </w:num>
  <w:num w:numId="16">
    <w:abstractNumId w:val="20"/>
  </w:num>
  <w:num w:numId="17">
    <w:abstractNumId w:val="8"/>
  </w:num>
  <w:num w:numId="18">
    <w:abstractNumId w:val="12"/>
  </w:num>
  <w:num w:numId="19">
    <w:abstractNumId w:val="2"/>
  </w:num>
  <w:num w:numId="20">
    <w:abstractNumId w:val="10"/>
  </w:num>
  <w:num w:numId="21">
    <w:abstractNumId w:val="4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84"/>
    <w:rsid w:val="00002450"/>
    <w:rsid w:val="0000413B"/>
    <w:rsid w:val="000211BB"/>
    <w:rsid w:val="0002474D"/>
    <w:rsid w:val="00025BB8"/>
    <w:rsid w:val="00026F05"/>
    <w:rsid w:val="00052CF3"/>
    <w:rsid w:val="0005571C"/>
    <w:rsid w:val="0006043D"/>
    <w:rsid w:val="000656C2"/>
    <w:rsid w:val="0007001B"/>
    <w:rsid w:val="000734D6"/>
    <w:rsid w:val="00080CCC"/>
    <w:rsid w:val="000A260F"/>
    <w:rsid w:val="000B6ADB"/>
    <w:rsid w:val="000D30EB"/>
    <w:rsid w:val="000F4C55"/>
    <w:rsid w:val="001310F4"/>
    <w:rsid w:val="001413EE"/>
    <w:rsid w:val="00154907"/>
    <w:rsid w:val="00167860"/>
    <w:rsid w:val="00175272"/>
    <w:rsid w:val="00176626"/>
    <w:rsid w:val="00180DA2"/>
    <w:rsid w:val="001821AD"/>
    <w:rsid w:val="001854E5"/>
    <w:rsid w:val="001B0528"/>
    <w:rsid w:val="001B4FD2"/>
    <w:rsid w:val="001B694C"/>
    <w:rsid w:val="001B7236"/>
    <w:rsid w:val="001C36C8"/>
    <w:rsid w:val="001F4593"/>
    <w:rsid w:val="00203B69"/>
    <w:rsid w:val="002074E7"/>
    <w:rsid w:val="00215160"/>
    <w:rsid w:val="002166E2"/>
    <w:rsid w:val="00222329"/>
    <w:rsid w:val="0022652A"/>
    <w:rsid w:val="002320D7"/>
    <w:rsid w:val="002525CA"/>
    <w:rsid w:val="00257861"/>
    <w:rsid w:val="002612D3"/>
    <w:rsid w:val="00273E84"/>
    <w:rsid w:val="00290394"/>
    <w:rsid w:val="002A4D86"/>
    <w:rsid w:val="002B37EB"/>
    <w:rsid w:val="002B7212"/>
    <w:rsid w:val="002C4C06"/>
    <w:rsid w:val="002C6AEE"/>
    <w:rsid w:val="002D1B0C"/>
    <w:rsid w:val="002E327C"/>
    <w:rsid w:val="002E406D"/>
    <w:rsid w:val="002F5EA6"/>
    <w:rsid w:val="00304FBC"/>
    <w:rsid w:val="003062CD"/>
    <w:rsid w:val="00306F7A"/>
    <w:rsid w:val="00306FAD"/>
    <w:rsid w:val="00321956"/>
    <w:rsid w:val="00331217"/>
    <w:rsid w:val="003321DA"/>
    <w:rsid w:val="00336B71"/>
    <w:rsid w:val="00372B34"/>
    <w:rsid w:val="00376F82"/>
    <w:rsid w:val="0038288B"/>
    <w:rsid w:val="00385333"/>
    <w:rsid w:val="003923EC"/>
    <w:rsid w:val="003A2B4C"/>
    <w:rsid w:val="003A5269"/>
    <w:rsid w:val="003A5E9B"/>
    <w:rsid w:val="003B0CD2"/>
    <w:rsid w:val="003B27B9"/>
    <w:rsid w:val="003C6A6C"/>
    <w:rsid w:val="003D6C90"/>
    <w:rsid w:val="00400467"/>
    <w:rsid w:val="00405E07"/>
    <w:rsid w:val="00406E8E"/>
    <w:rsid w:val="00422AF6"/>
    <w:rsid w:val="0043762A"/>
    <w:rsid w:val="00444E90"/>
    <w:rsid w:val="00452343"/>
    <w:rsid w:val="004730E7"/>
    <w:rsid w:val="00485367"/>
    <w:rsid w:val="00490417"/>
    <w:rsid w:val="0049152F"/>
    <w:rsid w:val="004B37F9"/>
    <w:rsid w:val="004B398D"/>
    <w:rsid w:val="004D58C1"/>
    <w:rsid w:val="004E62D3"/>
    <w:rsid w:val="00507972"/>
    <w:rsid w:val="0051383C"/>
    <w:rsid w:val="00514AFB"/>
    <w:rsid w:val="00515887"/>
    <w:rsid w:val="005534B3"/>
    <w:rsid w:val="00556985"/>
    <w:rsid w:val="005569F4"/>
    <w:rsid w:val="00570D8E"/>
    <w:rsid w:val="0057721F"/>
    <w:rsid w:val="0058394E"/>
    <w:rsid w:val="005A6E40"/>
    <w:rsid w:val="005E10C1"/>
    <w:rsid w:val="005E178C"/>
    <w:rsid w:val="00601465"/>
    <w:rsid w:val="0061099A"/>
    <w:rsid w:val="006254A8"/>
    <w:rsid w:val="006261EE"/>
    <w:rsid w:val="00643304"/>
    <w:rsid w:val="00653462"/>
    <w:rsid w:val="0065419C"/>
    <w:rsid w:val="00656A80"/>
    <w:rsid w:val="0066162C"/>
    <w:rsid w:val="00670AD4"/>
    <w:rsid w:val="00691184"/>
    <w:rsid w:val="0069631F"/>
    <w:rsid w:val="00697AC8"/>
    <w:rsid w:val="006A0168"/>
    <w:rsid w:val="006A37F7"/>
    <w:rsid w:val="006A3806"/>
    <w:rsid w:val="006A5CFD"/>
    <w:rsid w:val="006B43C4"/>
    <w:rsid w:val="006C5F61"/>
    <w:rsid w:val="006D0C18"/>
    <w:rsid w:val="006F5281"/>
    <w:rsid w:val="007229D4"/>
    <w:rsid w:val="0072565D"/>
    <w:rsid w:val="007602A9"/>
    <w:rsid w:val="007672BD"/>
    <w:rsid w:val="0077007F"/>
    <w:rsid w:val="007763A1"/>
    <w:rsid w:val="007A32EF"/>
    <w:rsid w:val="007A3BF1"/>
    <w:rsid w:val="007B35EA"/>
    <w:rsid w:val="007B3DF4"/>
    <w:rsid w:val="007C398C"/>
    <w:rsid w:val="007D6DAF"/>
    <w:rsid w:val="007E2291"/>
    <w:rsid w:val="007F491A"/>
    <w:rsid w:val="008003B4"/>
    <w:rsid w:val="008251BE"/>
    <w:rsid w:val="0084434D"/>
    <w:rsid w:val="00847A4F"/>
    <w:rsid w:val="00847EC6"/>
    <w:rsid w:val="008766FF"/>
    <w:rsid w:val="00890C54"/>
    <w:rsid w:val="00895743"/>
    <w:rsid w:val="008A1E27"/>
    <w:rsid w:val="008A7924"/>
    <w:rsid w:val="008B06E3"/>
    <w:rsid w:val="008C224B"/>
    <w:rsid w:val="008C52ED"/>
    <w:rsid w:val="008D1FA6"/>
    <w:rsid w:val="008D7CB2"/>
    <w:rsid w:val="009031D0"/>
    <w:rsid w:val="00903A78"/>
    <w:rsid w:val="00934BA8"/>
    <w:rsid w:val="0094498F"/>
    <w:rsid w:val="00963C07"/>
    <w:rsid w:val="0098218E"/>
    <w:rsid w:val="009B5266"/>
    <w:rsid w:val="009B7F9D"/>
    <w:rsid w:val="009C1F8B"/>
    <w:rsid w:val="009D35E7"/>
    <w:rsid w:val="009E0138"/>
    <w:rsid w:val="009E0489"/>
    <w:rsid w:val="009F40F8"/>
    <w:rsid w:val="00A17D12"/>
    <w:rsid w:val="00A25734"/>
    <w:rsid w:val="00A36948"/>
    <w:rsid w:val="00A44D39"/>
    <w:rsid w:val="00A72193"/>
    <w:rsid w:val="00A74530"/>
    <w:rsid w:val="00A76FC7"/>
    <w:rsid w:val="00A80DFF"/>
    <w:rsid w:val="00AA1729"/>
    <w:rsid w:val="00AA3770"/>
    <w:rsid w:val="00AC6B05"/>
    <w:rsid w:val="00AC722B"/>
    <w:rsid w:val="00AD272E"/>
    <w:rsid w:val="00AD5886"/>
    <w:rsid w:val="00B02F2D"/>
    <w:rsid w:val="00B15B75"/>
    <w:rsid w:val="00B2709E"/>
    <w:rsid w:val="00B35AD1"/>
    <w:rsid w:val="00B64DEA"/>
    <w:rsid w:val="00B86F87"/>
    <w:rsid w:val="00B9564C"/>
    <w:rsid w:val="00BC68CF"/>
    <w:rsid w:val="00BD31CC"/>
    <w:rsid w:val="00BD467D"/>
    <w:rsid w:val="00BE3047"/>
    <w:rsid w:val="00C34947"/>
    <w:rsid w:val="00C46A0B"/>
    <w:rsid w:val="00C50A3B"/>
    <w:rsid w:val="00C56B58"/>
    <w:rsid w:val="00C63C09"/>
    <w:rsid w:val="00C6417F"/>
    <w:rsid w:val="00C82B2F"/>
    <w:rsid w:val="00C87AEA"/>
    <w:rsid w:val="00C919E7"/>
    <w:rsid w:val="00C93A93"/>
    <w:rsid w:val="00C96066"/>
    <w:rsid w:val="00CA26FB"/>
    <w:rsid w:val="00CB5EA7"/>
    <w:rsid w:val="00CC5C4C"/>
    <w:rsid w:val="00CD05A1"/>
    <w:rsid w:val="00CE6FA0"/>
    <w:rsid w:val="00CF0520"/>
    <w:rsid w:val="00CF1017"/>
    <w:rsid w:val="00CF44E2"/>
    <w:rsid w:val="00D1316B"/>
    <w:rsid w:val="00D42F3F"/>
    <w:rsid w:val="00D6157C"/>
    <w:rsid w:val="00D76E29"/>
    <w:rsid w:val="00D85E7C"/>
    <w:rsid w:val="00DA7701"/>
    <w:rsid w:val="00DB016D"/>
    <w:rsid w:val="00DC2F17"/>
    <w:rsid w:val="00DC44E4"/>
    <w:rsid w:val="00E02FED"/>
    <w:rsid w:val="00E26DD5"/>
    <w:rsid w:val="00E3573A"/>
    <w:rsid w:val="00E45725"/>
    <w:rsid w:val="00E5275C"/>
    <w:rsid w:val="00E540FA"/>
    <w:rsid w:val="00E54B0A"/>
    <w:rsid w:val="00E804DE"/>
    <w:rsid w:val="00EA1999"/>
    <w:rsid w:val="00ED4672"/>
    <w:rsid w:val="00EE040C"/>
    <w:rsid w:val="00EE5A41"/>
    <w:rsid w:val="00EE5EDC"/>
    <w:rsid w:val="00F022CA"/>
    <w:rsid w:val="00F0369D"/>
    <w:rsid w:val="00F3396F"/>
    <w:rsid w:val="00F35525"/>
    <w:rsid w:val="00F57ACC"/>
    <w:rsid w:val="00F6037A"/>
    <w:rsid w:val="00F66ECF"/>
    <w:rsid w:val="00F67D9F"/>
    <w:rsid w:val="00F82647"/>
    <w:rsid w:val="00F87A70"/>
    <w:rsid w:val="00FA0C90"/>
    <w:rsid w:val="00FB183D"/>
    <w:rsid w:val="00FB3C04"/>
    <w:rsid w:val="00FB3FBD"/>
    <w:rsid w:val="00FD6B29"/>
    <w:rsid w:val="00FE3702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32E76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273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273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19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8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73E8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73E8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7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73E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273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8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,List Paragraph11,Recommendation,List Paragraph2,L,Bulletr List Paragraph,FooterText,List Paragraph21,Listeafsnit1,NFP GP Bulleted List,Paragraphe de liste1,Parágrafo da Lista1,Párrafo de lista1,numbered,リスト段落1,列出段落,列出段落1"/>
    <w:basedOn w:val="Normal"/>
    <w:link w:val="ListParagraphChar"/>
    <w:uiPriority w:val="34"/>
    <w:qFormat/>
    <w:rsid w:val="00080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50"/>
  </w:style>
  <w:style w:type="paragraph" w:styleId="Footer">
    <w:name w:val="footer"/>
    <w:basedOn w:val="Normal"/>
    <w:link w:val="FooterChar"/>
    <w:uiPriority w:val="99"/>
    <w:unhideWhenUsed/>
    <w:rsid w:val="0000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50"/>
  </w:style>
  <w:style w:type="character" w:styleId="FollowedHyperlink">
    <w:name w:val="FollowedHyperlink"/>
    <w:basedOn w:val="DefaultParagraphFont"/>
    <w:uiPriority w:val="99"/>
    <w:semiHidden/>
    <w:unhideWhenUsed/>
    <w:rsid w:val="0094498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2195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1413EE"/>
    <w:rPr>
      <w:b/>
      <w:bCs/>
    </w:rPr>
  </w:style>
  <w:style w:type="character" w:customStyle="1" w:styleId="ListParagraphChar">
    <w:name w:val="List Paragraph Char"/>
    <w:aliases w:val="List Paragraph1 Char,List Paragraph11 Char,Recommendation Char,List Paragraph2 Char,L Char,Bulletr List Paragraph Char,FooterText Char,List Paragraph21 Char,Listeafsnit1 Char,NFP GP Bulleted List Char,Paragraphe de liste1 Char"/>
    <w:basedOn w:val="DefaultParagraphFont"/>
    <w:link w:val="ListParagraph"/>
    <w:uiPriority w:val="34"/>
    <w:locked/>
    <w:rsid w:val="00485367"/>
  </w:style>
  <w:style w:type="paragraph" w:styleId="Revision">
    <w:name w:val="Revision"/>
    <w:hidden/>
    <w:uiPriority w:val="99"/>
    <w:semiHidden/>
    <w:rsid w:val="00E527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49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ts.gov.a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martraveller.gov.au/destinations/asia/taiw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artraveller.gov.au/before-you-go/activities/voluntee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artraveller.gov.au/destin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fat.gov.au/people-to-people/volunteers/Pages/smart-volunteering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8C46-8BED-46AE-939A-E2021103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7730</Characters>
  <Application>Microsoft Office Word</Application>
  <DocSecurity>0</DocSecurity>
  <Lines>161</Lines>
  <Paragraphs>73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Colombo Plan Mobility Program 2022 Round advice to applicants</dc:title>
  <dc:subject/>
  <dc:creator/>
  <cp:keywords/>
  <dc:description/>
  <cp:lastModifiedBy/>
  <cp:revision>1</cp:revision>
  <dcterms:created xsi:type="dcterms:W3CDTF">2021-06-18T04:00:00Z</dcterms:created>
  <dcterms:modified xsi:type="dcterms:W3CDTF">2021-06-18T04:00:00Z</dcterms:modified>
  <cp:category/>
</cp:coreProperties>
</file>