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777" w:rsidRPr="00867443" w:rsidRDefault="00230777" w:rsidP="00230777">
      <w:pPr>
        <w:pStyle w:val="Title"/>
        <w:rPr>
          <w:sz w:val="16"/>
          <w:szCs w:val="16"/>
        </w:rPr>
      </w:pPr>
    </w:p>
    <w:p w:rsidR="00494F98" w:rsidRDefault="00494F98" w:rsidP="00EB398C">
      <w:pPr>
        <w:pStyle w:val="Title"/>
        <w:rPr>
          <w:sz w:val="36"/>
          <w:szCs w:val="36"/>
        </w:rPr>
      </w:pPr>
    </w:p>
    <w:p w:rsidR="00EB398C" w:rsidRDefault="00494F98" w:rsidP="00EB398C">
      <w:pPr>
        <w:pStyle w:val="Title"/>
        <w:rPr>
          <w:sz w:val="36"/>
          <w:szCs w:val="36"/>
        </w:rPr>
      </w:pPr>
      <w:r>
        <w:rPr>
          <w:sz w:val="36"/>
          <w:szCs w:val="36"/>
        </w:rPr>
        <w:t xml:space="preserve">2019-20 </w:t>
      </w:r>
      <w:r w:rsidR="00A361A0">
        <w:rPr>
          <w:sz w:val="36"/>
          <w:szCs w:val="36"/>
        </w:rPr>
        <w:t>nauru</w:t>
      </w:r>
      <w:r w:rsidR="00235EAB">
        <w:rPr>
          <w:sz w:val="36"/>
          <w:szCs w:val="36"/>
        </w:rPr>
        <w:t xml:space="preserve"> </w:t>
      </w:r>
      <w:r w:rsidR="004C5598">
        <w:rPr>
          <w:sz w:val="36"/>
          <w:szCs w:val="36"/>
        </w:rPr>
        <w:t>development program progress report</w:t>
      </w:r>
      <w:r w:rsidR="00660121">
        <w:rPr>
          <w:sz w:val="36"/>
          <w:szCs w:val="36"/>
        </w:rPr>
        <w:t xml:space="preserve">  </w:t>
      </w:r>
    </w:p>
    <w:p w:rsidR="00452298" w:rsidRDefault="00230777" w:rsidP="00EB398C">
      <w:pPr>
        <w:pStyle w:val="Title"/>
        <w:rPr>
          <w:noProof/>
          <w:sz w:val="36"/>
          <w:szCs w:val="36"/>
          <w:lang w:val="en-AU" w:eastAsia="en-AU"/>
        </w:rPr>
        <w:sectPr w:rsidR="00452298" w:rsidSect="0090092E">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266"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21.2&#10;Regional – 3.5&#10;Global – 0.1&#10;Other Government Departments – 0.9&#10;Total Australian ODA – 25.8&#10;Note. Actual expenditure is expected to be available in December 2020&#10;"/>
      </w:tblPr>
      <w:tblGrid>
        <w:gridCol w:w="3715"/>
        <w:gridCol w:w="1551"/>
      </w:tblGrid>
      <w:tr w:rsidR="005D181D" w:rsidTr="00F857E7">
        <w:trPr>
          <w:trHeight w:hRule="exact" w:val="680"/>
        </w:trPr>
        <w:tc>
          <w:tcPr>
            <w:tcW w:w="3715" w:type="dxa"/>
            <w:shd w:val="clear" w:color="auto" w:fill="C1E7E0" w:themeFill="accent1" w:themeFillTint="66"/>
            <w:vAlign w:val="center"/>
          </w:tcPr>
          <w:p w:rsidR="005D181D" w:rsidRPr="005C642E" w:rsidRDefault="005D181D" w:rsidP="00F857E7">
            <w:pPr>
              <w:pStyle w:val="NormalWeb"/>
              <w:spacing w:before="0" w:beforeAutospacing="0" w:after="0" w:afterAutospacing="0"/>
              <w:jc w:val="center"/>
              <w:rPr>
                <w:rFonts w:asciiTheme="minorHAnsi" w:hAnsiTheme="minorHAnsi" w:cs="Calibri"/>
                <w:b/>
                <w:bCs/>
                <w:kern w:val="24"/>
                <w:sz w:val="22"/>
                <w:szCs w:val="20"/>
              </w:rPr>
            </w:pPr>
            <w:r w:rsidRPr="005C642E">
              <w:rPr>
                <w:rFonts w:asciiTheme="minorHAnsi" w:hAnsiTheme="minorHAnsi"/>
                <w:b/>
                <w:sz w:val="22"/>
              </w:rPr>
              <w:t>Program Budget</w:t>
            </w:r>
          </w:p>
        </w:tc>
        <w:tc>
          <w:tcPr>
            <w:tcW w:w="1551" w:type="dxa"/>
            <w:shd w:val="clear" w:color="auto" w:fill="C1E7E0" w:themeFill="accent1" w:themeFillTint="66"/>
            <w:vAlign w:val="center"/>
          </w:tcPr>
          <w:p w:rsidR="005D181D" w:rsidRPr="005C642E" w:rsidRDefault="005D181D" w:rsidP="00F857E7">
            <w:pPr>
              <w:pStyle w:val="NormalWeb"/>
              <w:spacing w:before="0" w:beforeAutospacing="0" w:after="0" w:afterAutospacing="0"/>
              <w:jc w:val="center"/>
              <w:rPr>
                <w:rFonts w:asciiTheme="minorHAnsi" w:hAnsiTheme="minorHAnsi" w:cs="Arial"/>
                <w:b/>
                <w:sz w:val="36"/>
                <w:szCs w:val="36"/>
              </w:rPr>
            </w:pPr>
            <w:r w:rsidRPr="005C642E">
              <w:rPr>
                <w:rFonts w:asciiTheme="minorHAnsi" w:hAnsiTheme="minorHAnsi" w:cs="Calibri"/>
                <w:b/>
                <w:bCs/>
                <w:kern w:val="24"/>
                <w:sz w:val="20"/>
                <w:szCs w:val="20"/>
              </w:rPr>
              <w:t>2019-20 Budget Estimate ($m)</w:t>
            </w:r>
            <w:r w:rsidRPr="005C642E">
              <w:rPr>
                <w:rFonts w:asciiTheme="minorHAnsi" w:hAnsiTheme="minorHAnsi" w:cs="Calibri"/>
                <w:b/>
                <w:bCs/>
                <w:kern w:val="24"/>
                <w:sz w:val="20"/>
                <w:szCs w:val="20"/>
                <w:vertAlign w:val="superscript"/>
              </w:rPr>
              <w:t>*</w:t>
            </w:r>
          </w:p>
        </w:tc>
      </w:tr>
      <w:tr w:rsidR="005D181D" w:rsidTr="00F857E7">
        <w:trPr>
          <w:trHeight w:hRule="exact" w:val="454"/>
        </w:trPr>
        <w:tc>
          <w:tcPr>
            <w:tcW w:w="3715" w:type="dxa"/>
            <w:shd w:val="clear" w:color="auto" w:fill="auto"/>
            <w:vAlign w:val="bottom"/>
          </w:tcPr>
          <w:p w:rsidR="005D181D" w:rsidRDefault="005D181D" w:rsidP="00F857E7">
            <w:pPr>
              <w:pStyle w:val="NormalWeb"/>
              <w:spacing w:before="0" w:beforeAutospacing="0" w:after="0" w:afterAutospacing="0"/>
              <w:ind w:right="172"/>
              <w:rPr>
                <w:rFonts w:ascii="Arial" w:hAnsi="Arial" w:cs="Arial"/>
                <w:sz w:val="36"/>
                <w:szCs w:val="36"/>
              </w:rPr>
            </w:pPr>
            <w:r>
              <w:rPr>
                <w:rFonts w:ascii="Calibri" w:hAnsi="Calibri" w:cs="Calibri"/>
                <w:color w:val="000000" w:themeColor="dark1"/>
                <w:kern w:val="24"/>
                <w:sz w:val="20"/>
                <w:szCs w:val="20"/>
              </w:rPr>
              <w:t>Bilateral</w:t>
            </w:r>
          </w:p>
        </w:tc>
        <w:tc>
          <w:tcPr>
            <w:tcW w:w="1551" w:type="dxa"/>
            <w:vAlign w:val="bottom"/>
          </w:tcPr>
          <w:p w:rsidR="005D181D" w:rsidRDefault="005D181D" w:rsidP="00F857E7">
            <w:pPr>
              <w:pStyle w:val="NormalWeb"/>
              <w:spacing w:before="0" w:beforeAutospacing="0" w:after="0" w:afterAutospacing="0"/>
              <w:jc w:val="right"/>
              <w:rPr>
                <w:rFonts w:ascii="Arial" w:hAnsi="Arial" w:cs="Arial"/>
                <w:sz w:val="36"/>
                <w:szCs w:val="36"/>
              </w:rPr>
            </w:pPr>
            <w:r>
              <w:rPr>
                <w:rFonts w:ascii="Calibri Light" w:eastAsia="Calibri Light" w:hAnsi="Calibri Light"/>
                <w:color w:val="495965" w:themeColor="text2"/>
                <w:kern w:val="24"/>
                <w:sz w:val="20"/>
                <w:szCs w:val="20"/>
              </w:rPr>
              <w:t>21.2</w:t>
            </w:r>
          </w:p>
        </w:tc>
      </w:tr>
      <w:tr w:rsidR="005D181D" w:rsidTr="00F857E7">
        <w:trPr>
          <w:trHeight w:hRule="exact" w:val="454"/>
        </w:trPr>
        <w:tc>
          <w:tcPr>
            <w:tcW w:w="3715" w:type="dxa"/>
            <w:shd w:val="clear" w:color="auto" w:fill="auto"/>
            <w:vAlign w:val="bottom"/>
          </w:tcPr>
          <w:p w:rsidR="005D181D" w:rsidRDefault="005D181D" w:rsidP="00F857E7">
            <w:pPr>
              <w:pStyle w:val="NormalWeb"/>
              <w:spacing w:before="0" w:beforeAutospacing="0" w:after="0" w:afterAutospacing="0"/>
              <w:ind w:right="172"/>
              <w:rPr>
                <w:rFonts w:ascii="Arial" w:hAnsi="Arial" w:cs="Arial"/>
                <w:sz w:val="36"/>
                <w:szCs w:val="36"/>
              </w:rPr>
            </w:pPr>
            <w:r>
              <w:rPr>
                <w:rFonts w:ascii="Calibri" w:hAnsi="Calibri" w:cs="Calibri"/>
                <w:color w:val="000000" w:themeColor="dark1"/>
                <w:kern w:val="24"/>
                <w:sz w:val="20"/>
                <w:szCs w:val="20"/>
              </w:rPr>
              <w:t>Regional</w:t>
            </w:r>
          </w:p>
        </w:tc>
        <w:tc>
          <w:tcPr>
            <w:tcW w:w="1551" w:type="dxa"/>
            <w:vAlign w:val="bottom"/>
          </w:tcPr>
          <w:p w:rsidR="005D181D" w:rsidRDefault="005D181D" w:rsidP="00F857E7">
            <w:pPr>
              <w:pStyle w:val="NormalWeb"/>
              <w:spacing w:before="0" w:beforeAutospacing="0" w:after="0" w:afterAutospacing="0"/>
              <w:jc w:val="right"/>
              <w:rPr>
                <w:rFonts w:ascii="Arial" w:hAnsi="Arial" w:cs="Arial"/>
                <w:sz w:val="36"/>
                <w:szCs w:val="36"/>
              </w:rPr>
            </w:pPr>
            <w:r>
              <w:rPr>
                <w:rFonts w:ascii="Calibri Light" w:eastAsia="Calibri Light" w:hAnsi="Calibri Light"/>
                <w:color w:val="495965" w:themeColor="text2"/>
                <w:kern w:val="24"/>
                <w:sz w:val="20"/>
                <w:szCs w:val="20"/>
              </w:rPr>
              <w:t>3.5</w:t>
            </w:r>
          </w:p>
        </w:tc>
      </w:tr>
      <w:tr w:rsidR="005D181D" w:rsidTr="00F857E7">
        <w:trPr>
          <w:trHeight w:hRule="exact" w:val="454"/>
        </w:trPr>
        <w:tc>
          <w:tcPr>
            <w:tcW w:w="3715" w:type="dxa"/>
            <w:shd w:val="clear" w:color="auto" w:fill="auto"/>
            <w:vAlign w:val="bottom"/>
          </w:tcPr>
          <w:p w:rsidR="005D181D" w:rsidRDefault="005D181D" w:rsidP="00F857E7">
            <w:pPr>
              <w:pStyle w:val="NormalWeb"/>
              <w:spacing w:before="0" w:beforeAutospacing="0" w:after="0" w:afterAutospacing="0"/>
              <w:ind w:right="172"/>
              <w:rPr>
                <w:rFonts w:ascii="Arial" w:hAnsi="Arial" w:cs="Arial"/>
                <w:sz w:val="36"/>
                <w:szCs w:val="36"/>
              </w:rPr>
            </w:pPr>
            <w:r>
              <w:rPr>
                <w:rFonts w:ascii="Calibri" w:hAnsi="Calibri" w:cs="Calibri"/>
                <w:color w:val="000000" w:themeColor="dark1"/>
                <w:kern w:val="24"/>
                <w:sz w:val="20"/>
                <w:szCs w:val="20"/>
              </w:rPr>
              <w:t>Global</w:t>
            </w:r>
          </w:p>
        </w:tc>
        <w:tc>
          <w:tcPr>
            <w:tcW w:w="1551" w:type="dxa"/>
            <w:vAlign w:val="bottom"/>
          </w:tcPr>
          <w:p w:rsidR="005D181D" w:rsidRDefault="005D181D" w:rsidP="00F857E7">
            <w:pPr>
              <w:pStyle w:val="NormalWeb"/>
              <w:spacing w:before="0" w:beforeAutospacing="0" w:after="0" w:afterAutospacing="0"/>
              <w:jc w:val="right"/>
              <w:rPr>
                <w:rFonts w:ascii="Arial" w:hAnsi="Arial" w:cs="Arial"/>
                <w:sz w:val="36"/>
                <w:szCs w:val="36"/>
              </w:rPr>
            </w:pPr>
            <w:r>
              <w:rPr>
                <w:rFonts w:ascii="Calibri Light" w:eastAsia="Calibri Light" w:hAnsi="Calibri Light"/>
                <w:color w:val="495965" w:themeColor="text2"/>
                <w:kern w:val="24"/>
                <w:sz w:val="20"/>
                <w:szCs w:val="20"/>
              </w:rPr>
              <w:t>0.1</w:t>
            </w:r>
          </w:p>
        </w:tc>
      </w:tr>
      <w:tr w:rsidR="005D181D" w:rsidTr="00F857E7">
        <w:trPr>
          <w:trHeight w:hRule="exact" w:val="454"/>
        </w:trPr>
        <w:tc>
          <w:tcPr>
            <w:tcW w:w="3715" w:type="dxa"/>
            <w:shd w:val="clear" w:color="auto" w:fill="auto"/>
            <w:vAlign w:val="bottom"/>
          </w:tcPr>
          <w:p w:rsidR="005D181D" w:rsidRDefault="005D181D" w:rsidP="00F857E7">
            <w:pPr>
              <w:pStyle w:val="NormalWeb"/>
              <w:spacing w:before="0" w:beforeAutospacing="0" w:after="0" w:afterAutospacing="0"/>
              <w:ind w:right="172"/>
              <w:rPr>
                <w:rFonts w:ascii="Arial" w:hAnsi="Arial" w:cs="Arial"/>
                <w:sz w:val="36"/>
                <w:szCs w:val="36"/>
              </w:rPr>
            </w:pPr>
            <w:r>
              <w:rPr>
                <w:rFonts w:ascii="Calibri" w:hAnsi="Calibri" w:cs="Calibri"/>
                <w:color w:val="000000" w:themeColor="dark1"/>
                <w:kern w:val="24"/>
                <w:sz w:val="20"/>
                <w:szCs w:val="20"/>
              </w:rPr>
              <w:t>Other Government Departments</w:t>
            </w:r>
          </w:p>
        </w:tc>
        <w:tc>
          <w:tcPr>
            <w:tcW w:w="1551" w:type="dxa"/>
            <w:vAlign w:val="bottom"/>
          </w:tcPr>
          <w:p w:rsidR="005D181D" w:rsidRDefault="005D181D" w:rsidP="00F857E7">
            <w:pPr>
              <w:pStyle w:val="NormalWeb"/>
              <w:spacing w:before="0" w:beforeAutospacing="0" w:after="0" w:afterAutospacing="0"/>
              <w:jc w:val="right"/>
              <w:rPr>
                <w:rFonts w:ascii="Arial" w:hAnsi="Arial" w:cs="Arial"/>
                <w:sz w:val="36"/>
                <w:szCs w:val="36"/>
              </w:rPr>
            </w:pPr>
            <w:r>
              <w:rPr>
                <w:rFonts w:ascii="Calibri Light" w:eastAsia="Calibri Light" w:hAnsi="Calibri Light"/>
                <w:color w:val="495965" w:themeColor="text2"/>
                <w:kern w:val="24"/>
                <w:sz w:val="20"/>
                <w:szCs w:val="20"/>
              </w:rPr>
              <w:t>0.9</w:t>
            </w:r>
          </w:p>
        </w:tc>
      </w:tr>
      <w:tr w:rsidR="005D181D" w:rsidTr="00F857E7">
        <w:trPr>
          <w:trHeight w:hRule="exact" w:val="454"/>
        </w:trPr>
        <w:tc>
          <w:tcPr>
            <w:tcW w:w="3715" w:type="dxa"/>
            <w:tcBorders>
              <w:bottom w:val="single" w:sz="2" w:space="0" w:color="65C5B4" w:themeColor="accent1"/>
            </w:tcBorders>
            <w:shd w:val="clear" w:color="auto" w:fill="auto"/>
            <w:vAlign w:val="bottom"/>
          </w:tcPr>
          <w:p w:rsidR="005D181D" w:rsidRDefault="005D181D" w:rsidP="00F857E7">
            <w:pPr>
              <w:pStyle w:val="NormalWeb"/>
              <w:spacing w:before="0" w:beforeAutospacing="0" w:after="0" w:afterAutospacing="0"/>
              <w:rPr>
                <w:rFonts w:ascii="Arial" w:hAnsi="Arial" w:cs="Arial"/>
                <w:sz w:val="36"/>
                <w:szCs w:val="36"/>
              </w:rPr>
            </w:pPr>
            <w:r>
              <w:rPr>
                <w:rFonts w:ascii="Calibri" w:hAnsi="Calibri" w:cs="Calibri"/>
                <w:b/>
                <w:bCs/>
                <w:color w:val="000000" w:themeColor="dark1"/>
                <w:kern w:val="24"/>
                <w:sz w:val="20"/>
                <w:szCs w:val="20"/>
              </w:rPr>
              <w:t>Total Australian ODA to Nauru</w:t>
            </w:r>
          </w:p>
        </w:tc>
        <w:tc>
          <w:tcPr>
            <w:tcW w:w="1551" w:type="dxa"/>
            <w:tcBorders>
              <w:bottom w:val="single" w:sz="2" w:space="0" w:color="65C5B4" w:themeColor="accent1"/>
            </w:tcBorders>
            <w:vAlign w:val="bottom"/>
          </w:tcPr>
          <w:p w:rsidR="005D181D" w:rsidRPr="00BF2747" w:rsidRDefault="005D181D" w:rsidP="00F857E7">
            <w:pPr>
              <w:pStyle w:val="NormalWeb"/>
              <w:spacing w:before="0" w:beforeAutospacing="0" w:after="0" w:afterAutospacing="0"/>
              <w:jc w:val="right"/>
              <w:rPr>
                <w:rFonts w:ascii="Calibri" w:hAnsi="Calibri" w:cs="Calibri"/>
                <w:b/>
                <w:bCs/>
                <w:color w:val="000000" w:themeColor="dark1"/>
                <w:kern w:val="24"/>
                <w:sz w:val="20"/>
                <w:szCs w:val="20"/>
              </w:rPr>
            </w:pPr>
            <w:r w:rsidRPr="00BF2747">
              <w:rPr>
                <w:rFonts w:ascii="Calibri" w:hAnsi="Calibri" w:cs="Calibri"/>
                <w:b/>
                <w:bCs/>
                <w:color w:val="000000" w:themeColor="dark1"/>
                <w:kern w:val="24"/>
                <w:sz w:val="20"/>
                <w:szCs w:val="20"/>
              </w:rPr>
              <w:t>25.8</w:t>
            </w:r>
          </w:p>
        </w:tc>
      </w:tr>
    </w:tbl>
    <w:p w:rsidR="005D181D" w:rsidRPr="00A51F64" w:rsidRDefault="005D181D" w:rsidP="005D181D">
      <w:pPr>
        <w:spacing w:before="0" w:line="240" w:lineRule="auto"/>
        <w:rPr>
          <w:rFonts w:eastAsia="Calibri Light" w:cstheme="minorHAnsi"/>
          <w:bCs/>
          <w:kern w:val="24"/>
          <w:sz w:val="16"/>
          <w:szCs w:val="20"/>
        </w:rPr>
      </w:pPr>
      <w:r w:rsidRPr="00A51F64">
        <w:rPr>
          <w:rFonts w:cstheme="minorHAnsi"/>
          <w:bCs/>
          <w:color w:val="000000" w:themeColor="dark1"/>
          <w:kern w:val="24"/>
          <w:sz w:val="16"/>
          <w:szCs w:val="20"/>
        </w:rPr>
        <w:t>*Actual expenditure is expected to be available in December 2020</w:t>
      </w:r>
    </w:p>
    <w:p w:rsidR="00452298" w:rsidRDefault="00452298" w:rsidP="00494F98">
      <w:pPr>
        <w:spacing w:before="0" w:after="0"/>
      </w:pPr>
    </w:p>
    <w:p w:rsidR="005D181D" w:rsidRDefault="005D181D" w:rsidP="00494F98">
      <w:pPr>
        <w:spacing w:before="0" w:after="0"/>
      </w:pPr>
      <w:r>
        <w:rPr>
          <w:noProof/>
          <w:lang w:val="en-AU" w:eastAsia="en-AU"/>
        </w:rPr>
        <w:drawing>
          <wp:inline distT="0" distB="0" distL="0" distR="0" wp14:anchorId="700C288F" wp14:editId="1D7CE705">
            <wp:extent cx="3352165" cy="1795704"/>
            <wp:effectExtent l="0" t="0" r="635" b="0"/>
            <wp:docPr id="1" name="Picture 1" descr="Infrastructure and trade – 29%&#10;Agriculture, fisheries and water – 2%&#10;Governance – 13%&#10;Education – 15%&#10;Health – 20%&#10;Building resilience – 4%&#10;General development support – 17%&#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0108" cy="1805316"/>
                    </a:xfrm>
                    <a:prstGeom prst="rect">
                      <a:avLst/>
                    </a:prstGeom>
                    <a:noFill/>
                  </pic:spPr>
                </pic:pic>
              </a:graphicData>
            </a:graphic>
          </wp:inline>
        </w:drawing>
      </w:r>
    </w:p>
    <w:p w:rsidR="005D181D" w:rsidRDefault="005D181D" w:rsidP="00494F98">
      <w:pPr>
        <w:spacing w:before="0" w:after="0"/>
      </w:pPr>
    </w:p>
    <w:p w:rsidR="005D181D" w:rsidRPr="00452298" w:rsidRDefault="005D181D" w:rsidP="00494F98">
      <w:pPr>
        <w:spacing w:before="0" w:after="0"/>
        <w:sectPr w:rsidR="005D181D" w:rsidRPr="00452298" w:rsidSect="005D181D">
          <w:type w:val="continuous"/>
          <w:pgSz w:w="11906" w:h="16838" w:code="9"/>
          <w:pgMar w:top="1701" w:right="140" w:bottom="1418" w:left="709" w:header="142" w:footer="493" w:gutter="0"/>
          <w:cols w:num="2" w:space="397"/>
          <w:titlePg/>
          <w:docGrid w:linePitch="360"/>
        </w:sectPr>
      </w:pPr>
    </w:p>
    <w:p w:rsidR="003500CF" w:rsidRDefault="00651213" w:rsidP="00C32299">
      <w:pPr>
        <w:rPr>
          <w:b/>
        </w:rPr>
      </w:pPr>
      <w:r>
        <w:rPr>
          <w:b/>
          <w:sz w:val="24"/>
        </w:rPr>
        <w:t>COVID-19 Development Response</w:t>
      </w:r>
      <w:r w:rsidR="003500CF">
        <w:rPr>
          <w:b/>
        </w:rPr>
        <w:tab/>
      </w:r>
    </w:p>
    <w:p w:rsidR="003500CF" w:rsidRPr="00D17AD8" w:rsidRDefault="000462EE" w:rsidP="003500CF">
      <w:pPr>
        <w:pStyle w:val="ListParagraph"/>
        <w:numPr>
          <w:ilvl w:val="0"/>
          <w:numId w:val="39"/>
        </w:numPr>
      </w:pPr>
      <w:r w:rsidRPr="00D17AD8">
        <w:t xml:space="preserve">Australia provided </w:t>
      </w:r>
      <w:r w:rsidR="00D609FC" w:rsidRPr="00D17AD8">
        <w:t xml:space="preserve">a </w:t>
      </w:r>
      <w:r w:rsidRPr="00D17AD8">
        <w:t>$4.</w:t>
      </w:r>
      <w:r w:rsidR="003858FE" w:rsidRPr="00D17AD8">
        <w:t>5</w:t>
      </w:r>
      <w:r w:rsidR="00BC1AE0" w:rsidRPr="00D17AD8">
        <w:t xml:space="preserve"> </w:t>
      </w:r>
      <w:r w:rsidRPr="00D17AD8">
        <w:t xml:space="preserve">million </w:t>
      </w:r>
      <w:r w:rsidR="007429E2" w:rsidRPr="00D17AD8">
        <w:t xml:space="preserve">COVID-19 </w:t>
      </w:r>
      <w:r w:rsidRPr="00D17AD8">
        <w:t xml:space="preserve">economic </w:t>
      </w:r>
      <w:r w:rsidR="003858FE" w:rsidRPr="00D17AD8">
        <w:t xml:space="preserve">recovery </w:t>
      </w:r>
      <w:r w:rsidR="00D609FC" w:rsidRPr="00D17AD8">
        <w:t xml:space="preserve">package to support </w:t>
      </w:r>
      <w:r w:rsidR="0043003D" w:rsidRPr="00D17AD8">
        <w:t xml:space="preserve">outbreak preparedness and </w:t>
      </w:r>
      <w:r w:rsidRPr="00D17AD8">
        <w:t>response</w:t>
      </w:r>
      <w:r w:rsidR="000163B4" w:rsidRPr="00D17AD8">
        <w:t xml:space="preserve">, technical assistance and </w:t>
      </w:r>
      <w:r w:rsidR="00961014" w:rsidRPr="00D17AD8">
        <w:t>fu</w:t>
      </w:r>
      <w:r w:rsidR="006F227F" w:rsidRPr="00D17AD8">
        <w:t>nding for Nauru’s health sector;</w:t>
      </w:r>
      <w:r w:rsidR="00961014" w:rsidRPr="00D17AD8">
        <w:t xml:space="preserve"> </w:t>
      </w:r>
      <w:r w:rsidR="00D609FC" w:rsidRPr="00D17AD8">
        <w:t>and</w:t>
      </w:r>
      <w:r w:rsidR="002C2C35" w:rsidRPr="00D17AD8">
        <w:t xml:space="preserve"> economic recovery</w:t>
      </w:r>
      <w:r w:rsidR="004C76F2" w:rsidRPr="00D17AD8">
        <w:t>,</w:t>
      </w:r>
      <w:r w:rsidR="002C2C35" w:rsidRPr="00D17AD8">
        <w:t xml:space="preserve"> including maintaining transport connectivity</w:t>
      </w:r>
      <w:r w:rsidR="00D609FC" w:rsidRPr="00D17AD8">
        <w:t>.</w:t>
      </w:r>
      <w:r w:rsidR="002C2C35" w:rsidRPr="00D17AD8">
        <w:t xml:space="preserve"> </w:t>
      </w:r>
      <w:r w:rsidR="00D609FC" w:rsidRPr="00D17AD8">
        <w:t>The package also included d</w:t>
      </w:r>
      <w:r w:rsidR="002C2C35" w:rsidRPr="00D17AD8">
        <w:t>edicated funding for gender equality and social inclusion</w:t>
      </w:r>
      <w:r w:rsidR="00D609FC" w:rsidRPr="00D17AD8">
        <w:t>.</w:t>
      </w:r>
    </w:p>
    <w:p w:rsidR="0043003D" w:rsidRPr="00D17AD8" w:rsidRDefault="0043003D" w:rsidP="002C2C35">
      <w:pPr>
        <w:pStyle w:val="ListParagraph"/>
        <w:numPr>
          <w:ilvl w:val="0"/>
          <w:numId w:val="39"/>
        </w:numPr>
      </w:pPr>
      <w:r w:rsidRPr="00D17AD8">
        <w:t xml:space="preserve">Working closely with DFAT’s Centre for Health Security, we </w:t>
      </w:r>
      <w:r w:rsidR="00784101" w:rsidRPr="00D17AD8">
        <w:t>provided $100,000 in medical supplies and deployed</w:t>
      </w:r>
      <w:r w:rsidRPr="00D17AD8">
        <w:t xml:space="preserve"> a COVID-19 Public Health Adviser</w:t>
      </w:r>
      <w:r w:rsidR="004C76F2" w:rsidRPr="00D17AD8">
        <w:t xml:space="preserve">, </w:t>
      </w:r>
      <w:r w:rsidR="00784101" w:rsidRPr="00D17AD8">
        <w:t>to work</w:t>
      </w:r>
      <w:r w:rsidR="004C76F2" w:rsidRPr="00D17AD8">
        <w:t xml:space="preserve"> with </w:t>
      </w:r>
      <w:r w:rsidRPr="00D17AD8">
        <w:t>Nauru’s COVID-19 Taskforce</w:t>
      </w:r>
      <w:r w:rsidR="00BC1AE0" w:rsidRPr="00D17AD8">
        <w:t xml:space="preserve"> </w:t>
      </w:r>
      <w:r w:rsidR="004C76F2" w:rsidRPr="00D17AD8">
        <w:t xml:space="preserve">and Ministry of Health and Medical Services (MHMS) </w:t>
      </w:r>
      <w:r w:rsidR="00BC1AE0" w:rsidRPr="00D17AD8">
        <w:t xml:space="preserve">to </w:t>
      </w:r>
      <w:r w:rsidR="004C76F2" w:rsidRPr="00D17AD8">
        <w:t>support</w:t>
      </w:r>
      <w:r w:rsidR="00BC1AE0" w:rsidRPr="00D17AD8">
        <w:t xml:space="preserve"> </w:t>
      </w:r>
      <w:r w:rsidR="00D609FC" w:rsidRPr="00D17AD8">
        <w:t>cross-</w:t>
      </w:r>
      <w:r w:rsidR="00BC1AE0" w:rsidRPr="00D17AD8">
        <w:t xml:space="preserve">government </w:t>
      </w:r>
      <w:r w:rsidR="00D609FC" w:rsidRPr="00D17AD8">
        <w:t xml:space="preserve">planning and </w:t>
      </w:r>
      <w:r w:rsidR="00BC1AE0" w:rsidRPr="00D17AD8">
        <w:t>response</w:t>
      </w:r>
      <w:r w:rsidRPr="00D17AD8">
        <w:t xml:space="preserve">. </w:t>
      </w:r>
    </w:p>
    <w:p w:rsidR="00D875CF" w:rsidRPr="00D17AD8" w:rsidRDefault="00D875CF" w:rsidP="005A53FA">
      <w:pPr>
        <w:pStyle w:val="ListParagraph"/>
        <w:numPr>
          <w:ilvl w:val="0"/>
          <w:numId w:val="39"/>
        </w:numPr>
      </w:pPr>
      <w:r w:rsidRPr="00D17AD8">
        <w:t xml:space="preserve">The Australian Federal Police (AFP) assisted </w:t>
      </w:r>
      <w:r w:rsidR="007429E2" w:rsidRPr="00D17AD8">
        <w:t xml:space="preserve">the </w:t>
      </w:r>
      <w:r w:rsidRPr="00D17AD8">
        <w:t>Nauru Police Force</w:t>
      </w:r>
      <w:r w:rsidR="005A53FA" w:rsidRPr="00D17AD8">
        <w:t xml:space="preserve"> </w:t>
      </w:r>
      <w:r w:rsidR="00BC1AE0" w:rsidRPr="00D17AD8">
        <w:t xml:space="preserve">to prepare for </w:t>
      </w:r>
      <w:r w:rsidRPr="00D17AD8">
        <w:t>COVID-19</w:t>
      </w:r>
      <w:r w:rsidR="005A53FA" w:rsidRPr="00D17AD8">
        <w:t>, including</w:t>
      </w:r>
      <w:r w:rsidRPr="00D17AD8">
        <w:t xml:space="preserve"> by developing</w:t>
      </w:r>
      <w:r w:rsidR="005A53FA" w:rsidRPr="00D17AD8">
        <w:t xml:space="preserve"> a suite of planning </w:t>
      </w:r>
      <w:r w:rsidR="007429E2" w:rsidRPr="00D17AD8">
        <w:t xml:space="preserve">tools, </w:t>
      </w:r>
      <w:r w:rsidR="005A53FA" w:rsidRPr="00D17AD8">
        <w:t xml:space="preserve">and supporting workforce planning to ensure </w:t>
      </w:r>
      <w:r w:rsidR="007429E2" w:rsidRPr="00D17AD8">
        <w:t xml:space="preserve">policing continuity. </w:t>
      </w:r>
    </w:p>
    <w:p w:rsidR="0043003D" w:rsidRPr="00D17AD8" w:rsidRDefault="00D67FE0" w:rsidP="00BF07B3">
      <w:pPr>
        <w:pStyle w:val="ListParagraph"/>
        <w:numPr>
          <w:ilvl w:val="0"/>
          <w:numId w:val="39"/>
        </w:numPr>
      </w:pPr>
      <w:r w:rsidRPr="00D17AD8">
        <w:t>Through dedicated advisory support, w</w:t>
      </w:r>
      <w:r w:rsidR="00BC1AE0" w:rsidRPr="00D17AD8">
        <w:t>e</w:t>
      </w:r>
      <w:r w:rsidR="00D875CF" w:rsidRPr="00D17AD8">
        <w:t xml:space="preserve"> </w:t>
      </w:r>
      <w:r w:rsidR="0043003D" w:rsidRPr="00D17AD8">
        <w:t xml:space="preserve">supported </w:t>
      </w:r>
      <w:r w:rsidR="00BC1AE0" w:rsidRPr="00D17AD8">
        <w:t xml:space="preserve">preparation </w:t>
      </w:r>
      <w:r w:rsidR="0043003D" w:rsidRPr="00D17AD8">
        <w:t>of Nauru’s 2020-21 budget,</w:t>
      </w:r>
      <w:r w:rsidRPr="00D17AD8">
        <w:t xml:space="preserve"> </w:t>
      </w:r>
      <w:r w:rsidR="0043003D" w:rsidRPr="00D17AD8">
        <w:t xml:space="preserve">an important </w:t>
      </w:r>
      <w:r w:rsidR="00D875CF" w:rsidRPr="00D17AD8">
        <w:t>foundation</w:t>
      </w:r>
      <w:r w:rsidR="0043003D" w:rsidRPr="00D17AD8">
        <w:t xml:space="preserve"> to guide Government of Nauru’s COVID-19 health and economic response efforts. </w:t>
      </w:r>
    </w:p>
    <w:p w:rsidR="00D875CF" w:rsidRPr="00D17AD8" w:rsidRDefault="00D875CF" w:rsidP="00D875CF">
      <w:pPr>
        <w:pStyle w:val="ListParagraph"/>
        <w:numPr>
          <w:ilvl w:val="0"/>
          <w:numId w:val="39"/>
        </w:numPr>
      </w:pPr>
      <w:r w:rsidRPr="00D17AD8">
        <w:t>We continued our participation</w:t>
      </w:r>
      <w:r w:rsidR="004C76F2" w:rsidRPr="00D17AD8">
        <w:t xml:space="preserve"> in</w:t>
      </w:r>
      <w:r w:rsidR="00BC1AE0" w:rsidRPr="00D17AD8">
        <w:t xml:space="preserve"> and financial contributions to</w:t>
      </w:r>
      <w:r w:rsidRPr="00D17AD8">
        <w:t xml:space="preserve"> the Nauru Trust Fund (NTF) </w:t>
      </w:r>
      <w:r w:rsidR="00D4295F" w:rsidRPr="00D17AD8">
        <w:t>including t</w:t>
      </w:r>
      <w:r w:rsidRPr="00D17AD8">
        <w:t xml:space="preserve">o mitigate short-term investment losses due to COVID-19. The NTF </w:t>
      </w:r>
      <w:r w:rsidR="00BC1AE0" w:rsidRPr="00D17AD8">
        <w:t xml:space="preserve">continued to </w:t>
      </w:r>
      <w:r w:rsidR="00BC1AE0" w:rsidRPr="00D17AD8">
        <w:t xml:space="preserve">exceed performance targets and </w:t>
      </w:r>
      <w:r w:rsidRPr="00D17AD8">
        <w:t xml:space="preserve">will be an important source of future revenue. </w:t>
      </w:r>
    </w:p>
    <w:p w:rsidR="003500CF" w:rsidRPr="00D17AD8" w:rsidRDefault="00651213" w:rsidP="00B16FE3">
      <w:pPr>
        <w:rPr>
          <w:b/>
          <w:bCs/>
          <w:sz w:val="24"/>
        </w:rPr>
      </w:pPr>
      <w:r w:rsidRPr="00D17AD8">
        <w:rPr>
          <w:b/>
          <w:bCs/>
          <w:sz w:val="24"/>
        </w:rPr>
        <w:t>Other program highlights</w:t>
      </w:r>
    </w:p>
    <w:p w:rsidR="00452298" w:rsidRPr="00D17AD8" w:rsidRDefault="003D5278" w:rsidP="006F227F">
      <w:pPr>
        <w:pStyle w:val="ListParagraph"/>
        <w:numPr>
          <w:ilvl w:val="0"/>
          <w:numId w:val="41"/>
        </w:numPr>
        <w:rPr>
          <w:lang w:val="en-AU"/>
        </w:rPr>
      </w:pPr>
      <w:r w:rsidRPr="00D17AD8">
        <w:rPr>
          <w:lang w:val="en-AU"/>
        </w:rPr>
        <w:t>W</w:t>
      </w:r>
      <w:r w:rsidR="00A9793A" w:rsidRPr="00D17AD8">
        <w:rPr>
          <w:lang w:val="en-AU"/>
        </w:rPr>
        <w:t>ork has continued</w:t>
      </w:r>
      <w:r w:rsidRPr="00D17AD8">
        <w:rPr>
          <w:lang w:val="en-AU"/>
        </w:rPr>
        <w:t xml:space="preserve"> on</w:t>
      </w:r>
      <w:r w:rsidR="00A9793A" w:rsidRPr="00D17AD8">
        <w:rPr>
          <w:lang w:val="en-AU"/>
        </w:rPr>
        <w:t xml:space="preserve"> </w:t>
      </w:r>
      <w:r w:rsidRPr="00D17AD8">
        <w:rPr>
          <w:lang w:val="en-AU"/>
        </w:rPr>
        <w:t>the Nauru port redevelopment</w:t>
      </w:r>
      <w:r w:rsidR="006F227F" w:rsidRPr="00D17AD8">
        <w:rPr>
          <w:lang w:val="en-AU"/>
        </w:rPr>
        <w:t>,</w:t>
      </w:r>
      <w:r w:rsidRPr="00D17AD8">
        <w:rPr>
          <w:lang w:val="en-AU"/>
        </w:rPr>
        <w:t xml:space="preserve"> </w:t>
      </w:r>
      <w:r w:rsidR="00A9793A" w:rsidRPr="00D17AD8">
        <w:rPr>
          <w:lang w:val="en-AU"/>
        </w:rPr>
        <w:t xml:space="preserve">despite </w:t>
      </w:r>
      <w:r w:rsidR="006F227F" w:rsidRPr="00D17AD8">
        <w:rPr>
          <w:lang w:val="en-AU"/>
        </w:rPr>
        <w:t>COVID-19 delaying arrival of supplies and workers</w:t>
      </w:r>
      <w:r w:rsidR="004A0549" w:rsidRPr="00D17AD8">
        <w:rPr>
          <w:lang w:val="en-AU"/>
        </w:rPr>
        <w:t xml:space="preserve">. </w:t>
      </w:r>
      <w:r w:rsidR="0090020D">
        <w:rPr>
          <w:lang w:val="en-AU"/>
        </w:rPr>
        <w:t>The new climate-resilient port will bolster Nauru’s transport and trade connectivity, and strengthen the supply chain for essential goods</w:t>
      </w:r>
      <w:r w:rsidR="004A0549" w:rsidRPr="00D17AD8">
        <w:rPr>
          <w:lang w:val="en-AU"/>
        </w:rPr>
        <w:t xml:space="preserve">. </w:t>
      </w:r>
    </w:p>
    <w:p w:rsidR="00977676" w:rsidRPr="00D17AD8" w:rsidRDefault="00BC1AE0" w:rsidP="00935ABC">
      <w:pPr>
        <w:pStyle w:val="ListParagraph"/>
        <w:numPr>
          <w:ilvl w:val="0"/>
          <w:numId w:val="41"/>
        </w:numPr>
        <w:rPr>
          <w:lang w:val="en-AU"/>
        </w:rPr>
      </w:pPr>
      <w:r w:rsidRPr="00D17AD8">
        <w:rPr>
          <w:lang w:val="en-AU"/>
        </w:rPr>
        <w:t>Nauru continued to progre</w:t>
      </w:r>
      <w:r w:rsidR="00D4295F" w:rsidRPr="00D17AD8">
        <w:rPr>
          <w:lang w:val="en-AU"/>
        </w:rPr>
        <w:t>ss its</w:t>
      </w:r>
      <w:r w:rsidR="003F3B15" w:rsidRPr="00D17AD8">
        <w:rPr>
          <w:lang w:val="en-AU"/>
        </w:rPr>
        <w:t xml:space="preserve"> Education Strategic Plan, underpinned by</w:t>
      </w:r>
      <w:r w:rsidRPr="00D17AD8">
        <w:rPr>
          <w:lang w:val="en-AU"/>
        </w:rPr>
        <w:t xml:space="preserve"> </w:t>
      </w:r>
      <w:r w:rsidR="0033562B" w:rsidRPr="00D17AD8">
        <w:rPr>
          <w:lang w:val="en-AU"/>
        </w:rPr>
        <w:t xml:space="preserve">Australia’s </w:t>
      </w:r>
      <w:r w:rsidR="00036397" w:rsidRPr="00D17AD8">
        <w:rPr>
          <w:lang w:val="en-AU"/>
        </w:rPr>
        <w:t xml:space="preserve">highly valued </w:t>
      </w:r>
      <w:r w:rsidR="0033562B" w:rsidRPr="00D17AD8">
        <w:rPr>
          <w:lang w:val="en-AU"/>
        </w:rPr>
        <w:t>education sector support</w:t>
      </w:r>
      <w:r w:rsidR="00A9793A" w:rsidRPr="00D17AD8">
        <w:rPr>
          <w:lang w:val="en-AU"/>
        </w:rPr>
        <w:t xml:space="preserve">. </w:t>
      </w:r>
      <w:r w:rsidR="00B22459" w:rsidRPr="00D17AD8">
        <w:rPr>
          <w:lang w:val="en-AU"/>
        </w:rPr>
        <w:t>P</w:t>
      </w:r>
      <w:r w:rsidR="0033562B" w:rsidRPr="00D17AD8">
        <w:rPr>
          <w:lang w:val="en-AU"/>
        </w:rPr>
        <w:t xml:space="preserve">rogress was made </w:t>
      </w:r>
      <w:r w:rsidR="00D4295F" w:rsidRPr="00D17AD8">
        <w:rPr>
          <w:lang w:val="en-AU"/>
        </w:rPr>
        <w:t xml:space="preserve">in </w:t>
      </w:r>
      <w:r w:rsidR="00B22459" w:rsidRPr="00D17AD8">
        <w:rPr>
          <w:lang w:val="en-AU"/>
        </w:rPr>
        <w:t>recruiting local teachers to reduce reliance on expatriates (there were 34 primary and early childhood education expat teachers in 2020, compared to 40 in 2019)</w:t>
      </w:r>
      <w:r w:rsidR="0033562B" w:rsidRPr="00D17AD8">
        <w:rPr>
          <w:lang w:val="en-AU"/>
        </w:rPr>
        <w:t xml:space="preserve">. </w:t>
      </w:r>
    </w:p>
    <w:p w:rsidR="00977676" w:rsidRPr="00D17AD8" w:rsidRDefault="003F3B15" w:rsidP="00B22459">
      <w:pPr>
        <w:pStyle w:val="ListParagraph"/>
        <w:numPr>
          <w:ilvl w:val="0"/>
          <w:numId w:val="41"/>
        </w:numPr>
        <w:rPr>
          <w:lang w:val="en-AU" w:eastAsia="en-AU"/>
        </w:rPr>
      </w:pPr>
      <w:r w:rsidRPr="00D17AD8">
        <w:rPr>
          <w:lang w:val="en-AU"/>
        </w:rPr>
        <w:t>The Australian-funded</w:t>
      </w:r>
      <w:r w:rsidR="00036397" w:rsidRPr="00D17AD8">
        <w:rPr>
          <w:lang w:val="en-AU"/>
        </w:rPr>
        <w:t xml:space="preserve"> </w:t>
      </w:r>
      <w:r w:rsidR="00A9793A" w:rsidRPr="00D17AD8">
        <w:rPr>
          <w:lang w:val="en-AU"/>
        </w:rPr>
        <w:t xml:space="preserve">Nauru Utilities Corporation (NUC) </w:t>
      </w:r>
      <w:r w:rsidR="00997234" w:rsidRPr="00D17AD8">
        <w:rPr>
          <w:lang w:val="en-AU"/>
        </w:rPr>
        <w:t xml:space="preserve">CEO </w:t>
      </w:r>
      <w:r w:rsidR="00B22459" w:rsidRPr="00D17AD8">
        <w:rPr>
          <w:lang w:val="en-AU"/>
        </w:rPr>
        <w:t>continued work to strengthen</w:t>
      </w:r>
      <w:r w:rsidR="00A9793A" w:rsidRPr="00D17AD8">
        <w:rPr>
          <w:lang w:val="en-AU"/>
        </w:rPr>
        <w:t xml:space="preserve"> essential </w:t>
      </w:r>
      <w:r w:rsidRPr="00D17AD8">
        <w:rPr>
          <w:lang w:val="en-AU"/>
        </w:rPr>
        <w:t xml:space="preserve">water and power </w:t>
      </w:r>
      <w:r w:rsidR="00A9793A" w:rsidRPr="00D17AD8">
        <w:rPr>
          <w:lang w:val="en-AU"/>
        </w:rPr>
        <w:t xml:space="preserve">services. </w:t>
      </w:r>
      <w:r w:rsidR="00B22459" w:rsidRPr="00D17AD8">
        <w:rPr>
          <w:lang w:val="en-AU"/>
        </w:rPr>
        <w:t xml:space="preserve">NUC on-time attendance increased from 68 per cent in 2018 to 90 per cent in 2019. </w:t>
      </w:r>
      <w:r w:rsidR="00276A54" w:rsidRPr="00D17AD8">
        <w:rPr>
          <w:lang w:val="en-AU"/>
        </w:rPr>
        <w:t xml:space="preserve"> </w:t>
      </w:r>
    </w:p>
    <w:p w:rsidR="003317F4" w:rsidRPr="00D17AD8" w:rsidRDefault="003317F4" w:rsidP="00AF4909">
      <w:pPr>
        <w:pStyle w:val="ListParagraph"/>
        <w:numPr>
          <w:ilvl w:val="0"/>
          <w:numId w:val="41"/>
        </w:numPr>
        <w:rPr>
          <w:lang w:val="en-AU" w:eastAsia="en-AU"/>
        </w:rPr>
      </w:pPr>
      <w:r w:rsidRPr="00D17AD8">
        <w:rPr>
          <w:lang w:val="en-AU"/>
        </w:rPr>
        <w:t>Australia and Nauru worked closely</w:t>
      </w:r>
      <w:r w:rsidR="007429E2" w:rsidRPr="00D17AD8">
        <w:rPr>
          <w:lang w:val="en-AU"/>
        </w:rPr>
        <w:t xml:space="preserve"> to</w:t>
      </w:r>
      <w:r w:rsidRPr="00D17AD8">
        <w:rPr>
          <w:lang w:val="en-AU"/>
        </w:rPr>
        <w:t xml:space="preserve"> </w:t>
      </w:r>
      <w:r w:rsidR="00D609FC" w:rsidRPr="00D17AD8">
        <w:rPr>
          <w:lang w:val="en-AU"/>
        </w:rPr>
        <w:t>enhance the effectiveness of</w:t>
      </w:r>
      <w:r w:rsidR="003D5278" w:rsidRPr="00D17AD8">
        <w:rPr>
          <w:lang w:val="en-AU"/>
        </w:rPr>
        <w:t xml:space="preserve"> Australian </w:t>
      </w:r>
      <w:r w:rsidR="007429E2" w:rsidRPr="00D17AD8">
        <w:rPr>
          <w:lang w:val="en-AU"/>
        </w:rPr>
        <w:t xml:space="preserve">development assistance by </w:t>
      </w:r>
      <w:r w:rsidR="00D67FE0" w:rsidRPr="00D17AD8">
        <w:rPr>
          <w:lang w:val="en-AU"/>
        </w:rPr>
        <w:t>addressing</w:t>
      </w:r>
      <w:r w:rsidR="00D609FC" w:rsidRPr="00D17AD8">
        <w:rPr>
          <w:lang w:val="en-AU"/>
        </w:rPr>
        <w:t xml:space="preserve"> governance </w:t>
      </w:r>
      <w:r w:rsidR="00D67FE0" w:rsidRPr="00D17AD8">
        <w:rPr>
          <w:lang w:val="en-AU"/>
        </w:rPr>
        <w:t xml:space="preserve">issues </w:t>
      </w:r>
      <w:r w:rsidR="00D609FC" w:rsidRPr="00D17AD8">
        <w:rPr>
          <w:lang w:val="en-AU"/>
        </w:rPr>
        <w:t xml:space="preserve">and </w:t>
      </w:r>
      <w:r w:rsidR="003D5278" w:rsidRPr="00D17AD8">
        <w:rPr>
          <w:lang w:val="en-AU"/>
        </w:rPr>
        <w:t>building capacity in</w:t>
      </w:r>
      <w:r w:rsidRPr="00D17AD8">
        <w:rPr>
          <w:lang w:val="en-AU"/>
        </w:rPr>
        <w:t xml:space="preserve"> public financial management</w:t>
      </w:r>
      <w:r w:rsidR="007429E2" w:rsidRPr="00D17AD8">
        <w:rPr>
          <w:lang w:val="en-AU"/>
        </w:rPr>
        <w:t>. This work</w:t>
      </w:r>
      <w:r w:rsidR="00D609FC" w:rsidRPr="00D17AD8">
        <w:rPr>
          <w:lang w:val="en-AU"/>
        </w:rPr>
        <w:t xml:space="preserve"> has</w:t>
      </w:r>
      <w:r w:rsidR="007429E2" w:rsidRPr="00D17AD8">
        <w:rPr>
          <w:lang w:val="en-AU"/>
        </w:rPr>
        <w:t xml:space="preserve"> ensure</w:t>
      </w:r>
      <w:r w:rsidR="00D609FC" w:rsidRPr="00D17AD8">
        <w:rPr>
          <w:lang w:val="en-AU"/>
        </w:rPr>
        <w:t>d</w:t>
      </w:r>
      <w:r w:rsidR="007429E2" w:rsidRPr="00D17AD8">
        <w:rPr>
          <w:lang w:val="en-AU"/>
        </w:rPr>
        <w:t xml:space="preserve"> our development partnership will be on a stronger footing to respond to future needs</w:t>
      </w:r>
      <w:r w:rsidR="003D5278" w:rsidRPr="00D17AD8">
        <w:rPr>
          <w:lang w:val="en-AU"/>
        </w:rPr>
        <w:t xml:space="preserve">. </w:t>
      </w:r>
      <w:r w:rsidRPr="00D17AD8">
        <w:rPr>
          <w:lang w:val="en-AU"/>
        </w:rPr>
        <w:t xml:space="preserve"> </w:t>
      </w:r>
    </w:p>
    <w:p w:rsidR="00977676" w:rsidRPr="00B664D4" w:rsidRDefault="00977676" w:rsidP="00230777">
      <w:pPr>
        <w:sectPr w:rsidR="00977676" w:rsidRPr="00B664D4" w:rsidSect="00C32299">
          <w:headerReference w:type="default" r:id="rId16"/>
          <w:footerReference w:type="default" r:id="rId17"/>
          <w:headerReference w:type="first" r:id="rId18"/>
          <w:footerReference w:type="first" r:id="rId19"/>
          <w:type w:val="continuous"/>
          <w:pgSz w:w="11906" w:h="16838" w:code="9"/>
          <w:pgMar w:top="1701" w:right="1134" w:bottom="1418" w:left="1134" w:header="425" w:footer="493" w:gutter="0"/>
          <w:cols w:num="2" w:space="397"/>
          <w:titlePg/>
          <w:docGrid w:linePitch="360"/>
        </w:sectPr>
      </w:pPr>
    </w:p>
    <w:p w:rsidR="004C5598" w:rsidRPr="00B664D4" w:rsidRDefault="00D00153" w:rsidP="004C5598">
      <w:pPr>
        <w:pStyle w:val="Heading2"/>
        <w:spacing w:before="360" w:line="300" w:lineRule="exact"/>
        <w:contextualSpacing w:val="0"/>
        <w:rPr>
          <w:sz w:val="24"/>
          <w:szCs w:val="24"/>
        </w:rPr>
      </w:pPr>
      <w:r w:rsidRPr="00B664D4">
        <w:lastRenderedPageBreak/>
        <w:t>P</w:t>
      </w:r>
      <w:r w:rsidR="004C5598" w:rsidRPr="00B664D4">
        <w:t>rogress against 2019-20 performance indicators</w:t>
      </w:r>
      <w:r w:rsidR="00C32299" w:rsidRPr="00B664D4">
        <w:br/>
      </w:r>
    </w:p>
    <w:tbl>
      <w:tblPr>
        <w:tblStyle w:val="TableGrid"/>
        <w:tblW w:w="10201" w:type="dxa"/>
        <w:tblLook w:val="04A0" w:firstRow="1" w:lastRow="0" w:firstColumn="1" w:lastColumn="0" w:noHBand="0" w:noVBand="1"/>
        <w:tblCaption w:val="Performance Assessment Framework"/>
        <w:tblDescription w:val="This program has four strategic objectives and seven performance benchmark, indicators that are used to measure progress."/>
      </w:tblPr>
      <w:tblGrid>
        <w:gridCol w:w="1696"/>
        <w:gridCol w:w="2835"/>
        <w:gridCol w:w="5670"/>
      </w:tblGrid>
      <w:tr w:rsidR="004C5598" w:rsidRPr="00B664D4" w:rsidTr="00421A8D">
        <w:trPr>
          <w:tblHeader/>
        </w:trPr>
        <w:tc>
          <w:tcPr>
            <w:tcW w:w="1696" w:type="dxa"/>
            <w:shd w:val="clear" w:color="auto" w:fill="C1E7E0" w:themeFill="accent1" w:themeFillTint="66"/>
          </w:tcPr>
          <w:p w:rsidR="004C5598" w:rsidRPr="00B664D4" w:rsidRDefault="004C5598" w:rsidP="008C160B">
            <w:pPr>
              <w:pStyle w:val="BodyText"/>
              <w:spacing w:before="40" w:after="40" w:line="240" w:lineRule="auto"/>
              <w:rPr>
                <w:rFonts w:asciiTheme="majorHAnsi" w:eastAsiaTheme="majorEastAsia" w:hAnsiTheme="majorHAnsi" w:cstheme="majorHAnsi"/>
                <w:b/>
                <w:caps/>
                <w:sz w:val="20"/>
                <w:szCs w:val="20"/>
              </w:rPr>
            </w:pPr>
            <w:r w:rsidRPr="00B664D4">
              <w:rPr>
                <w:rFonts w:asciiTheme="majorHAnsi" w:eastAsiaTheme="majorEastAsia" w:hAnsiTheme="majorHAnsi" w:cstheme="majorHAnsi"/>
                <w:b/>
                <w:caps/>
                <w:sz w:val="20"/>
                <w:szCs w:val="20"/>
              </w:rPr>
              <w:t>title of strategic OBJECTIVE</w:t>
            </w:r>
          </w:p>
        </w:tc>
        <w:tc>
          <w:tcPr>
            <w:tcW w:w="2835" w:type="dxa"/>
            <w:shd w:val="clear" w:color="auto" w:fill="C1E7E0" w:themeFill="accent1" w:themeFillTint="66"/>
          </w:tcPr>
          <w:p w:rsidR="004C5598" w:rsidRPr="00B664D4" w:rsidRDefault="004C5598" w:rsidP="008C160B">
            <w:pPr>
              <w:pStyle w:val="BodyText"/>
              <w:spacing w:before="40" w:after="40" w:line="240" w:lineRule="auto"/>
              <w:rPr>
                <w:rFonts w:asciiTheme="majorHAnsi" w:eastAsiaTheme="majorEastAsia" w:hAnsiTheme="majorHAnsi" w:cstheme="majorHAnsi"/>
                <w:b/>
                <w:caps/>
                <w:sz w:val="20"/>
                <w:szCs w:val="20"/>
              </w:rPr>
            </w:pPr>
            <w:r w:rsidRPr="00B664D4">
              <w:rPr>
                <w:rFonts w:asciiTheme="majorHAnsi" w:eastAsiaTheme="majorEastAsia" w:hAnsiTheme="majorHAnsi" w:cstheme="majorHAnsi"/>
                <w:b/>
                <w:caps/>
                <w:sz w:val="20"/>
                <w:szCs w:val="20"/>
              </w:rPr>
              <w:t>Performance assessment framework indicator/benchmark</w:t>
            </w:r>
          </w:p>
        </w:tc>
        <w:tc>
          <w:tcPr>
            <w:tcW w:w="5670" w:type="dxa"/>
            <w:shd w:val="clear" w:color="auto" w:fill="C1E7E0" w:themeFill="accent1" w:themeFillTint="66"/>
          </w:tcPr>
          <w:p w:rsidR="004C5598" w:rsidRPr="00B664D4" w:rsidRDefault="004C5598" w:rsidP="001A7ED5">
            <w:pPr>
              <w:pStyle w:val="BodyText"/>
              <w:spacing w:before="40" w:after="40" w:line="240" w:lineRule="auto"/>
              <w:rPr>
                <w:rFonts w:asciiTheme="majorHAnsi" w:eastAsiaTheme="majorEastAsia" w:hAnsiTheme="majorHAnsi" w:cstheme="majorHAnsi"/>
                <w:b/>
                <w:caps/>
                <w:sz w:val="20"/>
                <w:szCs w:val="20"/>
              </w:rPr>
            </w:pPr>
            <w:r w:rsidRPr="00B664D4">
              <w:rPr>
                <w:rFonts w:asciiTheme="majorHAnsi" w:eastAsiaTheme="majorEastAsia" w:hAnsiTheme="majorHAnsi" w:cstheme="majorHAnsi"/>
                <w:b/>
                <w:caps/>
                <w:sz w:val="20"/>
                <w:szCs w:val="20"/>
              </w:rPr>
              <w:t>Brief summary of progress against indicator/ben</w:t>
            </w:r>
            <w:r w:rsidR="001A7ED5" w:rsidRPr="00B664D4">
              <w:rPr>
                <w:rFonts w:asciiTheme="majorHAnsi" w:eastAsiaTheme="majorEastAsia" w:hAnsiTheme="majorHAnsi" w:cstheme="majorHAnsi"/>
                <w:b/>
                <w:caps/>
                <w:sz w:val="20"/>
                <w:szCs w:val="20"/>
              </w:rPr>
              <w:t>ch</w:t>
            </w:r>
            <w:r w:rsidRPr="00B664D4">
              <w:rPr>
                <w:rFonts w:asciiTheme="majorHAnsi" w:eastAsiaTheme="majorEastAsia" w:hAnsiTheme="majorHAnsi" w:cstheme="majorHAnsi"/>
                <w:b/>
                <w:caps/>
                <w:sz w:val="20"/>
                <w:szCs w:val="20"/>
              </w:rPr>
              <w:t>mark</w:t>
            </w:r>
          </w:p>
        </w:tc>
      </w:tr>
      <w:tr w:rsidR="004740EE" w:rsidRPr="00B664D4" w:rsidTr="00421A8D">
        <w:trPr>
          <w:tblHeader/>
        </w:trPr>
        <w:tc>
          <w:tcPr>
            <w:tcW w:w="1696" w:type="dxa"/>
          </w:tcPr>
          <w:p w:rsidR="00C425AB" w:rsidRDefault="004740EE" w:rsidP="00C425AB">
            <w:pPr>
              <w:pStyle w:val="BodyText"/>
              <w:spacing w:before="40" w:after="40" w:line="240" w:lineRule="auto"/>
              <w:rPr>
                <w:rFonts w:eastAsiaTheme="majorEastAsia" w:cstheme="minorHAnsi"/>
                <w:sz w:val="20"/>
                <w:szCs w:val="20"/>
              </w:rPr>
            </w:pPr>
            <w:r w:rsidRPr="00C425AB">
              <w:rPr>
                <w:rFonts w:eastAsiaTheme="majorEastAsia" w:cstheme="minorHAnsi"/>
                <w:sz w:val="20"/>
                <w:szCs w:val="20"/>
              </w:rPr>
              <w:t>Objective 1</w:t>
            </w:r>
            <w:r w:rsidR="00C425AB">
              <w:rPr>
                <w:rFonts w:eastAsiaTheme="majorEastAsia" w:cstheme="minorHAnsi"/>
                <w:sz w:val="20"/>
                <w:szCs w:val="20"/>
              </w:rPr>
              <w:t>.</w:t>
            </w:r>
          </w:p>
          <w:p w:rsidR="004740EE" w:rsidRPr="00C425AB" w:rsidRDefault="004740EE" w:rsidP="00C425AB">
            <w:pPr>
              <w:pStyle w:val="BodyText"/>
              <w:spacing w:before="40" w:after="40" w:line="240" w:lineRule="auto"/>
              <w:rPr>
                <w:rFonts w:eastAsiaTheme="majorEastAsia" w:cstheme="minorHAnsi"/>
                <w:caps/>
                <w:sz w:val="20"/>
                <w:szCs w:val="20"/>
              </w:rPr>
            </w:pPr>
            <w:r w:rsidRPr="00C425AB">
              <w:rPr>
                <w:rFonts w:eastAsiaTheme="majorEastAsia" w:cstheme="minorHAnsi"/>
                <w:sz w:val="20"/>
                <w:szCs w:val="20"/>
              </w:rPr>
              <w:t xml:space="preserve"> More effective Public Sector Management</w:t>
            </w:r>
          </w:p>
        </w:tc>
        <w:tc>
          <w:tcPr>
            <w:tcW w:w="2835" w:type="dxa"/>
          </w:tcPr>
          <w:p w:rsidR="004740EE" w:rsidRDefault="00C425AB" w:rsidP="00C425AB">
            <w:pPr>
              <w:pStyle w:val="BodyText"/>
              <w:spacing w:before="40" w:after="40" w:line="240" w:lineRule="auto"/>
              <w:rPr>
                <w:rFonts w:eastAsia="Times New Roman"/>
                <w:iCs/>
                <w:sz w:val="20"/>
                <w:szCs w:val="17"/>
              </w:rPr>
            </w:pPr>
            <w:r>
              <w:rPr>
                <w:rFonts w:eastAsia="Times New Roman"/>
                <w:iCs/>
                <w:sz w:val="20"/>
                <w:szCs w:val="17"/>
              </w:rPr>
              <w:t xml:space="preserve">1.1 </w:t>
            </w:r>
            <w:r w:rsidR="004740EE" w:rsidRPr="00B664D4">
              <w:rPr>
                <w:rFonts w:eastAsia="Times New Roman"/>
                <w:iCs/>
                <w:sz w:val="20"/>
                <w:szCs w:val="17"/>
              </w:rPr>
              <w:t>Operational account is effectively managed, with biannual audits and recommendations of audits implemented within agreed timeframe</w:t>
            </w:r>
            <w:r>
              <w:rPr>
                <w:rFonts w:eastAsia="Times New Roman"/>
                <w:iCs/>
                <w:sz w:val="20"/>
                <w:szCs w:val="17"/>
              </w:rPr>
              <w:t>.</w:t>
            </w:r>
          </w:p>
          <w:p w:rsidR="00C425AB" w:rsidRPr="00B664D4" w:rsidRDefault="00C425AB" w:rsidP="00C425AB">
            <w:pPr>
              <w:pStyle w:val="BodyText"/>
              <w:spacing w:before="40" w:after="40" w:line="240" w:lineRule="auto"/>
              <w:rPr>
                <w:rFonts w:asciiTheme="majorHAnsi" w:eastAsiaTheme="majorEastAsia" w:hAnsiTheme="majorHAnsi" w:cstheme="majorHAnsi"/>
                <w:caps/>
                <w:sz w:val="20"/>
                <w:szCs w:val="20"/>
              </w:rPr>
            </w:pPr>
            <w:r>
              <w:rPr>
                <w:rFonts w:eastAsia="Times New Roman"/>
                <w:iCs/>
                <w:sz w:val="20"/>
                <w:szCs w:val="17"/>
              </w:rPr>
              <w:t xml:space="preserve">1.2 </w:t>
            </w:r>
            <w:r w:rsidRPr="00B664D4">
              <w:rPr>
                <w:rFonts w:eastAsia="Times New Roman"/>
                <w:iCs/>
                <w:sz w:val="20"/>
                <w:szCs w:val="17"/>
              </w:rPr>
              <w:t xml:space="preserve">Increased efficiency in the management and financial reporting systems of the </w:t>
            </w:r>
            <w:proofErr w:type="spellStart"/>
            <w:r w:rsidRPr="00B664D4">
              <w:rPr>
                <w:rFonts w:eastAsia="Times New Roman"/>
                <w:iCs/>
                <w:sz w:val="20"/>
                <w:szCs w:val="17"/>
              </w:rPr>
              <w:t>GoN</w:t>
            </w:r>
            <w:proofErr w:type="spellEnd"/>
            <w:r>
              <w:rPr>
                <w:rFonts w:eastAsia="Times New Roman"/>
                <w:iCs/>
                <w:sz w:val="20"/>
                <w:szCs w:val="17"/>
              </w:rPr>
              <w:t>.</w:t>
            </w:r>
          </w:p>
        </w:tc>
        <w:tc>
          <w:tcPr>
            <w:tcW w:w="5670" w:type="dxa"/>
          </w:tcPr>
          <w:p w:rsidR="00C425AB" w:rsidRDefault="00C425AB" w:rsidP="003A20B2">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4740EE" w:rsidRPr="00B664D4">
              <w:rPr>
                <w:rFonts w:eastAsiaTheme="majorEastAsia" w:cstheme="minorHAnsi"/>
                <w:sz w:val="20"/>
                <w:szCs w:val="20"/>
              </w:rPr>
              <w:t>Significant progress was made in 2019-20 to reconcile and resolve historical financial management issues</w:t>
            </w:r>
            <w:r w:rsidR="003A20B2">
              <w:rPr>
                <w:rFonts w:eastAsiaTheme="majorEastAsia" w:cstheme="minorHAnsi"/>
                <w:sz w:val="20"/>
                <w:szCs w:val="20"/>
              </w:rPr>
              <w:t>,</w:t>
            </w:r>
            <w:r w:rsidR="004740EE" w:rsidRPr="00B664D4">
              <w:rPr>
                <w:rFonts w:eastAsiaTheme="majorEastAsia" w:cstheme="minorHAnsi"/>
                <w:sz w:val="20"/>
                <w:szCs w:val="20"/>
              </w:rPr>
              <w:t xml:space="preserve"> and </w:t>
            </w:r>
            <w:r w:rsidR="003A20B2">
              <w:rPr>
                <w:rFonts w:eastAsiaTheme="majorEastAsia" w:cstheme="minorHAnsi"/>
                <w:sz w:val="20"/>
                <w:szCs w:val="20"/>
              </w:rPr>
              <w:t>strengthen</w:t>
            </w:r>
            <w:r w:rsidR="004740EE" w:rsidRPr="00B664D4">
              <w:rPr>
                <w:rFonts w:eastAsiaTheme="majorEastAsia" w:cstheme="minorHAnsi"/>
                <w:sz w:val="20"/>
                <w:szCs w:val="20"/>
              </w:rPr>
              <w:t xml:space="preserve"> processes. Australia continues to undertake regular independent reviews of transactions and follow up on recommendations.</w:t>
            </w:r>
          </w:p>
          <w:p w:rsidR="004740EE" w:rsidRPr="00B664D4" w:rsidRDefault="004740EE" w:rsidP="003A20B2">
            <w:pPr>
              <w:pStyle w:val="BodyText"/>
              <w:spacing w:before="40" w:after="40" w:line="240" w:lineRule="auto"/>
              <w:rPr>
                <w:rFonts w:eastAsiaTheme="majorEastAsia" w:cstheme="minorHAnsi"/>
                <w:sz w:val="20"/>
                <w:szCs w:val="20"/>
              </w:rPr>
            </w:pPr>
            <w:r w:rsidRPr="00B664D4">
              <w:rPr>
                <w:rFonts w:eastAsiaTheme="majorEastAsia" w:cstheme="minorHAnsi"/>
                <w:sz w:val="20"/>
                <w:szCs w:val="20"/>
              </w:rPr>
              <w:t xml:space="preserve"> </w:t>
            </w:r>
            <w:r w:rsidR="00C425AB">
              <w:rPr>
                <w:rFonts w:eastAsiaTheme="majorEastAsia" w:cstheme="minorHAnsi"/>
                <w:sz w:val="20"/>
                <w:szCs w:val="20"/>
              </w:rPr>
              <w:t xml:space="preserve">~ </w:t>
            </w:r>
            <w:r w:rsidR="00C425AB" w:rsidRPr="00B664D4">
              <w:rPr>
                <w:rFonts w:eastAsiaTheme="majorEastAsia" w:cstheme="minorHAnsi"/>
                <w:sz w:val="20"/>
                <w:szCs w:val="20"/>
              </w:rPr>
              <w:t>Good progress in line with the new Public Financial Management Improvement Plan, including improvements in financial records, audits, cash reconciliations, and Departmental Annual Operating Plans.</w:t>
            </w:r>
          </w:p>
        </w:tc>
      </w:tr>
      <w:tr w:rsidR="004740EE" w:rsidRPr="00B664D4" w:rsidTr="00421A8D">
        <w:trPr>
          <w:tblHeader/>
        </w:trPr>
        <w:tc>
          <w:tcPr>
            <w:tcW w:w="1696" w:type="dxa"/>
          </w:tcPr>
          <w:p w:rsidR="004740EE" w:rsidRPr="00C425AB" w:rsidRDefault="004740EE" w:rsidP="00C425AB">
            <w:pPr>
              <w:pStyle w:val="BodyText"/>
              <w:spacing w:before="40" w:after="40" w:line="240" w:lineRule="auto"/>
              <w:rPr>
                <w:rFonts w:eastAsiaTheme="majorEastAsia" w:cstheme="minorHAnsi"/>
                <w:caps/>
                <w:sz w:val="20"/>
                <w:szCs w:val="20"/>
              </w:rPr>
            </w:pPr>
            <w:r w:rsidRPr="00C425AB">
              <w:rPr>
                <w:rFonts w:eastAsiaTheme="majorEastAsia" w:cstheme="minorHAnsi"/>
                <w:sz w:val="20"/>
                <w:szCs w:val="20"/>
              </w:rPr>
              <w:t>Objective 2</w:t>
            </w:r>
            <w:r w:rsidR="00C425AB" w:rsidRPr="00C425AB">
              <w:rPr>
                <w:rFonts w:eastAsiaTheme="majorEastAsia" w:cstheme="minorHAnsi"/>
                <w:sz w:val="20"/>
                <w:szCs w:val="20"/>
              </w:rPr>
              <w:t>.</w:t>
            </w:r>
            <w:r w:rsidRPr="00C425AB">
              <w:rPr>
                <w:rFonts w:eastAsiaTheme="majorEastAsia" w:cstheme="minorHAnsi"/>
                <w:sz w:val="20"/>
                <w:szCs w:val="20"/>
              </w:rPr>
              <w:t xml:space="preserve"> Strengthened provision of education services</w:t>
            </w:r>
          </w:p>
        </w:tc>
        <w:tc>
          <w:tcPr>
            <w:tcW w:w="2835" w:type="dxa"/>
          </w:tcPr>
          <w:p w:rsidR="004740EE" w:rsidRPr="00C425AB" w:rsidRDefault="004740EE" w:rsidP="001A7ED5">
            <w:pPr>
              <w:pStyle w:val="BodyText"/>
              <w:spacing w:before="40" w:after="40" w:line="240" w:lineRule="auto"/>
              <w:rPr>
                <w:rFonts w:eastAsia="Times New Roman" w:cstheme="minorHAnsi"/>
                <w:iCs/>
                <w:color w:val="495965"/>
                <w:sz w:val="20"/>
                <w:szCs w:val="17"/>
              </w:rPr>
            </w:pPr>
            <w:r w:rsidRPr="00C425AB">
              <w:rPr>
                <w:rFonts w:eastAsiaTheme="majorEastAsia" w:cstheme="minorHAnsi"/>
                <w:caps/>
                <w:sz w:val="20"/>
                <w:szCs w:val="20"/>
              </w:rPr>
              <w:t xml:space="preserve">2.1 </w:t>
            </w:r>
            <w:r w:rsidRPr="00C425AB">
              <w:rPr>
                <w:rFonts w:eastAsia="Times New Roman" w:cstheme="minorHAnsi"/>
                <w:iCs/>
                <w:color w:val="495965"/>
                <w:sz w:val="20"/>
                <w:szCs w:val="17"/>
              </w:rPr>
              <w:t>Funds administered appropriately on an agreed basis for activities to support the Education Strategic Plan</w:t>
            </w:r>
            <w:r w:rsidR="00C425AB" w:rsidRPr="00C425AB">
              <w:rPr>
                <w:rFonts w:eastAsia="Times New Roman" w:cstheme="minorHAnsi"/>
                <w:iCs/>
                <w:color w:val="495965"/>
                <w:sz w:val="20"/>
                <w:szCs w:val="17"/>
              </w:rPr>
              <w:t>.</w:t>
            </w:r>
          </w:p>
          <w:p w:rsidR="00C425AB" w:rsidRPr="00C425AB" w:rsidRDefault="00C425AB" w:rsidP="001A7ED5">
            <w:pPr>
              <w:pStyle w:val="BodyText"/>
              <w:spacing w:before="40" w:after="40" w:line="240" w:lineRule="auto"/>
              <w:rPr>
                <w:rFonts w:eastAsiaTheme="majorEastAsia" w:cstheme="minorHAnsi"/>
                <w:caps/>
                <w:sz w:val="20"/>
                <w:szCs w:val="20"/>
              </w:rPr>
            </w:pPr>
            <w:r w:rsidRPr="00C425AB">
              <w:rPr>
                <w:rFonts w:eastAsiaTheme="majorEastAsia" w:cstheme="minorHAnsi"/>
                <w:caps/>
                <w:sz w:val="20"/>
                <w:szCs w:val="20"/>
              </w:rPr>
              <w:t xml:space="preserve">2.2 </w:t>
            </w:r>
            <w:r w:rsidRPr="00C425AB">
              <w:rPr>
                <w:rFonts w:eastAsia="Times New Roman" w:cstheme="minorHAnsi"/>
                <w:iCs/>
                <w:sz w:val="20"/>
                <w:szCs w:val="17"/>
              </w:rPr>
              <w:t>Gender and disability-disaggregated data collected and reported in the education sector.</w:t>
            </w:r>
          </w:p>
        </w:tc>
        <w:tc>
          <w:tcPr>
            <w:tcW w:w="5670" w:type="dxa"/>
          </w:tcPr>
          <w:p w:rsidR="004740EE" w:rsidRDefault="00C425AB" w:rsidP="0033562B">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4740EE" w:rsidRPr="00B664D4">
              <w:rPr>
                <w:rFonts w:eastAsiaTheme="majorEastAsia" w:cstheme="minorHAnsi"/>
                <w:sz w:val="20"/>
                <w:szCs w:val="20"/>
              </w:rPr>
              <w:t xml:space="preserve">Under new leadership at the Department of Education there has been progress in the efficiency of funds with a new Finance Director appointed who has improved distribution of funding to schools and procurement processes. </w:t>
            </w:r>
          </w:p>
          <w:p w:rsidR="00C425AB" w:rsidRPr="00B664D4" w:rsidRDefault="00C425AB" w:rsidP="00C425AB">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B664D4">
              <w:rPr>
                <w:rFonts w:eastAsiaTheme="majorEastAsia" w:cstheme="minorHAnsi"/>
                <w:sz w:val="20"/>
                <w:szCs w:val="20"/>
              </w:rPr>
              <w:t xml:space="preserve">Limited progress, with recent reporting from the Department of Education lacking gender and disability-disaggregated data. Continued efforts are required, and will be included through the new education design (underway) and in the work plan of the new Gender Adviser. </w:t>
            </w:r>
          </w:p>
        </w:tc>
      </w:tr>
      <w:tr w:rsidR="004740EE" w:rsidRPr="00B664D4" w:rsidTr="00421A8D">
        <w:trPr>
          <w:tblHeader/>
        </w:trPr>
        <w:tc>
          <w:tcPr>
            <w:tcW w:w="1696" w:type="dxa"/>
          </w:tcPr>
          <w:p w:rsidR="004740EE" w:rsidRPr="00C425AB" w:rsidRDefault="004740EE" w:rsidP="00C425AB">
            <w:pPr>
              <w:pStyle w:val="BodyText"/>
              <w:spacing w:before="40" w:after="40" w:line="240" w:lineRule="auto"/>
              <w:rPr>
                <w:rFonts w:eastAsiaTheme="majorEastAsia" w:cstheme="minorHAnsi"/>
                <w:caps/>
                <w:sz w:val="20"/>
                <w:szCs w:val="20"/>
              </w:rPr>
            </w:pPr>
            <w:r w:rsidRPr="00C425AB">
              <w:rPr>
                <w:rFonts w:eastAsiaTheme="majorEastAsia" w:cstheme="minorHAnsi"/>
                <w:sz w:val="20"/>
                <w:szCs w:val="20"/>
              </w:rPr>
              <w:t>Objective 3</w:t>
            </w:r>
            <w:r w:rsidR="00C425AB" w:rsidRPr="00C425AB">
              <w:rPr>
                <w:rFonts w:eastAsiaTheme="majorEastAsia" w:cstheme="minorHAnsi"/>
                <w:sz w:val="20"/>
                <w:szCs w:val="20"/>
              </w:rPr>
              <w:t>.</w:t>
            </w:r>
            <w:r w:rsidRPr="00C425AB">
              <w:rPr>
                <w:rFonts w:eastAsiaTheme="majorEastAsia" w:cstheme="minorHAnsi"/>
                <w:sz w:val="20"/>
                <w:szCs w:val="20"/>
              </w:rPr>
              <w:t xml:space="preserve"> Enhanced economic infrastructure</w:t>
            </w:r>
          </w:p>
        </w:tc>
        <w:tc>
          <w:tcPr>
            <w:tcW w:w="2835" w:type="dxa"/>
          </w:tcPr>
          <w:p w:rsidR="004740EE" w:rsidRPr="00C425AB" w:rsidRDefault="004740EE" w:rsidP="001A7ED5">
            <w:pPr>
              <w:pStyle w:val="BodyText"/>
              <w:spacing w:before="40" w:after="40" w:line="240" w:lineRule="auto"/>
              <w:rPr>
                <w:rFonts w:eastAsia="Times New Roman" w:cstheme="minorHAnsi"/>
                <w:iCs/>
                <w:color w:val="495965"/>
                <w:sz w:val="20"/>
                <w:szCs w:val="17"/>
              </w:rPr>
            </w:pPr>
            <w:r w:rsidRPr="00C425AB">
              <w:rPr>
                <w:rFonts w:eastAsiaTheme="majorEastAsia" w:cstheme="minorHAnsi"/>
                <w:caps/>
                <w:sz w:val="20"/>
                <w:szCs w:val="20"/>
              </w:rPr>
              <w:t xml:space="preserve">3.1 </w:t>
            </w:r>
            <w:r w:rsidRPr="00C425AB">
              <w:rPr>
                <w:rFonts w:eastAsia="Times New Roman" w:cstheme="minorHAnsi"/>
                <w:iCs/>
                <w:color w:val="495965"/>
                <w:sz w:val="20"/>
                <w:szCs w:val="17"/>
              </w:rPr>
              <w:t>Effective maintenance of generators and documented reliable power supply</w:t>
            </w:r>
            <w:r w:rsidR="00C425AB" w:rsidRPr="00C425AB">
              <w:rPr>
                <w:rFonts w:eastAsia="Times New Roman" w:cstheme="minorHAnsi"/>
                <w:iCs/>
                <w:color w:val="495965"/>
                <w:sz w:val="20"/>
                <w:szCs w:val="17"/>
              </w:rPr>
              <w:t>.</w:t>
            </w:r>
          </w:p>
          <w:p w:rsidR="00C425AB" w:rsidRPr="00C425AB" w:rsidRDefault="00C425AB" w:rsidP="001A7ED5">
            <w:pPr>
              <w:pStyle w:val="BodyText"/>
              <w:spacing w:before="40" w:after="40" w:line="240" w:lineRule="auto"/>
              <w:rPr>
                <w:rFonts w:eastAsiaTheme="majorEastAsia" w:cstheme="minorHAnsi"/>
                <w:caps/>
                <w:sz w:val="20"/>
                <w:szCs w:val="20"/>
              </w:rPr>
            </w:pPr>
            <w:r w:rsidRPr="00C425AB">
              <w:rPr>
                <w:rFonts w:eastAsiaTheme="majorEastAsia" w:cstheme="minorHAnsi"/>
                <w:caps/>
                <w:sz w:val="20"/>
                <w:szCs w:val="20"/>
              </w:rPr>
              <w:t xml:space="preserve">3.2 </w:t>
            </w:r>
            <w:r w:rsidRPr="00C425AB">
              <w:rPr>
                <w:rFonts w:eastAsia="Times New Roman" w:cstheme="minorHAnsi"/>
                <w:iCs/>
                <w:sz w:val="20"/>
                <w:szCs w:val="17"/>
              </w:rPr>
              <w:t>Redevelopment construction assessed as on track with expectations, as assessed by project steering committee.</w:t>
            </w:r>
          </w:p>
        </w:tc>
        <w:tc>
          <w:tcPr>
            <w:tcW w:w="5670" w:type="dxa"/>
          </w:tcPr>
          <w:p w:rsidR="004740EE" w:rsidRDefault="00C425AB" w:rsidP="004A0549">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4740EE" w:rsidRPr="00B664D4">
              <w:rPr>
                <w:rFonts w:eastAsiaTheme="majorEastAsia" w:cstheme="minorHAnsi"/>
                <w:sz w:val="20"/>
                <w:szCs w:val="20"/>
              </w:rPr>
              <w:t xml:space="preserve">Data demonstrates a high level of maintenance on key assets ensuring a reliable supply of utilities. NUC on-time attendance increased from 68 per cent in 2018 to 90 per cent in 2019. Unplanned power outages decreased. Availability of power generators and the reverse osmosis plant was above 90 per cent. A further two generators will be commissioned to ensure redundancy. </w:t>
            </w:r>
          </w:p>
          <w:p w:rsidR="00C425AB" w:rsidRPr="00B664D4" w:rsidRDefault="00C425AB" w:rsidP="00C425AB">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B664D4">
              <w:rPr>
                <w:rFonts w:eastAsiaTheme="majorEastAsia" w:cstheme="minorHAnsi"/>
                <w:sz w:val="20"/>
                <w:szCs w:val="20"/>
              </w:rPr>
              <w:t xml:space="preserve">The port project's outputs are considered adequate and in line with expectations given disruptions due to COVID-19 (to supplies, worker travel, and availability of technical oversight). While there were pre-existing delays that were being pro-actively managed by the project steering committee, COVID-19-related delays were unforeseen and ultimately managed successfully through negotiation of a mutual suspension between </w:t>
            </w:r>
            <w:proofErr w:type="spellStart"/>
            <w:r w:rsidRPr="00B664D4">
              <w:rPr>
                <w:rFonts w:eastAsiaTheme="majorEastAsia" w:cstheme="minorHAnsi"/>
                <w:sz w:val="20"/>
                <w:szCs w:val="20"/>
              </w:rPr>
              <w:t>GoN</w:t>
            </w:r>
            <w:proofErr w:type="spellEnd"/>
            <w:r w:rsidRPr="00B664D4">
              <w:rPr>
                <w:rFonts w:eastAsiaTheme="majorEastAsia" w:cstheme="minorHAnsi"/>
                <w:sz w:val="20"/>
                <w:szCs w:val="20"/>
              </w:rPr>
              <w:t xml:space="preserve"> and the contractor.</w:t>
            </w:r>
          </w:p>
        </w:tc>
      </w:tr>
      <w:tr w:rsidR="0040584F" w:rsidRPr="00274483" w:rsidTr="00421A8D">
        <w:trPr>
          <w:tblHeader/>
        </w:trPr>
        <w:tc>
          <w:tcPr>
            <w:tcW w:w="1696" w:type="dxa"/>
          </w:tcPr>
          <w:p w:rsidR="0040584F" w:rsidRPr="00C425AB" w:rsidRDefault="00C425AB" w:rsidP="00C425AB">
            <w:pPr>
              <w:pStyle w:val="BodyText"/>
              <w:spacing w:before="40" w:after="40" w:line="240" w:lineRule="auto"/>
              <w:rPr>
                <w:rFonts w:eastAsiaTheme="majorEastAsia" w:cstheme="minorHAnsi"/>
                <w:caps/>
                <w:sz w:val="20"/>
                <w:szCs w:val="20"/>
              </w:rPr>
            </w:pPr>
            <w:r w:rsidRPr="00C425AB">
              <w:rPr>
                <w:rFonts w:eastAsiaTheme="majorEastAsia" w:cstheme="minorHAnsi"/>
                <w:sz w:val="20"/>
                <w:szCs w:val="20"/>
              </w:rPr>
              <w:t>Objective 4.</w:t>
            </w:r>
            <w:r w:rsidR="0040584F" w:rsidRPr="00C425AB">
              <w:rPr>
                <w:rFonts w:eastAsiaTheme="majorEastAsia" w:cstheme="minorHAnsi"/>
                <w:sz w:val="20"/>
                <w:szCs w:val="20"/>
              </w:rPr>
              <w:t xml:space="preserve"> Cross-cutting - Gender</w:t>
            </w:r>
          </w:p>
        </w:tc>
        <w:tc>
          <w:tcPr>
            <w:tcW w:w="2835" w:type="dxa"/>
          </w:tcPr>
          <w:p w:rsidR="0040584F" w:rsidRPr="00B664D4" w:rsidRDefault="0040584F" w:rsidP="00D4295F">
            <w:pPr>
              <w:pStyle w:val="BodyText"/>
              <w:spacing w:before="40" w:after="40" w:line="240" w:lineRule="auto"/>
              <w:rPr>
                <w:rFonts w:asciiTheme="majorHAnsi" w:eastAsiaTheme="majorEastAsia" w:hAnsiTheme="majorHAnsi" w:cstheme="majorHAnsi"/>
                <w:caps/>
                <w:sz w:val="20"/>
                <w:szCs w:val="20"/>
              </w:rPr>
            </w:pPr>
            <w:r w:rsidRPr="00B664D4">
              <w:rPr>
                <w:rFonts w:eastAsia="Times New Roman"/>
                <w:iCs/>
                <w:sz w:val="20"/>
                <w:szCs w:val="17"/>
              </w:rPr>
              <w:t xml:space="preserve">4.1 At least three out of four investments (75 per cent) demonstrate </w:t>
            </w:r>
            <w:r w:rsidR="00D4295F" w:rsidRPr="00B664D4">
              <w:rPr>
                <w:rFonts w:eastAsia="Times New Roman"/>
                <w:iCs/>
                <w:sz w:val="20"/>
                <w:szCs w:val="17"/>
              </w:rPr>
              <w:t>improvements in gender ratings</w:t>
            </w:r>
            <w:r w:rsidRPr="00B664D4">
              <w:rPr>
                <w:rFonts w:eastAsia="Times New Roman"/>
                <w:iCs/>
                <w:sz w:val="20"/>
                <w:szCs w:val="17"/>
              </w:rPr>
              <w:t>, and improvements identified and in progress for any investments not rated adequate</w:t>
            </w:r>
          </w:p>
        </w:tc>
        <w:tc>
          <w:tcPr>
            <w:tcW w:w="5670" w:type="dxa"/>
          </w:tcPr>
          <w:p w:rsidR="0040584F" w:rsidRDefault="00C425AB" w:rsidP="004740EE">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B16CA3" w:rsidRPr="00B664D4">
              <w:rPr>
                <w:rFonts w:eastAsiaTheme="majorEastAsia" w:cstheme="minorHAnsi"/>
                <w:sz w:val="20"/>
                <w:szCs w:val="20"/>
              </w:rPr>
              <w:t xml:space="preserve">There was regrettably limited progress </w:t>
            </w:r>
            <w:r w:rsidR="004740EE" w:rsidRPr="00B664D4">
              <w:rPr>
                <w:rFonts w:eastAsiaTheme="majorEastAsia" w:cstheme="minorHAnsi"/>
                <w:sz w:val="20"/>
                <w:szCs w:val="20"/>
              </w:rPr>
              <w:t>in this area with gender equality ratings remaining the same for all investments (two investments rated less than adequate).</w:t>
            </w:r>
            <w:r w:rsidR="00B16CA3" w:rsidRPr="00B664D4">
              <w:rPr>
                <w:rFonts w:eastAsiaTheme="majorEastAsia" w:cstheme="minorHAnsi"/>
                <w:sz w:val="20"/>
                <w:szCs w:val="20"/>
              </w:rPr>
              <w:t xml:space="preserve"> </w:t>
            </w:r>
            <w:r w:rsidR="004740EE" w:rsidRPr="00B664D4">
              <w:rPr>
                <w:rFonts w:eastAsiaTheme="majorEastAsia" w:cstheme="minorHAnsi"/>
                <w:sz w:val="20"/>
                <w:szCs w:val="20"/>
              </w:rPr>
              <w:t>The</w:t>
            </w:r>
            <w:r w:rsidR="00B16CA3" w:rsidRPr="00B664D4">
              <w:rPr>
                <w:rFonts w:eastAsiaTheme="majorEastAsia" w:cstheme="minorHAnsi"/>
                <w:sz w:val="20"/>
                <w:szCs w:val="20"/>
              </w:rPr>
              <w:t xml:space="preserve"> departure of the DFAT Gender Adviser in May 2019</w:t>
            </w:r>
            <w:r w:rsidR="004740EE" w:rsidRPr="00B664D4">
              <w:rPr>
                <w:rFonts w:eastAsiaTheme="majorEastAsia" w:cstheme="minorHAnsi"/>
                <w:sz w:val="20"/>
                <w:szCs w:val="20"/>
              </w:rPr>
              <w:t xml:space="preserve"> and significant delay recruiting a replacement limited the ability to influence and implement changes over this reporting period. </w:t>
            </w:r>
            <w:r w:rsidR="00B16CA3" w:rsidRPr="00B664D4">
              <w:rPr>
                <w:rFonts w:eastAsiaTheme="majorEastAsia" w:cstheme="minorHAnsi"/>
                <w:sz w:val="20"/>
                <w:szCs w:val="20"/>
              </w:rPr>
              <w:t xml:space="preserve">Since engagement </w:t>
            </w:r>
            <w:r w:rsidR="004740EE" w:rsidRPr="00B664D4">
              <w:rPr>
                <w:rFonts w:eastAsiaTheme="majorEastAsia" w:cstheme="minorHAnsi"/>
                <w:sz w:val="20"/>
                <w:szCs w:val="20"/>
              </w:rPr>
              <w:t xml:space="preserve">in February 2020 </w:t>
            </w:r>
            <w:r w:rsidR="00B16CA3" w:rsidRPr="00B664D4">
              <w:rPr>
                <w:rFonts w:eastAsiaTheme="majorEastAsia" w:cstheme="minorHAnsi"/>
                <w:sz w:val="20"/>
                <w:szCs w:val="20"/>
              </w:rPr>
              <w:t xml:space="preserve">the Gender Adviser has </w:t>
            </w:r>
            <w:r w:rsidR="004740EE" w:rsidRPr="00B664D4">
              <w:rPr>
                <w:rFonts w:eastAsiaTheme="majorEastAsia" w:cstheme="minorHAnsi"/>
                <w:sz w:val="20"/>
                <w:szCs w:val="20"/>
              </w:rPr>
              <w:t xml:space="preserve">developed planning and implementation activities to support gender outcomes, including to deliver </w:t>
            </w:r>
            <w:r w:rsidR="00B16CA3" w:rsidRPr="00B664D4">
              <w:rPr>
                <w:rFonts w:eastAsiaTheme="majorEastAsia" w:cstheme="minorHAnsi"/>
                <w:sz w:val="20"/>
                <w:szCs w:val="20"/>
              </w:rPr>
              <w:t xml:space="preserve">Australia’s $250,000 package for gender and social inclusion in </w:t>
            </w:r>
            <w:r w:rsidR="003F5237" w:rsidRPr="00B664D4">
              <w:rPr>
                <w:rFonts w:eastAsiaTheme="majorEastAsia" w:cstheme="minorHAnsi"/>
                <w:sz w:val="20"/>
                <w:szCs w:val="20"/>
              </w:rPr>
              <w:t>Nauru’s</w:t>
            </w:r>
            <w:r w:rsidR="00B16CA3" w:rsidRPr="00B664D4">
              <w:rPr>
                <w:rFonts w:eastAsiaTheme="majorEastAsia" w:cstheme="minorHAnsi"/>
                <w:sz w:val="20"/>
                <w:szCs w:val="20"/>
              </w:rPr>
              <w:t xml:space="preserve"> COVID-19 response.</w:t>
            </w:r>
            <w:r w:rsidR="003F5237" w:rsidRPr="00B664D4">
              <w:rPr>
                <w:rFonts w:eastAsiaTheme="majorEastAsia" w:cstheme="minorHAnsi"/>
                <w:sz w:val="20"/>
                <w:szCs w:val="20"/>
              </w:rPr>
              <w:t xml:space="preserve"> Gender is a priority for action in 2020</w:t>
            </w:r>
            <w:r>
              <w:rPr>
                <w:rFonts w:eastAsiaTheme="majorEastAsia" w:cstheme="minorHAnsi"/>
                <w:sz w:val="20"/>
                <w:szCs w:val="20"/>
              </w:rPr>
              <w:noBreakHyphen/>
            </w:r>
            <w:r w:rsidR="003F5237" w:rsidRPr="00B664D4">
              <w:rPr>
                <w:rFonts w:eastAsiaTheme="majorEastAsia" w:cstheme="minorHAnsi"/>
                <w:sz w:val="20"/>
                <w:szCs w:val="20"/>
              </w:rPr>
              <w:t xml:space="preserve">21. </w:t>
            </w:r>
            <w:r w:rsidR="004740EE" w:rsidRPr="00B664D4">
              <w:rPr>
                <w:rFonts w:eastAsiaTheme="majorEastAsia" w:cstheme="minorHAnsi"/>
                <w:sz w:val="20"/>
                <w:szCs w:val="20"/>
              </w:rPr>
              <w:t xml:space="preserve">It is expected the Gender Adviser will provide technical assistance and cross-sectoral support to drive improved outcomes. </w:t>
            </w:r>
          </w:p>
          <w:p w:rsidR="00C425AB" w:rsidRPr="00B664D4" w:rsidRDefault="00C425AB" w:rsidP="004740EE">
            <w:pPr>
              <w:pStyle w:val="BodyText"/>
              <w:spacing w:before="40" w:after="40" w:line="240" w:lineRule="auto"/>
              <w:rPr>
                <w:rFonts w:eastAsiaTheme="majorEastAsia" w:cstheme="minorHAnsi"/>
                <w:sz w:val="20"/>
                <w:szCs w:val="20"/>
              </w:rPr>
            </w:pPr>
          </w:p>
        </w:tc>
      </w:tr>
    </w:tbl>
    <w:p w:rsidR="00276A54" w:rsidRDefault="00276A54" w:rsidP="00806EA1">
      <w:pPr>
        <w:pStyle w:val="Heading2"/>
        <w:spacing w:before="360" w:line="300" w:lineRule="exact"/>
        <w:contextualSpacing w:val="0"/>
        <w:sectPr w:rsidR="00276A54" w:rsidSect="00494F98">
          <w:headerReference w:type="default" r:id="rId20"/>
          <w:pgSz w:w="11906" w:h="16838" w:code="9"/>
          <w:pgMar w:top="1701" w:right="1134" w:bottom="1418" w:left="1134" w:header="425" w:footer="493" w:gutter="0"/>
          <w:cols w:space="397"/>
          <w:docGrid w:linePitch="360"/>
        </w:sectPr>
      </w:pPr>
    </w:p>
    <w:p w:rsidR="00390828" w:rsidRPr="00B927C4" w:rsidRDefault="00390828" w:rsidP="00390828">
      <w:pPr>
        <w:pStyle w:val="Heading2Numbered"/>
        <w:numPr>
          <w:ilvl w:val="0"/>
          <w:numId w:val="0"/>
        </w:numPr>
        <w:spacing w:before="240" w:after="240"/>
        <w:rPr>
          <w:sz w:val="28"/>
          <w:szCs w:val="28"/>
        </w:rPr>
      </w:pPr>
      <w:r w:rsidRPr="00B927C4">
        <w:rPr>
          <w:sz w:val="28"/>
          <w:szCs w:val="28"/>
        </w:rPr>
        <w:lastRenderedPageBreak/>
        <w:t>ANNEX A: Program Quality</w:t>
      </w:r>
    </w:p>
    <w:p w:rsidR="00390828" w:rsidRDefault="00B927C4" w:rsidP="00390828">
      <w:pPr>
        <w:pStyle w:val="Heading3"/>
      </w:pPr>
      <w:r>
        <w:t>Investment Monitoring Report</w:t>
      </w:r>
      <w:r w:rsidR="00390828">
        <w:t xml:space="preserve"> ratings</w:t>
      </w:r>
    </w:p>
    <w:tbl>
      <w:tblPr>
        <w:tblStyle w:val="APPR"/>
        <w:tblW w:w="4169" w:type="pct"/>
        <w:tblLook w:val="0020" w:firstRow="1" w:lastRow="0" w:firstColumn="0" w:lastColumn="0" w:noHBand="0" w:noVBand="0"/>
      </w:tblPr>
      <w:tblGrid>
        <w:gridCol w:w="3403"/>
        <w:gridCol w:w="944"/>
        <w:gridCol w:w="980"/>
        <w:gridCol w:w="792"/>
        <w:gridCol w:w="873"/>
        <w:gridCol w:w="1044"/>
      </w:tblGrid>
      <w:tr w:rsidR="009B691E" w:rsidRPr="00812509" w:rsidTr="009B691E">
        <w:trPr>
          <w:cnfStyle w:val="100000000000" w:firstRow="1" w:lastRow="0" w:firstColumn="0" w:lastColumn="0" w:oddVBand="0" w:evenVBand="0" w:oddHBand="0" w:evenHBand="0" w:firstRowFirstColumn="0" w:firstRowLastColumn="0" w:lastRowFirstColumn="0" w:lastRowLastColumn="0"/>
          <w:trHeight w:val="1413"/>
        </w:trPr>
        <w:tc>
          <w:tcPr>
            <w:tcW w:w="2090" w:type="pct"/>
          </w:tcPr>
          <w:p w:rsidR="002535CF" w:rsidRPr="00812509" w:rsidRDefault="002535CF" w:rsidP="00390828">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70528" behindDoc="0" locked="0" layoutInCell="1" allowOverlap="1" wp14:anchorId="5A830908" wp14:editId="6FFE4DFF">
                  <wp:simplePos x="0" y="0"/>
                  <wp:positionH relativeFrom="column">
                    <wp:posOffset>0</wp:posOffset>
                  </wp:positionH>
                  <wp:positionV relativeFrom="paragraph">
                    <wp:posOffset>0</wp:posOffset>
                  </wp:positionV>
                  <wp:extent cx="1857375" cy="228600"/>
                  <wp:effectExtent l="0" t="0" r="9525" b="0"/>
                  <wp:wrapNone/>
                  <wp:docPr id="48" name="Picture 4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E60">
              <w:rPr>
                <w:rFonts w:asciiTheme="minorHAnsi" w:eastAsia="Times New Roman" w:hAnsiTheme="minorHAnsi"/>
                <w:iCs/>
                <w:szCs w:val="17"/>
                <w:lang w:eastAsia="en-US"/>
              </w:rPr>
              <w:t>Investment name</w:t>
            </w:r>
          </w:p>
        </w:tc>
        <w:tc>
          <w:tcPr>
            <w:tcW w:w="570" w:type="pct"/>
            <w:textDirection w:val="btLr"/>
          </w:tcPr>
          <w:p w:rsidR="002535CF" w:rsidRPr="00812509" w:rsidRDefault="002535C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592" w:type="pct"/>
            <w:textDirection w:val="btLr"/>
          </w:tcPr>
          <w:p w:rsidR="002535CF" w:rsidRPr="00812509" w:rsidRDefault="002535C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475" w:type="pct"/>
            <w:textDirection w:val="btLr"/>
          </w:tcPr>
          <w:p w:rsidR="002535CF" w:rsidRPr="00812509" w:rsidRDefault="002535C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526" w:type="pct"/>
            <w:textDirection w:val="btLr"/>
          </w:tcPr>
          <w:p w:rsidR="002535CF" w:rsidRPr="00812509" w:rsidRDefault="002535C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623" w:type="pct"/>
            <w:textDirection w:val="btLr"/>
          </w:tcPr>
          <w:p w:rsidR="002535CF" w:rsidRPr="00812509" w:rsidRDefault="002535C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r>
      <w:tr w:rsidR="009B691E" w:rsidRPr="00812509" w:rsidTr="009B691E">
        <w:trPr>
          <w:cnfStyle w:val="100000000000" w:firstRow="1" w:lastRow="0" w:firstColumn="0" w:lastColumn="0" w:oddVBand="0" w:evenVBand="0" w:oddHBand="0" w:evenHBand="0" w:firstRowFirstColumn="0" w:firstRowLastColumn="0" w:lastRowFirstColumn="0" w:lastRowLastColumn="0"/>
          <w:trHeight w:val="284"/>
        </w:trPr>
        <w:tc>
          <w:tcPr>
            <w:tcW w:w="2090" w:type="pct"/>
            <w:tcBorders>
              <w:top w:val="single" w:sz="2" w:space="0" w:color="65C5B4" w:themeColor="accent1"/>
            </w:tcBorders>
          </w:tcPr>
          <w:p w:rsidR="002535CF" w:rsidRDefault="002535CF" w:rsidP="002535CF">
            <w:pPr>
              <w:keepLines/>
              <w:spacing w:before="40" w:after="40" w:line="200" w:lineRule="atLeast"/>
              <w:rPr>
                <w:rFonts w:eastAsia="Times New Roman"/>
                <w:iCs/>
                <w:szCs w:val="17"/>
              </w:rPr>
            </w:pPr>
            <w:r w:rsidRPr="00DE7320">
              <w:rPr>
                <w:rFonts w:ascii="Calibri Light" w:eastAsia="Times New Roman" w:hAnsi="Calibri Light" w:cs="Times New Roman"/>
                <w:iCs/>
                <w:color w:val="495965"/>
                <w:szCs w:val="17"/>
              </w:rPr>
              <w:t>Nauru Infrastructure and Services (INI949)</w:t>
            </w:r>
          </w:p>
        </w:tc>
        <w:tc>
          <w:tcPr>
            <w:tcW w:w="570" w:type="pct"/>
            <w:tcBorders>
              <w:top w:val="single" w:sz="2" w:space="0" w:color="65C5B4" w:themeColor="accent1"/>
            </w:tcBorders>
          </w:tcPr>
          <w:p w:rsidR="00B16CA3" w:rsidRPr="00812509" w:rsidRDefault="00B16CA3" w:rsidP="009B691E">
            <w:pPr>
              <w:autoSpaceDE w:val="0"/>
              <w:autoSpaceDN w:val="0"/>
              <w:adjustRightInd w:val="0"/>
              <w:spacing w:before="40" w:after="40" w:line="240" w:lineRule="auto"/>
              <w:rPr>
                <w:rFonts w:cs="Franklin Gothic Book"/>
                <w:color w:val="000000"/>
                <w:szCs w:val="17"/>
              </w:rPr>
            </w:pPr>
            <w:r w:rsidRPr="00B16CA3">
              <w:rPr>
                <w:rFonts w:asciiTheme="minorHAnsi" w:eastAsia="Times New Roman" w:hAnsiTheme="minorHAnsi"/>
                <w:iCs/>
                <w:szCs w:val="17"/>
                <w:lang w:eastAsia="en-US"/>
              </w:rPr>
              <w:t>$74m</w:t>
            </w:r>
          </w:p>
        </w:tc>
        <w:tc>
          <w:tcPr>
            <w:tcW w:w="592" w:type="pct"/>
            <w:tcBorders>
              <w:top w:val="single" w:sz="2" w:space="0" w:color="65C5B4" w:themeColor="accent1"/>
            </w:tcBorders>
          </w:tcPr>
          <w:p w:rsidR="002535CF" w:rsidRPr="00812509" w:rsidRDefault="002535CF" w:rsidP="002535C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475" w:type="pct"/>
            <w:tcBorders>
              <w:top w:val="single" w:sz="2" w:space="0" w:color="65C5B4" w:themeColor="accent1"/>
            </w:tcBorders>
            <w:shd w:val="clear" w:color="auto" w:fill="auto"/>
            <w:noWrap/>
          </w:tcPr>
          <w:p w:rsidR="002535CF" w:rsidRPr="00BE0EAC" w:rsidRDefault="00BE0EAC" w:rsidP="002535CF">
            <w:pPr>
              <w:keepLines/>
              <w:spacing w:before="40" w:after="40" w:line="200" w:lineRule="atLeast"/>
              <w:jc w:val="center"/>
              <w:rPr>
                <w:rFonts w:asciiTheme="minorHAnsi" w:eastAsia="Times New Roman" w:hAnsiTheme="minorHAnsi" w:cstheme="minorHAnsi"/>
                <w:iCs/>
                <w:szCs w:val="17"/>
              </w:rPr>
            </w:pPr>
            <w:r w:rsidRPr="00BE0EAC">
              <w:rPr>
                <w:rFonts w:asciiTheme="minorHAnsi" w:eastAsia="Times New Roman" w:hAnsiTheme="minorHAnsi" w:cstheme="minorHAnsi"/>
                <w:iCs/>
                <w:szCs w:val="17"/>
              </w:rPr>
              <w:t>4</w:t>
            </w:r>
          </w:p>
        </w:tc>
        <w:tc>
          <w:tcPr>
            <w:tcW w:w="526" w:type="pct"/>
            <w:tcBorders>
              <w:top w:val="single" w:sz="2" w:space="0" w:color="65C5B4" w:themeColor="accent1"/>
            </w:tcBorders>
            <w:shd w:val="clear" w:color="auto" w:fill="auto"/>
            <w:noWrap/>
          </w:tcPr>
          <w:p w:rsidR="002535CF" w:rsidRPr="00BE0EAC" w:rsidRDefault="00BE0EAC" w:rsidP="002535CF">
            <w:pPr>
              <w:keepLines/>
              <w:spacing w:before="40" w:after="40" w:line="200" w:lineRule="atLeast"/>
              <w:jc w:val="center"/>
              <w:rPr>
                <w:rFonts w:asciiTheme="minorHAnsi" w:eastAsia="Times New Roman" w:hAnsiTheme="minorHAnsi" w:cstheme="minorHAnsi"/>
                <w:iCs/>
                <w:szCs w:val="17"/>
              </w:rPr>
            </w:pPr>
            <w:r w:rsidRPr="00BE0EAC">
              <w:rPr>
                <w:rFonts w:asciiTheme="minorHAnsi" w:eastAsia="Times New Roman" w:hAnsiTheme="minorHAnsi" w:cstheme="minorHAnsi"/>
                <w:iCs/>
                <w:szCs w:val="17"/>
              </w:rPr>
              <w:t>4</w:t>
            </w:r>
          </w:p>
        </w:tc>
        <w:tc>
          <w:tcPr>
            <w:tcW w:w="623" w:type="pct"/>
            <w:tcBorders>
              <w:top w:val="single" w:sz="2" w:space="0" w:color="65C5B4" w:themeColor="accent1"/>
            </w:tcBorders>
            <w:shd w:val="clear" w:color="auto" w:fill="auto"/>
            <w:noWrap/>
          </w:tcPr>
          <w:p w:rsidR="002535CF" w:rsidRPr="00BE0EAC" w:rsidRDefault="00BE0EAC" w:rsidP="002535CF">
            <w:pPr>
              <w:keepLines/>
              <w:spacing w:before="40" w:after="40" w:line="200" w:lineRule="atLeast"/>
              <w:jc w:val="center"/>
              <w:rPr>
                <w:rFonts w:asciiTheme="minorHAnsi" w:eastAsia="Times New Roman" w:hAnsiTheme="minorHAnsi" w:cstheme="minorHAnsi"/>
                <w:iCs/>
                <w:szCs w:val="17"/>
              </w:rPr>
            </w:pPr>
            <w:r w:rsidRPr="00BE0EAC">
              <w:rPr>
                <w:rFonts w:asciiTheme="minorHAnsi" w:eastAsia="Times New Roman" w:hAnsiTheme="minorHAnsi" w:cstheme="minorHAnsi"/>
                <w:iCs/>
                <w:szCs w:val="17"/>
              </w:rPr>
              <w:t>3</w:t>
            </w:r>
          </w:p>
        </w:tc>
      </w:tr>
      <w:tr w:rsidR="009B691E" w:rsidRPr="00812509" w:rsidTr="009B691E">
        <w:trPr>
          <w:cnfStyle w:val="100000000000" w:firstRow="1" w:lastRow="0" w:firstColumn="0" w:lastColumn="0" w:oddVBand="0" w:evenVBand="0" w:oddHBand="0" w:evenHBand="0" w:firstRowFirstColumn="0" w:firstRowLastColumn="0" w:lastRowFirstColumn="0" w:lastRowLastColumn="0"/>
          <w:trHeight w:val="284"/>
        </w:trPr>
        <w:tc>
          <w:tcPr>
            <w:tcW w:w="2090" w:type="pct"/>
            <w:tcBorders>
              <w:top w:val="single" w:sz="2" w:space="0" w:color="65C5B4" w:themeColor="accent1"/>
              <w:bottom w:val="single" w:sz="2" w:space="0" w:color="65C5B4" w:themeColor="accent1"/>
            </w:tcBorders>
          </w:tcPr>
          <w:p w:rsidR="002535CF" w:rsidRDefault="002535CF" w:rsidP="002535CF">
            <w:pPr>
              <w:keepLines/>
              <w:spacing w:before="40" w:after="40" w:line="200" w:lineRule="atLeast"/>
              <w:rPr>
                <w:rFonts w:eastAsia="Times New Roman"/>
                <w:iCs/>
                <w:szCs w:val="17"/>
              </w:rPr>
            </w:pPr>
          </w:p>
        </w:tc>
        <w:tc>
          <w:tcPr>
            <w:tcW w:w="570" w:type="pct"/>
            <w:tcBorders>
              <w:top w:val="single" w:sz="2" w:space="0" w:color="65C5B4" w:themeColor="accent1"/>
              <w:bottom w:val="single" w:sz="2" w:space="0" w:color="65C5B4" w:themeColor="accent1"/>
            </w:tcBorders>
          </w:tcPr>
          <w:p w:rsidR="002535CF" w:rsidRPr="00812509" w:rsidRDefault="009B691E" w:rsidP="002535CF">
            <w:pPr>
              <w:autoSpaceDE w:val="0"/>
              <w:autoSpaceDN w:val="0"/>
              <w:adjustRightInd w:val="0"/>
              <w:spacing w:before="40" w:after="40" w:line="240" w:lineRule="auto"/>
              <w:rPr>
                <w:rFonts w:cs="Franklin Gothic Book"/>
                <w:color w:val="000000"/>
                <w:szCs w:val="17"/>
              </w:rPr>
            </w:pPr>
            <w:r w:rsidRPr="00B16CA3">
              <w:rPr>
                <w:rFonts w:asciiTheme="minorHAnsi" w:eastAsia="Times New Roman" w:hAnsiTheme="minorHAnsi"/>
                <w:iCs/>
                <w:szCs w:val="17"/>
                <w:lang w:eastAsia="en-US"/>
              </w:rPr>
              <w:t>2009-21</w:t>
            </w:r>
          </w:p>
        </w:tc>
        <w:tc>
          <w:tcPr>
            <w:tcW w:w="592" w:type="pct"/>
            <w:tcBorders>
              <w:top w:val="single" w:sz="2" w:space="0" w:color="65C5B4" w:themeColor="accent1"/>
              <w:bottom w:val="single" w:sz="2" w:space="0" w:color="65C5B4" w:themeColor="accent1"/>
            </w:tcBorders>
          </w:tcPr>
          <w:p w:rsidR="002535CF" w:rsidRPr="00812509" w:rsidRDefault="002535CF" w:rsidP="002535C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AQC</w:t>
            </w:r>
          </w:p>
        </w:tc>
        <w:tc>
          <w:tcPr>
            <w:tcW w:w="475" w:type="pct"/>
            <w:tcBorders>
              <w:top w:val="single" w:sz="2" w:space="0" w:color="65C5B4" w:themeColor="accent1"/>
              <w:bottom w:val="single" w:sz="2" w:space="0" w:color="65C5B4" w:themeColor="accent1"/>
            </w:tcBorders>
            <w:shd w:val="clear" w:color="auto" w:fill="auto"/>
            <w:noWrap/>
          </w:tcPr>
          <w:p w:rsidR="002535CF" w:rsidRPr="00BE0EAC" w:rsidRDefault="00BE0EAC" w:rsidP="002535CF">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526" w:type="pct"/>
            <w:tcBorders>
              <w:top w:val="single" w:sz="2" w:space="0" w:color="65C5B4" w:themeColor="accent1"/>
              <w:bottom w:val="single" w:sz="2" w:space="0" w:color="65C5B4" w:themeColor="accent1"/>
            </w:tcBorders>
            <w:shd w:val="clear" w:color="auto" w:fill="auto"/>
            <w:noWrap/>
          </w:tcPr>
          <w:p w:rsidR="002535CF" w:rsidRPr="00BE0EAC" w:rsidRDefault="00BE0EAC" w:rsidP="002535CF">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3</w:t>
            </w:r>
          </w:p>
        </w:tc>
        <w:tc>
          <w:tcPr>
            <w:tcW w:w="623" w:type="pct"/>
            <w:tcBorders>
              <w:top w:val="single" w:sz="2" w:space="0" w:color="65C5B4" w:themeColor="accent1"/>
              <w:bottom w:val="single" w:sz="2" w:space="0" w:color="65C5B4" w:themeColor="accent1"/>
            </w:tcBorders>
            <w:shd w:val="clear" w:color="auto" w:fill="auto"/>
            <w:noWrap/>
          </w:tcPr>
          <w:p w:rsidR="002535CF" w:rsidRPr="00BE0EAC" w:rsidRDefault="00BE0EAC" w:rsidP="002535CF">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3</w:t>
            </w:r>
          </w:p>
        </w:tc>
      </w:tr>
      <w:tr w:rsidR="009B691E" w:rsidRPr="00812509" w:rsidTr="009B691E">
        <w:trPr>
          <w:cnfStyle w:val="100000000000" w:firstRow="1" w:lastRow="0" w:firstColumn="0" w:lastColumn="0" w:oddVBand="0" w:evenVBand="0" w:oddHBand="0" w:evenHBand="0" w:firstRowFirstColumn="0" w:firstRowLastColumn="0" w:lastRowFirstColumn="0" w:lastRowLastColumn="0"/>
          <w:trHeight w:val="284"/>
        </w:trPr>
        <w:tc>
          <w:tcPr>
            <w:tcW w:w="2090" w:type="pct"/>
          </w:tcPr>
          <w:p w:rsidR="002535CF" w:rsidRPr="00812509" w:rsidRDefault="002535CF" w:rsidP="002535CF">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Nauru Public Sector Reform (INI943)</w:t>
            </w:r>
          </w:p>
        </w:tc>
        <w:tc>
          <w:tcPr>
            <w:tcW w:w="570" w:type="pct"/>
          </w:tcPr>
          <w:p w:rsidR="002535CF" w:rsidRPr="00812509" w:rsidRDefault="002535CF" w:rsidP="009B691E">
            <w:pPr>
              <w:keepLines/>
              <w:spacing w:before="40" w:after="40" w:line="240" w:lineRule="auto"/>
              <w:rPr>
                <w:rFonts w:asciiTheme="minorHAnsi" w:eastAsia="Times New Roman" w:hAnsiTheme="minorHAnsi"/>
                <w:iCs/>
                <w:szCs w:val="17"/>
                <w:lang w:eastAsia="en-US"/>
              </w:rPr>
            </w:pPr>
            <w:r w:rsidRPr="002535CF">
              <w:rPr>
                <w:rFonts w:asciiTheme="minorHAnsi" w:eastAsia="Times New Roman" w:hAnsiTheme="minorHAnsi"/>
                <w:iCs/>
                <w:szCs w:val="17"/>
                <w:lang w:eastAsia="en-US"/>
              </w:rPr>
              <w:t>$</w:t>
            </w:r>
            <w:r w:rsidR="00B16CA3">
              <w:rPr>
                <w:rFonts w:asciiTheme="minorHAnsi" w:eastAsia="Times New Roman" w:hAnsiTheme="minorHAnsi"/>
                <w:iCs/>
                <w:szCs w:val="17"/>
                <w:lang w:eastAsia="en-US"/>
              </w:rPr>
              <w:t>46</w:t>
            </w:r>
            <w:r w:rsidRPr="002535CF">
              <w:rPr>
                <w:rFonts w:asciiTheme="minorHAnsi" w:eastAsia="Times New Roman" w:hAnsiTheme="minorHAnsi"/>
                <w:iCs/>
                <w:szCs w:val="17"/>
                <w:lang w:eastAsia="en-US"/>
              </w:rPr>
              <w:t xml:space="preserve">m </w:t>
            </w:r>
          </w:p>
        </w:tc>
        <w:tc>
          <w:tcPr>
            <w:tcW w:w="592" w:type="pct"/>
          </w:tcPr>
          <w:p w:rsidR="002535CF" w:rsidRPr="00812509" w:rsidRDefault="002535CF" w:rsidP="002535C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475" w:type="pct"/>
            <w:shd w:val="clear" w:color="auto" w:fill="auto"/>
            <w:noWrap/>
          </w:tcPr>
          <w:p w:rsidR="002535CF" w:rsidRPr="00BE0EAC" w:rsidRDefault="00B16CA3" w:rsidP="002535CF">
            <w:pPr>
              <w:keepLines/>
              <w:spacing w:before="40" w:after="40" w:line="200" w:lineRule="atLeast"/>
              <w:jc w:val="center"/>
              <w:rPr>
                <w:rFonts w:asciiTheme="minorHAnsi" w:eastAsia="Times New Roman" w:hAnsiTheme="minorHAnsi" w:cstheme="minorHAnsi"/>
                <w:iCs/>
                <w:szCs w:val="17"/>
                <w:lang w:eastAsia="en-US"/>
              </w:rPr>
            </w:pPr>
            <w:r w:rsidRPr="00BE0EAC">
              <w:rPr>
                <w:rFonts w:asciiTheme="minorHAnsi" w:eastAsia="Times New Roman" w:hAnsiTheme="minorHAnsi" w:cstheme="minorHAnsi"/>
                <w:iCs/>
                <w:szCs w:val="17"/>
                <w:lang w:eastAsia="en-US"/>
              </w:rPr>
              <w:t>4</w:t>
            </w:r>
          </w:p>
        </w:tc>
        <w:tc>
          <w:tcPr>
            <w:tcW w:w="526" w:type="pct"/>
            <w:shd w:val="clear" w:color="auto" w:fill="auto"/>
            <w:noWrap/>
          </w:tcPr>
          <w:p w:rsidR="002535CF" w:rsidRPr="00BE0EAC" w:rsidRDefault="00B16CA3" w:rsidP="002535CF">
            <w:pPr>
              <w:keepLines/>
              <w:spacing w:before="40" w:after="40" w:line="200" w:lineRule="atLeast"/>
              <w:jc w:val="center"/>
              <w:rPr>
                <w:rFonts w:asciiTheme="minorHAnsi" w:eastAsia="Times New Roman" w:hAnsiTheme="minorHAnsi" w:cstheme="minorHAnsi"/>
                <w:iCs/>
                <w:szCs w:val="17"/>
                <w:lang w:eastAsia="en-US"/>
              </w:rPr>
            </w:pPr>
            <w:r w:rsidRPr="00BE0EAC">
              <w:rPr>
                <w:rFonts w:asciiTheme="minorHAnsi" w:eastAsia="Times New Roman" w:hAnsiTheme="minorHAnsi" w:cstheme="minorHAnsi"/>
                <w:iCs/>
                <w:szCs w:val="17"/>
                <w:lang w:eastAsia="en-US"/>
              </w:rPr>
              <w:t>4</w:t>
            </w:r>
          </w:p>
        </w:tc>
        <w:tc>
          <w:tcPr>
            <w:tcW w:w="623" w:type="pct"/>
            <w:shd w:val="clear" w:color="auto" w:fill="auto"/>
            <w:noWrap/>
          </w:tcPr>
          <w:p w:rsidR="002535CF" w:rsidRPr="00BE0EAC" w:rsidRDefault="00B16CA3" w:rsidP="002535CF">
            <w:pPr>
              <w:keepLines/>
              <w:spacing w:before="40" w:after="40" w:line="200" w:lineRule="atLeast"/>
              <w:jc w:val="center"/>
              <w:rPr>
                <w:rFonts w:asciiTheme="minorHAnsi" w:eastAsia="Times New Roman" w:hAnsiTheme="minorHAnsi" w:cstheme="minorHAnsi"/>
                <w:iCs/>
                <w:szCs w:val="17"/>
                <w:lang w:eastAsia="en-US"/>
              </w:rPr>
            </w:pPr>
            <w:r w:rsidRPr="00BE0EAC">
              <w:rPr>
                <w:rFonts w:asciiTheme="minorHAnsi" w:eastAsia="Times New Roman" w:hAnsiTheme="minorHAnsi" w:cstheme="minorHAnsi"/>
                <w:iCs/>
                <w:szCs w:val="17"/>
                <w:lang w:eastAsia="en-US"/>
              </w:rPr>
              <w:t>3</w:t>
            </w:r>
          </w:p>
        </w:tc>
      </w:tr>
      <w:tr w:rsidR="009B691E" w:rsidRPr="00812509" w:rsidTr="009B691E">
        <w:trPr>
          <w:cnfStyle w:val="100000000000" w:firstRow="1" w:lastRow="0" w:firstColumn="0" w:lastColumn="0" w:oddVBand="0" w:evenVBand="0" w:oddHBand="0" w:evenHBand="0" w:firstRowFirstColumn="0" w:firstRowLastColumn="0" w:lastRowFirstColumn="0" w:lastRowLastColumn="0"/>
          <w:trHeight w:val="284"/>
        </w:trPr>
        <w:tc>
          <w:tcPr>
            <w:tcW w:w="2090" w:type="pct"/>
            <w:tcBorders>
              <w:top w:val="single" w:sz="2" w:space="0" w:color="65C5B4" w:themeColor="accent1"/>
              <w:bottom w:val="single" w:sz="2" w:space="0" w:color="65C5B4" w:themeColor="accent1"/>
            </w:tcBorders>
          </w:tcPr>
          <w:p w:rsidR="002535CF" w:rsidRPr="00812509" w:rsidRDefault="002535CF" w:rsidP="002535CF">
            <w:pPr>
              <w:keepLines/>
              <w:spacing w:before="40" w:after="40" w:line="200" w:lineRule="atLeast"/>
              <w:rPr>
                <w:rFonts w:asciiTheme="minorHAnsi" w:eastAsia="Times New Roman" w:hAnsiTheme="minorHAnsi"/>
                <w:iCs/>
                <w:szCs w:val="17"/>
                <w:lang w:eastAsia="en-US"/>
              </w:rPr>
            </w:pPr>
          </w:p>
        </w:tc>
        <w:tc>
          <w:tcPr>
            <w:tcW w:w="570" w:type="pct"/>
            <w:tcBorders>
              <w:top w:val="single" w:sz="2" w:space="0" w:color="65C5B4" w:themeColor="accent1"/>
              <w:bottom w:val="single" w:sz="2" w:space="0" w:color="65C5B4" w:themeColor="accent1"/>
            </w:tcBorders>
          </w:tcPr>
          <w:p w:rsidR="002535CF" w:rsidRPr="00812509" w:rsidRDefault="009B691E" w:rsidP="002535CF">
            <w:pPr>
              <w:keepLines/>
              <w:spacing w:before="40" w:after="40" w:line="240" w:lineRule="auto"/>
              <w:rPr>
                <w:rFonts w:asciiTheme="minorHAnsi" w:eastAsia="Times New Roman" w:hAnsiTheme="minorHAnsi"/>
                <w:iCs/>
                <w:szCs w:val="17"/>
                <w:lang w:eastAsia="en-US"/>
              </w:rPr>
            </w:pPr>
            <w:r>
              <w:rPr>
                <w:rFonts w:asciiTheme="minorHAnsi" w:eastAsia="Times New Roman" w:hAnsiTheme="minorHAnsi"/>
                <w:iCs/>
                <w:szCs w:val="17"/>
                <w:lang w:eastAsia="en-US"/>
              </w:rPr>
              <w:t>2009-20</w:t>
            </w:r>
          </w:p>
        </w:tc>
        <w:tc>
          <w:tcPr>
            <w:tcW w:w="592" w:type="pct"/>
            <w:tcBorders>
              <w:top w:val="single" w:sz="2" w:space="0" w:color="65C5B4" w:themeColor="accent1"/>
              <w:bottom w:val="single" w:sz="2" w:space="0" w:color="65C5B4" w:themeColor="accent1"/>
            </w:tcBorders>
          </w:tcPr>
          <w:p w:rsidR="002535CF" w:rsidRPr="00812509" w:rsidRDefault="002535CF" w:rsidP="002535C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AQC</w:t>
            </w:r>
          </w:p>
        </w:tc>
        <w:tc>
          <w:tcPr>
            <w:tcW w:w="475" w:type="pct"/>
            <w:tcBorders>
              <w:top w:val="single" w:sz="2" w:space="0" w:color="65C5B4" w:themeColor="accent1"/>
              <w:bottom w:val="single" w:sz="2" w:space="0" w:color="65C5B4" w:themeColor="accent1"/>
            </w:tcBorders>
            <w:shd w:val="clear" w:color="auto" w:fill="auto"/>
            <w:noWrap/>
          </w:tcPr>
          <w:p w:rsidR="002535CF" w:rsidRPr="00BE0EAC" w:rsidRDefault="00B16CA3" w:rsidP="002535CF">
            <w:pPr>
              <w:keepLines/>
              <w:spacing w:before="40" w:after="40" w:line="200" w:lineRule="atLeast"/>
              <w:jc w:val="center"/>
              <w:rPr>
                <w:rFonts w:asciiTheme="minorHAnsi" w:eastAsia="Times New Roman" w:hAnsiTheme="minorHAnsi" w:cstheme="minorHAnsi"/>
                <w:iCs/>
                <w:szCs w:val="17"/>
                <w:lang w:eastAsia="en-US"/>
              </w:rPr>
            </w:pPr>
            <w:r w:rsidRPr="00BE0EAC">
              <w:rPr>
                <w:rFonts w:asciiTheme="minorHAnsi" w:eastAsia="Times New Roman" w:hAnsiTheme="minorHAnsi" w:cstheme="minorHAnsi"/>
                <w:iCs/>
                <w:szCs w:val="17"/>
                <w:lang w:eastAsia="en-US"/>
              </w:rPr>
              <w:t>4</w:t>
            </w:r>
          </w:p>
        </w:tc>
        <w:tc>
          <w:tcPr>
            <w:tcW w:w="526" w:type="pct"/>
            <w:tcBorders>
              <w:top w:val="single" w:sz="2" w:space="0" w:color="65C5B4" w:themeColor="accent1"/>
              <w:bottom w:val="single" w:sz="2" w:space="0" w:color="65C5B4" w:themeColor="accent1"/>
            </w:tcBorders>
            <w:shd w:val="clear" w:color="auto" w:fill="auto"/>
            <w:noWrap/>
          </w:tcPr>
          <w:p w:rsidR="002535CF" w:rsidRPr="00BE0EAC" w:rsidRDefault="00B16CA3" w:rsidP="002535CF">
            <w:pPr>
              <w:keepLines/>
              <w:spacing w:before="40" w:after="40" w:line="200" w:lineRule="atLeast"/>
              <w:jc w:val="center"/>
              <w:rPr>
                <w:rFonts w:asciiTheme="minorHAnsi" w:eastAsia="Times New Roman" w:hAnsiTheme="minorHAnsi" w:cstheme="minorHAnsi"/>
                <w:iCs/>
                <w:szCs w:val="17"/>
                <w:lang w:eastAsia="en-US"/>
              </w:rPr>
            </w:pPr>
            <w:r w:rsidRPr="00BE0EAC">
              <w:rPr>
                <w:rFonts w:asciiTheme="minorHAnsi" w:eastAsia="Times New Roman" w:hAnsiTheme="minorHAnsi" w:cstheme="minorHAnsi"/>
                <w:iCs/>
                <w:szCs w:val="17"/>
                <w:lang w:eastAsia="en-US"/>
              </w:rPr>
              <w:t>4</w:t>
            </w:r>
          </w:p>
        </w:tc>
        <w:tc>
          <w:tcPr>
            <w:tcW w:w="623" w:type="pct"/>
            <w:tcBorders>
              <w:top w:val="single" w:sz="2" w:space="0" w:color="65C5B4" w:themeColor="accent1"/>
              <w:bottom w:val="single" w:sz="2" w:space="0" w:color="65C5B4" w:themeColor="accent1"/>
            </w:tcBorders>
            <w:shd w:val="clear" w:color="auto" w:fill="auto"/>
            <w:noWrap/>
          </w:tcPr>
          <w:p w:rsidR="002535CF" w:rsidRPr="00BE0EAC" w:rsidRDefault="00B16CA3" w:rsidP="002535CF">
            <w:pPr>
              <w:keepLines/>
              <w:spacing w:before="40" w:after="40" w:line="200" w:lineRule="atLeast"/>
              <w:jc w:val="center"/>
              <w:rPr>
                <w:rFonts w:asciiTheme="minorHAnsi" w:eastAsia="Times New Roman" w:hAnsiTheme="minorHAnsi" w:cstheme="minorHAnsi"/>
                <w:iCs/>
                <w:szCs w:val="17"/>
                <w:lang w:eastAsia="en-US"/>
              </w:rPr>
            </w:pPr>
            <w:r w:rsidRPr="00BE0EAC">
              <w:rPr>
                <w:rFonts w:asciiTheme="minorHAnsi" w:eastAsia="Times New Roman" w:hAnsiTheme="minorHAnsi" w:cstheme="minorHAnsi"/>
                <w:iCs/>
                <w:szCs w:val="17"/>
                <w:lang w:eastAsia="en-US"/>
              </w:rPr>
              <w:t>3</w:t>
            </w:r>
          </w:p>
        </w:tc>
      </w:tr>
      <w:tr w:rsidR="009B691E" w:rsidRPr="00812509" w:rsidTr="009B691E">
        <w:trPr>
          <w:cnfStyle w:val="100000000000" w:firstRow="1" w:lastRow="0" w:firstColumn="0" w:lastColumn="0" w:oddVBand="0" w:evenVBand="0" w:oddHBand="0" w:evenHBand="0" w:firstRowFirstColumn="0" w:firstRowLastColumn="0" w:lastRowFirstColumn="0" w:lastRowLastColumn="0"/>
          <w:trHeight w:val="284"/>
        </w:trPr>
        <w:tc>
          <w:tcPr>
            <w:tcW w:w="2090" w:type="pct"/>
            <w:vAlign w:val="center"/>
          </w:tcPr>
          <w:p w:rsidR="002535CF" w:rsidRPr="00812509" w:rsidRDefault="002535CF" w:rsidP="002535CF">
            <w:pPr>
              <w:keepLines/>
              <w:spacing w:before="40" w:after="40" w:line="200" w:lineRule="atLeast"/>
              <w:rPr>
                <w:rFonts w:eastAsia="Times New Roman"/>
                <w:iCs/>
                <w:szCs w:val="17"/>
              </w:rPr>
            </w:pPr>
            <w:r w:rsidRPr="00DE7320">
              <w:rPr>
                <w:rFonts w:ascii="Calibri Light" w:eastAsia="Times New Roman" w:hAnsi="Calibri Light" w:cs="Times New Roman"/>
                <w:iCs/>
                <w:color w:val="495965"/>
                <w:szCs w:val="17"/>
              </w:rPr>
              <w:t>Nauru Improved Education (INI950)</w:t>
            </w:r>
          </w:p>
        </w:tc>
        <w:tc>
          <w:tcPr>
            <w:tcW w:w="570" w:type="pct"/>
            <w:vAlign w:val="center"/>
          </w:tcPr>
          <w:p w:rsidR="002535CF" w:rsidRPr="00812509" w:rsidRDefault="002535CF" w:rsidP="009B691E">
            <w:pPr>
              <w:keepLines/>
              <w:spacing w:before="40" w:after="40" w:line="200" w:lineRule="atLeast"/>
              <w:rPr>
                <w:rFonts w:eastAsia="Times New Roman"/>
                <w:iCs/>
                <w:szCs w:val="17"/>
              </w:rPr>
            </w:pPr>
            <w:r w:rsidRPr="00DE7320">
              <w:rPr>
                <w:rFonts w:ascii="Calibri Light" w:eastAsia="Times New Roman" w:hAnsi="Calibri Light" w:cs="Times New Roman"/>
                <w:iCs/>
                <w:color w:val="495965"/>
                <w:szCs w:val="17"/>
              </w:rPr>
              <w:t>$</w:t>
            </w:r>
            <w:r w:rsidR="00BE0EAC">
              <w:rPr>
                <w:rFonts w:ascii="Calibri Light" w:eastAsia="Times New Roman" w:hAnsi="Calibri Light" w:cs="Times New Roman"/>
                <w:iCs/>
                <w:color w:val="495965"/>
                <w:szCs w:val="17"/>
              </w:rPr>
              <w:t>34</w:t>
            </w:r>
            <w:r w:rsidRPr="00DE7320">
              <w:rPr>
                <w:rFonts w:ascii="Calibri Light" w:eastAsia="Times New Roman" w:hAnsi="Calibri Light" w:cs="Times New Roman"/>
                <w:iCs/>
                <w:color w:val="495965"/>
                <w:szCs w:val="17"/>
              </w:rPr>
              <w:t>m</w:t>
            </w:r>
          </w:p>
        </w:tc>
        <w:tc>
          <w:tcPr>
            <w:tcW w:w="592" w:type="pct"/>
          </w:tcPr>
          <w:p w:rsidR="002535CF" w:rsidRPr="00812509" w:rsidRDefault="002535CF" w:rsidP="002535C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475" w:type="pct"/>
            <w:shd w:val="clear" w:color="auto" w:fill="auto"/>
            <w:noWrap/>
          </w:tcPr>
          <w:p w:rsidR="002535CF" w:rsidRPr="00BE0EAC" w:rsidRDefault="00BE0EAC" w:rsidP="002535CF">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3</w:t>
            </w:r>
          </w:p>
        </w:tc>
        <w:tc>
          <w:tcPr>
            <w:tcW w:w="526" w:type="pct"/>
            <w:shd w:val="clear" w:color="auto" w:fill="auto"/>
            <w:noWrap/>
          </w:tcPr>
          <w:p w:rsidR="002535CF" w:rsidRPr="00BE0EAC" w:rsidRDefault="00BE0EAC" w:rsidP="002535CF">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623" w:type="pct"/>
            <w:shd w:val="clear" w:color="auto" w:fill="auto"/>
            <w:noWrap/>
          </w:tcPr>
          <w:p w:rsidR="002535CF" w:rsidRPr="00BE0EAC" w:rsidRDefault="00BE0EAC" w:rsidP="002535CF">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r>
      <w:tr w:rsidR="009B691E" w:rsidRPr="00812509" w:rsidTr="009B691E">
        <w:trPr>
          <w:cnfStyle w:val="100000000000" w:firstRow="1" w:lastRow="0" w:firstColumn="0" w:lastColumn="0" w:oddVBand="0" w:evenVBand="0" w:oddHBand="0" w:evenHBand="0" w:firstRowFirstColumn="0" w:firstRowLastColumn="0" w:lastRowFirstColumn="0" w:lastRowLastColumn="0"/>
          <w:trHeight w:val="284"/>
        </w:trPr>
        <w:tc>
          <w:tcPr>
            <w:tcW w:w="2090" w:type="pct"/>
            <w:tcBorders>
              <w:top w:val="single" w:sz="2" w:space="0" w:color="65C5B4" w:themeColor="accent1"/>
              <w:bottom w:val="single" w:sz="2" w:space="0" w:color="65C5B4" w:themeColor="accent1"/>
            </w:tcBorders>
          </w:tcPr>
          <w:p w:rsidR="002535CF" w:rsidRPr="00812509" w:rsidRDefault="002535CF" w:rsidP="002535CF">
            <w:pPr>
              <w:keepLines/>
              <w:spacing w:before="40" w:after="40" w:line="200" w:lineRule="atLeast"/>
              <w:rPr>
                <w:rFonts w:eastAsia="Times New Roman"/>
                <w:iCs/>
                <w:szCs w:val="17"/>
              </w:rPr>
            </w:pPr>
          </w:p>
        </w:tc>
        <w:tc>
          <w:tcPr>
            <w:tcW w:w="570" w:type="pct"/>
            <w:tcBorders>
              <w:top w:val="single" w:sz="2" w:space="0" w:color="65C5B4" w:themeColor="accent1"/>
              <w:bottom w:val="single" w:sz="2" w:space="0" w:color="65C5B4" w:themeColor="accent1"/>
            </w:tcBorders>
            <w:vAlign w:val="center"/>
          </w:tcPr>
          <w:p w:rsidR="002535CF" w:rsidRPr="00812509" w:rsidRDefault="009B691E" w:rsidP="002535CF">
            <w:pPr>
              <w:keepLines/>
              <w:spacing w:before="40" w:after="40" w:line="200" w:lineRule="atLeast"/>
              <w:rPr>
                <w:rFonts w:eastAsia="Times New Roman"/>
                <w:iCs/>
                <w:szCs w:val="17"/>
              </w:rPr>
            </w:pPr>
            <w:r w:rsidRPr="00DE7320">
              <w:rPr>
                <w:rFonts w:ascii="Calibri Light" w:eastAsia="Times New Roman" w:hAnsi="Calibri Light" w:cs="Times New Roman"/>
                <w:iCs/>
                <w:color w:val="495965"/>
                <w:szCs w:val="17"/>
              </w:rPr>
              <w:t>2009-18</w:t>
            </w:r>
          </w:p>
        </w:tc>
        <w:tc>
          <w:tcPr>
            <w:tcW w:w="592" w:type="pct"/>
            <w:tcBorders>
              <w:top w:val="single" w:sz="2" w:space="0" w:color="65C5B4" w:themeColor="accent1"/>
              <w:bottom w:val="single" w:sz="2" w:space="0" w:color="65C5B4" w:themeColor="accent1"/>
            </w:tcBorders>
          </w:tcPr>
          <w:p w:rsidR="002535CF" w:rsidRPr="00812509" w:rsidRDefault="002535CF" w:rsidP="002535CF">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AQC</w:t>
            </w:r>
          </w:p>
        </w:tc>
        <w:tc>
          <w:tcPr>
            <w:tcW w:w="475" w:type="pct"/>
            <w:tcBorders>
              <w:top w:val="single" w:sz="2" w:space="0" w:color="65C5B4" w:themeColor="accent1"/>
              <w:bottom w:val="single" w:sz="2" w:space="0" w:color="65C5B4" w:themeColor="accent1"/>
            </w:tcBorders>
            <w:shd w:val="clear" w:color="auto" w:fill="auto"/>
            <w:noWrap/>
          </w:tcPr>
          <w:p w:rsidR="002535CF" w:rsidRPr="00BE0EAC" w:rsidRDefault="00BE0EAC" w:rsidP="002535CF">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526" w:type="pct"/>
            <w:tcBorders>
              <w:top w:val="single" w:sz="2" w:space="0" w:color="65C5B4" w:themeColor="accent1"/>
              <w:bottom w:val="single" w:sz="2" w:space="0" w:color="65C5B4" w:themeColor="accent1"/>
            </w:tcBorders>
            <w:shd w:val="clear" w:color="auto" w:fill="auto"/>
            <w:noWrap/>
          </w:tcPr>
          <w:p w:rsidR="002535CF" w:rsidRPr="00BE0EAC" w:rsidRDefault="00BE0EAC" w:rsidP="002535CF">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623" w:type="pct"/>
            <w:tcBorders>
              <w:top w:val="single" w:sz="2" w:space="0" w:color="65C5B4" w:themeColor="accent1"/>
              <w:bottom w:val="single" w:sz="2" w:space="0" w:color="65C5B4" w:themeColor="accent1"/>
            </w:tcBorders>
            <w:shd w:val="clear" w:color="auto" w:fill="auto"/>
            <w:noWrap/>
          </w:tcPr>
          <w:p w:rsidR="002535CF" w:rsidRPr="00BE0EAC" w:rsidRDefault="00BE0EAC" w:rsidP="002535CF">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r>
      <w:tr w:rsidR="009B691E" w:rsidRPr="00812509" w:rsidTr="009B691E">
        <w:trPr>
          <w:cnfStyle w:val="100000000000" w:firstRow="1" w:lastRow="0" w:firstColumn="0" w:lastColumn="0" w:oddVBand="0" w:evenVBand="0" w:oddHBand="0" w:evenHBand="0" w:firstRowFirstColumn="0" w:firstRowLastColumn="0" w:lastRowFirstColumn="0" w:lastRowLastColumn="0"/>
          <w:trHeight w:val="284"/>
        </w:trPr>
        <w:tc>
          <w:tcPr>
            <w:tcW w:w="2090" w:type="pct"/>
          </w:tcPr>
          <w:p w:rsidR="00BE0EAC" w:rsidRPr="00812509" w:rsidRDefault="009B691E" w:rsidP="002535CF">
            <w:pPr>
              <w:keepLines/>
              <w:spacing w:before="40" w:after="40" w:line="200" w:lineRule="atLeast"/>
              <w:rPr>
                <w:rFonts w:eastAsia="Times New Roman"/>
                <w:iCs/>
                <w:szCs w:val="17"/>
              </w:rPr>
            </w:pPr>
            <w:r w:rsidRPr="00BE0EAC">
              <w:rPr>
                <w:rFonts w:ascii="Calibri Light" w:eastAsia="Times New Roman" w:hAnsi="Calibri Light" w:cs="Times New Roman"/>
                <w:iCs/>
                <w:color w:val="495965"/>
                <w:szCs w:val="17"/>
              </w:rPr>
              <w:t>Nauru Health Support Program (INM621)</w:t>
            </w:r>
          </w:p>
        </w:tc>
        <w:tc>
          <w:tcPr>
            <w:tcW w:w="570" w:type="pct"/>
            <w:vAlign w:val="center"/>
          </w:tcPr>
          <w:p w:rsidR="00BE0EAC" w:rsidRPr="00812509" w:rsidRDefault="009B691E" w:rsidP="002535CF">
            <w:pPr>
              <w:keepLines/>
              <w:spacing w:before="40" w:after="40" w:line="200" w:lineRule="atLeast"/>
              <w:rPr>
                <w:rFonts w:eastAsia="Times New Roman"/>
                <w:iCs/>
                <w:szCs w:val="17"/>
              </w:rPr>
            </w:pPr>
            <w:r>
              <w:rPr>
                <w:rFonts w:ascii="Calibri Light" w:eastAsia="Times New Roman" w:hAnsi="Calibri Light" w:cs="Times New Roman"/>
                <w:iCs/>
                <w:color w:val="495965"/>
                <w:szCs w:val="17"/>
              </w:rPr>
              <w:t>$8.</w:t>
            </w:r>
            <w:bookmarkStart w:id="0" w:name="_GoBack"/>
            <w:bookmarkEnd w:id="0"/>
            <w:r>
              <w:rPr>
                <w:rFonts w:ascii="Calibri Light" w:eastAsia="Times New Roman" w:hAnsi="Calibri Light" w:cs="Times New Roman"/>
                <w:iCs/>
                <w:color w:val="495965"/>
                <w:szCs w:val="17"/>
              </w:rPr>
              <w:t>4m, 2018-22</w:t>
            </w:r>
          </w:p>
        </w:tc>
        <w:tc>
          <w:tcPr>
            <w:tcW w:w="592" w:type="pct"/>
          </w:tcPr>
          <w:p w:rsidR="00BE0EAC" w:rsidRPr="00BE0EAC" w:rsidRDefault="00BE0EAC" w:rsidP="002535CF">
            <w:pPr>
              <w:keepLines/>
              <w:spacing w:before="40" w:after="40" w:line="200" w:lineRule="atLeast"/>
              <w:rPr>
                <w:rFonts w:ascii="Calibri Light" w:eastAsia="Times New Roman" w:hAnsi="Calibri Light" w:cs="Times New Roman"/>
                <w:iCs/>
                <w:color w:val="495965"/>
                <w:szCs w:val="17"/>
              </w:rPr>
            </w:pPr>
            <w:r w:rsidRPr="00BE0EAC">
              <w:rPr>
                <w:rFonts w:ascii="Calibri Light" w:eastAsia="Times New Roman" w:hAnsi="Calibri Light" w:cs="Times New Roman"/>
                <w:iCs/>
                <w:color w:val="495965"/>
                <w:szCs w:val="17"/>
              </w:rPr>
              <w:t>2020 AQC</w:t>
            </w:r>
          </w:p>
        </w:tc>
        <w:tc>
          <w:tcPr>
            <w:tcW w:w="475" w:type="pct"/>
            <w:shd w:val="clear" w:color="auto" w:fill="auto"/>
            <w:noWrap/>
          </w:tcPr>
          <w:p w:rsidR="00BE0EAC" w:rsidRPr="00BE0EAC" w:rsidRDefault="00BE0EAC" w:rsidP="002535CF">
            <w:pPr>
              <w:keepLines/>
              <w:spacing w:before="40" w:after="40" w:line="200" w:lineRule="atLeast"/>
              <w:jc w:val="center"/>
              <w:rPr>
                <w:rFonts w:ascii="Calibri Light" w:eastAsia="Times New Roman" w:hAnsi="Calibri Light" w:cs="Times New Roman"/>
                <w:iCs/>
                <w:color w:val="495965"/>
                <w:szCs w:val="17"/>
              </w:rPr>
            </w:pPr>
            <w:r>
              <w:rPr>
                <w:rFonts w:ascii="Calibri Light" w:eastAsia="Times New Roman" w:hAnsi="Calibri Light" w:cs="Times New Roman"/>
                <w:iCs/>
                <w:color w:val="495965"/>
                <w:szCs w:val="17"/>
              </w:rPr>
              <w:t>3</w:t>
            </w:r>
          </w:p>
        </w:tc>
        <w:tc>
          <w:tcPr>
            <w:tcW w:w="526" w:type="pct"/>
            <w:shd w:val="clear" w:color="auto" w:fill="auto"/>
            <w:noWrap/>
          </w:tcPr>
          <w:p w:rsidR="00BE0EAC" w:rsidRPr="00BE0EAC" w:rsidRDefault="00BE0EAC" w:rsidP="002535CF">
            <w:pPr>
              <w:keepLines/>
              <w:spacing w:before="40" w:after="40" w:line="200" w:lineRule="atLeast"/>
              <w:jc w:val="center"/>
              <w:rPr>
                <w:rFonts w:ascii="Calibri Light" w:eastAsia="Times New Roman" w:hAnsi="Calibri Light" w:cs="Times New Roman"/>
                <w:iCs/>
                <w:color w:val="495965"/>
                <w:szCs w:val="17"/>
              </w:rPr>
            </w:pPr>
            <w:r>
              <w:rPr>
                <w:rFonts w:ascii="Calibri Light" w:eastAsia="Times New Roman" w:hAnsi="Calibri Light" w:cs="Times New Roman"/>
                <w:iCs/>
                <w:color w:val="495965"/>
                <w:szCs w:val="17"/>
              </w:rPr>
              <w:t>3</w:t>
            </w:r>
          </w:p>
        </w:tc>
        <w:tc>
          <w:tcPr>
            <w:tcW w:w="623" w:type="pct"/>
            <w:shd w:val="clear" w:color="auto" w:fill="auto"/>
            <w:noWrap/>
          </w:tcPr>
          <w:p w:rsidR="00BE0EAC" w:rsidRPr="00BE0EAC" w:rsidRDefault="00BE0EAC" w:rsidP="002535CF">
            <w:pPr>
              <w:keepLines/>
              <w:spacing w:before="40" w:after="40" w:line="200" w:lineRule="atLeast"/>
              <w:jc w:val="center"/>
              <w:rPr>
                <w:rFonts w:ascii="Calibri Light" w:eastAsia="Times New Roman" w:hAnsi="Calibri Light" w:cs="Times New Roman"/>
                <w:iCs/>
                <w:color w:val="495965"/>
                <w:szCs w:val="17"/>
              </w:rPr>
            </w:pPr>
            <w:r>
              <w:rPr>
                <w:rFonts w:ascii="Calibri Light" w:eastAsia="Times New Roman" w:hAnsi="Calibri Light" w:cs="Times New Roman"/>
                <w:iCs/>
                <w:color w:val="495965"/>
                <w:szCs w:val="17"/>
              </w:rPr>
              <w:t>4</w:t>
            </w:r>
          </w:p>
        </w:tc>
      </w:tr>
    </w:tbl>
    <w:p w:rsidR="00390828" w:rsidRPr="00812509" w:rsidRDefault="00390828" w:rsidP="00390828">
      <w:pPr>
        <w:spacing w:before="20" w:after="20" w:line="180" w:lineRule="atLeast"/>
        <w:jc w:val="both"/>
        <w:rPr>
          <w:rFonts w:eastAsia="Times New Roman"/>
          <w:b/>
          <w:sz w:val="14"/>
          <w:szCs w:val="14"/>
        </w:rPr>
      </w:pPr>
    </w:p>
    <w:p w:rsidR="00390828" w:rsidRPr="00812509" w:rsidRDefault="00390828" w:rsidP="00390828">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rsidR="00390828" w:rsidRPr="00B927C4" w:rsidRDefault="00390828" w:rsidP="00390828">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rsidR="00390828" w:rsidRPr="00B927C4" w:rsidRDefault="00390828" w:rsidP="00390828">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rsidR="00390828" w:rsidRPr="00812509" w:rsidRDefault="00390828" w:rsidP="00390828">
      <w:pPr>
        <w:spacing w:before="20" w:after="20" w:line="180" w:lineRule="atLeast"/>
        <w:rPr>
          <w:rFonts w:eastAsia="Times New Roman"/>
          <w:b/>
          <w:sz w:val="16"/>
          <w:szCs w:val="14"/>
        </w:rPr>
      </w:pP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806EA1" w:rsidRDefault="00390828" w:rsidP="00DE5706">
      <w:pPr>
        <w:spacing w:before="20" w:after="20" w:line="180" w:lineRule="atLeast"/>
        <w:rPr>
          <w:rFonts w:asciiTheme="majorHAnsi" w:eastAsiaTheme="majorEastAsia" w:hAnsiTheme="majorHAnsi" w:cstheme="majorHAnsi"/>
          <w:bCs/>
          <w:iCs/>
          <w:caps/>
          <w:spacing w:val="-10"/>
          <w:kern w:val="28"/>
          <w:sz w:val="28"/>
          <w:szCs w:val="28"/>
        </w:rPr>
      </w:pPr>
      <w:r w:rsidRPr="00812509">
        <w:rPr>
          <w:rFonts w:eastAsia="Times New Roman"/>
          <w:b/>
          <w:sz w:val="16"/>
          <w:szCs w:val="14"/>
        </w:rPr>
        <w:t xml:space="preserve"> 2 = Poor; does not satisfy criteria in major areas.  1 = Very poor; does not satisfy criteria in many major area.</w:t>
      </w:r>
    </w:p>
    <w:sectPr w:rsidR="00806EA1" w:rsidSect="00EC3C2D">
      <w:headerReference w:type="even" r:id="rId22"/>
      <w:headerReference w:type="default" r:id="rId23"/>
      <w:headerReference w:type="first" r:id="rId24"/>
      <w:footerReference w:type="first" r:id="rId25"/>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CB9" w:rsidRDefault="004C2CB9" w:rsidP="00D37B04">
      <w:r>
        <w:separator/>
      </w:r>
    </w:p>
  </w:endnote>
  <w:endnote w:type="continuationSeparator" w:id="0">
    <w:p w:rsidR="004C2CB9" w:rsidRDefault="004C2CB9"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77" w:rsidRPr="00FC322F" w:rsidRDefault="00230777" w:rsidP="00FC322F">
    <w:pPr>
      <w:pStyle w:val="Footer"/>
      <w:rPr>
        <w:b/>
      </w:rPr>
    </w:pPr>
    <w:r w:rsidRPr="00FC322F">
      <w:rPr>
        <w:b/>
        <w:noProof/>
        <w:lang w:val="en-AU" w:eastAsia="en-AU"/>
      </w:rPr>
      <w:drawing>
        <wp:inline distT="0" distB="0" distL="0" distR="0" wp14:anchorId="3715BCAD" wp14:editId="57F412AF">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387204"/>
      <w:docPartObj>
        <w:docPartGallery w:val="Page Numbers (Bottom of Page)"/>
        <w:docPartUnique/>
      </w:docPartObj>
    </w:sdtPr>
    <w:sdtEndPr>
      <w:rPr>
        <w:noProof/>
      </w:rPr>
    </w:sdtEndPr>
    <w:sdtContent>
      <w:p w:rsidR="00A21776" w:rsidRDefault="00A21776">
        <w:pPr>
          <w:pStyle w:val="Footer"/>
          <w:jc w:val="center"/>
        </w:pPr>
        <w:r>
          <w:fldChar w:fldCharType="begin"/>
        </w:r>
        <w:r>
          <w:instrText xml:space="preserve"> PAGE   \* MERGEFORMAT </w:instrText>
        </w:r>
        <w:r>
          <w:fldChar w:fldCharType="separate"/>
        </w:r>
        <w:r w:rsidR="00421A8D">
          <w:rPr>
            <w:noProof/>
          </w:rPr>
          <w:t>1</w:t>
        </w:r>
        <w:r>
          <w:rPr>
            <w:noProof/>
          </w:rPr>
          <w:fldChar w:fldCharType="end"/>
        </w:r>
      </w:p>
    </w:sdtContent>
  </w:sdt>
  <w:p w:rsidR="00230777" w:rsidRPr="00FC322F" w:rsidRDefault="00230777"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926980"/>
      <w:docPartObj>
        <w:docPartGallery w:val="Page Numbers (Bottom of Page)"/>
        <w:docPartUnique/>
      </w:docPartObj>
    </w:sdtPr>
    <w:sdtEndPr>
      <w:rPr>
        <w:noProof/>
      </w:rPr>
    </w:sdtEndPr>
    <w:sdtContent>
      <w:p w:rsidR="00B637A6" w:rsidRDefault="00B637A6">
        <w:pPr>
          <w:pStyle w:val="Footer"/>
          <w:jc w:val="center"/>
        </w:pPr>
        <w:r>
          <w:fldChar w:fldCharType="begin"/>
        </w:r>
        <w:r>
          <w:instrText xml:space="preserve"> PAGE   \* MERGEFORMAT </w:instrText>
        </w:r>
        <w:r>
          <w:fldChar w:fldCharType="separate"/>
        </w:r>
        <w:r w:rsidR="00421A8D">
          <w:rPr>
            <w:noProof/>
          </w:rPr>
          <w:t>2</w:t>
        </w:r>
        <w:r>
          <w:rPr>
            <w:noProof/>
          </w:rPr>
          <w:fldChar w:fldCharType="end"/>
        </w:r>
      </w:p>
    </w:sdtContent>
  </w:sdt>
  <w:p w:rsidR="00FC322F" w:rsidRPr="00FC322F" w:rsidRDefault="00FC322F"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22F" w:rsidRPr="00FC322F" w:rsidRDefault="00FC322F" w:rsidP="00FC322F">
    <w:pPr>
      <w:pStyle w:val="Footer"/>
      <w:rPr>
        <w:b/>
      </w:rPr>
    </w:pPr>
    <w:r w:rsidRPr="00FC322F">
      <w:rPr>
        <w:b/>
        <w:noProof/>
        <w:lang w:val="en-AU" w:eastAsia="en-AU"/>
      </w:rPr>
      <w:drawing>
        <wp:inline distT="0" distB="0" distL="0" distR="0" wp14:anchorId="1EB4BA1E" wp14:editId="1654C2F4">
          <wp:extent cx="108000" cy="87480"/>
          <wp:effectExtent l="0" t="0" r="6350" b="8255"/>
          <wp:docPr id="20" name="Picture 2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616834"/>
      <w:docPartObj>
        <w:docPartGallery w:val="Page Numbers (Bottom of Page)"/>
        <w:docPartUnique/>
      </w:docPartObj>
    </w:sdtPr>
    <w:sdtEndPr>
      <w:rPr>
        <w:noProof/>
      </w:rPr>
    </w:sdtEndPr>
    <w:sdtContent>
      <w:p w:rsidR="00B637A6" w:rsidRDefault="00B637A6">
        <w:pPr>
          <w:pStyle w:val="Footer"/>
          <w:jc w:val="center"/>
        </w:pPr>
        <w:r>
          <w:fldChar w:fldCharType="begin"/>
        </w:r>
        <w:r>
          <w:instrText xml:space="preserve"> PAGE   \* MERGEFORMAT </w:instrText>
        </w:r>
        <w:r>
          <w:fldChar w:fldCharType="separate"/>
        </w:r>
        <w:r w:rsidR="00421A8D">
          <w:rPr>
            <w:noProof/>
          </w:rPr>
          <w:t>3</w:t>
        </w:r>
        <w:r>
          <w:rPr>
            <w:noProof/>
          </w:rPr>
          <w:fldChar w:fldCharType="end"/>
        </w:r>
      </w:p>
    </w:sdtContent>
  </w:sdt>
  <w:p w:rsidR="00B637DD" w:rsidRPr="00EC3C2D" w:rsidRDefault="00B637DD"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CB9" w:rsidRPr="008C5A0E" w:rsidRDefault="004C2CB9" w:rsidP="00D37B04">
      <w:pPr>
        <w:pStyle w:val="Footer"/>
      </w:pPr>
    </w:p>
  </w:footnote>
  <w:footnote w:type="continuationSeparator" w:id="0">
    <w:p w:rsidR="004C2CB9" w:rsidRDefault="004C2CB9"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77" w:rsidRPr="000854FD" w:rsidRDefault="00230777" w:rsidP="002D5B25">
    <w:pPr>
      <w:pStyle w:val="Header"/>
    </w:pPr>
    <w:r w:rsidRPr="00943730">
      <w:rPr>
        <w:noProof/>
        <w:lang w:val="en-AU" w:eastAsia="en-AU"/>
      </w:rPr>
      <w:drawing>
        <wp:anchor distT="0" distB="0" distL="114300" distR="114300" simplePos="0" relativeHeight="251668480" behindDoc="1" locked="1" layoutInCell="1" allowOverlap="1" wp14:anchorId="59321F8F" wp14:editId="72F188B0">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77" w:rsidRPr="00943730" w:rsidRDefault="00230777" w:rsidP="0090092E">
    <w:pPr>
      <w:pStyle w:val="Header"/>
      <w:ind w:left="0"/>
    </w:pPr>
    <w:r w:rsidRPr="00252C04">
      <w:rPr>
        <w:noProof/>
        <w:lang w:val="en-AU" w:eastAsia="en-AU"/>
      </w:rPr>
      <w:drawing>
        <wp:anchor distT="0" distB="0" distL="114300" distR="114300" simplePos="0" relativeHeight="251669504" behindDoc="1" locked="1" layoutInCell="1" allowOverlap="1" wp14:anchorId="497DBB9C" wp14:editId="7793290F">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639B1909" wp14:editId="501C6062">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6BAA81F1" wp14:editId="0747DB70">
          <wp:simplePos x="0" y="0"/>
          <wp:positionH relativeFrom="page">
            <wp:posOffset>12700</wp:posOffset>
          </wp:positionH>
          <wp:positionV relativeFrom="page">
            <wp:posOffset>-68580</wp:posOffset>
          </wp:positionV>
          <wp:extent cx="7559040" cy="1069213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7B3A5E80" wp14:editId="0948554E">
          <wp:simplePos x="0" y="0"/>
          <wp:positionH relativeFrom="page">
            <wp:posOffset>12700</wp:posOffset>
          </wp:positionH>
          <wp:positionV relativeFrom="page">
            <wp:posOffset>0</wp:posOffset>
          </wp:positionV>
          <wp:extent cx="7559040" cy="10692765"/>
          <wp:effectExtent l="0" t="0" r="381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9B691E">
      <w:rPr>
        <w:noProof/>
      </w:rPr>
      <w:t>November 2020</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4FC86EA1" wp14:editId="5748ECCE">
          <wp:simplePos x="0" y="0"/>
          <wp:positionH relativeFrom="page">
            <wp:posOffset>5724525</wp:posOffset>
          </wp:positionH>
          <wp:positionV relativeFrom="page">
            <wp:posOffset>720090</wp:posOffset>
          </wp:positionV>
          <wp:extent cx="1115060" cy="512445"/>
          <wp:effectExtent l="0" t="0" r="8890" b="190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23B17E45" wp14:editId="6B45D1F7">
          <wp:simplePos x="0" y="0"/>
          <wp:positionH relativeFrom="page">
            <wp:posOffset>720090</wp:posOffset>
          </wp:positionH>
          <wp:positionV relativeFrom="page">
            <wp:posOffset>683895</wp:posOffset>
          </wp:positionV>
          <wp:extent cx="3166745" cy="55435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7094D3B5" wp14:editId="188AC503">
          <wp:simplePos x="0" y="0"/>
          <wp:positionH relativeFrom="page">
            <wp:posOffset>12700</wp:posOffset>
          </wp:positionH>
          <wp:positionV relativeFrom="page">
            <wp:posOffset>-69850</wp:posOffset>
          </wp:positionV>
          <wp:extent cx="10585450" cy="10692130"/>
          <wp:effectExtent l="0" t="0" r="635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F98" w:rsidRPr="000854FD" w:rsidRDefault="00494F98" w:rsidP="002D5B25">
    <w:pPr>
      <w:pStyle w:val="Header"/>
    </w:pPr>
    <w:r w:rsidRPr="00943730">
      <w:rPr>
        <w:noProof/>
        <w:lang w:val="en-AU" w:eastAsia="en-AU"/>
      </w:rPr>
      <w:drawing>
        <wp:anchor distT="0" distB="0" distL="114300" distR="114300" simplePos="0" relativeHeight="251674624" behindDoc="1" locked="1" layoutInCell="1" allowOverlap="1" wp14:anchorId="252695A1" wp14:editId="5446F843">
          <wp:simplePos x="0" y="0"/>
          <wp:positionH relativeFrom="page">
            <wp:posOffset>12700</wp:posOffset>
          </wp:positionH>
          <wp:positionV relativeFrom="page">
            <wp:posOffset>0</wp:posOffset>
          </wp:positionV>
          <wp:extent cx="7559040" cy="10692765"/>
          <wp:effectExtent l="0" t="0" r="381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7DD" w:rsidRDefault="00B637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7DD" w:rsidRPr="00333501" w:rsidRDefault="00B637DD" w:rsidP="008F56A8">
    <w:pPr>
      <w:pStyle w:val="Header"/>
    </w:pPr>
    <w:r>
      <w:rPr>
        <w:noProof/>
        <w:lang w:val="en-AU" w:eastAsia="en-AU"/>
      </w:rPr>
      <w:drawing>
        <wp:anchor distT="0" distB="0" distL="114300" distR="114300" simplePos="0" relativeHeight="251672576" behindDoc="1" locked="1" layoutInCell="1" allowOverlap="1" wp14:anchorId="1BB61DA0" wp14:editId="349B4510">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7DD" w:rsidRPr="003D352D" w:rsidRDefault="00B637DD" w:rsidP="003D352D">
    <w:pPr>
      <w:pStyle w:val="Header"/>
    </w:pPr>
    <w:r>
      <w:rPr>
        <w:noProof/>
        <w:lang w:val="en-AU" w:eastAsia="en-AU"/>
      </w:rPr>
      <w:drawing>
        <wp:anchor distT="0" distB="0" distL="114300" distR="114300" simplePos="0" relativeHeight="251671552" behindDoc="1" locked="1" layoutInCell="1" allowOverlap="1" wp14:anchorId="43B54AA8" wp14:editId="1CFDF2B0">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C5133A8"/>
    <w:multiLevelType w:val="hybridMultilevel"/>
    <w:tmpl w:val="C13A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E531538"/>
    <w:multiLevelType w:val="multilevel"/>
    <w:tmpl w:val="9A148B46"/>
    <w:lvl w:ilvl="0">
      <w:start w:val="2019"/>
      <w:numFmt w:val="decimal"/>
      <w:lvlText w:val="%1"/>
      <w:lvlJc w:val="left"/>
      <w:pPr>
        <w:ind w:left="495" w:hanging="495"/>
      </w:pPr>
      <w:rPr>
        <w:rFonts w:hint="default"/>
      </w:rPr>
    </w:lvl>
    <w:lvl w:ilvl="1">
      <w:start w:val="20"/>
      <w:numFmt w:val="decimal"/>
      <w:lvlText w:val="%1-%2"/>
      <w:lvlJc w:val="left"/>
      <w:pPr>
        <w:ind w:left="855" w:hanging="495"/>
      </w:pPr>
      <w:rPr>
        <w:rFonts w:hint="default"/>
      </w:rPr>
    </w:lvl>
    <w:lvl w:ilvl="2">
      <w:start w:val="1"/>
      <w:numFmt w:val="decimal"/>
      <w:lvlText w:val="%1-%2.%3"/>
      <w:lvlJc w:val="left"/>
      <w:pPr>
        <w:ind w:left="1215" w:hanging="495"/>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6" w15:restartNumberingAfterBreak="0">
    <w:nsid w:val="279E1258"/>
    <w:multiLevelType w:val="hybridMultilevel"/>
    <w:tmpl w:val="5E369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402512C0"/>
    <w:multiLevelType w:val="hybridMultilevel"/>
    <w:tmpl w:val="0372A9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2880FB8"/>
    <w:multiLevelType w:val="hybridMultilevel"/>
    <w:tmpl w:val="79C262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44483A55"/>
    <w:multiLevelType w:val="hybridMultilevel"/>
    <w:tmpl w:val="18CA7660"/>
    <w:lvl w:ilvl="0" w:tplc="9F5CFAB6">
      <w:start w:val="1"/>
      <w:numFmt w:val="bullet"/>
      <w:lvlText w:val="•"/>
      <w:lvlJc w:val="left"/>
      <w:pPr>
        <w:tabs>
          <w:tab w:val="num" w:pos="720"/>
        </w:tabs>
        <w:ind w:left="720" w:hanging="360"/>
      </w:pPr>
      <w:rPr>
        <w:rFonts w:ascii="Arial" w:hAnsi="Arial" w:hint="default"/>
      </w:rPr>
    </w:lvl>
    <w:lvl w:ilvl="1" w:tplc="B242FDEC" w:tentative="1">
      <w:start w:val="1"/>
      <w:numFmt w:val="bullet"/>
      <w:lvlText w:val="•"/>
      <w:lvlJc w:val="left"/>
      <w:pPr>
        <w:tabs>
          <w:tab w:val="num" w:pos="1440"/>
        </w:tabs>
        <w:ind w:left="1440" w:hanging="360"/>
      </w:pPr>
      <w:rPr>
        <w:rFonts w:ascii="Arial" w:hAnsi="Arial" w:hint="default"/>
      </w:rPr>
    </w:lvl>
    <w:lvl w:ilvl="2" w:tplc="E1D430AE" w:tentative="1">
      <w:start w:val="1"/>
      <w:numFmt w:val="bullet"/>
      <w:lvlText w:val="•"/>
      <w:lvlJc w:val="left"/>
      <w:pPr>
        <w:tabs>
          <w:tab w:val="num" w:pos="2160"/>
        </w:tabs>
        <w:ind w:left="2160" w:hanging="360"/>
      </w:pPr>
      <w:rPr>
        <w:rFonts w:ascii="Arial" w:hAnsi="Arial" w:hint="default"/>
      </w:rPr>
    </w:lvl>
    <w:lvl w:ilvl="3" w:tplc="0C8A4E22" w:tentative="1">
      <w:start w:val="1"/>
      <w:numFmt w:val="bullet"/>
      <w:lvlText w:val="•"/>
      <w:lvlJc w:val="left"/>
      <w:pPr>
        <w:tabs>
          <w:tab w:val="num" w:pos="2880"/>
        </w:tabs>
        <w:ind w:left="2880" w:hanging="360"/>
      </w:pPr>
      <w:rPr>
        <w:rFonts w:ascii="Arial" w:hAnsi="Arial" w:hint="default"/>
      </w:rPr>
    </w:lvl>
    <w:lvl w:ilvl="4" w:tplc="DFAC8E46" w:tentative="1">
      <w:start w:val="1"/>
      <w:numFmt w:val="bullet"/>
      <w:lvlText w:val="•"/>
      <w:lvlJc w:val="left"/>
      <w:pPr>
        <w:tabs>
          <w:tab w:val="num" w:pos="3600"/>
        </w:tabs>
        <w:ind w:left="3600" w:hanging="360"/>
      </w:pPr>
      <w:rPr>
        <w:rFonts w:ascii="Arial" w:hAnsi="Arial" w:hint="default"/>
      </w:rPr>
    </w:lvl>
    <w:lvl w:ilvl="5" w:tplc="783627A4" w:tentative="1">
      <w:start w:val="1"/>
      <w:numFmt w:val="bullet"/>
      <w:lvlText w:val="•"/>
      <w:lvlJc w:val="left"/>
      <w:pPr>
        <w:tabs>
          <w:tab w:val="num" w:pos="4320"/>
        </w:tabs>
        <w:ind w:left="4320" w:hanging="360"/>
      </w:pPr>
      <w:rPr>
        <w:rFonts w:ascii="Arial" w:hAnsi="Arial" w:hint="default"/>
      </w:rPr>
    </w:lvl>
    <w:lvl w:ilvl="6" w:tplc="0C4C2FDE" w:tentative="1">
      <w:start w:val="1"/>
      <w:numFmt w:val="bullet"/>
      <w:lvlText w:val="•"/>
      <w:lvlJc w:val="left"/>
      <w:pPr>
        <w:tabs>
          <w:tab w:val="num" w:pos="5040"/>
        </w:tabs>
        <w:ind w:left="5040" w:hanging="360"/>
      </w:pPr>
      <w:rPr>
        <w:rFonts w:ascii="Arial" w:hAnsi="Arial" w:hint="default"/>
      </w:rPr>
    </w:lvl>
    <w:lvl w:ilvl="7" w:tplc="AA30793E" w:tentative="1">
      <w:start w:val="1"/>
      <w:numFmt w:val="bullet"/>
      <w:lvlText w:val="•"/>
      <w:lvlJc w:val="left"/>
      <w:pPr>
        <w:tabs>
          <w:tab w:val="num" w:pos="5760"/>
        </w:tabs>
        <w:ind w:left="5760" w:hanging="360"/>
      </w:pPr>
      <w:rPr>
        <w:rFonts w:ascii="Arial" w:hAnsi="Arial" w:hint="default"/>
      </w:rPr>
    </w:lvl>
    <w:lvl w:ilvl="8" w:tplc="AB16E8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4A148B"/>
    <w:multiLevelType w:val="hybridMultilevel"/>
    <w:tmpl w:val="FC90C7DA"/>
    <w:lvl w:ilvl="0" w:tplc="59463C12">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5464FD"/>
    <w:multiLevelType w:val="hybridMultilevel"/>
    <w:tmpl w:val="822440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741785"/>
    <w:multiLevelType w:val="multilevel"/>
    <w:tmpl w:val="1DA6A938"/>
    <w:lvl w:ilvl="0">
      <w:start w:val="2019"/>
      <w:numFmt w:val="decimal"/>
      <w:lvlText w:val="%1"/>
      <w:lvlJc w:val="left"/>
      <w:pPr>
        <w:ind w:left="495" w:hanging="495"/>
      </w:pPr>
      <w:rPr>
        <w:rFonts w:hint="default"/>
      </w:rPr>
    </w:lvl>
    <w:lvl w:ilvl="1">
      <w:start w:val="20"/>
      <w:numFmt w:val="decimal"/>
      <w:lvlText w:val="%1-%2"/>
      <w:lvlJc w:val="left"/>
      <w:pPr>
        <w:ind w:left="1350" w:hanging="495"/>
      </w:pPr>
      <w:rPr>
        <w:rFonts w:hint="default"/>
      </w:rPr>
    </w:lvl>
    <w:lvl w:ilvl="2">
      <w:start w:val="1"/>
      <w:numFmt w:val="decimal"/>
      <w:lvlText w:val="%1-%2.%3"/>
      <w:lvlJc w:val="left"/>
      <w:pPr>
        <w:ind w:left="2205" w:hanging="495"/>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4995" w:hanging="72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065" w:hanging="1080"/>
      </w:pPr>
      <w:rPr>
        <w:rFonts w:hint="default"/>
      </w:rPr>
    </w:lvl>
    <w:lvl w:ilvl="8">
      <w:start w:val="1"/>
      <w:numFmt w:val="decimal"/>
      <w:lvlText w:val="%1-%2.%3.%4.%5.%6.%7.%8.%9"/>
      <w:lvlJc w:val="left"/>
      <w:pPr>
        <w:ind w:left="7920" w:hanging="1080"/>
      </w:pPr>
      <w:rPr>
        <w:rFonts w:hint="default"/>
      </w:rPr>
    </w:lvl>
  </w:abstractNum>
  <w:abstractNum w:abstractNumId="24" w15:restartNumberingAfterBreak="0">
    <w:nsid w:val="52553D9F"/>
    <w:multiLevelType w:val="multilevel"/>
    <w:tmpl w:val="A6FA45D0"/>
    <w:numStyleLink w:val="BulletsList"/>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3C1EA7"/>
    <w:multiLevelType w:val="multilevel"/>
    <w:tmpl w:val="A6FA45D0"/>
    <w:numStyleLink w:val="BulletsList"/>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33B1F97"/>
    <w:multiLevelType w:val="multilevel"/>
    <w:tmpl w:val="4D226962"/>
    <w:lvl w:ilvl="0">
      <w:start w:val="1"/>
      <w:numFmt w:val="decimal"/>
      <w:lvlText w:val="%1"/>
      <w:lvlJc w:val="left"/>
      <w:pPr>
        <w:ind w:left="360" w:hanging="360"/>
      </w:pPr>
      <w:rPr>
        <w:rFonts w:asciiTheme="majorHAnsi" w:eastAsiaTheme="majorEastAsia" w:hAnsiTheme="majorHAnsi" w:cstheme="majorHAnsi" w:hint="default"/>
      </w:rPr>
    </w:lvl>
    <w:lvl w:ilvl="1">
      <w:start w:val="1"/>
      <w:numFmt w:val="decimal"/>
      <w:lvlText w:val="%1.%2"/>
      <w:lvlJc w:val="left"/>
      <w:pPr>
        <w:ind w:left="360" w:hanging="360"/>
      </w:pPr>
      <w:rPr>
        <w:rFonts w:asciiTheme="majorHAnsi" w:eastAsiaTheme="majorEastAsia" w:hAnsiTheme="majorHAnsi" w:cstheme="majorHAnsi" w:hint="default"/>
      </w:rPr>
    </w:lvl>
    <w:lvl w:ilvl="2">
      <w:start w:val="1"/>
      <w:numFmt w:val="decimal"/>
      <w:lvlText w:val="%1.%2.%3"/>
      <w:lvlJc w:val="left"/>
      <w:pPr>
        <w:ind w:left="720" w:hanging="720"/>
      </w:pPr>
      <w:rPr>
        <w:rFonts w:asciiTheme="majorHAnsi" w:eastAsiaTheme="majorEastAsia" w:hAnsiTheme="majorHAnsi" w:cstheme="majorHAnsi" w:hint="default"/>
      </w:rPr>
    </w:lvl>
    <w:lvl w:ilvl="3">
      <w:start w:val="1"/>
      <w:numFmt w:val="decimal"/>
      <w:lvlText w:val="%1.%2.%3.%4"/>
      <w:lvlJc w:val="left"/>
      <w:pPr>
        <w:ind w:left="720" w:hanging="720"/>
      </w:pPr>
      <w:rPr>
        <w:rFonts w:asciiTheme="majorHAnsi" w:eastAsiaTheme="majorEastAsia" w:hAnsiTheme="majorHAnsi" w:cstheme="majorHAnsi" w:hint="default"/>
      </w:rPr>
    </w:lvl>
    <w:lvl w:ilvl="4">
      <w:start w:val="1"/>
      <w:numFmt w:val="decimal"/>
      <w:lvlText w:val="%1.%2.%3.%4.%5"/>
      <w:lvlJc w:val="left"/>
      <w:pPr>
        <w:ind w:left="720" w:hanging="720"/>
      </w:pPr>
      <w:rPr>
        <w:rFonts w:asciiTheme="majorHAnsi" w:eastAsiaTheme="majorEastAsia" w:hAnsiTheme="majorHAnsi" w:cstheme="majorHAnsi" w:hint="default"/>
      </w:rPr>
    </w:lvl>
    <w:lvl w:ilvl="5">
      <w:start w:val="1"/>
      <w:numFmt w:val="decimal"/>
      <w:lvlText w:val="%1.%2.%3.%4.%5.%6"/>
      <w:lvlJc w:val="left"/>
      <w:pPr>
        <w:ind w:left="1080" w:hanging="1080"/>
      </w:pPr>
      <w:rPr>
        <w:rFonts w:asciiTheme="majorHAnsi" w:eastAsiaTheme="majorEastAsia" w:hAnsiTheme="majorHAnsi" w:cstheme="majorHAnsi" w:hint="default"/>
      </w:rPr>
    </w:lvl>
    <w:lvl w:ilvl="6">
      <w:start w:val="1"/>
      <w:numFmt w:val="decimal"/>
      <w:lvlText w:val="%1.%2.%3.%4.%5.%6.%7"/>
      <w:lvlJc w:val="left"/>
      <w:pPr>
        <w:ind w:left="1080" w:hanging="1080"/>
      </w:pPr>
      <w:rPr>
        <w:rFonts w:asciiTheme="majorHAnsi" w:eastAsiaTheme="majorEastAsia" w:hAnsiTheme="majorHAnsi" w:cstheme="majorHAnsi" w:hint="default"/>
      </w:rPr>
    </w:lvl>
    <w:lvl w:ilvl="7">
      <w:start w:val="1"/>
      <w:numFmt w:val="decimal"/>
      <w:lvlText w:val="%1.%2.%3.%4.%5.%6.%7.%8"/>
      <w:lvlJc w:val="left"/>
      <w:pPr>
        <w:ind w:left="1440" w:hanging="1440"/>
      </w:pPr>
      <w:rPr>
        <w:rFonts w:asciiTheme="majorHAnsi" w:eastAsiaTheme="majorEastAsia" w:hAnsiTheme="majorHAnsi" w:cstheme="majorHAnsi" w:hint="default"/>
      </w:rPr>
    </w:lvl>
    <w:lvl w:ilvl="8">
      <w:start w:val="1"/>
      <w:numFmt w:val="decimal"/>
      <w:lvlText w:val="%1.%2.%3.%4.%5.%6.%7.%8.%9"/>
      <w:lvlJc w:val="left"/>
      <w:pPr>
        <w:ind w:left="1440" w:hanging="1440"/>
      </w:pPr>
      <w:rPr>
        <w:rFonts w:asciiTheme="majorHAnsi" w:eastAsiaTheme="majorEastAsia" w:hAnsiTheme="majorHAnsi" w:cstheme="majorHAnsi" w:hint="default"/>
      </w:rPr>
    </w:lvl>
  </w:abstractNum>
  <w:abstractNum w:abstractNumId="29" w15:restartNumberingAfterBreak="0">
    <w:nsid w:val="6B683F31"/>
    <w:multiLevelType w:val="multilevel"/>
    <w:tmpl w:val="DEF05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615908"/>
    <w:multiLevelType w:val="hybridMultilevel"/>
    <w:tmpl w:val="8C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5"/>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17"/>
  </w:num>
  <w:num w:numId="23">
    <w:abstractNumId w:val="17"/>
  </w:num>
  <w:num w:numId="24">
    <w:abstractNumId w:val="26"/>
  </w:num>
  <w:num w:numId="25">
    <w:abstractNumId w:val="26"/>
  </w:num>
  <w:num w:numId="26">
    <w:abstractNumId w:val="26"/>
  </w:num>
  <w:num w:numId="27">
    <w:abstractNumId w:val="25"/>
  </w:num>
  <w:num w:numId="28">
    <w:abstractNumId w:val="11"/>
  </w:num>
  <w:num w:numId="29">
    <w:abstractNumId w:val="11"/>
  </w:num>
  <w:num w:numId="30">
    <w:abstractNumId w:val="11"/>
  </w:num>
  <w:num w:numId="31">
    <w:abstractNumId w:val="14"/>
  </w:num>
  <w:num w:numId="32">
    <w:abstractNumId w:val="33"/>
  </w:num>
  <w:num w:numId="33">
    <w:abstractNumId w:val="2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9"/>
  </w:num>
  <w:num w:numId="37">
    <w:abstractNumId w:val="22"/>
  </w:num>
  <w:num w:numId="38">
    <w:abstractNumId w:val="21"/>
  </w:num>
  <w:num w:numId="39">
    <w:abstractNumId w:val="16"/>
  </w:num>
  <w:num w:numId="40">
    <w:abstractNumId w:val="12"/>
  </w:num>
  <w:num w:numId="41">
    <w:abstractNumId w:val="18"/>
  </w:num>
  <w:num w:numId="42">
    <w:abstractNumId w:val="15"/>
  </w:num>
  <w:num w:numId="43">
    <w:abstractNumId w:val="23"/>
  </w:num>
  <w:num w:numId="44">
    <w:abstractNumId w:val="20"/>
  </w:num>
  <w:num w:numId="45">
    <w:abstractNumId w:val="32"/>
  </w:num>
  <w:num w:numId="46">
    <w:abstractNumId w:val="31"/>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15783"/>
    <w:rsid w:val="000163B4"/>
    <w:rsid w:val="0002080A"/>
    <w:rsid w:val="0002782F"/>
    <w:rsid w:val="00035BBF"/>
    <w:rsid w:val="00036397"/>
    <w:rsid w:val="00040DF1"/>
    <w:rsid w:val="00044544"/>
    <w:rsid w:val="000462EE"/>
    <w:rsid w:val="00050806"/>
    <w:rsid w:val="000546D9"/>
    <w:rsid w:val="00054AAA"/>
    <w:rsid w:val="00054E4D"/>
    <w:rsid w:val="00060073"/>
    <w:rsid w:val="000616C6"/>
    <w:rsid w:val="00071788"/>
    <w:rsid w:val="000854FD"/>
    <w:rsid w:val="000A3256"/>
    <w:rsid w:val="000B37F5"/>
    <w:rsid w:val="000C5205"/>
    <w:rsid w:val="000D3D5E"/>
    <w:rsid w:val="000D66D6"/>
    <w:rsid w:val="00110C81"/>
    <w:rsid w:val="00113288"/>
    <w:rsid w:val="001214BE"/>
    <w:rsid w:val="0013101C"/>
    <w:rsid w:val="001461D6"/>
    <w:rsid w:val="001541EA"/>
    <w:rsid w:val="001616D0"/>
    <w:rsid w:val="001907AA"/>
    <w:rsid w:val="001962F2"/>
    <w:rsid w:val="001A7ED5"/>
    <w:rsid w:val="001C50B3"/>
    <w:rsid w:val="001D663E"/>
    <w:rsid w:val="001E1DC0"/>
    <w:rsid w:val="00203277"/>
    <w:rsid w:val="00205B2E"/>
    <w:rsid w:val="002068B7"/>
    <w:rsid w:val="00213A46"/>
    <w:rsid w:val="0022631C"/>
    <w:rsid w:val="00230777"/>
    <w:rsid w:val="00235EAB"/>
    <w:rsid w:val="00252C04"/>
    <w:rsid w:val="002535CF"/>
    <w:rsid w:val="002646C3"/>
    <w:rsid w:val="00265DDB"/>
    <w:rsid w:val="00276A54"/>
    <w:rsid w:val="0028602A"/>
    <w:rsid w:val="00290425"/>
    <w:rsid w:val="002A7F56"/>
    <w:rsid w:val="002B5E10"/>
    <w:rsid w:val="002C2C35"/>
    <w:rsid w:val="002C35B2"/>
    <w:rsid w:val="002C793D"/>
    <w:rsid w:val="002D5B25"/>
    <w:rsid w:val="002F4F2B"/>
    <w:rsid w:val="003002C0"/>
    <w:rsid w:val="00301144"/>
    <w:rsid w:val="003031C6"/>
    <w:rsid w:val="00304984"/>
    <w:rsid w:val="00312BF8"/>
    <w:rsid w:val="003148B7"/>
    <w:rsid w:val="003158C3"/>
    <w:rsid w:val="003274CD"/>
    <w:rsid w:val="00330E12"/>
    <w:rsid w:val="003317F4"/>
    <w:rsid w:val="0033304F"/>
    <w:rsid w:val="00333501"/>
    <w:rsid w:val="0033562B"/>
    <w:rsid w:val="003365E4"/>
    <w:rsid w:val="003457C4"/>
    <w:rsid w:val="003500CF"/>
    <w:rsid w:val="0035119D"/>
    <w:rsid w:val="00365569"/>
    <w:rsid w:val="00372FC5"/>
    <w:rsid w:val="003753EF"/>
    <w:rsid w:val="00384D40"/>
    <w:rsid w:val="003858FE"/>
    <w:rsid w:val="00390828"/>
    <w:rsid w:val="0039344A"/>
    <w:rsid w:val="00393CF9"/>
    <w:rsid w:val="00395163"/>
    <w:rsid w:val="003A20B2"/>
    <w:rsid w:val="003B4F12"/>
    <w:rsid w:val="003D4C6F"/>
    <w:rsid w:val="003D5278"/>
    <w:rsid w:val="003F2041"/>
    <w:rsid w:val="003F3B15"/>
    <w:rsid w:val="003F5237"/>
    <w:rsid w:val="00402ACC"/>
    <w:rsid w:val="0040584F"/>
    <w:rsid w:val="004120EC"/>
    <w:rsid w:val="00421A8D"/>
    <w:rsid w:val="00423F31"/>
    <w:rsid w:val="0043003D"/>
    <w:rsid w:val="00431899"/>
    <w:rsid w:val="00442055"/>
    <w:rsid w:val="00445CC2"/>
    <w:rsid w:val="00452298"/>
    <w:rsid w:val="004740EE"/>
    <w:rsid w:val="00482AE8"/>
    <w:rsid w:val="0048492D"/>
    <w:rsid w:val="00486804"/>
    <w:rsid w:val="004939C4"/>
    <w:rsid w:val="00494F98"/>
    <w:rsid w:val="004A0549"/>
    <w:rsid w:val="004A258D"/>
    <w:rsid w:val="004B1618"/>
    <w:rsid w:val="004B3775"/>
    <w:rsid w:val="004C2CB9"/>
    <w:rsid w:val="004C5598"/>
    <w:rsid w:val="004C6342"/>
    <w:rsid w:val="004C76F2"/>
    <w:rsid w:val="004D0BA0"/>
    <w:rsid w:val="004E058F"/>
    <w:rsid w:val="004E3B87"/>
    <w:rsid w:val="00505577"/>
    <w:rsid w:val="00510921"/>
    <w:rsid w:val="00510AD3"/>
    <w:rsid w:val="00513348"/>
    <w:rsid w:val="00513AD8"/>
    <w:rsid w:val="005204D2"/>
    <w:rsid w:val="00522396"/>
    <w:rsid w:val="00533B5D"/>
    <w:rsid w:val="00591B5F"/>
    <w:rsid w:val="005A20F6"/>
    <w:rsid w:val="005A53FA"/>
    <w:rsid w:val="005B3F3B"/>
    <w:rsid w:val="005B55E8"/>
    <w:rsid w:val="005C642E"/>
    <w:rsid w:val="005D181D"/>
    <w:rsid w:val="005D3655"/>
    <w:rsid w:val="005D7E60"/>
    <w:rsid w:val="005E4830"/>
    <w:rsid w:val="005F42E6"/>
    <w:rsid w:val="0060020B"/>
    <w:rsid w:val="00622B86"/>
    <w:rsid w:val="00623BA1"/>
    <w:rsid w:val="006346BC"/>
    <w:rsid w:val="006362ED"/>
    <w:rsid w:val="00651213"/>
    <w:rsid w:val="00660121"/>
    <w:rsid w:val="0066652A"/>
    <w:rsid w:val="00667907"/>
    <w:rsid w:val="006719C3"/>
    <w:rsid w:val="0067515D"/>
    <w:rsid w:val="0067788C"/>
    <w:rsid w:val="00680522"/>
    <w:rsid w:val="00682167"/>
    <w:rsid w:val="006C42AF"/>
    <w:rsid w:val="006E716D"/>
    <w:rsid w:val="006F227F"/>
    <w:rsid w:val="007031B5"/>
    <w:rsid w:val="00704B32"/>
    <w:rsid w:val="00711163"/>
    <w:rsid w:val="00711D8E"/>
    <w:rsid w:val="00712672"/>
    <w:rsid w:val="00715351"/>
    <w:rsid w:val="00720E58"/>
    <w:rsid w:val="00734E3F"/>
    <w:rsid w:val="00736985"/>
    <w:rsid w:val="007429E2"/>
    <w:rsid w:val="00745DF5"/>
    <w:rsid w:val="0076250F"/>
    <w:rsid w:val="007706B8"/>
    <w:rsid w:val="00774EE4"/>
    <w:rsid w:val="00780FA5"/>
    <w:rsid w:val="00784101"/>
    <w:rsid w:val="00790171"/>
    <w:rsid w:val="007A5328"/>
    <w:rsid w:val="007A6663"/>
    <w:rsid w:val="007B06DC"/>
    <w:rsid w:val="007B59BC"/>
    <w:rsid w:val="007B6200"/>
    <w:rsid w:val="007E3FF9"/>
    <w:rsid w:val="007E4969"/>
    <w:rsid w:val="007E732F"/>
    <w:rsid w:val="007F3395"/>
    <w:rsid w:val="00801B9F"/>
    <w:rsid w:val="0080204D"/>
    <w:rsid w:val="00805B9C"/>
    <w:rsid w:val="00806EA1"/>
    <w:rsid w:val="00810213"/>
    <w:rsid w:val="00817DE6"/>
    <w:rsid w:val="00823B7F"/>
    <w:rsid w:val="0083052F"/>
    <w:rsid w:val="008475F0"/>
    <w:rsid w:val="00854659"/>
    <w:rsid w:val="008557A7"/>
    <w:rsid w:val="00870928"/>
    <w:rsid w:val="00880AFF"/>
    <w:rsid w:val="00885A62"/>
    <w:rsid w:val="0089405C"/>
    <w:rsid w:val="00897FA2"/>
    <w:rsid w:val="008A5AFE"/>
    <w:rsid w:val="008A6D33"/>
    <w:rsid w:val="008C48F9"/>
    <w:rsid w:val="008C5A0E"/>
    <w:rsid w:val="0090020D"/>
    <w:rsid w:val="00927172"/>
    <w:rsid w:val="009278D2"/>
    <w:rsid w:val="00935ABC"/>
    <w:rsid w:val="00943730"/>
    <w:rsid w:val="0095053A"/>
    <w:rsid w:val="00961014"/>
    <w:rsid w:val="00961E72"/>
    <w:rsid w:val="00975CA5"/>
    <w:rsid w:val="00977676"/>
    <w:rsid w:val="00980574"/>
    <w:rsid w:val="00983AED"/>
    <w:rsid w:val="00986590"/>
    <w:rsid w:val="00992C76"/>
    <w:rsid w:val="009969D6"/>
    <w:rsid w:val="00997234"/>
    <w:rsid w:val="009A0908"/>
    <w:rsid w:val="009A3DD2"/>
    <w:rsid w:val="009B4D3B"/>
    <w:rsid w:val="009B691E"/>
    <w:rsid w:val="009B6A62"/>
    <w:rsid w:val="009B7942"/>
    <w:rsid w:val="009D57C0"/>
    <w:rsid w:val="009D7407"/>
    <w:rsid w:val="009E0866"/>
    <w:rsid w:val="009E273C"/>
    <w:rsid w:val="009F1350"/>
    <w:rsid w:val="009F6423"/>
    <w:rsid w:val="009F713D"/>
    <w:rsid w:val="00A175B3"/>
    <w:rsid w:val="00A21776"/>
    <w:rsid w:val="00A24A62"/>
    <w:rsid w:val="00A31C9F"/>
    <w:rsid w:val="00A35285"/>
    <w:rsid w:val="00A361A0"/>
    <w:rsid w:val="00A4144F"/>
    <w:rsid w:val="00A51F64"/>
    <w:rsid w:val="00A61B4D"/>
    <w:rsid w:val="00A63917"/>
    <w:rsid w:val="00A80F95"/>
    <w:rsid w:val="00A91795"/>
    <w:rsid w:val="00A940CA"/>
    <w:rsid w:val="00A9793A"/>
    <w:rsid w:val="00A97BF1"/>
    <w:rsid w:val="00AA14F8"/>
    <w:rsid w:val="00AA298A"/>
    <w:rsid w:val="00AA315B"/>
    <w:rsid w:val="00AB376E"/>
    <w:rsid w:val="00AB4389"/>
    <w:rsid w:val="00AC164A"/>
    <w:rsid w:val="00AC68FC"/>
    <w:rsid w:val="00AE448A"/>
    <w:rsid w:val="00AF2050"/>
    <w:rsid w:val="00B0385D"/>
    <w:rsid w:val="00B03CA8"/>
    <w:rsid w:val="00B05089"/>
    <w:rsid w:val="00B120ED"/>
    <w:rsid w:val="00B16CA3"/>
    <w:rsid w:val="00B16FE3"/>
    <w:rsid w:val="00B22459"/>
    <w:rsid w:val="00B33C0A"/>
    <w:rsid w:val="00B55E19"/>
    <w:rsid w:val="00B637A6"/>
    <w:rsid w:val="00B637DD"/>
    <w:rsid w:val="00B6495A"/>
    <w:rsid w:val="00B664D4"/>
    <w:rsid w:val="00B66722"/>
    <w:rsid w:val="00B70B50"/>
    <w:rsid w:val="00B927C4"/>
    <w:rsid w:val="00B94758"/>
    <w:rsid w:val="00BA0538"/>
    <w:rsid w:val="00BA4B6D"/>
    <w:rsid w:val="00BB26C5"/>
    <w:rsid w:val="00BC1AE0"/>
    <w:rsid w:val="00BC31BD"/>
    <w:rsid w:val="00BD2222"/>
    <w:rsid w:val="00BD2CB3"/>
    <w:rsid w:val="00BE0EAC"/>
    <w:rsid w:val="00BF07B3"/>
    <w:rsid w:val="00BF2747"/>
    <w:rsid w:val="00BF4DE6"/>
    <w:rsid w:val="00C06B13"/>
    <w:rsid w:val="00C27D25"/>
    <w:rsid w:val="00C32299"/>
    <w:rsid w:val="00C42541"/>
    <w:rsid w:val="00C425AB"/>
    <w:rsid w:val="00C42CDE"/>
    <w:rsid w:val="00C5182A"/>
    <w:rsid w:val="00C63EE9"/>
    <w:rsid w:val="00C717D8"/>
    <w:rsid w:val="00CA16F3"/>
    <w:rsid w:val="00CA37B1"/>
    <w:rsid w:val="00CB1959"/>
    <w:rsid w:val="00CC741B"/>
    <w:rsid w:val="00CD0E4B"/>
    <w:rsid w:val="00CE4C89"/>
    <w:rsid w:val="00CF07BA"/>
    <w:rsid w:val="00CF6C83"/>
    <w:rsid w:val="00D00153"/>
    <w:rsid w:val="00D0296C"/>
    <w:rsid w:val="00D17AD8"/>
    <w:rsid w:val="00D32D6F"/>
    <w:rsid w:val="00D37560"/>
    <w:rsid w:val="00D37B04"/>
    <w:rsid w:val="00D4295F"/>
    <w:rsid w:val="00D540C6"/>
    <w:rsid w:val="00D609FC"/>
    <w:rsid w:val="00D64BD1"/>
    <w:rsid w:val="00D65749"/>
    <w:rsid w:val="00D67FE0"/>
    <w:rsid w:val="00D71650"/>
    <w:rsid w:val="00D75D4C"/>
    <w:rsid w:val="00D75EC6"/>
    <w:rsid w:val="00D813DF"/>
    <w:rsid w:val="00D875CF"/>
    <w:rsid w:val="00D92254"/>
    <w:rsid w:val="00D93BC6"/>
    <w:rsid w:val="00DA7460"/>
    <w:rsid w:val="00DE084C"/>
    <w:rsid w:val="00DE5706"/>
    <w:rsid w:val="00E14F51"/>
    <w:rsid w:val="00E357B7"/>
    <w:rsid w:val="00E53800"/>
    <w:rsid w:val="00E6081F"/>
    <w:rsid w:val="00E655FE"/>
    <w:rsid w:val="00E8296D"/>
    <w:rsid w:val="00E8457B"/>
    <w:rsid w:val="00EA04B2"/>
    <w:rsid w:val="00EA20F3"/>
    <w:rsid w:val="00EB27C6"/>
    <w:rsid w:val="00EB398C"/>
    <w:rsid w:val="00EB43D4"/>
    <w:rsid w:val="00EC3C2D"/>
    <w:rsid w:val="00EC53BA"/>
    <w:rsid w:val="00ED2831"/>
    <w:rsid w:val="00ED43D1"/>
    <w:rsid w:val="00EE1027"/>
    <w:rsid w:val="00EE25F4"/>
    <w:rsid w:val="00EE4EE1"/>
    <w:rsid w:val="00EF4574"/>
    <w:rsid w:val="00EF5FB3"/>
    <w:rsid w:val="00F25A93"/>
    <w:rsid w:val="00F2684E"/>
    <w:rsid w:val="00F30087"/>
    <w:rsid w:val="00F366DB"/>
    <w:rsid w:val="00F5404C"/>
    <w:rsid w:val="00F60412"/>
    <w:rsid w:val="00F617F9"/>
    <w:rsid w:val="00F6782A"/>
    <w:rsid w:val="00F729EF"/>
    <w:rsid w:val="00F744A2"/>
    <w:rsid w:val="00F74546"/>
    <w:rsid w:val="00F77CAE"/>
    <w:rsid w:val="00F82271"/>
    <w:rsid w:val="00F83428"/>
    <w:rsid w:val="00F950F7"/>
    <w:rsid w:val="00F96BB9"/>
    <w:rsid w:val="00FA69AF"/>
    <w:rsid w:val="00FA7833"/>
    <w:rsid w:val="00FB6D8C"/>
    <w:rsid w:val="00FC322F"/>
    <w:rsid w:val="00FE49E6"/>
    <w:rsid w:val="00FE6D51"/>
    <w:rsid w:val="00FE6F2A"/>
    <w:rsid w:val="00FF228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0CF914D"/>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60412"/>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60412"/>
    <w:rPr>
      <w:b/>
      <w:caps/>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60412"/>
    <w:pPr>
      <w:spacing w:before="0" w:after="0" w:line="240" w:lineRule="exact"/>
      <w:ind w:left="284" w:right="284"/>
    </w:pPr>
    <w:rPr>
      <w:color w:val="auto"/>
    </w:rPr>
  </w:style>
  <w:style w:type="character" w:customStyle="1" w:styleId="FooterChar">
    <w:name w:val="Footer Char"/>
    <w:basedOn w:val="DefaultParagraphFont"/>
    <w:link w:val="Footer"/>
    <w:uiPriority w:val="99"/>
    <w:rsid w:val="00F60412"/>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60412"/>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3.xml><?xml version="1.0" encoding="utf-8"?>
<ds:datastoreItem xmlns:ds="http://schemas.openxmlformats.org/officeDocument/2006/customXml" ds:itemID="{8E44B631-7640-4A17-8550-BEE8955DE750}">
  <ds:schemaRefs>
    <ds:schemaRef ds:uri="http://purl.org/dc/elements/1.1/"/>
    <ds:schemaRef ds:uri="http://schemas.microsoft.com/office/2006/metadata/properties"/>
    <ds:schemaRef ds:uri="349e11ad-1311-4134-818c-bb844dbfed5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b894c73-1921-4299-aefc-49f5a4cb1310"/>
    <ds:schemaRef ds:uri="http://www.w3.org/XML/1998/namespace"/>
    <ds:schemaRef ds:uri="http://purl.org/dc/terms/"/>
  </ds:schemaRefs>
</ds:datastoreItem>
</file>

<file path=customXml/itemProps4.xml><?xml version="1.0" encoding="utf-8"?>
<ds:datastoreItem xmlns:ds="http://schemas.openxmlformats.org/officeDocument/2006/customXml" ds:itemID="{F3EE0E16-9BC4-4F88-9F4E-20650921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10</cp:revision>
  <cp:lastPrinted>2020-11-03T05:58:00Z</cp:lastPrinted>
  <dcterms:created xsi:type="dcterms:W3CDTF">2020-11-03T06:05:00Z</dcterms:created>
  <dcterms:modified xsi:type="dcterms:W3CDTF">2020-11-17T22:12:00Z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5b8b9a85-68b1-4301-9722-2aa40fd03f45</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