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charts/style4.xml" ContentType="application/vnd.ms-office.chartstyle+xml"/>
  <Override PartName="/word/charts/chart4.xml" ContentType="application/vnd.openxmlformats-officedocument.drawingml.chart+xml"/>
  <Override PartName="/word/theme/theme1.xml" ContentType="application/vnd.openxmlformats-officedocument.theme+xml"/>
  <Override PartName="/word/charts/colors4.xml" ContentType="application/vnd.ms-office.chartcolorstyle+xml"/>
  <Override PartName="/word/charts/colors3.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style3.xml" ContentType="application/vnd.ms-office.chartstyle+xml"/>
  <Override PartName="/word/charts/style2.xml" ContentType="application/vnd.ms-office.chartstyle+xml"/>
  <Override PartName="/word/charts/colors2.xml" ContentType="application/vnd.ms-office.chartcolorstyle+xml"/>
  <Override PartName="/word/charts/colors1.xml" ContentType="application/vnd.ms-office.chartcolorstyl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F75D75" w14:textId="77777777" w:rsidR="002828C7" w:rsidRPr="00D92E50" w:rsidRDefault="002828C7" w:rsidP="002828C7">
      <w:pPr>
        <w:spacing w:line="200" w:lineRule="exact"/>
        <w:rPr>
          <w:szCs w:val="20"/>
        </w:rPr>
      </w:pPr>
      <w:r w:rsidRPr="00D92E50">
        <w:rPr>
          <w:noProof/>
          <w:sz w:val="24"/>
          <w:lang w:eastAsia="en-AU"/>
        </w:rPr>
        <mc:AlternateContent>
          <mc:Choice Requires="wpg">
            <w:drawing>
              <wp:anchor distT="0" distB="0" distL="114300" distR="114300" simplePos="0" relativeHeight="251659264" behindDoc="0" locked="0" layoutInCell="1" allowOverlap="1" wp14:anchorId="5014AB5F" wp14:editId="43FF3ABF">
                <wp:simplePos x="0" y="0"/>
                <wp:positionH relativeFrom="column">
                  <wp:posOffset>86360</wp:posOffset>
                </wp:positionH>
                <wp:positionV relativeFrom="paragraph">
                  <wp:posOffset>-208915</wp:posOffset>
                </wp:positionV>
                <wp:extent cx="1463040" cy="182880"/>
                <wp:effectExtent l="635" t="635" r="3175" b="6985"/>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82880"/>
                          <a:chOff x="1155" y="1440"/>
                          <a:chExt cx="6615" cy="840"/>
                        </a:xfrm>
                      </wpg:grpSpPr>
                      <wps:wsp>
                        <wps:cNvPr id="2" name="Freeform 66"/>
                        <wps:cNvSpPr>
                          <a:spLocks/>
                        </wps:cNvSpPr>
                        <wps:spPr bwMode="auto">
                          <a:xfrm>
                            <a:off x="3980" y="1488"/>
                            <a:ext cx="609" cy="780"/>
                          </a:xfrm>
                          <a:custGeom>
                            <a:avLst/>
                            <a:gdLst>
                              <a:gd name="T0" fmla="*/ 3494 w 103"/>
                              <a:gd name="T1" fmla="*/ 0 h 131"/>
                              <a:gd name="T2" fmla="*/ 2832 w 103"/>
                              <a:gd name="T3" fmla="*/ 0 h 131"/>
                              <a:gd name="T4" fmla="*/ 2690 w 103"/>
                              <a:gd name="T5" fmla="*/ 143 h 131"/>
                              <a:gd name="T6" fmla="*/ 2690 w 103"/>
                              <a:gd name="T7" fmla="*/ 1882 h 131"/>
                              <a:gd name="T8" fmla="*/ 2619 w 103"/>
                              <a:gd name="T9" fmla="*/ 1983 h 131"/>
                              <a:gd name="T10" fmla="*/ 981 w 103"/>
                              <a:gd name="T11" fmla="*/ 1983 h 131"/>
                              <a:gd name="T12" fmla="*/ 911 w 103"/>
                              <a:gd name="T13" fmla="*/ 1882 h 131"/>
                              <a:gd name="T14" fmla="*/ 911 w 103"/>
                              <a:gd name="T15" fmla="*/ 143 h 131"/>
                              <a:gd name="T16" fmla="*/ 769 w 103"/>
                              <a:gd name="T17" fmla="*/ 0 h 131"/>
                              <a:gd name="T18" fmla="*/ 106 w 103"/>
                              <a:gd name="T19" fmla="*/ 0 h 131"/>
                              <a:gd name="T20" fmla="*/ 0 w 103"/>
                              <a:gd name="T21" fmla="*/ 143 h 131"/>
                              <a:gd name="T22" fmla="*/ 0 w 103"/>
                              <a:gd name="T23" fmla="*/ 2304 h 131"/>
                              <a:gd name="T24" fmla="*/ 0 w 103"/>
                              <a:gd name="T25" fmla="*/ 4466 h 131"/>
                              <a:gd name="T26" fmla="*/ 142 w 103"/>
                              <a:gd name="T27" fmla="*/ 4644 h 131"/>
                              <a:gd name="T28" fmla="*/ 733 w 103"/>
                              <a:gd name="T29" fmla="*/ 4644 h 131"/>
                              <a:gd name="T30" fmla="*/ 911 w 103"/>
                              <a:gd name="T31" fmla="*/ 4466 h 131"/>
                              <a:gd name="T32" fmla="*/ 911 w 103"/>
                              <a:gd name="T33" fmla="*/ 2870 h 131"/>
                              <a:gd name="T34" fmla="*/ 981 w 103"/>
                              <a:gd name="T35" fmla="*/ 2798 h 131"/>
                              <a:gd name="T36" fmla="*/ 2590 w 103"/>
                              <a:gd name="T37" fmla="*/ 2798 h 131"/>
                              <a:gd name="T38" fmla="*/ 2690 w 103"/>
                              <a:gd name="T39" fmla="*/ 2870 h 131"/>
                              <a:gd name="T40" fmla="*/ 2690 w 103"/>
                              <a:gd name="T41" fmla="*/ 4466 h 131"/>
                              <a:gd name="T42" fmla="*/ 2868 w 103"/>
                              <a:gd name="T43" fmla="*/ 4644 h 131"/>
                              <a:gd name="T44" fmla="*/ 3459 w 103"/>
                              <a:gd name="T45" fmla="*/ 4644 h 131"/>
                              <a:gd name="T46" fmla="*/ 3601 w 103"/>
                              <a:gd name="T47" fmla="*/ 4501 h 131"/>
                              <a:gd name="T48" fmla="*/ 3601 w 103"/>
                              <a:gd name="T49" fmla="*/ 107 h 131"/>
                              <a:gd name="T50" fmla="*/ 3494 w 103"/>
                              <a:gd name="T51" fmla="*/ 0 h 1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03" h="131">
                                <a:moveTo>
                                  <a:pt x="100" y="0"/>
                                </a:moveTo>
                                <a:cubicBezTo>
                                  <a:pt x="93" y="0"/>
                                  <a:pt x="87" y="0"/>
                                  <a:pt x="81" y="0"/>
                                </a:cubicBezTo>
                                <a:cubicBezTo>
                                  <a:pt x="78" y="0"/>
                                  <a:pt x="77" y="1"/>
                                  <a:pt x="77" y="4"/>
                                </a:cubicBezTo>
                                <a:cubicBezTo>
                                  <a:pt x="77" y="20"/>
                                  <a:pt x="77" y="37"/>
                                  <a:pt x="77" y="53"/>
                                </a:cubicBezTo>
                                <a:cubicBezTo>
                                  <a:pt x="77" y="55"/>
                                  <a:pt x="77" y="56"/>
                                  <a:pt x="75" y="56"/>
                                </a:cubicBezTo>
                                <a:cubicBezTo>
                                  <a:pt x="59" y="56"/>
                                  <a:pt x="44" y="56"/>
                                  <a:pt x="28" y="56"/>
                                </a:cubicBezTo>
                                <a:cubicBezTo>
                                  <a:pt x="26" y="56"/>
                                  <a:pt x="26" y="55"/>
                                  <a:pt x="26" y="53"/>
                                </a:cubicBezTo>
                                <a:cubicBezTo>
                                  <a:pt x="26" y="37"/>
                                  <a:pt x="26" y="20"/>
                                  <a:pt x="26" y="4"/>
                                </a:cubicBezTo>
                                <a:cubicBezTo>
                                  <a:pt x="26" y="1"/>
                                  <a:pt x="25" y="0"/>
                                  <a:pt x="22" y="0"/>
                                </a:cubicBezTo>
                                <a:cubicBezTo>
                                  <a:pt x="16" y="0"/>
                                  <a:pt x="10" y="0"/>
                                  <a:pt x="3" y="0"/>
                                </a:cubicBezTo>
                                <a:cubicBezTo>
                                  <a:pt x="0" y="0"/>
                                  <a:pt x="0" y="0"/>
                                  <a:pt x="0" y="4"/>
                                </a:cubicBezTo>
                                <a:cubicBezTo>
                                  <a:pt x="0" y="24"/>
                                  <a:pt x="0" y="45"/>
                                  <a:pt x="0" y="65"/>
                                </a:cubicBezTo>
                                <a:cubicBezTo>
                                  <a:pt x="0" y="86"/>
                                  <a:pt x="0" y="106"/>
                                  <a:pt x="0" y="126"/>
                                </a:cubicBezTo>
                                <a:cubicBezTo>
                                  <a:pt x="0" y="130"/>
                                  <a:pt x="0" y="131"/>
                                  <a:pt x="4" y="131"/>
                                </a:cubicBezTo>
                                <a:cubicBezTo>
                                  <a:pt x="10" y="131"/>
                                  <a:pt x="16" y="131"/>
                                  <a:pt x="21" y="131"/>
                                </a:cubicBezTo>
                                <a:cubicBezTo>
                                  <a:pt x="25" y="131"/>
                                  <a:pt x="26" y="130"/>
                                  <a:pt x="26" y="126"/>
                                </a:cubicBezTo>
                                <a:cubicBezTo>
                                  <a:pt x="26" y="111"/>
                                  <a:pt x="26" y="96"/>
                                  <a:pt x="26" y="81"/>
                                </a:cubicBezTo>
                                <a:cubicBezTo>
                                  <a:pt x="26" y="79"/>
                                  <a:pt x="26" y="79"/>
                                  <a:pt x="28" y="79"/>
                                </a:cubicBezTo>
                                <a:cubicBezTo>
                                  <a:pt x="44" y="79"/>
                                  <a:pt x="59" y="79"/>
                                  <a:pt x="74" y="79"/>
                                </a:cubicBezTo>
                                <a:cubicBezTo>
                                  <a:pt x="76" y="79"/>
                                  <a:pt x="77" y="79"/>
                                  <a:pt x="77" y="81"/>
                                </a:cubicBezTo>
                                <a:cubicBezTo>
                                  <a:pt x="77" y="96"/>
                                  <a:pt x="77" y="111"/>
                                  <a:pt x="77" y="126"/>
                                </a:cubicBezTo>
                                <a:cubicBezTo>
                                  <a:pt x="77" y="130"/>
                                  <a:pt x="78" y="131"/>
                                  <a:pt x="82" y="131"/>
                                </a:cubicBezTo>
                                <a:cubicBezTo>
                                  <a:pt x="87" y="131"/>
                                  <a:pt x="93" y="131"/>
                                  <a:pt x="99" y="131"/>
                                </a:cubicBezTo>
                                <a:cubicBezTo>
                                  <a:pt x="102" y="131"/>
                                  <a:pt x="103" y="130"/>
                                  <a:pt x="103" y="127"/>
                                </a:cubicBezTo>
                                <a:cubicBezTo>
                                  <a:pt x="103" y="85"/>
                                  <a:pt x="103" y="44"/>
                                  <a:pt x="103" y="3"/>
                                </a:cubicBezTo>
                                <a:cubicBezTo>
                                  <a:pt x="103" y="1"/>
                                  <a:pt x="103" y="0"/>
                                  <a:pt x="10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7"/>
                        <wps:cNvSpPr>
                          <a:spLocks/>
                        </wps:cNvSpPr>
                        <wps:spPr bwMode="auto">
                          <a:xfrm>
                            <a:off x="1155" y="1458"/>
                            <a:ext cx="715" cy="810"/>
                          </a:xfrm>
                          <a:custGeom>
                            <a:avLst/>
                            <a:gdLst>
                              <a:gd name="T0" fmla="*/ 3841 w 121"/>
                              <a:gd name="T1" fmla="*/ 3443 h 136"/>
                              <a:gd name="T2" fmla="*/ 3528 w 121"/>
                              <a:gd name="T3" fmla="*/ 3478 h 136"/>
                              <a:gd name="T4" fmla="*/ 2411 w 121"/>
                              <a:gd name="T5" fmla="*/ 3973 h 136"/>
                              <a:gd name="T6" fmla="*/ 1259 w 121"/>
                              <a:gd name="T7" fmla="*/ 3443 h 136"/>
                              <a:gd name="T8" fmla="*/ 975 w 121"/>
                              <a:gd name="T9" fmla="*/ 2126 h 136"/>
                              <a:gd name="T10" fmla="*/ 1294 w 121"/>
                              <a:gd name="T11" fmla="*/ 1418 h 136"/>
                              <a:gd name="T12" fmla="*/ 2163 w 121"/>
                              <a:gd name="T13" fmla="*/ 923 h 136"/>
                              <a:gd name="T14" fmla="*/ 2866 w 121"/>
                              <a:gd name="T15" fmla="*/ 995 h 136"/>
                              <a:gd name="T16" fmla="*/ 3421 w 121"/>
                              <a:gd name="T17" fmla="*/ 1310 h 136"/>
                              <a:gd name="T18" fmla="*/ 3599 w 121"/>
                              <a:gd name="T19" fmla="*/ 1310 h 136"/>
                              <a:gd name="T20" fmla="*/ 3983 w 121"/>
                              <a:gd name="T21" fmla="*/ 923 h 136"/>
                              <a:gd name="T22" fmla="*/ 3983 w 121"/>
                              <a:gd name="T23" fmla="*/ 709 h 136"/>
                              <a:gd name="T24" fmla="*/ 2830 w 121"/>
                              <a:gd name="T25" fmla="*/ 107 h 136"/>
                              <a:gd name="T26" fmla="*/ 1465 w 121"/>
                              <a:gd name="T27" fmla="*/ 250 h 136"/>
                              <a:gd name="T28" fmla="*/ 106 w 121"/>
                              <a:gd name="T29" fmla="*/ 1775 h 136"/>
                              <a:gd name="T30" fmla="*/ 71 w 121"/>
                              <a:gd name="T31" fmla="*/ 2906 h 136"/>
                              <a:gd name="T32" fmla="*/ 591 w 121"/>
                              <a:gd name="T33" fmla="*/ 3973 h 136"/>
                              <a:gd name="T34" fmla="*/ 2375 w 121"/>
                              <a:gd name="T35" fmla="*/ 4824 h 136"/>
                              <a:gd name="T36" fmla="*/ 3250 w 121"/>
                              <a:gd name="T37" fmla="*/ 4646 h 136"/>
                              <a:gd name="T38" fmla="*/ 4154 w 121"/>
                              <a:gd name="T39" fmla="*/ 3973 h 136"/>
                              <a:gd name="T40" fmla="*/ 4119 w 121"/>
                              <a:gd name="T41" fmla="*/ 3758 h 136"/>
                              <a:gd name="T42" fmla="*/ 3841 w 121"/>
                              <a:gd name="T43" fmla="*/ 3443 h 1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1" h="136">
                                <a:moveTo>
                                  <a:pt x="110" y="97"/>
                                </a:moveTo>
                                <a:cubicBezTo>
                                  <a:pt x="105" y="93"/>
                                  <a:pt x="105" y="93"/>
                                  <a:pt x="101" y="98"/>
                                </a:cubicBezTo>
                                <a:cubicBezTo>
                                  <a:pt x="92" y="107"/>
                                  <a:pt x="82" y="112"/>
                                  <a:pt x="69" y="112"/>
                                </a:cubicBezTo>
                                <a:cubicBezTo>
                                  <a:pt x="55" y="113"/>
                                  <a:pt x="44" y="108"/>
                                  <a:pt x="36" y="97"/>
                                </a:cubicBezTo>
                                <a:cubicBezTo>
                                  <a:pt x="27" y="86"/>
                                  <a:pt x="25" y="73"/>
                                  <a:pt x="28" y="60"/>
                                </a:cubicBezTo>
                                <a:cubicBezTo>
                                  <a:pt x="29" y="52"/>
                                  <a:pt x="32" y="46"/>
                                  <a:pt x="37" y="40"/>
                                </a:cubicBezTo>
                                <a:cubicBezTo>
                                  <a:pt x="43" y="32"/>
                                  <a:pt x="51" y="28"/>
                                  <a:pt x="62" y="26"/>
                                </a:cubicBezTo>
                                <a:cubicBezTo>
                                  <a:pt x="69" y="25"/>
                                  <a:pt x="75" y="26"/>
                                  <a:pt x="82" y="28"/>
                                </a:cubicBezTo>
                                <a:cubicBezTo>
                                  <a:pt x="88" y="30"/>
                                  <a:pt x="93" y="33"/>
                                  <a:pt x="98" y="37"/>
                                </a:cubicBezTo>
                                <a:cubicBezTo>
                                  <a:pt x="100" y="39"/>
                                  <a:pt x="101" y="39"/>
                                  <a:pt x="103" y="37"/>
                                </a:cubicBezTo>
                                <a:cubicBezTo>
                                  <a:pt x="107" y="34"/>
                                  <a:pt x="110" y="30"/>
                                  <a:pt x="114" y="26"/>
                                </a:cubicBezTo>
                                <a:cubicBezTo>
                                  <a:pt x="117" y="24"/>
                                  <a:pt x="117" y="22"/>
                                  <a:pt x="114" y="20"/>
                                </a:cubicBezTo>
                                <a:cubicBezTo>
                                  <a:pt x="105" y="11"/>
                                  <a:pt x="94" y="5"/>
                                  <a:pt x="81" y="3"/>
                                </a:cubicBezTo>
                                <a:cubicBezTo>
                                  <a:pt x="68" y="0"/>
                                  <a:pt x="54" y="1"/>
                                  <a:pt x="42" y="7"/>
                                </a:cubicBezTo>
                                <a:cubicBezTo>
                                  <a:pt x="23" y="15"/>
                                  <a:pt x="10" y="30"/>
                                  <a:pt x="3" y="50"/>
                                </a:cubicBezTo>
                                <a:cubicBezTo>
                                  <a:pt x="0" y="61"/>
                                  <a:pt x="0" y="72"/>
                                  <a:pt x="2" y="82"/>
                                </a:cubicBezTo>
                                <a:cubicBezTo>
                                  <a:pt x="4" y="93"/>
                                  <a:pt x="9" y="103"/>
                                  <a:pt x="17" y="112"/>
                                </a:cubicBezTo>
                                <a:cubicBezTo>
                                  <a:pt x="30" y="127"/>
                                  <a:pt x="47" y="135"/>
                                  <a:pt x="68" y="136"/>
                                </a:cubicBezTo>
                                <a:cubicBezTo>
                                  <a:pt x="77" y="136"/>
                                  <a:pt x="85" y="134"/>
                                  <a:pt x="93" y="131"/>
                                </a:cubicBezTo>
                                <a:cubicBezTo>
                                  <a:pt x="103" y="127"/>
                                  <a:pt x="111" y="120"/>
                                  <a:pt x="119" y="112"/>
                                </a:cubicBezTo>
                                <a:cubicBezTo>
                                  <a:pt x="121" y="110"/>
                                  <a:pt x="121" y="109"/>
                                  <a:pt x="118" y="106"/>
                                </a:cubicBezTo>
                                <a:cubicBezTo>
                                  <a:pt x="115" y="103"/>
                                  <a:pt x="113" y="100"/>
                                  <a:pt x="110" y="9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8"/>
                        <wps:cNvSpPr>
                          <a:spLocks noEditPoints="1"/>
                        </wps:cNvSpPr>
                        <wps:spPr bwMode="auto">
                          <a:xfrm>
                            <a:off x="2183" y="1690"/>
                            <a:ext cx="532" cy="578"/>
                          </a:xfrm>
                          <a:custGeom>
                            <a:avLst/>
                            <a:gdLst>
                              <a:gd name="T0" fmla="*/ 2199 w 90"/>
                              <a:gd name="T1" fmla="*/ 1454 h 97"/>
                              <a:gd name="T2" fmla="*/ 1608 w 90"/>
                              <a:gd name="T3" fmla="*/ 1454 h 97"/>
                              <a:gd name="T4" fmla="*/ 1011 w 90"/>
                              <a:gd name="T5" fmla="*/ 1454 h 97"/>
                              <a:gd name="T6" fmla="*/ 946 w 90"/>
                              <a:gd name="T7" fmla="*/ 1382 h 97"/>
                              <a:gd name="T8" fmla="*/ 1259 w 90"/>
                              <a:gd name="T9" fmla="*/ 995 h 97"/>
                              <a:gd name="T10" fmla="*/ 2098 w 90"/>
                              <a:gd name="T11" fmla="*/ 1102 h 97"/>
                              <a:gd name="T12" fmla="*/ 2270 w 90"/>
                              <a:gd name="T13" fmla="*/ 1418 h 97"/>
                              <a:gd name="T14" fmla="*/ 2199 w 90"/>
                              <a:gd name="T15" fmla="*/ 1454 h 97"/>
                              <a:gd name="T16" fmla="*/ 2412 w 90"/>
                              <a:gd name="T17" fmla="*/ 286 h 97"/>
                              <a:gd name="T18" fmla="*/ 1117 w 90"/>
                              <a:gd name="T19" fmla="*/ 143 h 97"/>
                              <a:gd name="T20" fmla="*/ 177 w 90"/>
                              <a:gd name="T21" fmla="*/ 959 h 97"/>
                              <a:gd name="T22" fmla="*/ 35 w 90"/>
                              <a:gd name="T23" fmla="*/ 2097 h 97"/>
                              <a:gd name="T24" fmla="*/ 177 w 90"/>
                              <a:gd name="T25" fmla="*/ 2521 h 97"/>
                              <a:gd name="T26" fmla="*/ 1046 w 90"/>
                              <a:gd name="T27" fmla="*/ 3337 h 97"/>
                              <a:gd name="T28" fmla="*/ 2063 w 90"/>
                              <a:gd name="T29" fmla="*/ 3408 h 97"/>
                              <a:gd name="T30" fmla="*/ 2867 w 90"/>
                              <a:gd name="T31" fmla="*/ 3015 h 97"/>
                              <a:gd name="T32" fmla="*/ 2902 w 90"/>
                              <a:gd name="T33" fmla="*/ 2842 h 97"/>
                              <a:gd name="T34" fmla="*/ 2690 w 90"/>
                              <a:gd name="T35" fmla="*/ 2449 h 97"/>
                              <a:gd name="T36" fmla="*/ 2518 w 90"/>
                              <a:gd name="T37" fmla="*/ 2413 h 97"/>
                              <a:gd name="T38" fmla="*/ 2447 w 90"/>
                              <a:gd name="T39" fmla="*/ 2449 h 97"/>
                              <a:gd name="T40" fmla="*/ 1295 w 90"/>
                              <a:gd name="T41" fmla="*/ 2556 h 97"/>
                              <a:gd name="T42" fmla="*/ 946 w 90"/>
                              <a:gd name="T43" fmla="*/ 2026 h 97"/>
                              <a:gd name="T44" fmla="*/ 981 w 90"/>
                              <a:gd name="T45" fmla="*/ 2026 h 97"/>
                              <a:gd name="T46" fmla="*/ 2199 w 90"/>
                              <a:gd name="T47" fmla="*/ 2026 h 97"/>
                              <a:gd name="T48" fmla="*/ 3003 w 90"/>
                              <a:gd name="T49" fmla="*/ 2026 h 97"/>
                              <a:gd name="T50" fmla="*/ 3145 w 90"/>
                              <a:gd name="T51" fmla="*/ 1954 h 97"/>
                              <a:gd name="T52" fmla="*/ 3074 w 90"/>
                              <a:gd name="T53" fmla="*/ 1138 h 97"/>
                              <a:gd name="T54" fmla="*/ 2412 w 90"/>
                              <a:gd name="T55" fmla="*/ 286 h 9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0" h="97">
                                <a:moveTo>
                                  <a:pt x="63" y="41"/>
                                </a:moveTo>
                                <a:cubicBezTo>
                                  <a:pt x="57" y="41"/>
                                  <a:pt x="52" y="41"/>
                                  <a:pt x="46" y="41"/>
                                </a:cubicBezTo>
                                <a:cubicBezTo>
                                  <a:pt x="40" y="41"/>
                                  <a:pt x="35" y="41"/>
                                  <a:pt x="29" y="41"/>
                                </a:cubicBezTo>
                                <a:cubicBezTo>
                                  <a:pt x="28" y="41"/>
                                  <a:pt x="27" y="40"/>
                                  <a:pt x="27" y="39"/>
                                </a:cubicBezTo>
                                <a:cubicBezTo>
                                  <a:pt x="28" y="34"/>
                                  <a:pt x="31" y="30"/>
                                  <a:pt x="36" y="28"/>
                                </a:cubicBezTo>
                                <a:cubicBezTo>
                                  <a:pt x="44" y="25"/>
                                  <a:pt x="52" y="25"/>
                                  <a:pt x="60" y="31"/>
                                </a:cubicBezTo>
                                <a:cubicBezTo>
                                  <a:pt x="63" y="33"/>
                                  <a:pt x="64" y="36"/>
                                  <a:pt x="65" y="40"/>
                                </a:cubicBezTo>
                                <a:cubicBezTo>
                                  <a:pt x="65" y="40"/>
                                  <a:pt x="64" y="41"/>
                                  <a:pt x="63" y="41"/>
                                </a:cubicBezTo>
                                <a:moveTo>
                                  <a:pt x="69" y="8"/>
                                </a:moveTo>
                                <a:cubicBezTo>
                                  <a:pt x="58" y="1"/>
                                  <a:pt x="45" y="0"/>
                                  <a:pt x="32" y="4"/>
                                </a:cubicBezTo>
                                <a:cubicBezTo>
                                  <a:pt x="19" y="7"/>
                                  <a:pt x="10" y="15"/>
                                  <a:pt x="5" y="27"/>
                                </a:cubicBezTo>
                                <a:cubicBezTo>
                                  <a:pt x="1" y="38"/>
                                  <a:pt x="0" y="48"/>
                                  <a:pt x="1" y="59"/>
                                </a:cubicBezTo>
                                <a:cubicBezTo>
                                  <a:pt x="2" y="63"/>
                                  <a:pt x="3" y="67"/>
                                  <a:pt x="5" y="71"/>
                                </a:cubicBezTo>
                                <a:cubicBezTo>
                                  <a:pt x="9" y="82"/>
                                  <a:pt x="18" y="90"/>
                                  <a:pt x="30" y="94"/>
                                </a:cubicBezTo>
                                <a:cubicBezTo>
                                  <a:pt x="39" y="97"/>
                                  <a:pt x="49" y="97"/>
                                  <a:pt x="59" y="96"/>
                                </a:cubicBezTo>
                                <a:cubicBezTo>
                                  <a:pt x="68" y="95"/>
                                  <a:pt x="76" y="92"/>
                                  <a:pt x="82" y="85"/>
                                </a:cubicBezTo>
                                <a:cubicBezTo>
                                  <a:pt x="84" y="84"/>
                                  <a:pt x="84" y="81"/>
                                  <a:pt x="83" y="80"/>
                                </a:cubicBezTo>
                                <a:cubicBezTo>
                                  <a:pt x="81" y="76"/>
                                  <a:pt x="79" y="73"/>
                                  <a:pt x="77" y="69"/>
                                </a:cubicBezTo>
                                <a:cubicBezTo>
                                  <a:pt x="75" y="67"/>
                                  <a:pt x="74" y="67"/>
                                  <a:pt x="72" y="68"/>
                                </a:cubicBezTo>
                                <a:cubicBezTo>
                                  <a:pt x="72" y="68"/>
                                  <a:pt x="71" y="69"/>
                                  <a:pt x="70" y="69"/>
                                </a:cubicBezTo>
                                <a:cubicBezTo>
                                  <a:pt x="60" y="75"/>
                                  <a:pt x="48" y="77"/>
                                  <a:pt x="37" y="72"/>
                                </a:cubicBezTo>
                                <a:cubicBezTo>
                                  <a:pt x="31" y="70"/>
                                  <a:pt x="27" y="64"/>
                                  <a:pt x="27" y="57"/>
                                </a:cubicBezTo>
                                <a:cubicBezTo>
                                  <a:pt x="28" y="57"/>
                                  <a:pt x="28" y="57"/>
                                  <a:pt x="28" y="57"/>
                                </a:cubicBezTo>
                                <a:cubicBezTo>
                                  <a:pt x="40" y="57"/>
                                  <a:pt x="52" y="57"/>
                                  <a:pt x="63" y="57"/>
                                </a:cubicBezTo>
                                <a:cubicBezTo>
                                  <a:pt x="71" y="57"/>
                                  <a:pt x="79" y="57"/>
                                  <a:pt x="86" y="57"/>
                                </a:cubicBezTo>
                                <a:cubicBezTo>
                                  <a:pt x="88" y="57"/>
                                  <a:pt x="90" y="57"/>
                                  <a:pt x="90" y="55"/>
                                </a:cubicBezTo>
                                <a:cubicBezTo>
                                  <a:pt x="90" y="47"/>
                                  <a:pt x="90" y="39"/>
                                  <a:pt x="88" y="32"/>
                                </a:cubicBezTo>
                                <a:cubicBezTo>
                                  <a:pt x="85" y="21"/>
                                  <a:pt x="79" y="13"/>
                                  <a:pt x="69"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9"/>
                        <wps:cNvSpPr>
                          <a:spLocks noEditPoints="1"/>
                        </wps:cNvSpPr>
                        <wps:spPr bwMode="auto">
                          <a:xfrm>
                            <a:off x="2780" y="1696"/>
                            <a:ext cx="473" cy="572"/>
                          </a:xfrm>
                          <a:custGeom>
                            <a:avLst/>
                            <a:gdLst>
                              <a:gd name="T0" fmla="*/ 1815 w 80"/>
                              <a:gd name="T1" fmla="*/ 2485 h 96"/>
                              <a:gd name="T2" fmla="*/ 1224 w 80"/>
                              <a:gd name="T3" fmla="*/ 2628 h 96"/>
                              <a:gd name="T4" fmla="*/ 1011 w 80"/>
                              <a:gd name="T5" fmla="*/ 2556 h 96"/>
                              <a:gd name="T6" fmla="*/ 840 w 80"/>
                              <a:gd name="T7" fmla="*/ 2306 h 96"/>
                              <a:gd name="T8" fmla="*/ 1082 w 80"/>
                              <a:gd name="T9" fmla="*/ 2026 h 96"/>
                              <a:gd name="T10" fmla="*/ 1401 w 80"/>
                              <a:gd name="T11" fmla="*/ 1990 h 96"/>
                              <a:gd name="T12" fmla="*/ 1679 w 80"/>
                              <a:gd name="T13" fmla="*/ 2026 h 96"/>
                              <a:gd name="T14" fmla="*/ 1886 w 80"/>
                              <a:gd name="T15" fmla="*/ 2199 h 96"/>
                              <a:gd name="T16" fmla="*/ 1815 w 80"/>
                              <a:gd name="T17" fmla="*/ 2485 h 96"/>
                              <a:gd name="T18" fmla="*/ 2761 w 80"/>
                              <a:gd name="T19" fmla="*/ 1031 h 96"/>
                              <a:gd name="T20" fmla="*/ 2270 w 80"/>
                              <a:gd name="T21" fmla="*/ 286 h 96"/>
                              <a:gd name="T22" fmla="*/ 1679 w 80"/>
                              <a:gd name="T23" fmla="*/ 72 h 96"/>
                              <a:gd name="T24" fmla="*/ 278 w 80"/>
                              <a:gd name="T25" fmla="*/ 250 h 96"/>
                              <a:gd name="T26" fmla="*/ 207 w 80"/>
                              <a:gd name="T27" fmla="*/ 393 h 96"/>
                              <a:gd name="T28" fmla="*/ 420 w 80"/>
                              <a:gd name="T29" fmla="*/ 888 h 96"/>
                              <a:gd name="T30" fmla="*/ 562 w 80"/>
                              <a:gd name="T31" fmla="*/ 959 h 96"/>
                              <a:gd name="T32" fmla="*/ 1431 w 80"/>
                              <a:gd name="T33" fmla="*/ 888 h 96"/>
                              <a:gd name="T34" fmla="*/ 1886 w 80"/>
                              <a:gd name="T35" fmla="*/ 1454 h 96"/>
                              <a:gd name="T36" fmla="*/ 1117 w 80"/>
                              <a:gd name="T37" fmla="*/ 1311 h 96"/>
                              <a:gd name="T38" fmla="*/ 562 w 80"/>
                              <a:gd name="T39" fmla="*/ 1418 h 96"/>
                              <a:gd name="T40" fmla="*/ 71 w 80"/>
                              <a:gd name="T41" fmla="*/ 1883 h 96"/>
                              <a:gd name="T42" fmla="*/ 35 w 80"/>
                              <a:gd name="T43" fmla="*/ 2592 h 96"/>
                              <a:gd name="T44" fmla="*/ 562 w 80"/>
                              <a:gd name="T45" fmla="*/ 3301 h 96"/>
                              <a:gd name="T46" fmla="*/ 1295 w 80"/>
                              <a:gd name="T47" fmla="*/ 3372 h 96"/>
                              <a:gd name="T48" fmla="*/ 1886 w 80"/>
                              <a:gd name="T49" fmla="*/ 3194 h 96"/>
                              <a:gd name="T50" fmla="*/ 2063 w 80"/>
                              <a:gd name="T51" fmla="*/ 3015 h 96"/>
                              <a:gd name="T52" fmla="*/ 2063 w 80"/>
                              <a:gd name="T53" fmla="*/ 3229 h 96"/>
                              <a:gd name="T54" fmla="*/ 2235 w 80"/>
                              <a:gd name="T55" fmla="*/ 3372 h 96"/>
                              <a:gd name="T56" fmla="*/ 2655 w 80"/>
                              <a:gd name="T57" fmla="*/ 3372 h 96"/>
                              <a:gd name="T58" fmla="*/ 2797 w 80"/>
                              <a:gd name="T59" fmla="*/ 3194 h 96"/>
                              <a:gd name="T60" fmla="*/ 2797 w 80"/>
                              <a:gd name="T61" fmla="*/ 1597 h 96"/>
                              <a:gd name="T62" fmla="*/ 2761 w 80"/>
                              <a:gd name="T63" fmla="*/ 1031 h 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0" h="96">
                                <a:moveTo>
                                  <a:pt x="52" y="70"/>
                                </a:moveTo>
                                <a:cubicBezTo>
                                  <a:pt x="47" y="74"/>
                                  <a:pt x="41" y="75"/>
                                  <a:pt x="35" y="74"/>
                                </a:cubicBezTo>
                                <a:cubicBezTo>
                                  <a:pt x="33" y="74"/>
                                  <a:pt x="31" y="73"/>
                                  <a:pt x="29" y="72"/>
                                </a:cubicBezTo>
                                <a:cubicBezTo>
                                  <a:pt x="26" y="71"/>
                                  <a:pt x="24" y="68"/>
                                  <a:pt x="24" y="65"/>
                                </a:cubicBezTo>
                                <a:cubicBezTo>
                                  <a:pt x="23" y="61"/>
                                  <a:pt x="26" y="58"/>
                                  <a:pt x="31" y="57"/>
                                </a:cubicBezTo>
                                <a:cubicBezTo>
                                  <a:pt x="34" y="56"/>
                                  <a:pt x="37" y="56"/>
                                  <a:pt x="40" y="56"/>
                                </a:cubicBezTo>
                                <a:cubicBezTo>
                                  <a:pt x="43" y="56"/>
                                  <a:pt x="45" y="56"/>
                                  <a:pt x="48" y="57"/>
                                </a:cubicBezTo>
                                <a:cubicBezTo>
                                  <a:pt x="50" y="57"/>
                                  <a:pt x="52" y="59"/>
                                  <a:pt x="54" y="62"/>
                                </a:cubicBezTo>
                                <a:cubicBezTo>
                                  <a:pt x="55" y="64"/>
                                  <a:pt x="54" y="69"/>
                                  <a:pt x="52" y="70"/>
                                </a:cubicBezTo>
                                <a:moveTo>
                                  <a:pt x="79" y="29"/>
                                </a:moveTo>
                                <a:cubicBezTo>
                                  <a:pt x="77" y="20"/>
                                  <a:pt x="73" y="13"/>
                                  <a:pt x="65" y="8"/>
                                </a:cubicBezTo>
                                <a:cubicBezTo>
                                  <a:pt x="60" y="5"/>
                                  <a:pt x="54" y="3"/>
                                  <a:pt x="48" y="2"/>
                                </a:cubicBezTo>
                                <a:cubicBezTo>
                                  <a:pt x="34" y="0"/>
                                  <a:pt x="21" y="1"/>
                                  <a:pt x="8" y="7"/>
                                </a:cubicBezTo>
                                <a:cubicBezTo>
                                  <a:pt x="6" y="8"/>
                                  <a:pt x="5" y="8"/>
                                  <a:pt x="6" y="11"/>
                                </a:cubicBezTo>
                                <a:cubicBezTo>
                                  <a:pt x="8" y="16"/>
                                  <a:pt x="10" y="20"/>
                                  <a:pt x="12" y="25"/>
                                </a:cubicBezTo>
                                <a:cubicBezTo>
                                  <a:pt x="13" y="27"/>
                                  <a:pt x="14" y="28"/>
                                  <a:pt x="16" y="27"/>
                                </a:cubicBezTo>
                                <a:cubicBezTo>
                                  <a:pt x="24" y="25"/>
                                  <a:pt x="33" y="24"/>
                                  <a:pt x="41" y="25"/>
                                </a:cubicBezTo>
                                <a:cubicBezTo>
                                  <a:pt x="50" y="26"/>
                                  <a:pt x="54" y="32"/>
                                  <a:pt x="54" y="41"/>
                                </a:cubicBezTo>
                                <a:cubicBezTo>
                                  <a:pt x="47" y="37"/>
                                  <a:pt x="40" y="37"/>
                                  <a:pt x="32" y="37"/>
                                </a:cubicBezTo>
                                <a:cubicBezTo>
                                  <a:pt x="27" y="37"/>
                                  <a:pt x="21" y="37"/>
                                  <a:pt x="16" y="40"/>
                                </a:cubicBezTo>
                                <a:cubicBezTo>
                                  <a:pt x="10" y="43"/>
                                  <a:pt x="5" y="47"/>
                                  <a:pt x="2" y="53"/>
                                </a:cubicBezTo>
                                <a:cubicBezTo>
                                  <a:pt x="0" y="60"/>
                                  <a:pt x="0" y="67"/>
                                  <a:pt x="1" y="73"/>
                                </a:cubicBezTo>
                                <a:cubicBezTo>
                                  <a:pt x="2" y="82"/>
                                  <a:pt x="8" y="89"/>
                                  <a:pt x="16" y="93"/>
                                </a:cubicBezTo>
                                <a:cubicBezTo>
                                  <a:pt x="23" y="95"/>
                                  <a:pt x="30" y="96"/>
                                  <a:pt x="37" y="95"/>
                                </a:cubicBezTo>
                                <a:cubicBezTo>
                                  <a:pt x="43" y="95"/>
                                  <a:pt x="49" y="93"/>
                                  <a:pt x="54" y="90"/>
                                </a:cubicBezTo>
                                <a:cubicBezTo>
                                  <a:pt x="55" y="88"/>
                                  <a:pt x="57" y="87"/>
                                  <a:pt x="59" y="85"/>
                                </a:cubicBezTo>
                                <a:cubicBezTo>
                                  <a:pt x="59" y="87"/>
                                  <a:pt x="59" y="89"/>
                                  <a:pt x="59" y="91"/>
                                </a:cubicBezTo>
                                <a:cubicBezTo>
                                  <a:pt x="60" y="93"/>
                                  <a:pt x="61" y="95"/>
                                  <a:pt x="64" y="95"/>
                                </a:cubicBezTo>
                                <a:cubicBezTo>
                                  <a:pt x="68" y="95"/>
                                  <a:pt x="72" y="95"/>
                                  <a:pt x="76" y="95"/>
                                </a:cubicBezTo>
                                <a:cubicBezTo>
                                  <a:pt x="79" y="95"/>
                                  <a:pt x="80" y="94"/>
                                  <a:pt x="80" y="90"/>
                                </a:cubicBezTo>
                                <a:cubicBezTo>
                                  <a:pt x="80" y="75"/>
                                  <a:pt x="80" y="60"/>
                                  <a:pt x="80" y="45"/>
                                </a:cubicBezTo>
                                <a:cubicBezTo>
                                  <a:pt x="80" y="40"/>
                                  <a:pt x="80" y="34"/>
                                  <a:pt x="79" y="2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0"/>
                        <wps:cNvSpPr>
                          <a:spLocks/>
                        </wps:cNvSpPr>
                        <wps:spPr bwMode="auto">
                          <a:xfrm>
                            <a:off x="4690" y="1899"/>
                            <a:ext cx="585" cy="369"/>
                          </a:xfrm>
                          <a:custGeom>
                            <a:avLst/>
                            <a:gdLst>
                              <a:gd name="T0" fmla="*/ 975 w 99"/>
                              <a:gd name="T1" fmla="*/ 1524 h 62"/>
                              <a:gd name="T2" fmla="*/ 1743 w 99"/>
                              <a:gd name="T3" fmla="*/ 887 h 62"/>
                              <a:gd name="T4" fmla="*/ 2446 w 99"/>
                              <a:gd name="T5" fmla="*/ 1416 h 62"/>
                              <a:gd name="T6" fmla="*/ 2411 w 99"/>
                              <a:gd name="T7" fmla="*/ 2196 h 62"/>
                              <a:gd name="T8" fmla="*/ 3386 w 99"/>
                              <a:gd name="T9" fmla="*/ 2196 h 62"/>
                              <a:gd name="T10" fmla="*/ 3457 w 99"/>
                              <a:gd name="T11" fmla="*/ 1702 h 62"/>
                              <a:gd name="T12" fmla="*/ 1779 w 99"/>
                              <a:gd name="T13" fmla="*/ 0 h 62"/>
                              <a:gd name="T14" fmla="*/ 0 w 99"/>
                              <a:gd name="T15" fmla="*/ 1738 h 62"/>
                              <a:gd name="T16" fmla="*/ 71 w 99"/>
                              <a:gd name="T17" fmla="*/ 2196 h 62"/>
                              <a:gd name="T18" fmla="*/ 1081 w 99"/>
                              <a:gd name="T19" fmla="*/ 2196 h 62"/>
                              <a:gd name="T20" fmla="*/ 975 w 99"/>
                              <a:gd name="T21" fmla="*/ 1524 h 6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9" h="62">
                                <a:moveTo>
                                  <a:pt x="28" y="43"/>
                                </a:moveTo>
                                <a:cubicBezTo>
                                  <a:pt x="30" y="32"/>
                                  <a:pt x="39" y="25"/>
                                  <a:pt x="50" y="25"/>
                                </a:cubicBezTo>
                                <a:cubicBezTo>
                                  <a:pt x="60" y="25"/>
                                  <a:pt x="68" y="32"/>
                                  <a:pt x="70" y="40"/>
                                </a:cubicBezTo>
                                <a:cubicBezTo>
                                  <a:pt x="73" y="48"/>
                                  <a:pt x="72" y="55"/>
                                  <a:pt x="69" y="62"/>
                                </a:cubicBezTo>
                                <a:cubicBezTo>
                                  <a:pt x="97" y="62"/>
                                  <a:pt x="97" y="62"/>
                                  <a:pt x="97" y="62"/>
                                </a:cubicBezTo>
                                <a:cubicBezTo>
                                  <a:pt x="98" y="58"/>
                                  <a:pt x="99" y="53"/>
                                  <a:pt x="99" y="48"/>
                                </a:cubicBezTo>
                                <a:cubicBezTo>
                                  <a:pt x="99" y="22"/>
                                  <a:pt x="77" y="0"/>
                                  <a:pt x="51" y="0"/>
                                </a:cubicBezTo>
                                <a:cubicBezTo>
                                  <a:pt x="23" y="0"/>
                                  <a:pt x="0" y="21"/>
                                  <a:pt x="0" y="49"/>
                                </a:cubicBezTo>
                                <a:cubicBezTo>
                                  <a:pt x="0" y="53"/>
                                  <a:pt x="1" y="58"/>
                                  <a:pt x="2" y="62"/>
                                </a:cubicBezTo>
                                <a:cubicBezTo>
                                  <a:pt x="31" y="62"/>
                                  <a:pt x="31" y="62"/>
                                  <a:pt x="31" y="62"/>
                                </a:cubicBezTo>
                                <a:cubicBezTo>
                                  <a:pt x="28" y="56"/>
                                  <a:pt x="27" y="50"/>
                                  <a:pt x="28" y="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1"/>
                        <wps:cNvSpPr>
                          <a:spLocks noEditPoints="1"/>
                        </wps:cNvSpPr>
                        <wps:spPr bwMode="auto">
                          <a:xfrm>
                            <a:off x="6611" y="1702"/>
                            <a:ext cx="568" cy="578"/>
                          </a:xfrm>
                          <a:custGeom>
                            <a:avLst/>
                            <a:gdLst>
                              <a:gd name="T0" fmla="*/ 2207 w 96"/>
                              <a:gd name="T1" fmla="*/ 2342 h 97"/>
                              <a:gd name="T2" fmla="*/ 1118 w 96"/>
                              <a:gd name="T3" fmla="*/ 2306 h 97"/>
                              <a:gd name="T4" fmla="*/ 911 w 96"/>
                              <a:gd name="T5" fmla="*/ 1776 h 97"/>
                              <a:gd name="T6" fmla="*/ 1402 w 96"/>
                              <a:gd name="T7" fmla="*/ 924 h 97"/>
                              <a:gd name="T8" fmla="*/ 2379 w 96"/>
                              <a:gd name="T9" fmla="*/ 1418 h 97"/>
                              <a:gd name="T10" fmla="*/ 2207 w 96"/>
                              <a:gd name="T11" fmla="*/ 2342 h 97"/>
                              <a:gd name="T12" fmla="*/ 1680 w 96"/>
                              <a:gd name="T13" fmla="*/ 0 h 97"/>
                              <a:gd name="T14" fmla="*/ 0 w 96"/>
                              <a:gd name="T15" fmla="*/ 1704 h 97"/>
                              <a:gd name="T16" fmla="*/ 1716 w 96"/>
                              <a:gd name="T17" fmla="*/ 3408 h 97"/>
                              <a:gd name="T18" fmla="*/ 3361 w 96"/>
                              <a:gd name="T19" fmla="*/ 1704 h 97"/>
                              <a:gd name="T20" fmla="*/ 1680 w 96"/>
                              <a:gd name="T21" fmla="*/ 0 h 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 h="97">
                                <a:moveTo>
                                  <a:pt x="63" y="66"/>
                                </a:moveTo>
                                <a:cubicBezTo>
                                  <a:pt x="54" y="76"/>
                                  <a:pt x="40" y="75"/>
                                  <a:pt x="32" y="65"/>
                                </a:cubicBezTo>
                                <a:cubicBezTo>
                                  <a:pt x="29" y="61"/>
                                  <a:pt x="26" y="56"/>
                                  <a:pt x="26" y="50"/>
                                </a:cubicBezTo>
                                <a:cubicBezTo>
                                  <a:pt x="26" y="39"/>
                                  <a:pt x="30" y="30"/>
                                  <a:pt x="40" y="26"/>
                                </a:cubicBezTo>
                                <a:cubicBezTo>
                                  <a:pt x="52" y="22"/>
                                  <a:pt x="64" y="28"/>
                                  <a:pt x="68" y="40"/>
                                </a:cubicBezTo>
                                <a:cubicBezTo>
                                  <a:pt x="71" y="49"/>
                                  <a:pt x="69" y="58"/>
                                  <a:pt x="63" y="66"/>
                                </a:cubicBezTo>
                                <a:moveTo>
                                  <a:pt x="48" y="0"/>
                                </a:moveTo>
                                <a:cubicBezTo>
                                  <a:pt x="22" y="0"/>
                                  <a:pt x="0" y="22"/>
                                  <a:pt x="0" y="48"/>
                                </a:cubicBezTo>
                                <a:cubicBezTo>
                                  <a:pt x="0" y="76"/>
                                  <a:pt x="23" y="97"/>
                                  <a:pt x="49" y="96"/>
                                </a:cubicBezTo>
                                <a:cubicBezTo>
                                  <a:pt x="74" y="96"/>
                                  <a:pt x="96" y="74"/>
                                  <a:pt x="96" y="48"/>
                                </a:cubicBezTo>
                                <a:cubicBezTo>
                                  <a:pt x="95" y="21"/>
                                  <a:pt x="74" y="0"/>
                                  <a:pt x="48"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2"/>
                        <wps:cNvSpPr>
                          <a:spLocks/>
                        </wps:cNvSpPr>
                        <wps:spPr bwMode="auto">
                          <a:xfrm>
                            <a:off x="7250" y="1702"/>
                            <a:ext cx="520" cy="566"/>
                          </a:xfrm>
                          <a:custGeom>
                            <a:avLst/>
                            <a:gdLst>
                              <a:gd name="T0" fmla="*/ 3073 w 88"/>
                              <a:gd name="T1" fmla="*/ 1883 h 95"/>
                              <a:gd name="T2" fmla="*/ 3037 w 88"/>
                              <a:gd name="T3" fmla="*/ 1245 h 95"/>
                              <a:gd name="T4" fmla="*/ 2724 w 88"/>
                              <a:gd name="T5" fmla="*/ 423 h 95"/>
                              <a:gd name="T6" fmla="*/ 1779 w 88"/>
                              <a:gd name="T7" fmla="*/ 0 h 95"/>
                              <a:gd name="T8" fmla="*/ 768 w 88"/>
                              <a:gd name="T9" fmla="*/ 357 h 95"/>
                              <a:gd name="T10" fmla="*/ 733 w 88"/>
                              <a:gd name="T11" fmla="*/ 423 h 95"/>
                              <a:gd name="T12" fmla="*/ 662 w 88"/>
                              <a:gd name="T13" fmla="*/ 179 h 95"/>
                              <a:gd name="T14" fmla="*/ 526 w 88"/>
                              <a:gd name="T15" fmla="*/ 36 h 95"/>
                              <a:gd name="T16" fmla="*/ 177 w 88"/>
                              <a:gd name="T17" fmla="*/ 36 h 95"/>
                              <a:gd name="T18" fmla="*/ 0 w 88"/>
                              <a:gd name="T19" fmla="*/ 214 h 95"/>
                              <a:gd name="T20" fmla="*/ 0 w 88"/>
                              <a:gd name="T21" fmla="*/ 3193 h 95"/>
                              <a:gd name="T22" fmla="*/ 0 w 88"/>
                              <a:gd name="T23" fmla="*/ 3301 h 95"/>
                              <a:gd name="T24" fmla="*/ 106 w 88"/>
                              <a:gd name="T25" fmla="*/ 3372 h 95"/>
                              <a:gd name="T26" fmla="*/ 839 w 88"/>
                              <a:gd name="T27" fmla="*/ 3372 h 95"/>
                              <a:gd name="T28" fmla="*/ 945 w 88"/>
                              <a:gd name="T29" fmla="*/ 3265 h 95"/>
                              <a:gd name="T30" fmla="*/ 945 w 88"/>
                              <a:gd name="T31" fmla="*/ 3193 h 95"/>
                              <a:gd name="T32" fmla="*/ 945 w 88"/>
                              <a:gd name="T33" fmla="*/ 1525 h 95"/>
                              <a:gd name="T34" fmla="*/ 1081 w 88"/>
                              <a:gd name="T35" fmla="*/ 1066 h 95"/>
                              <a:gd name="T36" fmla="*/ 1885 w 88"/>
                              <a:gd name="T37" fmla="*/ 923 h 95"/>
                              <a:gd name="T38" fmla="*/ 2127 w 88"/>
                              <a:gd name="T39" fmla="*/ 1346 h 95"/>
                              <a:gd name="T40" fmla="*/ 2163 w 88"/>
                              <a:gd name="T41" fmla="*/ 1883 h 95"/>
                              <a:gd name="T42" fmla="*/ 2163 w 88"/>
                              <a:gd name="T43" fmla="*/ 3229 h 95"/>
                              <a:gd name="T44" fmla="*/ 2305 w 88"/>
                              <a:gd name="T45" fmla="*/ 3372 h 95"/>
                              <a:gd name="T46" fmla="*/ 2895 w 88"/>
                              <a:gd name="T47" fmla="*/ 3372 h 95"/>
                              <a:gd name="T48" fmla="*/ 3073 w 88"/>
                              <a:gd name="T49" fmla="*/ 3193 h 95"/>
                              <a:gd name="T50" fmla="*/ 3073 w 88"/>
                              <a:gd name="T51" fmla="*/ 1883 h 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8" h="95">
                                <a:moveTo>
                                  <a:pt x="88" y="53"/>
                                </a:moveTo>
                                <a:cubicBezTo>
                                  <a:pt x="88" y="47"/>
                                  <a:pt x="88" y="41"/>
                                  <a:pt x="87" y="35"/>
                                </a:cubicBezTo>
                                <a:cubicBezTo>
                                  <a:pt x="87" y="26"/>
                                  <a:pt x="84" y="18"/>
                                  <a:pt x="78" y="12"/>
                                </a:cubicBezTo>
                                <a:cubicBezTo>
                                  <a:pt x="71" y="4"/>
                                  <a:pt x="62" y="1"/>
                                  <a:pt x="51" y="0"/>
                                </a:cubicBezTo>
                                <a:cubicBezTo>
                                  <a:pt x="40" y="0"/>
                                  <a:pt x="31" y="3"/>
                                  <a:pt x="22" y="10"/>
                                </a:cubicBezTo>
                                <a:cubicBezTo>
                                  <a:pt x="22" y="11"/>
                                  <a:pt x="21" y="11"/>
                                  <a:pt x="21" y="12"/>
                                </a:cubicBezTo>
                                <a:cubicBezTo>
                                  <a:pt x="20" y="9"/>
                                  <a:pt x="20" y="7"/>
                                  <a:pt x="19" y="5"/>
                                </a:cubicBezTo>
                                <a:cubicBezTo>
                                  <a:pt x="19" y="2"/>
                                  <a:pt x="18" y="1"/>
                                  <a:pt x="15" y="1"/>
                                </a:cubicBezTo>
                                <a:cubicBezTo>
                                  <a:pt x="12" y="1"/>
                                  <a:pt x="9" y="1"/>
                                  <a:pt x="5" y="1"/>
                                </a:cubicBezTo>
                                <a:cubicBezTo>
                                  <a:pt x="1" y="1"/>
                                  <a:pt x="0" y="2"/>
                                  <a:pt x="0" y="6"/>
                                </a:cubicBezTo>
                                <a:cubicBezTo>
                                  <a:pt x="0" y="34"/>
                                  <a:pt x="0" y="62"/>
                                  <a:pt x="0" y="90"/>
                                </a:cubicBezTo>
                                <a:cubicBezTo>
                                  <a:pt x="0" y="91"/>
                                  <a:pt x="0" y="92"/>
                                  <a:pt x="0" y="93"/>
                                </a:cubicBezTo>
                                <a:cubicBezTo>
                                  <a:pt x="1" y="94"/>
                                  <a:pt x="2" y="95"/>
                                  <a:pt x="3" y="95"/>
                                </a:cubicBezTo>
                                <a:cubicBezTo>
                                  <a:pt x="10" y="95"/>
                                  <a:pt x="17" y="95"/>
                                  <a:pt x="24" y="95"/>
                                </a:cubicBezTo>
                                <a:cubicBezTo>
                                  <a:pt x="26" y="95"/>
                                  <a:pt x="27" y="94"/>
                                  <a:pt x="27" y="92"/>
                                </a:cubicBezTo>
                                <a:cubicBezTo>
                                  <a:pt x="27" y="92"/>
                                  <a:pt x="27" y="91"/>
                                  <a:pt x="27" y="90"/>
                                </a:cubicBezTo>
                                <a:cubicBezTo>
                                  <a:pt x="27" y="75"/>
                                  <a:pt x="27" y="59"/>
                                  <a:pt x="27" y="43"/>
                                </a:cubicBezTo>
                                <a:cubicBezTo>
                                  <a:pt x="27" y="38"/>
                                  <a:pt x="28" y="34"/>
                                  <a:pt x="31" y="30"/>
                                </a:cubicBezTo>
                                <a:cubicBezTo>
                                  <a:pt x="36" y="23"/>
                                  <a:pt x="48" y="23"/>
                                  <a:pt x="54" y="26"/>
                                </a:cubicBezTo>
                                <a:cubicBezTo>
                                  <a:pt x="59" y="29"/>
                                  <a:pt x="61" y="33"/>
                                  <a:pt x="61" y="38"/>
                                </a:cubicBezTo>
                                <a:cubicBezTo>
                                  <a:pt x="62" y="43"/>
                                  <a:pt x="61" y="48"/>
                                  <a:pt x="62" y="53"/>
                                </a:cubicBezTo>
                                <a:cubicBezTo>
                                  <a:pt x="62" y="65"/>
                                  <a:pt x="62" y="78"/>
                                  <a:pt x="62" y="91"/>
                                </a:cubicBezTo>
                                <a:cubicBezTo>
                                  <a:pt x="62" y="94"/>
                                  <a:pt x="62" y="95"/>
                                  <a:pt x="66" y="95"/>
                                </a:cubicBezTo>
                                <a:cubicBezTo>
                                  <a:pt x="72" y="95"/>
                                  <a:pt x="77" y="95"/>
                                  <a:pt x="83" y="95"/>
                                </a:cubicBezTo>
                                <a:cubicBezTo>
                                  <a:pt x="87" y="95"/>
                                  <a:pt x="88" y="95"/>
                                  <a:pt x="88" y="90"/>
                                </a:cubicBezTo>
                                <a:cubicBezTo>
                                  <a:pt x="88" y="78"/>
                                  <a:pt x="88" y="65"/>
                                  <a:pt x="88" y="5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3"/>
                        <wps:cNvSpPr>
                          <a:spLocks/>
                        </wps:cNvSpPr>
                        <wps:spPr bwMode="auto">
                          <a:xfrm>
                            <a:off x="6091" y="1708"/>
                            <a:ext cx="473" cy="560"/>
                          </a:xfrm>
                          <a:custGeom>
                            <a:avLst/>
                            <a:gdLst>
                              <a:gd name="T0" fmla="*/ 2619 w 80"/>
                              <a:gd name="T1" fmla="*/ 2520 h 94"/>
                              <a:gd name="T2" fmla="*/ 1537 w 80"/>
                              <a:gd name="T3" fmla="*/ 2520 h 94"/>
                              <a:gd name="T4" fmla="*/ 1466 w 80"/>
                              <a:gd name="T5" fmla="*/ 2520 h 94"/>
                              <a:gd name="T6" fmla="*/ 1502 w 80"/>
                              <a:gd name="T7" fmla="*/ 2413 h 94"/>
                              <a:gd name="T8" fmla="*/ 2726 w 80"/>
                              <a:gd name="T9" fmla="*/ 179 h 94"/>
                              <a:gd name="T10" fmla="*/ 2619 w 80"/>
                              <a:gd name="T11" fmla="*/ 0 h 94"/>
                              <a:gd name="T12" fmla="*/ 177 w 80"/>
                              <a:gd name="T13" fmla="*/ 0 h 94"/>
                              <a:gd name="T14" fmla="*/ 35 w 80"/>
                              <a:gd name="T15" fmla="*/ 143 h 94"/>
                              <a:gd name="T16" fmla="*/ 35 w 80"/>
                              <a:gd name="T17" fmla="*/ 709 h 94"/>
                              <a:gd name="T18" fmla="*/ 177 w 80"/>
                              <a:gd name="T19" fmla="*/ 888 h 94"/>
                              <a:gd name="T20" fmla="*/ 1188 w 80"/>
                              <a:gd name="T21" fmla="*/ 888 h 94"/>
                              <a:gd name="T22" fmla="*/ 1330 w 80"/>
                              <a:gd name="T23" fmla="*/ 888 h 94"/>
                              <a:gd name="T24" fmla="*/ 1259 w 80"/>
                              <a:gd name="T25" fmla="*/ 959 h 94"/>
                              <a:gd name="T26" fmla="*/ 71 w 80"/>
                              <a:gd name="T27" fmla="*/ 3193 h 94"/>
                              <a:gd name="T28" fmla="*/ 142 w 80"/>
                              <a:gd name="T29" fmla="*/ 3336 h 94"/>
                              <a:gd name="T30" fmla="*/ 2619 w 80"/>
                              <a:gd name="T31" fmla="*/ 3336 h 94"/>
                              <a:gd name="T32" fmla="*/ 2761 w 80"/>
                              <a:gd name="T33" fmla="*/ 3229 h 94"/>
                              <a:gd name="T34" fmla="*/ 2761 w 80"/>
                              <a:gd name="T35" fmla="*/ 2663 h 94"/>
                              <a:gd name="T36" fmla="*/ 2619 w 80"/>
                              <a:gd name="T37" fmla="*/ 252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0" h="94">
                                <a:moveTo>
                                  <a:pt x="75" y="71"/>
                                </a:moveTo>
                                <a:cubicBezTo>
                                  <a:pt x="65" y="71"/>
                                  <a:pt x="54" y="71"/>
                                  <a:pt x="44" y="71"/>
                                </a:cubicBezTo>
                                <a:cubicBezTo>
                                  <a:pt x="44" y="71"/>
                                  <a:pt x="43" y="71"/>
                                  <a:pt x="42" y="71"/>
                                </a:cubicBezTo>
                                <a:cubicBezTo>
                                  <a:pt x="43" y="70"/>
                                  <a:pt x="43" y="69"/>
                                  <a:pt x="43" y="68"/>
                                </a:cubicBezTo>
                                <a:cubicBezTo>
                                  <a:pt x="55" y="47"/>
                                  <a:pt x="66" y="26"/>
                                  <a:pt x="78" y="5"/>
                                </a:cubicBezTo>
                                <a:cubicBezTo>
                                  <a:pt x="80" y="2"/>
                                  <a:pt x="79" y="0"/>
                                  <a:pt x="75" y="0"/>
                                </a:cubicBezTo>
                                <a:cubicBezTo>
                                  <a:pt x="52" y="0"/>
                                  <a:pt x="28" y="0"/>
                                  <a:pt x="5" y="0"/>
                                </a:cubicBezTo>
                                <a:cubicBezTo>
                                  <a:pt x="1" y="0"/>
                                  <a:pt x="1" y="1"/>
                                  <a:pt x="1" y="4"/>
                                </a:cubicBezTo>
                                <a:cubicBezTo>
                                  <a:pt x="1" y="10"/>
                                  <a:pt x="1" y="15"/>
                                  <a:pt x="1" y="20"/>
                                </a:cubicBezTo>
                                <a:cubicBezTo>
                                  <a:pt x="1" y="24"/>
                                  <a:pt x="1" y="25"/>
                                  <a:pt x="5" y="25"/>
                                </a:cubicBezTo>
                                <a:cubicBezTo>
                                  <a:pt x="15" y="25"/>
                                  <a:pt x="25" y="25"/>
                                  <a:pt x="34" y="25"/>
                                </a:cubicBezTo>
                                <a:cubicBezTo>
                                  <a:pt x="35" y="25"/>
                                  <a:pt x="36" y="25"/>
                                  <a:pt x="38" y="25"/>
                                </a:cubicBezTo>
                                <a:cubicBezTo>
                                  <a:pt x="37" y="26"/>
                                  <a:pt x="37" y="26"/>
                                  <a:pt x="36" y="27"/>
                                </a:cubicBezTo>
                                <a:cubicBezTo>
                                  <a:pt x="25" y="48"/>
                                  <a:pt x="13" y="69"/>
                                  <a:pt x="2" y="90"/>
                                </a:cubicBezTo>
                                <a:cubicBezTo>
                                  <a:pt x="0" y="93"/>
                                  <a:pt x="1" y="94"/>
                                  <a:pt x="4" y="94"/>
                                </a:cubicBezTo>
                                <a:cubicBezTo>
                                  <a:pt x="28" y="94"/>
                                  <a:pt x="52" y="94"/>
                                  <a:pt x="75" y="94"/>
                                </a:cubicBezTo>
                                <a:cubicBezTo>
                                  <a:pt x="78" y="94"/>
                                  <a:pt x="79" y="93"/>
                                  <a:pt x="79" y="91"/>
                                </a:cubicBezTo>
                                <a:cubicBezTo>
                                  <a:pt x="79" y="85"/>
                                  <a:pt x="79" y="80"/>
                                  <a:pt x="79" y="75"/>
                                </a:cubicBezTo>
                                <a:cubicBezTo>
                                  <a:pt x="79" y="71"/>
                                  <a:pt x="79" y="71"/>
                                  <a:pt x="75" y="7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1953" y="1476"/>
                            <a:ext cx="159" cy="786"/>
                          </a:xfrm>
                          <a:custGeom>
                            <a:avLst/>
                            <a:gdLst>
                              <a:gd name="T0" fmla="*/ 795 w 27"/>
                              <a:gd name="T1" fmla="*/ 0 h 132"/>
                              <a:gd name="T2" fmla="*/ 141 w 27"/>
                              <a:gd name="T3" fmla="*/ 0 h 132"/>
                              <a:gd name="T4" fmla="*/ 0 w 27"/>
                              <a:gd name="T5" fmla="*/ 143 h 132"/>
                              <a:gd name="T6" fmla="*/ 0 w 27"/>
                              <a:gd name="T7" fmla="*/ 2340 h 132"/>
                              <a:gd name="T8" fmla="*/ 0 w 27"/>
                              <a:gd name="T9" fmla="*/ 4537 h 132"/>
                              <a:gd name="T10" fmla="*/ 141 w 27"/>
                              <a:gd name="T11" fmla="*/ 4680 h 132"/>
                              <a:gd name="T12" fmla="*/ 766 w 27"/>
                              <a:gd name="T13" fmla="*/ 4680 h 132"/>
                              <a:gd name="T14" fmla="*/ 936 w 27"/>
                              <a:gd name="T15" fmla="*/ 4502 h 132"/>
                              <a:gd name="T16" fmla="*/ 936 w 27"/>
                              <a:gd name="T17" fmla="*/ 143 h 132"/>
                              <a:gd name="T18" fmla="*/ 795 w 27"/>
                              <a:gd name="T19" fmla="*/ 0 h 1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132">
                                <a:moveTo>
                                  <a:pt x="23" y="0"/>
                                </a:moveTo>
                                <a:cubicBezTo>
                                  <a:pt x="17" y="0"/>
                                  <a:pt x="10" y="0"/>
                                  <a:pt x="4" y="0"/>
                                </a:cubicBezTo>
                                <a:cubicBezTo>
                                  <a:pt x="1" y="0"/>
                                  <a:pt x="0" y="1"/>
                                  <a:pt x="0" y="4"/>
                                </a:cubicBezTo>
                                <a:cubicBezTo>
                                  <a:pt x="0" y="24"/>
                                  <a:pt x="0" y="45"/>
                                  <a:pt x="0" y="66"/>
                                </a:cubicBezTo>
                                <a:cubicBezTo>
                                  <a:pt x="0" y="86"/>
                                  <a:pt x="0" y="107"/>
                                  <a:pt x="0" y="128"/>
                                </a:cubicBezTo>
                                <a:cubicBezTo>
                                  <a:pt x="0" y="131"/>
                                  <a:pt x="1" y="132"/>
                                  <a:pt x="4" y="132"/>
                                </a:cubicBezTo>
                                <a:cubicBezTo>
                                  <a:pt x="10" y="132"/>
                                  <a:pt x="16" y="132"/>
                                  <a:pt x="22" y="132"/>
                                </a:cubicBezTo>
                                <a:cubicBezTo>
                                  <a:pt x="26" y="132"/>
                                  <a:pt x="27" y="131"/>
                                  <a:pt x="27" y="127"/>
                                </a:cubicBezTo>
                                <a:cubicBezTo>
                                  <a:pt x="27" y="86"/>
                                  <a:pt x="27" y="45"/>
                                  <a:pt x="27" y="4"/>
                                </a:cubicBezTo>
                                <a:cubicBezTo>
                                  <a:pt x="27" y="1"/>
                                  <a:pt x="26" y="0"/>
                                  <a:pt x="23"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5"/>
                        <wps:cNvSpPr>
                          <a:spLocks/>
                        </wps:cNvSpPr>
                        <wps:spPr bwMode="auto">
                          <a:xfrm>
                            <a:off x="3360" y="1702"/>
                            <a:ext cx="325" cy="560"/>
                          </a:xfrm>
                          <a:custGeom>
                            <a:avLst/>
                            <a:gdLst>
                              <a:gd name="T0" fmla="*/ 1814 w 55"/>
                              <a:gd name="T1" fmla="*/ 0 h 94"/>
                              <a:gd name="T2" fmla="*/ 1643 w 55"/>
                              <a:gd name="T3" fmla="*/ 0 h 94"/>
                              <a:gd name="T4" fmla="*/ 875 w 55"/>
                              <a:gd name="T5" fmla="*/ 250 h 94"/>
                              <a:gd name="T6" fmla="*/ 662 w 55"/>
                              <a:gd name="T7" fmla="*/ 393 h 94"/>
                              <a:gd name="T8" fmla="*/ 626 w 55"/>
                              <a:gd name="T9" fmla="*/ 143 h 94"/>
                              <a:gd name="T10" fmla="*/ 490 w 55"/>
                              <a:gd name="T11" fmla="*/ 36 h 94"/>
                              <a:gd name="T12" fmla="*/ 106 w 55"/>
                              <a:gd name="T13" fmla="*/ 36 h 94"/>
                              <a:gd name="T14" fmla="*/ 0 w 55"/>
                              <a:gd name="T15" fmla="*/ 179 h 94"/>
                              <a:gd name="T16" fmla="*/ 0 w 55"/>
                              <a:gd name="T17" fmla="*/ 3193 h 94"/>
                              <a:gd name="T18" fmla="*/ 142 w 55"/>
                              <a:gd name="T19" fmla="*/ 3336 h 94"/>
                              <a:gd name="T20" fmla="*/ 768 w 55"/>
                              <a:gd name="T21" fmla="*/ 3336 h 94"/>
                              <a:gd name="T22" fmla="*/ 910 w 55"/>
                              <a:gd name="T23" fmla="*/ 3193 h 94"/>
                              <a:gd name="T24" fmla="*/ 910 w 55"/>
                              <a:gd name="T25" fmla="*/ 2449 h 94"/>
                              <a:gd name="T26" fmla="*/ 910 w 55"/>
                              <a:gd name="T27" fmla="*/ 1489 h 94"/>
                              <a:gd name="T28" fmla="*/ 1501 w 55"/>
                              <a:gd name="T29" fmla="*/ 852 h 94"/>
                              <a:gd name="T30" fmla="*/ 1814 w 55"/>
                              <a:gd name="T31" fmla="*/ 852 h 94"/>
                              <a:gd name="T32" fmla="*/ 1920 w 55"/>
                              <a:gd name="T33" fmla="*/ 745 h 94"/>
                              <a:gd name="T34" fmla="*/ 1920 w 55"/>
                              <a:gd name="T35" fmla="*/ 107 h 94"/>
                              <a:gd name="T36" fmla="*/ 1814 w 55"/>
                              <a:gd name="T37" fmla="*/ 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5" h="94">
                                <a:moveTo>
                                  <a:pt x="52" y="0"/>
                                </a:moveTo>
                                <a:cubicBezTo>
                                  <a:pt x="50" y="0"/>
                                  <a:pt x="49" y="0"/>
                                  <a:pt x="47" y="0"/>
                                </a:cubicBezTo>
                                <a:cubicBezTo>
                                  <a:pt x="39" y="0"/>
                                  <a:pt x="31" y="2"/>
                                  <a:pt x="25" y="7"/>
                                </a:cubicBezTo>
                                <a:cubicBezTo>
                                  <a:pt x="23" y="8"/>
                                  <a:pt x="21" y="10"/>
                                  <a:pt x="19" y="11"/>
                                </a:cubicBezTo>
                                <a:cubicBezTo>
                                  <a:pt x="19" y="9"/>
                                  <a:pt x="19" y="7"/>
                                  <a:pt x="18" y="4"/>
                                </a:cubicBezTo>
                                <a:cubicBezTo>
                                  <a:pt x="18" y="2"/>
                                  <a:pt x="17" y="1"/>
                                  <a:pt x="14" y="1"/>
                                </a:cubicBezTo>
                                <a:cubicBezTo>
                                  <a:pt x="11" y="1"/>
                                  <a:pt x="7" y="1"/>
                                  <a:pt x="3" y="1"/>
                                </a:cubicBezTo>
                                <a:cubicBezTo>
                                  <a:pt x="0" y="1"/>
                                  <a:pt x="0" y="2"/>
                                  <a:pt x="0" y="5"/>
                                </a:cubicBezTo>
                                <a:cubicBezTo>
                                  <a:pt x="0" y="33"/>
                                  <a:pt x="0" y="61"/>
                                  <a:pt x="0" y="90"/>
                                </a:cubicBezTo>
                                <a:cubicBezTo>
                                  <a:pt x="0" y="93"/>
                                  <a:pt x="1" y="94"/>
                                  <a:pt x="4" y="94"/>
                                </a:cubicBezTo>
                                <a:cubicBezTo>
                                  <a:pt x="10" y="94"/>
                                  <a:pt x="16" y="94"/>
                                  <a:pt x="22" y="94"/>
                                </a:cubicBezTo>
                                <a:cubicBezTo>
                                  <a:pt x="25" y="94"/>
                                  <a:pt x="26" y="93"/>
                                  <a:pt x="26" y="90"/>
                                </a:cubicBezTo>
                                <a:cubicBezTo>
                                  <a:pt x="26" y="83"/>
                                  <a:pt x="26" y="76"/>
                                  <a:pt x="26" y="69"/>
                                </a:cubicBezTo>
                                <a:cubicBezTo>
                                  <a:pt x="26" y="60"/>
                                  <a:pt x="26" y="51"/>
                                  <a:pt x="26" y="42"/>
                                </a:cubicBezTo>
                                <a:cubicBezTo>
                                  <a:pt x="26" y="32"/>
                                  <a:pt x="31" y="25"/>
                                  <a:pt x="43" y="24"/>
                                </a:cubicBezTo>
                                <a:cubicBezTo>
                                  <a:pt x="46" y="24"/>
                                  <a:pt x="49" y="24"/>
                                  <a:pt x="52" y="24"/>
                                </a:cubicBezTo>
                                <a:cubicBezTo>
                                  <a:pt x="54" y="24"/>
                                  <a:pt x="55" y="23"/>
                                  <a:pt x="55" y="21"/>
                                </a:cubicBezTo>
                                <a:cubicBezTo>
                                  <a:pt x="55" y="15"/>
                                  <a:pt x="55" y="9"/>
                                  <a:pt x="55" y="3"/>
                                </a:cubicBezTo>
                                <a:cubicBezTo>
                                  <a:pt x="55" y="1"/>
                                  <a:pt x="54" y="0"/>
                                  <a:pt x="5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5382" y="1685"/>
                            <a:ext cx="342" cy="577"/>
                          </a:xfrm>
                          <a:custGeom>
                            <a:avLst/>
                            <a:gdLst>
                              <a:gd name="T0" fmla="*/ 1910 w 58"/>
                              <a:gd name="T1" fmla="*/ 0 h 97"/>
                              <a:gd name="T2" fmla="*/ 1739 w 58"/>
                              <a:gd name="T3" fmla="*/ 0 h 97"/>
                              <a:gd name="T4" fmla="*/ 902 w 58"/>
                              <a:gd name="T5" fmla="*/ 286 h 97"/>
                              <a:gd name="T6" fmla="*/ 731 w 58"/>
                              <a:gd name="T7" fmla="*/ 422 h 97"/>
                              <a:gd name="T8" fmla="*/ 696 w 58"/>
                              <a:gd name="T9" fmla="*/ 286 h 97"/>
                              <a:gd name="T10" fmla="*/ 660 w 58"/>
                              <a:gd name="T11" fmla="*/ 178 h 97"/>
                              <a:gd name="T12" fmla="*/ 519 w 58"/>
                              <a:gd name="T13" fmla="*/ 36 h 97"/>
                              <a:gd name="T14" fmla="*/ 142 w 58"/>
                              <a:gd name="T15" fmla="*/ 71 h 97"/>
                              <a:gd name="T16" fmla="*/ 0 w 58"/>
                              <a:gd name="T17" fmla="*/ 178 h 97"/>
                              <a:gd name="T18" fmla="*/ 0 w 58"/>
                              <a:gd name="T19" fmla="*/ 3289 h 97"/>
                              <a:gd name="T20" fmla="*/ 142 w 58"/>
                              <a:gd name="T21" fmla="*/ 3432 h 97"/>
                              <a:gd name="T22" fmla="*/ 767 w 58"/>
                              <a:gd name="T23" fmla="*/ 3432 h 97"/>
                              <a:gd name="T24" fmla="*/ 938 w 58"/>
                              <a:gd name="T25" fmla="*/ 3254 h 97"/>
                              <a:gd name="T26" fmla="*/ 938 w 58"/>
                              <a:gd name="T27" fmla="*/ 1558 h 97"/>
                              <a:gd name="T28" fmla="*/ 1427 w 58"/>
                              <a:gd name="T29" fmla="*/ 922 h 97"/>
                              <a:gd name="T30" fmla="*/ 1875 w 58"/>
                              <a:gd name="T31" fmla="*/ 886 h 97"/>
                              <a:gd name="T32" fmla="*/ 2017 w 58"/>
                              <a:gd name="T33" fmla="*/ 779 h 97"/>
                              <a:gd name="T34" fmla="*/ 2017 w 58"/>
                              <a:gd name="T35" fmla="*/ 107 h 97"/>
                              <a:gd name="T36" fmla="*/ 1910 w 58"/>
                              <a:gd name="T37" fmla="*/ 0 h 9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 h="97">
                                <a:moveTo>
                                  <a:pt x="55" y="0"/>
                                </a:moveTo>
                                <a:cubicBezTo>
                                  <a:pt x="53" y="0"/>
                                  <a:pt x="51" y="0"/>
                                  <a:pt x="50" y="0"/>
                                </a:cubicBezTo>
                                <a:cubicBezTo>
                                  <a:pt x="41" y="0"/>
                                  <a:pt x="33" y="3"/>
                                  <a:pt x="26" y="8"/>
                                </a:cubicBezTo>
                                <a:cubicBezTo>
                                  <a:pt x="24" y="10"/>
                                  <a:pt x="22" y="11"/>
                                  <a:pt x="21" y="12"/>
                                </a:cubicBezTo>
                                <a:cubicBezTo>
                                  <a:pt x="20" y="11"/>
                                  <a:pt x="20" y="9"/>
                                  <a:pt x="20" y="8"/>
                                </a:cubicBezTo>
                                <a:cubicBezTo>
                                  <a:pt x="20" y="7"/>
                                  <a:pt x="20" y="6"/>
                                  <a:pt x="19" y="5"/>
                                </a:cubicBezTo>
                                <a:cubicBezTo>
                                  <a:pt x="19" y="3"/>
                                  <a:pt x="18" y="2"/>
                                  <a:pt x="15" y="1"/>
                                </a:cubicBezTo>
                                <a:cubicBezTo>
                                  <a:pt x="11" y="1"/>
                                  <a:pt x="8" y="2"/>
                                  <a:pt x="4" y="2"/>
                                </a:cubicBezTo>
                                <a:cubicBezTo>
                                  <a:pt x="1" y="2"/>
                                  <a:pt x="0" y="2"/>
                                  <a:pt x="0" y="5"/>
                                </a:cubicBezTo>
                                <a:cubicBezTo>
                                  <a:pt x="0" y="35"/>
                                  <a:pt x="0" y="64"/>
                                  <a:pt x="0" y="93"/>
                                </a:cubicBezTo>
                                <a:cubicBezTo>
                                  <a:pt x="0" y="97"/>
                                  <a:pt x="1" y="97"/>
                                  <a:pt x="4" y="97"/>
                                </a:cubicBezTo>
                                <a:cubicBezTo>
                                  <a:pt x="10" y="97"/>
                                  <a:pt x="16" y="97"/>
                                  <a:pt x="22" y="97"/>
                                </a:cubicBezTo>
                                <a:cubicBezTo>
                                  <a:pt x="27" y="97"/>
                                  <a:pt x="27" y="97"/>
                                  <a:pt x="27" y="92"/>
                                </a:cubicBezTo>
                                <a:cubicBezTo>
                                  <a:pt x="27" y="76"/>
                                  <a:pt x="27" y="60"/>
                                  <a:pt x="27" y="44"/>
                                </a:cubicBezTo>
                                <a:cubicBezTo>
                                  <a:pt x="28" y="34"/>
                                  <a:pt x="32" y="28"/>
                                  <a:pt x="41" y="26"/>
                                </a:cubicBezTo>
                                <a:cubicBezTo>
                                  <a:pt x="45" y="25"/>
                                  <a:pt x="50" y="25"/>
                                  <a:pt x="54" y="25"/>
                                </a:cubicBezTo>
                                <a:cubicBezTo>
                                  <a:pt x="56" y="25"/>
                                  <a:pt x="58" y="24"/>
                                  <a:pt x="58" y="22"/>
                                </a:cubicBezTo>
                                <a:cubicBezTo>
                                  <a:pt x="58" y="15"/>
                                  <a:pt x="58" y="9"/>
                                  <a:pt x="58" y="3"/>
                                </a:cubicBezTo>
                                <a:cubicBezTo>
                                  <a:pt x="58" y="1"/>
                                  <a:pt x="57" y="0"/>
                                  <a:pt x="5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wps:cNvSpPr>
                        <wps:spPr bwMode="auto">
                          <a:xfrm>
                            <a:off x="5813" y="1690"/>
                            <a:ext cx="160" cy="572"/>
                          </a:xfrm>
                          <a:custGeom>
                            <a:avLst/>
                            <a:gdLst>
                              <a:gd name="T0" fmla="*/ 806 w 27"/>
                              <a:gd name="T1" fmla="*/ 36 h 96"/>
                              <a:gd name="T2" fmla="*/ 107 w 27"/>
                              <a:gd name="T3" fmla="*/ 36 h 96"/>
                              <a:gd name="T4" fmla="*/ 0 w 27"/>
                              <a:gd name="T5" fmla="*/ 143 h 96"/>
                              <a:gd name="T6" fmla="*/ 0 w 27"/>
                              <a:gd name="T7" fmla="*/ 1704 h 96"/>
                              <a:gd name="T8" fmla="*/ 0 w 27"/>
                              <a:gd name="T9" fmla="*/ 3265 h 96"/>
                              <a:gd name="T10" fmla="*/ 107 w 27"/>
                              <a:gd name="T11" fmla="*/ 3408 h 96"/>
                              <a:gd name="T12" fmla="*/ 770 w 27"/>
                              <a:gd name="T13" fmla="*/ 3408 h 96"/>
                              <a:gd name="T14" fmla="*/ 948 w 27"/>
                              <a:gd name="T15" fmla="*/ 3265 h 96"/>
                              <a:gd name="T16" fmla="*/ 948 w 27"/>
                              <a:gd name="T17" fmla="*/ 143 h 96"/>
                              <a:gd name="T18" fmla="*/ 806 w 27"/>
                              <a:gd name="T19" fmla="*/ 36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96">
                                <a:moveTo>
                                  <a:pt x="23" y="1"/>
                                </a:moveTo>
                                <a:cubicBezTo>
                                  <a:pt x="17" y="0"/>
                                  <a:pt x="10" y="0"/>
                                  <a:pt x="3" y="1"/>
                                </a:cubicBezTo>
                                <a:cubicBezTo>
                                  <a:pt x="0" y="1"/>
                                  <a:pt x="0" y="1"/>
                                  <a:pt x="0" y="4"/>
                                </a:cubicBezTo>
                                <a:cubicBezTo>
                                  <a:pt x="0" y="19"/>
                                  <a:pt x="0" y="34"/>
                                  <a:pt x="0" y="48"/>
                                </a:cubicBezTo>
                                <a:cubicBezTo>
                                  <a:pt x="0" y="63"/>
                                  <a:pt x="0" y="78"/>
                                  <a:pt x="0" y="92"/>
                                </a:cubicBezTo>
                                <a:cubicBezTo>
                                  <a:pt x="0" y="95"/>
                                  <a:pt x="1" y="96"/>
                                  <a:pt x="3" y="96"/>
                                </a:cubicBezTo>
                                <a:cubicBezTo>
                                  <a:pt x="10" y="96"/>
                                  <a:pt x="16" y="96"/>
                                  <a:pt x="22" y="96"/>
                                </a:cubicBezTo>
                                <a:cubicBezTo>
                                  <a:pt x="26" y="96"/>
                                  <a:pt x="27" y="95"/>
                                  <a:pt x="27" y="92"/>
                                </a:cubicBezTo>
                                <a:cubicBezTo>
                                  <a:pt x="27" y="4"/>
                                  <a:pt x="27" y="4"/>
                                  <a:pt x="27" y="4"/>
                                </a:cubicBezTo>
                                <a:cubicBezTo>
                                  <a:pt x="27" y="1"/>
                                  <a:pt x="26" y="1"/>
                                  <a:pt x="23"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8"/>
                        <wps:cNvSpPr>
                          <a:spLocks/>
                        </wps:cNvSpPr>
                        <wps:spPr bwMode="auto">
                          <a:xfrm>
                            <a:off x="5795" y="1440"/>
                            <a:ext cx="190" cy="191"/>
                          </a:xfrm>
                          <a:custGeom>
                            <a:avLst/>
                            <a:gdLst>
                              <a:gd name="T0" fmla="*/ 528 w 32"/>
                              <a:gd name="T1" fmla="*/ 0 h 32"/>
                              <a:gd name="T2" fmla="*/ 0 w 32"/>
                              <a:gd name="T3" fmla="*/ 603 h 32"/>
                              <a:gd name="T4" fmla="*/ 564 w 32"/>
                              <a:gd name="T5" fmla="*/ 1140 h 32"/>
                              <a:gd name="T6" fmla="*/ 1128 w 32"/>
                              <a:gd name="T7" fmla="*/ 573 h 32"/>
                              <a:gd name="T8" fmla="*/ 528 w 32"/>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32">
                                <a:moveTo>
                                  <a:pt x="15" y="0"/>
                                </a:moveTo>
                                <a:cubicBezTo>
                                  <a:pt x="7" y="1"/>
                                  <a:pt x="0" y="9"/>
                                  <a:pt x="0" y="17"/>
                                </a:cubicBezTo>
                                <a:cubicBezTo>
                                  <a:pt x="1" y="26"/>
                                  <a:pt x="8" y="32"/>
                                  <a:pt x="16" y="32"/>
                                </a:cubicBezTo>
                                <a:cubicBezTo>
                                  <a:pt x="25" y="32"/>
                                  <a:pt x="32" y="24"/>
                                  <a:pt x="32" y="16"/>
                                </a:cubicBezTo>
                                <a:cubicBezTo>
                                  <a:pt x="32" y="7"/>
                                  <a:pt x="24" y="0"/>
                                  <a:pt x="1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E32999" id="Group 65" o:spid="_x0000_s1026" style="position:absolute;margin-left:6.8pt;margin-top:-16.45pt;width:115.2pt;height:14.4pt;z-index:251659264;mso-width-relative:margin;mso-height-relative:margin" coordorigin="1155,1440" coordsize="6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">
                <v:shape id="Freeform 66" o:spid="_x0000_s1027" style="position:absolute;left:3980;top:1488;width:609;height:780;visibility:visible;mso-wrap-style:square;v-text-anchor:top" coordsize="10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" path="m100,c93,,87,,81,,78,,77,1,77,4v,16,,33,,49c77,55,77,56,75,56v-16,,-31,,-47,c26,56,26,55,26,53v,-16,,-33,,-49c26,1,25,,22,,16,,10,,3,,,,,,,4,,24,,45,,65v,21,,41,,61c,130,,131,4,131v6,,12,,17,c25,131,26,130,26,126v,-15,,-30,,-45c26,79,26,79,28,79v16,,31,,46,c76,79,77,79,77,81v,15,,30,,45c77,130,78,131,82,131v5,,11,,17,c102,131,103,130,103,127v,-42,,-83,,-124c103,1,103,,100,e" fillcolor="black" stroked="f">
                  <v:path arrowok="t" o:connecttype="custom" o:connectlocs="20659,0;16745,0;15905,851;15905,11206;15485,11807;5800,11807;5386,11206;5386,851;4547,0;627,0;0,851;0,13718;0,26591;840,27651;4334,27651;5386,26591;5386,17089;5800,16660;15314,16660;15905,17089;15905,26591;16957,27651;20452,27651;21291,26800;21291,637;20659,0" o:connectangles="0,0,0,0,0,0,0,0,0,0,0,0,0,0,0,0,0,0,0,0,0,0,0,0,0,0"/>
                </v:shape>
                <v:shape id="Freeform 67" o:spid="_x0000_s1028" style="position:absolute;left:1155;top:1458;width:715;height:810;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" path="m110,97v-5,-4,-5,-4,-9,1c92,107,82,112,69,112,55,113,44,108,36,97,27,86,25,73,28,60v1,-8,4,-14,9,-20c43,32,51,28,62,26v7,-1,13,,20,2c88,30,93,33,98,37v2,2,3,2,5,c107,34,110,30,114,26v3,-2,3,-4,,-6c105,11,94,5,81,3,68,,54,1,42,7,23,15,10,30,3,50,,61,,72,2,82v2,11,7,21,15,30c30,127,47,135,68,136v9,,17,-2,25,-5c103,127,111,120,119,112v2,-2,2,-3,-1,-6c115,103,113,100,110,97e" fillcolor="black" stroked="f">
                  <v:path arrowok="t" o:connecttype="custom" o:connectlocs="22697,20506;20847,20715;14247,23663;7440,20506;5761,12662;7646,8445;12781,5497;16935,5926;20215,7802;21267,7802;23536,5497;23536,4223;16723,637;8657,1489;626,10572;420,17308;3492,23663;14034,28731;19205,27671;24546,23663;24340,22382;22697,20506" o:connectangles="0,0,0,0,0,0,0,0,0,0,0,0,0,0,0,0,0,0,0,0,0,0"/>
                </v:shape>
                <v:shape id="Freeform 68" o:spid="_x0000_s1029" style="position:absolute;left:2183;top:1690;width:532;height:578;visibility:visible;mso-wrap-style:square;v-text-anchor:top" coordsize="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" path="m63,41v-6,,-11,,-17,c40,41,35,41,29,41v-1,,-2,-1,-2,-2c28,34,31,30,36,28v8,-3,16,-3,24,3c63,33,64,36,65,40v,,-1,1,-2,1m69,8c58,1,45,,32,4,19,7,10,15,5,27,1,38,,48,1,59v1,4,2,8,4,12c9,82,18,90,30,94v9,3,19,3,29,2c68,95,76,92,82,85v2,-1,2,-4,1,-5c81,76,79,73,77,69,75,67,74,67,72,68v,,-1,1,-2,1c60,75,48,77,37,72,31,70,27,64,27,57v1,,1,,1,c40,57,52,57,63,57v8,,16,,23,c88,57,90,57,90,55v,-8,,-16,-2,-23c85,21,79,13,69,8e" fillcolor="black" stroked="f">
                  <v:path arrowok="t" o:connecttype="custom" o:connectlocs="12999,8664;9505,8664;5976,8664;5592,8235;7442,5929;12402,6567;13418,8450;12999,8664;14258,1704;6603,852;1046,5714;207,12496;1046,15022;6183,19884;12195,20307;16947,17966;17154,16935;15901,14593;14884,14378;14464,14593;7655,15231;5592,12072;5799,12072;12999,12072;17751,12072;18590,11643;18171,6781;14258,1704" o:connectangles="0,0,0,0,0,0,0,0,0,0,0,0,0,0,0,0,0,0,0,0,0,0,0,0,0,0,0,0"/>
                  <o:lock v:ext="edit" verticies="t"/>
                </v:shape>
                <v:shape id="Freeform 69" o:spid="_x0000_s1030" style="position:absolute;left:2780;top:1696;width:473;height:57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" path="m52,70v-5,4,-11,5,-17,4c33,74,31,73,29,72,26,71,24,68,24,65v-1,-4,2,-7,7,-8c34,56,37,56,40,56v3,,5,,8,1c50,57,52,59,54,62v1,2,,7,-2,8m79,29c77,20,73,13,65,8,60,5,54,3,48,2,34,,21,1,8,7,6,8,5,8,6,11v2,5,4,9,6,14c13,27,14,28,16,27v8,-2,17,-3,25,-2c50,26,54,32,54,41,47,37,40,37,32,37v-5,,-11,,-16,3c10,43,5,47,2,53,,60,,67,1,73v1,9,7,16,15,20c23,95,30,96,37,95v6,,12,-2,17,-5c55,88,57,87,59,85v,2,,4,,6c60,93,61,95,64,95v4,,8,,12,c79,95,80,94,80,90v,-15,,-30,,-45c80,40,80,34,79,29e" fillcolor="black" stroked="f">
                  <v:path arrowok="t" o:connecttype="custom" o:connectlocs="10731,14806;7237,15659;5978,15230;4967,13740;6397,12072;8283,11857;9927,12072;11151,13102;10731,14806;16324,6143;13421,1704;9927,429;1644,1490;1224,2342;2483,5291;3323,5714;8461,5291;11151,8663;6604,7811;3323,8449;420,11220;207,15444;3323,19668;7657,20092;11151,19031;12197,17964;12197,19239;13214,20092;15698,20092;16537,19031;16537,9515;16324,6143" o:connectangles="0,0,0,0,0,0,0,0,0,0,0,0,0,0,0,0,0,0,0,0,0,0,0,0,0,0,0,0,0,0,0,0"/>
                  <o:lock v:ext="edit" verticies="t"/>
                </v:shape>
                <v:shape id="Freeform 70" o:spid="_x0000_s1031" style="position:absolute;left:4690;top:1899;width:585;height:369;visibility:visible;mso-wrap-style:square;v-text-anchor:top" coordsize="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" path="m28,43c30,32,39,25,50,25v10,,18,7,20,15c73,48,72,55,69,62v28,,28,,28,c98,58,99,53,99,48,99,22,77,,51,,23,,,21,,49v,4,1,9,2,13c31,62,31,62,31,62,28,56,27,50,28,43e" fillcolor="black" stroked="f">
                  <v:path arrowok="t" o:connecttype="custom" o:connectlocs="5761,9070;10300,5279;14454,8427;14247,13070;20008,13070;20428,10130;10512,0;0,10344;420,13070;6388,13070;5761,9070" o:connectangles="0,0,0,0,0,0,0,0,0,0,0"/>
                </v:shape>
                <v:shape id="Freeform 71" o:spid="_x0000_s1032" style="position:absolute;left:6611;top:1702;width:568;height:578;visibility:visible;mso-wrap-style:square;v-text-anchor:top" coordsize="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" path="m63,66c54,76,40,75,32,65,29,61,26,56,26,50,26,39,30,30,40,26v12,-4,24,2,28,14c71,49,69,58,63,66m48,c22,,,22,,48,,76,23,97,49,96,74,96,96,74,96,48,95,21,74,,48,e" fillcolor="black" stroked="f">
                  <v:path arrowok="t" o:connecttype="custom" o:connectlocs="13058,13955;6615,13741;5390,10583;8295,5506;14076,8450;13058,13955;9940,0;0,10154;10153,20307;19886,10154;9940,0" o:connectangles="0,0,0,0,0,0,0,0,0,0,0"/>
                  <o:lock v:ext="edit" verticies="t"/>
                </v:shape>
                <v:shape id="Freeform 72" o:spid="_x0000_s1033" style="position:absolute;left:7250;top:1702;width:520;height:566;visibility:visible;mso-wrap-style:square;v-text-anchor:top" coordsize="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" path="m88,53v,-6,,-12,-1,-18c87,26,84,18,78,12,71,4,62,1,51,,40,,31,3,22,10v,1,-1,1,-1,2c20,9,20,7,19,5,19,2,18,1,15,1,12,1,9,1,5,1,1,1,,2,,6,,34,,62,,90v,1,,2,,3c1,94,2,95,3,95v7,,14,,21,c26,95,27,94,27,92v,,,-1,,-2c27,75,27,59,27,43v,-5,1,-9,4,-13c36,23,48,23,54,26v5,3,7,7,7,12c62,43,61,48,62,53v,12,,25,,38c62,94,62,95,66,95v6,,11,,17,c87,95,88,95,88,90v,-12,,-25,,-37e" fillcolor="black" stroked="f">
                  <v:path arrowok="t" o:connecttype="custom" o:connectlocs="18159,11219;17946,7418;16096,2520;10512,0;4538,2127;4331,2520;3912,1066;3108,214;1046,214;0,1275;0,19024;0,19667;626,20090;4958,20090;5584,19453;5584,19024;5584,9086;6388,6351;11139,5499;12569,8019;12781,11219;12781,19238;13620,20090;17107,20090;18159,19024;18159,11219" o:connectangles="0,0,0,0,0,0,0,0,0,0,0,0,0,0,0,0,0,0,0,0,0,0,0,0,0,0"/>
                </v:shape>
                <v:shape id="Freeform 73" o:spid="_x0000_s1034" style="position:absolute;left:6091;top:1708;width:473;height:560;visibility:visible;mso-wrap-style:square;v-text-anchor:top" coordsize="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" path="m75,71v-10,,-21,,-31,c44,71,43,71,42,71v1,-1,1,-2,1,-3c55,47,66,26,78,5,80,2,79,,75,,52,,28,,5,,1,,1,1,1,4v,6,,11,,16c1,24,1,25,5,25v10,,20,,29,c35,25,36,25,38,25v-1,1,-1,1,-2,2c25,48,13,69,2,90,,93,1,94,4,94v24,,48,,71,c78,94,79,93,79,91v,-6,,-11,,-16c79,71,79,71,75,71e" fillcolor="black" stroked="f">
                  <v:path arrowok="t" o:connecttype="custom" o:connectlocs="15485,15013;9088,15013;8668,15013;8881,14375;16117,1066;15485,0;1047,0;207,852;207,4224;1047,5290;7024,5290;7864,5290;7444,5713;420,19022;840,19874;15485,19874;16324,19237;16324,15865;15485,15013" o:connectangles="0,0,0,0,0,0,0,0,0,0,0,0,0,0,0,0,0,0,0"/>
                </v:shape>
                <v:shape id="Freeform 74" o:spid="_x0000_s1035" style="position:absolute;left:1953;top:1476;width:159;height:786;visibility:visible;mso-wrap-style:square;v-text-anchor:top" coordsize="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" path="m23,c17,,10,,4,,1,,,1,,4,,24,,45,,66v,20,,41,,62c,131,1,132,4,132v6,,12,,18,c26,132,27,131,27,127v,-41,,-82,,-123c27,1,26,,23,e" fillcolor="black" stroked="f">
                  <v:path arrowok="t" o:connecttype="custom" o:connectlocs="4682,0;830,0;0,851;0,13934;0,27016;830,27867;4511,27867;5512,26807;5512,851;4682,0" o:connectangles="0,0,0,0,0,0,0,0,0,0"/>
                </v:shape>
                <v:shape id="Freeform 75" o:spid="_x0000_s1036" style="position:absolute;left:3360;top:1702;width:325;height:560;visibility:visible;mso-wrap-style:square;v-text-anchor:top" coordsize="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" path="m52,c50,,49,,47,,39,,31,2,25,7v-2,1,-4,3,-6,4c19,9,19,7,18,4,18,2,17,1,14,1,11,1,7,1,3,1,,1,,2,,5,,33,,61,,90v,3,1,4,4,4c10,94,16,94,22,94v3,,4,-1,4,-4c26,83,26,76,26,69v,-9,,-18,,-27c26,32,31,25,43,24v3,,6,,9,c54,24,55,23,55,21v,-6,,-12,,-18c55,1,54,,52,e" fillcolor="black" stroked="f">
                  <v:path arrowok="t" o:connecttype="custom" o:connectlocs="10719,0;9709,0;5170,1489;3912,2341;3699,852;2895,214;626,214;0,1066;0,19022;839,19874;4538,19874;5377,19022;5377,14590;5377,8871;8870,5076;10719,5076;11345,4438;11345,637;10719,0" o:connectangles="0,0,0,0,0,0,0,0,0,0,0,0,0,0,0,0,0,0,0"/>
                </v:shape>
                <v:shape id="Freeform 76" o:spid="_x0000_s1037" style="position:absolute;left:5382;top:1685;width:342;height:577;visibility:visible;mso-wrap-style:square;v-text-anchor:top" coordsize="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" path="m55,c53,,51,,50,,41,,33,3,26,8v-2,2,-4,3,-5,4c20,11,20,9,20,8v,-1,,-2,-1,-3c19,3,18,2,15,1,11,1,8,2,4,2,1,2,,2,,5,,35,,64,,93v,4,1,4,4,4c10,97,16,97,22,97v5,,5,,5,-5c27,76,27,60,27,44,28,34,32,28,41,26v4,-1,9,-1,13,-1c56,25,58,24,58,22v,-7,,-13,,-19c58,1,57,,55,e" fillcolor="black" stroked="f">
                  <v:path arrowok="t" o:connecttype="custom" o:connectlocs="11262,0;10254,0;5319,1701;4310,2510;4104,1701;3892,1059;3060,214;837,422;0,1059;0,19564;837,20415;4523,20415;5531,19356;5531,9268;8414,5484;11056,5270;11893,4634;11893,636;11262,0" o:connectangles="0,0,0,0,0,0,0,0,0,0,0,0,0,0,0,0,0,0,0"/>
                </v:shape>
                <v:shape id="Freeform 77" o:spid="_x0000_s1038" style="position:absolute;left:5813;top:1690;width:160;height:572;visibility:visible;mso-wrap-style:square;v-text-anchor:top"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" path="m23,1c17,,10,,3,1,,1,,1,,4,,19,,34,,48,,63,,78,,92v,3,1,4,3,4c10,96,16,96,22,96v4,,5,-1,5,-4c27,4,27,4,27,4,27,1,26,1,23,1e" fillcolor="black" stroked="f">
                  <v:path arrowok="t" o:connecttype="custom" o:connectlocs="4776,215;634,215;0,852;0,10153;0,19454;634,20306;4563,20306;5618,19454;5618,852;4776,215" o:connectangles="0,0,0,0,0,0,0,0,0,0"/>
                </v:shape>
                <v:shape id="Freeform 78" o:spid="_x0000_s1039" style="position:absolute;left:5795;top:1440;width:190;height:19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" path="m15,c7,1,,9,,17v1,9,8,15,16,15c25,32,32,24,32,16,32,7,24,,15,e" fillcolor="black" stroked="f">
                  <v:path arrowok="t" o:connecttype="custom" o:connectlocs="3135,0;0,3599;3349,6804;6698,3420;3135,0" o:connectangles="0,0,0,0,0"/>
                </v:shape>
              </v:group>
            </w:pict>
          </mc:Fallback>
        </mc:AlternateContent>
      </w:r>
    </w:p>
    <w:p w14:paraId="4DC91730" w14:textId="77777777" w:rsidR="00D92E50" w:rsidRPr="00D92E50" w:rsidRDefault="00D92E50" w:rsidP="00D56429">
      <w:pPr>
        <w:tabs>
          <w:tab w:val="center" w:pos="4500"/>
        </w:tabs>
        <w:spacing w:before="18"/>
        <w:ind w:right="6"/>
        <w:rPr>
          <w:rStyle w:val="PlaceholderText"/>
          <w:color w:val="000000" w:themeColor="text1"/>
          <w:sz w:val="36"/>
          <w:szCs w:val="36"/>
        </w:rPr>
      </w:pPr>
    </w:p>
    <w:p w14:paraId="368B636E" w14:textId="77777777" w:rsidR="00D92E50" w:rsidRPr="00D92E50" w:rsidRDefault="00D92E50" w:rsidP="00D56429">
      <w:pPr>
        <w:tabs>
          <w:tab w:val="center" w:pos="4500"/>
        </w:tabs>
        <w:spacing w:before="18"/>
        <w:ind w:right="6"/>
        <w:rPr>
          <w:rStyle w:val="PlaceholderText"/>
          <w:color w:val="000000" w:themeColor="text1"/>
          <w:sz w:val="36"/>
          <w:szCs w:val="36"/>
        </w:rPr>
      </w:pPr>
    </w:p>
    <w:sdt>
      <w:sdtPr>
        <w:rPr>
          <w:rFonts w:ascii="Franklin Gothic Medium" w:hAnsi="Franklin Gothic Medium"/>
          <w:b/>
          <w:color w:val="E26E00"/>
          <w:sz w:val="52"/>
          <w:szCs w:val="52"/>
        </w:rPr>
        <w:id w:val="-692462044"/>
        <w:placeholder>
          <w:docPart w:val="0838999484874DFA9F8A1986F0858639"/>
        </w:placeholder>
        <w:text/>
      </w:sdtPr>
      <w:sdtEndPr/>
      <w:sdtContent>
        <w:p w14:paraId="1C724862" w14:textId="2B83535B" w:rsidR="00D92E50" w:rsidRPr="00D92E50" w:rsidRDefault="0072648E" w:rsidP="00D56429">
          <w:pPr>
            <w:tabs>
              <w:tab w:val="center" w:pos="4500"/>
            </w:tabs>
            <w:spacing w:before="18"/>
            <w:ind w:right="6"/>
            <w:rPr>
              <w:rStyle w:val="PlaceholderText"/>
              <w:rFonts w:ascii="Franklin Gothic Medium" w:hAnsi="Franklin Gothic Medium"/>
              <w:b/>
              <w:color w:val="000000" w:themeColor="text1"/>
              <w:sz w:val="52"/>
              <w:szCs w:val="52"/>
            </w:rPr>
          </w:pPr>
          <w:r w:rsidRPr="0072648E">
            <w:rPr>
              <w:rFonts w:ascii="Franklin Gothic Medium" w:hAnsi="Franklin Gothic Medium"/>
              <w:b/>
              <w:color w:val="E26E00"/>
              <w:sz w:val="52"/>
              <w:szCs w:val="52"/>
            </w:rPr>
            <w:t xml:space="preserve">Nauru Infrastructure </w:t>
          </w:r>
          <w:r>
            <w:rPr>
              <w:rFonts w:ascii="Franklin Gothic Medium" w:hAnsi="Franklin Gothic Medium"/>
              <w:b/>
              <w:color w:val="E26E00"/>
              <w:sz w:val="52"/>
              <w:szCs w:val="52"/>
            </w:rPr>
            <w:t xml:space="preserve">Review </w:t>
          </w:r>
          <w:r w:rsidR="003A4687">
            <w:rPr>
              <w:rFonts w:ascii="Franklin Gothic Medium" w:hAnsi="Franklin Gothic Medium"/>
              <w:b/>
              <w:color w:val="E26E00"/>
              <w:sz w:val="52"/>
              <w:szCs w:val="52"/>
            </w:rPr>
            <w:t xml:space="preserve">Report </w:t>
          </w:r>
        </w:p>
      </w:sdtContent>
    </w:sdt>
    <w:p w14:paraId="674F8DC6" w14:textId="77777777" w:rsidR="00D92E50" w:rsidRPr="00D92E50" w:rsidRDefault="00D92E50" w:rsidP="00D56429">
      <w:pPr>
        <w:tabs>
          <w:tab w:val="center" w:pos="4500"/>
        </w:tabs>
        <w:spacing w:before="18"/>
        <w:ind w:right="6"/>
        <w:rPr>
          <w:rStyle w:val="PlaceholderText"/>
          <w:color w:val="000000" w:themeColor="text1"/>
          <w:sz w:val="36"/>
          <w:szCs w:val="36"/>
        </w:rPr>
      </w:pPr>
    </w:p>
    <w:p w14:paraId="71FECB47" w14:textId="77777777" w:rsidR="00D92E50" w:rsidRPr="00D92E50" w:rsidRDefault="00D92E50" w:rsidP="00D56429">
      <w:pPr>
        <w:tabs>
          <w:tab w:val="center" w:pos="4500"/>
        </w:tabs>
        <w:spacing w:before="18"/>
        <w:ind w:right="6"/>
        <w:rPr>
          <w:rStyle w:val="PlaceholderText"/>
          <w:color w:val="000000" w:themeColor="text1"/>
          <w:sz w:val="36"/>
          <w:szCs w:val="36"/>
        </w:rPr>
      </w:pPr>
    </w:p>
    <w:p w14:paraId="56C967A4" w14:textId="353610F9" w:rsidR="002828C7" w:rsidRDefault="000857CE" w:rsidP="008823DA">
      <w:pPr>
        <w:tabs>
          <w:tab w:val="left" w:pos="7215"/>
        </w:tabs>
        <w:spacing w:before="18"/>
        <w:ind w:right="6"/>
        <w:rPr>
          <w:rStyle w:val="PlaceholderText"/>
          <w:b/>
          <w:color w:val="E26E00"/>
          <w:sz w:val="36"/>
          <w:szCs w:val="36"/>
        </w:rPr>
      </w:pPr>
      <w:r>
        <w:rPr>
          <w:rStyle w:val="PlaceholderText"/>
          <w:b/>
          <w:color w:val="E26E00"/>
          <w:sz w:val="36"/>
          <w:szCs w:val="36"/>
        </w:rPr>
        <w:t>Prepared for the Australian High Commission, Nauru</w:t>
      </w:r>
    </w:p>
    <w:p w14:paraId="0799DA5E" w14:textId="77777777" w:rsidR="00D56429" w:rsidRPr="00996CAE" w:rsidRDefault="00D56429" w:rsidP="00D56429">
      <w:pPr>
        <w:tabs>
          <w:tab w:val="center" w:pos="4500"/>
        </w:tabs>
        <w:spacing w:before="18"/>
        <w:ind w:right="6"/>
        <w:rPr>
          <w:rFonts w:eastAsia="Franklin Gothic Book" w:cs="Franklin Gothic Book"/>
          <w:sz w:val="36"/>
          <w:szCs w:val="36"/>
        </w:rPr>
      </w:pPr>
    </w:p>
    <w:sdt>
      <w:sdtPr>
        <w:rPr>
          <w:rFonts w:eastAsia="Franklin Gothic Book" w:cs="Franklin Gothic Book"/>
          <w:color w:val="000000" w:themeColor="text1"/>
          <w:sz w:val="28"/>
          <w:szCs w:val="28"/>
        </w:rPr>
        <w:id w:val="-1014528690"/>
        <w:placeholder>
          <w:docPart w:val="12A10B63CF314F51A42197AA29584EFF"/>
        </w:placeholder>
        <w:date w:fullDate="2018-09-24T00:00:00Z">
          <w:dateFormat w:val="d MMMM yyyy"/>
          <w:lid w:val="en-AU"/>
          <w:storeMappedDataAs w:val="dateTime"/>
          <w:calendar w:val="gregorian"/>
        </w:date>
      </w:sdtPr>
      <w:sdtEndPr/>
      <w:sdtContent>
        <w:p w14:paraId="345B0F2E" w14:textId="113BF1B2" w:rsidR="002828C7" w:rsidRPr="008268DF" w:rsidRDefault="000857CE" w:rsidP="002828C7">
          <w:pPr>
            <w:tabs>
              <w:tab w:val="left" w:pos="1067"/>
            </w:tabs>
            <w:spacing w:before="18"/>
            <w:ind w:right="6"/>
            <w:rPr>
              <w:rFonts w:eastAsia="Franklin Gothic Book" w:cs="Franklin Gothic Book"/>
              <w:sz w:val="28"/>
              <w:szCs w:val="28"/>
            </w:rPr>
          </w:pPr>
          <w:r>
            <w:rPr>
              <w:rFonts w:eastAsia="Franklin Gothic Book" w:cs="Franklin Gothic Book"/>
              <w:color w:val="000000" w:themeColor="text1"/>
              <w:sz w:val="28"/>
              <w:szCs w:val="28"/>
            </w:rPr>
            <w:t>24 September 2018</w:t>
          </w:r>
        </w:p>
      </w:sdtContent>
    </w:sdt>
    <w:p w14:paraId="2462390B" w14:textId="77777777" w:rsidR="002828C7" w:rsidRPr="00996CAE" w:rsidRDefault="002828C7" w:rsidP="002828C7">
      <w:pPr>
        <w:tabs>
          <w:tab w:val="left" w:pos="1067"/>
        </w:tabs>
        <w:spacing w:before="18"/>
        <w:ind w:right="6"/>
        <w:rPr>
          <w:rFonts w:eastAsia="Franklin Gothic Book" w:cs="Franklin Gothic Book"/>
          <w:sz w:val="36"/>
          <w:szCs w:val="36"/>
        </w:rPr>
      </w:pPr>
    </w:p>
    <w:p w14:paraId="673332F6" w14:textId="77777777" w:rsidR="002828C7" w:rsidRPr="00996CAE" w:rsidRDefault="002828C7" w:rsidP="002828C7">
      <w:pPr>
        <w:tabs>
          <w:tab w:val="left" w:pos="1067"/>
        </w:tabs>
        <w:spacing w:before="18"/>
        <w:ind w:right="6"/>
        <w:rPr>
          <w:rFonts w:eastAsia="Franklin Gothic Book" w:cs="Franklin Gothic Book"/>
          <w:sz w:val="36"/>
          <w:szCs w:val="36"/>
        </w:rPr>
      </w:pPr>
    </w:p>
    <w:p w14:paraId="3236EAA6" w14:textId="77777777" w:rsidR="002828C7" w:rsidRDefault="002828C7" w:rsidP="002828C7">
      <w:pPr>
        <w:tabs>
          <w:tab w:val="left" w:pos="1067"/>
        </w:tabs>
        <w:spacing w:before="18"/>
        <w:ind w:right="6"/>
        <w:rPr>
          <w:rFonts w:eastAsia="Franklin Gothic Book" w:cs="Franklin Gothic Book"/>
          <w:sz w:val="28"/>
          <w:szCs w:val="28"/>
        </w:rPr>
      </w:pPr>
    </w:p>
    <w:p w14:paraId="7FD4AFA1" w14:textId="77777777" w:rsidR="002828C7" w:rsidRPr="00A909AB" w:rsidRDefault="002828C7" w:rsidP="002828C7">
      <w:pPr>
        <w:tabs>
          <w:tab w:val="left" w:pos="1067"/>
        </w:tabs>
        <w:spacing w:before="18"/>
        <w:ind w:right="6"/>
        <w:rPr>
          <w:rFonts w:eastAsia="Franklin Gothic Book" w:cs="Franklin Gothic Book"/>
          <w:sz w:val="28"/>
          <w:szCs w:val="28"/>
        </w:rPr>
      </w:pPr>
    </w:p>
    <w:p w14:paraId="1D629EB7" w14:textId="77777777" w:rsidR="002828C7" w:rsidRDefault="002828C7" w:rsidP="002828C7">
      <w:pPr>
        <w:sectPr w:rsidR="002828C7" w:rsidSect="00472B4E">
          <w:headerReference w:type="even" r:id="rId8"/>
          <w:headerReference w:type="default" r:id="rId9"/>
          <w:footerReference w:type="even" r:id="rId10"/>
          <w:footerReference w:type="default" r:id="rId11"/>
          <w:headerReference w:type="first" r:id="rId12"/>
          <w:footerReference w:type="first" r:id="rId13"/>
          <w:pgSz w:w="11906" w:h="16840"/>
          <w:pgMar w:top="1440" w:right="1080" w:bottom="1440" w:left="1080" w:header="720" w:footer="720" w:gutter="0"/>
          <w:cols w:space="720"/>
          <w:docGrid w:linePitch="299"/>
        </w:sectPr>
      </w:pPr>
    </w:p>
    <w:p w14:paraId="6B6F8342" w14:textId="77777777" w:rsidR="002828C7" w:rsidRPr="005C1930" w:rsidRDefault="002828C7" w:rsidP="002828C7">
      <w:pPr>
        <w:pStyle w:val="Underline"/>
      </w:pPr>
      <w:r w:rsidRPr="005C1930">
        <w:lastRenderedPageBreak/>
        <w:t>Contact</w:t>
      </w:r>
      <w:r w:rsidRPr="005C1930">
        <w:rPr>
          <w:spacing w:val="-14"/>
        </w:rPr>
        <w:t xml:space="preserve"> </w:t>
      </w:r>
      <w:r w:rsidRPr="005C1930">
        <w:t>D</w:t>
      </w:r>
      <w:r w:rsidRPr="005C1930">
        <w:rPr>
          <w:spacing w:val="-2"/>
        </w:rPr>
        <w:t>e</w:t>
      </w:r>
      <w:r w:rsidRPr="005C1930">
        <w:t>tails</w:t>
      </w:r>
    </w:p>
    <w:tbl>
      <w:tblPr>
        <w:tblStyle w:val="Rebranded"/>
        <w:tblW w:w="0" w:type="auto"/>
        <w:tblLook w:val="04A0" w:firstRow="1" w:lastRow="0" w:firstColumn="1" w:lastColumn="0" w:noHBand="0" w:noVBand="1"/>
      </w:tblPr>
      <w:tblGrid>
        <w:gridCol w:w="5521"/>
        <w:gridCol w:w="4216"/>
      </w:tblGrid>
      <w:tr w:rsidR="002828C7" w14:paraId="7E3BB9D3" w14:textId="77777777" w:rsidTr="00BA36C0">
        <w:trPr>
          <w:cnfStyle w:val="100000000000" w:firstRow="1" w:lastRow="0" w:firstColumn="0" w:lastColumn="0" w:oddVBand="0" w:evenVBand="0" w:oddHBand="0" w:evenHBand="0" w:firstRowFirstColumn="0" w:firstRowLastColumn="0" w:lastRowFirstColumn="0" w:lastRowLastColumn="0"/>
        </w:trPr>
        <w:tc>
          <w:tcPr>
            <w:tcW w:w="5637" w:type="dxa"/>
            <w:shd w:val="clear" w:color="auto" w:fill="FDE9D9" w:themeFill="accent6" w:themeFillTint="33"/>
          </w:tcPr>
          <w:p w14:paraId="300B5E55" w14:textId="77777777" w:rsidR="002828C7" w:rsidRPr="00242B57" w:rsidRDefault="002828C7" w:rsidP="00276606">
            <w:pPr>
              <w:pStyle w:val="Tablelightheading"/>
            </w:pPr>
            <w:r w:rsidRPr="00242B57">
              <w:t>Clear Horizon Contact</w:t>
            </w:r>
          </w:p>
        </w:tc>
        <w:tc>
          <w:tcPr>
            <w:tcW w:w="4286" w:type="dxa"/>
            <w:shd w:val="clear" w:color="auto" w:fill="FDE9D9" w:themeFill="accent6" w:themeFillTint="33"/>
          </w:tcPr>
          <w:p w14:paraId="3F2EB753" w14:textId="77777777" w:rsidR="002828C7" w:rsidRPr="00242B57" w:rsidRDefault="002828C7" w:rsidP="00276606">
            <w:pPr>
              <w:pStyle w:val="Tablelightheading"/>
            </w:pPr>
            <w:r w:rsidRPr="00242B57">
              <w:t>Client Contact</w:t>
            </w:r>
          </w:p>
        </w:tc>
      </w:tr>
      <w:tr w:rsidR="002828C7" w14:paraId="5930B638" w14:textId="77777777" w:rsidTr="00BA36C0">
        <w:sdt>
          <w:sdtPr>
            <w:id w:val="619961332"/>
            <w:placeholder>
              <w:docPart w:val="BCC30F44F3B74A13888E332902071C33"/>
            </w:placeholder>
            <w:text/>
          </w:sdtPr>
          <w:sdtEndPr/>
          <w:sdtContent>
            <w:tc>
              <w:tcPr>
                <w:tcW w:w="5637" w:type="dxa"/>
              </w:tcPr>
              <w:p w14:paraId="5454C937" w14:textId="77777777" w:rsidR="002828C7" w:rsidRPr="007D1F17" w:rsidRDefault="007F1A8C" w:rsidP="007F1A8C">
                <w:pPr>
                  <w:pStyle w:val="Tabletext"/>
                </w:pPr>
                <w:r>
                  <w:t>Byron Pakula</w:t>
                </w:r>
              </w:p>
            </w:tc>
          </w:sdtContent>
        </w:sdt>
        <w:sdt>
          <w:sdtPr>
            <w:id w:val="1119185343"/>
            <w:placeholder>
              <w:docPart w:val="4F9CD13DC4EB4BBCBF65C35E3EF18304"/>
            </w:placeholder>
            <w:text/>
          </w:sdtPr>
          <w:sdtEndPr/>
          <w:sdtContent>
            <w:tc>
              <w:tcPr>
                <w:tcW w:w="4286" w:type="dxa"/>
              </w:tcPr>
              <w:p w14:paraId="53B81CAB" w14:textId="77777777" w:rsidR="002828C7" w:rsidRPr="002828C7" w:rsidRDefault="00E97609" w:rsidP="00E97609">
                <w:pPr>
                  <w:pStyle w:val="Tabletext"/>
                </w:pPr>
                <w:r>
                  <w:t>Angus Hinton</w:t>
                </w:r>
              </w:p>
            </w:tc>
          </w:sdtContent>
        </w:sdt>
      </w:tr>
      <w:tr w:rsidR="002828C7" w14:paraId="333AA568" w14:textId="77777777" w:rsidTr="00BA36C0">
        <w:sdt>
          <w:sdtPr>
            <w:id w:val="-1849620058"/>
            <w:placeholder>
              <w:docPart w:val="D767DB369F634955948606AAC7267DF0"/>
            </w:placeholder>
            <w:text/>
          </w:sdtPr>
          <w:sdtEndPr/>
          <w:sdtContent>
            <w:tc>
              <w:tcPr>
                <w:tcW w:w="5637" w:type="dxa"/>
              </w:tcPr>
              <w:p w14:paraId="3CCB63FA" w14:textId="77777777" w:rsidR="002828C7" w:rsidRPr="002828C7" w:rsidRDefault="007F1A8C" w:rsidP="007F1A8C">
                <w:pPr>
                  <w:pStyle w:val="Tabletext"/>
                </w:pPr>
                <w:r>
                  <w:t>P</w:t>
                </w:r>
                <w:r w:rsidR="00510A06">
                  <w:t>rincipal</w:t>
                </w:r>
                <w:r>
                  <w:t xml:space="preserve"> Consultant</w:t>
                </w:r>
              </w:p>
            </w:tc>
          </w:sdtContent>
        </w:sdt>
        <w:sdt>
          <w:sdtPr>
            <w:id w:val="1504007045"/>
            <w:placeholder>
              <w:docPart w:val="24B3921078924DA5B3FA031E460650CB"/>
            </w:placeholder>
            <w:text/>
          </w:sdtPr>
          <w:sdtEndPr/>
          <w:sdtContent>
            <w:tc>
              <w:tcPr>
                <w:tcW w:w="4286" w:type="dxa"/>
              </w:tcPr>
              <w:p w14:paraId="61C73B4B" w14:textId="77777777" w:rsidR="002828C7" w:rsidRPr="002828C7" w:rsidRDefault="00F461BA" w:rsidP="00A034C3">
                <w:pPr>
                  <w:pStyle w:val="Tabletext"/>
                </w:pPr>
                <w:r w:rsidRPr="00F461BA">
                  <w:t>Second Secretary Development Cooperation</w:t>
                </w:r>
              </w:p>
            </w:tc>
          </w:sdtContent>
        </w:sdt>
      </w:tr>
      <w:tr w:rsidR="002828C7" w14:paraId="7DCFFEDC" w14:textId="77777777" w:rsidTr="00BA36C0">
        <w:tc>
          <w:tcPr>
            <w:tcW w:w="5637" w:type="dxa"/>
          </w:tcPr>
          <w:p w14:paraId="6BE8559A" w14:textId="77777777" w:rsidR="002828C7" w:rsidRPr="00F461BA" w:rsidRDefault="002828C7" w:rsidP="002828C7">
            <w:pPr>
              <w:spacing w:before="0" w:after="0"/>
              <w:rPr>
                <w:color w:val="000000" w:themeColor="text1"/>
                <w:szCs w:val="20"/>
              </w:rPr>
            </w:pPr>
            <w:r w:rsidRPr="00F461BA">
              <w:rPr>
                <w:color w:val="000000" w:themeColor="text1"/>
                <w:szCs w:val="20"/>
              </w:rPr>
              <w:t>Clear Horizon Consulting</w:t>
            </w:r>
          </w:p>
        </w:tc>
        <w:sdt>
          <w:sdtPr>
            <w:rPr>
              <w:color w:val="000000" w:themeColor="text1"/>
              <w:szCs w:val="20"/>
            </w:rPr>
            <w:id w:val="2118552870"/>
            <w:placeholder>
              <w:docPart w:val="4197082154274A478513976D6A38593F"/>
            </w:placeholder>
            <w:text/>
          </w:sdtPr>
          <w:sdtEndPr/>
          <w:sdtContent>
            <w:tc>
              <w:tcPr>
                <w:tcW w:w="4286" w:type="dxa"/>
              </w:tcPr>
              <w:p w14:paraId="4B28F872" w14:textId="77777777" w:rsidR="002828C7" w:rsidRPr="00F461BA" w:rsidRDefault="00F461BA" w:rsidP="00A034C3">
                <w:pPr>
                  <w:spacing w:before="0" w:after="0"/>
                  <w:rPr>
                    <w:color w:val="000000" w:themeColor="text1"/>
                    <w:szCs w:val="20"/>
                  </w:rPr>
                </w:pPr>
                <w:r w:rsidRPr="00F461BA">
                  <w:rPr>
                    <w:color w:val="000000" w:themeColor="text1"/>
                    <w:szCs w:val="20"/>
                  </w:rPr>
                  <w:t>Australian High Commission Nauru</w:t>
                </w:r>
              </w:p>
            </w:tc>
          </w:sdtContent>
        </w:sdt>
      </w:tr>
      <w:tr w:rsidR="002828C7" w14:paraId="661DD0E6" w14:textId="77777777" w:rsidTr="00BA36C0">
        <w:tc>
          <w:tcPr>
            <w:tcW w:w="5637" w:type="dxa"/>
          </w:tcPr>
          <w:p w14:paraId="2F7128C5" w14:textId="77777777" w:rsidR="002828C7" w:rsidRPr="00F461BA" w:rsidRDefault="002828C7" w:rsidP="002828C7">
            <w:pPr>
              <w:spacing w:before="0" w:after="0"/>
              <w:rPr>
                <w:color w:val="000000" w:themeColor="text1"/>
                <w:szCs w:val="20"/>
              </w:rPr>
            </w:pPr>
            <w:r w:rsidRPr="00F461BA">
              <w:rPr>
                <w:color w:val="000000" w:themeColor="text1"/>
                <w:szCs w:val="20"/>
              </w:rPr>
              <w:t>129 Chestnut Street, Cremorne VIC 3121</w:t>
            </w:r>
          </w:p>
        </w:tc>
        <w:sdt>
          <w:sdtPr>
            <w:rPr>
              <w:color w:val="000000" w:themeColor="text1"/>
              <w:szCs w:val="20"/>
            </w:rPr>
            <w:id w:val="-421640137"/>
            <w:placeholder>
              <w:docPart w:val="3B2BD4FEBFA54170ACBA630EAC852D09"/>
            </w:placeholder>
            <w:text/>
          </w:sdtPr>
          <w:sdtEndPr/>
          <w:sdtContent>
            <w:tc>
              <w:tcPr>
                <w:tcW w:w="4286" w:type="dxa"/>
              </w:tcPr>
              <w:p w14:paraId="2335E84F" w14:textId="77777777" w:rsidR="002828C7" w:rsidRPr="00F461BA" w:rsidRDefault="00F461BA" w:rsidP="002828C7">
                <w:pPr>
                  <w:spacing w:before="0" w:after="0"/>
                  <w:rPr>
                    <w:color w:val="000000" w:themeColor="text1"/>
                    <w:szCs w:val="20"/>
                  </w:rPr>
                </w:pPr>
                <w:r w:rsidRPr="00F461BA">
                  <w:rPr>
                    <w:color w:val="000000" w:themeColor="text1"/>
                    <w:szCs w:val="20"/>
                  </w:rPr>
                  <w:t>MQ45 NPC Oe, Aiwo District, Republic of Nauru</w:t>
                </w:r>
              </w:p>
            </w:tc>
          </w:sdtContent>
        </w:sdt>
      </w:tr>
      <w:tr w:rsidR="002828C7" w14:paraId="3FFB2B08" w14:textId="77777777" w:rsidTr="00BA36C0">
        <w:tc>
          <w:tcPr>
            <w:tcW w:w="5637" w:type="dxa"/>
          </w:tcPr>
          <w:p w14:paraId="20E3FC38" w14:textId="77777777" w:rsidR="002828C7" w:rsidRPr="00F461BA" w:rsidRDefault="002828C7" w:rsidP="002828C7">
            <w:pPr>
              <w:spacing w:before="0" w:after="0"/>
              <w:rPr>
                <w:color w:val="000000" w:themeColor="text1"/>
                <w:szCs w:val="20"/>
              </w:rPr>
            </w:pPr>
            <w:r w:rsidRPr="00F461BA">
              <w:rPr>
                <w:color w:val="000000" w:themeColor="text1"/>
                <w:szCs w:val="20"/>
              </w:rPr>
              <w:t>Telephone: (03) 9425 7777</w:t>
            </w:r>
          </w:p>
        </w:tc>
        <w:tc>
          <w:tcPr>
            <w:tcW w:w="4286" w:type="dxa"/>
          </w:tcPr>
          <w:p w14:paraId="654FC310" w14:textId="77777777" w:rsidR="002828C7" w:rsidRPr="00F461BA" w:rsidRDefault="002828C7" w:rsidP="00A034C3">
            <w:pPr>
              <w:spacing w:before="0" w:after="0"/>
              <w:rPr>
                <w:color w:val="000000" w:themeColor="text1"/>
                <w:szCs w:val="20"/>
              </w:rPr>
            </w:pPr>
            <w:r w:rsidRPr="00F461BA">
              <w:rPr>
                <w:color w:val="000000" w:themeColor="text1"/>
                <w:szCs w:val="20"/>
              </w:rPr>
              <w:t xml:space="preserve">P: </w:t>
            </w:r>
            <w:sdt>
              <w:sdtPr>
                <w:rPr>
                  <w:color w:val="000000" w:themeColor="text1"/>
                  <w:szCs w:val="20"/>
                </w:rPr>
                <w:id w:val="1207306431"/>
                <w:placeholder>
                  <w:docPart w:val="17534C2ADB44402B8D5396EA053CC8F3"/>
                </w:placeholder>
                <w:text/>
              </w:sdtPr>
              <w:sdtEndPr/>
              <w:sdtContent>
                <w:r w:rsidR="00F461BA" w:rsidRPr="00F461BA">
                  <w:rPr>
                    <w:color w:val="000000" w:themeColor="text1"/>
                    <w:szCs w:val="20"/>
                  </w:rPr>
                  <w:t>+674 557 3380 Ext 207</w:t>
                </w:r>
              </w:sdtContent>
            </w:sdt>
          </w:p>
        </w:tc>
      </w:tr>
      <w:tr w:rsidR="002828C7" w14:paraId="40815C04" w14:textId="77777777" w:rsidTr="00BA36C0">
        <w:tc>
          <w:tcPr>
            <w:tcW w:w="5637" w:type="dxa"/>
          </w:tcPr>
          <w:p w14:paraId="21AEB32A" w14:textId="77777777" w:rsidR="002828C7" w:rsidRPr="00F461BA" w:rsidRDefault="002828C7" w:rsidP="007F1A8C">
            <w:pPr>
              <w:spacing w:before="0" w:after="0"/>
              <w:rPr>
                <w:color w:val="000000" w:themeColor="text1"/>
                <w:szCs w:val="20"/>
              </w:rPr>
            </w:pPr>
            <w:r w:rsidRPr="00F461BA">
              <w:rPr>
                <w:color w:val="000000" w:themeColor="text1"/>
                <w:szCs w:val="20"/>
              </w:rPr>
              <w:t xml:space="preserve">E: </w:t>
            </w:r>
            <w:sdt>
              <w:sdtPr>
                <w:rPr>
                  <w:color w:val="000000" w:themeColor="text1"/>
                  <w:szCs w:val="20"/>
                </w:rPr>
                <w:id w:val="1063684597"/>
                <w:placeholder>
                  <w:docPart w:val="25133C87D9F845D2B1E53DA5524AF01C"/>
                </w:placeholder>
                <w:text/>
              </w:sdtPr>
              <w:sdtEndPr/>
              <w:sdtContent>
                <w:r w:rsidR="007F1A8C" w:rsidRPr="00F461BA">
                  <w:rPr>
                    <w:color w:val="000000" w:themeColor="text1"/>
                    <w:szCs w:val="20"/>
                  </w:rPr>
                  <w:t>byron</w:t>
                </w:r>
              </w:sdtContent>
            </w:sdt>
            <w:r w:rsidRPr="00F461BA">
              <w:rPr>
                <w:color w:val="000000" w:themeColor="text1"/>
                <w:szCs w:val="20"/>
              </w:rPr>
              <w:t>@clearhorizon.com.au</w:t>
            </w:r>
          </w:p>
        </w:tc>
        <w:tc>
          <w:tcPr>
            <w:tcW w:w="4286" w:type="dxa"/>
          </w:tcPr>
          <w:p w14:paraId="461C2341" w14:textId="77777777" w:rsidR="002828C7" w:rsidRPr="00F461BA" w:rsidRDefault="00F17D88" w:rsidP="00A034C3">
            <w:pPr>
              <w:spacing w:before="0" w:after="0"/>
              <w:rPr>
                <w:color w:val="000000" w:themeColor="text1"/>
                <w:szCs w:val="20"/>
              </w:rPr>
            </w:pPr>
            <w:hyperlink r:id="rId14">
              <w:r w:rsidR="002828C7" w:rsidRPr="00F461BA">
                <w:rPr>
                  <w:color w:val="000000" w:themeColor="text1"/>
                  <w:szCs w:val="20"/>
                </w:rPr>
                <w:t>E:</w:t>
              </w:r>
            </w:hyperlink>
            <w:r w:rsidR="002828C7" w:rsidRPr="00F461BA">
              <w:rPr>
                <w:color w:val="000000" w:themeColor="text1"/>
                <w:szCs w:val="20"/>
              </w:rPr>
              <w:t xml:space="preserve"> </w:t>
            </w:r>
            <w:sdt>
              <w:sdtPr>
                <w:rPr>
                  <w:color w:val="000000" w:themeColor="text1"/>
                  <w:szCs w:val="20"/>
                </w:rPr>
                <w:id w:val="1021975660"/>
                <w:placeholder>
                  <w:docPart w:val="86BBD82156694FB2A3DE9442E1069220"/>
                </w:placeholder>
                <w:text/>
              </w:sdtPr>
              <w:sdtEndPr/>
              <w:sdtContent>
                <w:r w:rsidR="00F461BA" w:rsidRPr="00F461BA">
                  <w:rPr>
                    <w:color w:val="000000" w:themeColor="text1"/>
                    <w:szCs w:val="20"/>
                  </w:rPr>
                  <w:t>Angus.Hinton@dfat.gov.au</w:t>
                </w:r>
              </w:sdtContent>
            </w:sdt>
          </w:p>
        </w:tc>
      </w:tr>
    </w:tbl>
    <w:p w14:paraId="3DB3D268" w14:textId="77777777" w:rsidR="002828C7" w:rsidRDefault="002828C7" w:rsidP="002828C7">
      <w:pPr>
        <w:spacing w:before="0" w:after="0"/>
      </w:pPr>
    </w:p>
    <w:p w14:paraId="369BA82A" w14:textId="77777777" w:rsidR="002828C7" w:rsidRPr="002704D0" w:rsidRDefault="002828C7" w:rsidP="002704D0">
      <w:pPr>
        <w:pStyle w:val="Underline"/>
        <w:rPr>
          <w:rFonts w:eastAsia="Franklin Gothic Medium"/>
        </w:rPr>
      </w:pPr>
      <w:r w:rsidRPr="005C1930">
        <w:rPr>
          <w:rFonts w:eastAsia="Franklin Gothic Medium"/>
        </w:rPr>
        <w:t>Document</w:t>
      </w:r>
      <w:r w:rsidRPr="005C1930">
        <w:rPr>
          <w:rFonts w:eastAsia="Franklin Gothic Medium"/>
          <w:spacing w:val="-12"/>
        </w:rPr>
        <w:t xml:space="preserve"> </w:t>
      </w:r>
      <w:r w:rsidRPr="005C1930">
        <w:rPr>
          <w:rFonts w:eastAsia="Franklin Gothic Medium"/>
        </w:rPr>
        <w:t>r</w:t>
      </w:r>
      <w:r w:rsidRPr="005C1930">
        <w:rPr>
          <w:rFonts w:eastAsia="Franklin Gothic Medium"/>
          <w:spacing w:val="-5"/>
        </w:rPr>
        <w:t>e</w:t>
      </w:r>
      <w:r w:rsidRPr="005C1930">
        <w:rPr>
          <w:rFonts w:eastAsia="Franklin Gothic Medium"/>
        </w:rPr>
        <w:t>vi</w:t>
      </w:r>
      <w:r w:rsidRPr="005C1930">
        <w:rPr>
          <w:rFonts w:eastAsia="Franklin Gothic Medium"/>
          <w:spacing w:val="-3"/>
        </w:rPr>
        <w:t>e</w:t>
      </w:r>
      <w:r w:rsidRPr="005C1930">
        <w:rPr>
          <w:rFonts w:eastAsia="Franklin Gothic Medium"/>
        </w:rPr>
        <w:t>w</w:t>
      </w:r>
      <w:r w:rsidRPr="005C1930">
        <w:rPr>
          <w:rFonts w:eastAsia="Franklin Gothic Medium"/>
          <w:spacing w:val="-11"/>
        </w:rPr>
        <w:t xml:space="preserve"> </w:t>
      </w:r>
      <w:r w:rsidRPr="005C1930">
        <w:rPr>
          <w:rFonts w:eastAsia="Franklin Gothic Medium"/>
        </w:rPr>
        <w:t>and</w:t>
      </w:r>
      <w:r w:rsidRPr="005C1930">
        <w:rPr>
          <w:rFonts w:eastAsia="Franklin Gothic Medium"/>
          <w:spacing w:val="-11"/>
        </w:rPr>
        <w:t xml:space="preserve"> </w:t>
      </w:r>
      <w:r w:rsidRPr="005C1930">
        <w:rPr>
          <w:rFonts w:eastAsia="Franklin Gothic Medium"/>
        </w:rPr>
        <w:t>authorisation</w:t>
      </w:r>
    </w:p>
    <w:tbl>
      <w:tblPr>
        <w:tblStyle w:val="Rebranded"/>
        <w:tblW w:w="0" w:type="auto"/>
        <w:tblLook w:val="04A0" w:firstRow="1" w:lastRow="0" w:firstColumn="1" w:lastColumn="0" w:noHBand="0" w:noVBand="1"/>
      </w:tblPr>
      <w:tblGrid>
        <w:gridCol w:w="1510"/>
        <w:gridCol w:w="1964"/>
        <w:gridCol w:w="2092"/>
        <w:gridCol w:w="4171"/>
      </w:tblGrid>
      <w:tr w:rsidR="002828C7" w14:paraId="6BD6AC01" w14:textId="77777777" w:rsidTr="008B4F13">
        <w:trPr>
          <w:cnfStyle w:val="100000000000" w:firstRow="1" w:lastRow="0" w:firstColumn="0" w:lastColumn="0" w:oddVBand="0" w:evenVBand="0" w:oddHBand="0" w:evenHBand="0" w:firstRowFirstColumn="0" w:firstRowLastColumn="0" w:lastRowFirstColumn="0" w:lastRowLastColumn="0"/>
        </w:trPr>
        <w:tc>
          <w:tcPr>
            <w:tcW w:w="1510" w:type="dxa"/>
          </w:tcPr>
          <w:p w14:paraId="0C8F1892" w14:textId="77777777" w:rsidR="002828C7" w:rsidRPr="00D56429" w:rsidRDefault="002828C7" w:rsidP="00276606">
            <w:pPr>
              <w:pStyle w:val="Tablelightheading"/>
            </w:pPr>
            <w:r w:rsidRPr="00D56429">
              <w:t>Version</w:t>
            </w:r>
          </w:p>
        </w:tc>
        <w:tc>
          <w:tcPr>
            <w:tcW w:w="1964" w:type="dxa"/>
          </w:tcPr>
          <w:p w14:paraId="68AE4D30" w14:textId="77777777" w:rsidR="002828C7" w:rsidRPr="00D56429" w:rsidRDefault="002828C7" w:rsidP="00276606">
            <w:pPr>
              <w:pStyle w:val="Tablelightheading"/>
            </w:pPr>
            <w:r w:rsidRPr="00D56429">
              <w:t>Date distributed</w:t>
            </w:r>
          </w:p>
        </w:tc>
        <w:tc>
          <w:tcPr>
            <w:tcW w:w="2092" w:type="dxa"/>
          </w:tcPr>
          <w:p w14:paraId="01D41477" w14:textId="77777777" w:rsidR="002828C7" w:rsidRPr="00D56429" w:rsidRDefault="002704D0" w:rsidP="00276606">
            <w:pPr>
              <w:pStyle w:val="Tablelightheading"/>
            </w:pPr>
            <w:r w:rsidRPr="00D56429">
              <w:t>Issued to</w:t>
            </w:r>
          </w:p>
        </w:tc>
        <w:tc>
          <w:tcPr>
            <w:tcW w:w="4171" w:type="dxa"/>
          </w:tcPr>
          <w:p w14:paraId="4021CD88" w14:textId="77777777" w:rsidR="002828C7" w:rsidRPr="00D56429" w:rsidRDefault="002704D0" w:rsidP="00276606">
            <w:pPr>
              <w:pStyle w:val="Tablelightheading"/>
            </w:pPr>
            <w:r w:rsidRPr="00D56429">
              <w:t>Comments</w:t>
            </w:r>
          </w:p>
        </w:tc>
      </w:tr>
      <w:tr w:rsidR="008B4F13" w:rsidRPr="002704D0" w14:paraId="3B8EEE1B" w14:textId="77777777" w:rsidTr="008B4F13">
        <w:tc>
          <w:tcPr>
            <w:tcW w:w="1510" w:type="dxa"/>
          </w:tcPr>
          <w:p w14:paraId="25918BCA" w14:textId="77777777" w:rsidR="008B4F13" w:rsidRPr="002704D0" w:rsidRDefault="008B4F13" w:rsidP="008B4F13">
            <w:pPr>
              <w:pStyle w:val="tabletext0"/>
            </w:pPr>
            <w:r>
              <w:t>1</w:t>
            </w:r>
          </w:p>
        </w:tc>
        <w:tc>
          <w:tcPr>
            <w:tcW w:w="1964" w:type="dxa"/>
          </w:tcPr>
          <w:p w14:paraId="5BAC8DBC" w14:textId="565D659E" w:rsidR="008B4F13" w:rsidRPr="002704D0" w:rsidRDefault="00710EE8" w:rsidP="008B4F13">
            <w:pPr>
              <w:spacing w:before="0" w:after="0" w:line="200" w:lineRule="exact"/>
            </w:pPr>
            <w:r>
              <w:t>8 June 2018</w:t>
            </w:r>
          </w:p>
        </w:tc>
        <w:tc>
          <w:tcPr>
            <w:tcW w:w="2092" w:type="dxa"/>
          </w:tcPr>
          <w:p w14:paraId="05C65ED6" w14:textId="77777777" w:rsidR="008B4F13" w:rsidRPr="002704D0" w:rsidRDefault="008B4F13" w:rsidP="008B4F13">
            <w:pPr>
              <w:spacing w:before="0" w:after="0" w:line="200" w:lineRule="exact"/>
            </w:pPr>
            <w:r>
              <w:t>Angus Hinton</w:t>
            </w:r>
          </w:p>
        </w:tc>
        <w:tc>
          <w:tcPr>
            <w:tcW w:w="4171" w:type="dxa"/>
          </w:tcPr>
          <w:p w14:paraId="2630DCAF" w14:textId="77777777" w:rsidR="008B4F13" w:rsidRPr="002704D0" w:rsidRDefault="008B4F13" w:rsidP="008B4F13">
            <w:pPr>
              <w:spacing w:before="0" w:after="0" w:line="200" w:lineRule="exact"/>
            </w:pPr>
            <w:r>
              <w:t>For review and comments</w:t>
            </w:r>
          </w:p>
        </w:tc>
      </w:tr>
      <w:tr w:rsidR="008B4F13" w:rsidRPr="002704D0" w14:paraId="10A2B689" w14:textId="77777777" w:rsidTr="008B4F13">
        <w:tc>
          <w:tcPr>
            <w:tcW w:w="1510" w:type="dxa"/>
          </w:tcPr>
          <w:p w14:paraId="7551550D" w14:textId="77777777" w:rsidR="008B4F13" w:rsidRPr="002704D0" w:rsidRDefault="0077229B" w:rsidP="008B4F13">
            <w:pPr>
              <w:spacing w:before="0" w:after="0" w:line="200" w:lineRule="exact"/>
            </w:pPr>
            <w:r>
              <w:t>2</w:t>
            </w:r>
          </w:p>
        </w:tc>
        <w:tc>
          <w:tcPr>
            <w:tcW w:w="1964" w:type="dxa"/>
          </w:tcPr>
          <w:p w14:paraId="4C38CC5B" w14:textId="5D3850A7" w:rsidR="008B4F13" w:rsidRPr="002704D0" w:rsidRDefault="00710EE8" w:rsidP="008B4F13">
            <w:pPr>
              <w:spacing w:before="0" w:after="0" w:line="200" w:lineRule="exact"/>
            </w:pPr>
            <w:r>
              <w:t>24 September 2018</w:t>
            </w:r>
          </w:p>
        </w:tc>
        <w:tc>
          <w:tcPr>
            <w:tcW w:w="2092" w:type="dxa"/>
          </w:tcPr>
          <w:p w14:paraId="3A04A9FB" w14:textId="77777777" w:rsidR="008B4F13" w:rsidRPr="002704D0" w:rsidRDefault="0077229B" w:rsidP="008B4F13">
            <w:pPr>
              <w:spacing w:before="0" w:after="0" w:line="200" w:lineRule="exact"/>
            </w:pPr>
            <w:r>
              <w:t>Angus Hinton</w:t>
            </w:r>
          </w:p>
        </w:tc>
        <w:tc>
          <w:tcPr>
            <w:tcW w:w="4171" w:type="dxa"/>
          </w:tcPr>
          <w:p w14:paraId="5FF9E3BD" w14:textId="77777777" w:rsidR="008B4F13" w:rsidRPr="002704D0" w:rsidRDefault="000C0618" w:rsidP="008B4F13">
            <w:pPr>
              <w:spacing w:before="0" w:after="0" w:line="200" w:lineRule="exact"/>
            </w:pPr>
            <w:r>
              <w:t>For review and comments</w:t>
            </w:r>
          </w:p>
        </w:tc>
      </w:tr>
      <w:tr w:rsidR="008B4F13" w:rsidRPr="002704D0" w14:paraId="2A75B4BE" w14:textId="77777777" w:rsidTr="008B4F13">
        <w:tc>
          <w:tcPr>
            <w:tcW w:w="1510" w:type="dxa"/>
          </w:tcPr>
          <w:p w14:paraId="4D415653" w14:textId="764F9902" w:rsidR="008B4F13" w:rsidRPr="002704D0" w:rsidRDefault="00C41B2D" w:rsidP="008B4F13">
            <w:pPr>
              <w:spacing w:before="0" w:after="0" w:line="200" w:lineRule="exact"/>
            </w:pPr>
            <w:r>
              <w:t>3</w:t>
            </w:r>
          </w:p>
        </w:tc>
        <w:tc>
          <w:tcPr>
            <w:tcW w:w="1964" w:type="dxa"/>
          </w:tcPr>
          <w:p w14:paraId="5E997C9A" w14:textId="55AD8546" w:rsidR="008B4F13" w:rsidRPr="002704D0" w:rsidRDefault="00C41B2D" w:rsidP="008B4F13">
            <w:pPr>
              <w:spacing w:before="0" w:after="0" w:line="200" w:lineRule="exact"/>
            </w:pPr>
            <w:r>
              <w:t>12 December 2018</w:t>
            </w:r>
          </w:p>
        </w:tc>
        <w:tc>
          <w:tcPr>
            <w:tcW w:w="2092" w:type="dxa"/>
          </w:tcPr>
          <w:p w14:paraId="414E009A" w14:textId="5D0EEC46" w:rsidR="008B4F13" w:rsidRPr="002704D0" w:rsidRDefault="00C41B2D" w:rsidP="008B4F13">
            <w:pPr>
              <w:spacing w:before="0" w:after="0" w:line="200" w:lineRule="exact"/>
            </w:pPr>
            <w:r>
              <w:t>Suzy Wilson-Uilelea</w:t>
            </w:r>
          </w:p>
        </w:tc>
        <w:tc>
          <w:tcPr>
            <w:tcW w:w="4171" w:type="dxa"/>
          </w:tcPr>
          <w:p w14:paraId="6879F9EC" w14:textId="112A45BA" w:rsidR="008B4F13" w:rsidRPr="002704D0" w:rsidRDefault="00C41B2D" w:rsidP="008B4F13">
            <w:pPr>
              <w:spacing w:before="0" w:after="0" w:line="200" w:lineRule="exact"/>
            </w:pPr>
            <w:r>
              <w:t>For Review and Comments</w:t>
            </w:r>
          </w:p>
        </w:tc>
      </w:tr>
      <w:tr w:rsidR="008B4F13" w:rsidRPr="002704D0" w14:paraId="0B36660C" w14:textId="77777777" w:rsidTr="008B4F13">
        <w:tc>
          <w:tcPr>
            <w:tcW w:w="1510" w:type="dxa"/>
          </w:tcPr>
          <w:p w14:paraId="00A3A6FB" w14:textId="0636AF1F" w:rsidR="008B4F13" w:rsidRPr="002704D0" w:rsidRDefault="00C41B2D" w:rsidP="008B4F13">
            <w:pPr>
              <w:spacing w:before="0" w:after="0" w:line="200" w:lineRule="exact"/>
            </w:pPr>
            <w:r>
              <w:t>4</w:t>
            </w:r>
          </w:p>
        </w:tc>
        <w:tc>
          <w:tcPr>
            <w:tcW w:w="1964" w:type="dxa"/>
          </w:tcPr>
          <w:p w14:paraId="2149A960" w14:textId="7A563790" w:rsidR="008B4F13" w:rsidRPr="002704D0" w:rsidRDefault="00C41B2D" w:rsidP="008B4F13">
            <w:pPr>
              <w:spacing w:before="0" w:after="0" w:line="200" w:lineRule="exact"/>
            </w:pPr>
            <w:r>
              <w:t>14 December 2018</w:t>
            </w:r>
          </w:p>
        </w:tc>
        <w:tc>
          <w:tcPr>
            <w:tcW w:w="2092" w:type="dxa"/>
          </w:tcPr>
          <w:p w14:paraId="21F39893" w14:textId="11C65DD7" w:rsidR="008B4F13" w:rsidRPr="002704D0" w:rsidRDefault="00C41B2D" w:rsidP="008B4F13">
            <w:pPr>
              <w:spacing w:before="0" w:after="0" w:line="200" w:lineRule="exact"/>
            </w:pPr>
            <w:r>
              <w:t>Angela Tierney</w:t>
            </w:r>
          </w:p>
        </w:tc>
        <w:tc>
          <w:tcPr>
            <w:tcW w:w="4171" w:type="dxa"/>
          </w:tcPr>
          <w:p w14:paraId="1931166F" w14:textId="52AEF833" w:rsidR="008B4F13" w:rsidRPr="002704D0" w:rsidRDefault="00C41B2D" w:rsidP="008B4F13">
            <w:pPr>
              <w:spacing w:before="0" w:after="0" w:line="200" w:lineRule="exact"/>
            </w:pPr>
            <w:r>
              <w:t>Endorsement</w:t>
            </w:r>
          </w:p>
        </w:tc>
      </w:tr>
      <w:tr w:rsidR="008B4F13" w:rsidRPr="002704D0" w14:paraId="3AEFEE74" w14:textId="77777777" w:rsidTr="008B4F13">
        <w:tc>
          <w:tcPr>
            <w:tcW w:w="1510" w:type="dxa"/>
          </w:tcPr>
          <w:p w14:paraId="40F5A1A7" w14:textId="77777777" w:rsidR="008B4F13" w:rsidRPr="002704D0" w:rsidRDefault="008B4F13" w:rsidP="008B4F13">
            <w:pPr>
              <w:spacing w:before="0" w:after="0" w:line="200" w:lineRule="exact"/>
            </w:pPr>
          </w:p>
        </w:tc>
        <w:tc>
          <w:tcPr>
            <w:tcW w:w="1964" w:type="dxa"/>
          </w:tcPr>
          <w:p w14:paraId="2A476A36" w14:textId="77777777" w:rsidR="008B4F13" w:rsidRPr="002704D0" w:rsidRDefault="008B4F13" w:rsidP="008B4F13">
            <w:pPr>
              <w:spacing w:before="0" w:after="0" w:line="200" w:lineRule="exact"/>
            </w:pPr>
          </w:p>
        </w:tc>
        <w:tc>
          <w:tcPr>
            <w:tcW w:w="2092" w:type="dxa"/>
          </w:tcPr>
          <w:p w14:paraId="10C25005" w14:textId="77777777" w:rsidR="008B4F13" w:rsidRPr="002704D0" w:rsidRDefault="008B4F13" w:rsidP="008B4F13">
            <w:pPr>
              <w:spacing w:before="0" w:after="0" w:line="200" w:lineRule="exact"/>
            </w:pPr>
          </w:p>
        </w:tc>
        <w:tc>
          <w:tcPr>
            <w:tcW w:w="4171" w:type="dxa"/>
          </w:tcPr>
          <w:p w14:paraId="09847E5A" w14:textId="77777777" w:rsidR="008B4F13" w:rsidRPr="002704D0" w:rsidRDefault="008B4F13" w:rsidP="008B4F13">
            <w:pPr>
              <w:spacing w:before="0" w:after="0" w:line="200" w:lineRule="exact"/>
            </w:pPr>
          </w:p>
        </w:tc>
      </w:tr>
      <w:tr w:rsidR="008B4F13" w:rsidRPr="002704D0" w14:paraId="03112040" w14:textId="77777777" w:rsidTr="008B4F13">
        <w:tc>
          <w:tcPr>
            <w:tcW w:w="1510" w:type="dxa"/>
          </w:tcPr>
          <w:p w14:paraId="219BB4FB" w14:textId="77777777" w:rsidR="008B4F13" w:rsidRPr="002704D0" w:rsidRDefault="008B4F13" w:rsidP="008B4F13">
            <w:pPr>
              <w:spacing w:before="0" w:after="0" w:line="200" w:lineRule="exact"/>
            </w:pPr>
          </w:p>
        </w:tc>
        <w:tc>
          <w:tcPr>
            <w:tcW w:w="1964" w:type="dxa"/>
          </w:tcPr>
          <w:p w14:paraId="6D7AB6AE" w14:textId="77777777" w:rsidR="008B4F13" w:rsidRPr="002704D0" w:rsidRDefault="008B4F13" w:rsidP="008B4F13">
            <w:pPr>
              <w:spacing w:before="0" w:after="0" w:line="200" w:lineRule="exact"/>
            </w:pPr>
          </w:p>
        </w:tc>
        <w:tc>
          <w:tcPr>
            <w:tcW w:w="2092" w:type="dxa"/>
          </w:tcPr>
          <w:p w14:paraId="17BF2594" w14:textId="77777777" w:rsidR="008B4F13" w:rsidRPr="002704D0" w:rsidRDefault="008B4F13" w:rsidP="008B4F13">
            <w:pPr>
              <w:spacing w:before="0" w:after="0" w:line="200" w:lineRule="exact"/>
            </w:pPr>
          </w:p>
        </w:tc>
        <w:tc>
          <w:tcPr>
            <w:tcW w:w="4171" w:type="dxa"/>
          </w:tcPr>
          <w:p w14:paraId="1B1155B1" w14:textId="77777777" w:rsidR="008B4F13" w:rsidRPr="002704D0" w:rsidRDefault="008B4F13" w:rsidP="008B4F13">
            <w:pPr>
              <w:spacing w:before="0" w:after="0" w:line="200" w:lineRule="exact"/>
            </w:pPr>
          </w:p>
        </w:tc>
      </w:tr>
      <w:tr w:rsidR="008B4F13" w:rsidRPr="002704D0" w14:paraId="61B7F3D6" w14:textId="77777777" w:rsidTr="008B4F13">
        <w:tc>
          <w:tcPr>
            <w:tcW w:w="1510" w:type="dxa"/>
          </w:tcPr>
          <w:p w14:paraId="430EEC86" w14:textId="77777777" w:rsidR="008B4F13" w:rsidRPr="002704D0" w:rsidRDefault="008B4F13" w:rsidP="008B4F13">
            <w:pPr>
              <w:spacing w:before="0" w:after="0" w:line="200" w:lineRule="exact"/>
            </w:pPr>
          </w:p>
        </w:tc>
        <w:tc>
          <w:tcPr>
            <w:tcW w:w="1964" w:type="dxa"/>
          </w:tcPr>
          <w:p w14:paraId="2E94B024" w14:textId="77777777" w:rsidR="008B4F13" w:rsidRPr="002704D0" w:rsidRDefault="008B4F13" w:rsidP="008B4F13">
            <w:pPr>
              <w:spacing w:before="0" w:after="0" w:line="200" w:lineRule="exact"/>
            </w:pPr>
          </w:p>
        </w:tc>
        <w:tc>
          <w:tcPr>
            <w:tcW w:w="2092" w:type="dxa"/>
          </w:tcPr>
          <w:p w14:paraId="19362F4B" w14:textId="77777777" w:rsidR="008B4F13" w:rsidRPr="002704D0" w:rsidRDefault="008B4F13" w:rsidP="008B4F13">
            <w:pPr>
              <w:spacing w:before="0" w:after="0" w:line="200" w:lineRule="exact"/>
            </w:pPr>
          </w:p>
        </w:tc>
        <w:tc>
          <w:tcPr>
            <w:tcW w:w="4171" w:type="dxa"/>
          </w:tcPr>
          <w:p w14:paraId="4EC11E65" w14:textId="77777777" w:rsidR="008B4F13" w:rsidRPr="002704D0" w:rsidRDefault="008B4F13" w:rsidP="008B4F13">
            <w:pPr>
              <w:spacing w:before="0" w:after="0" w:line="200" w:lineRule="exact"/>
            </w:pPr>
          </w:p>
        </w:tc>
      </w:tr>
    </w:tbl>
    <w:p w14:paraId="69124F34" w14:textId="77777777" w:rsidR="002704D0" w:rsidRDefault="002704D0" w:rsidP="002828C7">
      <w:pPr>
        <w:spacing w:before="0" w:after="0"/>
        <w:rPr>
          <w:sz w:val="20"/>
          <w:szCs w:val="20"/>
        </w:rPr>
      </w:pPr>
    </w:p>
    <w:p w14:paraId="7E755E65" w14:textId="77777777" w:rsidR="00A0197A" w:rsidRDefault="00A0197A" w:rsidP="002828C7">
      <w:pPr>
        <w:spacing w:before="0" w:after="0"/>
        <w:rPr>
          <w:sz w:val="20"/>
          <w:szCs w:val="20"/>
        </w:rPr>
      </w:pPr>
    </w:p>
    <w:p w14:paraId="77B34718" w14:textId="77777777" w:rsidR="00A0197A" w:rsidRDefault="00A0197A" w:rsidP="002828C7">
      <w:pPr>
        <w:spacing w:before="0" w:after="0"/>
        <w:rPr>
          <w:sz w:val="20"/>
          <w:szCs w:val="20"/>
        </w:rPr>
      </w:pPr>
    </w:p>
    <w:tbl>
      <w:tblPr>
        <w:tblStyle w:val="Rebranded2"/>
        <w:tblW w:w="0" w:type="auto"/>
        <w:tblLook w:val="04A0" w:firstRow="1" w:lastRow="0" w:firstColumn="1" w:lastColumn="0" w:noHBand="0" w:noVBand="1"/>
      </w:tblPr>
      <w:tblGrid>
        <w:gridCol w:w="3047"/>
        <w:gridCol w:w="6690"/>
      </w:tblGrid>
      <w:tr w:rsidR="002704D0" w14:paraId="2D8154F8"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33BB4E0B" w14:textId="77777777" w:rsidR="002704D0" w:rsidRPr="00A0197A" w:rsidRDefault="00F63C08" w:rsidP="00440822">
            <w:pPr>
              <w:pStyle w:val="Tablelightheading"/>
            </w:pPr>
            <w:r>
              <w:t>Lead A</w:t>
            </w:r>
            <w:r w:rsidR="00440822">
              <w:t>uthor</w:t>
            </w:r>
          </w:p>
        </w:tc>
        <w:tc>
          <w:tcPr>
            <w:tcW w:w="6804" w:type="dxa"/>
          </w:tcPr>
          <w:p w14:paraId="33ADCC3F" w14:textId="77777777" w:rsidR="002704D0" w:rsidRPr="00A0197A" w:rsidRDefault="00812053"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Sonya Sampson</w:t>
            </w:r>
          </w:p>
        </w:tc>
      </w:tr>
      <w:tr w:rsidR="002704D0" w14:paraId="279D4D2E"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55A57DE4" w14:textId="77777777" w:rsidR="002704D0" w:rsidRPr="00A0197A" w:rsidRDefault="002704D0" w:rsidP="00A0197A">
            <w:pPr>
              <w:pStyle w:val="Tablelightheading"/>
            </w:pPr>
            <w:r w:rsidRPr="00A0197A">
              <w:t>Project Director</w:t>
            </w:r>
          </w:p>
        </w:tc>
        <w:tc>
          <w:tcPr>
            <w:tcW w:w="6804" w:type="dxa"/>
          </w:tcPr>
          <w:p w14:paraId="48DB7ED3" w14:textId="77777777" w:rsidR="002704D0" w:rsidRPr="00A0197A" w:rsidRDefault="00E51F3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Byron Pakula</w:t>
            </w:r>
          </w:p>
        </w:tc>
      </w:tr>
      <w:tr w:rsidR="002704D0" w14:paraId="65594BCD"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58A6A019" w14:textId="77777777" w:rsidR="002704D0" w:rsidRPr="00A0197A" w:rsidRDefault="002704D0" w:rsidP="00A0197A">
            <w:pPr>
              <w:pStyle w:val="Tablelightheading"/>
            </w:pPr>
            <w:r w:rsidRPr="00A0197A">
              <w:t>Internal Contributors</w:t>
            </w:r>
          </w:p>
        </w:tc>
        <w:tc>
          <w:tcPr>
            <w:tcW w:w="6804" w:type="dxa"/>
          </w:tcPr>
          <w:p w14:paraId="0B58B661" w14:textId="77777777" w:rsidR="002704D0" w:rsidRPr="00A0197A" w:rsidRDefault="00E51F3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Samiha Barkat</w:t>
            </w:r>
          </w:p>
        </w:tc>
      </w:tr>
      <w:tr w:rsidR="002704D0" w14:paraId="684DA0D2"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2DBDE9E4" w14:textId="77777777" w:rsidR="002704D0" w:rsidRPr="00A0197A" w:rsidRDefault="002704D0" w:rsidP="00A0197A">
            <w:pPr>
              <w:pStyle w:val="Tablelightheading"/>
            </w:pPr>
            <w:r w:rsidRPr="00A0197A">
              <w:t>External Contributors</w:t>
            </w:r>
          </w:p>
        </w:tc>
        <w:tc>
          <w:tcPr>
            <w:tcW w:w="6804" w:type="dxa"/>
          </w:tcPr>
          <w:p w14:paraId="69C29150" w14:textId="77777777"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704D0" w14:paraId="73333560"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051F94AD" w14:textId="77777777" w:rsidR="002704D0" w:rsidRPr="00A0197A" w:rsidRDefault="002704D0" w:rsidP="00A0197A">
            <w:pPr>
              <w:pStyle w:val="Tablelightheading"/>
            </w:pPr>
            <w:r w:rsidRPr="00A0197A">
              <w:t>Last Saved</w:t>
            </w:r>
          </w:p>
        </w:tc>
        <w:tc>
          <w:tcPr>
            <w:tcW w:w="6804" w:type="dxa"/>
          </w:tcPr>
          <w:p w14:paraId="2797520B" w14:textId="195F85C6"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0197A">
              <w:fldChar w:fldCharType="begin"/>
            </w:r>
            <w:r w:rsidRPr="00A0197A">
              <w:instrText xml:space="preserve"> SAVEDATE  \@ "d/MM/yyyy h:mm am/pm"  \* MERGEFORMAT </w:instrText>
            </w:r>
            <w:r w:rsidRPr="00A0197A">
              <w:fldChar w:fldCharType="separate"/>
            </w:r>
            <w:r w:rsidR="00F17D88">
              <w:rPr>
                <w:noProof/>
              </w:rPr>
              <w:t>13/12/2018 11:12 PM</w:t>
            </w:r>
            <w:r w:rsidRPr="00A0197A">
              <w:fldChar w:fldCharType="end"/>
            </w:r>
          </w:p>
        </w:tc>
      </w:tr>
      <w:tr w:rsidR="002704D0" w14:paraId="06E0354D"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0E93ABB9" w14:textId="77777777" w:rsidR="002704D0" w:rsidRPr="00A0197A" w:rsidRDefault="002704D0" w:rsidP="00A0197A">
            <w:pPr>
              <w:pStyle w:val="Tablelightheading"/>
            </w:pPr>
            <w:r w:rsidRPr="00A0197A">
              <w:t>Clear Horizon Reference No.</w:t>
            </w:r>
          </w:p>
        </w:tc>
        <w:tc>
          <w:tcPr>
            <w:tcW w:w="6804" w:type="dxa"/>
          </w:tcPr>
          <w:p w14:paraId="522F97D2" w14:textId="77777777" w:rsidR="002704D0" w:rsidRPr="00A0197A" w:rsidRDefault="00DC4C4A"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CH17-210</w:t>
            </w:r>
          </w:p>
        </w:tc>
      </w:tr>
    </w:tbl>
    <w:p w14:paraId="62696E90" w14:textId="77777777" w:rsidR="002704D0" w:rsidRDefault="002704D0" w:rsidP="002828C7">
      <w:pPr>
        <w:spacing w:before="0" w:after="0"/>
      </w:pPr>
    </w:p>
    <w:p w14:paraId="01C36EDF" w14:textId="77777777" w:rsidR="002828C7" w:rsidRDefault="002828C7" w:rsidP="002828C7">
      <w:pPr>
        <w:spacing w:before="0" w:after="0"/>
      </w:pPr>
      <w:r>
        <w:br w:type="page"/>
      </w:r>
    </w:p>
    <w:p w14:paraId="41810B59" w14:textId="77777777" w:rsidR="002828C7" w:rsidRDefault="002828C7" w:rsidP="002828C7">
      <w:pPr>
        <w:pStyle w:val="Underline"/>
      </w:pPr>
      <w:r>
        <w:lastRenderedPageBreak/>
        <w:t>Disclaimer</w:t>
      </w:r>
    </w:p>
    <w:p w14:paraId="0E9D20DE" w14:textId="77777777" w:rsidR="00730FED" w:rsidRPr="007E72BB" w:rsidRDefault="00730FED" w:rsidP="00B07835">
      <w:pPr>
        <w:jc w:val="both"/>
      </w:pPr>
      <w:r w:rsidRPr="007E72BB">
        <w:t xml:space="preserve">This document has been produced with information supplied to Clear Horizon by </w:t>
      </w:r>
      <w:sdt>
        <w:sdtPr>
          <w:rPr>
            <w:color w:val="000000" w:themeColor="text1"/>
          </w:rPr>
          <w:id w:val="134765399"/>
          <w:placeholder>
            <w:docPart w:val="AB8B245A96954F62809D4B45B79416FE"/>
          </w:placeholder>
          <w:text/>
        </w:sdtPr>
        <w:sdtEndPr/>
        <w:sdtContent>
          <w:r>
            <w:rPr>
              <w:color w:val="000000" w:themeColor="text1"/>
            </w:rPr>
            <w:t>DFAT Nauru</w:t>
          </w:r>
        </w:sdtContent>
      </w:sdt>
      <w:r w:rsidRPr="007E72BB">
        <w:t>. While we make every effort to ensure the accuracy of the information contained in this report, any judgements as to suitability of the information for the client’s purposes are the client’s responsibility. Clear Horizon extends no warranties and assumes no responsibility as to the suitability of this information or for the consequences of its use.</w:t>
      </w:r>
    </w:p>
    <w:p w14:paraId="3D028C5C" w14:textId="77777777" w:rsidR="002828C7" w:rsidRDefault="002828C7" w:rsidP="002828C7">
      <w:pPr>
        <w:spacing w:before="0" w:after="0"/>
      </w:pPr>
    </w:p>
    <w:p w14:paraId="25CF899A" w14:textId="77777777" w:rsidR="002828C7" w:rsidRDefault="002828C7" w:rsidP="002828C7">
      <w:pPr>
        <w:spacing w:before="0" w:after="0"/>
      </w:pPr>
      <w:r>
        <w:br w:type="page"/>
      </w:r>
    </w:p>
    <w:p w14:paraId="25DEAD2B" w14:textId="77777777" w:rsidR="002828C7" w:rsidRPr="00B66B1C" w:rsidRDefault="002828C7" w:rsidP="002828C7">
      <w:pPr>
        <w:pStyle w:val="Underline"/>
      </w:pPr>
      <w:r w:rsidRPr="00B66B1C">
        <w:lastRenderedPageBreak/>
        <w:t>Contents</w:t>
      </w:r>
    </w:p>
    <w:p w14:paraId="6AA60463" w14:textId="77777777" w:rsidR="001F6AC2" w:rsidRDefault="005A3541" w:rsidP="001F6AC2">
      <w:pPr>
        <w:pStyle w:val="TOC1"/>
        <w:rPr>
          <w:rFonts w:asciiTheme="minorHAnsi" w:hAnsiTheme="minorHAnsi" w:cstheme="minorBidi"/>
          <w:b w:val="0"/>
          <w:sz w:val="22"/>
          <w:lang w:eastAsia="en-AU"/>
        </w:rPr>
      </w:pPr>
      <w:r w:rsidRPr="005A3541">
        <w:rPr>
          <w:rFonts w:ascii="Franklin Gothic Demi" w:hAnsi="Franklin Gothic Demi"/>
          <w:noProof w:val="0"/>
        </w:rPr>
        <w:fldChar w:fldCharType="begin"/>
      </w:r>
      <w:r w:rsidRPr="005A3541">
        <w:rPr>
          <w:rFonts w:ascii="Franklin Gothic Demi" w:hAnsi="Franklin Gothic Demi"/>
        </w:rPr>
        <w:instrText xml:space="preserve"> TOC \o "1-2" \h \z \u </w:instrText>
      </w:r>
      <w:r w:rsidRPr="005A3541">
        <w:rPr>
          <w:rFonts w:ascii="Franklin Gothic Demi" w:hAnsi="Franklin Gothic Demi"/>
          <w:noProof w:val="0"/>
        </w:rPr>
        <w:fldChar w:fldCharType="separate"/>
      </w:r>
      <w:hyperlink w:anchor="_Toc518640205" w:history="1">
        <w:r w:rsidR="001F6AC2" w:rsidRPr="00A72B53">
          <w:rPr>
            <w:rStyle w:val="Hyperlink"/>
          </w:rPr>
          <w:t>Executive Summary</w:t>
        </w:r>
        <w:r w:rsidR="001F6AC2">
          <w:rPr>
            <w:webHidden/>
          </w:rPr>
          <w:tab/>
        </w:r>
        <w:r w:rsidR="001F6AC2">
          <w:rPr>
            <w:webHidden/>
          </w:rPr>
          <w:fldChar w:fldCharType="begin"/>
        </w:r>
        <w:r w:rsidR="001F6AC2">
          <w:rPr>
            <w:webHidden/>
          </w:rPr>
          <w:instrText xml:space="preserve"> PAGEREF _Toc518640205 \h </w:instrText>
        </w:r>
        <w:r w:rsidR="001F6AC2">
          <w:rPr>
            <w:webHidden/>
          </w:rPr>
        </w:r>
        <w:r w:rsidR="001F6AC2">
          <w:rPr>
            <w:webHidden/>
          </w:rPr>
          <w:fldChar w:fldCharType="separate"/>
        </w:r>
        <w:r w:rsidR="005F1DA9">
          <w:rPr>
            <w:webHidden/>
          </w:rPr>
          <w:t>1</w:t>
        </w:r>
        <w:r w:rsidR="001F6AC2">
          <w:rPr>
            <w:webHidden/>
          </w:rPr>
          <w:fldChar w:fldCharType="end"/>
        </w:r>
      </w:hyperlink>
    </w:p>
    <w:p w14:paraId="7E034BE3" w14:textId="77777777" w:rsidR="001F6AC2" w:rsidRDefault="00F17D88" w:rsidP="001F6AC2">
      <w:pPr>
        <w:pStyle w:val="TOC1"/>
        <w:rPr>
          <w:rFonts w:asciiTheme="minorHAnsi" w:hAnsiTheme="minorHAnsi" w:cstheme="minorBidi"/>
          <w:b w:val="0"/>
          <w:sz w:val="22"/>
          <w:lang w:eastAsia="en-AU"/>
        </w:rPr>
      </w:pPr>
      <w:hyperlink w:anchor="_Toc518640206" w:history="1">
        <w:r w:rsidR="001F6AC2" w:rsidRPr="00A72B53">
          <w:rPr>
            <w:rStyle w:val="Hyperlink"/>
          </w:rPr>
          <w:t>1</w:t>
        </w:r>
        <w:r w:rsidR="001F6AC2">
          <w:rPr>
            <w:rFonts w:asciiTheme="minorHAnsi" w:hAnsiTheme="minorHAnsi" w:cstheme="minorBidi"/>
            <w:b w:val="0"/>
            <w:sz w:val="22"/>
            <w:lang w:eastAsia="en-AU"/>
          </w:rPr>
          <w:tab/>
        </w:r>
        <w:r w:rsidR="001F6AC2" w:rsidRPr="00A72B53">
          <w:rPr>
            <w:rStyle w:val="Hyperlink"/>
          </w:rPr>
          <w:t>Background</w:t>
        </w:r>
        <w:r w:rsidR="001F6AC2">
          <w:rPr>
            <w:webHidden/>
          </w:rPr>
          <w:tab/>
        </w:r>
        <w:r w:rsidR="001F6AC2">
          <w:rPr>
            <w:webHidden/>
          </w:rPr>
          <w:fldChar w:fldCharType="begin"/>
        </w:r>
        <w:r w:rsidR="001F6AC2">
          <w:rPr>
            <w:webHidden/>
          </w:rPr>
          <w:instrText xml:space="preserve"> PAGEREF _Toc518640206 \h </w:instrText>
        </w:r>
        <w:r w:rsidR="001F6AC2">
          <w:rPr>
            <w:webHidden/>
          </w:rPr>
        </w:r>
        <w:r w:rsidR="001F6AC2">
          <w:rPr>
            <w:webHidden/>
          </w:rPr>
          <w:fldChar w:fldCharType="separate"/>
        </w:r>
        <w:r w:rsidR="005F1DA9">
          <w:rPr>
            <w:webHidden/>
          </w:rPr>
          <w:t>4</w:t>
        </w:r>
        <w:r w:rsidR="001F6AC2">
          <w:rPr>
            <w:webHidden/>
          </w:rPr>
          <w:fldChar w:fldCharType="end"/>
        </w:r>
      </w:hyperlink>
    </w:p>
    <w:p w14:paraId="5F834251" w14:textId="77777777" w:rsidR="001F6AC2" w:rsidRDefault="00F17D88" w:rsidP="001F6AC2">
      <w:pPr>
        <w:pStyle w:val="TOC2"/>
        <w:spacing w:before="160" w:after="160"/>
        <w:rPr>
          <w:rFonts w:asciiTheme="minorHAnsi" w:hAnsiTheme="minorHAnsi" w:cstheme="minorBidi"/>
          <w:sz w:val="22"/>
          <w:lang w:eastAsia="en-AU"/>
        </w:rPr>
      </w:pPr>
      <w:hyperlink w:anchor="_Toc518640207" w:history="1">
        <w:r w:rsidR="001F6AC2" w:rsidRPr="00A72B53">
          <w:rPr>
            <w:rStyle w:val="Hyperlink"/>
          </w:rPr>
          <w:t>1.1</w:t>
        </w:r>
        <w:r w:rsidR="001F6AC2">
          <w:rPr>
            <w:rFonts w:asciiTheme="minorHAnsi" w:hAnsiTheme="minorHAnsi" w:cstheme="minorBidi"/>
            <w:sz w:val="22"/>
            <w:lang w:eastAsia="en-AU"/>
          </w:rPr>
          <w:tab/>
        </w:r>
        <w:r w:rsidR="001F6AC2" w:rsidRPr="00A72B53">
          <w:rPr>
            <w:rStyle w:val="Hyperlink"/>
          </w:rPr>
          <w:t>Context</w:t>
        </w:r>
        <w:r w:rsidR="001F6AC2">
          <w:rPr>
            <w:webHidden/>
          </w:rPr>
          <w:tab/>
        </w:r>
        <w:r w:rsidR="001F6AC2">
          <w:rPr>
            <w:webHidden/>
          </w:rPr>
          <w:fldChar w:fldCharType="begin"/>
        </w:r>
        <w:r w:rsidR="001F6AC2">
          <w:rPr>
            <w:webHidden/>
          </w:rPr>
          <w:instrText xml:space="preserve"> PAGEREF _Toc518640207 \h </w:instrText>
        </w:r>
        <w:r w:rsidR="001F6AC2">
          <w:rPr>
            <w:webHidden/>
          </w:rPr>
        </w:r>
        <w:r w:rsidR="001F6AC2">
          <w:rPr>
            <w:webHidden/>
          </w:rPr>
          <w:fldChar w:fldCharType="separate"/>
        </w:r>
        <w:r w:rsidR="005F1DA9">
          <w:rPr>
            <w:webHidden/>
          </w:rPr>
          <w:t>4</w:t>
        </w:r>
        <w:r w:rsidR="001F6AC2">
          <w:rPr>
            <w:webHidden/>
          </w:rPr>
          <w:fldChar w:fldCharType="end"/>
        </w:r>
      </w:hyperlink>
    </w:p>
    <w:p w14:paraId="49940B32" w14:textId="77777777" w:rsidR="001F6AC2" w:rsidRDefault="00F17D88" w:rsidP="001F6AC2">
      <w:pPr>
        <w:pStyle w:val="TOC2"/>
        <w:spacing w:before="160" w:after="160"/>
        <w:rPr>
          <w:rFonts w:asciiTheme="minorHAnsi" w:hAnsiTheme="minorHAnsi" w:cstheme="minorBidi"/>
          <w:sz w:val="22"/>
          <w:lang w:eastAsia="en-AU"/>
        </w:rPr>
      </w:pPr>
      <w:hyperlink w:anchor="_Toc518640208" w:history="1">
        <w:r w:rsidR="001F6AC2" w:rsidRPr="00A72B53">
          <w:rPr>
            <w:rStyle w:val="Hyperlink"/>
          </w:rPr>
          <w:t>1.2</w:t>
        </w:r>
        <w:r w:rsidR="001F6AC2">
          <w:rPr>
            <w:rFonts w:asciiTheme="minorHAnsi" w:hAnsiTheme="minorHAnsi" w:cstheme="minorBidi"/>
            <w:sz w:val="22"/>
            <w:lang w:eastAsia="en-AU"/>
          </w:rPr>
          <w:tab/>
        </w:r>
        <w:r w:rsidR="001F6AC2" w:rsidRPr="00A72B53">
          <w:rPr>
            <w:rStyle w:val="Hyperlink"/>
          </w:rPr>
          <w:t>Overview of DFAT Nauru’s Infrastructure Investments</w:t>
        </w:r>
        <w:r w:rsidR="001F6AC2">
          <w:rPr>
            <w:webHidden/>
          </w:rPr>
          <w:tab/>
        </w:r>
        <w:r w:rsidR="001F6AC2">
          <w:rPr>
            <w:webHidden/>
          </w:rPr>
          <w:fldChar w:fldCharType="begin"/>
        </w:r>
        <w:r w:rsidR="001F6AC2">
          <w:rPr>
            <w:webHidden/>
          </w:rPr>
          <w:instrText xml:space="preserve"> PAGEREF _Toc518640208 \h </w:instrText>
        </w:r>
        <w:r w:rsidR="001F6AC2">
          <w:rPr>
            <w:webHidden/>
          </w:rPr>
        </w:r>
        <w:r w:rsidR="001F6AC2">
          <w:rPr>
            <w:webHidden/>
          </w:rPr>
          <w:fldChar w:fldCharType="separate"/>
        </w:r>
        <w:r w:rsidR="005F1DA9">
          <w:rPr>
            <w:webHidden/>
          </w:rPr>
          <w:t>5</w:t>
        </w:r>
        <w:r w:rsidR="001F6AC2">
          <w:rPr>
            <w:webHidden/>
          </w:rPr>
          <w:fldChar w:fldCharType="end"/>
        </w:r>
      </w:hyperlink>
    </w:p>
    <w:p w14:paraId="4F7E5AF9" w14:textId="77777777" w:rsidR="001F6AC2" w:rsidRDefault="00F17D88" w:rsidP="001F6AC2">
      <w:pPr>
        <w:pStyle w:val="TOC1"/>
        <w:rPr>
          <w:rFonts w:asciiTheme="minorHAnsi" w:hAnsiTheme="minorHAnsi" w:cstheme="minorBidi"/>
          <w:b w:val="0"/>
          <w:sz w:val="22"/>
          <w:lang w:eastAsia="en-AU"/>
        </w:rPr>
      </w:pPr>
      <w:hyperlink w:anchor="_Toc518640209" w:history="1">
        <w:r w:rsidR="001F6AC2" w:rsidRPr="00A72B53">
          <w:rPr>
            <w:rStyle w:val="Hyperlink"/>
          </w:rPr>
          <w:t>2</w:t>
        </w:r>
        <w:r w:rsidR="001F6AC2">
          <w:rPr>
            <w:rFonts w:asciiTheme="minorHAnsi" w:hAnsiTheme="minorHAnsi" w:cstheme="minorBidi"/>
            <w:b w:val="0"/>
            <w:sz w:val="22"/>
            <w:lang w:eastAsia="en-AU"/>
          </w:rPr>
          <w:tab/>
        </w:r>
        <w:r w:rsidR="001F6AC2" w:rsidRPr="00A72B53">
          <w:rPr>
            <w:rStyle w:val="Hyperlink"/>
          </w:rPr>
          <w:t>Objectives</w:t>
        </w:r>
        <w:r w:rsidR="001F6AC2">
          <w:rPr>
            <w:webHidden/>
          </w:rPr>
          <w:tab/>
        </w:r>
        <w:r w:rsidR="001F6AC2">
          <w:rPr>
            <w:webHidden/>
          </w:rPr>
          <w:fldChar w:fldCharType="begin"/>
        </w:r>
        <w:r w:rsidR="001F6AC2">
          <w:rPr>
            <w:webHidden/>
          </w:rPr>
          <w:instrText xml:space="preserve"> PAGEREF _Toc518640209 \h </w:instrText>
        </w:r>
        <w:r w:rsidR="001F6AC2">
          <w:rPr>
            <w:webHidden/>
          </w:rPr>
        </w:r>
        <w:r w:rsidR="001F6AC2">
          <w:rPr>
            <w:webHidden/>
          </w:rPr>
          <w:fldChar w:fldCharType="separate"/>
        </w:r>
        <w:r w:rsidR="005F1DA9">
          <w:rPr>
            <w:webHidden/>
          </w:rPr>
          <w:t>7</w:t>
        </w:r>
        <w:r w:rsidR="001F6AC2">
          <w:rPr>
            <w:webHidden/>
          </w:rPr>
          <w:fldChar w:fldCharType="end"/>
        </w:r>
      </w:hyperlink>
    </w:p>
    <w:p w14:paraId="3D74EC2E" w14:textId="77777777" w:rsidR="001F6AC2" w:rsidRDefault="00F17D88" w:rsidP="001F6AC2">
      <w:pPr>
        <w:pStyle w:val="TOC2"/>
        <w:spacing w:before="160" w:after="160"/>
        <w:rPr>
          <w:rFonts w:asciiTheme="minorHAnsi" w:hAnsiTheme="minorHAnsi" w:cstheme="minorBidi"/>
          <w:sz w:val="22"/>
          <w:lang w:eastAsia="en-AU"/>
        </w:rPr>
      </w:pPr>
      <w:hyperlink w:anchor="_Toc518640210" w:history="1">
        <w:r w:rsidR="001F6AC2" w:rsidRPr="00A72B53">
          <w:rPr>
            <w:rStyle w:val="Hyperlink"/>
          </w:rPr>
          <w:t>2.1</w:t>
        </w:r>
        <w:r w:rsidR="001F6AC2">
          <w:rPr>
            <w:rFonts w:asciiTheme="minorHAnsi" w:hAnsiTheme="minorHAnsi" w:cstheme="minorBidi"/>
            <w:sz w:val="22"/>
            <w:lang w:eastAsia="en-AU"/>
          </w:rPr>
          <w:tab/>
        </w:r>
        <w:r w:rsidR="001F6AC2" w:rsidRPr="00A72B53">
          <w:rPr>
            <w:rStyle w:val="Hyperlink"/>
          </w:rPr>
          <w:t>Purpose</w:t>
        </w:r>
        <w:r w:rsidR="001F6AC2">
          <w:rPr>
            <w:webHidden/>
          </w:rPr>
          <w:tab/>
        </w:r>
        <w:r w:rsidR="001F6AC2">
          <w:rPr>
            <w:webHidden/>
          </w:rPr>
          <w:fldChar w:fldCharType="begin"/>
        </w:r>
        <w:r w:rsidR="001F6AC2">
          <w:rPr>
            <w:webHidden/>
          </w:rPr>
          <w:instrText xml:space="preserve"> PAGEREF _Toc518640210 \h </w:instrText>
        </w:r>
        <w:r w:rsidR="001F6AC2">
          <w:rPr>
            <w:webHidden/>
          </w:rPr>
        </w:r>
        <w:r w:rsidR="001F6AC2">
          <w:rPr>
            <w:webHidden/>
          </w:rPr>
          <w:fldChar w:fldCharType="separate"/>
        </w:r>
        <w:r w:rsidR="005F1DA9">
          <w:rPr>
            <w:webHidden/>
          </w:rPr>
          <w:t>7</w:t>
        </w:r>
        <w:r w:rsidR="001F6AC2">
          <w:rPr>
            <w:webHidden/>
          </w:rPr>
          <w:fldChar w:fldCharType="end"/>
        </w:r>
      </w:hyperlink>
    </w:p>
    <w:p w14:paraId="499585DD" w14:textId="77777777" w:rsidR="001F6AC2" w:rsidRDefault="00F17D88" w:rsidP="001F6AC2">
      <w:pPr>
        <w:pStyle w:val="TOC2"/>
        <w:spacing w:before="160" w:after="160"/>
        <w:rPr>
          <w:rFonts w:asciiTheme="minorHAnsi" w:hAnsiTheme="minorHAnsi" w:cstheme="minorBidi"/>
          <w:sz w:val="22"/>
          <w:lang w:eastAsia="en-AU"/>
        </w:rPr>
      </w:pPr>
      <w:hyperlink w:anchor="_Toc518640211" w:history="1">
        <w:r w:rsidR="001F6AC2" w:rsidRPr="00A72B53">
          <w:rPr>
            <w:rStyle w:val="Hyperlink"/>
          </w:rPr>
          <w:t>2.2</w:t>
        </w:r>
        <w:r w:rsidR="001F6AC2">
          <w:rPr>
            <w:rFonts w:asciiTheme="minorHAnsi" w:hAnsiTheme="minorHAnsi" w:cstheme="minorBidi"/>
            <w:sz w:val="22"/>
            <w:lang w:eastAsia="en-AU"/>
          </w:rPr>
          <w:tab/>
        </w:r>
        <w:r w:rsidR="001F6AC2" w:rsidRPr="00A72B53">
          <w:rPr>
            <w:rStyle w:val="Hyperlink"/>
          </w:rPr>
          <w:t>Methodology</w:t>
        </w:r>
        <w:r w:rsidR="001F6AC2">
          <w:rPr>
            <w:webHidden/>
          </w:rPr>
          <w:tab/>
        </w:r>
        <w:r w:rsidR="001F6AC2">
          <w:rPr>
            <w:webHidden/>
          </w:rPr>
          <w:fldChar w:fldCharType="begin"/>
        </w:r>
        <w:r w:rsidR="001F6AC2">
          <w:rPr>
            <w:webHidden/>
          </w:rPr>
          <w:instrText xml:space="preserve"> PAGEREF _Toc518640211 \h </w:instrText>
        </w:r>
        <w:r w:rsidR="001F6AC2">
          <w:rPr>
            <w:webHidden/>
          </w:rPr>
        </w:r>
        <w:r w:rsidR="001F6AC2">
          <w:rPr>
            <w:webHidden/>
          </w:rPr>
          <w:fldChar w:fldCharType="separate"/>
        </w:r>
        <w:r w:rsidR="005F1DA9">
          <w:rPr>
            <w:webHidden/>
          </w:rPr>
          <w:t>7</w:t>
        </w:r>
        <w:r w:rsidR="001F6AC2">
          <w:rPr>
            <w:webHidden/>
          </w:rPr>
          <w:fldChar w:fldCharType="end"/>
        </w:r>
      </w:hyperlink>
    </w:p>
    <w:p w14:paraId="083D515F" w14:textId="77777777" w:rsidR="001F6AC2" w:rsidRDefault="00F17D88" w:rsidP="001F6AC2">
      <w:pPr>
        <w:pStyle w:val="TOC2"/>
        <w:spacing w:before="160" w:after="160"/>
        <w:rPr>
          <w:rFonts w:asciiTheme="minorHAnsi" w:hAnsiTheme="minorHAnsi" w:cstheme="minorBidi"/>
          <w:sz w:val="22"/>
          <w:lang w:eastAsia="en-AU"/>
        </w:rPr>
      </w:pPr>
      <w:hyperlink w:anchor="_Toc518640212" w:history="1">
        <w:r w:rsidR="001F6AC2" w:rsidRPr="00A72B53">
          <w:rPr>
            <w:rStyle w:val="Hyperlink"/>
          </w:rPr>
          <w:t>2.3</w:t>
        </w:r>
        <w:r w:rsidR="001F6AC2">
          <w:rPr>
            <w:rFonts w:asciiTheme="minorHAnsi" w:hAnsiTheme="minorHAnsi" w:cstheme="minorBidi"/>
            <w:sz w:val="22"/>
            <w:lang w:eastAsia="en-AU"/>
          </w:rPr>
          <w:tab/>
        </w:r>
        <w:r w:rsidR="001F6AC2" w:rsidRPr="00A72B53">
          <w:rPr>
            <w:rStyle w:val="Hyperlink"/>
          </w:rPr>
          <w:t>Review Limitations</w:t>
        </w:r>
        <w:r w:rsidR="001F6AC2">
          <w:rPr>
            <w:webHidden/>
          </w:rPr>
          <w:tab/>
        </w:r>
        <w:r w:rsidR="001F6AC2">
          <w:rPr>
            <w:webHidden/>
          </w:rPr>
          <w:fldChar w:fldCharType="begin"/>
        </w:r>
        <w:r w:rsidR="001F6AC2">
          <w:rPr>
            <w:webHidden/>
          </w:rPr>
          <w:instrText xml:space="preserve"> PAGEREF _Toc518640212 \h </w:instrText>
        </w:r>
        <w:r w:rsidR="001F6AC2">
          <w:rPr>
            <w:webHidden/>
          </w:rPr>
        </w:r>
        <w:r w:rsidR="001F6AC2">
          <w:rPr>
            <w:webHidden/>
          </w:rPr>
          <w:fldChar w:fldCharType="separate"/>
        </w:r>
        <w:r w:rsidR="005F1DA9">
          <w:rPr>
            <w:webHidden/>
          </w:rPr>
          <w:t>8</w:t>
        </w:r>
        <w:r w:rsidR="001F6AC2">
          <w:rPr>
            <w:webHidden/>
          </w:rPr>
          <w:fldChar w:fldCharType="end"/>
        </w:r>
      </w:hyperlink>
    </w:p>
    <w:p w14:paraId="33675412" w14:textId="77777777" w:rsidR="001F6AC2" w:rsidRDefault="00F17D88" w:rsidP="001F6AC2">
      <w:pPr>
        <w:pStyle w:val="TOC1"/>
        <w:rPr>
          <w:rFonts w:asciiTheme="minorHAnsi" w:hAnsiTheme="minorHAnsi" w:cstheme="minorBidi"/>
          <w:b w:val="0"/>
          <w:sz w:val="22"/>
          <w:lang w:eastAsia="en-AU"/>
        </w:rPr>
      </w:pPr>
      <w:hyperlink w:anchor="_Toc518640213" w:history="1">
        <w:r w:rsidR="001F6AC2" w:rsidRPr="00A72B53">
          <w:rPr>
            <w:rStyle w:val="Hyperlink"/>
          </w:rPr>
          <w:t>3</w:t>
        </w:r>
        <w:r w:rsidR="001F6AC2">
          <w:rPr>
            <w:rFonts w:asciiTheme="minorHAnsi" w:hAnsiTheme="minorHAnsi" w:cstheme="minorBidi"/>
            <w:b w:val="0"/>
            <w:sz w:val="22"/>
            <w:lang w:eastAsia="en-AU"/>
          </w:rPr>
          <w:tab/>
        </w:r>
        <w:r w:rsidR="001F6AC2" w:rsidRPr="00A72B53">
          <w:rPr>
            <w:rStyle w:val="Hyperlink"/>
          </w:rPr>
          <w:t>Review Findings</w:t>
        </w:r>
        <w:r w:rsidR="001F6AC2">
          <w:rPr>
            <w:webHidden/>
          </w:rPr>
          <w:tab/>
        </w:r>
        <w:r w:rsidR="001F6AC2">
          <w:rPr>
            <w:webHidden/>
          </w:rPr>
          <w:fldChar w:fldCharType="begin"/>
        </w:r>
        <w:r w:rsidR="001F6AC2">
          <w:rPr>
            <w:webHidden/>
          </w:rPr>
          <w:instrText xml:space="preserve"> PAGEREF _Toc518640213 \h </w:instrText>
        </w:r>
        <w:r w:rsidR="001F6AC2">
          <w:rPr>
            <w:webHidden/>
          </w:rPr>
        </w:r>
        <w:r w:rsidR="001F6AC2">
          <w:rPr>
            <w:webHidden/>
          </w:rPr>
          <w:fldChar w:fldCharType="separate"/>
        </w:r>
        <w:r w:rsidR="005F1DA9">
          <w:rPr>
            <w:webHidden/>
          </w:rPr>
          <w:t>9</w:t>
        </w:r>
        <w:r w:rsidR="001F6AC2">
          <w:rPr>
            <w:webHidden/>
          </w:rPr>
          <w:fldChar w:fldCharType="end"/>
        </w:r>
      </w:hyperlink>
    </w:p>
    <w:p w14:paraId="1E1116F9" w14:textId="77777777" w:rsidR="001F6AC2" w:rsidRDefault="00F17D88" w:rsidP="001F6AC2">
      <w:pPr>
        <w:pStyle w:val="TOC2"/>
        <w:spacing w:before="160" w:after="160"/>
        <w:rPr>
          <w:rFonts w:asciiTheme="minorHAnsi" w:hAnsiTheme="minorHAnsi" w:cstheme="minorBidi"/>
          <w:sz w:val="22"/>
          <w:lang w:eastAsia="en-AU"/>
        </w:rPr>
      </w:pPr>
      <w:hyperlink w:anchor="_Toc518640214" w:history="1">
        <w:r w:rsidR="001F6AC2" w:rsidRPr="00A72B53">
          <w:rPr>
            <w:rStyle w:val="Hyperlink"/>
          </w:rPr>
          <w:t>3.1</w:t>
        </w:r>
        <w:r w:rsidR="001F6AC2">
          <w:rPr>
            <w:rFonts w:asciiTheme="minorHAnsi" w:hAnsiTheme="minorHAnsi" w:cstheme="minorBidi"/>
            <w:sz w:val="22"/>
            <w:lang w:eastAsia="en-AU"/>
          </w:rPr>
          <w:tab/>
        </w:r>
        <w:r w:rsidR="001F6AC2" w:rsidRPr="00A72B53">
          <w:rPr>
            <w:rStyle w:val="Hyperlink"/>
          </w:rPr>
          <w:t>Overall Findings</w:t>
        </w:r>
        <w:r w:rsidR="001F6AC2">
          <w:rPr>
            <w:webHidden/>
          </w:rPr>
          <w:tab/>
        </w:r>
        <w:r w:rsidR="001F6AC2">
          <w:rPr>
            <w:webHidden/>
          </w:rPr>
          <w:fldChar w:fldCharType="begin"/>
        </w:r>
        <w:r w:rsidR="001F6AC2">
          <w:rPr>
            <w:webHidden/>
          </w:rPr>
          <w:instrText xml:space="preserve"> PAGEREF _Toc518640214 \h </w:instrText>
        </w:r>
        <w:r w:rsidR="001F6AC2">
          <w:rPr>
            <w:webHidden/>
          </w:rPr>
        </w:r>
        <w:r w:rsidR="001F6AC2">
          <w:rPr>
            <w:webHidden/>
          </w:rPr>
          <w:fldChar w:fldCharType="separate"/>
        </w:r>
        <w:r w:rsidR="005F1DA9">
          <w:rPr>
            <w:webHidden/>
          </w:rPr>
          <w:t>9</w:t>
        </w:r>
        <w:r w:rsidR="001F6AC2">
          <w:rPr>
            <w:webHidden/>
          </w:rPr>
          <w:fldChar w:fldCharType="end"/>
        </w:r>
      </w:hyperlink>
    </w:p>
    <w:p w14:paraId="10AB1F88" w14:textId="77777777" w:rsidR="001F6AC2" w:rsidRDefault="00F17D88" w:rsidP="001F6AC2">
      <w:pPr>
        <w:pStyle w:val="TOC2"/>
        <w:spacing w:before="160" w:after="160"/>
        <w:rPr>
          <w:rFonts w:asciiTheme="minorHAnsi" w:hAnsiTheme="minorHAnsi" w:cstheme="minorBidi"/>
          <w:sz w:val="22"/>
          <w:lang w:eastAsia="en-AU"/>
        </w:rPr>
      </w:pPr>
      <w:hyperlink w:anchor="_Toc518640215" w:history="1">
        <w:r w:rsidR="001F6AC2" w:rsidRPr="00A72B53">
          <w:rPr>
            <w:rStyle w:val="Hyperlink"/>
          </w:rPr>
          <w:t>3.2</w:t>
        </w:r>
        <w:r w:rsidR="001F6AC2">
          <w:rPr>
            <w:rFonts w:asciiTheme="minorHAnsi" w:hAnsiTheme="minorHAnsi" w:cstheme="minorBidi"/>
            <w:sz w:val="22"/>
            <w:lang w:eastAsia="en-AU"/>
          </w:rPr>
          <w:tab/>
        </w:r>
        <w:r w:rsidR="001F6AC2" w:rsidRPr="00A72B53">
          <w:rPr>
            <w:rStyle w:val="Hyperlink"/>
          </w:rPr>
          <w:t>Relevance</w:t>
        </w:r>
        <w:r w:rsidR="001F6AC2">
          <w:rPr>
            <w:webHidden/>
          </w:rPr>
          <w:tab/>
        </w:r>
        <w:r w:rsidR="001F6AC2">
          <w:rPr>
            <w:webHidden/>
          </w:rPr>
          <w:fldChar w:fldCharType="begin"/>
        </w:r>
        <w:r w:rsidR="001F6AC2">
          <w:rPr>
            <w:webHidden/>
          </w:rPr>
          <w:instrText xml:space="preserve"> PAGEREF _Toc518640215 \h </w:instrText>
        </w:r>
        <w:r w:rsidR="001F6AC2">
          <w:rPr>
            <w:webHidden/>
          </w:rPr>
        </w:r>
        <w:r w:rsidR="001F6AC2">
          <w:rPr>
            <w:webHidden/>
          </w:rPr>
          <w:fldChar w:fldCharType="separate"/>
        </w:r>
        <w:r w:rsidR="005F1DA9">
          <w:rPr>
            <w:webHidden/>
          </w:rPr>
          <w:t>9</w:t>
        </w:r>
        <w:r w:rsidR="001F6AC2">
          <w:rPr>
            <w:webHidden/>
          </w:rPr>
          <w:fldChar w:fldCharType="end"/>
        </w:r>
      </w:hyperlink>
    </w:p>
    <w:p w14:paraId="0FE56C6A" w14:textId="77777777" w:rsidR="001F6AC2" w:rsidRDefault="00F17D88" w:rsidP="001F6AC2">
      <w:pPr>
        <w:pStyle w:val="TOC2"/>
        <w:spacing w:before="160" w:after="160"/>
        <w:rPr>
          <w:rFonts w:asciiTheme="minorHAnsi" w:hAnsiTheme="minorHAnsi" w:cstheme="minorBidi"/>
          <w:sz w:val="22"/>
          <w:lang w:eastAsia="en-AU"/>
        </w:rPr>
      </w:pPr>
      <w:hyperlink w:anchor="_Toc518640216" w:history="1">
        <w:r w:rsidR="001F6AC2" w:rsidRPr="00A72B53">
          <w:rPr>
            <w:rStyle w:val="Hyperlink"/>
          </w:rPr>
          <w:t>3.3</w:t>
        </w:r>
        <w:r w:rsidR="001F6AC2">
          <w:rPr>
            <w:rFonts w:asciiTheme="minorHAnsi" w:hAnsiTheme="minorHAnsi" w:cstheme="minorBidi"/>
            <w:sz w:val="22"/>
            <w:lang w:eastAsia="en-AU"/>
          </w:rPr>
          <w:tab/>
        </w:r>
        <w:r w:rsidR="001F6AC2" w:rsidRPr="00A72B53">
          <w:rPr>
            <w:rStyle w:val="Hyperlink"/>
          </w:rPr>
          <w:t>Effectiveness</w:t>
        </w:r>
        <w:r w:rsidR="001F6AC2">
          <w:rPr>
            <w:webHidden/>
          </w:rPr>
          <w:tab/>
        </w:r>
        <w:r w:rsidR="001F6AC2">
          <w:rPr>
            <w:webHidden/>
          </w:rPr>
          <w:fldChar w:fldCharType="begin"/>
        </w:r>
        <w:r w:rsidR="001F6AC2">
          <w:rPr>
            <w:webHidden/>
          </w:rPr>
          <w:instrText xml:space="preserve"> PAGEREF _Toc518640216 \h </w:instrText>
        </w:r>
        <w:r w:rsidR="001F6AC2">
          <w:rPr>
            <w:webHidden/>
          </w:rPr>
        </w:r>
        <w:r w:rsidR="001F6AC2">
          <w:rPr>
            <w:webHidden/>
          </w:rPr>
          <w:fldChar w:fldCharType="separate"/>
        </w:r>
        <w:r w:rsidR="005F1DA9">
          <w:rPr>
            <w:webHidden/>
          </w:rPr>
          <w:t>10</w:t>
        </w:r>
        <w:r w:rsidR="001F6AC2">
          <w:rPr>
            <w:webHidden/>
          </w:rPr>
          <w:fldChar w:fldCharType="end"/>
        </w:r>
      </w:hyperlink>
    </w:p>
    <w:p w14:paraId="6F7CE756" w14:textId="77777777" w:rsidR="001F6AC2" w:rsidRDefault="00F17D88" w:rsidP="001F6AC2">
      <w:pPr>
        <w:pStyle w:val="TOC2"/>
        <w:spacing w:before="160" w:after="160"/>
        <w:rPr>
          <w:rFonts w:asciiTheme="minorHAnsi" w:hAnsiTheme="minorHAnsi" w:cstheme="minorBidi"/>
          <w:sz w:val="22"/>
          <w:lang w:eastAsia="en-AU"/>
        </w:rPr>
      </w:pPr>
      <w:hyperlink w:anchor="_Toc518640217" w:history="1">
        <w:r w:rsidR="001F6AC2" w:rsidRPr="00A72B53">
          <w:rPr>
            <w:rStyle w:val="Hyperlink"/>
          </w:rPr>
          <w:t>3.4</w:t>
        </w:r>
        <w:r w:rsidR="001F6AC2">
          <w:rPr>
            <w:rFonts w:asciiTheme="minorHAnsi" w:hAnsiTheme="minorHAnsi" w:cstheme="minorBidi"/>
            <w:sz w:val="22"/>
            <w:lang w:eastAsia="en-AU"/>
          </w:rPr>
          <w:tab/>
        </w:r>
        <w:r w:rsidR="001F6AC2" w:rsidRPr="00A72B53">
          <w:rPr>
            <w:rStyle w:val="Hyperlink"/>
          </w:rPr>
          <w:t>Efficiency</w:t>
        </w:r>
        <w:r w:rsidR="001F6AC2">
          <w:rPr>
            <w:webHidden/>
          </w:rPr>
          <w:tab/>
        </w:r>
        <w:r w:rsidR="001F6AC2">
          <w:rPr>
            <w:webHidden/>
          </w:rPr>
          <w:fldChar w:fldCharType="begin"/>
        </w:r>
        <w:r w:rsidR="001F6AC2">
          <w:rPr>
            <w:webHidden/>
          </w:rPr>
          <w:instrText xml:space="preserve"> PAGEREF _Toc518640217 \h </w:instrText>
        </w:r>
        <w:r w:rsidR="001F6AC2">
          <w:rPr>
            <w:webHidden/>
          </w:rPr>
        </w:r>
        <w:r w:rsidR="001F6AC2">
          <w:rPr>
            <w:webHidden/>
          </w:rPr>
          <w:fldChar w:fldCharType="separate"/>
        </w:r>
        <w:r w:rsidR="005F1DA9">
          <w:rPr>
            <w:webHidden/>
          </w:rPr>
          <w:t>12</w:t>
        </w:r>
        <w:r w:rsidR="001F6AC2">
          <w:rPr>
            <w:webHidden/>
          </w:rPr>
          <w:fldChar w:fldCharType="end"/>
        </w:r>
      </w:hyperlink>
    </w:p>
    <w:p w14:paraId="25C3BD5D" w14:textId="77777777" w:rsidR="001F6AC2" w:rsidRDefault="00F17D88" w:rsidP="001F6AC2">
      <w:pPr>
        <w:pStyle w:val="TOC2"/>
        <w:spacing w:before="160" w:after="160"/>
        <w:rPr>
          <w:rFonts w:asciiTheme="minorHAnsi" w:hAnsiTheme="minorHAnsi" w:cstheme="minorBidi"/>
          <w:sz w:val="22"/>
          <w:lang w:eastAsia="en-AU"/>
        </w:rPr>
      </w:pPr>
      <w:hyperlink w:anchor="_Toc518640218" w:history="1">
        <w:r w:rsidR="001F6AC2" w:rsidRPr="00A72B53">
          <w:rPr>
            <w:rStyle w:val="Hyperlink"/>
          </w:rPr>
          <w:t>3.5</w:t>
        </w:r>
        <w:r w:rsidR="001F6AC2">
          <w:rPr>
            <w:rFonts w:asciiTheme="minorHAnsi" w:hAnsiTheme="minorHAnsi" w:cstheme="minorBidi"/>
            <w:sz w:val="22"/>
            <w:lang w:eastAsia="en-AU"/>
          </w:rPr>
          <w:tab/>
        </w:r>
        <w:r w:rsidR="001F6AC2" w:rsidRPr="00A72B53">
          <w:rPr>
            <w:rStyle w:val="Hyperlink"/>
          </w:rPr>
          <w:t>Monitoring and Evaluation</w:t>
        </w:r>
        <w:r w:rsidR="001F6AC2">
          <w:rPr>
            <w:webHidden/>
          </w:rPr>
          <w:tab/>
        </w:r>
        <w:r w:rsidR="001F6AC2">
          <w:rPr>
            <w:webHidden/>
          </w:rPr>
          <w:fldChar w:fldCharType="begin"/>
        </w:r>
        <w:r w:rsidR="001F6AC2">
          <w:rPr>
            <w:webHidden/>
          </w:rPr>
          <w:instrText xml:space="preserve"> PAGEREF _Toc518640218 \h </w:instrText>
        </w:r>
        <w:r w:rsidR="001F6AC2">
          <w:rPr>
            <w:webHidden/>
          </w:rPr>
        </w:r>
        <w:r w:rsidR="001F6AC2">
          <w:rPr>
            <w:webHidden/>
          </w:rPr>
          <w:fldChar w:fldCharType="separate"/>
        </w:r>
        <w:r w:rsidR="005F1DA9">
          <w:rPr>
            <w:webHidden/>
          </w:rPr>
          <w:t>14</w:t>
        </w:r>
        <w:r w:rsidR="001F6AC2">
          <w:rPr>
            <w:webHidden/>
          </w:rPr>
          <w:fldChar w:fldCharType="end"/>
        </w:r>
      </w:hyperlink>
    </w:p>
    <w:p w14:paraId="61445AA5" w14:textId="77777777" w:rsidR="001F6AC2" w:rsidRDefault="00F17D88" w:rsidP="001F6AC2">
      <w:pPr>
        <w:pStyle w:val="TOC2"/>
        <w:spacing w:before="160" w:after="160"/>
        <w:rPr>
          <w:rFonts w:asciiTheme="minorHAnsi" w:hAnsiTheme="minorHAnsi" w:cstheme="minorBidi"/>
          <w:sz w:val="22"/>
          <w:lang w:eastAsia="en-AU"/>
        </w:rPr>
      </w:pPr>
      <w:hyperlink w:anchor="_Toc518640219" w:history="1">
        <w:r w:rsidR="001F6AC2" w:rsidRPr="00A72B53">
          <w:rPr>
            <w:rStyle w:val="Hyperlink"/>
          </w:rPr>
          <w:t>3.6</w:t>
        </w:r>
        <w:r w:rsidR="001F6AC2">
          <w:rPr>
            <w:rFonts w:asciiTheme="minorHAnsi" w:hAnsiTheme="minorHAnsi" w:cstheme="minorBidi"/>
            <w:sz w:val="22"/>
            <w:lang w:eastAsia="en-AU"/>
          </w:rPr>
          <w:tab/>
        </w:r>
        <w:r w:rsidR="001F6AC2" w:rsidRPr="00A72B53">
          <w:rPr>
            <w:rStyle w:val="Hyperlink"/>
          </w:rPr>
          <w:t>Cross cutting issues</w:t>
        </w:r>
        <w:r w:rsidR="001F6AC2">
          <w:rPr>
            <w:webHidden/>
          </w:rPr>
          <w:tab/>
        </w:r>
        <w:r w:rsidR="001F6AC2">
          <w:rPr>
            <w:webHidden/>
          </w:rPr>
          <w:fldChar w:fldCharType="begin"/>
        </w:r>
        <w:r w:rsidR="001F6AC2">
          <w:rPr>
            <w:webHidden/>
          </w:rPr>
          <w:instrText xml:space="preserve"> PAGEREF _Toc518640219 \h </w:instrText>
        </w:r>
        <w:r w:rsidR="001F6AC2">
          <w:rPr>
            <w:webHidden/>
          </w:rPr>
        </w:r>
        <w:r w:rsidR="001F6AC2">
          <w:rPr>
            <w:webHidden/>
          </w:rPr>
          <w:fldChar w:fldCharType="separate"/>
        </w:r>
        <w:r w:rsidR="005F1DA9">
          <w:rPr>
            <w:webHidden/>
          </w:rPr>
          <w:t>15</w:t>
        </w:r>
        <w:r w:rsidR="001F6AC2">
          <w:rPr>
            <w:webHidden/>
          </w:rPr>
          <w:fldChar w:fldCharType="end"/>
        </w:r>
      </w:hyperlink>
    </w:p>
    <w:p w14:paraId="16565F2F" w14:textId="77777777" w:rsidR="001F6AC2" w:rsidRDefault="00F17D88" w:rsidP="001F6AC2">
      <w:pPr>
        <w:pStyle w:val="TOC1"/>
        <w:rPr>
          <w:rFonts w:asciiTheme="minorHAnsi" w:hAnsiTheme="minorHAnsi" w:cstheme="minorBidi"/>
          <w:b w:val="0"/>
          <w:sz w:val="22"/>
          <w:lang w:eastAsia="en-AU"/>
        </w:rPr>
      </w:pPr>
      <w:hyperlink w:anchor="_Toc518640220" w:history="1">
        <w:r w:rsidR="001F6AC2" w:rsidRPr="00A72B53">
          <w:rPr>
            <w:rStyle w:val="Hyperlink"/>
          </w:rPr>
          <w:t>4</w:t>
        </w:r>
        <w:r w:rsidR="001F6AC2">
          <w:rPr>
            <w:rFonts w:asciiTheme="minorHAnsi" w:hAnsiTheme="minorHAnsi" w:cstheme="minorBidi"/>
            <w:b w:val="0"/>
            <w:sz w:val="22"/>
            <w:lang w:eastAsia="en-AU"/>
          </w:rPr>
          <w:tab/>
        </w:r>
        <w:r w:rsidR="001F6AC2" w:rsidRPr="00A72B53">
          <w:rPr>
            <w:rStyle w:val="Hyperlink"/>
          </w:rPr>
          <w:t>Lessons Learned and Considerations</w:t>
        </w:r>
        <w:r w:rsidR="001F6AC2">
          <w:rPr>
            <w:webHidden/>
          </w:rPr>
          <w:tab/>
        </w:r>
        <w:r w:rsidR="001F6AC2">
          <w:rPr>
            <w:webHidden/>
          </w:rPr>
          <w:fldChar w:fldCharType="begin"/>
        </w:r>
        <w:r w:rsidR="001F6AC2">
          <w:rPr>
            <w:webHidden/>
          </w:rPr>
          <w:instrText xml:space="preserve"> PAGEREF _Toc518640220 \h </w:instrText>
        </w:r>
        <w:r w:rsidR="001F6AC2">
          <w:rPr>
            <w:webHidden/>
          </w:rPr>
        </w:r>
        <w:r w:rsidR="001F6AC2">
          <w:rPr>
            <w:webHidden/>
          </w:rPr>
          <w:fldChar w:fldCharType="separate"/>
        </w:r>
        <w:r w:rsidR="005F1DA9">
          <w:rPr>
            <w:webHidden/>
          </w:rPr>
          <w:t>17</w:t>
        </w:r>
        <w:r w:rsidR="001F6AC2">
          <w:rPr>
            <w:webHidden/>
          </w:rPr>
          <w:fldChar w:fldCharType="end"/>
        </w:r>
      </w:hyperlink>
    </w:p>
    <w:p w14:paraId="0A8E4F7D" w14:textId="77777777" w:rsidR="001F6AC2" w:rsidRDefault="00F17D88" w:rsidP="001F6AC2">
      <w:pPr>
        <w:pStyle w:val="TOC2"/>
        <w:spacing w:before="160" w:after="160"/>
        <w:rPr>
          <w:rFonts w:asciiTheme="minorHAnsi" w:hAnsiTheme="minorHAnsi" w:cstheme="minorBidi"/>
          <w:sz w:val="22"/>
          <w:lang w:eastAsia="en-AU"/>
        </w:rPr>
      </w:pPr>
      <w:hyperlink w:anchor="_Toc518640221" w:history="1">
        <w:r w:rsidR="001F6AC2" w:rsidRPr="00A72B53">
          <w:rPr>
            <w:rStyle w:val="Hyperlink"/>
          </w:rPr>
          <w:t>4.1</w:t>
        </w:r>
        <w:r w:rsidR="001F6AC2">
          <w:rPr>
            <w:rFonts w:asciiTheme="minorHAnsi" w:hAnsiTheme="minorHAnsi" w:cstheme="minorBidi"/>
            <w:sz w:val="22"/>
            <w:lang w:eastAsia="en-AU"/>
          </w:rPr>
          <w:tab/>
        </w:r>
        <w:r w:rsidR="001F6AC2" w:rsidRPr="00A72B53">
          <w:rPr>
            <w:rStyle w:val="Hyperlink"/>
          </w:rPr>
          <w:t>Lessons Learned</w:t>
        </w:r>
        <w:r w:rsidR="001F6AC2">
          <w:rPr>
            <w:webHidden/>
          </w:rPr>
          <w:tab/>
        </w:r>
        <w:r w:rsidR="001F6AC2">
          <w:rPr>
            <w:webHidden/>
          </w:rPr>
          <w:fldChar w:fldCharType="begin"/>
        </w:r>
        <w:r w:rsidR="001F6AC2">
          <w:rPr>
            <w:webHidden/>
          </w:rPr>
          <w:instrText xml:space="preserve"> PAGEREF _Toc518640221 \h </w:instrText>
        </w:r>
        <w:r w:rsidR="001F6AC2">
          <w:rPr>
            <w:webHidden/>
          </w:rPr>
        </w:r>
        <w:r w:rsidR="001F6AC2">
          <w:rPr>
            <w:webHidden/>
          </w:rPr>
          <w:fldChar w:fldCharType="separate"/>
        </w:r>
        <w:r w:rsidR="005F1DA9">
          <w:rPr>
            <w:webHidden/>
          </w:rPr>
          <w:t>17</w:t>
        </w:r>
        <w:r w:rsidR="001F6AC2">
          <w:rPr>
            <w:webHidden/>
          </w:rPr>
          <w:fldChar w:fldCharType="end"/>
        </w:r>
      </w:hyperlink>
    </w:p>
    <w:p w14:paraId="108C37D8" w14:textId="77777777" w:rsidR="001F6AC2" w:rsidRDefault="00F17D88" w:rsidP="001F6AC2">
      <w:pPr>
        <w:pStyle w:val="TOC1"/>
        <w:rPr>
          <w:rFonts w:asciiTheme="minorHAnsi" w:hAnsiTheme="minorHAnsi" w:cstheme="minorBidi"/>
          <w:b w:val="0"/>
          <w:sz w:val="22"/>
          <w:lang w:eastAsia="en-AU"/>
        </w:rPr>
      </w:pPr>
      <w:hyperlink w:anchor="_Toc518640222" w:history="1">
        <w:r w:rsidR="001F6AC2" w:rsidRPr="00A72B53">
          <w:rPr>
            <w:rStyle w:val="Hyperlink"/>
          </w:rPr>
          <w:t>5</w:t>
        </w:r>
        <w:r w:rsidR="001F6AC2">
          <w:rPr>
            <w:rFonts w:asciiTheme="minorHAnsi" w:hAnsiTheme="minorHAnsi" w:cstheme="minorBidi"/>
            <w:b w:val="0"/>
            <w:sz w:val="22"/>
            <w:lang w:eastAsia="en-AU"/>
          </w:rPr>
          <w:tab/>
        </w:r>
        <w:r w:rsidR="001F6AC2" w:rsidRPr="00A72B53">
          <w:rPr>
            <w:rStyle w:val="Hyperlink"/>
          </w:rPr>
          <w:t>Recommendations for a future Infrastructure strategy</w:t>
        </w:r>
        <w:r w:rsidR="001F6AC2">
          <w:rPr>
            <w:webHidden/>
          </w:rPr>
          <w:tab/>
        </w:r>
        <w:r w:rsidR="001F6AC2">
          <w:rPr>
            <w:webHidden/>
          </w:rPr>
          <w:fldChar w:fldCharType="begin"/>
        </w:r>
        <w:r w:rsidR="001F6AC2">
          <w:rPr>
            <w:webHidden/>
          </w:rPr>
          <w:instrText xml:space="preserve"> PAGEREF _Toc518640222 \h </w:instrText>
        </w:r>
        <w:r w:rsidR="001F6AC2">
          <w:rPr>
            <w:webHidden/>
          </w:rPr>
        </w:r>
        <w:r w:rsidR="001F6AC2">
          <w:rPr>
            <w:webHidden/>
          </w:rPr>
          <w:fldChar w:fldCharType="separate"/>
        </w:r>
        <w:r w:rsidR="005F1DA9">
          <w:rPr>
            <w:webHidden/>
          </w:rPr>
          <w:t>18</w:t>
        </w:r>
        <w:r w:rsidR="001F6AC2">
          <w:rPr>
            <w:webHidden/>
          </w:rPr>
          <w:fldChar w:fldCharType="end"/>
        </w:r>
      </w:hyperlink>
    </w:p>
    <w:p w14:paraId="6E470D3E" w14:textId="77777777" w:rsidR="001F6AC2" w:rsidRDefault="00F17D88" w:rsidP="001F6AC2">
      <w:pPr>
        <w:pStyle w:val="TOC1"/>
        <w:rPr>
          <w:rFonts w:asciiTheme="minorHAnsi" w:hAnsiTheme="minorHAnsi" w:cstheme="minorBidi"/>
          <w:b w:val="0"/>
          <w:sz w:val="22"/>
          <w:lang w:eastAsia="en-AU"/>
        </w:rPr>
      </w:pPr>
      <w:hyperlink w:anchor="_Toc518640223" w:history="1">
        <w:r w:rsidR="001F6AC2" w:rsidRPr="00A72B53">
          <w:rPr>
            <w:rStyle w:val="Hyperlink"/>
          </w:rPr>
          <w:t>Annex A – Key Review Questions</w:t>
        </w:r>
        <w:r w:rsidR="001F6AC2">
          <w:rPr>
            <w:webHidden/>
          </w:rPr>
          <w:tab/>
        </w:r>
        <w:r w:rsidR="001F6AC2">
          <w:rPr>
            <w:webHidden/>
          </w:rPr>
          <w:fldChar w:fldCharType="begin"/>
        </w:r>
        <w:r w:rsidR="001F6AC2">
          <w:rPr>
            <w:webHidden/>
          </w:rPr>
          <w:instrText xml:space="preserve"> PAGEREF _Toc518640223 \h </w:instrText>
        </w:r>
        <w:r w:rsidR="001F6AC2">
          <w:rPr>
            <w:webHidden/>
          </w:rPr>
        </w:r>
        <w:r w:rsidR="001F6AC2">
          <w:rPr>
            <w:webHidden/>
          </w:rPr>
          <w:fldChar w:fldCharType="separate"/>
        </w:r>
        <w:r w:rsidR="005F1DA9">
          <w:rPr>
            <w:webHidden/>
          </w:rPr>
          <w:t>20</w:t>
        </w:r>
        <w:r w:rsidR="001F6AC2">
          <w:rPr>
            <w:webHidden/>
          </w:rPr>
          <w:fldChar w:fldCharType="end"/>
        </w:r>
      </w:hyperlink>
    </w:p>
    <w:p w14:paraId="36D3F112" w14:textId="77777777" w:rsidR="001F6AC2" w:rsidRDefault="00F17D88" w:rsidP="001F6AC2">
      <w:pPr>
        <w:pStyle w:val="TOC1"/>
        <w:rPr>
          <w:rFonts w:asciiTheme="minorHAnsi" w:hAnsiTheme="minorHAnsi" w:cstheme="minorBidi"/>
          <w:b w:val="0"/>
          <w:sz w:val="22"/>
          <w:lang w:eastAsia="en-AU"/>
        </w:rPr>
      </w:pPr>
      <w:hyperlink w:anchor="_Toc518640224" w:history="1">
        <w:r w:rsidR="001F6AC2" w:rsidRPr="00A72B53">
          <w:rPr>
            <w:rStyle w:val="Hyperlink"/>
          </w:rPr>
          <w:t>Annex B – Evidence Matrix</w:t>
        </w:r>
        <w:r w:rsidR="001F6AC2">
          <w:rPr>
            <w:webHidden/>
          </w:rPr>
          <w:tab/>
        </w:r>
        <w:r w:rsidR="001F6AC2">
          <w:rPr>
            <w:webHidden/>
          </w:rPr>
          <w:fldChar w:fldCharType="begin"/>
        </w:r>
        <w:r w:rsidR="001F6AC2">
          <w:rPr>
            <w:webHidden/>
          </w:rPr>
          <w:instrText xml:space="preserve"> PAGEREF _Toc518640224 \h </w:instrText>
        </w:r>
        <w:r w:rsidR="001F6AC2">
          <w:rPr>
            <w:webHidden/>
          </w:rPr>
        </w:r>
        <w:r w:rsidR="001F6AC2">
          <w:rPr>
            <w:webHidden/>
          </w:rPr>
          <w:fldChar w:fldCharType="separate"/>
        </w:r>
        <w:r w:rsidR="005F1DA9">
          <w:rPr>
            <w:webHidden/>
          </w:rPr>
          <w:t>21</w:t>
        </w:r>
        <w:r w:rsidR="001F6AC2">
          <w:rPr>
            <w:webHidden/>
          </w:rPr>
          <w:fldChar w:fldCharType="end"/>
        </w:r>
      </w:hyperlink>
    </w:p>
    <w:p w14:paraId="7BD40897" w14:textId="77777777" w:rsidR="001F6AC2" w:rsidRDefault="00F17D88" w:rsidP="001F6AC2">
      <w:pPr>
        <w:pStyle w:val="TOC1"/>
        <w:rPr>
          <w:rFonts w:asciiTheme="minorHAnsi" w:hAnsiTheme="minorHAnsi" w:cstheme="minorBidi"/>
          <w:b w:val="0"/>
          <w:sz w:val="22"/>
          <w:lang w:eastAsia="en-AU"/>
        </w:rPr>
      </w:pPr>
      <w:hyperlink w:anchor="_Toc518640225" w:history="1">
        <w:r w:rsidR="001F6AC2" w:rsidRPr="00A72B53">
          <w:rPr>
            <w:rStyle w:val="Hyperlink"/>
          </w:rPr>
          <w:t>Annex C – List of People Interviewed</w:t>
        </w:r>
        <w:r w:rsidR="001F6AC2">
          <w:rPr>
            <w:webHidden/>
          </w:rPr>
          <w:tab/>
        </w:r>
        <w:r w:rsidR="001F6AC2">
          <w:rPr>
            <w:webHidden/>
          </w:rPr>
          <w:fldChar w:fldCharType="begin"/>
        </w:r>
        <w:r w:rsidR="001F6AC2">
          <w:rPr>
            <w:webHidden/>
          </w:rPr>
          <w:instrText xml:space="preserve"> PAGEREF _Toc518640225 \h </w:instrText>
        </w:r>
        <w:r w:rsidR="001F6AC2">
          <w:rPr>
            <w:webHidden/>
          </w:rPr>
        </w:r>
        <w:r w:rsidR="001F6AC2">
          <w:rPr>
            <w:webHidden/>
          </w:rPr>
          <w:fldChar w:fldCharType="separate"/>
        </w:r>
        <w:r w:rsidR="005F1DA9">
          <w:rPr>
            <w:webHidden/>
          </w:rPr>
          <w:t>40</w:t>
        </w:r>
        <w:r w:rsidR="001F6AC2">
          <w:rPr>
            <w:webHidden/>
          </w:rPr>
          <w:fldChar w:fldCharType="end"/>
        </w:r>
      </w:hyperlink>
    </w:p>
    <w:p w14:paraId="105A8CE2" w14:textId="77777777" w:rsidR="001F6AC2" w:rsidRDefault="00F17D88" w:rsidP="001F6AC2">
      <w:pPr>
        <w:pStyle w:val="TOC1"/>
        <w:rPr>
          <w:rFonts w:asciiTheme="minorHAnsi" w:hAnsiTheme="minorHAnsi" w:cstheme="minorBidi"/>
          <w:b w:val="0"/>
          <w:sz w:val="22"/>
          <w:lang w:eastAsia="en-AU"/>
        </w:rPr>
      </w:pPr>
      <w:hyperlink w:anchor="_Toc518640226" w:history="1">
        <w:r w:rsidR="001F6AC2" w:rsidRPr="00A72B53">
          <w:rPr>
            <w:rStyle w:val="Hyperlink"/>
          </w:rPr>
          <w:t>Annex D – Work plan and Timeframe</w:t>
        </w:r>
        <w:r w:rsidR="001F6AC2">
          <w:rPr>
            <w:webHidden/>
          </w:rPr>
          <w:tab/>
        </w:r>
        <w:r w:rsidR="001F6AC2">
          <w:rPr>
            <w:webHidden/>
          </w:rPr>
          <w:fldChar w:fldCharType="begin"/>
        </w:r>
        <w:r w:rsidR="001F6AC2">
          <w:rPr>
            <w:webHidden/>
          </w:rPr>
          <w:instrText xml:space="preserve"> PAGEREF _Toc518640226 \h </w:instrText>
        </w:r>
        <w:r w:rsidR="001F6AC2">
          <w:rPr>
            <w:webHidden/>
          </w:rPr>
        </w:r>
        <w:r w:rsidR="001F6AC2">
          <w:rPr>
            <w:webHidden/>
          </w:rPr>
          <w:fldChar w:fldCharType="separate"/>
        </w:r>
        <w:r w:rsidR="005F1DA9">
          <w:rPr>
            <w:webHidden/>
          </w:rPr>
          <w:t>42</w:t>
        </w:r>
        <w:r w:rsidR="001F6AC2">
          <w:rPr>
            <w:webHidden/>
          </w:rPr>
          <w:fldChar w:fldCharType="end"/>
        </w:r>
      </w:hyperlink>
    </w:p>
    <w:p w14:paraId="7CDB6FAC" w14:textId="77777777" w:rsidR="001F6AC2" w:rsidRDefault="00F17D88" w:rsidP="001F6AC2">
      <w:pPr>
        <w:pStyle w:val="TOC1"/>
        <w:rPr>
          <w:rFonts w:asciiTheme="minorHAnsi" w:hAnsiTheme="minorHAnsi" w:cstheme="minorBidi"/>
          <w:b w:val="0"/>
          <w:sz w:val="22"/>
          <w:lang w:eastAsia="en-AU"/>
        </w:rPr>
      </w:pPr>
      <w:hyperlink w:anchor="_Toc518640227" w:history="1">
        <w:r w:rsidR="001F6AC2" w:rsidRPr="00A72B53">
          <w:rPr>
            <w:rStyle w:val="Hyperlink"/>
          </w:rPr>
          <w:t>Annex D – Draft Interview Guide</w:t>
        </w:r>
        <w:r w:rsidR="001F6AC2">
          <w:rPr>
            <w:webHidden/>
          </w:rPr>
          <w:tab/>
        </w:r>
        <w:r w:rsidR="001F6AC2">
          <w:rPr>
            <w:webHidden/>
          </w:rPr>
          <w:fldChar w:fldCharType="begin"/>
        </w:r>
        <w:r w:rsidR="001F6AC2">
          <w:rPr>
            <w:webHidden/>
          </w:rPr>
          <w:instrText xml:space="preserve"> PAGEREF _Toc518640227 \h </w:instrText>
        </w:r>
        <w:r w:rsidR="001F6AC2">
          <w:rPr>
            <w:webHidden/>
          </w:rPr>
        </w:r>
        <w:r w:rsidR="001F6AC2">
          <w:rPr>
            <w:webHidden/>
          </w:rPr>
          <w:fldChar w:fldCharType="separate"/>
        </w:r>
        <w:r w:rsidR="005F1DA9">
          <w:rPr>
            <w:webHidden/>
          </w:rPr>
          <w:t>43</w:t>
        </w:r>
        <w:r w:rsidR="001F6AC2">
          <w:rPr>
            <w:webHidden/>
          </w:rPr>
          <w:fldChar w:fldCharType="end"/>
        </w:r>
      </w:hyperlink>
    </w:p>
    <w:p w14:paraId="095814D2" w14:textId="77777777" w:rsidR="001F6AC2" w:rsidRDefault="00F17D88" w:rsidP="001F6AC2">
      <w:pPr>
        <w:pStyle w:val="TOC1"/>
        <w:rPr>
          <w:rFonts w:asciiTheme="minorHAnsi" w:hAnsiTheme="minorHAnsi" w:cstheme="minorBidi"/>
          <w:b w:val="0"/>
          <w:sz w:val="22"/>
          <w:lang w:eastAsia="en-AU"/>
        </w:rPr>
      </w:pPr>
      <w:hyperlink w:anchor="_Toc518640228" w:history="1">
        <w:r w:rsidR="001F6AC2" w:rsidRPr="00A72B53">
          <w:rPr>
            <w:rStyle w:val="Hyperlink"/>
          </w:rPr>
          <w:t>Annex E – Strength of Evidence Rubric &amp; Rating Scale</w:t>
        </w:r>
        <w:r w:rsidR="001F6AC2">
          <w:rPr>
            <w:webHidden/>
          </w:rPr>
          <w:tab/>
        </w:r>
        <w:r w:rsidR="001F6AC2">
          <w:rPr>
            <w:webHidden/>
          </w:rPr>
          <w:fldChar w:fldCharType="begin"/>
        </w:r>
        <w:r w:rsidR="001F6AC2">
          <w:rPr>
            <w:webHidden/>
          </w:rPr>
          <w:instrText xml:space="preserve"> PAGEREF _Toc518640228 \h </w:instrText>
        </w:r>
        <w:r w:rsidR="001F6AC2">
          <w:rPr>
            <w:webHidden/>
          </w:rPr>
        </w:r>
        <w:r w:rsidR="001F6AC2">
          <w:rPr>
            <w:webHidden/>
          </w:rPr>
          <w:fldChar w:fldCharType="separate"/>
        </w:r>
        <w:r w:rsidR="005F1DA9">
          <w:rPr>
            <w:webHidden/>
          </w:rPr>
          <w:t>45</w:t>
        </w:r>
        <w:r w:rsidR="001F6AC2">
          <w:rPr>
            <w:webHidden/>
          </w:rPr>
          <w:fldChar w:fldCharType="end"/>
        </w:r>
      </w:hyperlink>
    </w:p>
    <w:p w14:paraId="13236F2B" w14:textId="77777777" w:rsidR="001F6AC2" w:rsidRDefault="00F17D88" w:rsidP="001F6AC2">
      <w:pPr>
        <w:pStyle w:val="TOC1"/>
        <w:rPr>
          <w:rFonts w:asciiTheme="minorHAnsi" w:hAnsiTheme="minorHAnsi" w:cstheme="minorBidi"/>
          <w:b w:val="0"/>
          <w:sz w:val="22"/>
          <w:lang w:eastAsia="en-AU"/>
        </w:rPr>
      </w:pPr>
      <w:hyperlink w:anchor="_Toc518640229" w:history="1">
        <w:r w:rsidR="001F6AC2" w:rsidRPr="00A72B53">
          <w:rPr>
            <w:rStyle w:val="Hyperlink"/>
          </w:rPr>
          <w:t>Annex F – KRQs and Performance Rubric</w:t>
        </w:r>
        <w:r w:rsidR="001F6AC2">
          <w:rPr>
            <w:webHidden/>
          </w:rPr>
          <w:tab/>
        </w:r>
        <w:r w:rsidR="001F6AC2">
          <w:rPr>
            <w:webHidden/>
          </w:rPr>
          <w:fldChar w:fldCharType="begin"/>
        </w:r>
        <w:r w:rsidR="001F6AC2">
          <w:rPr>
            <w:webHidden/>
          </w:rPr>
          <w:instrText xml:space="preserve"> PAGEREF _Toc518640229 \h </w:instrText>
        </w:r>
        <w:r w:rsidR="001F6AC2">
          <w:rPr>
            <w:webHidden/>
          </w:rPr>
        </w:r>
        <w:r w:rsidR="001F6AC2">
          <w:rPr>
            <w:webHidden/>
          </w:rPr>
          <w:fldChar w:fldCharType="separate"/>
        </w:r>
        <w:r w:rsidR="005F1DA9">
          <w:rPr>
            <w:webHidden/>
          </w:rPr>
          <w:t>46</w:t>
        </w:r>
        <w:r w:rsidR="001F6AC2">
          <w:rPr>
            <w:webHidden/>
          </w:rPr>
          <w:fldChar w:fldCharType="end"/>
        </w:r>
      </w:hyperlink>
    </w:p>
    <w:p w14:paraId="516C84E9" w14:textId="77777777" w:rsidR="002828C7" w:rsidRDefault="005A3541" w:rsidP="00264A99">
      <w:pPr>
        <w:pStyle w:val="Underline"/>
        <w:spacing w:before="160" w:after="160"/>
      </w:pPr>
      <w:r w:rsidRPr="005A3541">
        <w:rPr>
          <w:rFonts w:ascii="Franklin Gothic Demi" w:hAnsi="Franklin Gothic Demi"/>
          <w:bCs w:val="0"/>
          <w:lang w:val="en-US"/>
        </w:rPr>
        <w:lastRenderedPageBreak/>
        <w:fldChar w:fldCharType="end"/>
      </w:r>
      <w:r w:rsidR="002828C7">
        <w:t>List of figures</w:t>
      </w:r>
    </w:p>
    <w:p w14:paraId="4B33B2A4" w14:textId="77777777" w:rsidR="00896AC0" w:rsidRDefault="005A3541">
      <w:pPr>
        <w:pStyle w:val="TableofFigures"/>
        <w:rPr>
          <w:rFonts w:asciiTheme="minorHAnsi" w:hAnsiTheme="minorHAnsi" w:cstheme="minorBidi"/>
          <w:noProof/>
          <w:lang w:eastAsia="en-AU"/>
        </w:rPr>
      </w:pPr>
      <w:r w:rsidRPr="005A3541">
        <w:rPr>
          <w:rFonts w:ascii="Franklin Gothic Demi" w:hAnsi="Franklin Gothic Demi"/>
        </w:rPr>
        <w:fldChar w:fldCharType="begin"/>
      </w:r>
      <w:r w:rsidRPr="005A3541">
        <w:rPr>
          <w:rFonts w:ascii="Franklin Gothic Demi" w:hAnsi="Franklin Gothic Demi"/>
        </w:rPr>
        <w:instrText xml:space="preserve"> TOC \h \z \c "Figure" </w:instrText>
      </w:r>
      <w:r w:rsidRPr="005A3541">
        <w:rPr>
          <w:rFonts w:ascii="Franklin Gothic Demi" w:hAnsi="Franklin Gothic Demi"/>
        </w:rPr>
        <w:fldChar w:fldCharType="separate"/>
      </w:r>
      <w:hyperlink w:anchor="_Toc518640260" w:history="1">
        <w:r w:rsidR="00896AC0" w:rsidRPr="000E7B09">
          <w:rPr>
            <w:rStyle w:val="Hyperlink"/>
            <w:i/>
            <w:noProof/>
          </w:rPr>
          <w:t>Figure 1 – DFAT Nauru's Infrastructure Expenditure by Financial Year</w:t>
        </w:r>
        <w:r w:rsidR="00896AC0">
          <w:rPr>
            <w:noProof/>
            <w:webHidden/>
          </w:rPr>
          <w:tab/>
        </w:r>
        <w:r w:rsidR="00896AC0">
          <w:rPr>
            <w:noProof/>
            <w:webHidden/>
          </w:rPr>
          <w:fldChar w:fldCharType="begin"/>
        </w:r>
        <w:r w:rsidR="00896AC0">
          <w:rPr>
            <w:noProof/>
            <w:webHidden/>
          </w:rPr>
          <w:instrText xml:space="preserve"> PAGEREF _Toc518640260 \h </w:instrText>
        </w:r>
        <w:r w:rsidR="00896AC0">
          <w:rPr>
            <w:noProof/>
            <w:webHidden/>
          </w:rPr>
        </w:r>
        <w:r w:rsidR="00896AC0">
          <w:rPr>
            <w:noProof/>
            <w:webHidden/>
          </w:rPr>
          <w:fldChar w:fldCharType="separate"/>
        </w:r>
        <w:r w:rsidR="007B207F">
          <w:rPr>
            <w:noProof/>
            <w:webHidden/>
          </w:rPr>
          <w:t>5</w:t>
        </w:r>
        <w:r w:rsidR="00896AC0">
          <w:rPr>
            <w:noProof/>
            <w:webHidden/>
          </w:rPr>
          <w:fldChar w:fldCharType="end"/>
        </w:r>
      </w:hyperlink>
    </w:p>
    <w:p w14:paraId="195908CF" w14:textId="77777777" w:rsidR="00896AC0" w:rsidRDefault="00F17D88">
      <w:pPr>
        <w:pStyle w:val="TableofFigures"/>
        <w:rPr>
          <w:rFonts w:asciiTheme="minorHAnsi" w:hAnsiTheme="minorHAnsi" w:cstheme="minorBidi"/>
          <w:noProof/>
          <w:lang w:eastAsia="en-AU"/>
        </w:rPr>
      </w:pPr>
      <w:hyperlink w:anchor="_Toc518640261" w:history="1">
        <w:r w:rsidR="00896AC0" w:rsidRPr="000E7B09">
          <w:rPr>
            <w:rStyle w:val="Hyperlink"/>
            <w:i/>
            <w:noProof/>
          </w:rPr>
          <w:t>Figure 2 – DFAT Nauru Infrastructure Expenditure by Sector (FY 2013-14 to 2018-19)</w:t>
        </w:r>
        <w:r w:rsidR="00896AC0">
          <w:rPr>
            <w:noProof/>
            <w:webHidden/>
          </w:rPr>
          <w:tab/>
        </w:r>
        <w:r w:rsidR="00896AC0">
          <w:rPr>
            <w:noProof/>
            <w:webHidden/>
          </w:rPr>
          <w:fldChar w:fldCharType="begin"/>
        </w:r>
        <w:r w:rsidR="00896AC0">
          <w:rPr>
            <w:noProof/>
            <w:webHidden/>
          </w:rPr>
          <w:instrText xml:space="preserve"> PAGEREF _Toc518640261 \h </w:instrText>
        </w:r>
        <w:r w:rsidR="00896AC0">
          <w:rPr>
            <w:noProof/>
            <w:webHidden/>
          </w:rPr>
        </w:r>
        <w:r w:rsidR="00896AC0">
          <w:rPr>
            <w:noProof/>
            <w:webHidden/>
          </w:rPr>
          <w:fldChar w:fldCharType="separate"/>
        </w:r>
        <w:r w:rsidR="007B207F">
          <w:rPr>
            <w:noProof/>
            <w:webHidden/>
          </w:rPr>
          <w:t>6</w:t>
        </w:r>
        <w:r w:rsidR="00896AC0">
          <w:rPr>
            <w:noProof/>
            <w:webHidden/>
          </w:rPr>
          <w:fldChar w:fldCharType="end"/>
        </w:r>
      </w:hyperlink>
    </w:p>
    <w:p w14:paraId="07B3AEC4" w14:textId="77777777" w:rsidR="00896AC0" w:rsidRDefault="00F17D88">
      <w:pPr>
        <w:pStyle w:val="TableofFigures"/>
        <w:rPr>
          <w:rFonts w:asciiTheme="minorHAnsi" w:hAnsiTheme="minorHAnsi" w:cstheme="minorBidi"/>
          <w:noProof/>
          <w:lang w:eastAsia="en-AU"/>
        </w:rPr>
      </w:pPr>
      <w:hyperlink w:anchor="_Toc518640262" w:history="1">
        <w:r w:rsidR="00896AC0" w:rsidRPr="000E7B09">
          <w:rPr>
            <w:rStyle w:val="Hyperlink"/>
            <w:i/>
            <w:noProof/>
          </w:rPr>
          <w:t>Figure 3 – List of Recommendations</w:t>
        </w:r>
        <w:r w:rsidR="00896AC0">
          <w:rPr>
            <w:noProof/>
            <w:webHidden/>
          </w:rPr>
          <w:tab/>
        </w:r>
        <w:r w:rsidR="00896AC0">
          <w:rPr>
            <w:noProof/>
            <w:webHidden/>
          </w:rPr>
          <w:fldChar w:fldCharType="begin"/>
        </w:r>
        <w:r w:rsidR="00896AC0">
          <w:rPr>
            <w:noProof/>
            <w:webHidden/>
          </w:rPr>
          <w:instrText xml:space="preserve"> PAGEREF _Toc518640262 \h </w:instrText>
        </w:r>
        <w:r w:rsidR="00896AC0">
          <w:rPr>
            <w:noProof/>
            <w:webHidden/>
          </w:rPr>
        </w:r>
        <w:r w:rsidR="00896AC0">
          <w:rPr>
            <w:noProof/>
            <w:webHidden/>
          </w:rPr>
          <w:fldChar w:fldCharType="separate"/>
        </w:r>
        <w:r w:rsidR="007B207F">
          <w:rPr>
            <w:noProof/>
            <w:webHidden/>
          </w:rPr>
          <w:t>19</w:t>
        </w:r>
        <w:r w:rsidR="00896AC0">
          <w:rPr>
            <w:noProof/>
            <w:webHidden/>
          </w:rPr>
          <w:fldChar w:fldCharType="end"/>
        </w:r>
      </w:hyperlink>
    </w:p>
    <w:p w14:paraId="13444636" w14:textId="77777777" w:rsidR="002828C7" w:rsidRPr="005A3541" w:rsidRDefault="005A3541" w:rsidP="002828C7">
      <w:pPr>
        <w:rPr>
          <w:rFonts w:ascii="Franklin Gothic Demi" w:hAnsi="Franklin Gothic Demi"/>
        </w:rPr>
      </w:pPr>
      <w:r w:rsidRPr="005A3541">
        <w:rPr>
          <w:rFonts w:ascii="Franklin Gothic Demi" w:hAnsi="Franklin Gothic Demi"/>
          <w:bCs/>
          <w:noProof/>
          <w:lang w:val="en-US"/>
        </w:rPr>
        <w:fldChar w:fldCharType="end"/>
      </w:r>
    </w:p>
    <w:p w14:paraId="3D463127" w14:textId="77777777" w:rsidR="002828C7" w:rsidRDefault="002828C7" w:rsidP="002828C7">
      <w:pPr>
        <w:pStyle w:val="Underline"/>
      </w:pPr>
      <w:r>
        <w:t>List of tables</w:t>
      </w:r>
    </w:p>
    <w:p w14:paraId="48D86D19" w14:textId="77777777" w:rsidR="00896AC0" w:rsidRDefault="005A3541">
      <w:pPr>
        <w:pStyle w:val="TableofFigures"/>
        <w:rPr>
          <w:rFonts w:asciiTheme="minorHAnsi" w:hAnsiTheme="minorHAnsi" w:cstheme="minorBidi"/>
          <w:noProof/>
          <w:lang w:eastAsia="en-AU"/>
        </w:rPr>
      </w:pPr>
      <w:r w:rsidRPr="005A3541">
        <w:rPr>
          <w:rFonts w:ascii="Franklin Gothic Demi" w:hAnsi="Franklin Gothic Demi"/>
        </w:rPr>
        <w:fldChar w:fldCharType="begin"/>
      </w:r>
      <w:r w:rsidRPr="005A3541">
        <w:rPr>
          <w:rFonts w:ascii="Franklin Gothic Demi" w:hAnsi="Franklin Gothic Demi"/>
        </w:rPr>
        <w:instrText xml:space="preserve"> TOC \h \z \c "Table" </w:instrText>
      </w:r>
      <w:r w:rsidRPr="005A3541">
        <w:rPr>
          <w:rFonts w:ascii="Franklin Gothic Demi" w:hAnsi="Franklin Gothic Demi"/>
        </w:rPr>
        <w:fldChar w:fldCharType="separate"/>
      </w:r>
      <w:hyperlink w:anchor="_Toc518640266" w:history="1">
        <w:r w:rsidR="00896AC0" w:rsidRPr="00A242EC">
          <w:rPr>
            <w:rStyle w:val="Hyperlink"/>
            <w:i/>
            <w:noProof/>
          </w:rPr>
          <w:t>Table 1 – Summary of Findings by Project</w:t>
        </w:r>
        <w:r w:rsidR="00896AC0">
          <w:rPr>
            <w:noProof/>
            <w:webHidden/>
          </w:rPr>
          <w:tab/>
        </w:r>
        <w:r w:rsidR="00896AC0">
          <w:rPr>
            <w:noProof/>
            <w:webHidden/>
          </w:rPr>
          <w:fldChar w:fldCharType="begin"/>
        </w:r>
        <w:r w:rsidR="00896AC0">
          <w:rPr>
            <w:noProof/>
            <w:webHidden/>
          </w:rPr>
          <w:instrText xml:space="preserve"> PAGEREF _Toc518640266 \h </w:instrText>
        </w:r>
        <w:r w:rsidR="00896AC0">
          <w:rPr>
            <w:noProof/>
            <w:webHidden/>
          </w:rPr>
        </w:r>
        <w:r w:rsidR="00896AC0">
          <w:rPr>
            <w:noProof/>
            <w:webHidden/>
          </w:rPr>
          <w:fldChar w:fldCharType="separate"/>
        </w:r>
        <w:r w:rsidR="007B207F">
          <w:rPr>
            <w:noProof/>
            <w:webHidden/>
          </w:rPr>
          <w:t>2</w:t>
        </w:r>
        <w:r w:rsidR="00896AC0">
          <w:rPr>
            <w:noProof/>
            <w:webHidden/>
          </w:rPr>
          <w:fldChar w:fldCharType="end"/>
        </w:r>
      </w:hyperlink>
    </w:p>
    <w:p w14:paraId="31DE404F" w14:textId="77777777" w:rsidR="00896AC0" w:rsidRDefault="00F17D88">
      <w:pPr>
        <w:pStyle w:val="TableofFigures"/>
        <w:rPr>
          <w:rFonts w:asciiTheme="minorHAnsi" w:hAnsiTheme="minorHAnsi" w:cstheme="minorBidi"/>
          <w:noProof/>
          <w:lang w:eastAsia="en-AU"/>
        </w:rPr>
      </w:pPr>
      <w:hyperlink w:anchor="_Toc518640267" w:history="1">
        <w:r w:rsidR="00896AC0" w:rsidRPr="00A242EC">
          <w:rPr>
            <w:rStyle w:val="Hyperlink"/>
            <w:i/>
            <w:noProof/>
          </w:rPr>
          <w:t>Table 2 – DFAT's Contributions to Infrastructure Investments in the review period</w:t>
        </w:r>
        <w:r w:rsidR="00896AC0">
          <w:rPr>
            <w:noProof/>
            <w:webHidden/>
          </w:rPr>
          <w:tab/>
        </w:r>
        <w:r w:rsidR="00896AC0">
          <w:rPr>
            <w:noProof/>
            <w:webHidden/>
          </w:rPr>
          <w:fldChar w:fldCharType="begin"/>
        </w:r>
        <w:r w:rsidR="00896AC0">
          <w:rPr>
            <w:noProof/>
            <w:webHidden/>
          </w:rPr>
          <w:instrText xml:space="preserve"> PAGEREF _Toc518640267 \h </w:instrText>
        </w:r>
        <w:r w:rsidR="00896AC0">
          <w:rPr>
            <w:noProof/>
            <w:webHidden/>
          </w:rPr>
        </w:r>
        <w:r w:rsidR="00896AC0">
          <w:rPr>
            <w:noProof/>
            <w:webHidden/>
          </w:rPr>
          <w:fldChar w:fldCharType="separate"/>
        </w:r>
        <w:r w:rsidR="007B207F">
          <w:rPr>
            <w:noProof/>
            <w:webHidden/>
          </w:rPr>
          <w:t>6</w:t>
        </w:r>
        <w:r w:rsidR="00896AC0">
          <w:rPr>
            <w:noProof/>
            <w:webHidden/>
          </w:rPr>
          <w:fldChar w:fldCharType="end"/>
        </w:r>
      </w:hyperlink>
    </w:p>
    <w:p w14:paraId="3655E394" w14:textId="77777777" w:rsidR="00896AC0" w:rsidRDefault="00F17D88">
      <w:pPr>
        <w:pStyle w:val="TableofFigures"/>
        <w:rPr>
          <w:rFonts w:asciiTheme="minorHAnsi" w:hAnsiTheme="minorHAnsi" w:cstheme="minorBidi"/>
          <w:noProof/>
          <w:lang w:eastAsia="en-AU"/>
        </w:rPr>
      </w:pPr>
      <w:hyperlink w:anchor="_Toc518640268" w:history="1">
        <w:r w:rsidR="00896AC0" w:rsidRPr="00A242EC">
          <w:rPr>
            <w:rStyle w:val="Hyperlink"/>
            <w:i/>
            <w:noProof/>
          </w:rPr>
          <w:t>Table 3 – Rating Scale</w:t>
        </w:r>
        <w:r w:rsidR="00896AC0">
          <w:rPr>
            <w:noProof/>
            <w:webHidden/>
          </w:rPr>
          <w:tab/>
        </w:r>
        <w:r w:rsidR="00896AC0">
          <w:rPr>
            <w:noProof/>
            <w:webHidden/>
          </w:rPr>
          <w:fldChar w:fldCharType="begin"/>
        </w:r>
        <w:r w:rsidR="00896AC0">
          <w:rPr>
            <w:noProof/>
            <w:webHidden/>
          </w:rPr>
          <w:instrText xml:space="preserve"> PAGEREF _Toc518640268 \h </w:instrText>
        </w:r>
        <w:r w:rsidR="00896AC0">
          <w:rPr>
            <w:noProof/>
            <w:webHidden/>
          </w:rPr>
        </w:r>
        <w:r w:rsidR="00896AC0">
          <w:rPr>
            <w:noProof/>
            <w:webHidden/>
          </w:rPr>
          <w:fldChar w:fldCharType="separate"/>
        </w:r>
        <w:r w:rsidR="007B207F">
          <w:rPr>
            <w:noProof/>
            <w:webHidden/>
          </w:rPr>
          <w:t>7</w:t>
        </w:r>
        <w:r w:rsidR="00896AC0">
          <w:rPr>
            <w:noProof/>
            <w:webHidden/>
          </w:rPr>
          <w:fldChar w:fldCharType="end"/>
        </w:r>
      </w:hyperlink>
    </w:p>
    <w:p w14:paraId="1808662E" w14:textId="77777777" w:rsidR="002828C7" w:rsidRPr="005A3541" w:rsidRDefault="005A3541" w:rsidP="002828C7">
      <w:pPr>
        <w:rPr>
          <w:rFonts w:ascii="Franklin Gothic Demi" w:hAnsi="Franklin Gothic Demi"/>
        </w:rPr>
      </w:pPr>
      <w:r w:rsidRPr="005A3541">
        <w:rPr>
          <w:rFonts w:ascii="Franklin Gothic Demi" w:hAnsi="Franklin Gothic Demi"/>
          <w:bCs/>
          <w:noProof/>
          <w:lang w:val="en-US"/>
        </w:rPr>
        <w:fldChar w:fldCharType="end"/>
      </w:r>
    </w:p>
    <w:p w14:paraId="1544BC25" w14:textId="77777777" w:rsidR="002828C7" w:rsidRDefault="002828C7" w:rsidP="002828C7">
      <w:pPr>
        <w:pStyle w:val="Underline"/>
      </w:pPr>
      <w:r>
        <w:t>Acronyms</w:t>
      </w:r>
    </w:p>
    <w:tbl>
      <w:tblPr>
        <w:tblW w:w="0" w:type="auto"/>
        <w:tblBorders>
          <w:insideV w:val="single" w:sz="4" w:space="0" w:color="E26E00"/>
        </w:tblBorders>
        <w:tblLook w:val="04A0" w:firstRow="1" w:lastRow="0" w:firstColumn="1" w:lastColumn="0" w:noHBand="0" w:noVBand="1"/>
      </w:tblPr>
      <w:tblGrid>
        <w:gridCol w:w="2602"/>
        <w:gridCol w:w="6425"/>
      </w:tblGrid>
      <w:tr w:rsidR="00601312" w:rsidRPr="00B80C1F" w14:paraId="6241C5F2" w14:textId="77777777" w:rsidTr="007C7460">
        <w:tc>
          <w:tcPr>
            <w:tcW w:w="2602" w:type="dxa"/>
            <w:shd w:val="clear" w:color="auto" w:fill="auto"/>
          </w:tcPr>
          <w:p w14:paraId="08F28B38" w14:textId="77777777" w:rsidR="00601312" w:rsidRDefault="00601312" w:rsidP="007C7460">
            <w:pPr>
              <w:pStyle w:val="Tabletext"/>
            </w:pPr>
            <w:r>
              <w:t>ADB</w:t>
            </w:r>
          </w:p>
        </w:tc>
        <w:tc>
          <w:tcPr>
            <w:tcW w:w="6425" w:type="dxa"/>
            <w:shd w:val="clear" w:color="auto" w:fill="auto"/>
          </w:tcPr>
          <w:p w14:paraId="5BD3AA86" w14:textId="77777777" w:rsidR="00601312" w:rsidRDefault="00601312" w:rsidP="007C7460">
            <w:pPr>
              <w:pStyle w:val="Tabletext"/>
            </w:pPr>
            <w:r>
              <w:t>Asian Development Bank</w:t>
            </w:r>
          </w:p>
        </w:tc>
      </w:tr>
      <w:tr w:rsidR="00601312" w:rsidRPr="00B80C1F" w14:paraId="7C3E3030" w14:textId="77777777" w:rsidTr="007C7460">
        <w:tc>
          <w:tcPr>
            <w:tcW w:w="2602" w:type="dxa"/>
            <w:shd w:val="clear" w:color="auto" w:fill="auto"/>
          </w:tcPr>
          <w:p w14:paraId="1053CB01" w14:textId="77777777" w:rsidR="00601312" w:rsidRDefault="00601312" w:rsidP="007C7460">
            <w:pPr>
              <w:pStyle w:val="Tabletext"/>
            </w:pPr>
            <w:r>
              <w:t>AIP</w:t>
            </w:r>
          </w:p>
        </w:tc>
        <w:tc>
          <w:tcPr>
            <w:tcW w:w="6425" w:type="dxa"/>
            <w:shd w:val="clear" w:color="auto" w:fill="auto"/>
          </w:tcPr>
          <w:p w14:paraId="799FA307" w14:textId="77777777" w:rsidR="00601312" w:rsidRDefault="00601312" w:rsidP="007C7460">
            <w:pPr>
              <w:pStyle w:val="Tabletext"/>
            </w:pPr>
            <w:r>
              <w:t>Aid Investment Plan</w:t>
            </w:r>
          </w:p>
        </w:tc>
      </w:tr>
      <w:tr w:rsidR="00601312" w:rsidRPr="00B80C1F" w14:paraId="3280B523" w14:textId="77777777" w:rsidTr="007C7460">
        <w:tc>
          <w:tcPr>
            <w:tcW w:w="2602" w:type="dxa"/>
            <w:shd w:val="clear" w:color="auto" w:fill="auto"/>
          </w:tcPr>
          <w:p w14:paraId="78CB89F6" w14:textId="77777777" w:rsidR="00601312" w:rsidRDefault="00601312" w:rsidP="007C7460">
            <w:pPr>
              <w:pStyle w:val="Tabletext"/>
            </w:pPr>
            <w:r>
              <w:t>APPR</w:t>
            </w:r>
          </w:p>
        </w:tc>
        <w:tc>
          <w:tcPr>
            <w:tcW w:w="6425" w:type="dxa"/>
            <w:shd w:val="clear" w:color="auto" w:fill="auto"/>
          </w:tcPr>
          <w:p w14:paraId="33788B31" w14:textId="77777777" w:rsidR="00601312" w:rsidRDefault="00601312" w:rsidP="007C7460">
            <w:pPr>
              <w:pStyle w:val="Tabletext"/>
            </w:pPr>
            <w:r>
              <w:t>Aid Program Performance Report</w:t>
            </w:r>
          </w:p>
        </w:tc>
      </w:tr>
      <w:tr w:rsidR="00601312" w:rsidRPr="00B80C1F" w14:paraId="69BF9AF8" w14:textId="77777777" w:rsidTr="007C7460">
        <w:tc>
          <w:tcPr>
            <w:tcW w:w="2602" w:type="dxa"/>
            <w:shd w:val="clear" w:color="auto" w:fill="auto"/>
          </w:tcPr>
          <w:p w14:paraId="0EB1CD7E" w14:textId="77777777" w:rsidR="00601312" w:rsidRDefault="00601312" w:rsidP="007C7460">
            <w:pPr>
              <w:pStyle w:val="Tabletext"/>
            </w:pPr>
            <w:r>
              <w:t>AQC</w:t>
            </w:r>
            <w:r w:rsidR="00B5010F">
              <w:br/>
              <w:t>APA</w:t>
            </w:r>
          </w:p>
        </w:tc>
        <w:tc>
          <w:tcPr>
            <w:tcW w:w="6425" w:type="dxa"/>
            <w:shd w:val="clear" w:color="auto" w:fill="auto"/>
          </w:tcPr>
          <w:p w14:paraId="56252314" w14:textId="77777777" w:rsidR="00601312" w:rsidRDefault="00601312" w:rsidP="007C7460">
            <w:pPr>
              <w:pStyle w:val="Tabletext"/>
            </w:pPr>
            <w:r>
              <w:t>Aid Quality Check</w:t>
            </w:r>
            <w:r w:rsidR="00B5010F">
              <w:br/>
            </w:r>
            <w:r w:rsidR="00B5010F" w:rsidRPr="00B5010F">
              <w:t>Aid Partnership Arrangement</w:t>
            </w:r>
          </w:p>
        </w:tc>
      </w:tr>
      <w:tr w:rsidR="00601312" w:rsidRPr="00B80C1F" w14:paraId="77FA91AD" w14:textId="77777777" w:rsidTr="007C7460">
        <w:tc>
          <w:tcPr>
            <w:tcW w:w="2602" w:type="dxa"/>
            <w:shd w:val="clear" w:color="auto" w:fill="auto"/>
          </w:tcPr>
          <w:p w14:paraId="76A8FABA" w14:textId="77777777" w:rsidR="00601312" w:rsidRDefault="00601312" w:rsidP="007C7460">
            <w:pPr>
              <w:pStyle w:val="Tabletext"/>
            </w:pPr>
            <w:r>
              <w:t>CIE</w:t>
            </w:r>
            <w:r w:rsidR="00A64A4B">
              <w:br/>
              <w:t>DAC</w:t>
            </w:r>
          </w:p>
        </w:tc>
        <w:tc>
          <w:tcPr>
            <w:tcW w:w="6425" w:type="dxa"/>
            <w:shd w:val="clear" w:color="auto" w:fill="auto"/>
          </w:tcPr>
          <w:p w14:paraId="4BA79B38" w14:textId="77777777" w:rsidR="00601312" w:rsidRDefault="00601312" w:rsidP="007C7460">
            <w:pPr>
              <w:pStyle w:val="Tabletext"/>
            </w:pPr>
            <w:r>
              <w:t>Department of Commerce Industry and Environment</w:t>
            </w:r>
            <w:r w:rsidR="00A64A4B">
              <w:br/>
            </w:r>
            <w:r w:rsidR="00A64A4B" w:rsidRPr="00A64A4B">
              <w:t>Development Assistance Committee</w:t>
            </w:r>
            <w:r w:rsidR="00A64A4B">
              <w:t xml:space="preserve"> (OECD)</w:t>
            </w:r>
          </w:p>
        </w:tc>
      </w:tr>
      <w:tr w:rsidR="00601312" w:rsidRPr="00B80C1F" w14:paraId="298AB9D8" w14:textId="77777777" w:rsidTr="007C7460">
        <w:tc>
          <w:tcPr>
            <w:tcW w:w="2602" w:type="dxa"/>
            <w:shd w:val="clear" w:color="auto" w:fill="auto"/>
          </w:tcPr>
          <w:p w14:paraId="724EC8FD" w14:textId="77777777" w:rsidR="00601312" w:rsidRDefault="00601312" w:rsidP="007C7460">
            <w:pPr>
              <w:pStyle w:val="Tabletext"/>
            </w:pPr>
            <w:r>
              <w:t>GoA</w:t>
            </w:r>
          </w:p>
        </w:tc>
        <w:tc>
          <w:tcPr>
            <w:tcW w:w="6425" w:type="dxa"/>
            <w:shd w:val="clear" w:color="auto" w:fill="auto"/>
          </w:tcPr>
          <w:p w14:paraId="53817C4F" w14:textId="77777777" w:rsidR="00601312" w:rsidRDefault="00601312" w:rsidP="007C7460">
            <w:pPr>
              <w:pStyle w:val="Tabletext"/>
            </w:pPr>
            <w:r>
              <w:t>Government of Australia</w:t>
            </w:r>
          </w:p>
        </w:tc>
      </w:tr>
      <w:tr w:rsidR="00601312" w:rsidRPr="00B80C1F" w14:paraId="703172FE" w14:textId="77777777" w:rsidTr="007C7460">
        <w:tc>
          <w:tcPr>
            <w:tcW w:w="2602" w:type="dxa"/>
            <w:shd w:val="clear" w:color="auto" w:fill="auto"/>
          </w:tcPr>
          <w:p w14:paraId="4A085076" w14:textId="77777777" w:rsidR="00601312" w:rsidRDefault="00601312" w:rsidP="007C7460">
            <w:pPr>
              <w:pStyle w:val="Tabletext"/>
            </w:pPr>
            <w:r>
              <w:t>GoN</w:t>
            </w:r>
          </w:p>
        </w:tc>
        <w:tc>
          <w:tcPr>
            <w:tcW w:w="6425" w:type="dxa"/>
            <w:shd w:val="clear" w:color="auto" w:fill="auto"/>
          </w:tcPr>
          <w:p w14:paraId="3C039329" w14:textId="77777777" w:rsidR="00601312" w:rsidRDefault="00601312" w:rsidP="007C7460">
            <w:pPr>
              <w:pStyle w:val="Tabletext"/>
            </w:pPr>
            <w:r>
              <w:t>Government of Nauru</w:t>
            </w:r>
          </w:p>
        </w:tc>
      </w:tr>
      <w:tr w:rsidR="00601312" w:rsidRPr="00B80C1F" w14:paraId="10596C09" w14:textId="77777777" w:rsidTr="007C7460">
        <w:tc>
          <w:tcPr>
            <w:tcW w:w="2602" w:type="dxa"/>
            <w:shd w:val="clear" w:color="auto" w:fill="auto"/>
          </w:tcPr>
          <w:p w14:paraId="34157814" w14:textId="77777777" w:rsidR="00601312" w:rsidRDefault="00601312" w:rsidP="007C7460">
            <w:pPr>
              <w:pStyle w:val="Tabletext"/>
            </w:pPr>
            <w:r>
              <w:t>KRQ</w:t>
            </w:r>
          </w:p>
        </w:tc>
        <w:tc>
          <w:tcPr>
            <w:tcW w:w="6425" w:type="dxa"/>
            <w:shd w:val="clear" w:color="auto" w:fill="auto"/>
          </w:tcPr>
          <w:p w14:paraId="36AC7035" w14:textId="77777777" w:rsidR="00601312" w:rsidRDefault="00601312" w:rsidP="007C7460">
            <w:pPr>
              <w:pStyle w:val="Tabletext"/>
            </w:pPr>
            <w:r>
              <w:t>Key Review Question</w:t>
            </w:r>
          </w:p>
        </w:tc>
      </w:tr>
      <w:tr w:rsidR="00601312" w:rsidRPr="00B80C1F" w14:paraId="0DF46A51" w14:textId="77777777" w:rsidTr="007C7460">
        <w:tc>
          <w:tcPr>
            <w:tcW w:w="2602" w:type="dxa"/>
            <w:shd w:val="clear" w:color="auto" w:fill="auto"/>
          </w:tcPr>
          <w:p w14:paraId="51925362" w14:textId="77777777" w:rsidR="00601312" w:rsidRPr="005D3B9C" w:rsidRDefault="00601312" w:rsidP="007C7460">
            <w:pPr>
              <w:pStyle w:val="Tabletext"/>
            </w:pPr>
            <w:r w:rsidRPr="005D3B9C">
              <w:t>M&amp;E</w:t>
            </w:r>
          </w:p>
        </w:tc>
        <w:tc>
          <w:tcPr>
            <w:tcW w:w="6425" w:type="dxa"/>
            <w:shd w:val="clear" w:color="auto" w:fill="auto"/>
          </w:tcPr>
          <w:p w14:paraId="7595C6B1" w14:textId="77777777" w:rsidR="00601312" w:rsidRPr="005D3B9C" w:rsidRDefault="00601312" w:rsidP="007C7460">
            <w:pPr>
              <w:pStyle w:val="Tabletext"/>
            </w:pPr>
            <w:r w:rsidRPr="005D3B9C">
              <w:t>Monitoring and Evaluation</w:t>
            </w:r>
          </w:p>
        </w:tc>
      </w:tr>
      <w:tr w:rsidR="00601312" w:rsidRPr="00B80C1F" w14:paraId="57071895" w14:textId="77777777" w:rsidTr="007C7460">
        <w:tc>
          <w:tcPr>
            <w:tcW w:w="2602" w:type="dxa"/>
            <w:shd w:val="clear" w:color="auto" w:fill="auto"/>
          </w:tcPr>
          <w:p w14:paraId="749F5C32" w14:textId="77777777" w:rsidR="00601312" w:rsidRPr="005D3B9C" w:rsidRDefault="00601312" w:rsidP="007C7460">
            <w:pPr>
              <w:pStyle w:val="Tabletext"/>
            </w:pPr>
            <w:r w:rsidRPr="005D3B9C">
              <w:t>MELF</w:t>
            </w:r>
            <w:r w:rsidR="00C24456" w:rsidRPr="005D3B9C">
              <w:br/>
            </w:r>
            <w:r w:rsidR="002F33C7" w:rsidRPr="005D3B9C">
              <w:rPr>
                <w:lang w:val="en-US"/>
              </w:rPr>
              <w:t>D</w:t>
            </w:r>
            <w:r w:rsidR="00C24456" w:rsidRPr="005D3B9C">
              <w:rPr>
                <w:lang w:val="en-US"/>
              </w:rPr>
              <w:t>HMS</w:t>
            </w:r>
            <w:r w:rsidR="003848AB" w:rsidRPr="005D3B9C">
              <w:rPr>
                <w:lang w:val="en-US"/>
              </w:rPr>
              <w:br/>
            </w:r>
            <w:r w:rsidR="002F33C7" w:rsidRPr="005D3B9C">
              <w:rPr>
                <w:lang w:val="en-US"/>
              </w:rPr>
              <w:t>D</w:t>
            </w:r>
            <w:r w:rsidR="003848AB" w:rsidRPr="005D3B9C">
              <w:rPr>
                <w:lang w:val="en-US"/>
              </w:rPr>
              <w:t>ID</w:t>
            </w:r>
            <w:r w:rsidR="007F3B50" w:rsidRPr="005D3B9C">
              <w:rPr>
                <w:lang w:val="en-US"/>
              </w:rPr>
              <w:br/>
            </w:r>
            <w:r w:rsidR="002F33C7" w:rsidRPr="005D3B9C">
              <w:rPr>
                <w:lang w:val="en-US"/>
              </w:rPr>
              <w:t>D</w:t>
            </w:r>
            <w:r w:rsidR="007F3B50" w:rsidRPr="005D3B9C">
              <w:rPr>
                <w:lang w:val="en-US"/>
              </w:rPr>
              <w:t>OF</w:t>
            </w:r>
          </w:p>
        </w:tc>
        <w:tc>
          <w:tcPr>
            <w:tcW w:w="6425" w:type="dxa"/>
            <w:shd w:val="clear" w:color="auto" w:fill="auto"/>
          </w:tcPr>
          <w:p w14:paraId="20A0E1E7" w14:textId="77777777" w:rsidR="00601312" w:rsidRPr="005D3B9C" w:rsidRDefault="00601312" w:rsidP="007C7460">
            <w:pPr>
              <w:pStyle w:val="Tabletext"/>
            </w:pPr>
            <w:r w:rsidRPr="005D3B9C">
              <w:t>Monitoring Evaluation Learning Framework</w:t>
            </w:r>
            <w:r w:rsidR="00C24456" w:rsidRPr="005D3B9C">
              <w:br/>
            </w:r>
            <w:r w:rsidR="002F33C7" w:rsidRPr="005D3B9C">
              <w:t>Department</w:t>
            </w:r>
            <w:r w:rsidR="00C24456" w:rsidRPr="005D3B9C">
              <w:t xml:space="preserve"> of Health and Medical Services</w:t>
            </w:r>
            <w:r w:rsidR="003848AB" w:rsidRPr="005D3B9C">
              <w:br/>
            </w:r>
            <w:r w:rsidR="002F33C7" w:rsidRPr="005D3B9C">
              <w:t xml:space="preserve">Department </w:t>
            </w:r>
            <w:r w:rsidR="003848AB" w:rsidRPr="005D3B9C">
              <w:t>of Infrastructure and Development</w:t>
            </w:r>
            <w:r w:rsidR="007F3B50" w:rsidRPr="005D3B9C">
              <w:br/>
            </w:r>
            <w:r w:rsidR="002F33C7" w:rsidRPr="005D3B9C">
              <w:t xml:space="preserve">Department </w:t>
            </w:r>
            <w:r w:rsidR="007F3B50" w:rsidRPr="005D3B9C">
              <w:t>of Finance</w:t>
            </w:r>
          </w:p>
        </w:tc>
      </w:tr>
      <w:tr w:rsidR="00601312" w:rsidRPr="00B80C1F" w14:paraId="66590726" w14:textId="77777777" w:rsidTr="007C7460">
        <w:tc>
          <w:tcPr>
            <w:tcW w:w="2602" w:type="dxa"/>
            <w:shd w:val="clear" w:color="auto" w:fill="auto"/>
          </w:tcPr>
          <w:p w14:paraId="4646F8C6" w14:textId="77777777" w:rsidR="00601312" w:rsidRPr="005D3B9C" w:rsidRDefault="00601312" w:rsidP="007C7460">
            <w:pPr>
              <w:pStyle w:val="Tabletext"/>
            </w:pPr>
            <w:r w:rsidRPr="005D3B9C">
              <w:t>NEISIP</w:t>
            </w:r>
          </w:p>
        </w:tc>
        <w:tc>
          <w:tcPr>
            <w:tcW w:w="6425" w:type="dxa"/>
            <w:shd w:val="clear" w:color="auto" w:fill="auto"/>
          </w:tcPr>
          <w:p w14:paraId="2BC2AC4E" w14:textId="77777777" w:rsidR="00601312" w:rsidRPr="005D3B9C" w:rsidRDefault="00601312" w:rsidP="007C7460">
            <w:pPr>
              <w:pStyle w:val="Tabletext"/>
            </w:pPr>
            <w:r w:rsidRPr="005D3B9C">
              <w:t>Nauru Economic Infrastructure Strategy and Investment Plan</w:t>
            </w:r>
          </w:p>
        </w:tc>
      </w:tr>
      <w:tr w:rsidR="00601312" w:rsidRPr="00B80C1F" w14:paraId="40B4951E" w14:textId="77777777" w:rsidTr="007C7460">
        <w:tc>
          <w:tcPr>
            <w:tcW w:w="2602" w:type="dxa"/>
            <w:shd w:val="clear" w:color="auto" w:fill="auto"/>
          </w:tcPr>
          <w:p w14:paraId="00741C58" w14:textId="77777777" w:rsidR="00601312" w:rsidRPr="005D3B9C" w:rsidRDefault="00601312" w:rsidP="007C7460">
            <w:pPr>
              <w:pStyle w:val="Tabletext"/>
            </w:pPr>
            <w:r w:rsidRPr="005D3B9C">
              <w:t>NSDS</w:t>
            </w:r>
          </w:p>
        </w:tc>
        <w:tc>
          <w:tcPr>
            <w:tcW w:w="6425" w:type="dxa"/>
            <w:shd w:val="clear" w:color="auto" w:fill="auto"/>
          </w:tcPr>
          <w:p w14:paraId="016FFFCA" w14:textId="77777777" w:rsidR="00601312" w:rsidRPr="005D3B9C" w:rsidRDefault="00601312" w:rsidP="007C7460">
            <w:pPr>
              <w:pStyle w:val="Tabletext"/>
            </w:pPr>
            <w:r w:rsidRPr="005D3B9C">
              <w:t>Nauru Sustainable Development Strategy</w:t>
            </w:r>
          </w:p>
        </w:tc>
      </w:tr>
      <w:tr w:rsidR="00601312" w:rsidRPr="00B80C1F" w14:paraId="6CBF6A80" w14:textId="77777777" w:rsidTr="007C7460">
        <w:tc>
          <w:tcPr>
            <w:tcW w:w="2602" w:type="dxa"/>
            <w:shd w:val="clear" w:color="auto" w:fill="auto"/>
          </w:tcPr>
          <w:p w14:paraId="6AC96FBB" w14:textId="77777777" w:rsidR="00601312" w:rsidRPr="005D3B9C" w:rsidRDefault="00601312" w:rsidP="007C7460">
            <w:pPr>
              <w:pStyle w:val="Tabletext"/>
            </w:pPr>
            <w:r w:rsidRPr="005D3B9C">
              <w:t>NUC</w:t>
            </w:r>
          </w:p>
        </w:tc>
        <w:tc>
          <w:tcPr>
            <w:tcW w:w="6425" w:type="dxa"/>
            <w:shd w:val="clear" w:color="auto" w:fill="auto"/>
          </w:tcPr>
          <w:p w14:paraId="4CD043A2" w14:textId="77777777" w:rsidR="00601312" w:rsidRPr="005D3B9C" w:rsidRDefault="00601312" w:rsidP="007C7460">
            <w:pPr>
              <w:pStyle w:val="Tabletext"/>
            </w:pPr>
            <w:r w:rsidRPr="005D3B9C">
              <w:t>Nauru Utilities Corporation</w:t>
            </w:r>
          </w:p>
        </w:tc>
      </w:tr>
      <w:tr w:rsidR="00601312" w:rsidRPr="00B80C1F" w14:paraId="39DE761D" w14:textId="77777777" w:rsidTr="005D3B9C">
        <w:trPr>
          <w:trHeight w:val="87"/>
        </w:trPr>
        <w:tc>
          <w:tcPr>
            <w:tcW w:w="2602" w:type="dxa"/>
            <w:shd w:val="clear" w:color="auto" w:fill="auto"/>
          </w:tcPr>
          <w:p w14:paraId="0665A9BD" w14:textId="77777777" w:rsidR="00601312" w:rsidRPr="005D3B9C" w:rsidRDefault="00601312" w:rsidP="007C7460">
            <w:pPr>
              <w:pStyle w:val="Tabletext"/>
            </w:pPr>
            <w:r w:rsidRPr="005D3B9C">
              <w:t>ODA</w:t>
            </w:r>
            <w:r w:rsidR="00A64A4B">
              <w:br/>
            </w:r>
            <w:r w:rsidR="00A64A4B" w:rsidRPr="00A64A4B">
              <w:t>OECD</w:t>
            </w:r>
          </w:p>
        </w:tc>
        <w:tc>
          <w:tcPr>
            <w:tcW w:w="6425" w:type="dxa"/>
            <w:shd w:val="clear" w:color="auto" w:fill="auto"/>
          </w:tcPr>
          <w:p w14:paraId="052D673E" w14:textId="77777777" w:rsidR="00601312" w:rsidRPr="005D3B9C" w:rsidRDefault="00601312" w:rsidP="007C7460">
            <w:pPr>
              <w:pStyle w:val="Tabletext"/>
            </w:pPr>
            <w:r w:rsidRPr="005D3B9C">
              <w:t>Overseas Development Assistance</w:t>
            </w:r>
            <w:r w:rsidR="00CE011B">
              <w:br/>
            </w:r>
            <w:r w:rsidR="00A64A4B" w:rsidRPr="00A64A4B">
              <w:t>Organisation for Economic Co-operation and Development</w:t>
            </w:r>
          </w:p>
        </w:tc>
      </w:tr>
      <w:tr w:rsidR="00601312" w:rsidRPr="00B80C1F" w14:paraId="05B81C17" w14:textId="77777777" w:rsidTr="007C7460">
        <w:tc>
          <w:tcPr>
            <w:tcW w:w="2602" w:type="dxa"/>
            <w:shd w:val="clear" w:color="auto" w:fill="auto"/>
          </w:tcPr>
          <w:p w14:paraId="2666000B" w14:textId="77777777" w:rsidR="00601312" w:rsidRPr="005D3B9C" w:rsidRDefault="00601312" w:rsidP="007C7460">
            <w:pPr>
              <w:pStyle w:val="Tabletext"/>
            </w:pPr>
            <w:r w:rsidRPr="005D3B9C">
              <w:t>PAD</w:t>
            </w:r>
            <w:r w:rsidR="008F43A3">
              <w:br/>
              <w:t>PAF</w:t>
            </w:r>
          </w:p>
        </w:tc>
        <w:tc>
          <w:tcPr>
            <w:tcW w:w="6425" w:type="dxa"/>
            <w:shd w:val="clear" w:color="auto" w:fill="auto"/>
          </w:tcPr>
          <w:p w14:paraId="321C60BE" w14:textId="77777777" w:rsidR="00601312" w:rsidRPr="005D3B9C" w:rsidRDefault="00601312" w:rsidP="007C7460">
            <w:pPr>
              <w:pStyle w:val="Tabletext"/>
            </w:pPr>
            <w:r w:rsidRPr="005D3B9C">
              <w:t>Ministry of Finance- Planning Aid Division</w:t>
            </w:r>
            <w:r w:rsidR="008F43A3">
              <w:br/>
            </w:r>
            <w:r w:rsidR="008F43A3" w:rsidRPr="009A5CF5">
              <w:t>P</w:t>
            </w:r>
            <w:r w:rsidR="009A5CF5" w:rsidRPr="009A5CF5">
              <w:t>erformance Assessment</w:t>
            </w:r>
            <w:r w:rsidR="008F43A3" w:rsidRPr="009A5CF5">
              <w:t xml:space="preserve"> Fram</w:t>
            </w:r>
            <w:r w:rsidR="00DC0D22" w:rsidRPr="009A5CF5">
              <w:t>e</w:t>
            </w:r>
            <w:r w:rsidR="008F43A3" w:rsidRPr="009A5CF5">
              <w:t>work</w:t>
            </w:r>
          </w:p>
        </w:tc>
      </w:tr>
      <w:tr w:rsidR="00601312" w:rsidRPr="00B80C1F" w14:paraId="380AA447" w14:textId="77777777" w:rsidTr="007C7460">
        <w:tc>
          <w:tcPr>
            <w:tcW w:w="2602" w:type="dxa"/>
            <w:shd w:val="clear" w:color="auto" w:fill="auto"/>
          </w:tcPr>
          <w:p w14:paraId="031A4147" w14:textId="77777777" w:rsidR="00601312" w:rsidRPr="005D3B9C" w:rsidRDefault="00601312" w:rsidP="007C7460">
            <w:pPr>
              <w:pStyle w:val="Tabletext"/>
            </w:pPr>
            <w:r w:rsidRPr="005D3B9C">
              <w:t>PACTAM</w:t>
            </w:r>
          </w:p>
        </w:tc>
        <w:tc>
          <w:tcPr>
            <w:tcW w:w="6425" w:type="dxa"/>
            <w:shd w:val="clear" w:color="auto" w:fill="auto"/>
          </w:tcPr>
          <w:p w14:paraId="2146E6A2" w14:textId="77777777" w:rsidR="00601312" w:rsidRPr="005D3B9C" w:rsidRDefault="00601312" w:rsidP="007C7460">
            <w:pPr>
              <w:pStyle w:val="Tabletext"/>
            </w:pPr>
            <w:r w:rsidRPr="005D3B9C">
              <w:t>Pacific Technical Assistance Mechanism</w:t>
            </w:r>
          </w:p>
        </w:tc>
      </w:tr>
      <w:tr w:rsidR="00601312" w:rsidRPr="00B80C1F" w14:paraId="02C15D4F" w14:textId="77777777" w:rsidTr="007C7460">
        <w:tc>
          <w:tcPr>
            <w:tcW w:w="2602" w:type="dxa"/>
            <w:shd w:val="clear" w:color="auto" w:fill="auto"/>
          </w:tcPr>
          <w:p w14:paraId="0B4D16F5" w14:textId="77777777" w:rsidR="00601312" w:rsidRPr="005D3B9C" w:rsidRDefault="00601312" w:rsidP="007C7460">
            <w:pPr>
              <w:pStyle w:val="Tabletext"/>
            </w:pPr>
            <w:r w:rsidRPr="005D3B9C">
              <w:t>PIAC</w:t>
            </w:r>
            <w:r w:rsidR="001508B5">
              <w:br/>
              <w:t>PMAG</w:t>
            </w:r>
          </w:p>
        </w:tc>
        <w:tc>
          <w:tcPr>
            <w:tcW w:w="6425" w:type="dxa"/>
            <w:shd w:val="clear" w:color="auto" w:fill="auto"/>
          </w:tcPr>
          <w:p w14:paraId="27765C58" w14:textId="58B75213" w:rsidR="00601312" w:rsidRPr="005D3B9C" w:rsidRDefault="00601312" w:rsidP="007C7460">
            <w:pPr>
              <w:pStyle w:val="Tabletext"/>
            </w:pPr>
            <w:r w:rsidRPr="005D3B9C">
              <w:t xml:space="preserve">Pacific Infrastructure Advisory </w:t>
            </w:r>
            <w:r w:rsidR="0021297D" w:rsidRPr="005D3B9C">
              <w:t>Centre</w:t>
            </w:r>
            <w:r w:rsidR="001508B5">
              <w:br/>
            </w:r>
            <w:r w:rsidR="001508B5" w:rsidRPr="009F27AA">
              <w:rPr>
                <w:lang w:val="en-US"/>
              </w:rPr>
              <w:t>Program Monitoring and Advisory Group</w:t>
            </w:r>
            <w:r w:rsidR="001508B5">
              <w:rPr>
                <w:lang w:val="en-US"/>
              </w:rPr>
              <w:t xml:space="preserve"> (GoN and GoA)</w:t>
            </w:r>
          </w:p>
        </w:tc>
      </w:tr>
      <w:tr w:rsidR="00601312" w:rsidRPr="00B80C1F" w14:paraId="05FD7535" w14:textId="77777777" w:rsidTr="007C7460">
        <w:tc>
          <w:tcPr>
            <w:tcW w:w="2602" w:type="dxa"/>
            <w:shd w:val="clear" w:color="auto" w:fill="auto"/>
          </w:tcPr>
          <w:p w14:paraId="4C0B2454" w14:textId="77777777" w:rsidR="00601312" w:rsidRPr="005D3B9C" w:rsidRDefault="00601312" w:rsidP="007C7460">
            <w:pPr>
              <w:pStyle w:val="Tabletext"/>
            </w:pPr>
            <w:r w:rsidRPr="005D3B9C">
              <w:t>RoN</w:t>
            </w:r>
            <w:r w:rsidR="00F43ED3" w:rsidRPr="005D3B9C">
              <w:br/>
              <w:t>TVET</w:t>
            </w:r>
            <w:r w:rsidR="00F43ED3" w:rsidRPr="005D3B9C">
              <w:br/>
              <w:t>USP</w:t>
            </w:r>
          </w:p>
        </w:tc>
        <w:tc>
          <w:tcPr>
            <w:tcW w:w="6425" w:type="dxa"/>
            <w:shd w:val="clear" w:color="auto" w:fill="auto"/>
          </w:tcPr>
          <w:p w14:paraId="627D8FAB" w14:textId="77777777" w:rsidR="00601312" w:rsidRPr="005D3B9C" w:rsidRDefault="00601312" w:rsidP="007C7460">
            <w:pPr>
              <w:pStyle w:val="Tabletext"/>
            </w:pPr>
            <w:r w:rsidRPr="005D3B9C">
              <w:t>Republic of Nauru</w:t>
            </w:r>
            <w:r w:rsidR="00F43ED3" w:rsidRPr="005D3B9C">
              <w:br/>
              <w:t>Technical and Vocational Education and Training</w:t>
            </w:r>
            <w:r w:rsidR="00F43ED3" w:rsidRPr="005D3B9C">
              <w:br/>
              <w:t>University of the South Pacific</w:t>
            </w:r>
          </w:p>
        </w:tc>
      </w:tr>
    </w:tbl>
    <w:p w14:paraId="67861CD0" w14:textId="77777777" w:rsidR="00FC6C97" w:rsidRDefault="00FC6C97" w:rsidP="00CB7568">
      <w:pPr>
        <w:sectPr w:rsidR="00FC6C97" w:rsidSect="00FC6C97">
          <w:footerReference w:type="default" r:id="rId15"/>
          <w:pgSz w:w="11907" w:h="16839" w:code="9"/>
          <w:pgMar w:top="1276" w:right="1080" w:bottom="851" w:left="1080" w:header="720" w:footer="510" w:gutter="0"/>
          <w:pgNumType w:fmt="lowerRoman" w:start="1"/>
          <w:cols w:space="720"/>
          <w:docGrid w:linePitch="299"/>
        </w:sectPr>
      </w:pPr>
    </w:p>
    <w:p w14:paraId="1F0C37FF" w14:textId="77777777" w:rsidR="00805507" w:rsidRPr="00EA7183" w:rsidRDefault="00B07835" w:rsidP="004273DD">
      <w:pPr>
        <w:pStyle w:val="Heading1"/>
        <w:numPr>
          <w:ilvl w:val="0"/>
          <w:numId w:val="0"/>
        </w:numPr>
        <w:ind w:left="432" w:hanging="432"/>
      </w:pPr>
      <w:bookmarkStart w:id="1" w:name="_Toc518640205"/>
      <w:r w:rsidRPr="00EA7183">
        <w:lastRenderedPageBreak/>
        <w:t>Executive Summary</w:t>
      </w:r>
      <w:bookmarkEnd w:id="1"/>
    </w:p>
    <w:p w14:paraId="32CD02B6" w14:textId="77777777" w:rsidR="00AD67DA" w:rsidRDefault="00AD67DA" w:rsidP="00EB16DE">
      <w:pPr>
        <w:jc w:val="both"/>
        <w:rPr>
          <w:b/>
          <w:lang w:eastAsia="en-AU"/>
        </w:rPr>
      </w:pPr>
      <w:r w:rsidRPr="008470D4">
        <w:rPr>
          <w:b/>
          <w:lang w:eastAsia="en-AU"/>
        </w:rPr>
        <w:t>Introduction</w:t>
      </w:r>
    </w:p>
    <w:p w14:paraId="7DEDC81F" w14:textId="77777777" w:rsidR="00AD67DA" w:rsidRDefault="00AD67DA" w:rsidP="00EB16DE">
      <w:pPr>
        <w:jc w:val="both"/>
        <w:rPr>
          <w:lang w:eastAsia="en-AU"/>
        </w:rPr>
      </w:pPr>
      <w:r>
        <w:rPr>
          <w:lang w:eastAsia="en-AU"/>
        </w:rPr>
        <w:t>Australia’s development cooperation program in Nauru supports the objectives of a socially stable and economically resilient Nauru that invests in nation-building infrastructure, quality education and health services and an effective and accountable public sector. Australia is Nauru’s major development partner</w:t>
      </w:r>
      <w:r w:rsidR="00E769F6">
        <w:rPr>
          <w:lang w:eastAsia="en-AU"/>
        </w:rPr>
        <w:t xml:space="preserve">, and the </w:t>
      </w:r>
      <w:r>
        <w:rPr>
          <w:lang w:eastAsia="en-AU"/>
        </w:rPr>
        <w:t xml:space="preserve">Department of Foreign Affairs and Trade (DFAT) </w:t>
      </w:r>
      <w:r w:rsidR="00E769F6">
        <w:rPr>
          <w:lang w:eastAsia="en-AU"/>
        </w:rPr>
        <w:t xml:space="preserve">provides support </w:t>
      </w:r>
      <w:r>
        <w:rPr>
          <w:lang w:eastAsia="en-AU"/>
        </w:rPr>
        <w:t xml:space="preserve">in key priority areas of infrastructure and essential services. Between 2013-14 to 2017-18, </w:t>
      </w:r>
      <w:r w:rsidR="00D53E40">
        <w:rPr>
          <w:lang w:eastAsia="en-AU"/>
        </w:rPr>
        <w:t xml:space="preserve">DFAT </w:t>
      </w:r>
      <w:r>
        <w:rPr>
          <w:lang w:eastAsia="en-AU"/>
        </w:rPr>
        <w:t>provided O</w:t>
      </w:r>
      <w:r w:rsidR="002E4F33">
        <w:rPr>
          <w:lang w:eastAsia="en-AU"/>
        </w:rPr>
        <w:t xml:space="preserve">verseas </w:t>
      </w:r>
      <w:r>
        <w:rPr>
          <w:lang w:eastAsia="en-AU"/>
        </w:rPr>
        <w:t>D</w:t>
      </w:r>
      <w:r w:rsidR="002E4F33">
        <w:rPr>
          <w:lang w:eastAsia="en-AU"/>
        </w:rPr>
        <w:t xml:space="preserve">evelopment </w:t>
      </w:r>
      <w:r>
        <w:rPr>
          <w:lang w:eastAsia="en-AU"/>
        </w:rPr>
        <w:t>A</w:t>
      </w:r>
      <w:r w:rsidR="002E4F33">
        <w:rPr>
          <w:lang w:eastAsia="en-AU"/>
        </w:rPr>
        <w:t>ssistance (ODA)</w:t>
      </w:r>
      <w:r>
        <w:rPr>
          <w:lang w:eastAsia="en-AU"/>
        </w:rPr>
        <w:t xml:space="preserve"> to Nauru </w:t>
      </w:r>
      <w:r w:rsidRPr="007943D8">
        <w:rPr>
          <w:lang w:eastAsia="en-AU"/>
        </w:rPr>
        <w:t xml:space="preserve">for infrastructure totalling </w:t>
      </w:r>
      <w:r w:rsidRPr="0010674A">
        <w:rPr>
          <w:lang w:eastAsia="en-AU"/>
        </w:rPr>
        <w:t>$4</w:t>
      </w:r>
      <w:r w:rsidR="00D2432F" w:rsidRPr="0010674A">
        <w:rPr>
          <w:lang w:eastAsia="en-AU"/>
        </w:rPr>
        <w:t>3</w:t>
      </w:r>
      <w:r w:rsidRPr="0010674A">
        <w:rPr>
          <w:lang w:eastAsia="en-AU"/>
        </w:rPr>
        <w:t>.</w:t>
      </w:r>
      <w:r w:rsidR="00D2432F" w:rsidRPr="0010674A">
        <w:rPr>
          <w:lang w:eastAsia="en-AU"/>
        </w:rPr>
        <w:t>8</w:t>
      </w:r>
      <w:r w:rsidRPr="0010674A">
        <w:rPr>
          <w:lang w:eastAsia="en-AU"/>
        </w:rPr>
        <w:t xml:space="preserve"> million</w:t>
      </w:r>
      <w:r w:rsidRPr="007943D8">
        <w:rPr>
          <w:lang w:eastAsia="en-AU"/>
        </w:rPr>
        <w:t xml:space="preserve">, </w:t>
      </w:r>
      <w:r w:rsidR="00D31A85">
        <w:rPr>
          <w:lang w:eastAsia="en-AU"/>
        </w:rPr>
        <w:t xml:space="preserve">ranging </w:t>
      </w:r>
      <w:r w:rsidRPr="007943D8">
        <w:rPr>
          <w:lang w:eastAsia="en-AU"/>
        </w:rPr>
        <w:t>between approximately $7</w:t>
      </w:r>
      <w:r w:rsidR="00BC61E0">
        <w:rPr>
          <w:lang w:eastAsia="en-AU"/>
        </w:rPr>
        <w:t xml:space="preserve"> </w:t>
      </w:r>
      <w:r w:rsidRPr="007943D8">
        <w:rPr>
          <w:lang w:eastAsia="en-AU"/>
        </w:rPr>
        <w:t>-</w:t>
      </w:r>
      <w:r w:rsidR="00BC61E0">
        <w:rPr>
          <w:lang w:eastAsia="en-AU"/>
        </w:rPr>
        <w:t xml:space="preserve"> $</w:t>
      </w:r>
      <w:r w:rsidR="000575FD">
        <w:rPr>
          <w:lang w:eastAsia="en-AU"/>
        </w:rPr>
        <w:t>10</w:t>
      </w:r>
      <w:r w:rsidRPr="007943D8">
        <w:rPr>
          <w:lang w:eastAsia="en-AU"/>
        </w:rPr>
        <w:t>.</w:t>
      </w:r>
      <w:r w:rsidR="000575FD">
        <w:rPr>
          <w:lang w:eastAsia="en-AU"/>
        </w:rPr>
        <w:t>5</w:t>
      </w:r>
      <w:r w:rsidRPr="007943D8">
        <w:rPr>
          <w:lang w:eastAsia="en-AU"/>
        </w:rPr>
        <w:t xml:space="preserve"> million per financial year. </w:t>
      </w:r>
    </w:p>
    <w:p w14:paraId="26233C75" w14:textId="77777777" w:rsidR="00972A70" w:rsidRDefault="002E4F33" w:rsidP="00EB16DE">
      <w:pPr>
        <w:spacing w:line="280" w:lineRule="exact"/>
        <w:jc w:val="both"/>
        <w:rPr>
          <w:lang w:eastAsia="en-AU"/>
        </w:rPr>
      </w:pPr>
      <w:r>
        <w:rPr>
          <w:lang w:eastAsia="en-AU"/>
        </w:rPr>
        <w:t xml:space="preserve">A strategic end-of-term review of the DFAT-funded Nauru Infrastructure and Services investment was undertaken </w:t>
      </w:r>
      <w:r w:rsidR="005267D7">
        <w:rPr>
          <w:lang w:eastAsia="en-AU"/>
        </w:rPr>
        <w:t xml:space="preserve">between March-June 2018 </w:t>
      </w:r>
      <w:r>
        <w:rPr>
          <w:lang w:eastAsia="en-AU"/>
        </w:rPr>
        <w:t xml:space="preserve">to support </w:t>
      </w:r>
      <w:r w:rsidR="006640DB">
        <w:rPr>
          <w:lang w:eastAsia="en-AU"/>
        </w:rPr>
        <w:t xml:space="preserve">DFAT’s </w:t>
      </w:r>
      <w:r>
        <w:rPr>
          <w:lang w:eastAsia="en-AU"/>
        </w:rPr>
        <w:t xml:space="preserve">improved performance and strategic planning of the infrastructure sector within the Nauru Aid Program. </w:t>
      </w:r>
    </w:p>
    <w:p w14:paraId="30D31D43" w14:textId="77777777" w:rsidR="00AD67DA" w:rsidRDefault="00AD67DA" w:rsidP="00EB16DE">
      <w:pPr>
        <w:jc w:val="both"/>
        <w:rPr>
          <w:b/>
          <w:lang w:eastAsia="en-AU"/>
        </w:rPr>
      </w:pPr>
      <w:r w:rsidRPr="008470D4">
        <w:rPr>
          <w:b/>
          <w:lang w:eastAsia="en-AU"/>
        </w:rPr>
        <w:t>Background</w:t>
      </w:r>
    </w:p>
    <w:p w14:paraId="2E165521" w14:textId="77777777" w:rsidR="00AD67DA" w:rsidRDefault="00AD67DA" w:rsidP="00EB16DE">
      <w:pPr>
        <w:jc w:val="both"/>
        <w:rPr>
          <w:lang w:eastAsia="en-AU"/>
        </w:rPr>
      </w:pPr>
      <w:r w:rsidRPr="00D1160E">
        <w:rPr>
          <w:lang w:eastAsia="en-AU"/>
        </w:rPr>
        <w:t xml:space="preserve">Infrastructure </w:t>
      </w:r>
      <w:r>
        <w:rPr>
          <w:lang w:eastAsia="en-AU"/>
        </w:rPr>
        <w:t>plays</w:t>
      </w:r>
      <w:r w:rsidRPr="00D1160E">
        <w:rPr>
          <w:lang w:eastAsia="en-AU"/>
        </w:rPr>
        <w:t xml:space="preserve"> a key role in underpinning development in the economic and social sectors of Nauru. In particular, transport, reliability of power, </w:t>
      </w:r>
      <w:r>
        <w:rPr>
          <w:lang w:eastAsia="en-AU"/>
        </w:rPr>
        <w:t xml:space="preserve">access to clean water </w:t>
      </w:r>
      <w:r w:rsidRPr="00D1160E">
        <w:rPr>
          <w:lang w:eastAsia="en-AU"/>
        </w:rPr>
        <w:t>and the development of information and communications technology is critical to sustaining economic growth and the provision of social services</w:t>
      </w:r>
      <w:r>
        <w:rPr>
          <w:lang w:eastAsia="en-AU"/>
        </w:rPr>
        <w:t>.</w:t>
      </w:r>
      <w:r w:rsidRPr="00D1160E">
        <w:rPr>
          <w:lang w:eastAsia="en-AU"/>
        </w:rPr>
        <w:t xml:space="preserve"> </w:t>
      </w:r>
      <w:r>
        <w:rPr>
          <w:lang w:eastAsia="en-AU"/>
        </w:rPr>
        <w:t xml:space="preserve">The National Sustainable Development </w:t>
      </w:r>
      <w:r w:rsidRPr="0046614F">
        <w:rPr>
          <w:lang w:eastAsia="en-AU"/>
        </w:rPr>
        <w:t>Strategy (NSDS 2005-2025) of Nauru</w:t>
      </w:r>
      <w:r>
        <w:rPr>
          <w:lang w:eastAsia="en-AU"/>
        </w:rPr>
        <w:t xml:space="preserve"> identifies priorities areas for Nauru’s future</w:t>
      </w:r>
      <w:r w:rsidR="002E4F33">
        <w:rPr>
          <w:lang w:eastAsia="en-AU"/>
        </w:rPr>
        <w:t xml:space="preserve"> </w:t>
      </w:r>
      <w:r w:rsidR="006640DB">
        <w:rPr>
          <w:lang w:eastAsia="en-AU"/>
        </w:rPr>
        <w:t>growth</w:t>
      </w:r>
      <w:r>
        <w:rPr>
          <w:lang w:eastAsia="en-AU"/>
        </w:rPr>
        <w:t>.</w:t>
      </w:r>
      <w:r w:rsidRPr="00EA4BF4">
        <w:rPr>
          <w:lang w:eastAsia="en-AU"/>
        </w:rPr>
        <w:t xml:space="preserve"> </w:t>
      </w:r>
      <w:r>
        <w:rPr>
          <w:lang w:eastAsia="en-AU"/>
        </w:rPr>
        <w:t>During the review period a draft revised NSDS for 2018-2030 has been produced, based on a stakeholder consultation process.</w:t>
      </w:r>
    </w:p>
    <w:p w14:paraId="29CC98E6" w14:textId="77777777" w:rsidR="001E5627" w:rsidRPr="008470D4" w:rsidRDefault="00AC2E77" w:rsidP="00EB16DE">
      <w:pPr>
        <w:jc w:val="both"/>
        <w:rPr>
          <w:b/>
          <w:lang w:eastAsia="en-AU"/>
        </w:rPr>
      </w:pPr>
      <w:r>
        <w:rPr>
          <w:lang w:eastAsia="en-AU"/>
        </w:rPr>
        <w:t xml:space="preserve">The objectives of this review were to undertake </w:t>
      </w:r>
      <w:r w:rsidRPr="00CE200E">
        <w:rPr>
          <w:lang w:eastAsia="en-AU"/>
        </w:rPr>
        <w:t xml:space="preserve">an </w:t>
      </w:r>
      <w:r>
        <w:rPr>
          <w:lang w:eastAsia="en-AU"/>
        </w:rPr>
        <w:t>in-house end-of-</w:t>
      </w:r>
      <w:r w:rsidRPr="00CE200E">
        <w:rPr>
          <w:lang w:eastAsia="en-AU"/>
        </w:rPr>
        <w:t>term</w:t>
      </w:r>
      <w:r>
        <w:rPr>
          <w:lang w:eastAsia="en-AU"/>
        </w:rPr>
        <w:t xml:space="preserve"> review of the DFAT-funded Nauru Infrastructure and </w:t>
      </w:r>
      <w:r w:rsidRPr="004B6249">
        <w:rPr>
          <w:lang w:eastAsia="en-AU"/>
        </w:rPr>
        <w:t>Services investment to help guide future programming decisions. The review was limited to investments since 2014</w:t>
      </w:r>
      <w:r w:rsidR="00262F7C">
        <w:rPr>
          <w:lang w:eastAsia="en-AU"/>
        </w:rPr>
        <w:t xml:space="preserve">. </w:t>
      </w:r>
    </w:p>
    <w:p w14:paraId="29127517" w14:textId="77777777" w:rsidR="00AD67DA" w:rsidRDefault="00AD67DA" w:rsidP="00EB16DE">
      <w:pPr>
        <w:jc w:val="both"/>
        <w:rPr>
          <w:b/>
          <w:lang w:eastAsia="en-AU"/>
        </w:rPr>
      </w:pPr>
      <w:r>
        <w:rPr>
          <w:b/>
          <w:lang w:eastAsia="en-AU"/>
        </w:rPr>
        <w:t xml:space="preserve">Overview of DFAT’s infrastructure investments </w:t>
      </w:r>
    </w:p>
    <w:p w14:paraId="4422BC69" w14:textId="77777777" w:rsidR="00AD67DA" w:rsidRDefault="00AD67DA" w:rsidP="00EB16DE">
      <w:pPr>
        <w:jc w:val="both"/>
        <w:rPr>
          <w:lang w:eastAsia="en-AU"/>
        </w:rPr>
      </w:pPr>
      <w:r>
        <w:rPr>
          <w:lang w:eastAsia="en-AU"/>
        </w:rPr>
        <w:t xml:space="preserve">This review follows on from the most recent independent review completed in 2014 and covers infrastructure investments that were ongoing or started since 2014. </w:t>
      </w:r>
      <w:r w:rsidR="003A5E54">
        <w:rPr>
          <w:lang w:eastAsia="en-AU"/>
        </w:rPr>
        <w:t xml:space="preserve">DFAT’s infrastructure investments in Nauru consist of a composite of different projects, rather than an approach to strengthen GoN’s overall infrastructure sector. As such, the assessment in this review is based on the sectors and individual projects selected, rather than an overarching infrastructure strategy. </w:t>
      </w:r>
      <w:r>
        <w:rPr>
          <w:lang w:eastAsia="en-AU"/>
        </w:rPr>
        <w:t>DFAT’s infrastructure investments since 2014 by implementation phase are:</w:t>
      </w:r>
    </w:p>
    <w:p w14:paraId="03A2E5CF" w14:textId="7D97F0A0" w:rsidR="00AD67DA" w:rsidRDefault="00AD67DA" w:rsidP="00EB16DE">
      <w:pPr>
        <w:numPr>
          <w:ilvl w:val="0"/>
          <w:numId w:val="24"/>
        </w:numPr>
        <w:spacing w:before="80" w:after="80"/>
        <w:ind w:left="714" w:hanging="357"/>
        <w:jc w:val="both"/>
        <w:rPr>
          <w:lang w:eastAsia="en-AU"/>
        </w:rPr>
      </w:pPr>
      <w:r w:rsidRPr="00DC7275">
        <w:rPr>
          <w:b/>
          <w:lang w:eastAsia="en-AU"/>
        </w:rPr>
        <w:t>Completed</w:t>
      </w:r>
      <w:r>
        <w:rPr>
          <w:lang w:eastAsia="en-AU"/>
        </w:rPr>
        <w:t xml:space="preserve"> – TVET </w:t>
      </w:r>
      <w:r w:rsidR="003D39B3">
        <w:rPr>
          <w:lang w:eastAsia="en-AU"/>
        </w:rPr>
        <w:t>Centre</w:t>
      </w:r>
      <w:r>
        <w:rPr>
          <w:lang w:eastAsia="en-AU"/>
        </w:rPr>
        <w:t xml:space="preserve">, </w:t>
      </w:r>
      <w:r w:rsidR="007D34AF">
        <w:rPr>
          <w:lang w:eastAsia="en-AU"/>
        </w:rPr>
        <w:t xml:space="preserve">USP Learning </w:t>
      </w:r>
      <w:r w:rsidR="003D39B3">
        <w:rPr>
          <w:lang w:eastAsia="en-AU"/>
        </w:rPr>
        <w:t>Centre</w:t>
      </w:r>
      <w:r w:rsidR="007D34AF">
        <w:rPr>
          <w:lang w:eastAsia="en-AU"/>
        </w:rPr>
        <w:t xml:space="preserve">, </w:t>
      </w:r>
      <w:r>
        <w:rPr>
          <w:lang w:eastAsia="en-AU"/>
        </w:rPr>
        <w:t xml:space="preserve">Hospital (Stage 1 and 2), </w:t>
      </w:r>
      <w:r w:rsidR="00F645A8">
        <w:rPr>
          <w:lang w:eastAsia="en-AU"/>
        </w:rPr>
        <w:t xml:space="preserve">Wellness Clinics, </w:t>
      </w:r>
      <w:r>
        <w:rPr>
          <w:lang w:eastAsia="en-AU"/>
        </w:rPr>
        <w:t>Electricity Supply and Sustainability Project</w:t>
      </w:r>
    </w:p>
    <w:p w14:paraId="1B56EBA0" w14:textId="77777777" w:rsidR="00AD67DA" w:rsidRDefault="00AD67DA" w:rsidP="00EB16DE">
      <w:pPr>
        <w:numPr>
          <w:ilvl w:val="0"/>
          <w:numId w:val="24"/>
        </w:numPr>
        <w:spacing w:before="80" w:after="80"/>
        <w:ind w:left="714" w:hanging="357"/>
        <w:jc w:val="both"/>
        <w:rPr>
          <w:lang w:eastAsia="en-AU"/>
        </w:rPr>
      </w:pPr>
      <w:r w:rsidRPr="00DC7275">
        <w:rPr>
          <w:b/>
          <w:lang w:eastAsia="en-AU"/>
        </w:rPr>
        <w:t>Ongoing / Construction</w:t>
      </w:r>
      <w:r>
        <w:rPr>
          <w:lang w:eastAsia="en-AU"/>
        </w:rPr>
        <w:t xml:space="preserve"> – Household Water Tanks, Sports Complex</w:t>
      </w:r>
    </w:p>
    <w:p w14:paraId="709A2028" w14:textId="77777777" w:rsidR="00AD67DA" w:rsidRDefault="00AD67DA" w:rsidP="00EB16DE">
      <w:pPr>
        <w:numPr>
          <w:ilvl w:val="0"/>
          <w:numId w:val="24"/>
        </w:numPr>
        <w:spacing w:before="80" w:after="80"/>
        <w:ind w:left="714" w:hanging="357"/>
        <w:jc w:val="both"/>
        <w:rPr>
          <w:lang w:eastAsia="en-AU"/>
        </w:rPr>
      </w:pPr>
      <w:r w:rsidRPr="00DC7275">
        <w:rPr>
          <w:b/>
          <w:lang w:eastAsia="en-AU"/>
        </w:rPr>
        <w:t>Planning / Design</w:t>
      </w:r>
      <w:r>
        <w:rPr>
          <w:lang w:eastAsia="en-AU"/>
        </w:rPr>
        <w:t xml:space="preserve"> – Port Redevelopment, Port Institutional Reform</w:t>
      </w:r>
    </w:p>
    <w:p w14:paraId="63D07FDC" w14:textId="77777777" w:rsidR="00AD67DA" w:rsidRDefault="00AD67DA" w:rsidP="00EB16DE">
      <w:pPr>
        <w:numPr>
          <w:ilvl w:val="0"/>
          <w:numId w:val="24"/>
        </w:numPr>
        <w:spacing w:before="80" w:after="80"/>
        <w:ind w:left="714" w:hanging="357"/>
        <w:jc w:val="both"/>
        <w:rPr>
          <w:lang w:eastAsia="en-AU"/>
        </w:rPr>
      </w:pPr>
      <w:r w:rsidRPr="00DC7275">
        <w:rPr>
          <w:b/>
          <w:lang w:eastAsia="en-AU"/>
        </w:rPr>
        <w:t>Operations &amp; Maintenance</w:t>
      </w:r>
      <w:r>
        <w:rPr>
          <w:lang w:eastAsia="en-AU"/>
        </w:rPr>
        <w:t xml:space="preserve"> – Technical Assistance support to the Nauru Utilities Corporation (NUC)</w:t>
      </w:r>
    </w:p>
    <w:p w14:paraId="50C61953" w14:textId="77777777" w:rsidR="00743796" w:rsidRPr="002D7C5E" w:rsidRDefault="00743796" w:rsidP="00EB16DE">
      <w:pPr>
        <w:jc w:val="both"/>
        <w:rPr>
          <w:b/>
          <w:lang w:eastAsia="en-AU"/>
        </w:rPr>
      </w:pPr>
      <w:r w:rsidRPr="002D7C5E">
        <w:rPr>
          <w:b/>
          <w:lang w:eastAsia="en-AU"/>
        </w:rPr>
        <w:t>Overall Findings</w:t>
      </w:r>
    </w:p>
    <w:p w14:paraId="5AC66F66" w14:textId="77777777" w:rsidR="002F0F68" w:rsidRDefault="002F0F68" w:rsidP="00EB16DE">
      <w:pPr>
        <w:jc w:val="both"/>
        <w:rPr>
          <w:lang w:eastAsia="en-AU"/>
        </w:rPr>
      </w:pPr>
      <w:bookmarkStart w:id="2" w:name="_Hlk516010586"/>
      <w:r>
        <w:rPr>
          <w:lang w:eastAsia="en-AU"/>
        </w:rPr>
        <w:t>The review assessed DFAT’s infrastructure investments in Nauru against an agreed set of key review questions, structured around DFAT’s aid quality check (AQC)</w:t>
      </w:r>
      <w:r w:rsidR="00EB171B">
        <w:rPr>
          <w:lang w:eastAsia="en-AU"/>
        </w:rPr>
        <w:t xml:space="preserve"> and the </w:t>
      </w:r>
      <w:r w:rsidR="00EB171B" w:rsidRPr="00EB171B">
        <w:rPr>
          <w:lang w:eastAsia="en-AU"/>
        </w:rPr>
        <w:t>Organisation for Economic Co-operation and Development (OECD)</w:t>
      </w:r>
      <w:r w:rsidR="00EB171B">
        <w:rPr>
          <w:lang w:eastAsia="en-AU"/>
        </w:rPr>
        <w:t xml:space="preserve"> </w:t>
      </w:r>
      <w:r w:rsidR="00EB171B" w:rsidRPr="00EB171B">
        <w:rPr>
          <w:lang w:eastAsia="en-AU"/>
        </w:rPr>
        <w:t>Development Assistance Committee (DAC)</w:t>
      </w:r>
      <w:r>
        <w:rPr>
          <w:lang w:eastAsia="en-AU"/>
        </w:rPr>
        <w:t xml:space="preserve"> criteria including (i) relevance, (ii) effectiveness, (iii) efficiency, (iv) monitoring and evaluation and (v) cross-cutting issues. </w:t>
      </w:r>
      <w:r w:rsidR="00175127">
        <w:rPr>
          <w:lang w:eastAsia="en-AU"/>
        </w:rPr>
        <w:fldChar w:fldCharType="begin"/>
      </w:r>
      <w:r w:rsidR="00175127">
        <w:rPr>
          <w:lang w:eastAsia="en-AU"/>
        </w:rPr>
        <w:instrText xml:space="preserve"> REF _Ref516019674 \h </w:instrText>
      </w:r>
      <w:r w:rsidR="00175127">
        <w:rPr>
          <w:lang w:eastAsia="en-AU"/>
        </w:rPr>
      </w:r>
      <w:r w:rsidR="00175127">
        <w:rPr>
          <w:lang w:eastAsia="en-AU"/>
        </w:rPr>
        <w:fldChar w:fldCharType="separate"/>
      </w:r>
      <w:r w:rsidR="00404CD4" w:rsidRPr="001E5627">
        <w:rPr>
          <w:i/>
        </w:rPr>
        <w:t xml:space="preserve">Table </w:t>
      </w:r>
      <w:r w:rsidR="00404CD4">
        <w:rPr>
          <w:i/>
          <w:noProof/>
        </w:rPr>
        <w:t>1</w:t>
      </w:r>
      <w:r w:rsidR="00175127">
        <w:rPr>
          <w:lang w:eastAsia="en-AU"/>
        </w:rPr>
        <w:fldChar w:fldCharType="end"/>
      </w:r>
      <w:r w:rsidR="00175127">
        <w:rPr>
          <w:lang w:eastAsia="en-AU"/>
        </w:rPr>
        <w:t xml:space="preserve"> provides an overview of the findings for each project, with a weighted average for each criteria based on the size of DFAT’s contribution to each project.</w:t>
      </w:r>
      <w:r w:rsidR="000720A2">
        <w:rPr>
          <w:lang w:eastAsia="en-AU"/>
        </w:rPr>
        <w:t xml:space="preserve"> The overall result indicates the performance of each project.</w:t>
      </w:r>
    </w:p>
    <w:tbl>
      <w:tblPr>
        <w:tblW w:w="9785" w:type="dxa"/>
        <w:tblInd w:w="-5" w:type="dxa"/>
        <w:tblLook w:val="04A0" w:firstRow="1" w:lastRow="0" w:firstColumn="1" w:lastColumn="0" w:noHBand="0" w:noVBand="1"/>
      </w:tblPr>
      <w:tblGrid>
        <w:gridCol w:w="2552"/>
        <w:gridCol w:w="917"/>
        <w:gridCol w:w="1096"/>
        <w:gridCol w:w="1344"/>
        <w:gridCol w:w="1276"/>
        <w:gridCol w:w="1179"/>
        <w:gridCol w:w="1421"/>
      </w:tblGrid>
      <w:tr w:rsidR="005075CF" w:rsidRPr="001E4717" w14:paraId="04B967E5" w14:textId="77777777" w:rsidTr="00031E64">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8CBAD"/>
            <w:vAlign w:val="center"/>
            <w:hideMark/>
          </w:tcPr>
          <w:bookmarkEnd w:id="2"/>
          <w:p w14:paraId="09AC8BA0" w14:textId="77777777" w:rsidR="005075CF" w:rsidRPr="001E4717" w:rsidRDefault="005075CF" w:rsidP="004700C0">
            <w:pPr>
              <w:spacing w:before="0" w:after="0" w:line="240" w:lineRule="auto"/>
              <w:rPr>
                <w:rFonts w:eastAsia="Times New Roman" w:cs="Calibri"/>
                <w:b/>
                <w:bCs/>
                <w:color w:val="000000"/>
                <w:sz w:val="20"/>
                <w:szCs w:val="20"/>
                <w:lang w:eastAsia="en-AU"/>
              </w:rPr>
            </w:pPr>
            <w:r w:rsidRPr="001E4717">
              <w:rPr>
                <w:rFonts w:eastAsia="Times New Roman" w:cs="Calibri"/>
                <w:b/>
                <w:bCs/>
                <w:color w:val="000000"/>
                <w:sz w:val="20"/>
                <w:szCs w:val="20"/>
                <w:lang w:eastAsia="en-AU"/>
              </w:rPr>
              <w:lastRenderedPageBreak/>
              <w:t>Project</w:t>
            </w:r>
          </w:p>
        </w:tc>
        <w:tc>
          <w:tcPr>
            <w:tcW w:w="917" w:type="dxa"/>
            <w:tcBorders>
              <w:top w:val="single" w:sz="4" w:space="0" w:color="auto"/>
              <w:left w:val="nil"/>
              <w:bottom w:val="single" w:sz="4" w:space="0" w:color="auto"/>
              <w:right w:val="single" w:sz="4" w:space="0" w:color="auto"/>
            </w:tcBorders>
            <w:shd w:val="clear" w:color="000000" w:fill="F8CBAD"/>
            <w:vAlign w:val="center"/>
            <w:hideMark/>
          </w:tcPr>
          <w:p w14:paraId="3B753E5C"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Overall</w:t>
            </w:r>
          </w:p>
        </w:tc>
        <w:tc>
          <w:tcPr>
            <w:tcW w:w="1096" w:type="dxa"/>
            <w:tcBorders>
              <w:top w:val="single" w:sz="4" w:space="0" w:color="auto"/>
              <w:left w:val="nil"/>
              <w:bottom w:val="single" w:sz="4" w:space="0" w:color="auto"/>
              <w:right w:val="single" w:sz="4" w:space="0" w:color="auto"/>
            </w:tcBorders>
            <w:shd w:val="clear" w:color="000000" w:fill="F8CBAD"/>
            <w:vAlign w:val="center"/>
            <w:hideMark/>
          </w:tcPr>
          <w:p w14:paraId="1BE622F8"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Relevance</w:t>
            </w:r>
          </w:p>
        </w:tc>
        <w:tc>
          <w:tcPr>
            <w:tcW w:w="1344" w:type="dxa"/>
            <w:tcBorders>
              <w:top w:val="single" w:sz="4" w:space="0" w:color="auto"/>
              <w:left w:val="nil"/>
              <w:bottom w:val="single" w:sz="4" w:space="0" w:color="auto"/>
              <w:right w:val="single" w:sz="4" w:space="0" w:color="auto"/>
            </w:tcBorders>
            <w:shd w:val="clear" w:color="000000" w:fill="F8CBAD"/>
            <w:vAlign w:val="center"/>
            <w:hideMark/>
          </w:tcPr>
          <w:p w14:paraId="66D84BDF"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Effectiveness</w:t>
            </w:r>
          </w:p>
        </w:tc>
        <w:tc>
          <w:tcPr>
            <w:tcW w:w="1276" w:type="dxa"/>
            <w:tcBorders>
              <w:top w:val="single" w:sz="4" w:space="0" w:color="auto"/>
              <w:left w:val="nil"/>
              <w:bottom w:val="single" w:sz="4" w:space="0" w:color="auto"/>
              <w:right w:val="single" w:sz="4" w:space="0" w:color="auto"/>
            </w:tcBorders>
            <w:shd w:val="clear" w:color="000000" w:fill="F8CBAD"/>
            <w:vAlign w:val="center"/>
            <w:hideMark/>
          </w:tcPr>
          <w:p w14:paraId="12E3AAAB"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Efficiency</w:t>
            </w:r>
          </w:p>
        </w:tc>
        <w:tc>
          <w:tcPr>
            <w:tcW w:w="1179" w:type="dxa"/>
            <w:tcBorders>
              <w:top w:val="single" w:sz="4" w:space="0" w:color="auto"/>
              <w:left w:val="nil"/>
              <w:bottom w:val="single" w:sz="4" w:space="0" w:color="auto"/>
              <w:right w:val="single" w:sz="4" w:space="0" w:color="auto"/>
            </w:tcBorders>
            <w:shd w:val="clear" w:color="000000" w:fill="F8CBAD"/>
            <w:vAlign w:val="center"/>
            <w:hideMark/>
          </w:tcPr>
          <w:p w14:paraId="431710E0"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M&amp;E</w:t>
            </w:r>
          </w:p>
        </w:tc>
        <w:tc>
          <w:tcPr>
            <w:tcW w:w="1418" w:type="dxa"/>
            <w:tcBorders>
              <w:top w:val="single" w:sz="4" w:space="0" w:color="auto"/>
              <w:left w:val="nil"/>
              <w:bottom w:val="single" w:sz="4" w:space="0" w:color="auto"/>
              <w:right w:val="single" w:sz="4" w:space="0" w:color="auto"/>
            </w:tcBorders>
            <w:shd w:val="clear" w:color="000000" w:fill="F8CBAD"/>
            <w:vAlign w:val="center"/>
            <w:hideMark/>
          </w:tcPr>
          <w:p w14:paraId="66EF4866"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Cross-cutting</w:t>
            </w:r>
          </w:p>
        </w:tc>
      </w:tr>
      <w:tr w:rsidR="0067736F" w:rsidRPr="001E4717" w14:paraId="56D07A34" w14:textId="77777777" w:rsidTr="00031E64">
        <w:trPr>
          <w:trHeight w:val="3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D372D0" w14:textId="77777777" w:rsidR="0067736F" w:rsidRPr="001E4717" w:rsidRDefault="0067736F" w:rsidP="0067736F">
            <w:pPr>
              <w:spacing w:before="0" w:after="0" w:line="240" w:lineRule="auto"/>
              <w:rPr>
                <w:rFonts w:eastAsia="Times New Roman" w:cs="Calibri"/>
                <w:color w:val="000000"/>
                <w:sz w:val="20"/>
                <w:szCs w:val="20"/>
                <w:lang w:eastAsia="en-AU"/>
              </w:rPr>
            </w:pPr>
            <w:r>
              <w:rPr>
                <w:rFonts w:eastAsia="Times New Roman" w:cs="Calibri"/>
                <w:color w:val="000000"/>
                <w:sz w:val="20"/>
                <w:szCs w:val="20"/>
                <w:lang w:eastAsia="en-AU"/>
              </w:rPr>
              <w:t>NUC Technical Assistance</w:t>
            </w:r>
          </w:p>
        </w:tc>
        <w:tc>
          <w:tcPr>
            <w:tcW w:w="917" w:type="dxa"/>
            <w:tcBorders>
              <w:top w:val="nil"/>
              <w:left w:val="nil"/>
              <w:bottom w:val="single" w:sz="4" w:space="0" w:color="auto"/>
              <w:right w:val="single" w:sz="4" w:space="0" w:color="auto"/>
            </w:tcBorders>
            <w:shd w:val="clear" w:color="auto" w:fill="auto"/>
            <w:vAlign w:val="center"/>
            <w:hideMark/>
          </w:tcPr>
          <w:p w14:paraId="65E87F5C"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Pr>
                <w:rFonts w:eastAsia="Times New Roman" w:cs="Calibri"/>
                <w:b/>
                <w:bCs/>
                <w:color w:val="000000"/>
                <w:sz w:val="20"/>
                <w:szCs w:val="20"/>
                <w:lang w:eastAsia="en-AU"/>
              </w:rPr>
              <w:t>5.8</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236AD88C"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55022A75"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4F239BCD"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179" w:type="dxa"/>
            <w:tcBorders>
              <w:top w:val="nil"/>
              <w:left w:val="nil"/>
              <w:bottom w:val="single" w:sz="4" w:space="0" w:color="auto"/>
              <w:right w:val="single" w:sz="4" w:space="0" w:color="auto"/>
            </w:tcBorders>
            <w:shd w:val="clear" w:color="auto" w:fill="auto"/>
            <w:vAlign w:val="center"/>
            <w:hideMark/>
          </w:tcPr>
          <w:p w14:paraId="241CE463"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03726670"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r>
      <w:tr w:rsidR="0067736F" w:rsidRPr="001E4717" w14:paraId="5513E5FA" w14:textId="77777777" w:rsidTr="00031E64">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ECFA7B"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Electricity Supply and Sustainability Project</w:t>
            </w:r>
          </w:p>
        </w:tc>
        <w:tc>
          <w:tcPr>
            <w:tcW w:w="917" w:type="dxa"/>
            <w:tcBorders>
              <w:top w:val="nil"/>
              <w:left w:val="nil"/>
              <w:bottom w:val="single" w:sz="4" w:space="0" w:color="auto"/>
              <w:right w:val="single" w:sz="4" w:space="0" w:color="auto"/>
            </w:tcBorders>
            <w:shd w:val="clear" w:color="auto" w:fill="auto"/>
            <w:vAlign w:val="center"/>
            <w:hideMark/>
          </w:tcPr>
          <w:p w14:paraId="1C51EF24"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Pr>
                <w:rFonts w:eastAsia="Times New Roman" w:cs="Calibri"/>
                <w:b/>
                <w:bCs/>
                <w:color w:val="000000"/>
                <w:sz w:val="20"/>
                <w:szCs w:val="20"/>
                <w:lang w:eastAsia="en-AU"/>
              </w:rPr>
              <w:t>4</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0E50033C"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2E98CF64"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37590AD1"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179" w:type="dxa"/>
            <w:tcBorders>
              <w:top w:val="nil"/>
              <w:left w:val="nil"/>
              <w:bottom w:val="single" w:sz="4" w:space="0" w:color="auto"/>
              <w:right w:val="single" w:sz="4" w:space="0" w:color="auto"/>
            </w:tcBorders>
            <w:shd w:val="clear" w:color="auto" w:fill="auto"/>
            <w:vAlign w:val="center"/>
            <w:hideMark/>
          </w:tcPr>
          <w:p w14:paraId="6E00C572"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418" w:type="dxa"/>
            <w:tcBorders>
              <w:top w:val="nil"/>
              <w:left w:val="nil"/>
              <w:bottom w:val="single" w:sz="4" w:space="0" w:color="auto"/>
              <w:right w:val="single" w:sz="4" w:space="0" w:color="auto"/>
            </w:tcBorders>
            <w:shd w:val="clear" w:color="auto" w:fill="auto"/>
            <w:vAlign w:val="center"/>
            <w:hideMark/>
          </w:tcPr>
          <w:p w14:paraId="2EA3983B"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r>
      <w:tr w:rsidR="0067736F" w:rsidRPr="001E4717" w14:paraId="68284D53"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6A79CA"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Port Redevelopment</w:t>
            </w:r>
          </w:p>
        </w:tc>
        <w:tc>
          <w:tcPr>
            <w:tcW w:w="917" w:type="dxa"/>
            <w:tcBorders>
              <w:top w:val="nil"/>
              <w:left w:val="nil"/>
              <w:bottom w:val="single" w:sz="4" w:space="0" w:color="auto"/>
              <w:right w:val="single" w:sz="4" w:space="0" w:color="auto"/>
            </w:tcBorders>
            <w:shd w:val="clear" w:color="auto" w:fill="auto"/>
            <w:vAlign w:val="center"/>
            <w:hideMark/>
          </w:tcPr>
          <w:p w14:paraId="4ACF2FA5"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Pr>
                <w:rFonts w:eastAsia="Times New Roman" w:cs="Calibri"/>
                <w:b/>
                <w:bCs/>
                <w:color w:val="000000"/>
                <w:sz w:val="20"/>
                <w:szCs w:val="20"/>
                <w:lang w:eastAsia="en-AU"/>
              </w:rPr>
              <w:t>4</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0963B120"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508EC67B"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10613CD2"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179" w:type="dxa"/>
            <w:tcBorders>
              <w:top w:val="nil"/>
              <w:left w:val="nil"/>
              <w:bottom w:val="single" w:sz="4" w:space="0" w:color="auto"/>
              <w:right w:val="single" w:sz="4" w:space="0" w:color="auto"/>
            </w:tcBorders>
            <w:shd w:val="clear" w:color="auto" w:fill="auto"/>
            <w:vAlign w:val="center"/>
            <w:hideMark/>
          </w:tcPr>
          <w:p w14:paraId="7D66F97C"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727E08E6"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r>
      <w:tr w:rsidR="0067736F" w:rsidRPr="001E4717" w14:paraId="2A77882A"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2B4709"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Port Institutional Reform</w:t>
            </w:r>
          </w:p>
        </w:tc>
        <w:tc>
          <w:tcPr>
            <w:tcW w:w="917" w:type="dxa"/>
            <w:tcBorders>
              <w:top w:val="nil"/>
              <w:left w:val="nil"/>
              <w:bottom w:val="single" w:sz="4" w:space="0" w:color="auto"/>
              <w:right w:val="single" w:sz="4" w:space="0" w:color="auto"/>
            </w:tcBorders>
            <w:shd w:val="clear" w:color="auto" w:fill="auto"/>
            <w:vAlign w:val="center"/>
            <w:hideMark/>
          </w:tcPr>
          <w:p w14:paraId="305114F7"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Pr>
                <w:rFonts w:eastAsia="Times New Roman" w:cs="Calibri"/>
                <w:b/>
                <w:bCs/>
                <w:color w:val="000000"/>
                <w:sz w:val="20"/>
                <w:szCs w:val="20"/>
                <w:lang w:eastAsia="en-AU"/>
              </w:rPr>
              <w:t>4</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319E0267"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15CEE583"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3D479FFE"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179" w:type="dxa"/>
            <w:tcBorders>
              <w:top w:val="nil"/>
              <w:left w:val="nil"/>
              <w:bottom w:val="single" w:sz="4" w:space="0" w:color="auto"/>
              <w:right w:val="single" w:sz="4" w:space="0" w:color="auto"/>
            </w:tcBorders>
            <w:shd w:val="clear" w:color="auto" w:fill="auto"/>
            <w:vAlign w:val="center"/>
            <w:hideMark/>
          </w:tcPr>
          <w:p w14:paraId="7FD19F19"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27D17B65"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r>
      <w:tr w:rsidR="0067736F" w:rsidRPr="001E4717" w14:paraId="4B08B461"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AF8F1F"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 xml:space="preserve">USP Learning </w:t>
            </w:r>
            <w:r w:rsidR="00820C1B" w:rsidRPr="001E4717">
              <w:rPr>
                <w:rFonts w:eastAsia="Times New Roman" w:cs="Calibri"/>
                <w:color w:val="000000"/>
                <w:sz w:val="20"/>
                <w:szCs w:val="20"/>
                <w:lang w:eastAsia="en-AU"/>
              </w:rPr>
              <w:t>Centre</w:t>
            </w:r>
          </w:p>
        </w:tc>
        <w:tc>
          <w:tcPr>
            <w:tcW w:w="917" w:type="dxa"/>
            <w:tcBorders>
              <w:top w:val="nil"/>
              <w:left w:val="nil"/>
              <w:bottom w:val="single" w:sz="4" w:space="0" w:color="auto"/>
              <w:right w:val="single" w:sz="4" w:space="0" w:color="auto"/>
            </w:tcBorders>
            <w:shd w:val="clear" w:color="auto" w:fill="auto"/>
            <w:vAlign w:val="center"/>
            <w:hideMark/>
          </w:tcPr>
          <w:p w14:paraId="58126643"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Pr>
                <w:rFonts w:eastAsia="Times New Roman" w:cs="Calibri"/>
                <w:b/>
                <w:bCs/>
                <w:color w:val="000000"/>
                <w:sz w:val="20"/>
                <w:szCs w:val="20"/>
                <w:lang w:eastAsia="en-AU"/>
              </w:rPr>
              <w:t>4</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54E9F58D"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2E7DFA91"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32024612"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179" w:type="dxa"/>
            <w:tcBorders>
              <w:top w:val="nil"/>
              <w:left w:val="nil"/>
              <w:bottom w:val="single" w:sz="4" w:space="0" w:color="auto"/>
              <w:right w:val="single" w:sz="4" w:space="0" w:color="auto"/>
            </w:tcBorders>
            <w:shd w:val="clear" w:color="auto" w:fill="auto"/>
            <w:vAlign w:val="center"/>
            <w:hideMark/>
          </w:tcPr>
          <w:p w14:paraId="1C46FFA0"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6AC963DB"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r>
      <w:tr w:rsidR="0067736F" w:rsidRPr="001E4717" w14:paraId="591C12F9"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CD5C4"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Sports Complex</w:t>
            </w:r>
          </w:p>
        </w:tc>
        <w:tc>
          <w:tcPr>
            <w:tcW w:w="917" w:type="dxa"/>
            <w:tcBorders>
              <w:top w:val="nil"/>
              <w:left w:val="nil"/>
              <w:bottom w:val="single" w:sz="4" w:space="0" w:color="auto"/>
              <w:right w:val="single" w:sz="4" w:space="0" w:color="auto"/>
            </w:tcBorders>
            <w:shd w:val="clear" w:color="auto" w:fill="auto"/>
            <w:vAlign w:val="center"/>
            <w:hideMark/>
          </w:tcPr>
          <w:p w14:paraId="29A18297"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Pr>
                <w:rFonts w:eastAsia="Times New Roman" w:cs="Calibri"/>
                <w:b/>
                <w:bCs/>
                <w:color w:val="000000"/>
                <w:sz w:val="20"/>
                <w:szCs w:val="20"/>
                <w:lang w:eastAsia="en-AU"/>
              </w:rPr>
              <w:t>2</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341BB226"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c>
          <w:tcPr>
            <w:tcW w:w="1344" w:type="dxa"/>
            <w:tcBorders>
              <w:top w:val="nil"/>
              <w:left w:val="nil"/>
              <w:bottom w:val="single" w:sz="4" w:space="0" w:color="auto"/>
              <w:right w:val="single" w:sz="4" w:space="0" w:color="auto"/>
            </w:tcBorders>
            <w:shd w:val="clear" w:color="auto" w:fill="auto"/>
            <w:vAlign w:val="center"/>
            <w:hideMark/>
          </w:tcPr>
          <w:p w14:paraId="258E26BC"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5970C659"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179" w:type="dxa"/>
            <w:tcBorders>
              <w:top w:val="nil"/>
              <w:left w:val="nil"/>
              <w:bottom w:val="single" w:sz="4" w:space="0" w:color="auto"/>
              <w:right w:val="single" w:sz="4" w:space="0" w:color="auto"/>
            </w:tcBorders>
            <w:shd w:val="clear" w:color="auto" w:fill="auto"/>
            <w:vAlign w:val="center"/>
            <w:hideMark/>
          </w:tcPr>
          <w:p w14:paraId="56762C2E"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0E89D77A"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r>
      <w:tr w:rsidR="0067736F" w:rsidRPr="001E4717" w14:paraId="725B7307"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10C861"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 xml:space="preserve">TVET </w:t>
            </w:r>
            <w:r w:rsidR="00820C1B" w:rsidRPr="001E4717">
              <w:rPr>
                <w:rFonts w:eastAsia="Times New Roman" w:cs="Calibri"/>
                <w:color w:val="000000"/>
                <w:sz w:val="20"/>
                <w:szCs w:val="20"/>
                <w:lang w:eastAsia="en-AU"/>
              </w:rPr>
              <w:t>Centre</w:t>
            </w:r>
          </w:p>
        </w:tc>
        <w:tc>
          <w:tcPr>
            <w:tcW w:w="917" w:type="dxa"/>
            <w:tcBorders>
              <w:top w:val="nil"/>
              <w:left w:val="nil"/>
              <w:bottom w:val="single" w:sz="4" w:space="0" w:color="auto"/>
              <w:right w:val="single" w:sz="4" w:space="0" w:color="auto"/>
            </w:tcBorders>
            <w:shd w:val="clear" w:color="auto" w:fill="auto"/>
            <w:vAlign w:val="center"/>
            <w:hideMark/>
          </w:tcPr>
          <w:p w14:paraId="0FE3F6A0"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Pr>
                <w:rFonts w:eastAsia="Times New Roman" w:cs="Calibri"/>
                <w:b/>
                <w:bCs/>
                <w:color w:val="000000"/>
                <w:sz w:val="20"/>
                <w:szCs w:val="20"/>
                <w:lang w:eastAsia="en-AU"/>
              </w:rPr>
              <w:t>5.0</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3779133F"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3AE4176D"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5B638BA2"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179" w:type="dxa"/>
            <w:tcBorders>
              <w:top w:val="nil"/>
              <w:left w:val="nil"/>
              <w:bottom w:val="single" w:sz="4" w:space="0" w:color="auto"/>
              <w:right w:val="single" w:sz="4" w:space="0" w:color="auto"/>
            </w:tcBorders>
            <w:shd w:val="clear" w:color="auto" w:fill="auto"/>
            <w:vAlign w:val="center"/>
            <w:hideMark/>
          </w:tcPr>
          <w:p w14:paraId="14F0BA4B" w14:textId="77777777" w:rsidR="0067736F" w:rsidRPr="001E4717" w:rsidRDefault="008A77B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72278D0F"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r>
      <w:tr w:rsidR="0067736F" w:rsidRPr="001E4717" w14:paraId="0A4AFAC6"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58DA0A"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Hospital (Stage 1 and 2)</w:t>
            </w:r>
          </w:p>
        </w:tc>
        <w:tc>
          <w:tcPr>
            <w:tcW w:w="917" w:type="dxa"/>
            <w:tcBorders>
              <w:top w:val="nil"/>
              <w:left w:val="nil"/>
              <w:bottom w:val="single" w:sz="4" w:space="0" w:color="auto"/>
              <w:right w:val="single" w:sz="4" w:space="0" w:color="auto"/>
            </w:tcBorders>
            <w:shd w:val="clear" w:color="auto" w:fill="auto"/>
            <w:vAlign w:val="center"/>
            <w:hideMark/>
          </w:tcPr>
          <w:p w14:paraId="20B18D46"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4.</w:t>
            </w:r>
            <w:r>
              <w:rPr>
                <w:rFonts w:eastAsia="Times New Roman" w:cs="Calibri"/>
                <w:b/>
                <w:bCs/>
                <w:color w:val="000000"/>
                <w:sz w:val="20"/>
                <w:szCs w:val="20"/>
                <w:lang w:eastAsia="en-AU"/>
              </w:rPr>
              <w:t>2</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56856F86"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6</w:t>
            </w:r>
          </w:p>
        </w:tc>
        <w:tc>
          <w:tcPr>
            <w:tcW w:w="1344" w:type="dxa"/>
            <w:tcBorders>
              <w:top w:val="nil"/>
              <w:left w:val="nil"/>
              <w:bottom w:val="single" w:sz="4" w:space="0" w:color="auto"/>
              <w:right w:val="single" w:sz="4" w:space="0" w:color="auto"/>
            </w:tcBorders>
            <w:shd w:val="clear" w:color="auto" w:fill="auto"/>
            <w:vAlign w:val="center"/>
            <w:hideMark/>
          </w:tcPr>
          <w:p w14:paraId="58145141"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E7E01D5"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c>
          <w:tcPr>
            <w:tcW w:w="1179" w:type="dxa"/>
            <w:tcBorders>
              <w:top w:val="nil"/>
              <w:left w:val="nil"/>
              <w:bottom w:val="single" w:sz="4" w:space="0" w:color="auto"/>
              <w:right w:val="single" w:sz="4" w:space="0" w:color="auto"/>
            </w:tcBorders>
            <w:shd w:val="clear" w:color="auto" w:fill="auto"/>
            <w:vAlign w:val="center"/>
            <w:hideMark/>
          </w:tcPr>
          <w:p w14:paraId="63190C56"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418" w:type="dxa"/>
            <w:tcBorders>
              <w:top w:val="nil"/>
              <w:left w:val="nil"/>
              <w:bottom w:val="single" w:sz="4" w:space="0" w:color="auto"/>
              <w:right w:val="single" w:sz="4" w:space="0" w:color="auto"/>
            </w:tcBorders>
            <w:shd w:val="clear" w:color="auto" w:fill="auto"/>
            <w:vAlign w:val="center"/>
            <w:hideMark/>
          </w:tcPr>
          <w:p w14:paraId="52FB35C7"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3</w:t>
            </w:r>
          </w:p>
        </w:tc>
      </w:tr>
      <w:tr w:rsidR="0067736F" w:rsidRPr="001E4717" w14:paraId="4F1AD953"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832B7C"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Wellness Clinics</w:t>
            </w:r>
          </w:p>
        </w:tc>
        <w:tc>
          <w:tcPr>
            <w:tcW w:w="917" w:type="dxa"/>
            <w:tcBorders>
              <w:top w:val="nil"/>
              <w:left w:val="nil"/>
              <w:bottom w:val="single" w:sz="4" w:space="0" w:color="auto"/>
              <w:right w:val="single" w:sz="4" w:space="0" w:color="auto"/>
            </w:tcBorders>
            <w:shd w:val="clear" w:color="auto" w:fill="auto"/>
            <w:vAlign w:val="center"/>
            <w:hideMark/>
          </w:tcPr>
          <w:p w14:paraId="38281EAC"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Pr>
                <w:rFonts w:eastAsia="Times New Roman" w:cs="Calibri"/>
                <w:b/>
                <w:bCs/>
                <w:color w:val="000000"/>
                <w:sz w:val="20"/>
                <w:szCs w:val="20"/>
                <w:lang w:eastAsia="en-AU"/>
              </w:rPr>
              <w:t>2.8</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762D723D"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c>
          <w:tcPr>
            <w:tcW w:w="1344" w:type="dxa"/>
            <w:tcBorders>
              <w:top w:val="nil"/>
              <w:left w:val="nil"/>
              <w:bottom w:val="single" w:sz="4" w:space="0" w:color="auto"/>
              <w:right w:val="single" w:sz="4" w:space="0" w:color="auto"/>
            </w:tcBorders>
            <w:shd w:val="clear" w:color="auto" w:fill="auto"/>
            <w:vAlign w:val="center"/>
            <w:hideMark/>
          </w:tcPr>
          <w:p w14:paraId="4884927C"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0F4707F"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2</w:t>
            </w:r>
          </w:p>
        </w:tc>
        <w:tc>
          <w:tcPr>
            <w:tcW w:w="1179" w:type="dxa"/>
            <w:tcBorders>
              <w:top w:val="nil"/>
              <w:left w:val="nil"/>
              <w:bottom w:val="single" w:sz="4" w:space="0" w:color="auto"/>
              <w:right w:val="single" w:sz="4" w:space="0" w:color="auto"/>
            </w:tcBorders>
            <w:shd w:val="clear" w:color="auto" w:fill="auto"/>
            <w:vAlign w:val="center"/>
            <w:hideMark/>
          </w:tcPr>
          <w:p w14:paraId="5C8C7C9F"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c>
          <w:tcPr>
            <w:tcW w:w="1418" w:type="dxa"/>
            <w:tcBorders>
              <w:top w:val="nil"/>
              <w:left w:val="nil"/>
              <w:bottom w:val="single" w:sz="4" w:space="0" w:color="auto"/>
              <w:right w:val="single" w:sz="4" w:space="0" w:color="auto"/>
            </w:tcBorders>
            <w:shd w:val="clear" w:color="auto" w:fill="auto"/>
            <w:vAlign w:val="center"/>
            <w:hideMark/>
          </w:tcPr>
          <w:p w14:paraId="1495BA5A"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N/D</w:t>
            </w:r>
          </w:p>
        </w:tc>
      </w:tr>
      <w:tr w:rsidR="0067736F" w:rsidRPr="001E4717" w14:paraId="6D67CB83" w14:textId="77777777" w:rsidTr="00031E64">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101BB2" w14:textId="77777777" w:rsidR="0067736F" w:rsidRPr="001E4717" w:rsidRDefault="0067736F" w:rsidP="0067736F">
            <w:pPr>
              <w:spacing w:before="0" w:after="0" w:line="240" w:lineRule="auto"/>
              <w:rPr>
                <w:rFonts w:eastAsia="Times New Roman" w:cs="Calibri"/>
                <w:color w:val="000000"/>
                <w:sz w:val="20"/>
                <w:szCs w:val="20"/>
                <w:lang w:eastAsia="en-AU"/>
              </w:rPr>
            </w:pPr>
            <w:r w:rsidRPr="001E4717">
              <w:rPr>
                <w:rFonts w:eastAsia="Times New Roman" w:cs="Calibri"/>
                <w:color w:val="000000"/>
                <w:sz w:val="20"/>
                <w:szCs w:val="20"/>
                <w:lang w:eastAsia="en-AU"/>
              </w:rPr>
              <w:t>Household Water Tanks</w:t>
            </w:r>
          </w:p>
        </w:tc>
        <w:tc>
          <w:tcPr>
            <w:tcW w:w="917" w:type="dxa"/>
            <w:tcBorders>
              <w:top w:val="nil"/>
              <w:left w:val="nil"/>
              <w:bottom w:val="single" w:sz="4" w:space="0" w:color="auto"/>
              <w:right w:val="single" w:sz="4" w:space="0" w:color="auto"/>
            </w:tcBorders>
            <w:shd w:val="clear" w:color="auto" w:fill="auto"/>
            <w:vAlign w:val="center"/>
            <w:hideMark/>
          </w:tcPr>
          <w:p w14:paraId="09034DA4" w14:textId="77777777" w:rsidR="0067736F" w:rsidRPr="001E4717" w:rsidRDefault="0067736F" w:rsidP="0067736F">
            <w:pPr>
              <w:spacing w:before="0" w:after="0" w:line="240" w:lineRule="auto"/>
              <w:jc w:val="center"/>
              <w:rPr>
                <w:rFonts w:eastAsia="Times New Roman" w:cs="Calibri"/>
                <w:b/>
                <w:bCs/>
                <w:color w:val="000000"/>
                <w:sz w:val="20"/>
                <w:szCs w:val="20"/>
                <w:lang w:eastAsia="en-AU"/>
              </w:rPr>
            </w:pPr>
            <w:r>
              <w:rPr>
                <w:rFonts w:eastAsia="Times New Roman" w:cs="Calibri"/>
                <w:b/>
                <w:bCs/>
                <w:color w:val="000000"/>
                <w:sz w:val="20"/>
                <w:szCs w:val="20"/>
                <w:lang w:eastAsia="en-AU"/>
              </w:rPr>
              <w:t>2.8</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5EC6351D"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c>
          <w:tcPr>
            <w:tcW w:w="1344" w:type="dxa"/>
            <w:tcBorders>
              <w:top w:val="nil"/>
              <w:left w:val="nil"/>
              <w:bottom w:val="single" w:sz="4" w:space="0" w:color="auto"/>
              <w:right w:val="single" w:sz="4" w:space="0" w:color="auto"/>
            </w:tcBorders>
            <w:shd w:val="clear" w:color="auto" w:fill="auto"/>
            <w:vAlign w:val="center"/>
            <w:hideMark/>
          </w:tcPr>
          <w:p w14:paraId="74F07DA3"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4910C9D4"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2</w:t>
            </w:r>
          </w:p>
        </w:tc>
        <w:tc>
          <w:tcPr>
            <w:tcW w:w="1179" w:type="dxa"/>
            <w:tcBorders>
              <w:top w:val="nil"/>
              <w:left w:val="nil"/>
              <w:bottom w:val="single" w:sz="4" w:space="0" w:color="auto"/>
              <w:right w:val="single" w:sz="4" w:space="0" w:color="auto"/>
            </w:tcBorders>
            <w:shd w:val="clear" w:color="auto" w:fill="auto"/>
            <w:vAlign w:val="center"/>
            <w:hideMark/>
          </w:tcPr>
          <w:p w14:paraId="241BAE59"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4FC4820" w14:textId="77777777" w:rsidR="0067736F" w:rsidRPr="001E4717" w:rsidRDefault="0067736F" w:rsidP="0067736F">
            <w:pPr>
              <w:spacing w:before="0" w:after="0" w:line="240" w:lineRule="auto"/>
              <w:jc w:val="center"/>
              <w:rPr>
                <w:rFonts w:eastAsia="Times New Roman" w:cs="Calibri"/>
                <w:color w:val="000000"/>
                <w:sz w:val="20"/>
                <w:szCs w:val="20"/>
                <w:lang w:eastAsia="en-AU"/>
              </w:rPr>
            </w:pPr>
            <w:r>
              <w:rPr>
                <w:rFonts w:cs="Calibri"/>
                <w:color w:val="000000"/>
                <w:sz w:val="20"/>
                <w:szCs w:val="20"/>
              </w:rPr>
              <w:t>4</w:t>
            </w:r>
          </w:p>
        </w:tc>
      </w:tr>
      <w:tr w:rsidR="005075CF" w:rsidRPr="001E4717" w14:paraId="2F9F0D86" w14:textId="77777777" w:rsidTr="00031E64">
        <w:trPr>
          <w:trHeight w:val="300"/>
        </w:trPr>
        <w:tc>
          <w:tcPr>
            <w:tcW w:w="2552" w:type="dxa"/>
            <w:tcBorders>
              <w:top w:val="nil"/>
              <w:left w:val="single" w:sz="4" w:space="0" w:color="auto"/>
              <w:bottom w:val="single" w:sz="4" w:space="0" w:color="auto"/>
              <w:right w:val="single" w:sz="4" w:space="0" w:color="auto"/>
            </w:tcBorders>
            <w:shd w:val="clear" w:color="000000" w:fill="F4B084"/>
            <w:vAlign w:val="center"/>
            <w:hideMark/>
          </w:tcPr>
          <w:p w14:paraId="41F76344" w14:textId="77777777" w:rsidR="005075CF" w:rsidRPr="001E4717" w:rsidRDefault="005075CF" w:rsidP="004700C0">
            <w:pPr>
              <w:spacing w:before="0" w:after="0" w:line="240" w:lineRule="auto"/>
              <w:rPr>
                <w:rFonts w:eastAsia="Times New Roman" w:cs="Calibri"/>
                <w:b/>
                <w:bCs/>
                <w:color w:val="000000"/>
                <w:sz w:val="20"/>
                <w:szCs w:val="20"/>
                <w:lang w:eastAsia="en-AU"/>
              </w:rPr>
            </w:pPr>
            <w:r w:rsidRPr="001E4717">
              <w:rPr>
                <w:rFonts w:eastAsia="Times New Roman" w:cs="Calibri"/>
                <w:b/>
                <w:bCs/>
                <w:color w:val="000000"/>
                <w:sz w:val="20"/>
                <w:szCs w:val="20"/>
                <w:lang w:eastAsia="en-AU"/>
              </w:rPr>
              <w:t>Weighted Average</w:t>
            </w:r>
          </w:p>
        </w:tc>
        <w:tc>
          <w:tcPr>
            <w:tcW w:w="917" w:type="dxa"/>
            <w:tcBorders>
              <w:top w:val="nil"/>
              <w:left w:val="nil"/>
              <w:bottom w:val="single" w:sz="4" w:space="0" w:color="auto"/>
              <w:right w:val="single" w:sz="4" w:space="0" w:color="auto"/>
            </w:tcBorders>
            <w:shd w:val="clear" w:color="000000" w:fill="F4B084"/>
            <w:vAlign w:val="center"/>
            <w:hideMark/>
          </w:tcPr>
          <w:p w14:paraId="4AA7F926"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5.</w:t>
            </w:r>
            <w:r w:rsidR="00855560">
              <w:rPr>
                <w:rFonts w:eastAsia="Times New Roman" w:cs="Calibri"/>
                <w:b/>
                <w:bCs/>
                <w:color w:val="000000"/>
                <w:sz w:val="20"/>
                <w:szCs w:val="20"/>
                <w:lang w:eastAsia="en-AU"/>
              </w:rPr>
              <w:t>0</w:t>
            </w:r>
            <w:r w:rsidRPr="001E4717">
              <w:rPr>
                <w:rFonts w:eastAsia="Times New Roman" w:cs="Calibri"/>
                <w:b/>
                <w:bCs/>
                <w:color w:val="000000"/>
                <w:sz w:val="20"/>
                <w:szCs w:val="20"/>
                <w:lang w:eastAsia="en-AU"/>
              </w:rPr>
              <w:t xml:space="preserve"> </w:t>
            </w:r>
          </w:p>
        </w:tc>
        <w:tc>
          <w:tcPr>
            <w:tcW w:w="1096" w:type="dxa"/>
            <w:tcBorders>
              <w:top w:val="nil"/>
              <w:left w:val="nil"/>
              <w:bottom w:val="single" w:sz="4" w:space="0" w:color="auto"/>
              <w:right w:val="single" w:sz="4" w:space="0" w:color="auto"/>
            </w:tcBorders>
            <w:shd w:val="clear" w:color="000000" w:fill="F4B084"/>
            <w:vAlign w:val="center"/>
            <w:hideMark/>
          </w:tcPr>
          <w:p w14:paraId="290E11A7"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 xml:space="preserve">5 </w:t>
            </w:r>
          </w:p>
        </w:tc>
        <w:tc>
          <w:tcPr>
            <w:tcW w:w="1344" w:type="dxa"/>
            <w:tcBorders>
              <w:top w:val="nil"/>
              <w:left w:val="nil"/>
              <w:bottom w:val="single" w:sz="4" w:space="0" w:color="auto"/>
              <w:right w:val="single" w:sz="4" w:space="0" w:color="auto"/>
            </w:tcBorders>
            <w:shd w:val="clear" w:color="000000" w:fill="F4B084"/>
            <w:vAlign w:val="center"/>
            <w:hideMark/>
          </w:tcPr>
          <w:p w14:paraId="1BC80E42"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 xml:space="preserve">4 </w:t>
            </w:r>
          </w:p>
        </w:tc>
        <w:tc>
          <w:tcPr>
            <w:tcW w:w="1276" w:type="dxa"/>
            <w:tcBorders>
              <w:top w:val="nil"/>
              <w:left w:val="nil"/>
              <w:bottom w:val="single" w:sz="4" w:space="0" w:color="auto"/>
              <w:right w:val="single" w:sz="4" w:space="0" w:color="auto"/>
            </w:tcBorders>
            <w:shd w:val="clear" w:color="000000" w:fill="F4B084"/>
            <w:vAlign w:val="center"/>
            <w:hideMark/>
          </w:tcPr>
          <w:p w14:paraId="64D7C49A"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 xml:space="preserve">4 </w:t>
            </w:r>
          </w:p>
        </w:tc>
        <w:tc>
          <w:tcPr>
            <w:tcW w:w="1179" w:type="dxa"/>
            <w:tcBorders>
              <w:top w:val="nil"/>
              <w:left w:val="nil"/>
              <w:bottom w:val="single" w:sz="4" w:space="0" w:color="auto"/>
              <w:right w:val="single" w:sz="4" w:space="0" w:color="auto"/>
            </w:tcBorders>
            <w:shd w:val="clear" w:color="000000" w:fill="F4B084"/>
            <w:vAlign w:val="center"/>
            <w:hideMark/>
          </w:tcPr>
          <w:p w14:paraId="449E44DA" w14:textId="77777777" w:rsidR="005075CF" w:rsidRPr="001E4717" w:rsidRDefault="0067736F" w:rsidP="004700C0">
            <w:pPr>
              <w:spacing w:before="0" w:after="0" w:line="240" w:lineRule="auto"/>
              <w:jc w:val="center"/>
              <w:rPr>
                <w:rFonts w:eastAsia="Times New Roman" w:cs="Calibri"/>
                <w:b/>
                <w:bCs/>
                <w:color w:val="000000"/>
                <w:sz w:val="20"/>
                <w:szCs w:val="20"/>
                <w:lang w:eastAsia="en-AU"/>
              </w:rPr>
            </w:pPr>
            <w:r>
              <w:rPr>
                <w:rFonts w:eastAsia="Times New Roman" w:cs="Calibri"/>
                <w:b/>
                <w:bCs/>
                <w:color w:val="000000"/>
                <w:sz w:val="20"/>
                <w:szCs w:val="20"/>
                <w:lang w:eastAsia="en-AU"/>
              </w:rPr>
              <w:t>4</w:t>
            </w:r>
          </w:p>
        </w:tc>
        <w:tc>
          <w:tcPr>
            <w:tcW w:w="1418" w:type="dxa"/>
            <w:tcBorders>
              <w:top w:val="nil"/>
              <w:left w:val="nil"/>
              <w:bottom w:val="single" w:sz="4" w:space="0" w:color="auto"/>
              <w:right w:val="single" w:sz="4" w:space="0" w:color="auto"/>
            </w:tcBorders>
            <w:shd w:val="clear" w:color="000000" w:fill="F4B084"/>
            <w:vAlign w:val="center"/>
            <w:hideMark/>
          </w:tcPr>
          <w:p w14:paraId="06C4312C" w14:textId="77777777" w:rsidR="005075CF" w:rsidRPr="001E4717" w:rsidRDefault="005075CF" w:rsidP="004700C0">
            <w:pPr>
              <w:spacing w:before="0" w:after="0" w:line="240" w:lineRule="auto"/>
              <w:jc w:val="center"/>
              <w:rPr>
                <w:rFonts w:eastAsia="Times New Roman" w:cs="Calibri"/>
                <w:b/>
                <w:bCs/>
                <w:color w:val="000000"/>
                <w:sz w:val="20"/>
                <w:szCs w:val="20"/>
                <w:lang w:eastAsia="en-AU"/>
              </w:rPr>
            </w:pPr>
            <w:r w:rsidRPr="001E4717">
              <w:rPr>
                <w:rFonts w:eastAsia="Times New Roman" w:cs="Calibri"/>
                <w:b/>
                <w:bCs/>
                <w:color w:val="000000"/>
                <w:sz w:val="20"/>
                <w:szCs w:val="20"/>
                <w:lang w:eastAsia="en-AU"/>
              </w:rPr>
              <w:t xml:space="preserve">4 </w:t>
            </w:r>
          </w:p>
        </w:tc>
      </w:tr>
      <w:tr w:rsidR="005075CF" w:rsidRPr="001E4717" w14:paraId="03C7A828" w14:textId="77777777" w:rsidTr="00031E64">
        <w:trPr>
          <w:trHeight w:val="290"/>
        </w:trPr>
        <w:tc>
          <w:tcPr>
            <w:tcW w:w="2552"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3D68B6D" w14:textId="77777777" w:rsidR="005075CF" w:rsidRPr="001E4717" w:rsidRDefault="005075CF" w:rsidP="004700C0">
            <w:pPr>
              <w:spacing w:before="0" w:after="0" w:line="240" w:lineRule="auto"/>
              <w:rPr>
                <w:rFonts w:eastAsia="Times New Roman" w:cs="Calibri"/>
                <w:i/>
                <w:iCs/>
                <w:color w:val="000000"/>
                <w:sz w:val="20"/>
                <w:szCs w:val="20"/>
                <w:lang w:eastAsia="en-AU"/>
              </w:rPr>
            </w:pPr>
            <w:r w:rsidRPr="001E4717">
              <w:rPr>
                <w:rFonts w:eastAsia="Times New Roman" w:cs="Calibri"/>
                <w:i/>
                <w:iCs/>
                <w:color w:val="000000"/>
                <w:sz w:val="20"/>
                <w:szCs w:val="20"/>
                <w:lang w:eastAsia="en-AU"/>
              </w:rPr>
              <w:t>Overall Result</w:t>
            </w:r>
          </w:p>
        </w:tc>
        <w:tc>
          <w:tcPr>
            <w:tcW w:w="917" w:type="dxa"/>
            <w:tcBorders>
              <w:top w:val="single" w:sz="4" w:space="0" w:color="auto"/>
              <w:left w:val="nil"/>
              <w:bottom w:val="single" w:sz="4" w:space="0" w:color="auto"/>
              <w:right w:val="single" w:sz="4" w:space="0" w:color="auto"/>
            </w:tcBorders>
            <w:shd w:val="clear" w:color="000000" w:fill="F4B084"/>
            <w:noWrap/>
            <w:vAlign w:val="bottom"/>
            <w:hideMark/>
          </w:tcPr>
          <w:p w14:paraId="58AF7B7C" w14:textId="77777777" w:rsidR="005075CF" w:rsidRPr="001E4717" w:rsidRDefault="005075CF" w:rsidP="004700C0">
            <w:pPr>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Good</w:t>
            </w:r>
          </w:p>
        </w:tc>
        <w:tc>
          <w:tcPr>
            <w:tcW w:w="1096" w:type="dxa"/>
            <w:tcBorders>
              <w:top w:val="single" w:sz="4" w:space="0" w:color="auto"/>
              <w:left w:val="nil"/>
              <w:bottom w:val="single" w:sz="4" w:space="0" w:color="auto"/>
              <w:right w:val="single" w:sz="4" w:space="0" w:color="auto"/>
            </w:tcBorders>
            <w:shd w:val="clear" w:color="000000" w:fill="F4B084"/>
            <w:noWrap/>
            <w:vAlign w:val="bottom"/>
            <w:hideMark/>
          </w:tcPr>
          <w:p w14:paraId="5F21284D" w14:textId="77777777" w:rsidR="005075CF" w:rsidRPr="001E4717" w:rsidRDefault="005075CF" w:rsidP="004700C0">
            <w:pPr>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Good</w:t>
            </w:r>
          </w:p>
        </w:tc>
        <w:tc>
          <w:tcPr>
            <w:tcW w:w="1344" w:type="dxa"/>
            <w:tcBorders>
              <w:top w:val="single" w:sz="4" w:space="0" w:color="auto"/>
              <w:left w:val="nil"/>
              <w:bottom w:val="single" w:sz="4" w:space="0" w:color="auto"/>
              <w:right w:val="single" w:sz="4" w:space="0" w:color="auto"/>
            </w:tcBorders>
            <w:shd w:val="clear" w:color="000000" w:fill="F4B084"/>
            <w:noWrap/>
            <w:vAlign w:val="bottom"/>
            <w:hideMark/>
          </w:tcPr>
          <w:p w14:paraId="1613ED2A" w14:textId="77777777" w:rsidR="005075CF" w:rsidRPr="001E4717" w:rsidRDefault="005075CF" w:rsidP="004700C0">
            <w:pPr>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Adequate</w:t>
            </w:r>
          </w:p>
        </w:tc>
        <w:tc>
          <w:tcPr>
            <w:tcW w:w="1276" w:type="dxa"/>
            <w:tcBorders>
              <w:top w:val="single" w:sz="4" w:space="0" w:color="auto"/>
              <w:left w:val="nil"/>
              <w:bottom w:val="single" w:sz="4" w:space="0" w:color="auto"/>
              <w:right w:val="single" w:sz="4" w:space="0" w:color="auto"/>
            </w:tcBorders>
            <w:shd w:val="clear" w:color="000000" w:fill="F4B084"/>
            <w:noWrap/>
            <w:vAlign w:val="bottom"/>
            <w:hideMark/>
          </w:tcPr>
          <w:p w14:paraId="157E19E9" w14:textId="77777777" w:rsidR="005075CF" w:rsidRPr="001E4717" w:rsidRDefault="005075CF" w:rsidP="004700C0">
            <w:pPr>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Adequate</w:t>
            </w:r>
          </w:p>
        </w:tc>
        <w:tc>
          <w:tcPr>
            <w:tcW w:w="1179" w:type="dxa"/>
            <w:tcBorders>
              <w:top w:val="single" w:sz="4" w:space="0" w:color="auto"/>
              <w:left w:val="nil"/>
              <w:bottom w:val="single" w:sz="4" w:space="0" w:color="auto"/>
              <w:right w:val="single" w:sz="4" w:space="0" w:color="auto"/>
            </w:tcBorders>
            <w:shd w:val="clear" w:color="000000" w:fill="F4B084"/>
            <w:noWrap/>
            <w:vAlign w:val="bottom"/>
            <w:hideMark/>
          </w:tcPr>
          <w:p w14:paraId="21B4B538" w14:textId="77777777" w:rsidR="005075CF" w:rsidRPr="001E4717" w:rsidRDefault="005075CF" w:rsidP="004700C0">
            <w:pPr>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Adequate</w:t>
            </w:r>
          </w:p>
        </w:tc>
        <w:tc>
          <w:tcPr>
            <w:tcW w:w="1418" w:type="dxa"/>
            <w:tcBorders>
              <w:top w:val="nil"/>
              <w:left w:val="nil"/>
              <w:bottom w:val="single" w:sz="4" w:space="0" w:color="auto"/>
              <w:right w:val="single" w:sz="4" w:space="0" w:color="auto"/>
            </w:tcBorders>
            <w:shd w:val="clear" w:color="000000" w:fill="F4B084"/>
            <w:noWrap/>
            <w:vAlign w:val="bottom"/>
            <w:hideMark/>
          </w:tcPr>
          <w:p w14:paraId="2C98FA50" w14:textId="77777777" w:rsidR="005075CF" w:rsidRPr="001E4717" w:rsidRDefault="005075CF" w:rsidP="001E5627">
            <w:pPr>
              <w:keepNext/>
              <w:spacing w:before="0" w:after="0" w:line="240" w:lineRule="auto"/>
              <w:jc w:val="center"/>
              <w:rPr>
                <w:rFonts w:eastAsia="Times New Roman" w:cs="Calibri"/>
                <w:i/>
                <w:iCs/>
                <w:color w:val="000000"/>
                <w:sz w:val="20"/>
                <w:szCs w:val="20"/>
                <w:lang w:eastAsia="en-AU"/>
              </w:rPr>
            </w:pPr>
            <w:r w:rsidRPr="001E4717">
              <w:rPr>
                <w:rFonts w:eastAsia="Times New Roman" w:cs="Calibri"/>
                <w:i/>
                <w:iCs/>
                <w:color w:val="000000"/>
                <w:sz w:val="20"/>
                <w:szCs w:val="20"/>
                <w:lang w:eastAsia="en-AU"/>
              </w:rPr>
              <w:t>Adequate</w:t>
            </w:r>
          </w:p>
        </w:tc>
      </w:tr>
      <w:tr w:rsidR="002A4AF4" w:rsidRPr="001E4717" w14:paraId="6DE39256" w14:textId="77777777" w:rsidTr="00031E64">
        <w:trPr>
          <w:trHeight w:val="290"/>
        </w:trPr>
        <w:tc>
          <w:tcPr>
            <w:tcW w:w="97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8AB8E3" w14:textId="77777777" w:rsidR="002A4AF4" w:rsidRPr="001E4717" w:rsidRDefault="002A4AF4" w:rsidP="00D27BAA">
            <w:pPr>
              <w:keepNext/>
              <w:spacing w:before="0" w:after="0" w:line="240" w:lineRule="auto"/>
              <w:jc w:val="right"/>
              <w:rPr>
                <w:rFonts w:eastAsia="Times New Roman" w:cs="Calibri"/>
                <w:i/>
                <w:iCs/>
                <w:color w:val="000000"/>
                <w:sz w:val="20"/>
                <w:szCs w:val="20"/>
                <w:lang w:eastAsia="en-AU"/>
              </w:rPr>
            </w:pPr>
            <w:r>
              <w:rPr>
                <w:rFonts w:eastAsia="Times New Roman" w:cs="Calibri"/>
                <w:i/>
                <w:iCs/>
                <w:color w:val="000000"/>
                <w:sz w:val="20"/>
                <w:szCs w:val="20"/>
                <w:lang w:eastAsia="en-AU"/>
              </w:rPr>
              <w:t>N/D – Not Determined</w:t>
            </w:r>
          </w:p>
        </w:tc>
      </w:tr>
    </w:tbl>
    <w:p w14:paraId="4E71DE15" w14:textId="77777777" w:rsidR="005075CF" w:rsidRPr="001E5627" w:rsidRDefault="001E5627" w:rsidP="009C4245">
      <w:pPr>
        <w:pStyle w:val="Caption"/>
        <w:spacing w:before="40"/>
        <w:jc w:val="center"/>
        <w:rPr>
          <w:i/>
          <w:lang w:eastAsia="en-AU"/>
        </w:rPr>
      </w:pPr>
      <w:bookmarkStart w:id="3" w:name="_Ref516019674"/>
      <w:bookmarkStart w:id="4" w:name="_Toc518640266"/>
      <w:r w:rsidRPr="001E5627">
        <w:rPr>
          <w:i/>
        </w:rPr>
        <w:t xml:space="preserve">Table </w:t>
      </w:r>
      <w:r w:rsidR="002F0B38">
        <w:rPr>
          <w:i/>
        </w:rPr>
        <w:fldChar w:fldCharType="begin"/>
      </w:r>
      <w:r w:rsidR="002F0B38">
        <w:rPr>
          <w:i/>
        </w:rPr>
        <w:instrText xml:space="preserve"> SEQ Table \* ARABIC </w:instrText>
      </w:r>
      <w:r w:rsidR="002F0B38">
        <w:rPr>
          <w:i/>
        </w:rPr>
        <w:fldChar w:fldCharType="separate"/>
      </w:r>
      <w:r w:rsidR="00404CD4">
        <w:rPr>
          <w:i/>
          <w:noProof/>
        </w:rPr>
        <w:t>1</w:t>
      </w:r>
      <w:r w:rsidR="002F0B38">
        <w:rPr>
          <w:i/>
        </w:rPr>
        <w:fldChar w:fldCharType="end"/>
      </w:r>
      <w:bookmarkEnd w:id="3"/>
      <w:r w:rsidR="00453918">
        <w:rPr>
          <w:i/>
        </w:rPr>
        <w:t xml:space="preserve"> –</w:t>
      </w:r>
      <w:r w:rsidRPr="001E5627">
        <w:rPr>
          <w:i/>
        </w:rPr>
        <w:t xml:space="preserve"> Summary of Findings by Project</w:t>
      </w:r>
      <w:bookmarkEnd w:id="4"/>
    </w:p>
    <w:p w14:paraId="0161BAC0" w14:textId="77777777" w:rsidR="00743796" w:rsidRPr="0073587F" w:rsidRDefault="00743796" w:rsidP="00EB16DE">
      <w:pPr>
        <w:spacing w:after="80"/>
        <w:jc w:val="both"/>
        <w:rPr>
          <w:i/>
          <w:lang w:eastAsia="en-AU"/>
        </w:rPr>
      </w:pPr>
      <w:r w:rsidRPr="0073587F">
        <w:rPr>
          <w:i/>
          <w:lang w:eastAsia="en-AU"/>
        </w:rPr>
        <w:t>Relevance</w:t>
      </w:r>
      <w:r w:rsidR="00045462">
        <w:rPr>
          <w:i/>
          <w:lang w:eastAsia="en-AU"/>
        </w:rPr>
        <w:t xml:space="preserve"> – Overall Rating – Good (5/6)</w:t>
      </w:r>
    </w:p>
    <w:p w14:paraId="1D46198A" w14:textId="77777777" w:rsidR="00C8347B" w:rsidRDefault="00E2664C" w:rsidP="00112B3E">
      <w:pPr>
        <w:spacing w:before="0"/>
        <w:jc w:val="both"/>
        <w:rPr>
          <w:lang w:eastAsia="en-AU"/>
        </w:rPr>
      </w:pPr>
      <w:r>
        <w:rPr>
          <w:lang w:eastAsia="en-AU"/>
        </w:rPr>
        <w:t xml:space="preserve">Findings from the review indicate that overall the projects supported by DFAT in this review period were highly relevant to GoN’s objectives. Recommendation from the review team to base the selection of any future infrastructure investments to the GoN’s infrastructure investment framework currently being developed in collaboration with </w:t>
      </w:r>
      <w:r w:rsidR="00BB499C">
        <w:rPr>
          <w:lang w:eastAsia="en-AU"/>
        </w:rPr>
        <w:t>the Pacific Regional Infrastructure Facility (</w:t>
      </w:r>
      <w:r>
        <w:rPr>
          <w:lang w:eastAsia="en-AU"/>
        </w:rPr>
        <w:t>PRIF</w:t>
      </w:r>
      <w:r w:rsidR="00BB499C">
        <w:rPr>
          <w:lang w:eastAsia="en-AU"/>
        </w:rPr>
        <w:t>)</w:t>
      </w:r>
      <w:r>
        <w:rPr>
          <w:lang w:eastAsia="en-AU"/>
        </w:rPr>
        <w:t xml:space="preserve"> would ensure that the relevance of DFAT assistance continues to be high.</w:t>
      </w:r>
    </w:p>
    <w:p w14:paraId="254E890B" w14:textId="77777777" w:rsidR="00743796" w:rsidRPr="0073587F" w:rsidRDefault="00743796" w:rsidP="00EB16DE">
      <w:pPr>
        <w:spacing w:after="80"/>
        <w:jc w:val="both"/>
        <w:rPr>
          <w:i/>
          <w:lang w:eastAsia="en-AU"/>
        </w:rPr>
      </w:pPr>
      <w:r w:rsidRPr="0073587F">
        <w:rPr>
          <w:i/>
          <w:lang w:eastAsia="en-AU"/>
        </w:rPr>
        <w:t>Effectiveness</w:t>
      </w:r>
      <w:r w:rsidR="00045462">
        <w:rPr>
          <w:i/>
          <w:lang w:eastAsia="en-AU"/>
        </w:rPr>
        <w:t xml:space="preserve"> – Overall Rating – Adequate (4/6)</w:t>
      </w:r>
    </w:p>
    <w:p w14:paraId="50EC3C08" w14:textId="0DB1AEDB" w:rsidR="00743796" w:rsidRDefault="006F7FD6" w:rsidP="00EB16DE">
      <w:pPr>
        <w:spacing w:before="0"/>
        <w:jc w:val="both"/>
        <w:rPr>
          <w:lang w:eastAsia="en-AU"/>
        </w:rPr>
      </w:pPr>
      <w:r>
        <w:rPr>
          <w:lang w:eastAsia="en-AU"/>
        </w:rPr>
        <w:t xml:space="preserve">The results for effectiveness of DFAT investments over the review period were mixed, </w:t>
      </w:r>
      <w:r w:rsidR="00F76092">
        <w:rPr>
          <w:lang w:eastAsia="en-AU"/>
        </w:rPr>
        <w:t xml:space="preserve">however </w:t>
      </w:r>
      <w:r>
        <w:rPr>
          <w:lang w:eastAsia="en-AU"/>
        </w:rPr>
        <w:t>the majority of the projects considered to be effective or likely to be effective on completion</w:t>
      </w:r>
      <w:r w:rsidR="009D0938">
        <w:rPr>
          <w:lang w:eastAsia="en-AU"/>
        </w:rPr>
        <w:t>, particularly more recent projects</w:t>
      </w:r>
      <w:r>
        <w:rPr>
          <w:lang w:eastAsia="en-AU"/>
        </w:rPr>
        <w:t>. Projects that were considered to be potentially effective with key follow</w:t>
      </w:r>
      <w:r w:rsidR="00A76254">
        <w:rPr>
          <w:lang w:eastAsia="en-AU"/>
        </w:rPr>
        <w:t>-</w:t>
      </w:r>
      <w:r>
        <w:rPr>
          <w:lang w:eastAsia="en-AU"/>
        </w:rPr>
        <w:t xml:space="preserve">on interventions include the hospital and wellness clinics. </w:t>
      </w:r>
      <w:r w:rsidR="00265D4E">
        <w:rPr>
          <w:lang w:eastAsia="en-AU"/>
        </w:rPr>
        <w:t xml:space="preserve">The hospital process </w:t>
      </w:r>
      <w:r w:rsidR="003D39B3">
        <w:rPr>
          <w:lang w:eastAsia="en-AU"/>
        </w:rPr>
        <w:t>involved</w:t>
      </w:r>
      <w:r w:rsidR="00265D4E">
        <w:rPr>
          <w:lang w:eastAsia="en-AU"/>
        </w:rPr>
        <w:t xml:space="preserve"> modular components intended for an </w:t>
      </w:r>
      <w:r w:rsidR="003D39B3">
        <w:rPr>
          <w:lang w:eastAsia="en-AU"/>
        </w:rPr>
        <w:t>alternate</w:t>
      </w:r>
      <w:r w:rsidR="00265D4E">
        <w:rPr>
          <w:lang w:eastAsia="en-AU"/>
        </w:rPr>
        <w:t xml:space="preserve"> </w:t>
      </w:r>
      <w:r w:rsidR="003D39B3">
        <w:rPr>
          <w:lang w:eastAsia="en-AU"/>
        </w:rPr>
        <w:t>site</w:t>
      </w:r>
      <w:r w:rsidR="00265D4E">
        <w:rPr>
          <w:lang w:eastAsia="en-AU"/>
        </w:rPr>
        <w:t xml:space="preserve"> were repurposed, with some resultant compromises to </w:t>
      </w:r>
      <w:r w:rsidR="008B438D">
        <w:rPr>
          <w:lang w:eastAsia="en-AU"/>
        </w:rPr>
        <w:t>the process and design</w:t>
      </w:r>
      <w:r w:rsidR="00265D4E">
        <w:rPr>
          <w:lang w:eastAsia="en-AU"/>
        </w:rPr>
        <w:t xml:space="preserve">. </w:t>
      </w:r>
      <w:r w:rsidR="008F35FF">
        <w:rPr>
          <w:lang w:eastAsia="en-AU"/>
        </w:rPr>
        <w:t xml:space="preserve">The </w:t>
      </w:r>
      <w:r w:rsidR="00294EF7">
        <w:rPr>
          <w:lang w:eastAsia="en-AU"/>
        </w:rPr>
        <w:t xml:space="preserve">design of the </w:t>
      </w:r>
      <w:r w:rsidR="00F27148">
        <w:rPr>
          <w:lang w:eastAsia="en-AU"/>
        </w:rPr>
        <w:t xml:space="preserve">three </w:t>
      </w:r>
      <w:r w:rsidR="008F35FF">
        <w:rPr>
          <w:lang w:eastAsia="en-AU"/>
        </w:rPr>
        <w:t xml:space="preserve">wellness clinics </w:t>
      </w:r>
      <w:r w:rsidR="00F27148">
        <w:rPr>
          <w:lang w:eastAsia="en-AU"/>
        </w:rPr>
        <w:t xml:space="preserve">funded by DFAT </w:t>
      </w:r>
      <w:r w:rsidR="008F35FF">
        <w:rPr>
          <w:lang w:eastAsia="en-AU"/>
        </w:rPr>
        <w:t xml:space="preserve">have </w:t>
      </w:r>
      <w:r w:rsidR="00E433DD">
        <w:rPr>
          <w:lang w:eastAsia="en-AU"/>
        </w:rPr>
        <w:t xml:space="preserve">not </w:t>
      </w:r>
      <w:r w:rsidR="00585221">
        <w:rPr>
          <w:lang w:eastAsia="en-AU"/>
        </w:rPr>
        <w:t>considered</w:t>
      </w:r>
      <w:r w:rsidR="006A1F60">
        <w:rPr>
          <w:lang w:eastAsia="en-AU"/>
        </w:rPr>
        <w:t xml:space="preserve"> </w:t>
      </w:r>
      <w:r w:rsidR="00B41D39">
        <w:rPr>
          <w:lang w:eastAsia="en-AU"/>
        </w:rPr>
        <w:t xml:space="preserve">suitable </w:t>
      </w:r>
      <w:r w:rsidR="008F35FF">
        <w:rPr>
          <w:lang w:eastAsia="en-AU"/>
        </w:rPr>
        <w:t xml:space="preserve">materials </w:t>
      </w:r>
      <w:r w:rsidR="00B41D39">
        <w:rPr>
          <w:lang w:eastAsia="en-AU"/>
        </w:rPr>
        <w:t xml:space="preserve">for sites proximal </w:t>
      </w:r>
      <w:r w:rsidR="008F35FF">
        <w:rPr>
          <w:lang w:eastAsia="en-AU"/>
        </w:rPr>
        <w:t xml:space="preserve">to the ocean, </w:t>
      </w:r>
      <w:r w:rsidR="0004282F">
        <w:rPr>
          <w:lang w:eastAsia="en-AU"/>
        </w:rPr>
        <w:t xml:space="preserve">ongoing </w:t>
      </w:r>
      <w:r w:rsidR="008F35FF">
        <w:rPr>
          <w:lang w:eastAsia="en-AU"/>
        </w:rPr>
        <w:t>maintenance and access to toilet</w:t>
      </w:r>
      <w:r w:rsidR="006F69EE">
        <w:rPr>
          <w:lang w:eastAsia="en-AU"/>
        </w:rPr>
        <w:t>s</w:t>
      </w:r>
      <w:r w:rsidR="00595AA1">
        <w:rPr>
          <w:lang w:eastAsia="en-AU"/>
        </w:rPr>
        <w:t>, which ha</w:t>
      </w:r>
      <w:r w:rsidR="00042436">
        <w:rPr>
          <w:lang w:eastAsia="en-AU"/>
        </w:rPr>
        <w:t xml:space="preserve">ve </w:t>
      </w:r>
      <w:r w:rsidR="00595AA1">
        <w:rPr>
          <w:lang w:eastAsia="en-AU"/>
        </w:rPr>
        <w:t xml:space="preserve">contributed one of the clinics funded </w:t>
      </w:r>
      <w:r w:rsidR="005D08EB">
        <w:rPr>
          <w:lang w:eastAsia="en-AU"/>
        </w:rPr>
        <w:t xml:space="preserve">being </w:t>
      </w:r>
      <w:r w:rsidR="00154D4D">
        <w:rPr>
          <w:lang w:eastAsia="en-AU"/>
        </w:rPr>
        <w:t>disused</w:t>
      </w:r>
      <w:r w:rsidR="000E1B3D">
        <w:rPr>
          <w:lang w:eastAsia="en-AU"/>
        </w:rPr>
        <w:t xml:space="preserve">. </w:t>
      </w:r>
      <w:r w:rsidR="00B90AE6">
        <w:rPr>
          <w:lang w:eastAsia="en-AU"/>
        </w:rPr>
        <w:t xml:space="preserve">The </w:t>
      </w:r>
      <w:r w:rsidR="00595AA1">
        <w:rPr>
          <w:lang w:eastAsia="en-AU"/>
        </w:rPr>
        <w:t xml:space="preserve">third clinic </w:t>
      </w:r>
      <w:r w:rsidR="00464F42">
        <w:rPr>
          <w:lang w:eastAsia="en-AU"/>
        </w:rPr>
        <w:t xml:space="preserve">was </w:t>
      </w:r>
      <w:r w:rsidR="00595AA1">
        <w:rPr>
          <w:lang w:eastAsia="en-AU"/>
        </w:rPr>
        <w:t>damage</w:t>
      </w:r>
      <w:r w:rsidR="00464F42">
        <w:rPr>
          <w:lang w:eastAsia="en-AU"/>
        </w:rPr>
        <w:t>d</w:t>
      </w:r>
      <w:r w:rsidR="00595AA1">
        <w:rPr>
          <w:lang w:eastAsia="en-AU"/>
        </w:rPr>
        <w:t xml:space="preserve"> during shipping</w:t>
      </w:r>
      <w:r w:rsidR="00464F42">
        <w:rPr>
          <w:lang w:eastAsia="en-AU"/>
        </w:rPr>
        <w:t xml:space="preserve"> and is yet to be operational</w:t>
      </w:r>
      <w:r w:rsidR="008F35FF">
        <w:rPr>
          <w:lang w:eastAsia="en-AU"/>
        </w:rPr>
        <w:t xml:space="preserve">. </w:t>
      </w:r>
      <w:r>
        <w:rPr>
          <w:lang w:eastAsia="en-AU"/>
        </w:rPr>
        <w:t xml:space="preserve">The water tank project appears unlikely to be effective, given </w:t>
      </w:r>
      <w:r w:rsidR="00A52934">
        <w:rPr>
          <w:lang w:eastAsia="en-AU"/>
        </w:rPr>
        <w:t xml:space="preserve">reduction in scope from an intended 200 tanks for approximately 106, </w:t>
      </w:r>
      <w:r w:rsidR="00CD3B4F">
        <w:rPr>
          <w:lang w:eastAsia="en-AU"/>
        </w:rPr>
        <w:t xml:space="preserve">as well as </w:t>
      </w:r>
      <w:r>
        <w:rPr>
          <w:lang w:eastAsia="en-AU"/>
        </w:rPr>
        <w:t xml:space="preserve">the lack of </w:t>
      </w:r>
      <w:r w:rsidR="0015040B">
        <w:rPr>
          <w:lang w:eastAsia="en-AU"/>
        </w:rPr>
        <w:t xml:space="preserve">an </w:t>
      </w:r>
      <w:r>
        <w:rPr>
          <w:lang w:eastAsia="en-AU"/>
        </w:rPr>
        <w:t>ongoing maintenance</w:t>
      </w:r>
      <w:r w:rsidR="0015040B" w:rsidRPr="0015040B">
        <w:rPr>
          <w:lang w:eastAsia="en-AU"/>
        </w:rPr>
        <w:t xml:space="preserve"> </w:t>
      </w:r>
      <w:r w:rsidR="0015040B">
        <w:rPr>
          <w:lang w:eastAsia="en-AU"/>
        </w:rPr>
        <w:t>strategy</w:t>
      </w:r>
      <w:r>
        <w:rPr>
          <w:lang w:eastAsia="en-AU"/>
        </w:rPr>
        <w:t>.</w:t>
      </w:r>
    </w:p>
    <w:p w14:paraId="11C7D69D" w14:textId="77777777" w:rsidR="00743796" w:rsidRPr="0073587F" w:rsidRDefault="00743796" w:rsidP="00EB16DE">
      <w:pPr>
        <w:spacing w:after="80"/>
        <w:jc w:val="both"/>
        <w:rPr>
          <w:i/>
          <w:lang w:eastAsia="en-AU"/>
        </w:rPr>
      </w:pPr>
      <w:r w:rsidRPr="0073587F">
        <w:rPr>
          <w:i/>
          <w:lang w:eastAsia="en-AU"/>
        </w:rPr>
        <w:t>Efficiency</w:t>
      </w:r>
      <w:r w:rsidR="00045462">
        <w:rPr>
          <w:i/>
          <w:lang w:eastAsia="en-AU"/>
        </w:rPr>
        <w:t xml:space="preserve"> – Overall Rating – Adequate (4/6)</w:t>
      </w:r>
    </w:p>
    <w:p w14:paraId="3A80FCC8" w14:textId="77777777" w:rsidR="004F24BB" w:rsidRDefault="006F7FD6" w:rsidP="00112B3E">
      <w:pPr>
        <w:spacing w:before="0"/>
        <w:jc w:val="both"/>
        <w:rPr>
          <w:lang w:eastAsia="en-AU"/>
        </w:rPr>
      </w:pPr>
      <w:r>
        <w:rPr>
          <w:lang w:eastAsia="en-AU"/>
        </w:rPr>
        <w:t xml:space="preserve">The review findings suggest that overall DFAT’s contributions (time and resources) were adequately used by GoN to achieve desired outcomes. </w:t>
      </w:r>
      <w:r w:rsidR="002F5967">
        <w:rPr>
          <w:lang w:eastAsia="en-AU"/>
        </w:rPr>
        <w:t xml:space="preserve">The NUC CEO is a particularly strong example of efficient use of DFAT funding, given the level of achievements in </w:t>
      </w:r>
      <w:r w:rsidR="00211EC3">
        <w:rPr>
          <w:lang w:eastAsia="en-AU"/>
        </w:rPr>
        <w:t xml:space="preserve">improvements to the reliability </w:t>
      </w:r>
      <w:r w:rsidR="00383C5E">
        <w:rPr>
          <w:lang w:eastAsia="en-AU"/>
        </w:rPr>
        <w:t xml:space="preserve">of </w:t>
      </w:r>
      <w:r w:rsidR="002F5967">
        <w:rPr>
          <w:lang w:eastAsia="en-AU"/>
        </w:rPr>
        <w:t>the power supply, institutional and staff capacity</w:t>
      </w:r>
      <w:r w:rsidR="0097088B">
        <w:rPr>
          <w:lang w:eastAsia="en-AU"/>
        </w:rPr>
        <w:t xml:space="preserve"> and </w:t>
      </w:r>
      <w:r w:rsidR="00915C53">
        <w:rPr>
          <w:lang w:eastAsia="en-AU"/>
        </w:rPr>
        <w:t>attracting donor funding (ADB, DFAT and EU) in capital investments</w:t>
      </w:r>
      <w:r w:rsidR="002F5967">
        <w:rPr>
          <w:lang w:eastAsia="en-AU"/>
        </w:rPr>
        <w:t>.</w:t>
      </w:r>
      <w:r w:rsidR="00915C53">
        <w:rPr>
          <w:lang w:eastAsia="en-AU"/>
        </w:rPr>
        <w:t xml:space="preserve"> Other </w:t>
      </w:r>
      <w:r>
        <w:rPr>
          <w:lang w:eastAsia="en-AU"/>
        </w:rPr>
        <w:t>example</w:t>
      </w:r>
      <w:r w:rsidR="00915C53">
        <w:rPr>
          <w:lang w:eastAsia="en-AU"/>
        </w:rPr>
        <w:t>s include</w:t>
      </w:r>
      <w:r>
        <w:rPr>
          <w:lang w:eastAsia="en-AU"/>
        </w:rPr>
        <w:t xml:space="preserve"> larger projects, such as the Indoor Sports Facility and the Learning Centre, where a project management unit (PMU) was established and procurement was outsourced have demonstrated efficient delivery, with reasonable allowances given the context. The water tank project </w:t>
      </w:r>
      <w:r w:rsidR="008350D8">
        <w:rPr>
          <w:lang w:eastAsia="en-AU"/>
        </w:rPr>
        <w:t xml:space="preserve">was low efficiency, as it </w:t>
      </w:r>
      <w:r>
        <w:rPr>
          <w:lang w:eastAsia="en-AU"/>
        </w:rPr>
        <w:t xml:space="preserve">encountered </w:t>
      </w:r>
      <w:r w:rsidR="00D57BF3">
        <w:rPr>
          <w:lang w:eastAsia="en-AU"/>
        </w:rPr>
        <w:t xml:space="preserve">many </w:t>
      </w:r>
      <w:r>
        <w:rPr>
          <w:lang w:eastAsia="en-AU"/>
        </w:rPr>
        <w:t>challenges</w:t>
      </w:r>
      <w:r w:rsidR="00A76578">
        <w:rPr>
          <w:lang w:eastAsia="en-AU"/>
        </w:rPr>
        <w:t>. However,</w:t>
      </w:r>
      <w:r>
        <w:rPr>
          <w:lang w:eastAsia="en-AU"/>
        </w:rPr>
        <w:t xml:space="preserve"> DFAT responded to and applied lessons to subsequent projects.</w:t>
      </w:r>
      <w:r w:rsidR="00A42D59">
        <w:rPr>
          <w:lang w:eastAsia="en-AU"/>
        </w:rPr>
        <w:t xml:space="preserve"> The wellness clinics are also quite low efficiency, given the high number of clinics not in use a short time after project completion.</w:t>
      </w:r>
      <w:r>
        <w:rPr>
          <w:lang w:eastAsia="en-AU"/>
        </w:rPr>
        <w:t xml:space="preserve"> </w:t>
      </w:r>
      <w:r w:rsidR="00CA2E60">
        <w:rPr>
          <w:lang w:eastAsia="en-AU"/>
        </w:rPr>
        <w:t xml:space="preserve">There was </w:t>
      </w:r>
      <w:r>
        <w:rPr>
          <w:lang w:eastAsia="en-AU"/>
        </w:rPr>
        <w:t xml:space="preserve">good donor harmonisation </w:t>
      </w:r>
      <w:r w:rsidR="00CA2E60">
        <w:rPr>
          <w:lang w:eastAsia="en-AU"/>
        </w:rPr>
        <w:t xml:space="preserve">on </w:t>
      </w:r>
      <w:r>
        <w:rPr>
          <w:lang w:eastAsia="en-AU"/>
        </w:rPr>
        <w:t xml:space="preserve">the sea port, where DFAT contributions were leveraged for co-financing. </w:t>
      </w:r>
      <w:r w:rsidRPr="0073587F">
        <w:rPr>
          <w:lang w:eastAsia="en-AU"/>
        </w:rPr>
        <w:t>The</w:t>
      </w:r>
      <w:r>
        <w:rPr>
          <w:lang w:eastAsia="en-AU"/>
        </w:rPr>
        <w:t xml:space="preserve"> review team notes that there </w:t>
      </w:r>
      <w:r w:rsidRPr="0073587F">
        <w:rPr>
          <w:lang w:eastAsia="en-AU"/>
        </w:rPr>
        <w:t>are further opportunities for harmonisation and coordination with development partners</w:t>
      </w:r>
      <w:r>
        <w:rPr>
          <w:lang w:eastAsia="en-AU"/>
        </w:rPr>
        <w:t>, through PRIF</w:t>
      </w:r>
      <w:r w:rsidR="00DF62E2">
        <w:rPr>
          <w:lang w:eastAsia="en-AU"/>
        </w:rPr>
        <w:t xml:space="preserve"> and PAD</w:t>
      </w:r>
      <w:r>
        <w:rPr>
          <w:lang w:eastAsia="en-AU"/>
        </w:rPr>
        <w:t>.</w:t>
      </w:r>
    </w:p>
    <w:p w14:paraId="016E63E5" w14:textId="77777777" w:rsidR="00045462" w:rsidRPr="0073587F" w:rsidRDefault="00045462" w:rsidP="00EB16DE">
      <w:pPr>
        <w:spacing w:after="80"/>
        <w:jc w:val="both"/>
        <w:rPr>
          <w:i/>
          <w:lang w:eastAsia="en-AU"/>
        </w:rPr>
      </w:pPr>
      <w:r>
        <w:rPr>
          <w:i/>
          <w:lang w:eastAsia="en-AU"/>
        </w:rPr>
        <w:t>Monitoring and Evaluation – Overall Rating – Adequate (4/6)</w:t>
      </w:r>
    </w:p>
    <w:p w14:paraId="02FAF680" w14:textId="77777777" w:rsidR="00F64BCC" w:rsidRDefault="002218D8" w:rsidP="00112B3E">
      <w:pPr>
        <w:spacing w:before="0"/>
        <w:jc w:val="both"/>
        <w:rPr>
          <w:lang w:eastAsia="en-AU"/>
        </w:rPr>
      </w:pPr>
      <w:r w:rsidRPr="001C2646">
        <w:rPr>
          <w:lang w:eastAsia="en-AU"/>
        </w:rPr>
        <w:lastRenderedPageBreak/>
        <w:t xml:space="preserve">Current M&amp;E arrangements for individual </w:t>
      </w:r>
      <w:r w:rsidR="00BD3D63">
        <w:rPr>
          <w:lang w:eastAsia="en-AU"/>
        </w:rPr>
        <w:t>investments</w:t>
      </w:r>
      <w:r w:rsidRPr="001C2646">
        <w:rPr>
          <w:lang w:eastAsia="en-AU"/>
        </w:rPr>
        <w:t xml:space="preserve">, such as the Indoor Sports Facility, Nauru Port Reform and Redevelopment, </w:t>
      </w:r>
      <w:r>
        <w:rPr>
          <w:lang w:eastAsia="en-AU"/>
        </w:rPr>
        <w:t>Technical Assistance to the NUC</w:t>
      </w:r>
      <w:r w:rsidRPr="001C2646">
        <w:rPr>
          <w:lang w:eastAsia="en-AU"/>
        </w:rPr>
        <w:t>, are adequate and satisfy most of DFAT standards.</w:t>
      </w:r>
      <w:r>
        <w:rPr>
          <w:lang w:eastAsia="en-AU"/>
        </w:rPr>
        <w:t xml:space="preserve"> However, t</w:t>
      </w:r>
      <w:r w:rsidR="007A0CBC">
        <w:rPr>
          <w:lang w:eastAsia="en-AU"/>
        </w:rPr>
        <w:t xml:space="preserve">he absence of an </w:t>
      </w:r>
      <w:r w:rsidRPr="001C2646">
        <w:rPr>
          <w:lang w:eastAsia="en-AU"/>
        </w:rPr>
        <w:t xml:space="preserve">overarching </w:t>
      </w:r>
      <w:r w:rsidR="007A0CBC">
        <w:rPr>
          <w:lang w:eastAsia="en-AU"/>
        </w:rPr>
        <w:t>strategy</w:t>
      </w:r>
      <w:r w:rsidRPr="001C2646">
        <w:rPr>
          <w:lang w:eastAsia="en-AU"/>
        </w:rPr>
        <w:t xml:space="preserve"> for the </w:t>
      </w:r>
      <w:r>
        <w:rPr>
          <w:lang w:eastAsia="en-AU"/>
        </w:rPr>
        <w:t>DFAT i</w:t>
      </w:r>
      <w:r w:rsidRPr="001C2646">
        <w:rPr>
          <w:lang w:eastAsia="en-AU"/>
        </w:rPr>
        <w:t xml:space="preserve">nfrastructure portfolio may be limiting DFAT’s ability to make evidence-based decisions and to ascertain how individual investments are contributing to </w:t>
      </w:r>
      <w:r>
        <w:rPr>
          <w:lang w:eastAsia="en-AU"/>
        </w:rPr>
        <w:t>its</w:t>
      </w:r>
      <w:r w:rsidRPr="001C2646">
        <w:rPr>
          <w:lang w:eastAsia="en-AU"/>
        </w:rPr>
        <w:t xml:space="preserve"> </w:t>
      </w:r>
      <w:r>
        <w:rPr>
          <w:lang w:eastAsia="en-AU"/>
        </w:rPr>
        <w:t xml:space="preserve">overall </w:t>
      </w:r>
      <w:r w:rsidRPr="001C2646">
        <w:rPr>
          <w:lang w:eastAsia="en-AU"/>
        </w:rPr>
        <w:t xml:space="preserve">objectives in infrastructure in Nauru. </w:t>
      </w:r>
      <w:r w:rsidR="00F64BCC" w:rsidRPr="00C74D18">
        <w:rPr>
          <w:lang w:eastAsia="en-AU"/>
        </w:rPr>
        <w:t xml:space="preserve">The review team recommends that DFAT develop an overarching </w:t>
      </w:r>
      <w:r w:rsidR="00F64BCC">
        <w:rPr>
          <w:lang w:eastAsia="en-AU"/>
        </w:rPr>
        <w:t xml:space="preserve">infrastructure </w:t>
      </w:r>
      <w:r w:rsidR="00F64BCC" w:rsidRPr="00C74D18">
        <w:rPr>
          <w:lang w:eastAsia="en-AU"/>
        </w:rPr>
        <w:t>strategy</w:t>
      </w:r>
      <w:r w:rsidR="00F64BCC">
        <w:t xml:space="preserve">. </w:t>
      </w:r>
      <w:r w:rsidR="00775F7D">
        <w:rPr>
          <w:lang w:eastAsia="en-AU"/>
        </w:rPr>
        <w:t>This</w:t>
      </w:r>
      <w:r w:rsidR="00F64BCC">
        <w:rPr>
          <w:lang w:eastAsia="en-AU"/>
        </w:rPr>
        <w:t xml:space="preserve"> new strategy would need to be aligned to</w:t>
      </w:r>
      <w:r w:rsidR="00F64BCC" w:rsidRPr="001C2646">
        <w:rPr>
          <w:lang w:eastAsia="en-AU"/>
        </w:rPr>
        <w:t xml:space="preserve"> </w:t>
      </w:r>
      <w:r w:rsidR="00F64BCC">
        <w:rPr>
          <w:lang w:eastAsia="en-AU"/>
        </w:rPr>
        <w:t xml:space="preserve">the </w:t>
      </w:r>
      <w:r w:rsidR="00FF10C2">
        <w:rPr>
          <w:lang w:eastAsia="en-AU"/>
        </w:rPr>
        <w:t>Aid Investment Plan (AIP)</w:t>
      </w:r>
      <w:r w:rsidR="00F64BCC">
        <w:rPr>
          <w:lang w:eastAsia="en-AU"/>
        </w:rPr>
        <w:t xml:space="preserve"> and the </w:t>
      </w:r>
      <w:r w:rsidR="00F64BCC" w:rsidRPr="001C2646">
        <w:rPr>
          <w:lang w:eastAsia="en-AU"/>
        </w:rPr>
        <w:t>P</w:t>
      </w:r>
      <w:r w:rsidR="00F64BCC">
        <w:rPr>
          <w:lang w:eastAsia="en-AU"/>
        </w:rPr>
        <w:t>erformance Assessment Framework (PAF). Further, individual investment monitoring and reporting systems, such as for the Sports Facility, or the NUC,</w:t>
      </w:r>
      <w:r w:rsidR="00F64BCC" w:rsidRPr="006B029B">
        <w:rPr>
          <w:lang w:eastAsia="en-AU"/>
        </w:rPr>
        <w:t xml:space="preserve"> would </w:t>
      </w:r>
      <w:r w:rsidR="00F64BCC">
        <w:rPr>
          <w:lang w:eastAsia="en-AU"/>
        </w:rPr>
        <w:t>subsequently need to be</w:t>
      </w:r>
      <w:r w:rsidR="00F64BCC" w:rsidRPr="006B029B">
        <w:rPr>
          <w:lang w:eastAsia="en-AU"/>
        </w:rPr>
        <w:t xml:space="preserve"> linked to the PAF with their own set of performance expectations</w:t>
      </w:r>
      <w:r w:rsidR="00F64BCC">
        <w:rPr>
          <w:lang w:eastAsia="en-AU"/>
        </w:rPr>
        <w:t xml:space="preserve"> which would help demonstrate contribution towards overarching goals set out in an infrastructure strategy</w:t>
      </w:r>
      <w:r w:rsidR="00F64BCC" w:rsidRPr="006B029B">
        <w:rPr>
          <w:lang w:eastAsia="en-AU"/>
        </w:rPr>
        <w:t xml:space="preserve">. </w:t>
      </w:r>
    </w:p>
    <w:p w14:paraId="70CF49B7" w14:textId="77777777" w:rsidR="00045462" w:rsidRPr="0073587F" w:rsidRDefault="00743796" w:rsidP="00EB16DE">
      <w:pPr>
        <w:spacing w:after="80"/>
        <w:jc w:val="both"/>
        <w:rPr>
          <w:i/>
          <w:lang w:eastAsia="en-AU"/>
        </w:rPr>
      </w:pPr>
      <w:r w:rsidRPr="0073587F">
        <w:rPr>
          <w:i/>
          <w:lang w:eastAsia="en-AU"/>
        </w:rPr>
        <w:t>Cross-cutting</w:t>
      </w:r>
      <w:r w:rsidR="00045462">
        <w:rPr>
          <w:i/>
          <w:lang w:eastAsia="en-AU"/>
        </w:rPr>
        <w:t xml:space="preserve"> I</w:t>
      </w:r>
      <w:r w:rsidRPr="0073587F">
        <w:rPr>
          <w:i/>
          <w:lang w:eastAsia="en-AU"/>
        </w:rPr>
        <w:t>ssues</w:t>
      </w:r>
      <w:r w:rsidR="00045462">
        <w:rPr>
          <w:i/>
          <w:lang w:eastAsia="en-AU"/>
        </w:rPr>
        <w:t xml:space="preserve"> – Overall Rating – Adequate (4/6)</w:t>
      </w:r>
    </w:p>
    <w:p w14:paraId="5B4BE62D" w14:textId="77777777" w:rsidR="00EE0A8A" w:rsidRPr="00D3397A" w:rsidRDefault="00141C9F" w:rsidP="00EB16DE">
      <w:pPr>
        <w:spacing w:before="0"/>
        <w:jc w:val="both"/>
        <w:rPr>
          <w:lang w:eastAsia="en-AU"/>
        </w:rPr>
      </w:pPr>
      <w:r>
        <w:rPr>
          <w:lang w:eastAsia="en-AU"/>
        </w:rPr>
        <w:t xml:space="preserve">Gender considerations appear to be systematically considered in project approvals, and DFAT’s engagement of a gender advisor will further strengthen performance in this area. Disability inclusiveness </w:t>
      </w:r>
      <w:r w:rsidR="00402EEE">
        <w:rPr>
          <w:lang w:eastAsia="en-AU"/>
        </w:rPr>
        <w:t xml:space="preserve">appears </w:t>
      </w:r>
      <w:r>
        <w:rPr>
          <w:lang w:eastAsia="en-AU"/>
        </w:rPr>
        <w:t>to be less consistently considered during planning.</w:t>
      </w:r>
      <w:r w:rsidR="00402EEE">
        <w:rPr>
          <w:lang w:eastAsia="en-AU"/>
        </w:rPr>
        <w:t xml:space="preserve"> </w:t>
      </w:r>
      <w:r w:rsidR="00351CB1">
        <w:rPr>
          <w:lang w:eastAsia="en-AU"/>
        </w:rPr>
        <w:t xml:space="preserve">There is strong evidence of climate change mitigation being considered in project design in </w:t>
      </w:r>
      <w:r w:rsidR="00E74481">
        <w:rPr>
          <w:lang w:eastAsia="en-AU"/>
        </w:rPr>
        <w:t>some of the</w:t>
      </w:r>
      <w:r w:rsidR="00351CB1">
        <w:rPr>
          <w:lang w:eastAsia="en-AU"/>
        </w:rPr>
        <w:t xml:space="preserve"> recent projects</w:t>
      </w:r>
      <w:r w:rsidR="00C665F0">
        <w:rPr>
          <w:lang w:eastAsia="en-AU"/>
        </w:rPr>
        <w:t xml:space="preserve">, and on other projects no evidence available regarding the application of climate change mitigation </w:t>
      </w:r>
      <w:r w:rsidR="0021006F">
        <w:rPr>
          <w:lang w:eastAsia="en-AU"/>
        </w:rPr>
        <w:t>assessment</w:t>
      </w:r>
      <w:r w:rsidR="005C6EF7">
        <w:rPr>
          <w:lang w:eastAsia="en-AU"/>
        </w:rPr>
        <w:t xml:space="preserve">. </w:t>
      </w:r>
    </w:p>
    <w:p w14:paraId="09CA4536" w14:textId="77777777" w:rsidR="00743796" w:rsidRDefault="00743796" w:rsidP="00EB16DE">
      <w:pPr>
        <w:jc w:val="both"/>
        <w:rPr>
          <w:b/>
          <w:lang w:eastAsia="en-AU"/>
        </w:rPr>
      </w:pPr>
      <w:r w:rsidRPr="002D7C5E">
        <w:rPr>
          <w:b/>
          <w:lang w:eastAsia="en-AU"/>
        </w:rPr>
        <w:t>Recommendations for a future infrastructure strategy</w:t>
      </w:r>
      <w:r w:rsidR="00541489">
        <w:rPr>
          <w:b/>
          <w:lang w:eastAsia="en-AU"/>
        </w:rPr>
        <w:t xml:space="preserve"> for DFAT</w:t>
      </w:r>
    </w:p>
    <w:p w14:paraId="2FCDDB92" w14:textId="77777777" w:rsidR="00972129" w:rsidRDefault="00174759" w:rsidP="00112B3E">
      <w:pPr>
        <w:spacing w:before="0"/>
        <w:jc w:val="both"/>
        <w:rPr>
          <w:lang w:eastAsia="en-AU"/>
        </w:rPr>
      </w:pPr>
      <w:r w:rsidRPr="00174759">
        <w:rPr>
          <w:lang w:eastAsia="en-AU"/>
        </w:rPr>
        <w:t>There are</w:t>
      </w:r>
      <w:r>
        <w:rPr>
          <w:lang w:eastAsia="en-AU"/>
        </w:rPr>
        <w:t xml:space="preserve"> a number of </w:t>
      </w:r>
      <w:r w:rsidR="00A33982">
        <w:rPr>
          <w:lang w:eastAsia="en-AU"/>
        </w:rPr>
        <w:t xml:space="preserve">specific </w:t>
      </w:r>
      <w:r>
        <w:rPr>
          <w:lang w:eastAsia="en-AU"/>
        </w:rPr>
        <w:t xml:space="preserve">recommendations based around two core objectives for </w:t>
      </w:r>
      <w:r w:rsidR="00613DAD">
        <w:rPr>
          <w:lang w:eastAsia="en-AU"/>
        </w:rPr>
        <w:t xml:space="preserve">DFAT’s </w:t>
      </w:r>
      <w:r w:rsidR="0076768D">
        <w:rPr>
          <w:lang w:eastAsia="en-AU"/>
        </w:rPr>
        <w:t xml:space="preserve">future </w:t>
      </w:r>
      <w:r w:rsidR="00613DAD">
        <w:rPr>
          <w:lang w:eastAsia="en-AU"/>
        </w:rPr>
        <w:t xml:space="preserve">support to infrastructure and essential services in </w:t>
      </w:r>
      <w:r w:rsidR="0076768D">
        <w:rPr>
          <w:lang w:eastAsia="en-AU"/>
        </w:rPr>
        <w:t>Nauru</w:t>
      </w:r>
      <w:r w:rsidR="00112445">
        <w:rPr>
          <w:lang w:eastAsia="en-AU"/>
        </w:rPr>
        <w:t>,</w:t>
      </w:r>
      <w:r>
        <w:rPr>
          <w:lang w:eastAsia="en-AU"/>
        </w:rPr>
        <w:t xml:space="preserve"> namely</w:t>
      </w:r>
      <w:r w:rsidR="002E407B">
        <w:rPr>
          <w:lang w:eastAsia="en-AU"/>
        </w:rPr>
        <w:t>:</w:t>
      </w:r>
    </w:p>
    <w:p w14:paraId="076D374D" w14:textId="77777777" w:rsidR="008A6D78" w:rsidRDefault="0010039D" w:rsidP="009B5B89">
      <w:pPr>
        <w:spacing w:before="100" w:after="100"/>
        <w:jc w:val="both"/>
        <w:rPr>
          <w:lang w:eastAsia="en-AU"/>
        </w:rPr>
      </w:pPr>
      <w:r w:rsidRPr="00310DC1">
        <w:rPr>
          <w:b/>
          <w:i/>
          <w:lang w:eastAsia="en-AU"/>
        </w:rPr>
        <w:t>Objective</w:t>
      </w:r>
      <w:r w:rsidR="00503FB5">
        <w:rPr>
          <w:b/>
          <w:i/>
          <w:lang w:eastAsia="en-AU"/>
        </w:rPr>
        <w:t xml:space="preserve"> 1</w:t>
      </w:r>
      <w:r w:rsidRPr="00310DC1">
        <w:rPr>
          <w:b/>
          <w:i/>
          <w:lang w:eastAsia="en-AU"/>
        </w:rPr>
        <w:t xml:space="preserve">: </w:t>
      </w:r>
      <w:r w:rsidR="00174759" w:rsidRPr="00862D4D">
        <w:rPr>
          <w:lang w:eastAsia="en-AU"/>
        </w:rPr>
        <w:t>Supporting the Government of Nauru to embed</w:t>
      </w:r>
      <w:r w:rsidR="00BC268E" w:rsidRPr="00862D4D">
        <w:rPr>
          <w:lang w:eastAsia="en-AU"/>
        </w:rPr>
        <w:t xml:space="preserve"> and implement</w:t>
      </w:r>
      <w:r w:rsidR="00174759" w:rsidRPr="00862D4D">
        <w:rPr>
          <w:lang w:eastAsia="en-AU"/>
        </w:rPr>
        <w:t xml:space="preserve"> a robust and strategic infrastructure framework for prioritisation and selection of investments</w:t>
      </w:r>
      <w:r w:rsidR="009C526B" w:rsidRPr="00862D4D">
        <w:rPr>
          <w:lang w:eastAsia="en-AU"/>
        </w:rPr>
        <w:t xml:space="preserve">; </w:t>
      </w:r>
    </w:p>
    <w:p w14:paraId="03EF2E7D" w14:textId="77777777" w:rsidR="00F606E1" w:rsidRPr="00945122" w:rsidRDefault="00F606E1" w:rsidP="009B5B89">
      <w:pPr>
        <w:spacing w:before="100" w:after="100"/>
        <w:jc w:val="both"/>
        <w:rPr>
          <w:i/>
          <w:lang w:eastAsia="en-AU"/>
        </w:rPr>
      </w:pPr>
      <w:r w:rsidRPr="00945122">
        <w:rPr>
          <w:i/>
          <w:lang w:eastAsia="en-AU"/>
        </w:rPr>
        <w:t>Short Term:</w:t>
      </w:r>
    </w:p>
    <w:p w14:paraId="09D716A7" w14:textId="77777777" w:rsidR="00A85141" w:rsidRPr="00862D4D" w:rsidRDefault="00A85141" w:rsidP="009B5B89">
      <w:pPr>
        <w:numPr>
          <w:ilvl w:val="1"/>
          <w:numId w:val="37"/>
        </w:numPr>
        <w:spacing w:before="100" w:after="100"/>
        <w:ind w:left="851" w:right="130"/>
        <w:jc w:val="both"/>
        <w:rPr>
          <w:lang w:eastAsia="en-AU"/>
        </w:rPr>
      </w:pPr>
      <w:r>
        <w:rPr>
          <w:lang w:eastAsia="en-AU"/>
        </w:rPr>
        <w:t xml:space="preserve">DFAT to engage with PRIF to </w:t>
      </w:r>
      <w:r w:rsidR="00404CD4">
        <w:rPr>
          <w:lang w:eastAsia="en-AU"/>
        </w:rPr>
        <w:t xml:space="preserve">request an independent </w:t>
      </w:r>
      <w:r w:rsidRPr="00862D4D">
        <w:rPr>
          <w:lang w:eastAsia="en-AU"/>
        </w:rPr>
        <w:t>quality peer review of NIAMF, NIIMS and associated documents</w:t>
      </w:r>
      <w:r w:rsidR="00404CD4">
        <w:rPr>
          <w:lang w:eastAsia="en-AU"/>
        </w:rPr>
        <w:t xml:space="preserve"> to ensure robust analysis</w:t>
      </w:r>
      <w:r w:rsidRPr="00862D4D">
        <w:rPr>
          <w:lang w:eastAsia="en-AU"/>
        </w:rPr>
        <w:t>;</w:t>
      </w:r>
    </w:p>
    <w:p w14:paraId="1B8CC2B6" w14:textId="77777777" w:rsidR="00A85141" w:rsidRDefault="00A85141" w:rsidP="009B5B89">
      <w:pPr>
        <w:numPr>
          <w:ilvl w:val="1"/>
          <w:numId w:val="37"/>
        </w:numPr>
        <w:spacing w:before="100" w:after="100"/>
        <w:ind w:left="851" w:right="130"/>
        <w:jc w:val="both"/>
        <w:rPr>
          <w:lang w:eastAsia="en-AU"/>
        </w:rPr>
      </w:pPr>
      <w:r w:rsidRPr="00862D4D">
        <w:rPr>
          <w:lang w:eastAsia="en-AU"/>
        </w:rPr>
        <w:t>Coordinate and harmonize with development partners</w:t>
      </w:r>
      <w:r>
        <w:rPr>
          <w:lang w:eastAsia="en-AU"/>
        </w:rPr>
        <w:t>;</w:t>
      </w:r>
    </w:p>
    <w:p w14:paraId="021682E2" w14:textId="77777777" w:rsidR="00F606E1" w:rsidRPr="00945122" w:rsidRDefault="00F606E1" w:rsidP="009B5B89">
      <w:pPr>
        <w:spacing w:before="100" w:after="100"/>
        <w:ind w:right="130"/>
        <w:jc w:val="both"/>
        <w:rPr>
          <w:i/>
          <w:lang w:eastAsia="en-AU"/>
        </w:rPr>
      </w:pPr>
      <w:r w:rsidRPr="00945122">
        <w:rPr>
          <w:i/>
          <w:lang w:eastAsia="en-AU"/>
        </w:rPr>
        <w:t>Within 1-3 years:</w:t>
      </w:r>
    </w:p>
    <w:p w14:paraId="34A7C582" w14:textId="77777777" w:rsidR="0010039D" w:rsidRPr="00862D4D" w:rsidRDefault="0010039D" w:rsidP="009B5B89">
      <w:pPr>
        <w:numPr>
          <w:ilvl w:val="1"/>
          <w:numId w:val="37"/>
        </w:numPr>
        <w:spacing w:before="100" w:after="100"/>
        <w:ind w:left="851" w:right="130"/>
        <w:jc w:val="both"/>
        <w:rPr>
          <w:lang w:eastAsia="en-AU"/>
        </w:rPr>
      </w:pPr>
      <w:r w:rsidRPr="00862D4D">
        <w:rPr>
          <w:lang w:eastAsia="en-AU"/>
        </w:rPr>
        <w:t xml:space="preserve">Develop an Infrastructure Strategy for DFAT Nauru that </w:t>
      </w:r>
      <w:r w:rsidR="009B3C45">
        <w:rPr>
          <w:lang w:eastAsia="en-AU"/>
        </w:rPr>
        <w:t>considers</w:t>
      </w:r>
      <w:r w:rsidR="009B3C45" w:rsidRPr="00862D4D">
        <w:rPr>
          <w:lang w:eastAsia="en-AU"/>
        </w:rPr>
        <w:t xml:space="preserve"> </w:t>
      </w:r>
      <w:r w:rsidRPr="00862D4D">
        <w:rPr>
          <w:lang w:eastAsia="en-AU"/>
        </w:rPr>
        <w:t>the NIAMF and NIIMS;</w:t>
      </w:r>
      <w:r w:rsidR="00A85141">
        <w:rPr>
          <w:lang w:eastAsia="en-AU"/>
        </w:rPr>
        <w:t xml:space="preserve"> and</w:t>
      </w:r>
    </w:p>
    <w:p w14:paraId="2350E8EB" w14:textId="77777777" w:rsidR="0010039D" w:rsidRPr="00862D4D" w:rsidRDefault="0010039D" w:rsidP="009B5B89">
      <w:pPr>
        <w:numPr>
          <w:ilvl w:val="1"/>
          <w:numId w:val="37"/>
        </w:numPr>
        <w:spacing w:before="100" w:after="100"/>
        <w:ind w:left="851" w:right="130"/>
        <w:jc w:val="both"/>
        <w:rPr>
          <w:lang w:eastAsia="en-AU"/>
        </w:rPr>
      </w:pPr>
      <w:r w:rsidRPr="00862D4D">
        <w:rPr>
          <w:lang w:eastAsia="en-AU"/>
        </w:rPr>
        <w:t>Develop the capacity of GoN to periodically update the NIAMF, NIIMS and associated documents to inform infrastructure project prioritization over time</w:t>
      </w:r>
      <w:r w:rsidR="00A85141">
        <w:rPr>
          <w:lang w:eastAsia="en-AU"/>
        </w:rPr>
        <w:t>.</w:t>
      </w:r>
    </w:p>
    <w:p w14:paraId="72043DEF" w14:textId="77777777" w:rsidR="009C526B" w:rsidRDefault="00637F86" w:rsidP="00503FB5">
      <w:pPr>
        <w:spacing w:before="120" w:after="120"/>
        <w:jc w:val="both"/>
        <w:rPr>
          <w:lang w:eastAsia="en-AU"/>
        </w:rPr>
      </w:pPr>
      <w:r w:rsidRPr="00310DC1">
        <w:rPr>
          <w:b/>
          <w:i/>
          <w:lang w:eastAsia="en-AU"/>
        </w:rPr>
        <w:t>Objective</w:t>
      </w:r>
      <w:r w:rsidR="00503FB5">
        <w:rPr>
          <w:b/>
          <w:i/>
          <w:lang w:eastAsia="en-AU"/>
        </w:rPr>
        <w:t xml:space="preserve"> 2</w:t>
      </w:r>
      <w:r w:rsidRPr="00310DC1">
        <w:rPr>
          <w:b/>
          <w:i/>
          <w:lang w:eastAsia="en-AU"/>
        </w:rPr>
        <w:t>:</w:t>
      </w:r>
      <w:r>
        <w:rPr>
          <w:b/>
          <w:i/>
          <w:lang w:eastAsia="en-AU"/>
        </w:rPr>
        <w:t xml:space="preserve"> </w:t>
      </w:r>
      <w:r w:rsidR="006E4A9A" w:rsidRPr="00862D4D">
        <w:rPr>
          <w:lang w:eastAsia="en-AU"/>
        </w:rPr>
        <w:t>R</w:t>
      </w:r>
      <w:r w:rsidR="009C526B" w:rsidRPr="00862D4D">
        <w:rPr>
          <w:lang w:eastAsia="en-AU"/>
        </w:rPr>
        <w:t>etaining the value for money proposition of existing investments over time through selected interventions.</w:t>
      </w:r>
    </w:p>
    <w:p w14:paraId="27C8ED5E" w14:textId="77777777" w:rsidR="00945122" w:rsidRPr="00945122" w:rsidRDefault="00945122" w:rsidP="009B5B89">
      <w:pPr>
        <w:spacing w:before="100" w:after="100"/>
        <w:jc w:val="both"/>
        <w:rPr>
          <w:i/>
          <w:lang w:eastAsia="en-AU"/>
        </w:rPr>
      </w:pPr>
      <w:r w:rsidRPr="00945122">
        <w:rPr>
          <w:i/>
          <w:lang w:eastAsia="en-AU"/>
        </w:rPr>
        <w:t>Short Term:</w:t>
      </w:r>
    </w:p>
    <w:p w14:paraId="6246E638" w14:textId="77777777" w:rsidR="00637F86" w:rsidRDefault="00637F86" w:rsidP="009B5B89">
      <w:pPr>
        <w:numPr>
          <w:ilvl w:val="1"/>
          <w:numId w:val="38"/>
        </w:numPr>
        <w:spacing w:before="100" w:after="100"/>
        <w:ind w:left="851" w:right="130"/>
        <w:jc w:val="both"/>
        <w:rPr>
          <w:lang w:eastAsia="en-AU"/>
        </w:rPr>
      </w:pPr>
      <w:r w:rsidRPr="00862D4D">
        <w:rPr>
          <w:lang w:eastAsia="en-AU"/>
        </w:rPr>
        <w:t>Continuation of the NUC CEO. Significant gains have been made through the NUC in stabilising the electricity supply and improvements in water delivery</w:t>
      </w:r>
      <w:r w:rsidR="006331BD" w:rsidRPr="00862D4D">
        <w:rPr>
          <w:lang w:eastAsia="en-AU"/>
        </w:rPr>
        <w:t xml:space="preserve">, however </w:t>
      </w:r>
      <w:r w:rsidRPr="00862D4D">
        <w:rPr>
          <w:lang w:eastAsia="en-AU"/>
        </w:rPr>
        <w:t>gains will likely be lost if ongoing support to the NUC is not continued</w:t>
      </w:r>
      <w:r w:rsidR="006331BD" w:rsidRPr="00862D4D">
        <w:rPr>
          <w:lang w:eastAsia="en-AU"/>
        </w:rPr>
        <w:t>;</w:t>
      </w:r>
    </w:p>
    <w:p w14:paraId="54FADF97" w14:textId="77777777" w:rsidR="00945122" w:rsidRDefault="00945122" w:rsidP="009B5B89">
      <w:pPr>
        <w:numPr>
          <w:ilvl w:val="1"/>
          <w:numId w:val="38"/>
        </w:numPr>
        <w:spacing w:before="100" w:after="100"/>
        <w:ind w:left="851" w:right="130"/>
        <w:jc w:val="both"/>
        <w:rPr>
          <w:lang w:eastAsia="en-AU"/>
        </w:rPr>
      </w:pPr>
      <w:r w:rsidRPr="00873441">
        <w:rPr>
          <w:lang w:eastAsia="en-AU"/>
        </w:rPr>
        <w:t>Consider innovative approaches to maintaining and cleaning privately owned water tanks</w:t>
      </w:r>
      <w:r>
        <w:rPr>
          <w:lang w:eastAsia="en-AU"/>
        </w:rPr>
        <w:t xml:space="preserve"> through NUC</w:t>
      </w:r>
      <w:r w:rsidRPr="00873441">
        <w:rPr>
          <w:lang w:eastAsia="en-AU"/>
        </w:rPr>
        <w:t>.</w:t>
      </w:r>
    </w:p>
    <w:p w14:paraId="37607740" w14:textId="77777777" w:rsidR="00873441" w:rsidRPr="00873441" w:rsidRDefault="00873441" w:rsidP="009B5B89">
      <w:pPr>
        <w:spacing w:before="100" w:after="100"/>
        <w:ind w:right="130"/>
        <w:jc w:val="both"/>
        <w:rPr>
          <w:i/>
          <w:lang w:eastAsia="en-AU"/>
        </w:rPr>
      </w:pPr>
      <w:r w:rsidRPr="00873441">
        <w:rPr>
          <w:i/>
          <w:lang w:eastAsia="en-AU"/>
        </w:rPr>
        <w:t>Within 2-3 Years:</w:t>
      </w:r>
    </w:p>
    <w:p w14:paraId="0ACBB276" w14:textId="6093A7F5" w:rsidR="00536A5A" w:rsidRDefault="00DA21C6" w:rsidP="009B5B89">
      <w:pPr>
        <w:numPr>
          <w:ilvl w:val="1"/>
          <w:numId w:val="38"/>
        </w:numPr>
        <w:spacing w:before="100" w:after="100"/>
        <w:ind w:left="851" w:right="130"/>
        <w:jc w:val="both"/>
        <w:rPr>
          <w:lang w:eastAsia="en-AU"/>
        </w:rPr>
      </w:pPr>
      <w:r>
        <w:rPr>
          <w:lang w:eastAsia="en-AU"/>
        </w:rPr>
        <w:t>DFAT to focus on asset m</w:t>
      </w:r>
      <w:r w:rsidR="00536A5A">
        <w:rPr>
          <w:lang w:eastAsia="en-AU"/>
        </w:rPr>
        <w:t xml:space="preserve">aintenance. </w:t>
      </w:r>
      <w:r w:rsidR="00536A5A" w:rsidRPr="001408A8">
        <w:rPr>
          <w:lang w:eastAsia="en-AU"/>
        </w:rPr>
        <w:t xml:space="preserve">The cost of assets provided by Australia degrading and needing to be replaced prematurely is a reputational risk contributes to an ongoing need </w:t>
      </w:r>
      <w:r w:rsidR="00536A5A">
        <w:rPr>
          <w:lang w:eastAsia="en-AU"/>
        </w:rPr>
        <w:t xml:space="preserve">from GoN </w:t>
      </w:r>
      <w:r w:rsidR="00536A5A" w:rsidRPr="001408A8">
        <w:rPr>
          <w:lang w:eastAsia="en-AU"/>
        </w:rPr>
        <w:t>for external funding and reduces the value for money proposition of each investment.</w:t>
      </w:r>
      <w:r w:rsidR="00264BE3">
        <w:rPr>
          <w:lang w:eastAsia="en-AU"/>
        </w:rPr>
        <w:t xml:space="preserve"> In addition, t</w:t>
      </w:r>
      <w:r w:rsidR="00264BE3" w:rsidRPr="00862D4D">
        <w:rPr>
          <w:lang w:eastAsia="en-AU"/>
        </w:rPr>
        <w:t xml:space="preserve">he RON hospital needs </w:t>
      </w:r>
      <w:r w:rsidR="00264BE3">
        <w:rPr>
          <w:lang w:eastAsia="en-AU"/>
        </w:rPr>
        <w:t xml:space="preserve">further </w:t>
      </w:r>
      <w:r w:rsidR="00264BE3" w:rsidRPr="00862D4D">
        <w:rPr>
          <w:lang w:eastAsia="en-AU"/>
        </w:rPr>
        <w:t>assessment</w:t>
      </w:r>
      <w:r w:rsidR="009B5B89">
        <w:rPr>
          <w:lang w:eastAsia="en-AU"/>
        </w:rPr>
        <w:t>; and</w:t>
      </w:r>
    </w:p>
    <w:p w14:paraId="438A1509" w14:textId="77777777" w:rsidR="00873441" w:rsidRPr="00862D4D" w:rsidRDefault="00873441" w:rsidP="009B5B89">
      <w:pPr>
        <w:numPr>
          <w:ilvl w:val="1"/>
          <w:numId w:val="38"/>
        </w:numPr>
        <w:spacing w:before="100" w:after="100"/>
        <w:ind w:left="851" w:right="130"/>
        <w:jc w:val="both"/>
        <w:rPr>
          <w:lang w:eastAsia="en-AU"/>
        </w:rPr>
      </w:pPr>
      <w:r w:rsidRPr="00862D4D">
        <w:rPr>
          <w:lang w:eastAsia="en-AU"/>
        </w:rPr>
        <w:t>DFAT’s Strengths and Capacity. Additional resourcing within DFAT is needed for infrastructure and DFAT should focus on a smaller number of larger investments</w:t>
      </w:r>
      <w:r w:rsidR="009B5B89">
        <w:rPr>
          <w:lang w:eastAsia="en-AU"/>
        </w:rPr>
        <w:t>.</w:t>
      </w:r>
    </w:p>
    <w:p w14:paraId="2355CEA4" w14:textId="77777777" w:rsidR="00A716D9" w:rsidRDefault="00A716D9" w:rsidP="00EA7183">
      <w:pPr>
        <w:pStyle w:val="Heading1"/>
      </w:pPr>
      <w:bookmarkStart w:id="5" w:name="_Toc518640206"/>
      <w:r>
        <w:lastRenderedPageBreak/>
        <w:t>Background</w:t>
      </w:r>
      <w:bookmarkEnd w:id="5"/>
      <w:r>
        <w:t xml:space="preserve"> </w:t>
      </w:r>
    </w:p>
    <w:p w14:paraId="2DE53149" w14:textId="77777777" w:rsidR="00EE487B" w:rsidRDefault="00EE487B" w:rsidP="00CF3D8B">
      <w:pPr>
        <w:pStyle w:val="Heading2"/>
        <w:ind w:left="576"/>
      </w:pPr>
      <w:bookmarkStart w:id="6" w:name="_Toc518640207"/>
      <w:r>
        <w:t>Context</w:t>
      </w:r>
      <w:bookmarkEnd w:id="6"/>
    </w:p>
    <w:p w14:paraId="4CA090D7" w14:textId="77777777" w:rsidR="00EE487B" w:rsidRDefault="00EE487B" w:rsidP="00D434CE">
      <w:pPr>
        <w:spacing w:after="120"/>
        <w:jc w:val="both"/>
        <w:rPr>
          <w:lang w:eastAsia="en-AU"/>
        </w:rPr>
      </w:pPr>
      <w:r w:rsidRPr="002079C4">
        <w:rPr>
          <w:lang w:eastAsia="en-AU"/>
        </w:rPr>
        <w:t xml:space="preserve">Nauru is one of the world’s smallest </w:t>
      </w:r>
      <w:r>
        <w:rPr>
          <w:lang w:eastAsia="en-AU"/>
        </w:rPr>
        <w:t xml:space="preserve">and most remote </w:t>
      </w:r>
      <w:r w:rsidRPr="002079C4">
        <w:rPr>
          <w:lang w:eastAsia="en-AU"/>
        </w:rPr>
        <w:t>countries</w:t>
      </w:r>
      <w:r>
        <w:rPr>
          <w:lang w:eastAsia="en-AU"/>
        </w:rPr>
        <w:t xml:space="preserve">, </w:t>
      </w:r>
      <w:r w:rsidRPr="002079C4">
        <w:rPr>
          <w:lang w:eastAsia="en-AU"/>
        </w:rPr>
        <w:t>consist</w:t>
      </w:r>
      <w:r>
        <w:rPr>
          <w:lang w:eastAsia="en-AU"/>
        </w:rPr>
        <w:t>ing</w:t>
      </w:r>
      <w:r w:rsidRPr="002079C4">
        <w:rPr>
          <w:lang w:eastAsia="en-AU"/>
        </w:rPr>
        <w:t xml:space="preserve"> of a single island of 21 square kilometres. It has a </w:t>
      </w:r>
      <w:r w:rsidR="002B4F9C" w:rsidRPr="002079C4">
        <w:rPr>
          <w:lang w:eastAsia="en-AU"/>
        </w:rPr>
        <w:t xml:space="preserve">population </w:t>
      </w:r>
      <w:r w:rsidR="002B4F9C">
        <w:rPr>
          <w:lang w:eastAsia="en-AU"/>
        </w:rPr>
        <w:t>of</w:t>
      </w:r>
      <w:r w:rsidR="00044D06">
        <w:rPr>
          <w:lang w:eastAsia="en-AU"/>
        </w:rPr>
        <w:t xml:space="preserve"> </w:t>
      </w:r>
      <w:r>
        <w:rPr>
          <w:lang w:eastAsia="en-AU"/>
        </w:rPr>
        <w:t>approximately 13</w:t>
      </w:r>
      <w:r w:rsidRPr="002079C4">
        <w:rPr>
          <w:lang w:eastAsia="en-AU"/>
        </w:rPr>
        <w:t>,</w:t>
      </w:r>
      <w:r>
        <w:rPr>
          <w:lang w:eastAsia="en-AU"/>
        </w:rPr>
        <w:t xml:space="preserve">000 </w:t>
      </w:r>
      <w:r w:rsidR="00044D06">
        <w:rPr>
          <w:lang w:eastAsia="en-AU"/>
        </w:rPr>
        <w:t>(</w:t>
      </w:r>
      <w:r w:rsidRPr="002079C4">
        <w:rPr>
          <w:lang w:eastAsia="en-AU"/>
        </w:rPr>
        <w:t xml:space="preserve">in </w:t>
      </w:r>
      <w:r>
        <w:rPr>
          <w:lang w:eastAsia="en-AU"/>
        </w:rPr>
        <w:t>2017</w:t>
      </w:r>
      <w:r w:rsidRPr="002079C4">
        <w:rPr>
          <w:lang w:eastAsia="en-AU"/>
        </w:rPr>
        <w:t xml:space="preserve">) </w:t>
      </w:r>
      <w:r w:rsidR="00044D06">
        <w:rPr>
          <w:lang w:eastAsia="en-AU"/>
        </w:rPr>
        <w:t xml:space="preserve">most of whom </w:t>
      </w:r>
      <w:r w:rsidR="00044D06" w:rsidRPr="002079C4">
        <w:rPr>
          <w:lang w:eastAsia="en-AU"/>
        </w:rPr>
        <w:t>liv</w:t>
      </w:r>
      <w:r w:rsidR="00044D06">
        <w:rPr>
          <w:lang w:eastAsia="en-AU"/>
        </w:rPr>
        <w:t>e</w:t>
      </w:r>
      <w:r w:rsidR="00044D06" w:rsidRPr="002079C4">
        <w:rPr>
          <w:lang w:eastAsia="en-AU"/>
        </w:rPr>
        <w:t xml:space="preserve"> </w:t>
      </w:r>
      <w:r w:rsidRPr="002079C4">
        <w:rPr>
          <w:lang w:eastAsia="en-AU"/>
        </w:rPr>
        <w:t xml:space="preserve">on the perimeter strip of coastal land. </w:t>
      </w:r>
      <w:r w:rsidRPr="00D1160E">
        <w:rPr>
          <w:lang w:eastAsia="en-AU"/>
        </w:rPr>
        <w:t xml:space="preserve">Infrastructure </w:t>
      </w:r>
      <w:r>
        <w:rPr>
          <w:lang w:eastAsia="en-AU"/>
        </w:rPr>
        <w:t>plays</w:t>
      </w:r>
      <w:r w:rsidRPr="00D1160E">
        <w:rPr>
          <w:lang w:eastAsia="en-AU"/>
        </w:rPr>
        <w:t xml:space="preserve"> a key role in underpinning development in the economic and social sectors of Nauru. </w:t>
      </w:r>
      <w:r>
        <w:rPr>
          <w:lang w:eastAsia="en-AU"/>
        </w:rPr>
        <w:t xml:space="preserve">The </w:t>
      </w:r>
      <w:r w:rsidRPr="0046614F">
        <w:rPr>
          <w:lang w:eastAsia="en-AU"/>
        </w:rPr>
        <w:t xml:space="preserve">NSDS </w:t>
      </w:r>
      <w:r>
        <w:rPr>
          <w:lang w:eastAsia="en-AU"/>
        </w:rPr>
        <w:t>identifies priorities areas for Nauru’s future</w:t>
      </w:r>
      <w:r w:rsidR="002B4F9C">
        <w:rPr>
          <w:lang w:eastAsia="en-AU"/>
        </w:rPr>
        <w:t>, and</w:t>
      </w:r>
      <w:r>
        <w:rPr>
          <w:lang w:eastAsia="en-AU"/>
        </w:rPr>
        <w:t xml:space="preserve"> underscores the importance of improving</w:t>
      </w:r>
      <w:r w:rsidRPr="00B23649">
        <w:rPr>
          <w:lang w:eastAsia="en-AU"/>
        </w:rPr>
        <w:t xml:space="preserve"> electricity, water </w:t>
      </w:r>
      <w:r w:rsidRPr="001D742C">
        <w:rPr>
          <w:lang w:eastAsia="en-AU"/>
        </w:rPr>
        <w:t>and transport to</w:t>
      </w:r>
      <w:r w:rsidRPr="00B23649">
        <w:rPr>
          <w:lang w:eastAsia="en-AU"/>
        </w:rPr>
        <w:t xml:space="preserve"> </w:t>
      </w:r>
      <w:r>
        <w:rPr>
          <w:lang w:eastAsia="en-AU"/>
        </w:rPr>
        <w:t>promote</w:t>
      </w:r>
      <w:r w:rsidRPr="00B23649">
        <w:rPr>
          <w:lang w:eastAsia="en-AU"/>
        </w:rPr>
        <w:t xml:space="preserve"> wellbeing and </w:t>
      </w:r>
      <w:r>
        <w:rPr>
          <w:lang w:eastAsia="en-AU"/>
        </w:rPr>
        <w:t xml:space="preserve">economic </w:t>
      </w:r>
      <w:r w:rsidRPr="00B23649">
        <w:rPr>
          <w:lang w:eastAsia="en-AU"/>
        </w:rPr>
        <w:t>development</w:t>
      </w:r>
      <w:r w:rsidR="00D434CE">
        <w:rPr>
          <w:lang w:eastAsia="en-AU"/>
        </w:rPr>
        <w:t xml:space="preserve">. </w:t>
      </w:r>
      <w:r>
        <w:rPr>
          <w:lang w:eastAsia="en-AU"/>
        </w:rPr>
        <w:t>Due to a l</w:t>
      </w:r>
      <w:r w:rsidRPr="00D1160E">
        <w:rPr>
          <w:lang w:eastAsia="en-AU"/>
        </w:rPr>
        <w:t xml:space="preserve">ack of maintenance and investment in physical infrastructure </w:t>
      </w:r>
      <w:r>
        <w:rPr>
          <w:lang w:eastAsia="en-AU"/>
        </w:rPr>
        <w:t>during the financial crisis,</w:t>
      </w:r>
      <w:r w:rsidRPr="00D1160E">
        <w:rPr>
          <w:lang w:eastAsia="en-AU"/>
        </w:rPr>
        <w:t xml:space="preserve"> Nauru</w:t>
      </w:r>
      <w:r>
        <w:rPr>
          <w:lang w:eastAsia="en-AU"/>
        </w:rPr>
        <w:t xml:space="preserve"> has experienced a high level of dilapidated infrastructure to</w:t>
      </w:r>
      <w:r w:rsidRPr="00D1160E">
        <w:rPr>
          <w:lang w:eastAsia="en-AU"/>
        </w:rPr>
        <w:t xml:space="preserve"> the point of collapse in some instances</w:t>
      </w:r>
      <w:r>
        <w:rPr>
          <w:rStyle w:val="FootnoteReference"/>
          <w:lang w:eastAsia="en-AU"/>
        </w:rPr>
        <w:footnoteReference w:id="1"/>
      </w:r>
      <w:r w:rsidRPr="00D1160E">
        <w:rPr>
          <w:lang w:eastAsia="en-AU"/>
        </w:rPr>
        <w:t xml:space="preserve">. </w:t>
      </w:r>
      <w:r>
        <w:rPr>
          <w:lang w:eastAsia="en-AU"/>
        </w:rPr>
        <w:t>The physical environment</w:t>
      </w:r>
      <w:r w:rsidRPr="008443E1">
        <w:rPr>
          <w:lang w:eastAsia="en-AU"/>
        </w:rPr>
        <w:t xml:space="preserve"> </w:t>
      </w:r>
      <w:r>
        <w:rPr>
          <w:lang w:eastAsia="en-AU"/>
        </w:rPr>
        <w:t xml:space="preserve">in Nauru, particularly proximity of most infrastructure to the corrosive marine environment, is a contributor to relatively high maintenance requirements and costs. </w:t>
      </w:r>
    </w:p>
    <w:p w14:paraId="46E16158" w14:textId="7BFB7199" w:rsidR="00EE487B" w:rsidRDefault="00EE487B" w:rsidP="00344ED1">
      <w:pPr>
        <w:jc w:val="both"/>
        <w:rPr>
          <w:lang w:eastAsia="en-AU"/>
        </w:rPr>
      </w:pPr>
      <w:r w:rsidRPr="00307F7D">
        <w:rPr>
          <w:lang w:eastAsia="en-AU"/>
        </w:rPr>
        <w:t>Collectively between Australian agencies and other development partners, there ha</w:t>
      </w:r>
      <w:r>
        <w:rPr>
          <w:lang w:eastAsia="en-AU"/>
        </w:rPr>
        <w:t>s</w:t>
      </w:r>
      <w:r w:rsidRPr="00307F7D">
        <w:rPr>
          <w:lang w:eastAsia="en-AU"/>
        </w:rPr>
        <w:t xml:space="preserve"> been a significant investment in infrastructure in recent years. </w:t>
      </w:r>
      <w:r>
        <w:rPr>
          <w:lang w:eastAsia="en-AU"/>
        </w:rPr>
        <w:t>I</w:t>
      </w:r>
      <w:r w:rsidRPr="00307F7D">
        <w:rPr>
          <w:lang w:eastAsia="en-AU"/>
        </w:rPr>
        <w:t>nstitutional arrangements</w:t>
      </w:r>
      <w:r>
        <w:rPr>
          <w:lang w:eastAsia="en-AU"/>
        </w:rPr>
        <w:t xml:space="preserve"> within GoN have been in flux, </w:t>
      </w:r>
      <w:r w:rsidRPr="00307F7D">
        <w:rPr>
          <w:lang w:eastAsia="en-AU"/>
        </w:rPr>
        <w:t>including the establishment of the new Department of Infrastructure and Development (DoID) in early 2018</w:t>
      </w:r>
      <w:r>
        <w:rPr>
          <w:lang w:eastAsia="en-AU"/>
        </w:rPr>
        <w:t>. As</w:t>
      </w:r>
      <w:r w:rsidRPr="00307F7D">
        <w:rPr>
          <w:lang w:eastAsia="en-AU"/>
        </w:rPr>
        <w:t xml:space="preserve"> a </w:t>
      </w:r>
      <w:r w:rsidR="00BF2828">
        <w:rPr>
          <w:lang w:eastAsia="en-AU"/>
        </w:rPr>
        <w:t>new</w:t>
      </w:r>
      <w:r w:rsidRPr="00307F7D">
        <w:rPr>
          <w:lang w:eastAsia="en-AU"/>
        </w:rPr>
        <w:t xml:space="preserve"> department </w:t>
      </w:r>
      <w:r>
        <w:rPr>
          <w:lang w:eastAsia="en-AU"/>
        </w:rPr>
        <w:t xml:space="preserve">DoID </w:t>
      </w:r>
      <w:r w:rsidRPr="00307F7D">
        <w:rPr>
          <w:lang w:eastAsia="en-AU"/>
        </w:rPr>
        <w:t>is currently establishing processes, personnel and</w:t>
      </w:r>
      <w:r>
        <w:rPr>
          <w:lang w:eastAsia="en-AU"/>
        </w:rPr>
        <w:t xml:space="preserve"> their </w:t>
      </w:r>
      <w:r w:rsidRPr="00307F7D">
        <w:rPr>
          <w:lang w:eastAsia="en-AU"/>
        </w:rPr>
        <w:t xml:space="preserve">mandate. </w:t>
      </w:r>
    </w:p>
    <w:p w14:paraId="4F60539F" w14:textId="689AAEC3" w:rsidR="00C62DBD" w:rsidRDefault="00820F08" w:rsidP="00344ED1">
      <w:pPr>
        <w:jc w:val="both"/>
        <w:rPr>
          <w:lang w:eastAsia="en-AU"/>
        </w:rPr>
      </w:pPr>
      <w:r w:rsidRPr="00546E20">
        <w:rPr>
          <w:lang w:eastAsia="en-AU"/>
        </w:rPr>
        <w:t xml:space="preserve">Australia’s Aid Investment Plan </w:t>
      </w:r>
      <w:r w:rsidR="00A9102A">
        <w:rPr>
          <w:lang w:eastAsia="en-AU"/>
        </w:rPr>
        <w:t xml:space="preserve">(AIP) </w:t>
      </w:r>
      <w:r w:rsidRPr="00546E20">
        <w:rPr>
          <w:lang w:eastAsia="en-AU"/>
        </w:rPr>
        <w:t xml:space="preserve">2015-16 to 2018-19 and the Australia Nauru Aid Partnership Arrangement </w:t>
      </w:r>
      <w:r w:rsidR="00A9102A">
        <w:rPr>
          <w:lang w:eastAsia="en-AU"/>
        </w:rPr>
        <w:t xml:space="preserve">(APA) </w:t>
      </w:r>
      <w:r w:rsidRPr="00546E20">
        <w:rPr>
          <w:lang w:eastAsia="en-AU"/>
        </w:rPr>
        <w:t>aim to assis</w:t>
      </w:r>
      <w:r w:rsidR="006677B6">
        <w:rPr>
          <w:lang w:eastAsia="en-AU"/>
        </w:rPr>
        <w:t>t the GoN</w:t>
      </w:r>
      <w:r w:rsidRPr="00546E20">
        <w:rPr>
          <w:lang w:eastAsia="en-AU"/>
        </w:rPr>
        <w:t xml:space="preserve"> in nation building infrastructure through the construction and maintenance of economic, health and education infrastructure to support human development and foster commerce and trade.</w:t>
      </w:r>
      <w:r>
        <w:rPr>
          <w:lang w:eastAsia="en-AU"/>
        </w:rPr>
        <w:t xml:space="preserve"> </w:t>
      </w:r>
      <w:r w:rsidR="00C62DBD">
        <w:rPr>
          <w:lang w:eastAsia="en-AU"/>
        </w:rPr>
        <w:t xml:space="preserve">Between 2013 </w:t>
      </w:r>
      <w:r w:rsidR="006C5F4C">
        <w:rPr>
          <w:lang w:eastAsia="en-AU"/>
        </w:rPr>
        <w:t xml:space="preserve">and </w:t>
      </w:r>
      <w:r w:rsidR="00C62DBD">
        <w:rPr>
          <w:lang w:eastAsia="en-AU"/>
        </w:rPr>
        <w:t xml:space="preserve">18, Australia’s ODA to Nauru </w:t>
      </w:r>
      <w:r w:rsidR="00C62DBD" w:rsidRPr="007943D8">
        <w:rPr>
          <w:lang w:eastAsia="en-AU"/>
        </w:rPr>
        <w:t>for infrastructure totall</w:t>
      </w:r>
      <w:r w:rsidR="00C62DBD">
        <w:rPr>
          <w:lang w:eastAsia="en-AU"/>
        </w:rPr>
        <w:t>ed</w:t>
      </w:r>
      <w:r w:rsidR="00C62DBD" w:rsidRPr="007943D8">
        <w:rPr>
          <w:lang w:eastAsia="en-AU"/>
        </w:rPr>
        <w:t xml:space="preserve"> </w:t>
      </w:r>
      <w:r w:rsidR="00C62DBD" w:rsidRPr="000F6093">
        <w:rPr>
          <w:lang w:eastAsia="en-AU"/>
        </w:rPr>
        <w:t>$43.8 million</w:t>
      </w:r>
      <w:r w:rsidR="00C62DBD" w:rsidRPr="007943D8">
        <w:rPr>
          <w:lang w:eastAsia="en-AU"/>
        </w:rPr>
        <w:t xml:space="preserve">, </w:t>
      </w:r>
      <w:r w:rsidR="00C62DBD">
        <w:rPr>
          <w:lang w:eastAsia="en-AU"/>
        </w:rPr>
        <w:t>ranging from</w:t>
      </w:r>
      <w:r w:rsidR="00C62DBD" w:rsidRPr="007943D8">
        <w:rPr>
          <w:lang w:eastAsia="en-AU"/>
        </w:rPr>
        <w:t xml:space="preserve"> between $7</w:t>
      </w:r>
      <w:r w:rsidR="00C62DBD">
        <w:rPr>
          <w:lang w:eastAsia="en-AU"/>
        </w:rPr>
        <w:t xml:space="preserve"> </w:t>
      </w:r>
      <w:r w:rsidR="00C62DBD" w:rsidRPr="007943D8">
        <w:rPr>
          <w:lang w:eastAsia="en-AU"/>
        </w:rPr>
        <w:t>-</w:t>
      </w:r>
      <w:r w:rsidR="00C62DBD">
        <w:rPr>
          <w:lang w:eastAsia="en-AU"/>
        </w:rPr>
        <w:t xml:space="preserve"> 10</w:t>
      </w:r>
      <w:r w:rsidR="00C62DBD" w:rsidRPr="007943D8">
        <w:rPr>
          <w:lang w:eastAsia="en-AU"/>
        </w:rPr>
        <w:t>.</w:t>
      </w:r>
      <w:r w:rsidR="00C62DBD">
        <w:rPr>
          <w:lang w:eastAsia="en-AU"/>
        </w:rPr>
        <w:t>5</w:t>
      </w:r>
      <w:r w:rsidR="00C62DBD" w:rsidRPr="007943D8">
        <w:rPr>
          <w:lang w:eastAsia="en-AU"/>
        </w:rPr>
        <w:t xml:space="preserve"> million per financial year. DFAT </w:t>
      </w:r>
      <w:r w:rsidR="006C5F4C" w:rsidRPr="007943D8">
        <w:rPr>
          <w:lang w:eastAsia="en-AU"/>
        </w:rPr>
        <w:t>ha</w:t>
      </w:r>
      <w:r w:rsidR="006C5F4C">
        <w:rPr>
          <w:lang w:eastAsia="en-AU"/>
        </w:rPr>
        <w:t>s</w:t>
      </w:r>
      <w:r w:rsidR="006C5F4C" w:rsidRPr="007943D8">
        <w:rPr>
          <w:lang w:eastAsia="en-AU"/>
        </w:rPr>
        <w:t xml:space="preserve"> </w:t>
      </w:r>
      <w:r w:rsidR="00C62DBD" w:rsidRPr="007943D8">
        <w:rPr>
          <w:lang w:eastAsia="en-AU"/>
        </w:rPr>
        <w:t>committed a further $</w:t>
      </w:r>
      <w:r w:rsidR="00C62DBD">
        <w:rPr>
          <w:lang w:eastAsia="en-AU"/>
        </w:rPr>
        <w:t>12</w:t>
      </w:r>
      <w:r w:rsidR="00C62DBD" w:rsidRPr="007943D8">
        <w:rPr>
          <w:lang w:eastAsia="en-AU"/>
        </w:rPr>
        <w:t xml:space="preserve"> million </w:t>
      </w:r>
      <w:r w:rsidR="00C62DBD">
        <w:rPr>
          <w:lang w:eastAsia="en-AU"/>
        </w:rPr>
        <w:t xml:space="preserve">for the </w:t>
      </w:r>
      <w:r w:rsidR="00C62DBD" w:rsidRPr="007943D8">
        <w:rPr>
          <w:lang w:eastAsia="en-AU"/>
        </w:rPr>
        <w:t xml:space="preserve">2018-19 and 2019-20 </w:t>
      </w:r>
      <w:r w:rsidR="00C62DBD">
        <w:rPr>
          <w:lang w:eastAsia="en-AU"/>
        </w:rPr>
        <w:t xml:space="preserve">financial years </w:t>
      </w:r>
      <w:r w:rsidR="00C62DBD" w:rsidRPr="007943D8">
        <w:rPr>
          <w:lang w:eastAsia="en-AU"/>
        </w:rPr>
        <w:t xml:space="preserve">for the redevelopment of Nauru’s </w:t>
      </w:r>
      <w:r w:rsidR="006C5F4C" w:rsidRPr="007943D8">
        <w:rPr>
          <w:lang w:eastAsia="en-AU"/>
        </w:rPr>
        <w:t>seaport</w:t>
      </w:r>
      <w:r w:rsidR="00C62DBD">
        <w:rPr>
          <w:lang w:eastAsia="en-AU"/>
        </w:rPr>
        <w:t xml:space="preserve">. </w:t>
      </w:r>
      <w:r w:rsidR="00487E3B">
        <w:rPr>
          <w:lang w:eastAsia="en-AU"/>
        </w:rPr>
        <w:t xml:space="preserve">DFAT has allocated a </w:t>
      </w:r>
      <w:r w:rsidR="00C62DBD">
        <w:rPr>
          <w:lang w:eastAsia="en-AU"/>
        </w:rPr>
        <w:t xml:space="preserve">further indicative amount of </w:t>
      </w:r>
      <w:r w:rsidR="00C62DBD" w:rsidRPr="0048312D">
        <w:rPr>
          <w:lang w:eastAsia="en-AU"/>
        </w:rPr>
        <w:t>$300,000 per year</w:t>
      </w:r>
      <w:r w:rsidR="00C62DBD">
        <w:rPr>
          <w:lang w:eastAsia="en-AU"/>
        </w:rPr>
        <w:t xml:space="preserve"> to the </w:t>
      </w:r>
      <w:r w:rsidR="00C62DBD" w:rsidRPr="007943D8">
        <w:rPr>
          <w:lang w:eastAsia="en-AU"/>
        </w:rPr>
        <w:t>continuation of the NUC CEO.</w:t>
      </w:r>
      <w:r w:rsidR="00C62DBD">
        <w:rPr>
          <w:lang w:eastAsia="en-AU"/>
        </w:rPr>
        <w:t xml:space="preserve"> No additional major infrastructure investments are expected for the duration of the </w:t>
      </w:r>
      <w:r w:rsidR="006C5F4C">
        <w:rPr>
          <w:lang w:eastAsia="en-AU"/>
        </w:rPr>
        <w:t>seaport</w:t>
      </w:r>
      <w:r w:rsidR="00C62DBD">
        <w:rPr>
          <w:lang w:eastAsia="en-AU"/>
        </w:rPr>
        <w:t xml:space="preserve"> construction.</w:t>
      </w:r>
    </w:p>
    <w:p w14:paraId="3D74CEC2" w14:textId="25347C01" w:rsidR="00820F08" w:rsidRDefault="004658EF" w:rsidP="00344ED1">
      <w:pPr>
        <w:jc w:val="both"/>
        <w:rPr>
          <w:lang w:eastAsia="en-AU"/>
        </w:rPr>
      </w:pPr>
      <w:r>
        <w:rPr>
          <w:lang w:eastAsia="en-AU"/>
        </w:rPr>
        <w:t xml:space="preserve">Other active </w:t>
      </w:r>
      <w:r w:rsidR="0090513C">
        <w:rPr>
          <w:lang w:eastAsia="en-AU"/>
        </w:rPr>
        <w:t xml:space="preserve">development partners </w:t>
      </w:r>
      <w:r>
        <w:rPr>
          <w:lang w:eastAsia="en-AU"/>
        </w:rPr>
        <w:t>in Nauru include the Asian Development Bank (ADB</w:t>
      </w:r>
      <w:r w:rsidR="003A4796">
        <w:rPr>
          <w:lang w:eastAsia="en-AU"/>
        </w:rPr>
        <w:t>)</w:t>
      </w:r>
      <w:r>
        <w:rPr>
          <w:lang w:eastAsia="en-AU"/>
        </w:rPr>
        <w:t xml:space="preserve">, who </w:t>
      </w:r>
      <w:r w:rsidR="006C5F4C">
        <w:rPr>
          <w:lang w:eastAsia="en-AU"/>
        </w:rPr>
        <w:t xml:space="preserve">is </w:t>
      </w:r>
      <w:r>
        <w:rPr>
          <w:lang w:eastAsia="en-AU"/>
        </w:rPr>
        <w:t xml:space="preserve">investing approximately USD 43.8 million between 2017-19 on </w:t>
      </w:r>
      <w:r w:rsidR="0094593B">
        <w:rPr>
          <w:lang w:eastAsia="en-AU"/>
        </w:rPr>
        <w:t xml:space="preserve">infrastructure including </w:t>
      </w:r>
      <w:r>
        <w:rPr>
          <w:lang w:eastAsia="en-AU"/>
        </w:rPr>
        <w:t xml:space="preserve">the </w:t>
      </w:r>
      <w:r w:rsidR="006C5F4C">
        <w:rPr>
          <w:lang w:eastAsia="en-AU"/>
        </w:rPr>
        <w:t>seaport</w:t>
      </w:r>
      <w:r>
        <w:rPr>
          <w:lang w:eastAsia="en-AU"/>
        </w:rPr>
        <w:t>, subregional undersea internet cable, solar power and urban development</w:t>
      </w:r>
      <w:r>
        <w:rPr>
          <w:rStyle w:val="FootnoteReference"/>
          <w:lang w:eastAsia="en-AU"/>
        </w:rPr>
        <w:footnoteReference w:id="2"/>
      </w:r>
      <w:r>
        <w:rPr>
          <w:lang w:eastAsia="en-AU"/>
        </w:rPr>
        <w:t xml:space="preserve">. </w:t>
      </w:r>
      <w:r w:rsidR="003C0DEF">
        <w:rPr>
          <w:lang w:eastAsia="en-AU"/>
        </w:rPr>
        <w:t xml:space="preserve">The European Union </w:t>
      </w:r>
      <w:r w:rsidR="00BC67AC">
        <w:rPr>
          <w:lang w:eastAsia="en-AU"/>
        </w:rPr>
        <w:t xml:space="preserve">funded </w:t>
      </w:r>
      <w:r w:rsidR="00D20D39" w:rsidRPr="00D20D39">
        <w:rPr>
          <w:lang w:eastAsia="en-AU"/>
        </w:rPr>
        <w:t>€</w:t>
      </w:r>
      <w:r w:rsidR="00D20D39">
        <w:rPr>
          <w:lang w:eastAsia="en-AU"/>
        </w:rPr>
        <w:t xml:space="preserve"> 2.7 million </w:t>
      </w:r>
      <w:r w:rsidR="00862C27">
        <w:rPr>
          <w:lang w:eastAsia="en-AU"/>
        </w:rPr>
        <w:t xml:space="preserve">for </w:t>
      </w:r>
      <w:r w:rsidR="003C0DEF">
        <w:rPr>
          <w:lang w:eastAsia="en-AU"/>
        </w:rPr>
        <w:t>solar power</w:t>
      </w:r>
      <w:r w:rsidR="00D20D39">
        <w:rPr>
          <w:lang w:eastAsia="en-AU"/>
        </w:rPr>
        <w:t xml:space="preserve"> </w:t>
      </w:r>
      <w:r w:rsidR="005711F5">
        <w:rPr>
          <w:lang w:eastAsia="en-AU"/>
        </w:rPr>
        <w:t xml:space="preserve">and technical assistance </w:t>
      </w:r>
      <w:r w:rsidR="005711F5" w:rsidRPr="00D20D39">
        <w:rPr>
          <w:lang w:eastAsia="en-AU"/>
        </w:rPr>
        <w:t>projects</w:t>
      </w:r>
      <w:r w:rsidR="00246F0D">
        <w:rPr>
          <w:rStyle w:val="FootnoteReference"/>
          <w:rFonts w:ascii="Arial" w:hAnsi="Arial" w:cs="Arial"/>
          <w:color w:val="545454"/>
          <w:shd w:val="clear" w:color="auto" w:fill="FFFFFF"/>
        </w:rPr>
        <w:footnoteReference w:id="3"/>
      </w:r>
      <w:r w:rsidR="003C0DEF">
        <w:rPr>
          <w:lang w:eastAsia="en-AU"/>
        </w:rPr>
        <w:t>.</w:t>
      </w:r>
      <w:r w:rsidR="00D20D39">
        <w:rPr>
          <w:lang w:eastAsia="en-AU"/>
        </w:rPr>
        <w:t xml:space="preserve"> The Government of Taiwan are active in Nauru</w:t>
      </w:r>
      <w:r w:rsidR="008A561D">
        <w:rPr>
          <w:lang w:eastAsia="en-AU"/>
        </w:rPr>
        <w:t xml:space="preserve"> </w:t>
      </w:r>
      <w:r w:rsidR="00D20D39">
        <w:rPr>
          <w:lang w:eastAsia="en-AU"/>
        </w:rPr>
        <w:t xml:space="preserve">but are not involved in the delivery of infrastructure. </w:t>
      </w:r>
      <w:r w:rsidR="00EF48A4">
        <w:rPr>
          <w:lang w:eastAsia="en-AU"/>
        </w:rPr>
        <w:t>New Zealand’s Ministry of Foreign Affairs and Trade (</w:t>
      </w:r>
      <w:r w:rsidR="003B417D">
        <w:rPr>
          <w:lang w:eastAsia="en-AU"/>
        </w:rPr>
        <w:t>NZ</w:t>
      </w:r>
      <w:r w:rsidR="00EF48A4">
        <w:rPr>
          <w:lang w:eastAsia="en-AU"/>
        </w:rPr>
        <w:t>MFAT)</w:t>
      </w:r>
      <w:r w:rsidR="00BA5C5A">
        <w:rPr>
          <w:lang w:eastAsia="en-AU"/>
        </w:rPr>
        <w:t xml:space="preserve"> do not routinely invest in infrastructure, but on an exceptional basis diverted funding to solar power. Nauru recently re-joined as a member of the World Bank in 2016</w:t>
      </w:r>
      <w:r w:rsidR="006C5F4C">
        <w:rPr>
          <w:lang w:eastAsia="en-AU"/>
        </w:rPr>
        <w:t>,</w:t>
      </w:r>
      <w:r w:rsidR="00BA5C5A">
        <w:rPr>
          <w:lang w:eastAsia="en-AU"/>
        </w:rPr>
        <w:t xml:space="preserve"> </w:t>
      </w:r>
      <w:r w:rsidR="008405DD">
        <w:rPr>
          <w:lang w:eastAsia="en-AU"/>
        </w:rPr>
        <w:t>indicating a potential increase in World Bank investments</w:t>
      </w:r>
      <w:r w:rsidR="00BA5C5A">
        <w:rPr>
          <w:lang w:eastAsia="en-AU"/>
        </w:rPr>
        <w:t xml:space="preserve">. The Green Climate Fund </w:t>
      </w:r>
      <w:r w:rsidR="00FA0CE1">
        <w:rPr>
          <w:lang w:eastAsia="en-AU"/>
        </w:rPr>
        <w:t xml:space="preserve">(GCF) </w:t>
      </w:r>
      <w:r w:rsidR="00BA5C5A">
        <w:rPr>
          <w:lang w:eastAsia="en-AU"/>
        </w:rPr>
        <w:t xml:space="preserve">have supported Nauru’s </w:t>
      </w:r>
      <w:r w:rsidR="006C5F4C">
        <w:rPr>
          <w:lang w:eastAsia="en-AU"/>
        </w:rPr>
        <w:t>seaport</w:t>
      </w:r>
      <w:r w:rsidR="00BA5C5A">
        <w:rPr>
          <w:lang w:eastAsia="en-AU"/>
        </w:rPr>
        <w:t xml:space="preserve"> </w:t>
      </w:r>
      <w:r w:rsidR="00861862">
        <w:rPr>
          <w:lang w:eastAsia="en-AU"/>
        </w:rPr>
        <w:t xml:space="preserve">(USD </w:t>
      </w:r>
      <w:r w:rsidR="00861862" w:rsidRPr="009F27AA">
        <w:rPr>
          <w:szCs w:val="20"/>
        </w:rPr>
        <w:t>26.91</w:t>
      </w:r>
      <w:r w:rsidR="00861862">
        <w:rPr>
          <w:szCs w:val="20"/>
        </w:rPr>
        <w:t xml:space="preserve"> million)</w:t>
      </w:r>
      <w:r w:rsidR="00BA5C5A">
        <w:rPr>
          <w:lang w:eastAsia="en-AU"/>
        </w:rPr>
        <w:t xml:space="preserve"> and ADB may seek </w:t>
      </w:r>
      <w:r w:rsidR="007607AF">
        <w:rPr>
          <w:lang w:eastAsia="en-AU"/>
        </w:rPr>
        <w:t xml:space="preserve">GCF </w:t>
      </w:r>
      <w:r w:rsidR="00BA5C5A">
        <w:rPr>
          <w:lang w:eastAsia="en-AU"/>
        </w:rPr>
        <w:t xml:space="preserve">co-financing for </w:t>
      </w:r>
      <w:r w:rsidR="00431080">
        <w:rPr>
          <w:lang w:eastAsia="en-AU"/>
        </w:rPr>
        <w:t xml:space="preserve">an </w:t>
      </w:r>
      <w:r w:rsidR="00F5521C">
        <w:rPr>
          <w:lang w:eastAsia="en-AU"/>
        </w:rPr>
        <w:t xml:space="preserve">upcoming </w:t>
      </w:r>
      <w:r w:rsidR="00BA5C5A">
        <w:rPr>
          <w:lang w:eastAsia="en-AU"/>
        </w:rPr>
        <w:t>solar</w:t>
      </w:r>
      <w:r w:rsidR="00F5521C">
        <w:rPr>
          <w:lang w:eastAsia="en-AU"/>
        </w:rPr>
        <w:t xml:space="preserve"> project</w:t>
      </w:r>
      <w:r w:rsidR="00B52ABE">
        <w:rPr>
          <w:lang w:eastAsia="en-AU"/>
        </w:rPr>
        <w:t xml:space="preserve">, pending </w:t>
      </w:r>
      <w:r w:rsidR="00FD3B31">
        <w:rPr>
          <w:lang w:eastAsia="en-AU"/>
        </w:rPr>
        <w:t xml:space="preserve">securing </w:t>
      </w:r>
      <w:r w:rsidR="00F5521C">
        <w:rPr>
          <w:lang w:eastAsia="en-AU"/>
        </w:rPr>
        <w:t>additional co-financing</w:t>
      </w:r>
      <w:r w:rsidR="00BA5C5A">
        <w:rPr>
          <w:lang w:eastAsia="en-AU"/>
        </w:rPr>
        <w:t>.</w:t>
      </w:r>
      <w:r w:rsidR="00D652B9">
        <w:rPr>
          <w:lang w:eastAsia="en-AU"/>
        </w:rPr>
        <w:t xml:space="preserve"> </w:t>
      </w:r>
    </w:p>
    <w:p w14:paraId="452CB3B4" w14:textId="25D8C92C" w:rsidR="003B417D" w:rsidRPr="00EE487B" w:rsidRDefault="003B417D" w:rsidP="00344ED1">
      <w:pPr>
        <w:jc w:val="both"/>
        <w:rPr>
          <w:lang w:eastAsia="en-AU"/>
        </w:rPr>
      </w:pPr>
      <w:r>
        <w:rPr>
          <w:lang w:eastAsia="en-AU"/>
        </w:rPr>
        <w:t xml:space="preserve">The Pacific Regional Infrastructure Facility (PRIF) established in 2008 by ADB, DFAT, NZMFAT and </w:t>
      </w:r>
      <w:r w:rsidR="0066353A">
        <w:rPr>
          <w:lang w:eastAsia="en-AU"/>
        </w:rPr>
        <w:t xml:space="preserve">the </w:t>
      </w:r>
      <w:r>
        <w:rPr>
          <w:lang w:eastAsia="en-AU"/>
        </w:rPr>
        <w:t xml:space="preserve">World Bank Group to facilitate collaboration between development partners and recipients of development assistance for infrastructure in the Pacific region. </w:t>
      </w:r>
      <w:r w:rsidRPr="003B417D">
        <w:rPr>
          <w:lang w:eastAsia="en-AU"/>
        </w:rPr>
        <w:t>The European Commission (EC)</w:t>
      </w:r>
      <w:r w:rsidR="001F2331">
        <w:rPr>
          <w:lang w:eastAsia="en-AU"/>
        </w:rPr>
        <w:t xml:space="preserve">, </w:t>
      </w:r>
      <w:r w:rsidRPr="003B417D">
        <w:rPr>
          <w:lang w:eastAsia="en-AU"/>
        </w:rPr>
        <w:t xml:space="preserve">European Investment Bank (EIB) and Japan International Cooperation Agency (JICA) </w:t>
      </w:r>
      <w:r w:rsidR="00BC0F03">
        <w:rPr>
          <w:lang w:eastAsia="en-AU"/>
        </w:rPr>
        <w:t>have subsequently become members</w:t>
      </w:r>
      <w:r w:rsidRPr="003B417D">
        <w:rPr>
          <w:lang w:eastAsia="en-AU"/>
        </w:rPr>
        <w:t>.</w:t>
      </w:r>
      <w:r w:rsidR="00F77420">
        <w:rPr>
          <w:lang w:eastAsia="en-AU"/>
        </w:rPr>
        <w:t xml:space="preserve"> </w:t>
      </w:r>
      <w:r w:rsidR="008C4D8C">
        <w:rPr>
          <w:lang w:eastAsia="en-AU"/>
        </w:rPr>
        <w:t xml:space="preserve">The Pacific Infrastructure Advisory </w:t>
      </w:r>
      <w:r w:rsidR="003D39B3">
        <w:rPr>
          <w:lang w:eastAsia="en-AU"/>
        </w:rPr>
        <w:t>Centre</w:t>
      </w:r>
      <w:r w:rsidR="008C4D8C">
        <w:rPr>
          <w:lang w:eastAsia="en-AU"/>
        </w:rPr>
        <w:t xml:space="preserve"> (PIAC) was absorbed into PRIF in 2013.</w:t>
      </w:r>
    </w:p>
    <w:p w14:paraId="5EF6E851" w14:textId="77777777" w:rsidR="00CF3D8B" w:rsidRDefault="00CF3D8B" w:rsidP="00CF3D8B">
      <w:pPr>
        <w:pStyle w:val="Heading2"/>
        <w:ind w:left="576"/>
      </w:pPr>
      <w:bookmarkStart w:id="7" w:name="_Toc518640208"/>
      <w:r>
        <w:lastRenderedPageBreak/>
        <w:t>Overview of DFAT Nauru’s Infrastructure Investments</w:t>
      </w:r>
      <w:bookmarkEnd w:id="7"/>
    </w:p>
    <w:p w14:paraId="413B42CB" w14:textId="77777777" w:rsidR="008A32B3" w:rsidRDefault="00927BE3" w:rsidP="00F40D46">
      <w:pPr>
        <w:jc w:val="both"/>
        <w:rPr>
          <w:lang w:eastAsia="en-AU"/>
        </w:rPr>
      </w:pPr>
      <w:r>
        <w:rPr>
          <w:lang w:eastAsia="en-AU"/>
        </w:rPr>
        <w:t xml:space="preserve">This review covers </w:t>
      </w:r>
      <w:r w:rsidR="00F80764">
        <w:rPr>
          <w:lang w:eastAsia="en-AU"/>
        </w:rPr>
        <w:t xml:space="preserve">DFAT’s </w:t>
      </w:r>
      <w:r>
        <w:rPr>
          <w:lang w:eastAsia="en-AU"/>
        </w:rPr>
        <w:t>infrastructure investments since 2014</w:t>
      </w:r>
      <w:r w:rsidR="00EE535F">
        <w:rPr>
          <w:lang w:eastAsia="en-AU"/>
        </w:rPr>
        <w:t>, following on from the most recent independent review</w:t>
      </w:r>
      <w:r>
        <w:rPr>
          <w:lang w:eastAsia="en-AU"/>
        </w:rPr>
        <w:t>.</w:t>
      </w:r>
      <w:r w:rsidR="002501A7">
        <w:rPr>
          <w:lang w:eastAsia="en-AU"/>
        </w:rPr>
        <w:t xml:space="preserve"> </w:t>
      </w:r>
      <w:r w:rsidR="008A32B3">
        <w:rPr>
          <w:lang w:eastAsia="en-AU"/>
        </w:rPr>
        <w:t>DFAT’s infrastructure investments in Nauru consist of a composite of different projects, rather than an approach to strengthen GoN’s overall infrastructure sector. As such, the assessment in this review is based on the sectors and individual projects selected, rather than an overarching infrastructure strategy.</w:t>
      </w:r>
    </w:p>
    <w:p w14:paraId="197E37A5" w14:textId="76795AC3" w:rsidR="00F45242" w:rsidRDefault="002501A7" w:rsidP="00952E8C">
      <w:pPr>
        <w:jc w:val="both"/>
        <w:rPr>
          <w:lang w:eastAsia="en-AU"/>
        </w:rPr>
      </w:pPr>
      <w:r>
        <w:rPr>
          <w:lang w:eastAsia="en-AU"/>
        </w:rPr>
        <w:t>During the re</w:t>
      </w:r>
      <w:r w:rsidR="0008031A">
        <w:rPr>
          <w:lang w:eastAsia="en-AU"/>
        </w:rPr>
        <w:t>view period, DFAT has supported</w:t>
      </w:r>
      <w:r>
        <w:rPr>
          <w:lang w:eastAsia="en-AU"/>
        </w:rPr>
        <w:t xml:space="preserve"> </w:t>
      </w:r>
      <w:r w:rsidR="0008031A">
        <w:rPr>
          <w:lang w:eastAsia="en-AU"/>
        </w:rPr>
        <w:t>GoN</w:t>
      </w:r>
      <w:r>
        <w:rPr>
          <w:lang w:eastAsia="en-AU"/>
        </w:rPr>
        <w:t xml:space="preserve"> to provide essential infrastructure and services, such as power and water, and to help the Government reform its utilities sector through </w:t>
      </w:r>
      <w:r>
        <w:t>technical support to the Nauru Utilities Corporation (NUC). DFAT has also helped procure t</w:t>
      </w:r>
      <w:r w:rsidRPr="00B73F3B">
        <w:t>wo new 2.8MW diesel generators</w:t>
      </w:r>
      <w:r>
        <w:t xml:space="preserve"> in collaboration with ADB and the EU. DFAT has </w:t>
      </w:r>
      <w:r w:rsidRPr="00B73F3B">
        <w:t>contribut</w:t>
      </w:r>
      <w:r>
        <w:t>ed</w:t>
      </w:r>
      <w:r w:rsidRPr="00B73F3B">
        <w:t xml:space="preserve"> to education </w:t>
      </w:r>
      <w:r>
        <w:t>infrastructure through the c</w:t>
      </w:r>
      <w:r w:rsidRPr="00B73F3B">
        <w:t xml:space="preserve">onstruction </w:t>
      </w:r>
      <w:r>
        <w:t>of the Nauru</w:t>
      </w:r>
      <w:r w:rsidRPr="00B73F3B">
        <w:t xml:space="preserve"> Learning Village</w:t>
      </w:r>
      <w:r>
        <w:t xml:space="preserve">, the Technical and Vocational Education and Training (TVET) centre (phase 2) and University of the South Pacific (USP) campus (phase 3). </w:t>
      </w:r>
      <w:r w:rsidR="00324CFA">
        <w:t>Further</w:t>
      </w:r>
      <w:r w:rsidR="00487E3B">
        <w:t>,</w:t>
      </w:r>
      <w:r w:rsidR="00324CFA">
        <w:t xml:space="preserve"> </w:t>
      </w:r>
      <w:r>
        <w:t xml:space="preserve">DFAT has supported a </w:t>
      </w:r>
      <w:r w:rsidR="00411CD0">
        <w:t>h</w:t>
      </w:r>
      <w:r>
        <w:t xml:space="preserve">ousehold </w:t>
      </w:r>
      <w:r w:rsidR="00411CD0">
        <w:t>w</w:t>
      </w:r>
      <w:r>
        <w:t xml:space="preserve">ater </w:t>
      </w:r>
      <w:r w:rsidR="00411CD0">
        <w:t>t</w:t>
      </w:r>
      <w:r>
        <w:t xml:space="preserve">anks </w:t>
      </w:r>
      <w:r w:rsidR="00411CD0">
        <w:t>p</w:t>
      </w:r>
      <w:r>
        <w:t>roject, a sports complex and has provided funding contributions to the ADB for the sea port redevelopment and institutional reform projects. Health infrastructure has included the redevelopment of the hospital (stages 1 and 2), wellness clinics, a review of the hospital masterplan and design of nurses</w:t>
      </w:r>
      <w:r w:rsidR="00046CE0">
        <w:t>’</w:t>
      </w:r>
      <w:r>
        <w:t xml:space="preserve"> quarters. </w:t>
      </w:r>
      <w:r w:rsidR="00A67701">
        <w:t>Figure 1</w:t>
      </w:r>
      <w:r w:rsidR="00266A33" w:rsidRPr="00BF6FD6">
        <w:t xml:space="preserve"> </w:t>
      </w:r>
      <w:r w:rsidR="00107706">
        <w:t xml:space="preserve">below </w:t>
      </w:r>
      <w:r w:rsidR="00266A33" w:rsidRPr="00BF6FD6">
        <w:t>summarises DFAT’s i</w:t>
      </w:r>
      <w:r w:rsidR="00266A33">
        <w:t xml:space="preserve">nfrastructure expenditure in Nauru </w:t>
      </w:r>
      <w:r w:rsidR="00BB2B0C">
        <w:t>by financial year since 2013-14</w:t>
      </w:r>
      <w:r w:rsidR="00D17923">
        <w:t xml:space="preserve">, </w:t>
      </w:r>
      <w:r w:rsidR="00487E3B">
        <w:t>and</w:t>
      </w:r>
      <w:r w:rsidR="007A490F">
        <w:t xml:space="preserve"> shows the shift in funding </w:t>
      </w:r>
      <w:r w:rsidR="009B6D0C">
        <w:t xml:space="preserve">between </w:t>
      </w:r>
      <w:r w:rsidR="007A490F">
        <w:t>sector</w:t>
      </w:r>
      <w:r w:rsidR="009B6D0C">
        <w:t>s</w:t>
      </w:r>
      <w:r w:rsidR="007A490F">
        <w:t xml:space="preserve"> over the period</w:t>
      </w:r>
      <w:r w:rsidR="00266A33">
        <w:t>.</w:t>
      </w:r>
      <w:r w:rsidR="00B00F5F">
        <w:t xml:space="preserve"> </w:t>
      </w:r>
    </w:p>
    <w:p w14:paraId="1A297CE0" w14:textId="77777777" w:rsidR="00BC14DC" w:rsidRDefault="00BC14DC" w:rsidP="00952E8C">
      <w:pPr>
        <w:jc w:val="both"/>
      </w:pPr>
      <w:r>
        <w:rPr>
          <w:noProof/>
          <w:lang w:eastAsia="en-AU"/>
        </w:rPr>
        <w:drawing>
          <wp:inline distT="0" distB="0" distL="0" distR="0" wp14:anchorId="317D860F" wp14:editId="378CAAAB">
            <wp:extent cx="6177915" cy="3229232"/>
            <wp:effectExtent l="0" t="0" r="13335" b="9525"/>
            <wp:docPr id="20" name="Chart 20">
              <a:extLst xmlns:a="http://schemas.openxmlformats.org/drawingml/2006/main">
                <a:ext uri="{FF2B5EF4-FFF2-40B4-BE49-F238E27FC236}">
                  <a16:creationId xmlns:a16="http://schemas.microsoft.com/office/drawing/2014/main" id="{F3595F10-180A-4FD5-B17F-490A83DDF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A85F3D" w14:textId="77777777" w:rsidR="005F1103" w:rsidRPr="00AC3387" w:rsidRDefault="00981EA4" w:rsidP="00981EA4">
      <w:pPr>
        <w:pStyle w:val="Caption"/>
        <w:jc w:val="center"/>
        <w:rPr>
          <w:i/>
          <w:sz w:val="18"/>
        </w:rPr>
      </w:pPr>
      <w:bookmarkStart w:id="8" w:name="_Toc518640260"/>
      <w:r w:rsidRPr="00AC3387">
        <w:rPr>
          <w:i/>
          <w:sz w:val="18"/>
        </w:rPr>
        <w:t xml:space="preserve">Figure </w:t>
      </w:r>
      <w:r w:rsidRPr="00AC3387">
        <w:rPr>
          <w:i/>
          <w:sz w:val="18"/>
        </w:rPr>
        <w:fldChar w:fldCharType="begin"/>
      </w:r>
      <w:r w:rsidRPr="00AC3387">
        <w:rPr>
          <w:i/>
          <w:sz w:val="18"/>
        </w:rPr>
        <w:instrText xml:space="preserve"> SEQ Figure \* ARABIC </w:instrText>
      </w:r>
      <w:r w:rsidRPr="00AC3387">
        <w:rPr>
          <w:i/>
          <w:sz w:val="18"/>
        </w:rPr>
        <w:fldChar w:fldCharType="separate"/>
      </w:r>
      <w:r w:rsidR="00404CD4">
        <w:rPr>
          <w:i/>
          <w:noProof/>
          <w:sz w:val="18"/>
        </w:rPr>
        <w:t>1</w:t>
      </w:r>
      <w:r w:rsidRPr="00AC3387">
        <w:rPr>
          <w:i/>
          <w:sz w:val="18"/>
        </w:rPr>
        <w:fldChar w:fldCharType="end"/>
      </w:r>
      <w:r w:rsidRPr="00AC3387">
        <w:rPr>
          <w:i/>
          <w:sz w:val="18"/>
        </w:rPr>
        <w:t xml:space="preserve"> </w:t>
      </w:r>
      <w:r w:rsidR="00C22D0E">
        <w:rPr>
          <w:i/>
        </w:rPr>
        <w:t>–</w:t>
      </w:r>
      <w:r w:rsidR="00C22D0E" w:rsidRPr="0098036F">
        <w:rPr>
          <w:i/>
        </w:rPr>
        <w:t xml:space="preserve"> </w:t>
      </w:r>
      <w:r w:rsidRPr="00AC3387">
        <w:rPr>
          <w:i/>
          <w:sz w:val="18"/>
        </w:rPr>
        <w:t>DFAT Nauru's Infrastructure Expenditure by Financial Year</w:t>
      </w:r>
      <w:bookmarkEnd w:id="8"/>
      <w:r w:rsidRPr="00AC3387">
        <w:rPr>
          <w:i/>
          <w:sz w:val="18"/>
        </w:rPr>
        <w:t xml:space="preserve"> </w:t>
      </w:r>
    </w:p>
    <w:p w14:paraId="0A5A740A" w14:textId="77777777" w:rsidR="00F40D46" w:rsidRDefault="00F40D46" w:rsidP="00A80D65">
      <w:pPr>
        <w:rPr>
          <w:lang w:eastAsia="en-AU"/>
        </w:rPr>
      </w:pPr>
      <w:r>
        <w:rPr>
          <w:lang w:eastAsia="en-AU"/>
        </w:rPr>
        <w:fldChar w:fldCharType="begin"/>
      </w:r>
      <w:r>
        <w:rPr>
          <w:lang w:eastAsia="en-AU"/>
        </w:rPr>
        <w:instrText xml:space="preserve"> REF _Ref515566341 \h </w:instrText>
      </w:r>
      <w:r w:rsidR="00A80D65">
        <w:rPr>
          <w:lang w:eastAsia="en-AU"/>
        </w:rPr>
        <w:instrText xml:space="preserve"> \* MERGEFORMAT </w:instrText>
      </w:r>
      <w:r>
        <w:rPr>
          <w:lang w:eastAsia="en-AU"/>
        </w:rPr>
      </w:r>
      <w:r>
        <w:rPr>
          <w:lang w:eastAsia="en-AU"/>
        </w:rPr>
        <w:fldChar w:fldCharType="separate"/>
      </w:r>
      <w:r w:rsidR="00404CD4" w:rsidRPr="00404CD4">
        <w:rPr>
          <w:lang w:eastAsia="en-AU"/>
        </w:rPr>
        <w:t>Table 2</w:t>
      </w:r>
      <w:r>
        <w:rPr>
          <w:lang w:eastAsia="en-AU"/>
        </w:rPr>
        <w:fldChar w:fldCharType="end"/>
      </w:r>
      <w:r>
        <w:rPr>
          <w:lang w:eastAsia="en-AU"/>
        </w:rPr>
        <w:t xml:space="preserve"> outlines DFAT’s expenditure on each project between FY 2013/14 to FY 2017/18 in millions of dollars (AUD). DFAT’s investments since 2014 by financing arrangement are:</w:t>
      </w:r>
    </w:p>
    <w:p w14:paraId="4B22650B" w14:textId="77777777" w:rsidR="00F40D46" w:rsidRDefault="00F40D46" w:rsidP="00F40D46">
      <w:pPr>
        <w:numPr>
          <w:ilvl w:val="0"/>
          <w:numId w:val="24"/>
        </w:numPr>
        <w:spacing w:before="160" w:after="160"/>
        <w:ind w:left="714" w:hanging="357"/>
        <w:rPr>
          <w:lang w:eastAsia="en-AU"/>
        </w:rPr>
      </w:pPr>
      <w:r w:rsidRPr="00DC7275">
        <w:rPr>
          <w:b/>
          <w:lang w:eastAsia="en-AU"/>
        </w:rPr>
        <w:t>Co-financed</w:t>
      </w:r>
      <w:r>
        <w:rPr>
          <w:lang w:eastAsia="en-AU"/>
        </w:rPr>
        <w:t xml:space="preserve"> - Nauru Electricity Supply and Sustainability Project (ADB and EU), Port redevelopment and Port Institutional Strengthening (ADB, GoN and GCF)</w:t>
      </w:r>
    </w:p>
    <w:p w14:paraId="018B46CB" w14:textId="4270B2B6" w:rsidR="00F40D46" w:rsidRDefault="00F40D46" w:rsidP="00F40D46">
      <w:pPr>
        <w:numPr>
          <w:ilvl w:val="0"/>
          <w:numId w:val="24"/>
        </w:numPr>
        <w:spacing w:before="160" w:after="160"/>
        <w:ind w:left="714" w:hanging="357"/>
        <w:rPr>
          <w:lang w:eastAsia="en-AU"/>
        </w:rPr>
      </w:pPr>
      <w:r w:rsidRPr="00DC7275">
        <w:rPr>
          <w:b/>
          <w:lang w:eastAsia="en-AU"/>
        </w:rPr>
        <w:t>DFAT Implemented</w:t>
      </w:r>
      <w:r>
        <w:rPr>
          <w:lang w:eastAsia="en-AU"/>
        </w:rPr>
        <w:t xml:space="preserve"> - NUC CEO (through PACTAM)</w:t>
      </w:r>
      <w:r w:rsidR="003D39B3">
        <w:rPr>
          <w:lang w:eastAsia="en-AU"/>
        </w:rPr>
        <w:t>, RON Hospital - stage 1 and 2</w:t>
      </w:r>
    </w:p>
    <w:p w14:paraId="57278D85" w14:textId="2F60F021" w:rsidR="00F40D46" w:rsidRDefault="00F40D46" w:rsidP="00F40D46">
      <w:pPr>
        <w:numPr>
          <w:ilvl w:val="0"/>
          <w:numId w:val="24"/>
        </w:numPr>
        <w:spacing w:before="160" w:after="160"/>
        <w:ind w:left="714" w:hanging="357"/>
        <w:rPr>
          <w:lang w:eastAsia="en-AU"/>
        </w:rPr>
      </w:pPr>
      <w:r w:rsidRPr="00DC7275">
        <w:rPr>
          <w:b/>
          <w:lang w:eastAsia="en-AU"/>
        </w:rPr>
        <w:t>Financed through GoN systems</w:t>
      </w:r>
      <w:r>
        <w:rPr>
          <w:lang w:eastAsia="en-AU"/>
        </w:rPr>
        <w:t xml:space="preserve"> - TVET </w:t>
      </w:r>
      <w:r w:rsidR="003D39B3">
        <w:rPr>
          <w:lang w:eastAsia="en-AU"/>
        </w:rPr>
        <w:t>Centre</w:t>
      </w:r>
      <w:r>
        <w:rPr>
          <w:lang w:eastAsia="en-AU"/>
        </w:rPr>
        <w:t xml:space="preserve">, USP Learning </w:t>
      </w:r>
      <w:r w:rsidR="003D39B3">
        <w:rPr>
          <w:lang w:eastAsia="en-AU"/>
        </w:rPr>
        <w:t>Centre</w:t>
      </w:r>
      <w:r>
        <w:rPr>
          <w:lang w:eastAsia="en-AU"/>
        </w:rPr>
        <w:t>, Wellness clinics, Household water tanks, Sports complex.</w:t>
      </w:r>
    </w:p>
    <w:p w14:paraId="236D14DD" w14:textId="77777777" w:rsidR="00CE3C83" w:rsidRDefault="00F002F2" w:rsidP="00A67701">
      <w:pPr>
        <w:rPr>
          <w:lang w:eastAsia="en-AU"/>
        </w:rPr>
      </w:pPr>
      <w:r>
        <w:rPr>
          <w:lang w:eastAsia="en-AU"/>
        </w:rPr>
        <w:t>DFAT’s infrastructure investments since 2014 by implementation phase are</w:t>
      </w:r>
      <w:r w:rsidR="00800640">
        <w:rPr>
          <w:lang w:eastAsia="en-AU"/>
        </w:rPr>
        <w:t xml:space="preserve"> as outlined in </w:t>
      </w:r>
      <w:r w:rsidR="00800640">
        <w:rPr>
          <w:lang w:eastAsia="en-AU"/>
        </w:rPr>
        <w:fldChar w:fldCharType="begin"/>
      </w:r>
      <w:r w:rsidR="00800640">
        <w:rPr>
          <w:lang w:eastAsia="en-AU"/>
        </w:rPr>
        <w:instrText xml:space="preserve"> REF _Ref515566341 \h </w:instrText>
      </w:r>
      <w:r w:rsidR="00800640">
        <w:rPr>
          <w:lang w:eastAsia="en-AU"/>
        </w:rPr>
      </w:r>
      <w:r w:rsidR="00800640">
        <w:rPr>
          <w:lang w:eastAsia="en-AU"/>
        </w:rPr>
        <w:fldChar w:fldCharType="separate"/>
      </w:r>
      <w:r w:rsidR="00404CD4" w:rsidRPr="00C45163">
        <w:rPr>
          <w:i/>
        </w:rPr>
        <w:t xml:space="preserve">Table </w:t>
      </w:r>
      <w:r w:rsidR="00404CD4">
        <w:rPr>
          <w:i/>
          <w:noProof/>
        </w:rPr>
        <w:t>2</w:t>
      </w:r>
      <w:r w:rsidR="00800640">
        <w:rPr>
          <w:lang w:eastAsia="en-AU"/>
        </w:rPr>
        <w:fldChar w:fldCharType="end"/>
      </w:r>
      <w:r w:rsidR="00800640">
        <w:rPr>
          <w:lang w:eastAsia="en-AU"/>
        </w:rPr>
        <w:t xml:space="preserve"> below.</w:t>
      </w:r>
    </w:p>
    <w:tbl>
      <w:tblPr>
        <w:tblW w:w="964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429"/>
        <w:gridCol w:w="3386"/>
        <w:gridCol w:w="1723"/>
        <w:gridCol w:w="2096"/>
        <w:gridCol w:w="1012"/>
      </w:tblGrid>
      <w:tr w:rsidR="004A5590" w:rsidRPr="002E5862" w14:paraId="0DBE1C2C" w14:textId="77777777" w:rsidTr="00DA6C2E">
        <w:trPr>
          <w:trHeight w:val="194"/>
        </w:trPr>
        <w:tc>
          <w:tcPr>
            <w:tcW w:w="1429" w:type="dxa"/>
            <w:tcBorders>
              <w:bottom w:val="single" w:sz="4" w:space="0" w:color="E36C0A" w:themeColor="accent6" w:themeShade="BF"/>
            </w:tcBorders>
            <w:shd w:val="clear" w:color="auto" w:fill="FABF8F" w:themeFill="accent6" w:themeFillTint="99"/>
            <w:vAlign w:val="center"/>
          </w:tcPr>
          <w:p w14:paraId="2AC636A8" w14:textId="77777777" w:rsidR="004A5590" w:rsidRPr="002E5862" w:rsidRDefault="004A5590" w:rsidP="004700C0">
            <w:pPr>
              <w:pStyle w:val="Tablebullet"/>
              <w:numPr>
                <w:ilvl w:val="0"/>
                <w:numId w:val="0"/>
              </w:numPr>
              <w:spacing w:before="80" w:after="80"/>
              <w:rPr>
                <w:rFonts w:ascii="Arial Narrow" w:eastAsia="Times New Roman" w:hAnsi="Arial Narrow" w:cs="Calibri"/>
                <w:b/>
                <w:bCs/>
                <w:color w:val="000000"/>
                <w:szCs w:val="20"/>
              </w:rPr>
            </w:pPr>
            <w:bookmarkStart w:id="9" w:name="_Toc506468346"/>
            <w:r>
              <w:rPr>
                <w:rFonts w:ascii="Arial Narrow" w:eastAsia="Times New Roman" w:hAnsi="Arial Narrow" w:cs="Calibri"/>
                <w:b/>
                <w:bCs/>
                <w:color w:val="000000"/>
                <w:szCs w:val="20"/>
              </w:rPr>
              <w:lastRenderedPageBreak/>
              <w:t>Implementation Phase</w:t>
            </w:r>
          </w:p>
        </w:tc>
        <w:tc>
          <w:tcPr>
            <w:tcW w:w="3386" w:type="dxa"/>
            <w:tcBorders>
              <w:bottom w:val="single" w:sz="4" w:space="0" w:color="E36C0A" w:themeColor="accent6" w:themeShade="BF"/>
            </w:tcBorders>
            <w:shd w:val="clear" w:color="auto" w:fill="FABF8F" w:themeFill="accent6" w:themeFillTint="99"/>
            <w:noWrap/>
            <w:vAlign w:val="center"/>
            <w:hideMark/>
          </w:tcPr>
          <w:p w14:paraId="112B92BE" w14:textId="77777777" w:rsidR="004A5590" w:rsidRPr="002E5862" w:rsidRDefault="004A5590" w:rsidP="004700C0">
            <w:pPr>
              <w:pStyle w:val="Tablebullet"/>
              <w:numPr>
                <w:ilvl w:val="0"/>
                <w:numId w:val="0"/>
              </w:numPr>
              <w:spacing w:before="80" w:after="80"/>
              <w:rPr>
                <w:rFonts w:ascii="Arial Narrow" w:eastAsia="Times New Roman" w:hAnsi="Arial Narrow" w:cs="Calibri"/>
                <w:b/>
                <w:bCs/>
                <w:color w:val="000000"/>
                <w:szCs w:val="20"/>
              </w:rPr>
            </w:pPr>
            <w:bookmarkStart w:id="10" w:name="_Hlk515613876"/>
            <w:r w:rsidRPr="002E5862">
              <w:rPr>
                <w:rFonts w:ascii="Arial Narrow" w:eastAsia="Times New Roman" w:hAnsi="Arial Narrow" w:cs="Calibri"/>
                <w:b/>
                <w:bCs/>
                <w:color w:val="000000"/>
                <w:szCs w:val="20"/>
              </w:rPr>
              <w:t>Project</w:t>
            </w:r>
            <w:r w:rsidR="00405B80">
              <w:rPr>
                <w:rFonts w:ascii="Arial Narrow" w:eastAsia="Times New Roman" w:hAnsi="Arial Narrow" w:cs="Calibri"/>
                <w:b/>
                <w:bCs/>
                <w:color w:val="000000"/>
                <w:szCs w:val="20"/>
              </w:rPr>
              <w:t xml:space="preserve"> Name</w:t>
            </w:r>
            <w:r w:rsidR="000D32FC">
              <w:rPr>
                <w:rFonts w:ascii="Arial Narrow" w:eastAsia="Times New Roman" w:hAnsi="Arial Narrow" w:cs="Calibri"/>
                <w:b/>
                <w:bCs/>
                <w:color w:val="000000"/>
                <w:szCs w:val="20"/>
              </w:rPr>
              <w:br/>
            </w:r>
          </w:p>
        </w:tc>
        <w:tc>
          <w:tcPr>
            <w:tcW w:w="1723" w:type="dxa"/>
            <w:tcBorders>
              <w:bottom w:val="single" w:sz="4" w:space="0" w:color="E36C0A" w:themeColor="accent6" w:themeShade="BF"/>
            </w:tcBorders>
            <w:shd w:val="clear" w:color="auto" w:fill="FABF8F" w:themeFill="accent6" w:themeFillTint="99"/>
            <w:noWrap/>
            <w:vAlign w:val="center"/>
            <w:hideMark/>
          </w:tcPr>
          <w:p w14:paraId="4FA92FFB" w14:textId="77777777" w:rsidR="004A5590" w:rsidRPr="002E5862" w:rsidRDefault="004A5590" w:rsidP="00DA6C2E">
            <w:pPr>
              <w:spacing w:before="80" w:after="80" w:line="240" w:lineRule="auto"/>
              <w:jc w:val="center"/>
              <w:rPr>
                <w:rFonts w:ascii="Arial Narrow" w:eastAsia="Times New Roman" w:hAnsi="Arial Narrow" w:cs="Calibri"/>
                <w:b/>
                <w:bCs/>
                <w:color w:val="000000"/>
                <w:sz w:val="20"/>
                <w:szCs w:val="20"/>
                <w:lang w:eastAsia="en-AU"/>
              </w:rPr>
            </w:pPr>
            <w:r w:rsidRPr="002E5862">
              <w:rPr>
                <w:rFonts w:ascii="Arial Narrow" w:eastAsia="Times New Roman" w:hAnsi="Arial Narrow" w:cs="Calibri"/>
                <w:b/>
                <w:bCs/>
                <w:color w:val="000000"/>
                <w:sz w:val="20"/>
                <w:szCs w:val="20"/>
                <w:lang w:eastAsia="en-AU"/>
              </w:rPr>
              <w:t xml:space="preserve">DFAT Contribution </w:t>
            </w:r>
            <w:r>
              <w:rPr>
                <w:rFonts w:ascii="Arial Narrow" w:eastAsia="Times New Roman" w:hAnsi="Arial Narrow" w:cs="Calibri"/>
                <w:b/>
                <w:bCs/>
                <w:color w:val="000000"/>
                <w:sz w:val="20"/>
                <w:szCs w:val="20"/>
                <w:lang w:eastAsia="en-AU"/>
              </w:rPr>
              <w:br/>
            </w:r>
            <w:r w:rsidRPr="002E5862">
              <w:rPr>
                <w:rFonts w:ascii="Arial Narrow" w:eastAsia="Times New Roman" w:hAnsi="Arial Narrow" w:cs="Calibri"/>
                <w:bCs/>
                <w:color w:val="000000"/>
                <w:sz w:val="20"/>
                <w:szCs w:val="20"/>
                <w:lang w:eastAsia="en-AU"/>
              </w:rPr>
              <w:t>(AUD million)</w:t>
            </w:r>
          </w:p>
        </w:tc>
        <w:tc>
          <w:tcPr>
            <w:tcW w:w="2096" w:type="dxa"/>
            <w:tcBorders>
              <w:bottom w:val="single" w:sz="4" w:space="0" w:color="E36C0A" w:themeColor="accent6" w:themeShade="BF"/>
            </w:tcBorders>
            <w:shd w:val="clear" w:color="auto" w:fill="FABF8F" w:themeFill="accent6" w:themeFillTint="99"/>
            <w:vAlign w:val="center"/>
          </w:tcPr>
          <w:p w14:paraId="28A2896D" w14:textId="77777777" w:rsidR="004A5590" w:rsidRPr="006139B9" w:rsidRDefault="004A5590" w:rsidP="00DA6C2E">
            <w:pPr>
              <w:spacing w:before="80" w:after="80" w:line="240" w:lineRule="auto"/>
              <w:jc w:val="cente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DFAT Contribution</w:t>
            </w:r>
            <w:r>
              <w:rPr>
                <w:rFonts w:ascii="Arial Narrow" w:eastAsia="Times New Roman" w:hAnsi="Arial Narrow" w:cs="Calibri"/>
                <w:b/>
                <w:bCs/>
                <w:color w:val="000000"/>
                <w:sz w:val="20"/>
                <w:szCs w:val="20"/>
                <w:lang w:eastAsia="en-AU"/>
              </w:rPr>
              <w:br/>
            </w:r>
            <w:r w:rsidRPr="007C4C2A">
              <w:rPr>
                <w:rFonts w:ascii="Arial Narrow" w:eastAsia="Times New Roman" w:hAnsi="Arial Narrow" w:cs="Calibri"/>
                <w:bCs/>
                <w:color w:val="000000"/>
                <w:sz w:val="20"/>
                <w:szCs w:val="20"/>
                <w:lang w:eastAsia="en-AU"/>
              </w:rPr>
              <w:t>(Percentage)</w:t>
            </w:r>
          </w:p>
        </w:tc>
        <w:tc>
          <w:tcPr>
            <w:tcW w:w="1012" w:type="dxa"/>
            <w:tcBorders>
              <w:bottom w:val="single" w:sz="4" w:space="0" w:color="E36C0A" w:themeColor="accent6" w:themeShade="BF"/>
            </w:tcBorders>
            <w:shd w:val="clear" w:color="auto" w:fill="FABF8F" w:themeFill="accent6" w:themeFillTint="99"/>
          </w:tcPr>
          <w:p w14:paraId="7E7EDAE2" w14:textId="77777777" w:rsidR="004A5590" w:rsidRDefault="005F1737" w:rsidP="004700C0">
            <w:pPr>
              <w:spacing w:before="80" w:after="80" w:line="240" w:lineRule="auto"/>
              <w:jc w:val="cente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 xml:space="preserve">Project </w:t>
            </w:r>
            <w:r w:rsidR="00CE7F05">
              <w:rPr>
                <w:rFonts w:ascii="Arial Narrow" w:eastAsia="Times New Roman" w:hAnsi="Arial Narrow" w:cs="Calibri"/>
                <w:b/>
                <w:bCs/>
                <w:color w:val="000000"/>
                <w:sz w:val="20"/>
                <w:szCs w:val="20"/>
                <w:lang w:eastAsia="en-AU"/>
              </w:rPr>
              <w:t xml:space="preserve">Total </w:t>
            </w:r>
          </w:p>
          <w:p w14:paraId="63A00A75" w14:textId="77777777" w:rsidR="004700C0" w:rsidRDefault="004700C0" w:rsidP="004700C0">
            <w:pPr>
              <w:spacing w:before="80" w:after="80" w:line="240" w:lineRule="auto"/>
              <w:jc w:val="cente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(AUD)</w:t>
            </w:r>
          </w:p>
        </w:tc>
      </w:tr>
      <w:tr w:rsidR="004A5590" w:rsidRPr="002E5862" w14:paraId="2C67A5F5" w14:textId="77777777" w:rsidTr="00DA6C2E">
        <w:trPr>
          <w:trHeight w:val="194"/>
        </w:trPr>
        <w:tc>
          <w:tcPr>
            <w:tcW w:w="1429" w:type="dxa"/>
            <w:vMerge w:val="restart"/>
            <w:vAlign w:val="center"/>
          </w:tcPr>
          <w:p w14:paraId="514B8C84" w14:textId="77777777" w:rsidR="004A5590" w:rsidRPr="004B293E" w:rsidRDefault="004A5590" w:rsidP="00850259">
            <w:pPr>
              <w:pStyle w:val="Tablebullet"/>
              <w:numPr>
                <w:ilvl w:val="0"/>
                <w:numId w:val="0"/>
              </w:numPr>
              <w:spacing w:before="40" w:after="40"/>
              <w:rPr>
                <w:szCs w:val="20"/>
                <w:lang w:val="en-US"/>
              </w:rPr>
            </w:pPr>
            <w:r w:rsidRPr="004B293E">
              <w:rPr>
                <w:szCs w:val="20"/>
                <w:lang w:val="en-US"/>
              </w:rPr>
              <w:t>Completed</w:t>
            </w:r>
          </w:p>
        </w:tc>
        <w:tc>
          <w:tcPr>
            <w:tcW w:w="3386" w:type="dxa"/>
            <w:tcBorders>
              <w:bottom w:val="dotted" w:sz="4" w:space="0" w:color="E36C0A" w:themeColor="accent6" w:themeShade="BF"/>
            </w:tcBorders>
            <w:shd w:val="clear" w:color="auto" w:fill="auto"/>
            <w:noWrap/>
            <w:hideMark/>
          </w:tcPr>
          <w:p w14:paraId="5A5A7732" w14:textId="775B0BF1" w:rsidR="004A5590" w:rsidRPr="002E5862" w:rsidRDefault="004A5590" w:rsidP="00850259">
            <w:pPr>
              <w:pStyle w:val="Tablebullet"/>
              <w:numPr>
                <w:ilvl w:val="0"/>
                <w:numId w:val="0"/>
              </w:numPr>
              <w:spacing w:before="40" w:after="40"/>
              <w:rPr>
                <w:szCs w:val="20"/>
                <w:lang w:val="en-US"/>
              </w:rPr>
            </w:pPr>
            <w:r w:rsidRPr="00C01F0A">
              <w:rPr>
                <w:szCs w:val="20"/>
                <w:lang w:val="en-US"/>
              </w:rPr>
              <w:t xml:space="preserve">TVET </w:t>
            </w:r>
            <w:r w:rsidR="003D39B3">
              <w:rPr>
                <w:szCs w:val="20"/>
                <w:lang w:val="en-US"/>
              </w:rPr>
              <w:t>Centre</w:t>
            </w:r>
            <w:r>
              <w:rPr>
                <w:szCs w:val="20"/>
                <w:lang w:val="en-US"/>
              </w:rPr>
              <w:t xml:space="preserve"> </w:t>
            </w:r>
            <w:r w:rsidRPr="00837E91">
              <w:rPr>
                <w:i/>
                <w:szCs w:val="20"/>
                <w:lang w:val="en-US"/>
              </w:rPr>
              <w:t xml:space="preserve">(Phase </w:t>
            </w:r>
            <w:r>
              <w:rPr>
                <w:i/>
                <w:szCs w:val="20"/>
                <w:lang w:val="en-US"/>
              </w:rPr>
              <w:t>2</w:t>
            </w:r>
            <w:r w:rsidRPr="00837E91">
              <w:rPr>
                <w:i/>
                <w:szCs w:val="20"/>
                <w:lang w:val="en-US"/>
              </w:rPr>
              <w:t>)</w:t>
            </w:r>
          </w:p>
        </w:tc>
        <w:tc>
          <w:tcPr>
            <w:tcW w:w="1723" w:type="dxa"/>
            <w:tcBorders>
              <w:bottom w:val="dotted" w:sz="4" w:space="0" w:color="E36C0A" w:themeColor="accent6" w:themeShade="BF"/>
            </w:tcBorders>
            <w:shd w:val="clear" w:color="auto" w:fill="auto"/>
            <w:noWrap/>
            <w:vAlign w:val="bottom"/>
            <w:hideMark/>
          </w:tcPr>
          <w:p w14:paraId="5B9BB1CC" w14:textId="77777777" w:rsidR="004A5590" w:rsidRPr="000F6093" w:rsidRDefault="004A5590" w:rsidP="00850259">
            <w:pPr>
              <w:pStyle w:val="Tablebullet"/>
              <w:numPr>
                <w:ilvl w:val="0"/>
                <w:numId w:val="0"/>
              </w:numPr>
              <w:spacing w:before="40" w:after="40"/>
              <w:ind w:right="240"/>
              <w:jc w:val="right"/>
              <w:rPr>
                <w:szCs w:val="20"/>
                <w:lang w:val="en-US"/>
              </w:rPr>
            </w:pPr>
            <w:r w:rsidRPr="000F6093">
              <w:rPr>
                <w:szCs w:val="20"/>
                <w:lang w:val="en-US"/>
              </w:rPr>
              <w:t xml:space="preserve">5.0 </w:t>
            </w:r>
          </w:p>
        </w:tc>
        <w:tc>
          <w:tcPr>
            <w:tcW w:w="2096" w:type="dxa"/>
            <w:tcBorders>
              <w:bottom w:val="dotted" w:sz="4" w:space="0" w:color="E36C0A" w:themeColor="accent6" w:themeShade="BF"/>
            </w:tcBorders>
          </w:tcPr>
          <w:p w14:paraId="7F00C9E1" w14:textId="77777777" w:rsidR="004A5590" w:rsidRPr="000F6093" w:rsidRDefault="004A5590" w:rsidP="00850259">
            <w:pPr>
              <w:pStyle w:val="Tablebullet"/>
              <w:numPr>
                <w:ilvl w:val="0"/>
                <w:numId w:val="0"/>
              </w:numPr>
              <w:spacing w:before="40" w:after="40"/>
              <w:ind w:right="580"/>
              <w:jc w:val="right"/>
              <w:rPr>
                <w:szCs w:val="20"/>
                <w:lang w:val="en-US"/>
              </w:rPr>
            </w:pPr>
            <w:r w:rsidRPr="000F6093">
              <w:rPr>
                <w:szCs w:val="20"/>
                <w:lang w:val="en-US"/>
              </w:rPr>
              <w:t>11%</w:t>
            </w:r>
          </w:p>
        </w:tc>
        <w:tc>
          <w:tcPr>
            <w:tcW w:w="1012" w:type="dxa"/>
            <w:tcBorders>
              <w:bottom w:val="dotted" w:sz="4" w:space="0" w:color="E36C0A" w:themeColor="accent6" w:themeShade="BF"/>
            </w:tcBorders>
          </w:tcPr>
          <w:p w14:paraId="5C4DB6B8" w14:textId="77777777" w:rsidR="004A5590" w:rsidRPr="000F6093" w:rsidRDefault="004A5590" w:rsidP="00347C40">
            <w:pPr>
              <w:pStyle w:val="Tablebullet"/>
              <w:numPr>
                <w:ilvl w:val="0"/>
                <w:numId w:val="0"/>
              </w:numPr>
              <w:spacing w:before="40" w:after="40"/>
              <w:ind w:right="280"/>
              <w:jc w:val="right"/>
              <w:rPr>
                <w:szCs w:val="20"/>
                <w:lang w:val="en-US"/>
              </w:rPr>
            </w:pPr>
          </w:p>
        </w:tc>
      </w:tr>
      <w:tr w:rsidR="004A5590" w:rsidRPr="002E5862" w14:paraId="2509FB8F" w14:textId="77777777" w:rsidTr="00DA6C2E">
        <w:trPr>
          <w:trHeight w:val="194"/>
        </w:trPr>
        <w:tc>
          <w:tcPr>
            <w:tcW w:w="1429" w:type="dxa"/>
            <w:vMerge/>
            <w:vAlign w:val="center"/>
          </w:tcPr>
          <w:p w14:paraId="1F567E2C" w14:textId="77777777" w:rsidR="004A5590" w:rsidRPr="004B293E" w:rsidRDefault="004A5590" w:rsidP="0087110E">
            <w:pPr>
              <w:pStyle w:val="Tablebullet"/>
              <w:numPr>
                <w:ilvl w:val="0"/>
                <w:numId w:val="0"/>
              </w:numPr>
              <w:spacing w:before="40" w:after="40"/>
              <w:rPr>
                <w:szCs w:val="20"/>
                <w:lang w:val="en-US"/>
              </w:rPr>
            </w:pPr>
          </w:p>
        </w:tc>
        <w:tc>
          <w:tcPr>
            <w:tcW w:w="3386" w:type="dxa"/>
            <w:tcBorders>
              <w:top w:val="dotted" w:sz="4" w:space="0" w:color="E36C0A" w:themeColor="accent6" w:themeShade="BF"/>
              <w:bottom w:val="dotted" w:sz="4" w:space="0" w:color="E36C0A" w:themeColor="accent6" w:themeShade="BF"/>
            </w:tcBorders>
            <w:shd w:val="clear" w:color="auto" w:fill="auto"/>
            <w:noWrap/>
          </w:tcPr>
          <w:p w14:paraId="5433337A" w14:textId="10F06231" w:rsidR="004A5590" w:rsidRPr="00C01F0A" w:rsidRDefault="004A5590" w:rsidP="0087110E">
            <w:pPr>
              <w:pStyle w:val="Tablebullet"/>
              <w:numPr>
                <w:ilvl w:val="0"/>
                <w:numId w:val="0"/>
              </w:numPr>
              <w:spacing w:before="40" w:after="40"/>
              <w:rPr>
                <w:szCs w:val="20"/>
                <w:lang w:val="en-US"/>
              </w:rPr>
            </w:pPr>
            <w:r w:rsidRPr="00C01F0A">
              <w:rPr>
                <w:szCs w:val="20"/>
                <w:lang w:val="en-US"/>
              </w:rPr>
              <w:t xml:space="preserve">USP Learning </w:t>
            </w:r>
            <w:r w:rsidR="003D39B3">
              <w:rPr>
                <w:szCs w:val="20"/>
                <w:lang w:val="en-US"/>
              </w:rPr>
              <w:t>Centre</w:t>
            </w:r>
            <w:r>
              <w:rPr>
                <w:szCs w:val="20"/>
                <w:lang w:val="en-US"/>
              </w:rPr>
              <w:t xml:space="preserve"> </w:t>
            </w:r>
            <w:r w:rsidRPr="00837E91">
              <w:rPr>
                <w:i/>
                <w:szCs w:val="20"/>
                <w:lang w:val="en-US"/>
              </w:rPr>
              <w:t xml:space="preserve">(Phase </w:t>
            </w:r>
            <w:r>
              <w:rPr>
                <w:i/>
                <w:szCs w:val="20"/>
                <w:lang w:val="en-US"/>
              </w:rPr>
              <w:t>3</w:t>
            </w:r>
            <w:r w:rsidRPr="00837E91">
              <w:rPr>
                <w:i/>
                <w:szCs w:val="20"/>
                <w:lang w:val="en-US"/>
              </w:rPr>
              <w:t>)</w:t>
            </w:r>
          </w:p>
        </w:tc>
        <w:tc>
          <w:tcPr>
            <w:tcW w:w="1723" w:type="dxa"/>
            <w:tcBorders>
              <w:top w:val="dotted" w:sz="4" w:space="0" w:color="E36C0A" w:themeColor="accent6" w:themeShade="BF"/>
              <w:bottom w:val="dotted" w:sz="4" w:space="0" w:color="E36C0A" w:themeColor="accent6" w:themeShade="BF"/>
            </w:tcBorders>
            <w:shd w:val="clear" w:color="auto" w:fill="auto"/>
            <w:noWrap/>
            <w:vAlign w:val="bottom"/>
          </w:tcPr>
          <w:p w14:paraId="4B4AB2D3" w14:textId="77777777" w:rsidR="004A5590" w:rsidRPr="000F6093" w:rsidRDefault="004A5590" w:rsidP="0087110E">
            <w:pPr>
              <w:pStyle w:val="Tablebullet"/>
              <w:numPr>
                <w:ilvl w:val="0"/>
                <w:numId w:val="0"/>
              </w:numPr>
              <w:spacing w:before="40" w:after="40"/>
              <w:ind w:right="240"/>
              <w:jc w:val="right"/>
              <w:rPr>
                <w:szCs w:val="20"/>
                <w:lang w:val="en-US"/>
              </w:rPr>
            </w:pPr>
            <w:r w:rsidRPr="000F6093">
              <w:rPr>
                <w:szCs w:val="20"/>
                <w:lang w:val="en-US"/>
              </w:rPr>
              <w:t xml:space="preserve">2.9 </w:t>
            </w:r>
          </w:p>
        </w:tc>
        <w:tc>
          <w:tcPr>
            <w:tcW w:w="2096" w:type="dxa"/>
            <w:tcBorders>
              <w:top w:val="dotted" w:sz="4" w:space="0" w:color="E36C0A" w:themeColor="accent6" w:themeShade="BF"/>
              <w:bottom w:val="dotted" w:sz="4" w:space="0" w:color="E36C0A" w:themeColor="accent6" w:themeShade="BF"/>
            </w:tcBorders>
          </w:tcPr>
          <w:p w14:paraId="0BBB2AE3" w14:textId="77777777" w:rsidR="004A5590" w:rsidRPr="000F6093" w:rsidRDefault="004A5590" w:rsidP="0087110E">
            <w:pPr>
              <w:pStyle w:val="Tablebullet"/>
              <w:numPr>
                <w:ilvl w:val="0"/>
                <w:numId w:val="0"/>
              </w:numPr>
              <w:spacing w:before="40" w:after="40"/>
              <w:ind w:right="580"/>
              <w:jc w:val="right"/>
              <w:rPr>
                <w:szCs w:val="20"/>
                <w:lang w:val="en-US"/>
              </w:rPr>
            </w:pPr>
            <w:r w:rsidRPr="000F6093">
              <w:rPr>
                <w:szCs w:val="20"/>
                <w:lang w:val="en-US"/>
              </w:rPr>
              <w:t>7%</w:t>
            </w:r>
          </w:p>
        </w:tc>
        <w:tc>
          <w:tcPr>
            <w:tcW w:w="1012" w:type="dxa"/>
            <w:tcBorders>
              <w:top w:val="dotted" w:sz="4" w:space="0" w:color="E36C0A" w:themeColor="accent6" w:themeShade="BF"/>
              <w:bottom w:val="dotted" w:sz="4" w:space="0" w:color="E36C0A" w:themeColor="accent6" w:themeShade="BF"/>
            </w:tcBorders>
          </w:tcPr>
          <w:p w14:paraId="2668FEF6" w14:textId="77777777" w:rsidR="004A5590" w:rsidRPr="000F6093" w:rsidRDefault="004700C0" w:rsidP="00347C40">
            <w:pPr>
              <w:pStyle w:val="Tablebullet"/>
              <w:numPr>
                <w:ilvl w:val="0"/>
                <w:numId w:val="0"/>
              </w:numPr>
              <w:spacing w:before="40" w:after="40"/>
              <w:ind w:right="280"/>
              <w:jc w:val="right"/>
              <w:rPr>
                <w:szCs w:val="20"/>
                <w:lang w:val="en-US"/>
              </w:rPr>
            </w:pPr>
            <w:r w:rsidRPr="000F6093">
              <w:rPr>
                <w:szCs w:val="20"/>
                <w:lang w:val="en-US"/>
              </w:rPr>
              <w:t>6.7</w:t>
            </w:r>
          </w:p>
        </w:tc>
      </w:tr>
      <w:tr w:rsidR="004A5590" w:rsidRPr="002E5862" w14:paraId="1C484F07" w14:textId="77777777" w:rsidTr="00DA6C2E">
        <w:trPr>
          <w:trHeight w:val="194"/>
        </w:trPr>
        <w:tc>
          <w:tcPr>
            <w:tcW w:w="1429" w:type="dxa"/>
            <w:vMerge/>
            <w:vAlign w:val="center"/>
          </w:tcPr>
          <w:p w14:paraId="0B046EC6" w14:textId="77777777" w:rsidR="004A5590" w:rsidRPr="004B293E" w:rsidRDefault="004A5590" w:rsidP="0087110E">
            <w:pPr>
              <w:pStyle w:val="Tablebullet"/>
              <w:numPr>
                <w:ilvl w:val="0"/>
                <w:numId w:val="0"/>
              </w:numPr>
              <w:spacing w:before="40" w:after="40"/>
              <w:rPr>
                <w:szCs w:val="20"/>
                <w:lang w:val="en-US"/>
              </w:rPr>
            </w:pPr>
          </w:p>
        </w:tc>
        <w:tc>
          <w:tcPr>
            <w:tcW w:w="3386" w:type="dxa"/>
            <w:tcBorders>
              <w:top w:val="dotted" w:sz="4" w:space="0" w:color="E36C0A" w:themeColor="accent6" w:themeShade="BF"/>
              <w:bottom w:val="dotted" w:sz="4" w:space="0" w:color="E36C0A" w:themeColor="accent6" w:themeShade="BF"/>
            </w:tcBorders>
            <w:shd w:val="clear" w:color="auto" w:fill="auto"/>
            <w:noWrap/>
            <w:hideMark/>
          </w:tcPr>
          <w:p w14:paraId="441A62E5" w14:textId="77777777" w:rsidR="004A5590" w:rsidRPr="002E5862" w:rsidRDefault="004A5590" w:rsidP="0087110E">
            <w:pPr>
              <w:pStyle w:val="Tablebullet"/>
              <w:numPr>
                <w:ilvl w:val="0"/>
                <w:numId w:val="0"/>
              </w:numPr>
              <w:spacing w:before="40" w:after="40"/>
              <w:rPr>
                <w:szCs w:val="20"/>
                <w:lang w:val="en-US"/>
              </w:rPr>
            </w:pPr>
            <w:r w:rsidRPr="00C01F0A">
              <w:rPr>
                <w:szCs w:val="20"/>
                <w:lang w:val="en-US"/>
              </w:rPr>
              <w:t xml:space="preserve">Hospital </w:t>
            </w:r>
            <w:r w:rsidRPr="00837E91">
              <w:rPr>
                <w:i/>
                <w:szCs w:val="20"/>
                <w:lang w:val="en-US"/>
              </w:rPr>
              <w:t>(Stage 1 and 2)</w:t>
            </w:r>
          </w:p>
        </w:tc>
        <w:tc>
          <w:tcPr>
            <w:tcW w:w="1723" w:type="dxa"/>
            <w:tcBorders>
              <w:top w:val="dotted" w:sz="4" w:space="0" w:color="E36C0A" w:themeColor="accent6" w:themeShade="BF"/>
              <w:bottom w:val="dotted" w:sz="4" w:space="0" w:color="E36C0A" w:themeColor="accent6" w:themeShade="BF"/>
            </w:tcBorders>
            <w:shd w:val="clear" w:color="auto" w:fill="auto"/>
            <w:noWrap/>
            <w:vAlign w:val="bottom"/>
            <w:hideMark/>
          </w:tcPr>
          <w:p w14:paraId="4350B12D" w14:textId="77777777" w:rsidR="004A5590" w:rsidRPr="000F6093" w:rsidRDefault="004A5590" w:rsidP="0087110E">
            <w:pPr>
              <w:pStyle w:val="Tablebullet"/>
              <w:numPr>
                <w:ilvl w:val="0"/>
                <w:numId w:val="0"/>
              </w:numPr>
              <w:spacing w:before="40" w:after="40"/>
              <w:ind w:right="240"/>
              <w:jc w:val="right"/>
              <w:rPr>
                <w:szCs w:val="20"/>
                <w:lang w:val="en-US"/>
              </w:rPr>
            </w:pPr>
            <w:r w:rsidRPr="000F6093">
              <w:rPr>
                <w:szCs w:val="20"/>
                <w:lang w:val="en-US"/>
              </w:rPr>
              <w:t xml:space="preserve">11.9 </w:t>
            </w:r>
          </w:p>
        </w:tc>
        <w:tc>
          <w:tcPr>
            <w:tcW w:w="2096" w:type="dxa"/>
            <w:tcBorders>
              <w:top w:val="dotted" w:sz="4" w:space="0" w:color="E36C0A" w:themeColor="accent6" w:themeShade="BF"/>
              <w:bottom w:val="dotted" w:sz="4" w:space="0" w:color="E36C0A" w:themeColor="accent6" w:themeShade="BF"/>
            </w:tcBorders>
          </w:tcPr>
          <w:p w14:paraId="09A9D7DA" w14:textId="77777777" w:rsidR="004A5590" w:rsidRPr="000F6093" w:rsidRDefault="004A5590" w:rsidP="0087110E">
            <w:pPr>
              <w:pStyle w:val="Tablebullet"/>
              <w:numPr>
                <w:ilvl w:val="0"/>
                <w:numId w:val="0"/>
              </w:numPr>
              <w:spacing w:before="40" w:after="40"/>
              <w:ind w:right="580"/>
              <w:jc w:val="right"/>
              <w:rPr>
                <w:szCs w:val="20"/>
                <w:lang w:val="en-US"/>
              </w:rPr>
            </w:pPr>
            <w:r w:rsidRPr="000F6093">
              <w:rPr>
                <w:szCs w:val="20"/>
                <w:lang w:val="en-US"/>
              </w:rPr>
              <w:t>27%</w:t>
            </w:r>
          </w:p>
        </w:tc>
        <w:tc>
          <w:tcPr>
            <w:tcW w:w="1012" w:type="dxa"/>
            <w:tcBorders>
              <w:top w:val="dotted" w:sz="4" w:space="0" w:color="E36C0A" w:themeColor="accent6" w:themeShade="BF"/>
              <w:bottom w:val="dotted" w:sz="4" w:space="0" w:color="E36C0A" w:themeColor="accent6" w:themeShade="BF"/>
            </w:tcBorders>
          </w:tcPr>
          <w:p w14:paraId="53CA8B21" w14:textId="77777777" w:rsidR="004A5590" w:rsidRPr="000F6093" w:rsidRDefault="004700C0" w:rsidP="00347C40">
            <w:pPr>
              <w:pStyle w:val="Tablebullet"/>
              <w:numPr>
                <w:ilvl w:val="0"/>
                <w:numId w:val="0"/>
              </w:numPr>
              <w:spacing w:before="40" w:after="40"/>
              <w:ind w:right="280"/>
              <w:jc w:val="right"/>
              <w:rPr>
                <w:szCs w:val="20"/>
                <w:lang w:val="en-US"/>
              </w:rPr>
            </w:pPr>
            <w:r w:rsidRPr="000F6093">
              <w:rPr>
                <w:szCs w:val="20"/>
                <w:lang w:val="en-US"/>
              </w:rPr>
              <w:t>28.4</w:t>
            </w:r>
          </w:p>
        </w:tc>
      </w:tr>
      <w:tr w:rsidR="004A5590" w:rsidRPr="002E5862" w14:paraId="6A15DBB5" w14:textId="77777777" w:rsidTr="00DA6C2E">
        <w:trPr>
          <w:trHeight w:val="194"/>
        </w:trPr>
        <w:tc>
          <w:tcPr>
            <w:tcW w:w="1429" w:type="dxa"/>
            <w:vMerge/>
            <w:vAlign w:val="center"/>
          </w:tcPr>
          <w:p w14:paraId="1D0C7173" w14:textId="77777777" w:rsidR="004A5590" w:rsidRPr="004B293E" w:rsidRDefault="004A5590" w:rsidP="0043336B">
            <w:pPr>
              <w:pStyle w:val="Tablebullet"/>
              <w:numPr>
                <w:ilvl w:val="0"/>
                <w:numId w:val="0"/>
              </w:numPr>
              <w:spacing w:before="40" w:after="40"/>
              <w:rPr>
                <w:szCs w:val="20"/>
                <w:lang w:val="en-US"/>
              </w:rPr>
            </w:pPr>
          </w:p>
        </w:tc>
        <w:tc>
          <w:tcPr>
            <w:tcW w:w="3386" w:type="dxa"/>
            <w:tcBorders>
              <w:top w:val="dotted" w:sz="4" w:space="0" w:color="E36C0A" w:themeColor="accent6" w:themeShade="BF"/>
              <w:bottom w:val="dotted" w:sz="4" w:space="0" w:color="E36C0A" w:themeColor="accent6" w:themeShade="BF"/>
            </w:tcBorders>
            <w:shd w:val="clear" w:color="auto" w:fill="auto"/>
            <w:noWrap/>
          </w:tcPr>
          <w:p w14:paraId="0168FB35" w14:textId="77777777" w:rsidR="004A5590" w:rsidRPr="00C01F0A" w:rsidRDefault="004A5590" w:rsidP="0043336B">
            <w:pPr>
              <w:pStyle w:val="Tablebullet"/>
              <w:numPr>
                <w:ilvl w:val="0"/>
                <w:numId w:val="0"/>
              </w:numPr>
              <w:spacing w:before="40" w:after="40"/>
              <w:rPr>
                <w:szCs w:val="20"/>
                <w:lang w:val="en-US"/>
              </w:rPr>
            </w:pPr>
            <w:r w:rsidRPr="00C01F0A">
              <w:rPr>
                <w:szCs w:val="20"/>
                <w:lang w:val="en-US"/>
              </w:rPr>
              <w:t>Wellness Clinics</w:t>
            </w:r>
          </w:p>
        </w:tc>
        <w:tc>
          <w:tcPr>
            <w:tcW w:w="1723" w:type="dxa"/>
            <w:tcBorders>
              <w:top w:val="dotted" w:sz="4" w:space="0" w:color="E36C0A" w:themeColor="accent6" w:themeShade="BF"/>
              <w:bottom w:val="dotted" w:sz="4" w:space="0" w:color="E36C0A" w:themeColor="accent6" w:themeShade="BF"/>
            </w:tcBorders>
            <w:shd w:val="clear" w:color="auto" w:fill="auto"/>
            <w:noWrap/>
            <w:vAlign w:val="bottom"/>
          </w:tcPr>
          <w:p w14:paraId="3379DD19"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2.0 </w:t>
            </w:r>
          </w:p>
        </w:tc>
        <w:tc>
          <w:tcPr>
            <w:tcW w:w="2096" w:type="dxa"/>
            <w:tcBorders>
              <w:top w:val="dotted" w:sz="4" w:space="0" w:color="E36C0A" w:themeColor="accent6" w:themeShade="BF"/>
              <w:bottom w:val="dotted" w:sz="4" w:space="0" w:color="E36C0A" w:themeColor="accent6" w:themeShade="BF"/>
            </w:tcBorders>
          </w:tcPr>
          <w:p w14:paraId="6523CE70"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5%</w:t>
            </w:r>
          </w:p>
        </w:tc>
        <w:tc>
          <w:tcPr>
            <w:tcW w:w="1012" w:type="dxa"/>
            <w:tcBorders>
              <w:top w:val="dotted" w:sz="4" w:space="0" w:color="E36C0A" w:themeColor="accent6" w:themeShade="BF"/>
              <w:bottom w:val="dotted" w:sz="4" w:space="0" w:color="E36C0A" w:themeColor="accent6" w:themeShade="BF"/>
            </w:tcBorders>
          </w:tcPr>
          <w:p w14:paraId="29B39989" w14:textId="77777777" w:rsidR="004A5590" w:rsidRPr="000F6093" w:rsidRDefault="004A5590" w:rsidP="00347C40">
            <w:pPr>
              <w:pStyle w:val="Tablebullet"/>
              <w:numPr>
                <w:ilvl w:val="0"/>
                <w:numId w:val="0"/>
              </w:numPr>
              <w:spacing w:before="40" w:after="40"/>
              <w:ind w:right="280"/>
              <w:jc w:val="right"/>
              <w:rPr>
                <w:szCs w:val="20"/>
                <w:lang w:val="en-US"/>
              </w:rPr>
            </w:pPr>
          </w:p>
        </w:tc>
      </w:tr>
      <w:tr w:rsidR="004A5590" w:rsidRPr="002E5862" w14:paraId="35496608" w14:textId="77777777" w:rsidTr="00DA6C2E">
        <w:trPr>
          <w:trHeight w:val="194"/>
        </w:trPr>
        <w:tc>
          <w:tcPr>
            <w:tcW w:w="1429" w:type="dxa"/>
            <w:vMerge/>
            <w:vAlign w:val="center"/>
          </w:tcPr>
          <w:p w14:paraId="639A9EC5" w14:textId="77777777" w:rsidR="004A5590" w:rsidRPr="004B293E" w:rsidRDefault="004A5590" w:rsidP="0043336B">
            <w:pPr>
              <w:pStyle w:val="Tablebullet"/>
              <w:numPr>
                <w:ilvl w:val="0"/>
                <w:numId w:val="0"/>
              </w:numPr>
              <w:spacing w:before="40" w:after="40"/>
              <w:rPr>
                <w:szCs w:val="20"/>
                <w:lang w:val="en-US"/>
              </w:rPr>
            </w:pPr>
          </w:p>
        </w:tc>
        <w:tc>
          <w:tcPr>
            <w:tcW w:w="3386" w:type="dxa"/>
            <w:tcBorders>
              <w:top w:val="dotted" w:sz="4" w:space="0" w:color="E36C0A" w:themeColor="accent6" w:themeShade="BF"/>
              <w:bottom w:val="single" w:sz="4" w:space="0" w:color="E36C0A" w:themeColor="accent6" w:themeShade="BF"/>
            </w:tcBorders>
            <w:shd w:val="clear" w:color="auto" w:fill="auto"/>
            <w:noWrap/>
            <w:hideMark/>
          </w:tcPr>
          <w:p w14:paraId="3DC9DA9C"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Electricity Supply and Sustainability Project</w:t>
            </w:r>
          </w:p>
        </w:tc>
        <w:tc>
          <w:tcPr>
            <w:tcW w:w="1723" w:type="dxa"/>
            <w:tcBorders>
              <w:top w:val="dotted" w:sz="4" w:space="0" w:color="E36C0A" w:themeColor="accent6" w:themeShade="BF"/>
              <w:bottom w:val="single" w:sz="4" w:space="0" w:color="E36C0A" w:themeColor="accent6" w:themeShade="BF"/>
            </w:tcBorders>
            <w:shd w:val="clear" w:color="auto" w:fill="auto"/>
            <w:noWrap/>
            <w:vAlign w:val="bottom"/>
            <w:hideMark/>
          </w:tcPr>
          <w:p w14:paraId="03D473DC"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6.4 </w:t>
            </w:r>
          </w:p>
        </w:tc>
        <w:tc>
          <w:tcPr>
            <w:tcW w:w="2096" w:type="dxa"/>
            <w:tcBorders>
              <w:top w:val="dotted" w:sz="4" w:space="0" w:color="E36C0A" w:themeColor="accent6" w:themeShade="BF"/>
              <w:bottom w:val="single" w:sz="4" w:space="0" w:color="E36C0A" w:themeColor="accent6" w:themeShade="BF"/>
            </w:tcBorders>
          </w:tcPr>
          <w:p w14:paraId="086D6297"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15%</w:t>
            </w:r>
          </w:p>
        </w:tc>
        <w:tc>
          <w:tcPr>
            <w:tcW w:w="1012" w:type="dxa"/>
            <w:tcBorders>
              <w:top w:val="dotted" w:sz="4" w:space="0" w:color="E36C0A" w:themeColor="accent6" w:themeShade="BF"/>
              <w:bottom w:val="single" w:sz="4" w:space="0" w:color="E36C0A" w:themeColor="accent6" w:themeShade="BF"/>
            </w:tcBorders>
          </w:tcPr>
          <w:p w14:paraId="676C0003" w14:textId="77777777" w:rsidR="004A5590" w:rsidRPr="000F6093" w:rsidRDefault="00F14E15" w:rsidP="00347C40">
            <w:pPr>
              <w:pStyle w:val="Tablebullet"/>
              <w:numPr>
                <w:ilvl w:val="0"/>
                <w:numId w:val="0"/>
              </w:numPr>
              <w:spacing w:before="40" w:after="40"/>
              <w:ind w:right="280"/>
              <w:jc w:val="right"/>
              <w:rPr>
                <w:szCs w:val="20"/>
                <w:lang w:val="en-US"/>
              </w:rPr>
            </w:pPr>
            <w:r w:rsidRPr="000F6093">
              <w:rPr>
                <w:szCs w:val="20"/>
                <w:lang w:val="en-US"/>
              </w:rPr>
              <w:t>12.7</w:t>
            </w:r>
          </w:p>
        </w:tc>
      </w:tr>
      <w:tr w:rsidR="004A5590" w:rsidRPr="002E5862" w14:paraId="1E4A5F3C" w14:textId="77777777" w:rsidTr="00DA6C2E">
        <w:trPr>
          <w:trHeight w:val="194"/>
        </w:trPr>
        <w:tc>
          <w:tcPr>
            <w:tcW w:w="1429" w:type="dxa"/>
            <w:vMerge w:val="restart"/>
            <w:tcBorders>
              <w:top w:val="single" w:sz="4" w:space="0" w:color="E36C0A" w:themeColor="accent6" w:themeShade="BF"/>
            </w:tcBorders>
            <w:vAlign w:val="center"/>
          </w:tcPr>
          <w:p w14:paraId="5BDC0CCF" w14:textId="77777777" w:rsidR="004A5590" w:rsidRPr="004B293E" w:rsidRDefault="004A5590" w:rsidP="0043336B">
            <w:pPr>
              <w:pStyle w:val="Tablebullet"/>
              <w:spacing w:before="40" w:after="40"/>
              <w:ind w:left="0"/>
              <w:rPr>
                <w:szCs w:val="20"/>
                <w:lang w:val="en-US"/>
              </w:rPr>
            </w:pPr>
            <w:r w:rsidRPr="004B293E">
              <w:t>Ongoing / Construction</w:t>
            </w:r>
          </w:p>
        </w:tc>
        <w:tc>
          <w:tcPr>
            <w:tcW w:w="3386" w:type="dxa"/>
            <w:tcBorders>
              <w:top w:val="dotted" w:sz="4" w:space="0" w:color="E36C0A" w:themeColor="accent6" w:themeShade="BF"/>
              <w:bottom w:val="dotted" w:sz="4" w:space="0" w:color="E36C0A" w:themeColor="accent6" w:themeShade="BF"/>
            </w:tcBorders>
            <w:shd w:val="clear" w:color="auto" w:fill="auto"/>
            <w:noWrap/>
          </w:tcPr>
          <w:p w14:paraId="23E43B1D"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Household Water Tanks</w:t>
            </w:r>
          </w:p>
        </w:tc>
        <w:tc>
          <w:tcPr>
            <w:tcW w:w="1723" w:type="dxa"/>
            <w:tcBorders>
              <w:top w:val="dotted" w:sz="4" w:space="0" w:color="E36C0A" w:themeColor="accent6" w:themeShade="BF"/>
              <w:bottom w:val="dotted" w:sz="4" w:space="0" w:color="E36C0A" w:themeColor="accent6" w:themeShade="BF"/>
            </w:tcBorders>
            <w:shd w:val="clear" w:color="auto" w:fill="auto"/>
            <w:noWrap/>
            <w:vAlign w:val="bottom"/>
          </w:tcPr>
          <w:p w14:paraId="05BCA02E"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1.8 </w:t>
            </w:r>
          </w:p>
        </w:tc>
        <w:tc>
          <w:tcPr>
            <w:tcW w:w="2096" w:type="dxa"/>
            <w:tcBorders>
              <w:top w:val="dotted" w:sz="4" w:space="0" w:color="E36C0A" w:themeColor="accent6" w:themeShade="BF"/>
              <w:bottom w:val="dotted" w:sz="4" w:space="0" w:color="E36C0A" w:themeColor="accent6" w:themeShade="BF"/>
            </w:tcBorders>
          </w:tcPr>
          <w:p w14:paraId="3059B39E"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4%</w:t>
            </w:r>
          </w:p>
        </w:tc>
        <w:tc>
          <w:tcPr>
            <w:tcW w:w="1012" w:type="dxa"/>
            <w:tcBorders>
              <w:top w:val="dotted" w:sz="4" w:space="0" w:color="E36C0A" w:themeColor="accent6" w:themeShade="BF"/>
              <w:bottom w:val="dotted" w:sz="4" w:space="0" w:color="E36C0A" w:themeColor="accent6" w:themeShade="BF"/>
            </w:tcBorders>
          </w:tcPr>
          <w:p w14:paraId="7C4C82FF" w14:textId="77777777" w:rsidR="004A5590" w:rsidRPr="000F6093" w:rsidRDefault="004A5590" w:rsidP="00347C40">
            <w:pPr>
              <w:pStyle w:val="Tablebullet"/>
              <w:numPr>
                <w:ilvl w:val="0"/>
                <w:numId w:val="0"/>
              </w:numPr>
              <w:spacing w:before="40" w:after="40"/>
              <w:ind w:right="280"/>
              <w:jc w:val="right"/>
              <w:rPr>
                <w:szCs w:val="20"/>
                <w:lang w:val="en-US"/>
              </w:rPr>
            </w:pPr>
          </w:p>
        </w:tc>
      </w:tr>
      <w:tr w:rsidR="004A5590" w:rsidRPr="002E5862" w14:paraId="146D58F2" w14:textId="77777777" w:rsidTr="00DA6C2E">
        <w:trPr>
          <w:trHeight w:val="194"/>
        </w:trPr>
        <w:tc>
          <w:tcPr>
            <w:tcW w:w="1429" w:type="dxa"/>
            <w:vMerge/>
            <w:tcBorders>
              <w:bottom w:val="single" w:sz="4" w:space="0" w:color="E36C0A" w:themeColor="accent6" w:themeShade="BF"/>
            </w:tcBorders>
            <w:vAlign w:val="center"/>
          </w:tcPr>
          <w:p w14:paraId="2634382C" w14:textId="77777777" w:rsidR="004A5590" w:rsidRPr="004B293E" w:rsidRDefault="004A5590" w:rsidP="0043336B">
            <w:pPr>
              <w:pStyle w:val="Tablebullet"/>
              <w:numPr>
                <w:ilvl w:val="0"/>
                <w:numId w:val="0"/>
              </w:numPr>
              <w:spacing w:before="40" w:after="40"/>
              <w:rPr>
                <w:szCs w:val="20"/>
                <w:lang w:val="en-US"/>
              </w:rPr>
            </w:pPr>
          </w:p>
        </w:tc>
        <w:tc>
          <w:tcPr>
            <w:tcW w:w="3386" w:type="dxa"/>
            <w:tcBorders>
              <w:top w:val="dotted" w:sz="4" w:space="0" w:color="E36C0A" w:themeColor="accent6" w:themeShade="BF"/>
              <w:bottom w:val="dotted" w:sz="4" w:space="0" w:color="E36C0A" w:themeColor="accent6" w:themeShade="BF"/>
            </w:tcBorders>
            <w:shd w:val="clear" w:color="auto" w:fill="auto"/>
            <w:noWrap/>
          </w:tcPr>
          <w:p w14:paraId="3C5BAC61"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Sports Complex</w:t>
            </w:r>
          </w:p>
        </w:tc>
        <w:tc>
          <w:tcPr>
            <w:tcW w:w="1723" w:type="dxa"/>
            <w:tcBorders>
              <w:top w:val="dotted" w:sz="4" w:space="0" w:color="E36C0A" w:themeColor="accent6" w:themeShade="BF"/>
              <w:bottom w:val="dotted" w:sz="4" w:space="0" w:color="E36C0A" w:themeColor="accent6" w:themeShade="BF"/>
            </w:tcBorders>
            <w:shd w:val="clear" w:color="auto" w:fill="auto"/>
            <w:noWrap/>
            <w:vAlign w:val="bottom"/>
          </w:tcPr>
          <w:p w14:paraId="23F0C827"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3.1 </w:t>
            </w:r>
          </w:p>
        </w:tc>
        <w:tc>
          <w:tcPr>
            <w:tcW w:w="2096" w:type="dxa"/>
            <w:tcBorders>
              <w:top w:val="dotted" w:sz="4" w:space="0" w:color="E36C0A" w:themeColor="accent6" w:themeShade="BF"/>
              <w:bottom w:val="dotted" w:sz="4" w:space="0" w:color="E36C0A" w:themeColor="accent6" w:themeShade="BF"/>
            </w:tcBorders>
          </w:tcPr>
          <w:p w14:paraId="673B3B82"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7%</w:t>
            </w:r>
          </w:p>
        </w:tc>
        <w:tc>
          <w:tcPr>
            <w:tcW w:w="1012" w:type="dxa"/>
            <w:tcBorders>
              <w:top w:val="dotted" w:sz="4" w:space="0" w:color="E36C0A" w:themeColor="accent6" w:themeShade="BF"/>
              <w:bottom w:val="dotted" w:sz="4" w:space="0" w:color="E36C0A" w:themeColor="accent6" w:themeShade="BF"/>
            </w:tcBorders>
          </w:tcPr>
          <w:p w14:paraId="6666E508" w14:textId="77777777" w:rsidR="004A5590" w:rsidRPr="000F6093" w:rsidRDefault="00F14E15" w:rsidP="00347C40">
            <w:pPr>
              <w:pStyle w:val="Tablebullet"/>
              <w:numPr>
                <w:ilvl w:val="0"/>
                <w:numId w:val="0"/>
              </w:numPr>
              <w:spacing w:before="40" w:after="40"/>
              <w:ind w:right="280"/>
              <w:jc w:val="right"/>
              <w:rPr>
                <w:szCs w:val="20"/>
                <w:lang w:val="en-US"/>
              </w:rPr>
            </w:pPr>
            <w:r w:rsidRPr="000F6093">
              <w:rPr>
                <w:szCs w:val="20"/>
                <w:lang w:val="en-US"/>
              </w:rPr>
              <w:t>4.5</w:t>
            </w:r>
          </w:p>
        </w:tc>
      </w:tr>
      <w:tr w:rsidR="004A5590" w:rsidRPr="002E5862" w14:paraId="3B50B7F7" w14:textId="77777777" w:rsidTr="00DA6C2E">
        <w:trPr>
          <w:trHeight w:val="194"/>
        </w:trPr>
        <w:tc>
          <w:tcPr>
            <w:tcW w:w="1429" w:type="dxa"/>
            <w:vMerge w:val="restart"/>
            <w:tcBorders>
              <w:top w:val="single" w:sz="4" w:space="0" w:color="E36C0A" w:themeColor="accent6" w:themeShade="BF"/>
            </w:tcBorders>
            <w:vAlign w:val="center"/>
          </w:tcPr>
          <w:p w14:paraId="41FA0B1D" w14:textId="77777777" w:rsidR="004A5590" w:rsidRPr="004B293E" w:rsidRDefault="004A5590" w:rsidP="0043336B">
            <w:pPr>
              <w:pStyle w:val="Tablebullet"/>
              <w:numPr>
                <w:ilvl w:val="0"/>
                <w:numId w:val="0"/>
              </w:numPr>
              <w:spacing w:before="40" w:after="40"/>
              <w:rPr>
                <w:szCs w:val="20"/>
                <w:lang w:val="en-US"/>
              </w:rPr>
            </w:pPr>
            <w:r w:rsidRPr="004B293E">
              <w:t>Planning / Design</w:t>
            </w:r>
          </w:p>
        </w:tc>
        <w:tc>
          <w:tcPr>
            <w:tcW w:w="3386" w:type="dxa"/>
            <w:tcBorders>
              <w:bottom w:val="dotted" w:sz="4" w:space="0" w:color="E36C0A" w:themeColor="accent6" w:themeShade="BF"/>
            </w:tcBorders>
            <w:shd w:val="clear" w:color="auto" w:fill="auto"/>
            <w:noWrap/>
            <w:hideMark/>
          </w:tcPr>
          <w:p w14:paraId="30893127"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Port Redevelopment</w:t>
            </w:r>
          </w:p>
        </w:tc>
        <w:tc>
          <w:tcPr>
            <w:tcW w:w="1723" w:type="dxa"/>
            <w:tcBorders>
              <w:bottom w:val="dotted" w:sz="4" w:space="0" w:color="E36C0A" w:themeColor="accent6" w:themeShade="BF"/>
            </w:tcBorders>
            <w:shd w:val="clear" w:color="auto" w:fill="auto"/>
            <w:noWrap/>
            <w:vAlign w:val="bottom"/>
            <w:hideMark/>
          </w:tcPr>
          <w:p w14:paraId="1A2F61F0"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6.0 </w:t>
            </w:r>
          </w:p>
        </w:tc>
        <w:tc>
          <w:tcPr>
            <w:tcW w:w="2096" w:type="dxa"/>
            <w:tcBorders>
              <w:bottom w:val="dotted" w:sz="4" w:space="0" w:color="E36C0A" w:themeColor="accent6" w:themeShade="BF"/>
            </w:tcBorders>
          </w:tcPr>
          <w:p w14:paraId="26CCF394"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14%</w:t>
            </w:r>
          </w:p>
        </w:tc>
        <w:tc>
          <w:tcPr>
            <w:tcW w:w="1012" w:type="dxa"/>
            <w:tcBorders>
              <w:bottom w:val="dotted" w:sz="4" w:space="0" w:color="E36C0A" w:themeColor="accent6" w:themeShade="BF"/>
            </w:tcBorders>
          </w:tcPr>
          <w:p w14:paraId="1FA941DE" w14:textId="77777777" w:rsidR="004A5590" w:rsidRPr="000F6093" w:rsidRDefault="004700C0" w:rsidP="00347C40">
            <w:pPr>
              <w:pStyle w:val="Tablebullet"/>
              <w:numPr>
                <w:ilvl w:val="0"/>
                <w:numId w:val="0"/>
              </w:numPr>
              <w:spacing w:before="40" w:after="40"/>
              <w:ind w:right="280"/>
              <w:jc w:val="right"/>
              <w:rPr>
                <w:szCs w:val="20"/>
                <w:lang w:val="en-US"/>
              </w:rPr>
            </w:pPr>
            <w:r w:rsidRPr="000F6093">
              <w:rPr>
                <w:szCs w:val="20"/>
                <w:lang w:val="en-US"/>
              </w:rPr>
              <w:t>80</w:t>
            </w:r>
          </w:p>
        </w:tc>
      </w:tr>
      <w:tr w:rsidR="004A5590" w:rsidRPr="002E5862" w14:paraId="7A2CA031" w14:textId="77777777" w:rsidTr="00DA6C2E">
        <w:trPr>
          <w:trHeight w:val="194"/>
        </w:trPr>
        <w:tc>
          <w:tcPr>
            <w:tcW w:w="1429" w:type="dxa"/>
            <w:vMerge/>
            <w:vAlign w:val="center"/>
          </w:tcPr>
          <w:p w14:paraId="22AE622A" w14:textId="77777777" w:rsidR="004A5590" w:rsidRPr="004B293E" w:rsidRDefault="004A5590" w:rsidP="0043336B">
            <w:pPr>
              <w:pStyle w:val="Tablebullet"/>
              <w:numPr>
                <w:ilvl w:val="0"/>
                <w:numId w:val="0"/>
              </w:numPr>
              <w:spacing w:before="40" w:after="40"/>
              <w:rPr>
                <w:szCs w:val="20"/>
                <w:lang w:val="en-US"/>
              </w:rPr>
            </w:pPr>
          </w:p>
        </w:tc>
        <w:tc>
          <w:tcPr>
            <w:tcW w:w="3386" w:type="dxa"/>
            <w:tcBorders>
              <w:top w:val="dotted" w:sz="4" w:space="0" w:color="E36C0A" w:themeColor="accent6" w:themeShade="BF"/>
            </w:tcBorders>
            <w:shd w:val="clear" w:color="auto" w:fill="auto"/>
            <w:noWrap/>
            <w:hideMark/>
          </w:tcPr>
          <w:p w14:paraId="16F89A29"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Port Institutional Reform</w:t>
            </w:r>
          </w:p>
        </w:tc>
        <w:tc>
          <w:tcPr>
            <w:tcW w:w="1723" w:type="dxa"/>
            <w:tcBorders>
              <w:top w:val="dotted" w:sz="4" w:space="0" w:color="E36C0A" w:themeColor="accent6" w:themeShade="BF"/>
            </w:tcBorders>
            <w:shd w:val="clear" w:color="auto" w:fill="auto"/>
            <w:noWrap/>
            <w:vAlign w:val="bottom"/>
            <w:hideMark/>
          </w:tcPr>
          <w:p w14:paraId="5A3ED383"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3.3 </w:t>
            </w:r>
          </w:p>
        </w:tc>
        <w:tc>
          <w:tcPr>
            <w:tcW w:w="2096" w:type="dxa"/>
            <w:tcBorders>
              <w:top w:val="dotted" w:sz="4" w:space="0" w:color="E36C0A" w:themeColor="accent6" w:themeShade="BF"/>
            </w:tcBorders>
          </w:tcPr>
          <w:p w14:paraId="37452068"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8%</w:t>
            </w:r>
          </w:p>
        </w:tc>
        <w:tc>
          <w:tcPr>
            <w:tcW w:w="1012" w:type="dxa"/>
            <w:tcBorders>
              <w:top w:val="dotted" w:sz="4" w:space="0" w:color="E36C0A" w:themeColor="accent6" w:themeShade="BF"/>
            </w:tcBorders>
          </w:tcPr>
          <w:p w14:paraId="71F90B1F" w14:textId="77777777" w:rsidR="004A5590" w:rsidRPr="000F6093" w:rsidRDefault="004A5590" w:rsidP="00347C40">
            <w:pPr>
              <w:pStyle w:val="Tablebullet"/>
              <w:numPr>
                <w:ilvl w:val="0"/>
                <w:numId w:val="0"/>
              </w:numPr>
              <w:spacing w:before="40" w:after="40"/>
              <w:ind w:right="280"/>
              <w:jc w:val="right"/>
              <w:rPr>
                <w:szCs w:val="20"/>
                <w:lang w:val="en-US"/>
              </w:rPr>
            </w:pPr>
          </w:p>
        </w:tc>
      </w:tr>
      <w:tr w:rsidR="004A5590" w:rsidRPr="002E5862" w14:paraId="55715C3E" w14:textId="77777777" w:rsidTr="00DA6C2E">
        <w:trPr>
          <w:trHeight w:val="194"/>
        </w:trPr>
        <w:tc>
          <w:tcPr>
            <w:tcW w:w="1429" w:type="dxa"/>
            <w:tcBorders>
              <w:bottom w:val="single" w:sz="4" w:space="0" w:color="E36C0A" w:themeColor="accent6" w:themeShade="BF"/>
            </w:tcBorders>
            <w:vAlign w:val="center"/>
          </w:tcPr>
          <w:p w14:paraId="1D0A626D" w14:textId="77777777" w:rsidR="004A5590" w:rsidRPr="004B293E" w:rsidRDefault="004A5590" w:rsidP="0043336B">
            <w:pPr>
              <w:pStyle w:val="Tablebullet"/>
              <w:numPr>
                <w:ilvl w:val="0"/>
                <w:numId w:val="0"/>
              </w:numPr>
              <w:spacing w:before="40" w:after="40"/>
              <w:rPr>
                <w:szCs w:val="20"/>
                <w:lang w:val="en-US"/>
              </w:rPr>
            </w:pPr>
            <w:r>
              <w:t>O&amp;M</w:t>
            </w:r>
          </w:p>
        </w:tc>
        <w:tc>
          <w:tcPr>
            <w:tcW w:w="3386" w:type="dxa"/>
            <w:tcBorders>
              <w:bottom w:val="single" w:sz="4" w:space="0" w:color="E36C0A" w:themeColor="accent6" w:themeShade="BF"/>
            </w:tcBorders>
            <w:shd w:val="clear" w:color="auto" w:fill="auto"/>
            <w:noWrap/>
            <w:hideMark/>
          </w:tcPr>
          <w:p w14:paraId="326EB55B" w14:textId="77777777" w:rsidR="004A5590" w:rsidRPr="002E5862" w:rsidRDefault="004A5590" w:rsidP="0043336B">
            <w:pPr>
              <w:pStyle w:val="Tablebullet"/>
              <w:numPr>
                <w:ilvl w:val="0"/>
                <w:numId w:val="0"/>
              </w:numPr>
              <w:spacing w:before="40" w:after="40"/>
              <w:rPr>
                <w:szCs w:val="20"/>
                <w:lang w:val="en-US"/>
              </w:rPr>
            </w:pPr>
            <w:r w:rsidRPr="00C01F0A">
              <w:rPr>
                <w:szCs w:val="20"/>
                <w:lang w:val="en-US"/>
              </w:rPr>
              <w:t>TA to NUC CEO/GM</w:t>
            </w:r>
          </w:p>
        </w:tc>
        <w:tc>
          <w:tcPr>
            <w:tcW w:w="1723" w:type="dxa"/>
            <w:tcBorders>
              <w:bottom w:val="single" w:sz="4" w:space="0" w:color="E36C0A" w:themeColor="accent6" w:themeShade="BF"/>
            </w:tcBorders>
            <w:shd w:val="clear" w:color="auto" w:fill="auto"/>
            <w:noWrap/>
            <w:vAlign w:val="bottom"/>
            <w:hideMark/>
          </w:tcPr>
          <w:p w14:paraId="5C304204" w14:textId="77777777" w:rsidR="004A5590" w:rsidRPr="000F6093" w:rsidRDefault="004A5590" w:rsidP="0043336B">
            <w:pPr>
              <w:pStyle w:val="Tablebullet"/>
              <w:numPr>
                <w:ilvl w:val="0"/>
                <w:numId w:val="0"/>
              </w:numPr>
              <w:spacing w:before="40" w:after="40"/>
              <w:ind w:right="240"/>
              <w:jc w:val="right"/>
              <w:rPr>
                <w:szCs w:val="20"/>
                <w:lang w:val="en-US"/>
              </w:rPr>
            </w:pPr>
            <w:r w:rsidRPr="000F6093">
              <w:rPr>
                <w:szCs w:val="20"/>
                <w:lang w:val="en-US"/>
              </w:rPr>
              <w:t xml:space="preserve">1.1 </w:t>
            </w:r>
          </w:p>
        </w:tc>
        <w:tc>
          <w:tcPr>
            <w:tcW w:w="2096" w:type="dxa"/>
            <w:tcBorders>
              <w:bottom w:val="single" w:sz="4" w:space="0" w:color="E36C0A" w:themeColor="accent6" w:themeShade="BF"/>
            </w:tcBorders>
          </w:tcPr>
          <w:p w14:paraId="42618B1D" w14:textId="77777777" w:rsidR="004A5590" w:rsidRPr="000F6093" w:rsidRDefault="004A5590" w:rsidP="0043336B">
            <w:pPr>
              <w:pStyle w:val="Tablebullet"/>
              <w:numPr>
                <w:ilvl w:val="0"/>
                <w:numId w:val="0"/>
              </w:numPr>
              <w:spacing w:before="40" w:after="40"/>
              <w:ind w:right="580"/>
              <w:jc w:val="right"/>
              <w:rPr>
                <w:szCs w:val="20"/>
                <w:lang w:val="en-US"/>
              </w:rPr>
            </w:pPr>
            <w:r w:rsidRPr="000F6093">
              <w:rPr>
                <w:szCs w:val="20"/>
                <w:lang w:val="en-US"/>
              </w:rPr>
              <w:t>2%</w:t>
            </w:r>
          </w:p>
        </w:tc>
        <w:tc>
          <w:tcPr>
            <w:tcW w:w="1012" w:type="dxa"/>
            <w:tcBorders>
              <w:bottom w:val="single" w:sz="4" w:space="0" w:color="E36C0A" w:themeColor="accent6" w:themeShade="BF"/>
            </w:tcBorders>
          </w:tcPr>
          <w:p w14:paraId="3322B473" w14:textId="77777777" w:rsidR="004A5590" w:rsidRPr="000F6093" w:rsidRDefault="00F14E15" w:rsidP="00347C40">
            <w:pPr>
              <w:pStyle w:val="Tablebullet"/>
              <w:numPr>
                <w:ilvl w:val="0"/>
                <w:numId w:val="0"/>
              </w:numPr>
              <w:spacing w:before="40" w:after="40"/>
              <w:ind w:right="280"/>
              <w:jc w:val="right"/>
              <w:rPr>
                <w:szCs w:val="20"/>
                <w:lang w:val="en-US"/>
              </w:rPr>
            </w:pPr>
            <w:r w:rsidRPr="000F6093">
              <w:rPr>
                <w:szCs w:val="20"/>
                <w:lang w:val="en-US"/>
              </w:rPr>
              <w:t>0</w:t>
            </w:r>
          </w:p>
        </w:tc>
      </w:tr>
      <w:tr w:rsidR="004A5590" w:rsidRPr="002E5862" w14:paraId="59545C54" w14:textId="77777777" w:rsidTr="00DA6C2E">
        <w:trPr>
          <w:trHeight w:val="194"/>
        </w:trPr>
        <w:tc>
          <w:tcPr>
            <w:tcW w:w="1429" w:type="dxa"/>
            <w:shd w:val="clear" w:color="auto" w:fill="FBD4B4" w:themeFill="accent6" w:themeFillTint="66"/>
          </w:tcPr>
          <w:p w14:paraId="78ECA6C3" w14:textId="77777777" w:rsidR="004A5590" w:rsidRPr="002E5862" w:rsidRDefault="004A5590" w:rsidP="0043336B">
            <w:pPr>
              <w:pStyle w:val="Tablebullet"/>
              <w:numPr>
                <w:ilvl w:val="0"/>
                <w:numId w:val="0"/>
              </w:numPr>
              <w:spacing w:before="40" w:after="40"/>
              <w:rPr>
                <w:b/>
                <w:szCs w:val="20"/>
                <w:lang w:val="en-US"/>
              </w:rPr>
            </w:pPr>
          </w:p>
        </w:tc>
        <w:tc>
          <w:tcPr>
            <w:tcW w:w="3386" w:type="dxa"/>
            <w:shd w:val="clear" w:color="auto" w:fill="FBD4B4" w:themeFill="accent6" w:themeFillTint="66"/>
            <w:noWrap/>
            <w:vAlign w:val="bottom"/>
            <w:hideMark/>
          </w:tcPr>
          <w:p w14:paraId="29C68ACA" w14:textId="77777777" w:rsidR="004A5590" w:rsidRPr="002E5862" w:rsidRDefault="004A5590" w:rsidP="0043336B">
            <w:pPr>
              <w:pStyle w:val="Tablebullet"/>
              <w:numPr>
                <w:ilvl w:val="0"/>
                <w:numId w:val="0"/>
              </w:numPr>
              <w:spacing w:before="40" w:after="40"/>
              <w:rPr>
                <w:b/>
                <w:szCs w:val="20"/>
                <w:lang w:val="en-US"/>
              </w:rPr>
            </w:pPr>
            <w:r w:rsidRPr="002E5862">
              <w:rPr>
                <w:b/>
                <w:szCs w:val="20"/>
                <w:lang w:val="en-US"/>
              </w:rPr>
              <w:t>Total</w:t>
            </w:r>
          </w:p>
        </w:tc>
        <w:tc>
          <w:tcPr>
            <w:tcW w:w="1723" w:type="dxa"/>
            <w:shd w:val="clear" w:color="auto" w:fill="FBD4B4" w:themeFill="accent6" w:themeFillTint="66"/>
            <w:noWrap/>
            <w:vAlign w:val="bottom"/>
            <w:hideMark/>
          </w:tcPr>
          <w:p w14:paraId="40C73C47" w14:textId="77777777" w:rsidR="004A5590" w:rsidRPr="000F6093" w:rsidRDefault="004A5590" w:rsidP="0043336B">
            <w:pPr>
              <w:pStyle w:val="Tablebullet"/>
              <w:numPr>
                <w:ilvl w:val="0"/>
                <w:numId w:val="0"/>
              </w:numPr>
              <w:spacing w:before="40" w:after="40"/>
              <w:ind w:right="240"/>
              <w:jc w:val="right"/>
              <w:rPr>
                <w:b/>
                <w:szCs w:val="20"/>
                <w:lang w:val="en-US"/>
              </w:rPr>
            </w:pPr>
            <w:r w:rsidRPr="000F6093">
              <w:rPr>
                <w:b/>
                <w:szCs w:val="20"/>
                <w:lang w:val="en-US"/>
              </w:rPr>
              <w:t xml:space="preserve">43.8 </w:t>
            </w:r>
          </w:p>
        </w:tc>
        <w:tc>
          <w:tcPr>
            <w:tcW w:w="2096" w:type="dxa"/>
            <w:shd w:val="clear" w:color="auto" w:fill="FBD4B4" w:themeFill="accent6" w:themeFillTint="66"/>
          </w:tcPr>
          <w:p w14:paraId="366041EA" w14:textId="77777777" w:rsidR="004A5590" w:rsidRPr="000F6093" w:rsidRDefault="004A5590" w:rsidP="0043336B">
            <w:pPr>
              <w:pStyle w:val="Tablebullet"/>
              <w:numPr>
                <w:ilvl w:val="0"/>
                <w:numId w:val="0"/>
              </w:numPr>
              <w:spacing w:before="40" w:after="40"/>
              <w:ind w:right="580"/>
              <w:jc w:val="right"/>
              <w:rPr>
                <w:b/>
                <w:szCs w:val="20"/>
                <w:lang w:val="en-US"/>
              </w:rPr>
            </w:pPr>
            <w:r w:rsidRPr="000F6093">
              <w:rPr>
                <w:b/>
                <w:szCs w:val="20"/>
                <w:lang w:val="en-US"/>
              </w:rPr>
              <w:t>100%</w:t>
            </w:r>
          </w:p>
        </w:tc>
        <w:tc>
          <w:tcPr>
            <w:tcW w:w="1012" w:type="dxa"/>
            <w:shd w:val="clear" w:color="auto" w:fill="FBD4B4" w:themeFill="accent6" w:themeFillTint="66"/>
          </w:tcPr>
          <w:p w14:paraId="25CD8AD9" w14:textId="77777777" w:rsidR="004A5590" w:rsidRPr="000F6093" w:rsidRDefault="00F14E15" w:rsidP="00347C40">
            <w:pPr>
              <w:pStyle w:val="Tablebullet"/>
              <w:numPr>
                <w:ilvl w:val="0"/>
                <w:numId w:val="0"/>
              </w:numPr>
              <w:spacing w:before="40" w:after="40"/>
              <w:ind w:right="280"/>
              <w:jc w:val="right"/>
              <w:rPr>
                <w:b/>
                <w:szCs w:val="20"/>
                <w:lang w:val="en-US"/>
              </w:rPr>
            </w:pPr>
            <w:r w:rsidRPr="000F6093">
              <w:rPr>
                <w:b/>
                <w:szCs w:val="20"/>
                <w:lang w:val="en-US"/>
              </w:rPr>
              <w:t>TBC</w:t>
            </w:r>
          </w:p>
        </w:tc>
      </w:tr>
    </w:tbl>
    <w:p w14:paraId="1466F6E2" w14:textId="77777777" w:rsidR="00544315" w:rsidRDefault="00C45163" w:rsidP="00C45163">
      <w:pPr>
        <w:pStyle w:val="Caption"/>
        <w:spacing w:before="40"/>
        <w:jc w:val="center"/>
        <w:rPr>
          <w:i/>
        </w:rPr>
      </w:pPr>
      <w:bookmarkStart w:id="11" w:name="_Ref515566341"/>
      <w:bookmarkStart w:id="12" w:name="_Toc518640267"/>
      <w:bookmarkEnd w:id="10"/>
      <w:r w:rsidRPr="00C45163">
        <w:rPr>
          <w:i/>
        </w:rPr>
        <w:t xml:space="preserve">Table </w:t>
      </w:r>
      <w:r w:rsidR="002F0B38">
        <w:rPr>
          <w:i/>
        </w:rPr>
        <w:fldChar w:fldCharType="begin"/>
      </w:r>
      <w:r w:rsidR="002F0B38">
        <w:rPr>
          <w:i/>
        </w:rPr>
        <w:instrText xml:space="preserve"> SEQ Table \* ARABIC </w:instrText>
      </w:r>
      <w:r w:rsidR="002F0B38">
        <w:rPr>
          <w:i/>
        </w:rPr>
        <w:fldChar w:fldCharType="separate"/>
      </w:r>
      <w:r w:rsidR="00404CD4">
        <w:rPr>
          <w:i/>
          <w:noProof/>
        </w:rPr>
        <w:t>2</w:t>
      </w:r>
      <w:r w:rsidR="002F0B38">
        <w:rPr>
          <w:i/>
        </w:rPr>
        <w:fldChar w:fldCharType="end"/>
      </w:r>
      <w:bookmarkEnd w:id="11"/>
      <w:r w:rsidR="004032BE" w:rsidRPr="0098036F">
        <w:rPr>
          <w:i/>
        </w:rPr>
        <w:t xml:space="preserve"> </w:t>
      </w:r>
      <w:r w:rsidR="004032BE">
        <w:rPr>
          <w:i/>
        </w:rPr>
        <w:t>–</w:t>
      </w:r>
      <w:r w:rsidR="004032BE" w:rsidRPr="0098036F">
        <w:rPr>
          <w:i/>
        </w:rPr>
        <w:t xml:space="preserve"> </w:t>
      </w:r>
      <w:r w:rsidRPr="00C45163">
        <w:rPr>
          <w:i/>
        </w:rPr>
        <w:t>DFAT's Contributions to Infrastructure Investments in the review period</w:t>
      </w:r>
      <w:bookmarkEnd w:id="12"/>
    </w:p>
    <w:p w14:paraId="4D19F2F3" w14:textId="77777777" w:rsidR="00921C24" w:rsidRPr="00A66C68" w:rsidRDefault="00A66C68" w:rsidP="00921C24">
      <w:r>
        <w:t>DFAT Nauru’s infrastructure expenditure during</w:t>
      </w:r>
      <w:r w:rsidRPr="00A66C68">
        <w:t xml:space="preserve"> the review period by sector is as per </w:t>
      </w:r>
      <w:r w:rsidRPr="00A66C68">
        <w:fldChar w:fldCharType="begin"/>
      </w:r>
      <w:r w:rsidRPr="00A66C68">
        <w:instrText xml:space="preserve"> REF _Ref515570838 \h </w:instrText>
      </w:r>
      <w:r>
        <w:instrText xml:space="preserve"> \* MERGEFORMAT </w:instrText>
      </w:r>
      <w:r w:rsidRPr="00A66C68">
        <w:fldChar w:fldCharType="separate"/>
      </w:r>
      <w:r w:rsidR="00404CD4" w:rsidRPr="00404CD4">
        <w:rPr>
          <w:i/>
        </w:rPr>
        <w:t xml:space="preserve">Figure </w:t>
      </w:r>
      <w:r w:rsidR="00404CD4" w:rsidRPr="00404CD4">
        <w:rPr>
          <w:i/>
          <w:noProof/>
        </w:rPr>
        <w:t>2</w:t>
      </w:r>
      <w:r w:rsidRPr="00A66C68">
        <w:fldChar w:fldCharType="end"/>
      </w:r>
      <w:r w:rsidRPr="00A66C68">
        <w:t xml:space="preserve"> below.</w:t>
      </w:r>
    </w:p>
    <w:p w14:paraId="778A2C9D" w14:textId="77777777" w:rsidR="00781479" w:rsidRDefault="00781479" w:rsidP="00781479">
      <w:pPr>
        <w:keepNext/>
        <w:jc w:val="both"/>
      </w:pPr>
      <w:r>
        <w:rPr>
          <w:noProof/>
          <w:lang w:eastAsia="en-AU"/>
        </w:rPr>
        <w:drawing>
          <wp:inline distT="0" distB="0" distL="0" distR="0" wp14:anchorId="2A7C24F5" wp14:editId="4E341732">
            <wp:extent cx="6192520" cy="3947160"/>
            <wp:effectExtent l="0" t="0" r="17780" b="15240"/>
            <wp:docPr id="22" name="Chart 22">
              <a:extLst xmlns:a="http://schemas.openxmlformats.org/drawingml/2006/main">
                <a:ext uri="{FF2B5EF4-FFF2-40B4-BE49-F238E27FC236}">
                  <a16:creationId xmlns:a16="http://schemas.microsoft.com/office/drawing/2014/main" id="{9D6FA0E5-93AB-4FB5-A23C-6A1CD5773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DE8929" w14:textId="77777777" w:rsidR="00781479" w:rsidRDefault="00781479" w:rsidP="00850259">
      <w:pPr>
        <w:pStyle w:val="Caption"/>
        <w:spacing w:before="0" w:after="160"/>
        <w:jc w:val="center"/>
        <w:rPr>
          <w:i/>
          <w:sz w:val="18"/>
        </w:rPr>
      </w:pPr>
      <w:bookmarkStart w:id="13" w:name="_Ref515570838"/>
      <w:bookmarkStart w:id="14" w:name="_Toc518640261"/>
      <w:r w:rsidRPr="00B87F92">
        <w:rPr>
          <w:i/>
          <w:sz w:val="18"/>
        </w:rPr>
        <w:t xml:space="preserve">Figure </w:t>
      </w:r>
      <w:r w:rsidRPr="00B87F92">
        <w:rPr>
          <w:i/>
          <w:sz w:val="18"/>
        </w:rPr>
        <w:fldChar w:fldCharType="begin"/>
      </w:r>
      <w:r w:rsidRPr="00B87F92">
        <w:rPr>
          <w:i/>
          <w:sz w:val="18"/>
        </w:rPr>
        <w:instrText xml:space="preserve"> SEQ Figure \* ARABIC </w:instrText>
      </w:r>
      <w:r w:rsidRPr="00B87F92">
        <w:rPr>
          <w:i/>
          <w:sz w:val="18"/>
        </w:rPr>
        <w:fldChar w:fldCharType="separate"/>
      </w:r>
      <w:r w:rsidR="00404CD4">
        <w:rPr>
          <w:i/>
          <w:noProof/>
          <w:sz w:val="18"/>
        </w:rPr>
        <w:t>2</w:t>
      </w:r>
      <w:r w:rsidRPr="00B87F92">
        <w:rPr>
          <w:i/>
          <w:sz w:val="18"/>
        </w:rPr>
        <w:fldChar w:fldCharType="end"/>
      </w:r>
      <w:bookmarkEnd w:id="13"/>
      <w:r w:rsidR="00C55CD9" w:rsidRPr="0098036F">
        <w:rPr>
          <w:i/>
        </w:rPr>
        <w:t xml:space="preserve"> </w:t>
      </w:r>
      <w:r w:rsidR="00C55CD9">
        <w:rPr>
          <w:i/>
        </w:rPr>
        <w:t>–</w:t>
      </w:r>
      <w:r w:rsidR="00C55CD9" w:rsidRPr="0098036F">
        <w:rPr>
          <w:i/>
        </w:rPr>
        <w:t xml:space="preserve"> </w:t>
      </w:r>
      <w:r w:rsidRPr="00B87F92">
        <w:rPr>
          <w:i/>
          <w:sz w:val="18"/>
        </w:rPr>
        <w:t>DFAT Nauru Infrastructure Expenditure by Sector (FY 2013-14 to 2018-19)</w:t>
      </w:r>
      <w:bookmarkEnd w:id="14"/>
    </w:p>
    <w:p w14:paraId="1640A2C5" w14:textId="77777777" w:rsidR="00103E40" w:rsidRPr="007852B7" w:rsidRDefault="002C2EEB" w:rsidP="00103E40">
      <w:pPr>
        <w:pStyle w:val="Heading1"/>
      </w:pPr>
      <w:bookmarkStart w:id="15" w:name="_Toc518640209"/>
      <w:bookmarkEnd w:id="9"/>
      <w:r>
        <w:lastRenderedPageBreak/>
        <w:t>Objectives</w:t>
      </w:r>
      <w:bookmarkEnd w:id="15"/>
    </w:p>
    <w:p w14:paraId="48B10DDF" w14:textId="77777777" w:rsidR="005815F6" w:rsidRDefault="005815F6" w:rsidP="00103E40">
      <w:pPr>
        <w:pStyle w:val="Heading2"/>
        <w:ind w:left="576"/>
      </w:pPr>
      <w:bookmarkStart w:id="16" w:name="_Toc518640210"/>
      <w:r>
        <w:t>Purpose</w:t>
      </w:r>
      <w:bookmarkEnd w:id="16"/>
    </w:p>
    <w:p w14:paraId="4B6E0797" w14:textId="11E69F32" w:rsidR="00C27BF1" w:rsidRDefault="006C3FF7" w:rsidP="006C3FF7">
      <w:pPr>
        <w:jc w:val="both"/>
      </w:pPr>
      <w:r>
        <w:rPr>
          <w:lang w:eastAsia="en-AU"/>
        </w:rPr>
        <w:t xml:space="preserve">The objectives of this review were to undertake </w:t>
      </w:r>
      <w:r w:rsidRPr="00CE200E">
        <w:rPr>
          <w:lang w:eastAsia="en-AU"/>
        </w:rPr>
        <w:t xml:space="preserve">an </w:t>
      </w:r>
      <w:r>
        <w:rPr>
          <w:lang w:eastAsia="en-AU"/>
        </w:rPr>
        <w:t>in-house end-of-</w:t>
      </w:r>
      <w:r w:rsidRPr="00CE200E">
        <w:rPr>
          <w:lang w:eastAsia="en-AU"/>
        </w:rPr>
        <w:t>term</w:t>
      </w:r>
      <w:r>
        <w:rPr>
          <w:lang w:eastAsia="en-AU"/>
        </w:rPr>
        <w:t xml:space="preserve"> review of the DFAT-funded Nauru Infrastructure and </w:t>
      </w:r>
      <w:r w:rsidRPr="004B6249">
        <w:rPr>
          <w:lang w:eastAsia="en-AU"/>
        </w:rPr>
        <w:t>Services investment to help guide future programming decisions. The review was limited to investments since 2014, and the purpose was threefold</w:t>
      </w:r>
      <w:r w:rsidR="00487E3B">
        <w:rPr>
          <w:lang w:eastAsia="en-AU"/>
        </w:rPr>
        <w:t xml:space="preserve"> :</w:t>
      </w:r>
      <w:r w:rsidRPr="004B6249">
        <w:rPr>
          <w:lang w:eastAsia="en-AU"/>
        </w:rPr>
        <w:t xml:space="preserve"> (i) prove - </w:t>
      </w:r>
      <w:r w:rsidRPr="004B6249">
        <w:t>to assess the effectiveness of the Australian government’s current approaches to infrastructure and essential services programming in Nauru</w:t>
      </w:r>
      <w:r w:rsidRPr="004B6249">
        <w:rPr>
          <w:lang w:eastAsia="en-AU"/>
        </w:rPr>
        <w:t xml:space="preserve">; (ii) </w:t>
      </w:r>
      <w:r w:rsidRPr="004B6249">
        <w:t>improve - to recommend future strategic investment approaches and priorities for the infrastructure and services portfolio</w:t>
      </w:r>
      <w:r w:rsidRPr="004B6249">
        <w:rPr>
          <w:lang w:eastAsia="en-AU"/>
        </w:rPr>
        <w:t xml:space="preserve"> (iii) </w:t>
      </w:r>
      <w:r w:rsidRPr="004B6249">
        <w:t>knowledge generation - to identify the key strengths, challenges, and opportunities in the infrastructure and essential services sector in</w:t>
      </w:r>
      <w:r w:rsidRPr="00972FA0">
        <w:t xml:space="preserve"> Nauru, for the </w:t>
      </w:r>
      <w:r>
        <w:t>GoN</w:t>
      </w:r>
      <w:r w:rsidRPr="00972FA0">
        <w:t xml:space="preserve"> to support human development and foster trade and commerce. </w:t>
      </w:r>
      <w:r w:rsidR="00C27BF1">
        <w:rPr>
          <w:lang w:eastAsia="en-AU"/>
        </w:rPr>
        <w:t xml:space="preserve">The review is expected to address the following criteria: relevance, effectiveness, efficiency, monitoring and evaluation and cross-cutting issues (gender, disability and climate change). </w:t>
      </w:r>
    </w:p>
    <w:p w14:paraId="5726150E" w14:textId="77777777" w:rsidR="00BF3EB8" w:rsidRDefault="00BF3EB8" w:rsidP="00BF3EB8">
      <w:pPr>
        <w:pStyle w:val="Heading2"/>
        <w:ind w:left="576"/>
      </w:pPr>
      <w:bookmarkStart w:id="17" w:name="_Toc518640211"/>
      <w:r>
        <w:t>Methodology</w:t>
      </w:r>
      <w:bookmarkEnd w:id="17"/>
    </w:p>
    <w:p w14:paraId="6B0294D2" w14:textId="77777777" w:rsidR="00C564D7" w:rsidRDefault="00C564D7" w:rsidP="00C564D7">
      <w:pPr>
        <w:spacing w:line="280" w:lineRule="exact"/>
        <w:jc w:val="both"/>
        <w:rPr>
          <w:lang w:eastAsia="en-AU"/>
        </w:rPr>
      </w:pPr>
      <w:r>
        <w:rPr>
          <w:lang w:eastAsia="en-AU"/>
        </w:rPr>
        <w:t>The review team, from Clear Horizon, comprised two specialists - Infrastructure Specialist and a Monitoring and Evaluation (M&amp;E) Specialist. The review methodology included (i) a desktop review of background documents; (ii) semi-structured key informant interviews; (iii) site visits; (iv) an in-country mission to Nauru; (v) a preliminary findings briefing delivered at the end of the in-country mission; and (vi) a summit workshop planned for June 2018 to present, discuss and finalise the review findings.</w:t>
      </w:r>
    </w:p>
    <w:p w14:paraId="5D143B37" w14:textId="34157AE9" w:rsidR="00C564D7" w:rsidRDefault="00C564D7" w:rsidP="00C564D7">
      <w:pPr>
        <w:spacing w:line="280" w:lineRule="exact"/>
        <w:jc w:val="both"/>
        <w:rPr>
          <w:lang w:eastAsia="en-AU"/>
        </w:rPr>
      </w:pPr>
      <w:r>
        <w:rPr>
          <w:lang w:eastAsia="en-AU"/>
        </w:rPr>
        <w:t>The d</w:t>
      </w:r>
      <w:r w:rsidRPr="00DC0B33">
        <w:rPr>
          <w:lang w:eastAsia="en-AU"/>
        </w:rPr>
        <w:t>esktop review was undertaken to inform th</w:t>
      </w:r>
      <w:r w:rsidRPr="009D6AE9">
        <w:rPr>
          <w:lang w:eastAsia="en-AU"/>
        </w:rPr>
        <w:t>e review</w:t>
      </w:r>
      <w:r>
        <w:rPr>
          <w:lang w:eastAsia="en-AU"/>
        </w:rPr>
        <w:t xml:space="preserve"> plan and to develop key review questions (KRQs)</w:t>
      </w:r>
      <w:r w:rsidRPr="009D6AE9">
        <w:rPr>
          <w:lang w:eastAsia="en-AU"/>
        </w:rPr>
        <w:t xml:space="preserve">. </w:t>
      </w:r>
      <w:r>
        <w:rPr>
          <w:lang w:eastAsia="en-AU"/>
        </w:rPr>
        <w:t xml:space="preserve">The review provided a strong foundation for the </w:t>
      </w:r>
      <w:r w:rsidR="00487E3B">
        <w:rPr>
          <w:lang w:eastAsia="en-AU"/>
        </w:rPr>
        <w:t>evidence that</w:t>
      </w:r>
      <w:r>
        <w:rPr>
          <w:lang w:eastAsia="en-AU"/>
        </w:rPr>
        <w:t xml:space="preserve"> reinforced in-country consultations. </w:t>
      </w:r>
      <w:r w:rsidRPr="00DC0B33">
        <w:rPr>
          <w:lang w:eastAsia="en-AU"/>
        </w:rPr>
        <w:t xml:space="preserve">Semi-structured key informant interviews </w:t>
      </w:r>
      <w:r>
        <w:rPr>
          <w:lang w:eastAsia="en-AU"/>
        </w:rPr>
        <w:t xml:space="preserve">were undertaken with a range of stakeholders, allowing </w:t>
      </w:r>
      <w:r w:rsidRPr="009D6AE9">
        <w:rPr>
          <w:lang w:eastAsia="en-AU"/>
        </w:rPr>
        <w:t xml:space="preserve">respondents </w:t>
      </w:r>
      <w:r>
        <w:rPr>
          <w:lang w:eastAsia="en-AU"/>
        </w:rPr>
        <w:t xml:space="preserve">the </w:t>
      </w:r>
      <w:r w:rsidRPr="009D6AE9">
        <w:rPr>
          <w:lang w:eastAsia="en-AU"/>
        </w:rPr>
        <w:t xml:space="preserve">flexibility to discuss other </w:t>
      </w:r>
      <w:r>
        <w:rPr>
          <w:lang w:eastAsia="en-AU"/>
        </w:rPr>
        <w:t xml:space="preserve">relevant </w:t>
      </w:r>
      <w:r w:rsidRPr="009D6AE9">
        <w:rPr>
          <w:lang w:eastAsia="en-AU"/>
        </w:rPr>
        <w:t>issues.</w:t>
      </w:r>
      <w:r>
        <w:rPr>
          <w:lang w:eastAsia="en-AU"/>
        </w:rPr>
        <w:t xml:space="preserve"> The full list of people interviewed is outlined in </w:t>
      </w:r>
      <w:r w:rsidR="00106BDB" w:rsidRPr="00106BDB">
        <w:rPr>
          <w:i/>
          <w:lang w:eastAsia="en-AU"/>
        </w:rPr>
        <w:fldChar w:fldCharType="begin"/>
      </w:r>
      <w:r w:rsidR="00106BDB" w:rsidRPr="00106BDB">
        <w:rPr>
          <w:i/>
          <w:lang w:eastAsia="en-AU"/>
        </w:rPr>
        <w:instrText xml:space="preserve"> REF _Ref516129308 \h </w:instrText>
      </w:r>
      <w:r w:rsidR="00106BDB">
        <w:rPr>
          <w:i/>
          <w:lang w:eastAsia="en-AU"/>
        </w:rPr>
        <w:instrText xml:space="preserve"> \* MERGEFORMAT </w:instrText>
      </w:r>
      <w:r w:rsidR="00106BDB" w:rsidRPr="00106BDB">
        <w:rPr>
          <w:i/>
          <w:lang w:eastAsia="en-AU"/>
        </w:rPr>
      </w:r>
      <w:r w:rsidR="00106BDB" w:rsidRPr="00106BDB">
        <w:rPr>
          <w:i/>
          <w:lang w:eastAsia="en-AU"/>
        </w:rPr>
        <w:fldChar w:fldCharType="separate"/>
      </w:r>
      <w:r w:rsidR="00404CD4" w:rsidRPr="00404CD4">
        <w:rPr>
          <w:i/>
        </w:rPr>
        <w:t>Annex C – List of People Interviewed</w:t>
      </w:r>
      <w:r w:rsidR="00106BDB" w:rsidRPr="00106BDB">
        <w:rPr>
          <w:i/>
          <w:lang w:eastAsia="en-AU"/>
        </w:rPr>
        <w:fldChar w:fldCharType="end"/>
      </w:r>
      <w:r w:rsidRPr="005F3A38">
        <w:rPr>
          <w:lang w:eastAsia="en-AU"/>
        </w:rPr>
        <w:t>.</w:t>
      </w:r>
      <w:r>
        <w:rPr>
          <w:lang w:eastAsia="en-AU"/>
        </w:rPr>
        <w:t xml:space="preserve"> Interviews were undertaken in person in Nauru as well as via phone and email before and after the review mission. </w:t>
      </w:r>
    </w:p>
    <w:p w14:paraId="6C30A1CB" w14:textId="77777777" w:rsidR="00163816" w:rsidRDefault="00C564D7" w:rsidP="00163816">
      <w:pPr>
        <w:spacing w:line="280" w:lineRule="exact"/>
        <w:jc w:val="both"/>
        <w:rPr>
          <w:lang w:eastAsia="en-AU"/>
        </w:rPr>
      </w:pPr>
      <w:r w:rsidRPr="00484C29">
        <w:rPr>
          <w:lang w:eastAsia="en-AU"/>
        </w:rPr>
        <w:t xml:space="preserve">A two-week in-country mission was undertaken </w:t>
      </w:r>
      <w:r>
        <w:rPr>
          <w:lang w:eastAsia="en-AU"/>
        </w:rPr>
        <w:t xml:space="preserve">in April-May 2018 to conduct interviews with key stakeholders and visit selected infrastructure sites. </w:t>
      </w:r>
      <w:r>
        <w:t xml:space="preserve">Data was examined using qualitative analysis for key </w:t>
      </w:r>
      <w:r w:rsidR="00DA3959">
        <w:t>criteria</w:t>
      </w:r>
      <w:r w:rsidR="005C756C">
        <w:t>,</w:t>
      </w:r>
      <w:r w:rsidR="00DA3959">
        <w:t xml:space="preserve"> as listed above</w:t>
      </w:r>
      <w:r>
        <w:t xml:space="preserve">, </w:t>
      </w:r>
      <w:r w:rsidR="00CF20E7">
        <w:t xml:space="preserve">and </w:t>
      </w:r>
      <w:r>
        <w:t>categorised by Key Review Questions (KRQs) and sub-KRQs (</w:t>
      </w:r>
      <w:r w:rsidR="00EA2DAF">
        <w:t xml:space="preserve">see </w:t>
      </w:r>
      <w:r w:rsidRPr="003A1C02">
        <w:rPr>
          <w:i/>
        </w:rPr>
        <w:t xml:space="preserve">Annex </w:t>
      </w:r>
      <w:r w:rsidR="005C1073" w:rsidRPr="003A1C02">
        <w:rPr>
          <w:i/>
        </w:rPr>
        <w:t>A</w:t>
      </w:r>
      <w:r w:rsidR="003A1C02" w:rsidRPr="003A1C02">
        <w:rPr>
          <w:i/>
        </w:rPr>
        <w:t>- Key Review Questions</w:t>
      </w:r>
      <w:r>
        <w:t xml:space="preserve">). </w:t>
      </w:r>
      <w:r w:rsidR="00163816">
        <w:rPr>
          <w:lang w:eastAsia="en-AU"/>
        </w:rPr>
        <w:t xml:space="preserve">The evidence collected was used to evaluate each investment against the review criteria based on the rating scale as outlined in </w:t>
      </w:r>
      <w:r w:rsidR="00163816">
        <w:rPr>
          <w:lang w:eastAsia="en-AU"/>
        </w:rPr>
        <w:fldChar w:fldCharType="begin"/>
      </w:r>
      <w:r w:rsidR="00163816">
        <w:rPr>
          <w:lang w:eastAsia="en-AU"/>
        </w:rPr>
        <w:instrText xml:space="preserve"> REF _Ref516082697 \h </w:instrText>
      </w:r>
      <w:r w:rsidR="00163816">
        <w:rPr>
          <w:lang w:eastAsia="en-AU"/>
        </w:rPr>
      </w:r>
      <w:r w:rsidR="00163816">
        <w:rPr>
          <w:lang w:eastAsia="en-AU"/>
        </w:rPr>
        <w:fldChar w:fldCharType="separate"/>
      </w:r>
      <w:r w:rsidR="00404CD4" w:rsidRPr="00E80425">
        <w:rPr>
          <w:i/>
          <w:sz w:val="20"/>
        </w:rPr>
        <w:t xml:space="preserve">Table </w:t>
      </w:r>
      <w:r w:rsidR="00404CD4">
        <w:rPr>
          <w:i/>
          <w:noProof/>
          <w:sz w:val="20"/>
        </w:rPr>
        <w:t>3</w:t>
      </w:r>
      <w:r w:rsidR="00163816">
        <w:rPr>
          <w:lang w:eastAsia="en-AU"/>
        </w:rPr>
        <w:fldChar w:fldCharType="end"/>
      </w:r>
      <w:r w:rsidR="00163816">
        <w:rPr>
          <w:lang w:eastAsia="en-AU"/>
        </w:rPr>
        <w:t xml:space="preserve"> below. Further detail of how each investment was evaluated against the review criteria is outlined in </w:t>
      </w:r>
      <w:r w:rsidR="00163816" w:rsidRPr="00542893">
        <w:rPr>
          <w:i/>
          <w:lang w:eastAsia="en-AU"/>
        </w:rPr>
        <w:fldChar w:fldCharType="begin"/>
      </w:r>
      <w:r w:rsidR="00163816" w:rsidRPr="00542893">
        <w:rPr>
          <w:i/>
          <w:lang w:eastAsia="en-AU"/>
        </w:rPr>
        <w:instrText xml:space="preserve"> REF _Ref516082643 \h </w:instrText>
      </w:r>
      <w:r w:rsidR="00163816">
        <w:rPr>
          <w:i/>
          <w:lang w:eastAsia="en-AU"/>
        </w:rPr>
        <w:instrText xml:space="preserve"> \* MERGEFORMAT </w:instrText>
      </w:r>
      <w:r w:rsidR="00163816" w:rsidRPr="00542893">
        <w:rPr>
          <w:i/>
          <w:lang w:eastAsia="en-AU"/>
        </w:rPr>
      </w:r>
      <w:r w:rsidR="00163816" w:rsidRPr="00542893">
        <w:rPr>
          <w:i/>
          <w:lang w:eastAsia="en-AU"/>
        </w:rPr>
        <w:fldChar w:fldCharType="separate"/>
      </w:r>
      <w:r w:rsidR="00404CD4" w:rsidRPr="00404CD4">
        <w:rPr>
          <w:i/>
        </w:rPr>
        <w:t>Annex E – Strength of Evidence Rubric</w:t>
      </w:r>
      <w:r w:rsidR="00163816" w:rsidRPr="00542893">
        <w:rPr>
          <w:i/>
          <w:lang w:eastAsia="en-AU"/>
        </w:rPr>
        <w:fldChar w:fldCharType="end"/>
      </w:r>
      <w:r w:rsidR="00163816">
        <w:rPr>
          <w:i/>
          <w:lang w:eastAsia="en-AU"/>
        </w:rPr>
        <w:t xml:space="preserve"> &amp; Rating Scale</w:t>
      </w:r>
      <w:r w:rsidR="00163816">
        <w:rPr>
          <w:lang w:eastAsia="en-AU"/>
        </w:rPr>
        <w:t>.</w:t>
      </w:r>
    </w:p>
    <w:tbl>
      <w:tblPr>
        <w:tblW w:w="4253" w:type="dxa"/>
        <w:jc w:val="center"/>
        <w:tblLook w:val="04A0" w:firstRow="1" w:lastRow="0" w:firstColumn="1" w:lastColumn="0" w:noHBand="0" w:noVBand="1"/>
      </w:tblPr>
      <w:tblGrid>
        <w:gridCol w:w="2268"/>
        <w:gridCol w:w="1985"/>
      </w:tblGrid>
      <w:tr w:rsidR="00163816" w:rsidRPr="00542893" w14:paraId="76E07670" w14:textId="77777777" w:rsidTr="001446F9">
        <w:trPr>
          <w:trHeight w:val="270"/>
          <w:jc w:val="center"/>
        </w:trPr>
        <w:tc>
          <w:tcPr>
            <w:tcW w:w="226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0BBC968" w14:textId="77777777" w:rsidR="00163816" w:rsidRPr="00542893" w:rsidRDefault="00163816" w:rsidP="001446F9">
            <w:pPr>
              <w:spacing w:before="0" w:after="0" w:line="240" w:lineRule="auto"/>
              <w:rPr>
                <w:rFonts w:eastAsia="Times New Roman" w:cs="Calibri"/>
                <w:b/>
                <w:bCs/>
                <w:color w:val="000000"/>
                <w:sz w:val="20"/>
                <w:szCs w:val="20"/>
                <w:lang w:eastAsia="en-AU"/>
              </w:rPr>
            </w:pPr>
            <w:r w:rsidRPr="00542893">
              <w:rPr>
                <w:rFonts w:eastAsia="Times New Roman" w:cs="Calibri"/>
                <w:b/>
                <w:bCs/>
                <w:color w:val="000000"/>
                <w:sz w:val="20"/>
                <w:szCs w:val="20"/>
                <w:lang w:eastAsia="en-AU"/>
              </w:rPr>
              <w:t>Rating</w:t>
            </w:r>
          </w:p>
        </w:tc>
        <w:tc>
          <w:tcPr>
            <w:tcW w:w="1985" w:type="dxa"/>
            <w:tcBorders>
              <w:top w:val="single" w:sz="4" w:space="0" w:color="auto"/>
              <w:left w:val="nil"/>
              <w:bottom w:val="single" w:sz="4" w:space="0" w:color="auto"/>
              <w:right w:val="single" w:sz="4" w:space="0" w:color="auto"/>
            </w:tcBorders>
            <w:shd w:val="clear" w:color="000000" w:fill="F8CBAD"/>
            <w:vAlign w:val="center"/>
            <w:hideMark/>
          </w:tcPr>
          <w:p w14:paraId="5F2A5A8B" w14:textId="77777777" w:rsidR="00163816" w:rsidRPr="00542893" w:rsidRDefault="00163816" w:rsidP="001446F9">
            <w:pPr>
              <w:spacing w:before="0" w:after="0" w:line="240" w:lineRule="auto"/>
              <w:jc w:val="center"/>
              <w:rPr>
                <w:rFonts w:eastAsia="Times New Roman" w:cs="Calibri"/>
                <w:b/>
                <w:bCs/>
                <w:color w:val="000000"/>
                <w:sz w:val="20"/>
                <w:szCs w:val="20"/>
                <w:lang w:eastAsia="en-AU"/>
              </w:rPr>
            </w:pPr>
            <w:r w:rsidRPr="00542893">
              <w:rPr>
                <w:rFonts w:eastAsia="Times New Roman" w:cs="Calibri"/>
                <w:b/>
                <w:bCs/>
                <w:color w:val="000000"/>
                <w:sz w:val="20"/>
                <w:szCs w:val="20"/>
                <w:lang w:eastAsia="en-AU"/>
              </w:rPr>
              <w:t>Score</w:t>
            </w:r>
          </w:p>
        </w:tc>
      </w:tr>
      <w:tr w:rsidR="00163816" w:rsidRPr="00542893" w14:paraId="2FA798F8"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C2C8EC4"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Very Good</w:t>
            </w:r>
          </w:p>
        </w:tc>
        <w:tc>
          <w:tcPr>
            <w:tcW w:w="1985" w:type="dxa"/>
            <w:tcBorders>
              <w:top w:val="nil"/>
              <w:left w:val="nil"/>
              <w:bottom w:val="single" w:sz="4" w:space="0" w:color="auto"/>
              <w:right w:val="single" w:sz="4" w:space="0" w:color="auto"/>
            </w:tcBorders>
            <w:shd w:val="clear" w:color="auto" w:fill="auto"/>
            <w:vAlign w:val="center"/>
            <w:hideMark/>
          </w:tcPr>
          <w:p w14:paraId="746DB437" w14:textId="77777777" w:rsidR="00163816" w:rsidRPr="00542893" w:rsidRDefault="00163816" w:rsidP="001446F9">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6</w:t>
            </w:r>
          </w:p>
        </w:tc>
      </w:tr>
      <w:tr w:rsidR="00163816" w:rsidRPr="00542893" w14:paraId="063A9595"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BA426A7"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Good</w:t>
            </w:r>
          </w:p>
        </w:tc>
        <w:tc>
          <w:tcPr>
            <w:tcW w:w="1985" w:type="dxa"/>
            <w:tcBorders>
              <w:top w:val="nil"/>
              <w:left w:val="nil"/>
              <w:bottom w:val="single" w:sz="4" w:space="0" w:color="auto"/>
              <w:right w:val="single" w:sz="4" w:space="0" w:color="auto"/>
            </w:tcBorders>
            <w:shd w:val="clear" w:color="auto" w:fill="auto"/>
            <w:vAlign w:val="center"/>
            <w:hideMark/>
          </w:tcPr>
          <w:p w14:paraId="736BB639" w14:textId="77777777" w:rsidR="00163816" w:rsidRPr="00542893" w:rsidRDefault="00163816" w:rsidP="001446F9">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5</w:t>
            </w:r>
          </w:p>
        </w:tc>
      </w:tr>
      <w:tr w:rsidR="00163816" w:rsidRPr="00542893" w14:paraId="08B125BB"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8925C3"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Adequate</w:t>
            </w:r>
          </w:p>
        </w:tc>
        <w:tc>
          <w:tcPr>
            <w:tcW w:w="1985" w:type="dxa"/>
            <w:tcBorders>
              <w:top w:val="nil"/>
              <w:left w:val="nil"/>
              <w:bottom w:val="single" w:sz="4" w:space="0" w:color="auto"/>
              <w:right w:val="single" w:sz="4" w:space="0" w:color="auto"/>
            </w:tcBorders>
            <w:shd w:val="clear" w:color="auto" w:fill="auto"/>
            <w:vAlign w:val="center"/>
            <w:hideMark/>
          </w:tcPr>
          <w:p w14:paraId="787A58E4" w14:textId="77777777" w:rsidR="00163816" w:rsidRPr="00542893" w:rsidRDefault="00163816" w:rsidP="001446F9">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4</w:t>
            </w:r>
          </w:p>
        </w:tc>
      </w:tr>
      <w:tr w:rsidR="00163816" w:rsidRPr="00542893" w14:paraId="099ADBF3"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F013700"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Less than Adequate</w:t>
            </w:r>
          </w:p>
        </w:tc>
        <w:tc>
          <w:tcPr>
            <w:tcW w:w="1985" w:type="dxa"/>
            <w:tcBorders>
              <w:top w:val="nil"/>
              <w:left w:val="nil"/>
              <w:bottom w:val="single" w:sz="4" w:space="0" w:color="auto"/>
              <w:right w:val="single" w:sz="4" w:space="0" w:color="auto"/>
            </w:tcBorders>
            <w:shd w:val="clear" w:color="auto" w:fill="auto"/>
            <w:vAlign w:val="center"/>
            <w:hideMark/>
          </w:tcPr>
          <w:p w14:paraId="3CA7BA17" w14:textId="77777777" w:rsidR="00163816" w:rsidRPr="00542893" w:rsidRDefault="00163816" w:rsidP="001446F9">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3</w:t>
            </w:r>
          </w:p>
        </w:tc>
      </w:tr>
      <w:tr w:rsidR="00163816" w:rsidRPr="00542893" w14:paraId="1C0F3C7F"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4F4B9B8"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Poor</w:t>
            </w:r>
          </w:p>
        </w:tc>
        <w:tc>
          <w:tcPr>
            <w:tcW w:w="1985" w:type="dxa"/>
            <w:tcBorders>
              <w:top w:val="nil"/>
              <w:left w:val="nil"/>
              <w:bottom w:val="single" w:sz="4" w:space="0" w:color="auto"/>
              <w:right w:val="single" w:sz="4" w:space="0" w:color="auto"/>
            </w:tcBorders>
            <w:shd w:val="clear" w:color="auto" w:fill="auto"/>
            <w:vAlign w:val="center"/>
            <w:hideMark/>
          </w:tcPr>
          <w:p w14:paraId="0B85836A" w14:textId="77777777" w:rsidR="00163816" w:rsidRPr="00542893" w:rsidRDefault="00163816" w:rsidP="001446F9">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2</w:t>
            </w:r>
          </w:p>
        </w:tc>
      </w:tr>
      <w:tr w:rsidR="00163816" w:rsidRPr="00542893" w14:paraId="4C06D67F" w14:textId="77777777" w:rsidTr="001446F9">
        <w:trPr>
          <w:trHeight w:val="27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F909674" w14:textId="77777777" w:rsidR="00163816" w:rsidRPr="00542893" w:rsidRDefault="00163816" w:rsidP="001446F9">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Very Poor</w:t>
            </w:r>
          </w:p>
        </w:tc>
        <w:tc>
          <w:tcPr>
            <w:tcW w:w="1985" w:type="dxa"/>
            <w:tcBorders>
              <w:top w:val="nil"/>
              <w:left w:val="nil"/>
              <w:bottom w:val="single" w:sz="4" w:space="0" w:color="auto"/>
              <w:right w:val="single" w:sz="4" w:space="0" w:color="auto"/>
            </w:tcBorders>
            <w:shd w:val="clear" w:color="auto" w:fill="auto"/>
            <w:vAlign w:val="center"/>
            <w:hideMark/>
          </w:tcPr>
          <w:p w14:paraId="38E88A1A" w14:textId="77777777" w:rsidR="00163816" w:rsidRPr="00542893" w:rsidRDefault="00163816" w:rsidP="001446F9">
            <w:pPr>
              <w:keepNext/>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1</w:t>
            </w:r>
          </w:p>
        </w:tc>
      </w:tr>
    </w:tbl>
    <w:p w14:paraId="3D5F91D1" w14:textId="77777777" w:rsidR="00163816" w:rsidRPr="00E80425" w:rsidRDefault="00163816" w:rsidP="00420251">
      <w:pPr>
        <w:spacing w:before="0" w:line="280" w:lineRule="exact"/>
        <w:jc w:val="center"/>
        <w:rPr>
          <w:sz w:val="20"/>
          <w:lang w:eastAsia="en-AU"/>
        </w:rPr>
      </w:pPr>
      <w:bookmarkStart w:id="18" w:name="_Ref516082697"/>
      <w:bookmarkStart w:id="19" w:name="_Toc518640268"/>
      <w:r w:rsidRPr="00E80425">
        <w:rPr>
          <w:i/>
          <w:sz w:val="20"/>
        </w:rPr>
        <w:t xml:space="preserve">Table </w:t>
      </w:r>
      <w:r w:rsidRPr="00E80425">
        <w:rPr>
          <w:i/>
          <w:sz w:val="20"/>
        </w:rPr>
        <w:fldChar w:fldCharType="begin"/>
      </w:r>
      <w:r w:rsidRPr="00E80425">
        <w:rPr>
          <w:i/>
          <w:sz w:val="20"/>
        </w:rPr>
        <w:instrText xml:space="preserve"> SEQ Table \* ARABIC </w:instrText>
      </w:r>
      <w:r w:rsidRPr="00E80425">
        <w:rPr>
          <w:i/>
          <w:sz w:val="20"/>
        </w:rPr>
        <w:fldChar w:fldCharType="separate"/>
      </w:r>
      <w:r w:rsidR="00404CD4">
        <w:rPr>
          <w:i/>
          <w:noProof/>
          <w:sz w:val="20"/>
        </w:rPr>
        <w:t>3</w:t>
      </w:r>
      <w:r w:rsidRPr="00E80425">
        <w:rPr>
          <w:i/>
          <w:sz w:val="20"/>
        </w:rPr>
        <w:fldChar w:fldCharType="end"/>
      </w:r>
      <w:bookmarkEnd w:id="18"/>
      <w:r w:rsidRPr="00E80425">
        <w:rPr>
          <w:i/>
          <w:sz w:val="20"/>
        </w:rPr>
        <w:t xml:space="preserve"> </w:t>
      </w:r>
      <w:r w:rsidR="009D1BF4">
        <w:rPr>
          <w:i/>
        </w:rPr>
        <w:t>–</w:t>
      </w:r>
      <w:r w:rsidR="009D1BF4" w:rsidRPr="0098036F">
        <w:rPr>
          <w:i/>
        </w:rPr>
        <w:t xml:space="preserve"> </w:t>
      </w:r>
      <w:r w:rsidRPr="00E80425">
        <w:rPr>
          <w:i/>
          <w:sz w:val="20"/>
        </w:rPr>
        <w:t>Rating Scale</w:t>
      </w:r>
      <w:bookmarkEnd w:id="19"/>
    </w:p>
    <w:p w14:paraId="1669C3F0" w14:textId="5447A419" w:rsidR="00C64EFD" w:rsidRDefault="00C564D7" w:rsidP="00C564D7">
      <w:pPr>
        <w:spacing w:line="280" w:lineRule="exact"/>
        <w:jc w:val="both"/>
        <w:rPr>
          <w:lang w:eastAsia="en-AU"/>
        </w:rPr>
      </w:pPr>
      <w:r>
        <w:rPr>
          <w:lang w:eastAsia="en-AU"/>
        </w:rPr>
        <w:t xml:space="preserve">At the end of the in-country mission, the team conducted a preliminary findings briefing with DFAT and DoI to present the evidence and to validate and co-develop preliminary findings. A summit workshop </w:t>
      </w:r>
      <w:r w:rsidR="00487E3B">
        <w:rPr>
          <w:lang w:eastAsia="en-AU"/>
        </w:rPr>
        <w:t>was held</w:t>
      </w:r>
      <w:r>
        <w:rPr>
          <w:lang w:eastAsia="en-AU"/>
        </w:rPr>
        <w:t xml:space="preserve"> with Clear Horizon, GoN representatives and DFAT in June 2018 and will be informed by the Infrastructure Review Report (this report). At the Summit Workshop, Clear Horizon </w:t>
      </w:r>
      <w:r w:rsidR="00487E3B">
        <w:rPr>
          <w:lang w:eastAsia="en-AU"/>
        </w:rPr>
        <w:t>worked</w:t>
      </w:r>
      <w:r>
        <w:rPr>
          <w:lang w:eastAsia="en-AU"/>
        </w:rPr>
        <w:t xml:space="preserve"> with DFAT to finalise the key findings and recommendations from the review.</w:t>
      </w:r>
      <w:r w:rsidRPr="007E031E">
        <w:rPr>
          <w:lang w:eastAsia="en-AU"/>
        </w:rPr>
        <w:t xml:space="preserve"> </w:t>
      </w:r>
    </w:p>
    <w:p w14:paraId="728E8CD3" w14:textId="77777777" w:rsidR="00601678" w:rsidRDefault="00601678" w:rsidP="00601678">
      <w:pPr>
        <w:pStyle w:val="Heading2"/>
        <w:spacing w:before="400"/>
        <w:ind w:left="578" w:hanging="578"/>
      </w:pPr>
      <w:bookmarkStart w:id="20" w:name="_Toc518640212"/>
      <w:r>
        <w:lastRenderedPageBreak/>
        <w:t>Review</w:t>
      </w:r>
      <w:r w:rsidRPr="008825DE">
        <w:t xml:space="preserve"> </w:t>
      </w:r>
      <w:r>
        <w:t>Limitations</w:t>
      </w:r>
      <w:bookmarkEnd w:id="20"/>
    </w:p>
    <w:p w14:paraId="61BD7529" w14:textId="77777777" w:rsidR="00601678" w:rsidRPr="00257359" w:rsidRDefault="00601678" w:rsidP="00601678">
      <w:pPr>
        <w:numPr>
          <w:ilvl w:val="0"/>
          <w:numId w:val="24"/>
        </w:numPr>
        <w:spacing w:before="60" w:after="60"/>
        <w:ind w:left="714" w:hanging="357"/>
        <w:rPr>
          <w:lang w:eastAsia="en-AU"/>
        </w:rPr>
      </w:pPr>
      <w:r w:rsidRPr="00257359">
        <w:rPr>
          <w:lang w:eastAsia="en-AU"/>
        </w:rPr>
        <w:t xml:space="preserve">The hospital masterplan (including nurses’ quarters) has not been included as it has been recently evaluated as part of a separate health review for DFAT.  </w:t>
      </w:r>
    </w:p>
    <w:p w14:paraId="3C447F22" w14:textId="77777777" w:rsidR="0039363B" w:rsidRPr="00257359" w:rsidRDefault="0039363B" w:rsidP="0039363B">
      <w:pPr>
        <w:numPr>
          <w:ilvl w:val="0"/>
          <w:numId w:val="24"/>
        </w:numPr>
        <w:spacing w:before="60" w:after="60"/>
        <w:ind w:left="714" w:hanging="357"/>
        <w:rPr>
          <w:lang w:eastAsia="en-AU"/>
        </w:rPr>
      </w:pPr>
      <w:r w:rsidRPr="0039363B">
        <w:rPr>
          <w:lang w:eastAsia="en-AU"/>
        </w:rPr>
        <w:t>The wellness clinics have also been reviewed by the health review and time limitations for data collection has resulted in only partial information being included in this review.</w:t>
      </w:r>
    </w:p>
    <w:p w14:paraId="2ACE2201" w14:textId="77777777" w:rsidR="00601678" w:rsidRDefault="00601678" w:rsidP="00601678">
      <w:pPr>
        <w:numPr>
          <w:ilvl w:val="0"/>
          <w:numId w:val="24"/>
        </w:numPr>
        <w:spacing w:before="60" w:after="60"/>
        <w:ind w:left="714" w:hanging="357"/>
        <w:rPr>
          <w:lang w:eastAsia="en-AU"/>
        </w:rPr>
      </w:pPr>
      <w:r w:rsidRPr="00257359">
        <w:rPr>
          <w:lang w:eastAsia="en-AU"/>
        </w:rPr>
        <w:t xml:space="preserve">Construction of the TVET Centre was completed in early 2014 (the start of the review period), and as such only limited information for this has been available as </w:t>
      </w:r>
      <w:r>
        <w:rPr>
          <w:lang w:eastAsia="en-AU"/>
        </w:rPr>
        <w:t xml:space="preserve">most of the </w:t>
      </w:r>
      <w:r w:rsidRPr="00257359">
        <w:rPr>
          <w:lang w:eastAsia="en-AU"/>
        </w:rPr>
        <w:t>planning and implementation falls outside the review period.</w:t>
      </w:r>
    </w:p>
    <w:p w14:paraId="40FB545C" w14:textId="77777777" w:rsidR="00601678" w:rsidRPr="00257359" w:rsidRDefault="00601678" w:rsidP="00601678">
      <w:pPr>
        <w:numPr>
          <w:ilvl w:val="0"/>
          <w:numId w:val="24"/>
        </w:numPr>
        <w:spacing w:before="60" w:after="60"/>
        <w:ind w:left="714" w:hanging="357"/>
        <w:rPr>
          <w:lang w:eastAsia="en-AU"/>
        </w:rPr>
      </w:pPr>
      <w:r w:rsidRPr="00257359">
        <w:rPr>
          <w:lang w:eastAsia="en-AU"/>
        </w:rPr>
        <w:t xml:space="preserve">The USP Learning Centre has relied upon interviews and information from the parallel education review. </w:t>
      </w:r>
    </w:p>
    <w:p w14:paraId="04E018A7" w14:textId="77777777" w:rsidR="00601678" w:rsidRDefault="00601678" w:rsidP="00601678">
      <w:pPr>
        <w:numPr>
          <w:ilvl w:val="0"/>
          <w:numId w:val="24"/>
        </w:numPr>
        <w:spacing w:before="60" w:after="60" w:line="280" w:lineRule="exact"/>
        <w:ind w:left="714" w:hanging="357"/>
        <w:jc w:val="both"/>
        <w:rPr>
          <w:lang w:eastAsia="en-AU"/>
        </w:rPr>
      </w:pPr>
      <w:r w:rsidRPr="00257359">
        <w:rPr>
          <w:lang w:eastAsia="en-AU"/>
        </w:rPr>
        <w:t>DFAT Funding allocated for a Reverse Osmosis Plant Shed in FY 2012/13 which has been reallocated to an NUC water testing shed has not been part of this review.</w:t>
      </w:r>
    </w:p>
    <w:p w14:paraId="241E803B" w14:textId="77777777" w:rsidR="00601678" w:rsidRDefault="00601678" w:rsidP="00601678"/>
    <w:p w14:paraId="412A2ECD" w14:textId="77777777" w:rsidR="00AE31E0" w:rsidRPr="00DB355E" w:rsidRDefault="00AE31E0" w:rsidP="00AE31E0"/>
    <w:p w14:paraId="0A52405F" w14:textId="77777777" w:rsidR="00AE31E0" w:rsidRPr="00DB355E" w:rsidRDefault="00AE31E0" w:rsidP="00AE31E0"/>
    <w:p w14:paraId="107C4472" w14:textId="77777777" w:rsidR="00AE31E0" w:rsidRPr="00601678" w:rsidRDefault="00AE31E0" w:rsidP="00601678"/>
    <w:p w14:paraId="0A5A8B48" w14:textId="77777777" w:rsidR="00A716D9" w:rsidRDefault="00A716D9" w:rsidP="00EA7183">
      <w:pPr>
        <w:pStyle w:val="Heading1"/>
      </w:pPr>
      <w:bookmarkStart w:id="21" w:name="_Toc518640213"/>
      <w:r>
        <w:lastRenderedPageBreak/>
        <w:t xml:space="preserve">Review </w:t>
      </w:r>
      <w:r w:rsidR="00580EAD">
        <w:t>F</w:t>
      </w:r>
      <w:r>
        <w:t>indings</w:t>
      </w:r>
      <w:bookmarkEnd w:id="21"/>
      <w:r>
        <w:t xml:space="preserve"> </w:t>
      </w:r>
    </w:p>
    <w:p w14:paraId="4E9DEFAB" w14:textId="77777777" w:rsidR="00A716D9" w:rsidRDefault="00303E8D" w:rsidP="00E35FE7">
      <w:pPr>
        <w:pStyle w:val="Heading2"/>
        <w:ind w:left="576"/>
      </w:pPr>
      <w:bookmarkStart w:id="22" w:name="_Toc518640214"/>
      <w:r>
        <w:t>Overall Findings</w:t>
      </w:r>
      <w:bookmarkEnd w:id="22"/>
    </w:p>
    <w:p w14:paraId="1C005AE6" w14:textId="77777777" w:rsidR="002E7373" w:rsidRDefault="002E7373" w:rsidP="002E7373">
      <w:pPr>
        <w:jc w:val="both"/>
        <w:rPr>
          <w:lang w:eastAsia="en-AU"/>
        </w:rPr>
      </w:pPr>
      <w:r>
        <w:rPr>
          <w:lang w:eastAsia="en-AU"/>
        </w:rPr>
        <w:t xml:space="preserve">The review assessed DFAT’s infrastructure investments in Nauru against an agreed set of key review questions, structured around DFAT’s aid quality check (AQC) and the </w:t>
      </w:r>
      <w:r w:rsidRPr="00EB171B">
        <w:rPr>
          <w:lang w:eastAsia="en-AU"/>
        </w:rPr>
        <w:t>Organisation for Economic Co-operation and Development (OECD)</w:t>
      </w:r>
      <w:r>
        <w:rPr>
          <w:lang w:eastAsia="en-AU"/>
        </w:rPr>
        <w:t xml:space="preserve"> </w:t>
      </w:r>
      <w:r w:rsidRPr="00EB171B">
        <w:rPr>
          <w:lang w:eastAsia="en-AU"/>
        </w:rPr>
        <w:t>Development Assistance Committee (DAC)</w:t>
      </w:r>
      <w:r>
        <w:rPr>
          <w:lang w:eastAsia="en-AU"/>
        </w:rPr>
        <w:t xml:space="preserve"> criteria including (i) relevance, (ii) effectiveness, (iii) efficiency, (iv) monitoring and evaluation and (v) cross-cutting issues. </w:t>
      </w:r>
    </w:p>
    <w:p w14:paraId="54ABF2FC" w14:textId="77777777" w:rsidR="00412F0C" w:rsidRPr="00412F0C" w:rsidRDefault="00303E8D" w:rsidP="006877FE">
      <w:pPr>
        <w:pStyle w:val="Heading2"/>
        <w:ind w:left="576"/>
      </w:pPr>
      <w:bookmarkStart w:id="23" w:name="_Toc518640215"/>
      <w:r>
        <w:t>Relevance</w:t>
      </w:r>
      <w:bookmarkEnd w:id="23"/>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4457C2" w14:paraId="1746E8DF" w14:textId="77777777" w:rsidTr="004457C2">
        <w:tc>
          <w:tcPr>
            <w:tcW w:w="2434" w:type="dxa"/>
            <w:shd w:val="clear" w:color="auto" w:fill="FBD4B4" w:themeFill="accent6" w:themeFillTint="66"/>
          </w:tcPr>
          <w:p w14:paraId="639587AF" w14:textId="77777777" w:rsidR="004457C2" w:rsidRPr="004457C2" w:rsidRDefault="004457C2" w:rsidP="004457C2">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7A83321E" w14:textId="77777777" w:rsidR="004457C2" w:rsidRDefault="004457C2" w:rsidP="004457C2">
            <w:pPr>
              <w:spacing w:before="120" w:beforeAutospacing="0" w:after="120" w:afterAutospacing="0"/>
              <w:rPr>
                <w:lang w:eastAsia="en-AU"/>
              </w:rPr>
            </w:pPr>
            <w:r>
              <w:rPr>
                <w:lang w:eastAsia="en-AU"/>
              </w:rPr>
              <w:t>Strong</w:t>
            </w:r>
          </w:p>
        </w:tc>
        <w:tc>
          <w:tcPr>
            <w:tcW w:w="2434" w:type="dxa"/>
            <w:shd w:val="clear" w:color="auto" w:fill="FBD4B4" w:themeFill="accent6" w:themeFillTint="66"/>
          </w:tcPr>
          <w:p w14:paraId="1626982B" w14:textId="77777777" w:rsidR="004457C2" w:rsidRPr="004457C2" w:rsidRDefault="004457C2" w:rsidP="004457C2">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61A8796B" w14:textId="77777777" w:rsidR="004457C2" w:rsidRDefault="004457C2" w:rsidP="004457C2">
            <w:pPr>
              <w:spacing w:before="120" w:beforeAutospacing="0" w:after="120" w:afterAutospacing="0"/>
              <w:rPr>
                <w:lang w:eastAsia="en-AU"/>
              </w:rPr>
            </w:pPr>
            <w:r>
              <w:rPr>
                <w:lang w:eastAsia="en-AU"/>
              </w:rPr>
              <w:t>Good (5/6)</w:t>
            </w:r>
          </w:p>
        </w:tc>
      </w:tr>
    </w:tbl>
    <w:p w14:paraId="1660752D" w14:textId="77777777" w:rsidR="001924DD" w:rsidRDefault="001924DD" w:rsidP="00CA2870">
      <w:pPr>
        <w:pStyle w:val="Heading3"/>
        <w:jc w:val="both"/>
      </w:pPr>
      <w:r w:rsidRPr="001924DD">
        <w:t>Key Review Question</w:t>
      </w:r>
      <w:r w:rsidR="00341CBA">
        <w:t xml:space="preserve"> 1</w:t>
      </w:r>
      <w:r w:rsidR="00B801EA">
        <w:t xml:space="preserve"> (KRQ)</w:t>
      </w:r>
      <w:r w:rsidRPr="001924DD">
        <w:t xml:space="preserve">: Given the objectives of DFAT and the GoN in the infrastructure and essential services sector, to what extent are existing initiatives relevant? </w:t>
      </w:r>
    </w:p>
    <w:p w14:paraId="0D7C01BD" w14:textId="77777777" w:rsidR="008D7ECD" w:rsidRPr="00033134" w:rsidRDefault="008D7ECD" w:rsidP="00F5286F">
      <w:pPr>
        <w:pStyle w:val="Tablebullet"/>
        <w:numPr>
          <w:ilvl w:val="0"/>
          <w:numId w:val="44"/>
        </w:numPr>
        <w:ind w:left="284" w:hanging="283"/>
        <w:rPr>
          <w:i/>
          <w:color w:val="E36C0A" w:themeColor="accent6" w:themeShade="BF"/>
        </w:rPr>
      </w:pPr>
      <w:r w:rsidRPr="00033134">
        <w:rPr>
          <w:i/>
          <w:color w:val="E36C0A" w:themeColor="accent6" w:themeShade="BF"/>
        </w:rPr>
        <w:t xml:space="preserve">To what extent does Australia’s contribution support GoN’s objectives in infrastructure and essential services? </w:t>
      </w:r>
    </w:p>
    <w:p w14:paraId="695B6096" w14:textId="60BABD04" w:rsidR="00EC158B" w:rsidRDefault="00457167" w:rsidP="00457167">
      <w:pPr>
        <w:spacing w:before="120" w:after="120" w:line="280" w:lineRule="exact"/>
        <w:jc w:val="both"/>
        <w:rPr>
          <w:szCs w:val="20"/>
          <w:lang w:val="en-US"/>
        </w:rPr>
      </w:pPr>
      <w:r>
        <w:rPr>
          <w:lang w:eastAsia="en-AU"/>
        </w:rPr>
        <w:t xml:space="preserve">Nauru’s objectives in infrastructure and essential services are </w:t>
      </w:r>
      <w:r w:rsidR="00814079">
        <w:rPr>
          <w:lang w:eastAsia="en-AU"/>
        </w:rPr>
        <w:t xml:space="preserve">based on </w:t>
      </w:r>
      <w:r w:rsidRPr="00A43E1D">
        <w:rPr>
          <w:lang w:eastAsia="en-AU"/>
        </w:rPr>
        <w:t>Nauru’s National Strategic Development Strategy (NSDS) for 2005-2025 (GoN, 2009)</w:t>
      </w:r>
      <w:r w:rsidR="003354F2">
        <w:rPr>
          <w:lang w:eastAsia="en-AU"/>
        </w:rPr>
        <w:t xml:space="preserve">. </w:t>
      </w:r>
      <w:r w:rsidR="003354F2" w:rsidRPr="00A43E1D">
        <w:rPr>
          <w:szCs w:val="20"/>
          <w:lang w:val="en-US"/>
        </w:rPr>
        <w:t xml:space="preserve">The revised NSDS 2018-2030 is a draft document that will be a key reference for future recommendations, rather than </w:t>
      </w:r>
      <w:r w:rsidR="003354F2">
        <w:rPr>
          <w:szCs w:val="20"/>
          <w:lang w:val="en-US"/>
        </w:rPr>
        <w:t xml:space="preserve">indicate the relevance of </w:t>
      </w:r>
      <w:r w:rsidR="003354F2" w:rsidRPr="00A43E1D">
        <w:rPr>
          <w:szCs w:val="20"/>
          <w:lang w:val="en-US"/>
        </w:rPr>
        <w:t>past investments.</w:t>
      </w:r>
      <w:r w:rsidR="003354F2">
        <w:rPr>
          <w:szCs w:val="20"/>
          <w:lang w:val="en-US"/>
        </w:rPr>
        <w:t xml:space="preserve"> </w:t>
      </w:r>
      <w:r>
        <w:rPr>
          <w:lang w:eastAsia="en-AU"/>
        </w:rPr>
        <w:t xml:space="preserve">In 2011, a </w:t>
      </w:r>
      <w:r w:rsidRPr="00A43E1D">
        <w:rPr>
          <w:lang w:eastAsia="en-AU"/>
        </w:rPr>
        <w:t>Nauru Economic Infrastructure Strategy and Investment Plan (NEISIP)</w:t>
      </w:r>
      <w:r>
        <w:rPr>
          <w:lang w:eastAsia="en-AU"/>
        </w:rPr>
        <w:t xml:space="preserve"> was prepared for GoN by the Pacific Infrastructure Advisory </w:t>
      </w:r>
      <w:r w:rsidR="003D39B3">
        <w:rPr>
          <w:lang w:eastAsia="en-AU"/>
        </w:rPr>
        <w:t>Centre</w:t>
      </w:r>
      <w:r>
        <w:rPr>
          <w:lang w:eastAsia="en-AU"/>
        </w:rPr>
        <w:t xml:space="preserve"> (PIAC), and revised in the </w:t>
      </w:r>
      <w:r w:rsidRPr="00A43E1D">
        <w:rPr>
          <w:szCs w:val="20"/>
          <w:lang w:val="en-US"/>
        </w:rPr>
        <w:t>Infrastructure Sector Review (ISR)</w:t>
      </w:r>
      <w:r>
        <w:rPr>
          <w:szCs w:val="20"/>
          <w:lang w:val="en-US"/>
        </w:rPr>
        <w:t xml:space="preserve"> </w:t>
      </w:r>
      <w:r w:rsidRPr="00A43E1D">
        <w:rPr>
          <w:szCs w:val="20"/>
          <w:lang w:val="en-US"/>
        </w:rPr>
        <w:t>(PRIF-PIAC, 2013)</w:t>
      </w:r>
      <w:r>
        <w:rPr>
          <w:szCs w:val="20"/>
          <w:lang w:val="en-US"/>
        </w:rPr>
        <w:t xml:space="preserve">. </w:t>
      </w:r>
      <w:r w:rsidR="00EC158B">
        <w:rPr>
          <w:szCs w:val="20"/>
          <w:lang w:val="en-US"/>
        </w:rPr>
        <w:t>The</w:t>
      </w:r>
      <w:r w:rsidR="00F46835">
        <w:rPr>
          <w:szCs w:val="20"/>
          <w:lang w:val="en-US"/>
        </w:rPr>
        <w:t xml:space="preserve"> </w:t>
      </w:r>
      <w:r w:rsidR="007346F5">
        <w:rPr>
          <w:szCs w:val="20"/>
          <w:lang w:val="en-US"/>
        </w:rPr>
        <w:t>NSDS</w:t>
      </w:r>
      <w:r w:rsidR="00F46835">
        <w:rPr>
          <w:szCs w:val="20"/>
          <w:lang w:val="en-US"/>
        </w:rPr>
        <w:t xml:space="preserve"> (GoN</w:t>
      </w:r>
      <w:r w:rsidR="00BC168B">
        <w:rPr>
          <w:szCs w:val="20"/>
          <w:lang w:val="en-US"/>
        </w:rPr>
        <w:t>, 2009</w:t>
      </w:r>
      <w:r w:rsidR="00F46835">
        <w:rPr>
          <w:szCs w:val="20"/>
          <w:lang w:val="en-US"/>
        </w:rPr>
        <w:t>)</w:t>
      </w:r>
      <w:r w:rsidR="007346F5">
        <w:rPr>
          <w:szCs w:val="20"/>
          <w:lang w:val="en-US"/>
        </w:rPr>
        <w:t xml:space="preserve"> and ISR</w:t>
      </w:r>
      <w:r w:rsidR="00F46835">
        <w:rPr>
          <w:szCs w:val="20"/>
          <w:lang w:val="en-US"/>
        </w:rPr>
        <w:t xml:space="preserve"> (</w:t>
      </w:r>
      <w:r w:rsidR="0004563A">
        <w:rPr>
          <w:szCs w:val="20"/>
          <w:lang w:val="en-US"/>
        </w:rPr>
        <w:t>PRIF-</w:t>
      </w:r>
      <w:r w:rsidR="00F46835">
        <w:rPr>
          <w:szCs w:val="20"/>
          <w:lang w:val="en-US"/>
        </w:rPr>
        <w:t>PIAC</w:t>
      </w:r>
      <w:r w:rsidR="00BC168B">
        <w:rPr>
          <w:szCs w:val="20"/>
          <w:lang w:val="en-US"/>
        </w:rPr>
        <w:t>, 2013</w:t>
      </w:r>
      <w:r w:rsidR="007346F5">
        <w:rPr>
          <w:szCs w:val="20"/>
          <w:lang w:val="en-US"/>
        </w:rPr>
        <w:t>)</w:t>
      </w:r>
      <w:r w:rsidR="00EC158B">
        <w:rPr>
          <w:szCs w:val="20"/>
          <w:lang w:val="en-US"/>
        </w:rPr>
        <w:t xml:space="preserve"> </w:t>
      </w:r>
      <w:r w:rsidR="00214F8B">
        <w:rPr>
          <w:szCs w:val="20"/>
          <w:lang w:val="en-US"/>
        </w:rPr>
        <w:t xml:space="preserve">are the key baseline to ascertain </w:t>
      </w:r>
      <w:r w:rsidR="00EC158B">
        <w:rPr>
          <w:szCs w:val="20"/>
          <w:lang w:val="en-US"/>
        </w:rPr>
        <w:t>the relevance of DFAT’s investments to GoN’s objectives.</w:t>
      </w:r>
    </w:p>
    <w:p w14:paraId="71954BC8" w14:textId="77777777" w:rsidR="00237B3D" w:rsidRDefault="00237B3D" w:rsidP="001C2646">
      <w:pPr>
        <w:spacing w:before="120" w:after="120" w:line="280" w:lineRule="exact"/>
        <w:jc w:val="both"/>
        <w:rPr>
          <w:lang w:eastAsia="en-AU"/>
        </w:rPr>
      </w:pPr>
      <w:r>
        <w:rPr>
          <w:lang w:eastAsia="en-AU"/>
        </w:rPr>
        <w:t xml:space="preserve">DFAT’s infrastructure investments in the review period have focused on essential, social and economic infrastructure </w:t>
      </w:r>
      <w:r w:rsidR="00BC70C6">
        <w:rPr>
          <w:lang w:eastAsia="en-AU"/>
        </w:rPr>
        <w:t xml:space="preserve">in </w:t>
      </w:r>
      <w:r>
        <w:rPr>
          <w:lang w:eastAsia="en-AU"/>
        </w:rPr>
        <w:t>the key sectors of (i) transport (sea), (ii) power, (iii) water, (iv) health</w:t>
      </w:r>
      <w:r w:rsidR="00270B16">
        <w:rPr>
          <w:lang w:eastAsia="en-AU"/>
        </w:rPr>
        <w:t>,</w:t>
      </w:r>
      <w:r>
        <w:rPr>
          <w:lang w:eastAsia="en-AU"/>
        </w:rPr>
        <w:t xml:space="preserve"> (v) education</w:t>
      </w:r>
      <w:r w:rsidR="00270B16">
        <w:rPr>
          <w:lang w:eastAsia="en-AU"/>
        </w:rPr>
        <w:t xml:space="preserve"> and (vi) sport</w:t>
      </w:r>
      <w:r>
        <w:rPr>
          <w:lang w:eastAsia="en-AU"/>
        </w:rPr>
        <w:t>.</w:t>
      </w:r>
      <w:r w:rsidR="00982AA4">
        <w:rPr>
          <w:lang w:eastAsia="en-AU"/>
        </w:rPr>
        <w:t xml:space="preserve"> </w:t>
      </w:r>
      <w:r>
        <w:rPr>
          <w:lang w:eastAsia="en-AU"/>
        </w:rPr>
        <w:t xml:space="preserve">Infrastructure investments include key assets in each sector, including the </w:t>
      </w:r>
      <w:r w:rsidR="00AE4414">
        <w:rPr>
          <w:lang w:eastAsia="en-AU"/>
        </w:rPr>
        <w:t xml:space="preserve">sea </w:t>
      </w:r>
      <w:r>
        <w:rPr>
          <w:lang w:eastAsia="en-AU"/>
        </w:rPr>
        <w:t xml:space="preserve">port, diesel generators, water tanks, the hospital, community wellness clinics, learning village buildings (TVET and USP), sports complex and rehabilitation of sports facilities. </w:t>
      </w:r>
    </w:p>
    <w:p w14:paraId="07892A13" w14:textId="77777777" w:rsidR="001558BE" w:rsidRDefault="002F0B38" w:rsidP="001C2646">
      <w:pPr>
        <w:spacing w:before="120" w:after="120" w:line="280" w:lineRule="exact"/>
        <w:jc w:val="both"/>
        <w:rPr>
          <w:lang w:eastAsia="en-AU"/>
        </w:rPr>
      </w:pPr>
      <w:r>
        <w:rPr>
          <w:lang w:eastAsia="en-AU"/>
        </w:rPr>
        <w:t>All of the areas of investment by DFAT during the review period have been relevant to the GoN’s objectives in infrastructure and essential services, as outlined in the NSDS for 2005-2025. Further, during interviews with</w:t>
      </w:r>
      <w:r w:rsidRPr="007366A5">
        <w:rPr>
          <w:lang w:eastAsia="en-AU"/>
        </w:rPr>
        <w:t xml:space="preserve"> the Ministry of Finance Planning and Aid Division (PAD)</w:t>
      </w:r>
      <w:r>
        <w:rPr>
          <w:lang w:eastAsia="en-AU"/>
        </w:rPr>
        <w:t xml:space="preserve"> r</w:t>
      </w:r>
      <w:r w:rsidRPr="007366A5">
        <w:rPr>
          <w:lang w:eastAsia="en-AU"/>
        </w:rPr>
        <w:t>epresentatives expressed the opinion that DFAT’s investments were closely aligned and relevant to Nauru’s strategic development plan</w:t>
      </w:r>
      <w:r>
        <w:rPr>
          <w:rStyle w:val="FootnoteReference"/>
          <w:lang w:eastAsia="en-AU"/>
        </w:rPr>
        <w:footnoteReference w:id="4"/>
      </w:r>
      <w:r>
        <w:rPr>
          <w:lang w:eastAsia="en-AU"/>
        </w:rPr>
        <w:t>.</w:t>
      </w:r>
    </w:p>
    <w:p w14:paraId="341FDC77" w14:textId="77777777" w:rsidR="00665125" w:rsidRDefault="00ED1386" w:rsidP="00766B50">
      <w:pPr>
        <w:spacing w:before="120" w:after="120" w:line="280" w:lineRule="exact"/>
        <w:jc w:val="both"/>
        <w:rPr>
          <w:szCs w:val="20"/>
          <w:lang w:val="en-US"/>
        </w:rPr>
      </w:pPr>
      <w:r w:rsidRPr="009F27AA">
        <w:rPr>
          <w:szCs w:val="20"/>
          <w:lang w:val="en-US"/>
        </w:rPr>
        <w:t xml:space="preserve">Investments that were identified in the </w:t>
      </w:r>
      <w:r w:rsidR="00340E93">
        <w:rPr>
          <w:szCs w:val="20"/>
          <w:lang w:val="en-US"/>
        </w:rPr>
        <w:t xml:space="preserve">ISR </w:t>
      </w:r>
      <w:r w:rsidRPr="009F27AA">
        <w:rPr>
          <w:szCs w:val="20"/>
          <w:lang w:val="en-US"/>
        </w:rPr>
        <w:t>and subsequ</w:t>
      </w:r>
      <w:r w:rsidR="004A10ED">
        <w:rPr>
          <w:szCs w:val="20"/>
          <w:lang w:val="en-US"/>
        </w:rPr>
        <w:t xml:space="preserve">ently supported by DFAT include: </w:t>
      </w:r>
      <w:r w:rsidRPr="009F27AA">
        <w:rPr>
          <w:szCs w:val="20"/>
          <w:lang w:val="en-US"/>
        </w:rPr>
        <w:t xml:space="preserve">maritime (feasibility for port redevelopment, operational plan for the port and corporate strategy and performance improvement plan for PAN), power (performance improvement plan for NUC) and government buildings (new hospital, learning village). </w:t>
      </w:r>
    </w:p>
    <w:p w14:paraId="45599899" w14:textId="77777777" w:rsidR="0010340B" w:rsidRDefault="009836ED" w:rsidP="0010340B">
      <w:pPr>
        <w:spacing w:before="120" w:after="120" w:line="280" w:lineRule="exact"/>
        <w:jc w:val="both"/>
        <w:rPr>
          <w:szCs w:val="20"/>
        </w:rPr>
      </w:pPr>
      <w:r w:rsidRPr="00DD7C84">
        <w:rPr>
          <w:szCs w:val="20"/>
          <w:lang w:val="en-US"/>
        </w:rPr>
        <w:t>Based on the benchmark documents cited above, t</w:t>
      </w:r>
      <w:r w:rsidR="007E41A8" w:rsidRPr="00DD7C84">
        <w:rPr>
          <w:szCs w:val="20"/>
          <w:lang w:val="en-US"/>
        </w:rPr>
        <w:t xml:space="preserve">he projects that were least relevant </w:t>
      </w:r>
      <w:r w:rsidR="009C11B9">
        <w:rPr>
          <w:szCs w:val="20"/>
          <w:lang w:val="en-US"/>
        </w:rPr>
        <w:t xml:space="preserve">to the ISR were the </w:t>
      </w:r>
      <w:r w:rsidR="007E41A8" w:rsidRPr="001558BE">
        <w:rPr>
          <w:szCs w:val="20"/>
          <w:lang w:val="en-US"/>
        </w:rPr>
        <w:t>Household Water Tanks</w:t>
      </w:r>
      <w:r w:rsidR="007E41A8" w:rsidRPr="00DD7C84">
        <w:rPr>
          <w:szCs w:val="20"/>
          <w:lang w:val="en-US"/>
        </w:rPr>
        <w:t xml:space="preserve">, </w:t>
      </w:r>
      <w:r w:rsidR="007E41A8" w:rsidRPr="001558BE">
        <w:rPr>
          <w:szCs w:val="20"/>
          <w:lang w:val="en-US"/>
        </w:rPr>
        <w:t>Wellness Clinics</w:t>
      </w:r>
      <w:r w:rsidR="007E41A8" w:rsidRPr="00DD7C84">
        <w:rPr>
          <w:szCs w:val="20"/>
          <w:lang w:val="en-US"/>
        </w:rPr>
        <w:t xml:space="preserve"> and </w:t>
      </w:r>
      <w:r w:rsidR="007E41A8" w:rsidRPr="001558BE">
        <w:rPr>
          <w:szCs w:val="20"/>
          <w:lang w:val="en-US"/>
        </w:rPr>
        <w:t>Sports Complex</w:t>
      </w:r>
      <w:r w:rsidR="00621609" w:rsidRPr="00DD7C84">
        <w:rPr>
          <w:szCs w:val="20"/>
          <w:lang w:val="en-US"/>
        </w:rPr>
        <w:t xml:space="preserve">. </w:t>
      </w:r>
      <w:r w:rsidR="002B044F" w:rsidRPr="00DD7C84">
        <w:rPr>
          <w:szCs w:val="20"/>
          <w:lang w:val="en-US"/>
        </w:rPr>
        <w:t xml:space="preserve">The household water tanks is partially relevant to </w:t>
      </w:r>
      <w:r w:rsidR="00F165CC" w:rsidRPr="00DD7C84">
        <w:rPr>
          <w:szCs w:val="20"/>
          <w:lang w:val="en-US"/>
        </w:rPr>
        <w:t xml:space="preserve">NEISIP </w:t>
      </w:r>
      <w:r w:rsidR="002B044F" w:rsidRPr="00DD7C84">
        <w:rPr>
          <w:szCs w:val="20"/>
          <w:lang w:val="en-US"/>
        </w:rPr>
        <w:t>recommendations and the project was initiated by GoN applying for funding through an Australian funded Climate Change Initiative.</w:t>
      </w:r>
      <w:bookmarkStart w:id="24" w:name="_Hlk515772246"/>
      <w:r w:rsidR="00CA7E72" w:rsidRPr="00CA7E72">
        <w:rPr>
          <w:szCs w:val="20"/>
          <w:lang w:val="en-US"/>
        </w:rPr>
        <w:t xml:space="preserve"> </w:t>
      </w:r>
      <w:bookmarkEnd w:id="24"/>
      <w:r w:rsidR="00CA7E72" w:rsidRPr="0029780A">
        <w:rPr>
          <w:szCs w:val="20"/>
          <w:lang w:val="en-US"/>
        </w:rPr>
        <w:t xml:space="preserve">The wellness clinics </w:t>
      </w:r>
      <w:r w:rsidR="00A83AFD" w:rsidRPr="0029780A">
        <w:rPr>
          <w:szCs w:val="20"/>
          <w:lang w:val="en-US"/>
        </w:rPr>
        <w:t xml:space="preserve">project </w:t>
      </w:r>
      <w:r w:rsidR="00855C8F" w:rsidRPr="0029780A">
        <w:rPr>
          <w:szCs w:val="20"/>
          <w:lang w:val="en-US"/>
        </w:rPr>
        <w:t xml:space="preserve">has not been </w:t>
      </w:r>
      <w:r w:rsidR="00CA7E28">
        <w:rPr>
          <w:szCs w:val="20"/>
          <w:lang w:val="en-US"/>
        </w:rPr>
        <w:t xml:space="preserve">assessed </w:t>
      </w:r>
      <w:r w:rsidR="002F2839" w:rsidRPr="0029780A">
        <w:rPr>
          <w:szCs w:val="20"/>
          <w:lang w:val="en-US"/>
        </w:rPr>
        <w:t>in detail</w:t>
      </w:r>
      <w:r w:rsidR="00855C8F" w:rsidRPr="0029780A">
        <w:rPr>
          <w:szCs w:val="20"/>
          <w:lang w:val="en-US"/>
        </w:rPr>
        <w:t xml:space="preserve"> as part of this </w:t>
      </w:r>
      <w:r w:rsidR="002E0316" w:rsidRPr="0029780A">
        <w:rPr>
          <w:szCs w:val="20"/>
          <w:lang w:val="en-US"/>
        </w:rPr>
        <w:t xml:space="preserve">infrastructure </w:t>
      </w:r>
      <w:r w:rsidR="00855C8F" w:rsidRPr="0029780A">
        <w:rPr>
          <w:szCs w:val="20"/>
          <w:lang w:val="en-US"/>
        </w:rPr>
        <w:t>review (a recent health review was completed).</w:t>
      </w:r>
      <w:r w:rsidR="00855C8F">
        <w:rPr>
          <w:szCs w:val="20"/>
          <w:lang w:val="en-US"/>
        </w:rPr>
        <w:t xml:space="preserve"> </w:t>
      </w:r>
      <w:r w:rsidR="0010340B" w:rsidRPr="009F27AA">
        <w:rPr>
          <w:szCs w:val="20"/>
        </w:rPr>
        <w:t xml:space="preserve">The sports complex was supported by DFAT </w:t>
      </w:r>
      <w:r w:rsidR="0010340B">
        <w:rPr>
          <w:szCs w:val="20"/>
        </w:rPr>
        <w:t xml:space="preserve">to deliver </w:t>
      </w:r>
      <w:r w:rsidR="0010340B">
        <w:t>health and social inclusion</w:t>
      </w:r>
      <w:r w:rsidR="0010340B" w:rsidRPr="009F27AA">
        <w:rPr>
          <w:szCs w:val="20"/>
        </w:rPr>
        <w:t xml:space="preserve"> </w:t>
      </w:r>
      <w:r w:rsidR="0010340B">
        <w:rPr>
          <w:szCs w:val="20"/>
        </w:rPr>
        <w:t xml:space="preserve">outcomes. </w:t>
      </w:r>
    </w:p>
    <w:p w14:paraId="193FF77B" w14:textId="77777777" w:rsidR="00CA7E28" w:rsidRDefault="00CA7E28" w:rsidP="0010340B">
      <w:pPr>
        <w:spacing w:before="120" w:after="120" w:line="280" w:lineRule="exact"/>
        <w:jc w:val="both"/>
        <w:rPr>
          <w:szCs w:val="20"/>
        </w:rPr>
      </w:pPr>
    </w:p>
    <w:p w14:paraId="4605F19D" w14:textId="77777777" w:rsidR="00033134" w:rsidRPr="00033134" w:rsidRDefault="00033134" w:rsidP="00F5286F">
      <w:pPr>
        <w:pStyle w:val="Tablebullet"/>
        <w:numPr>
          <w:ilvl w:val="0"/>
          <w:numId w:val="44"/>
        </w:numPr>
        <w:ind w:left="284" w:hanging="283"/>
        <w:rPr>
          <w:i/>
          <w:color w:val="E36C0A" w:themeColor="accent6" w:themeShade="BF"/>
        </w:rPr>
      </w:pPr>
      <w:r w:rsidRPr="00033134">
        <w:rPr>
          <w:i/>
          <w:color w:val="E36C0A" w:themeColor="accent6" w:themeShade="BF"/>
        </w:rPr>
        <w:lastRenderedPageBreak/>
        <w:t xml:space="preserve">How is investing in infrastructure and essential services in Nauru in Australia’s national interest? </w:t>
      </w:r>
    </w:p>
    <w:p w14:paraId="6D12FC42" w14:textId="77777777" w:rsidR="001E698D" w:rsidRPr="009A2068" w:rsidRDefault="001E698D" w:rsidP="00FB03D6">
      <w:pPr>
        <w:jc w:val="both"/>
      </w:pPr>
      <w:r>
        <w:t xml:space="preserve">When allocating development assistance, </w:t>
      </w:r>
      <w:r w:rsidR="0056315F">
        <w:t xml:space="preserve">GoA </w:t>
      </w:r>
      <w:r w:rsidR="00157D9F">
        <w:t>is guided by the four tests in its 2017 Foreign Policy White Paper</w:t>
      </w:r>
      <w:r w:rsidR="00157D9F">
        <w:rPr>
          <w:rStyle w:val="FootnoteReference"/>
        </w:rPr>
        <w:footnoteReference w:id="5"/>
      </w:r>
      <w:r w:rsidR="00157D9F">
        <w:t xml:space="preserve">. </w:t>
      </w:r>
      <w:r w:rsidR="00923177">
        <w:t>Two of those four key criteria include assessing</w:t>
      </w:r>
      <w:r>
        <w:t xml:space="preserve"> whether the assistance </w:t>
      </w:r>
      <w:r w:rsidR="009D046A">
        <w:t>is</w:t>
      </w:r>
      <w:r w:rsidRPr="00BC4224">
        <w:t xml:space="preserve"> in Australia’s </w:t>
      </w:r>
      <w:r>
        <w:t>national interest</w:t>
      </w:r>
      <w:r w:rsidR="0089403B">
        <w:t>,</w:t>
      </w:r>
      <w:r>
        <w:t xml:space="preserve"> and whether it will promote inclusive growth and reduce poverty in the recipient country.</w:t>
      </w:r>
      <w:r w:rsidRPr="001E698D">
        <w:rPr>
          <w:lang w:val="en-US"/>
        </w:rPr>
        <w:t xml:space="preserve"> Further, the Aid Investment Plan for Nauru notes that Australia’s aid in Nauru forms part of</w:t>
      </w:r>
      <w:r w:rsidRPr="001E698D">
        <w:rPr>
          <w:i/>
          <w:lang w:val="en-US"/>
        </w:rPr>
        <w:t xml:space="preserve"> ‘our broader economic and diplomacy efforts to promote prosperity and security in the Pacific region and we pursue an integrated set of foreign, trade and development policies to advance our interests in Nauru’</w:t>
      </w:r>
      <w:r w:rsidRPr="001E698D">
        <w:rPr>
          <w:lang w:val="en-US"/>
        </w:rPr>
        <w:t>. Although there are no specific statistics, funding provided to the hospital phase I and II (health), TVET Centre and the Learning Centre (education), sports complex (social and health), port redevelopment and NUC through the NUC CEO (essential services) can be deemed to be contributing to inclusive growth and reducing poverty in Nauru and promoting prosperity and security in the Pacific region.</w:t>
      </w:r>
    </w:p>
    <w:p w14:paraId="0C646338" w14:textId="77777777" w:rsidR="00303E8D" w:rsidRDefault="00303E8D" w:rsidP="00727020">
      <w:pPr>
        <w:pStyle w:val="Heading2"/>
        <w:ind w:left="576"/>
      </w:pPr>
      <w:bookmarkStart w:id="25" w:name="_Ref516133660"/>
      <w:bookmarkStart w:id="26" w:name="_Ref516133672"/>
      <w:bookmarkStart w:id="27" w:name="_Toc518640216"/>
      <w:r>
        <w:t>Effectiveness</w:t>
      </w:r>
      <w:bookmarkEnd w:id="25"/>
      <w:bookmarkEnd w:id="26"/>
      <w:bookmarkEnd w:id="27"/>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DB3942" w14:paraId="299687D0" w14:textId="77777777" w:rsidTr="000A167B">
        <w:tc>
          <w:tcPr>
            <w:tcW w:w="2434" w:type="dxa"/>
            <w:shd w:val="clear" w:color="auto" w:fill="FBD4B4" w:themeFill="accent6" w:themeFillTint="66"/>
          </w:tcPr>
          <w:p w14:paraId="023F1CE9" w14:textId="77777777" w:rsidR="00DB3942" w:rsidRPr="004457C2" w:rsidRDefault="00DB3942" w:rsidP="000A167B">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4A44C7A6" w14:textId="77777777" w:rsidR="00DB3942" w:rsidRDefault="006C1D9F" w:rsidP="000A167B">
            <w:pPr>
              <w:spacing w:before="120" w:beforeAutospacing="0" w:after="120" w:afterAutospacing="0"/>
              <w:rPr>
                <w:lang w:eastAsia="en-AU"/>
              </w:rPr>
            </w:pPr>
            <w:r>
              <w:rPr>
                <w:lang w:eastAsia="en-AU"/>
              </w:rPr>
              <w:t>Moderate</w:t>
            </w:r>
          </w:p>
        </w:tc>
        <w:tc>
          <w:tcPr>
            <w:tcW w:w="2434" w:type="dxa"/>
            <w:shd w:val="clear" w:color="auto" w:fill="FBD4B4" w:themeFill="accent6" w:themeFillTint="66"/>
          </w:tcPr>
          <w:p w14:paraId="4BABFD34" w14:textId="77777777" w:rsidR="00DB3942" w:rsidRPr="004457C2" w:rsidRDefault="00DB3942" w:rsidP="000A167B">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201D92D4" w14:textId="77777777" w:rsidR="00DB3942" w:rsidRDefault="006C1D9F" w:rsidP="000A167B">
            <w:pPr>
              <w:spacing w:before="120" w:beforeAutospacing="0" w:after="120" w:afterAutospacing="0"/>
              <w:rPr>
                <w:lang w:eastAsia="en-AU"/>
              </w:rPr>
            </w:pPr>
            <w:r>
              <w:rPr>
                <w:lang w:eastAsia="en-AU"/>
              </w:rPr>
              <w:t>Adequate</w:t>
            </w:r>
            <w:r w:rsidR="00DB3942">
              <w:rPr>
                <w:lang w:eastAsia="en-AU"/>
              </w:rPr>
              <w:t xml:space="preserve"> (</w:t>
            </w:r>
            <w:r>
              <w:rPr>
                <w:lang w:eastAsia="en-AU"/>
              </w:rPr>
              <w:t>4</w:t>
            </w:r>
            <w:r w:rsidR="00DB3942">
              <w:rPr>
                <w:lang w:eastAsia="en-AU"/>
              </w:rPr>
              <w:t>/6)</w:t>
            </w:r>
          </w:p>
        </w:tc>
      </w:tr>
    </w:tbl>
    <w:p w14:paraId="0EE50444" w14:textId="77777777" w:rsidR="009E791E" w:rsidRDefault="009E791E" w:rsidP="009E791E">
      <w:pPr>
        <w:pStyle w:val="Heading3"/>
        <w:jc w:val="both"/>
      </w:pPr>
      <w:r w:rsidRPr="001924DD">
        <w:t>Key Review Question</w:t>
      </w:r>
      <w:r>
        <w:t xml:space="preserve"> 3 (KRQ)</w:t>
      </w:r>
      <w:r w:rsidRPr="001924DD">
        <w:t xml:space="preserve">: </w:t>
      </w:r>
      <w:r w:rsidRPr="008A607D">
        <w:t>To what extent has DFAT’s support been effective at providing essential infrastructure and reform of the utilities sector?</w:t>
      </w:r>
    </w:p>
    <w:p w14:paraId="02E1660B" w14:textId="77777777" w:rsidR="009E791E" w:rsidRPr="00D11277" w:rsidRDefault="009E791E" w:rsidP="009E791E">
      <w:pPr>
        <w:pStyle w:val="Tablebullet"/>
        <w:numPr>
          <w:ilvl w:val="0"/>
          <w:numId w:val="46"/>
        </w:numPr>
        <w:ind w:left="284" w:hanging="283"/>
        <w:rPr>
          <w:i/>
          <w:color w:val="E36C0A" w:themeColor="accent6" w:themeShade="BF"/>
        </w:rPr>
      </w:pPr>
      <w:r w:rsidRPr="00D11277">
        <w:rPr>
          <w:i/>
          <w:color w:val="E36C0A" w:themeColor="accent6" w:themeShade="BF"/>
        </w:rPr>
        <w:t xml:space="preserve">To what extent have DFAT’s investments delivered physical infrastructure that is fit for purpose over time in a changing climate? </w:t>
      </w:r>
    </w:p>
    <w:p w14:paraId="1C147676" w14:textId="77777777" w:rsidR="009E791E" w:rsidRDefault="009E791E" w:rsidP="009E791E">
      <w:pPr>
        <w:pStyle w:val="Tablebullet"/>
        <w:numPr>
          <w:ilvl w:val="0"/>
          <w:numId w:val="46"/>
        </w:numPr>
        <w:ind w:left="284" w:hanging="283"/>
        <w:rPr>
          <w:i/>
          <w:color w:val="E36C0A" w:themeColor="accent6" w:themeShade="BF"/>
        </w:rPr>
      </w:pPr>
      <w:r w:rsidRPr="00D11277">
        <w:rPr>
          <w:i/>
          <w:color w:val="E36C0A" w:themeColor="accent6" w:themeShade="BF"/>
        </w:rPr>
        <w:t>To what extent have DFAT’s investments ensured that infrastructure assets and utilities are sustainably operated, managed and maintained?</w:t>
      </w:r>
    </w:p>
    <w:p w14:paraId="581144C4" w14:textId="77777777" w:rsidR="009E791E" w:rsidRPr="00D11277" w:rsidRDefault="009E791E" w:rsidP="009E791E">
      <w:pPr>
        <w:pStyle w:val="Tablebullet"/>
        <w:numPr>
          <w:ilvl w:val="0"/>
          <w:numId w:val="0"/>
        </w:numPr>
        <w:ind w:left="1"/>
        <w:rPr>
          <w:i/>
          <w:color w:val="E36C0A" w:themeColor="accent6" w:themeShade="BF"/>
        </w:rPr>
      </w:pPr>
    </w:p>
    <w:p w14:paraId="2987F104" w14:textId="408818ED" w:rsidR="00EB1CEF" w:rsidRDefault="00EB1CEF" w:rsidP="00EB1CEF">
      <w:pPr>
        <w:spacing w:before="0"/>
        <w:jc w:val="both"/>
        <w:rPr>
          <w:lang w:eastAsia="en-AU"/>
        </w:rPr>
      </w:pPr>
      <w:r>
        <w:rPr>
          <w:lang w:eastAsia="en-AU"/>
        </w:rPr>
        <w:t>The results for effectiveness of DFAT investments over the review period were mixed, however the majority of the projects considered to be effective or likely to be effective on completion, particularly more recent projects. Projects that were considered to be potentially effective with key follow-on interventions include the hospital and wellness clinics. The hospital process was in response to unique circumstances, whereby modular components intended for an</w:t>
      </w:r>
      <w:r w:rsidR="00487E3B">
        <w:rPr>
          <w:lang w:eastAsia="en-AU"/>
        </w:rPr>
        <w:t>other</w:t>
      </w:r>
      <w:r>
        <w:rPr>
          <w:lang w:eastAsia="en-AU"/>
        </w:rPr>
        <w:t xml:space="preserve"> </w:t>
      </w:r>
      <w:r w:rsidR="003D39B3">
        <w:rPr>
          <w:lang w:eastAsia="en-AU"/>
        </w:rPr>
        <w:t>site</w:t>
      </w:r>
      <w:r>
        <w:rPr>
          <w:lang w:eastAsia="en-AU"/>
        </w:rPr>
        <w:t xml:space="preserve"> were repurposed, with some resultant compromises to the process and design. The design of the three wellness clinics funded by DFAT have not considered suitable materials for sites proximal to the ocean, ongoing maintenance and access to toilets, which have contributed one of the clinics funded b</w:t>
      </w:r>
      <w:r w:rsidR="00487E3B">
        <w:rPr>
          <w:lang w:eastAsia="en-AU"/>
        </w:rPr>
        <w:t>eing disused. The third clinic sustained</w:t>
      </w:r>
      <w:r>
        <w:rPr>
          <w:lang w:eastAsia="en-AU"/>
        </w:rPr>
        <w:t xml:space="preserve"> damage during shipping and is yet to be operational. The water tank project appears unlikely to be effective, given reduction in scope from an intended 200 tanks for approximately 106, as well as the lack of an ongoing maintenance</w:t>
      </w:r>
      <w:r w:rsidRPr="0015040B">
        <w:rPr>
          <w:lang w:eastAsia="en-AU"/>
        </w:rPr>
        <w:t xml:space="preserve"> </w:t>
      </w:r>
      <w:r>
        <w:rPr>
          <w:lang w:eastAsia="en-AU"/>
        </w:rPr>
        <w:t>strategy.</w:t>
      </w:r>
    </w:p>
    <w:p w14:paraId="5F35E9D0" w14:textId="4C724F59" w:rsidR="009E791E" w:rsidRDefault="009E791E" w:rsidP="009E791E">
      <w:pPr>
        <w:jc w:val="both"/>
        <w:rPr>
          <w:lang w:eastAsia="en-AU"/>
        </w:rPr>
      </w:pPr>
      <w:r>
        <w:rPr>
          <w:lang w:eastAsia="en-AU"/>
        </w:rPr>
        <w:t xml:space="preserve">Based on the findings from the review, the following projects </w:t>
      </w:r>
      <w:r w:rsidR="00487E3B">
        <w:rPr>
          <w:lang w:eastAsia="en-AU"/>
        </w:rPr>
        <w:t>are</w:t>
      </w:r>
      <w:r>
        <w:rPr>
          <w:lang w:eastAsia="en-AU"/>
        </w:rPr>
        <w:t xml:space="preserve"> assessed as </w:t>
      </w:r>
      <w:r w:rsidRPr="00802126">
        <w:rPr>
          <w:b/>
          <w:lang w:eastAsia="en-AU"/>
        </w:rPr>
        <w:t>effective</w:t>
      </w:r>
      <w:r>
        <w:rPr>
          <w:lang w:eastAsia="en-AU"/>
        </w:rPr>
        <w:t xml:space="preserve"> or </w:t>
      </w:r>
      <w:r w:rsidRPr="00802126">
        <w:rPr>
          <w:b/>
          <w:lang w:eastAsia="en-AU"/>
        </w:rPr>
        <w:t>likely to be effective</w:t>
      </w:r>
      <w:r>
        <w:rPr>
          <w:lang w:eastAsia="en-AU"/>
        </w:rPr>
        <w:t xml:space="preserve"> upon completion</w:t>
      </w:r>
      <w:r>
        <w:rPr>
          <w:rStyle w:val="FootnoteReference"/>
          <w:lang w:eastAsia="en-AU"/>
        </w:rPr>
        <w:footnoteReference w:id="6"/>
      </w:r>
      <w:r>
        <w:rPr>
          <w:lang w:eastAsia="en-AU"/>
        </w:rPr>
        <w:t>:</w:t>
      </w:r>
    </w:p>
    <w:p w14:paraId="3257B5B8" w14:textId="77777777" w:rsidR="009E791E" w:rsidRDefault="009E791E" w:rsidP="009E791E">
      <w:pPr>
        <w:pStyle w:val="Bullet1Tightlessspacing"/>
        <w:ind w:left="709"/>
        <w:jc w:val="both"/>
      </w:pPr>
      <w:r w:rsidRPr="00A55667">
        <w:rPr>
          <w:i/>
        </w:rPr>
        <w:t>Electricity Supply and Sustainability Project</w:t>
      </w:r>
      <w:r>
        <w:rPr>
          <w:i/>
        </w:rPr>
        <w:t xml:space="preserve"> </w:t>
      </w:r>
      <w:r>
        <w:t xml:space="preserve">– According to the NUC CEO 2.6–3.0MW </w:t>
      </w:r>
      <w:r w:rsidRPr="009F27AA">
        <w:rPr>
          <w:lang w:val="en-US"/>
        </w:rPr>
        <w:t xml:space="preserve">diesel generators contributed by DFAT were </w:t>
      </w:r>
      <w:r>
        <w:rPr>
          <w:lang w:val="en-US"/>
        </w:rPr>
        <w:t xml:space="preserve">deemed </w:t>
      </w:r>
      <w:r w:rsidRPr="009F27AA">
        <w:rPr>
          <w:lang w:val="en-US"/>
        </w:rPr>
        <w:t xml:space="preserve">suitable in terms of capacity </w:t>
      </w:r>
      <w:r>
        <w:rPr>
          <w:lang w:val="en-US"/>
        </w:rPr>
        <w:t xml:space="preserve">and quality </w:t>
      </w:r>
      <w:r w:rsidRPr="009F27AA">
        <w:rPr>
          <w:lang w:val="en-US"/>
        </w:rPr>
        <w:t>and are contributing to the improved level of energy service in Nauru.</w:t>
      </w:r>
      <w:r>
        <w:rPr>
          <w:lang w:val="en-US"/>
        </w:rPr>
        <w:t xml:space="preserve"> The project has been assessed as effective due to the role the generators play in securing baseload</w:t>
      </w:r>
      <w:r>
        <w:rPr>
          <w:rStyle w:val="FootnoteReference"/>
          <w:lang w:val="en-US"/>
        </w:rPr>
        <w:footnoteReference w:id="7"/>
      </w:r>
      <w:r>
        <w:rPr>
          <w:lang w:val="en-US"/>
        </w:rPr>
        <w:t xml:space="preserve">, paving the way for introducing more solar capacity into Nauru’s energy mix. </w:t>
      </w:r>
    </w:p>
    <w:p w14:paraId="69E30F8F" w14:textId="2E71ED7E" w:rsidR="009E791E" w:rsidRPr="00FC3AD3" w:rsidRDefault="009E791E" w:rsidP="009E791E">
      <w:pPr>
        <w:pStyle w:val="Bullet1Tightlessspacing"/>
        <w:ind w:left="709"/>
        <w:jc w:val="both"/>
        <w:rPr>
          <w:lang w:val="en-US"/>
        </w:rPr>
      </w:pPr>
      <w:r w:rsidRPr="00A55667">
        <w:rPr>
          <w:i/>
        </w:rPr>
        <w:t>Sports Complex</w:t>
      </w:r>
      <w:r>
        <w:t xml:space="preserve"> – </w:t>
      </w:r>
      <w:r w:rsidRPr="008F76AA">
        <w:rPr>
          <w:lang w:val="en-US"/>
        </w:rPr>
        <w:t xml:space="preserve">Whilst </w:t>
      </w:r>
      <w:r>
        <w:rPr>
          <w:lang w:val="en-US"/>
        </w:rPr>
        <w:t>this facility</w:t>
      </w:r>
      <w:r w:rsidRPr="008F76AA">
        <w:rPr>
          <w:lang w:val="en-US"/>
        </w:rPr>
        <w:t xml:space="preserve"> is currently under construction, the information available indicates that the </w:t>
      </w:r>
      <w:r>
        <w:rPr>
          <w:lang w:val="en-US"/>
        </w:rPr>
        <w:t>Department of S</w:t>
      </w:r>
      <w:r w:rsidRPr="008F76AA">
        <w:rPr>
          <w:lang w:val="en-US"/>
        </w:rPr>
        <w:t xml:space="preserve">ports </w:t>
      </w:r>
      <w:r>
        <w:rPr>
          <w:lang w:val="en-US"/>
        </w:rPr>
        <w:t>(DoS) expect the sports complex</w:t>
      </w:r>
      <w:r w:rsidRPr="008F76AA">
        <w:rPr>
          <w:lang w:val="en-US"/>
        </w:rPr>
        <w:t xml:space="preserve"> </w:t>
      </w:r>
      <w:r>
        <w:rPr>
          <w:lang w:val="en-US"/>
        </w:rPr>
        <w:t xml:space="preserve">to meet their needs, indicating it </w:t>
      </w:r>
      <w:r w:rsidRPr="008F76AA">
        <w:rPr>
          <w:lang w:val="en-US"/>
        </w:rPr>
        <w:t xml:space="preserve">will </w:t>
      </w:r>
      <w:r>
        <w:rPr>
          <w:lang w:val="en-US"/>
        </w:rPr>
        <w:t xml:space="preserve">likely </w:t>
      </w:r>
      <w:r w:rsidRPr="008F76AA">
        <w:rPr>
          <w:lang w:val="en-US"/>
        </w:rPr>
        <w:t xml:space="preserve">be fit for purpose </w:t>
      </w:r>
      <w:r>
        <w:rPr>
          <w:lang w:val="en-US"/>
        </w:rPr>
        <w:t>(within expectations of phase 1) upon completion.</w:t>
      </w:r>
      <w:r w:rsidRPr="008F76AA">
        <w:rPr>
          <w:lang w:val="en-US"/>
        </w:rPr>
        <w:t xml:space="preserve"> </w:t>
      </w:r>
      <w:r>
        <w:rPr>
          <w:lang w:val="en-US"/>
        </w:rPr>
        <w:t xml:space="preserve">Sports Federations were also consulted during the design phase. DoS and Planning Aid Division (PAD) are </w:t>
      </w:r>
      <w:r>
        <w:rPr>
          <w:lang w:val="en-US"/>
        </w:rPr>
        <w:lastRenderedPageBreak/>
        <w:t>concerned that long ter</w:t>
      </w:r>
      <w:r w:rsidR="006D04C0">
        <w:rPr>
          <w:lang w:val="en-US"/>
        </w:rPr>
        <w:t>m the efficiency will  reduce</w:t>
      </w:r>
      <w:r>
        <w:rPr>
          <w:lang w:val="en-US"/>
        </w:rPr>
        <w:t xml:space="preserve"> by lack of prioritization for Phase 2. The Concept Design</w:t>
      </w:r>
      <w:r>
        <w:rPr>
          <w:rStyle w:val="FootnoteReference"/>
          <w:lang w:val="en-US"/>
        </w:rPr>
        <w:footnoteReference w:id="8"/>
      </w:r>
      <w:r>
        <w:rPr>
          <w:lang w:val="en-US"/>
        </w:rPr>
        <w:t xml:space="preserve"> includes a design response to future climate conditions, indicating that the facility will continue to be effective into the future. Ongoing management and operations support </w:t>
      </w:r>
      <w:r w:rsidR="006D04C0">
        <w:rPr>
          <w:lang w:val="en-US"/>
        </w:rPr>
        <w:t>will</w:t>
      </w:r>
      <w:r>
        <w:rPr>
          <w:lang w:val="en-US"/>
        </w:rPr>
        <w:t xml:space="preserve"> be addressed through a parallel sports TA, the timeliness of which will be important to attain effective outcomes.</w:t>
      </w:r>
    </w:p>
    <w:p w14:paraId="46D8D83C" w14:textId="77777777" w:rsidR="009E791E" w:rsidRDefault="009E791E" w:rsidP="009E791E">
      <w:pPr>
        <w:pStyle w:val="Bullet1Tightlessspacing"/>
        <w:ind w:left="709"/>
        <w:jc w:val="both"/>
      </w:pPr>
      <w:r w:rsidRPr="00A55667">
        <w:rPr>
          <w:i/>
        </w:rPr>
        <w:t>Port Redevelopment</w:t>
      </w:r>
      <w:r>
        <w:rPr>
          <w:i/>
        </w:rPr>
        <w:t xml:space="preserve"> </w:t>
      </w:r>
      <w:r>
        <w:t xml:space="preserve">– </w:t>
      </w:r>
      <w:r w:rsidRPr="00EB1572">
        <w:t xml:space="preserve">the Port Redevelopment project is still in the planning stage, with construction expected to commence in 2019. Significant due diligence has been completed by ADB to ensure that the design is climate resilient and fit for purpose. </w:t>
      </w:r>
      <w:r w:rsidRPr="005C1604">
        <w:t xml:space="preserve">The effectiveness of the project cannot be ascertained at </w:t>
      </w:r>
      <w:r>
        <w:t>the planning stage, h</w:t>
      </w:r>
      <w:r w:rsidRPr="005C1604">
        <w:t>owever, the feasibility assessment, options analysis, technical design and associated quality assurance have been robust to setup the project for effective outcomes</w:t>
      </w:r>
      <w:r>
        <w:t>, including a future funding model</w:t>
      </w:r>
      <w:r w:rsidRPr="005C1604">
        <w:t>. Notwithstanding, there remain some outstanding issues to be resolved</w:t>
      </w:r>
      <w:r>
        <w:t xml:space="preserve"> </w:t>
      </w:r>
      <w:r w:rsidRPr="005C1604">
        <w:t xml:space="preserve">related to the technical design. The processes </w:t>
      </w:r>
      <w:r>
        <w:t xml:space="preserve">put in </w:t>
      </w:r>
      <w:r w:rsidRPr="005C1604">
        <w:t xml:space="preserve">place jointly by DFAT and ADB appear to be adequate to resolve </w:t>
      </w:r>
      <w:r>
        <w:t>these</w:t>
      </w:r>
      <w:r w:rsidRPr="005C1604">
        <w:t xml:space="preserve"> issues.</w:t>
      </w:r>
      <w:r>
        <w:t xml:space="preserve"> </w:t>
      </w:r>
    </w:p>
    <w:p w14:paraId="07EC563C" w14:textId="4057242D" w:rsidR="009E791E" w:rsidRDefault="009E791E" w:rsidP="009E791E">
      <w:pPr>
        <w:pStyle w:val="Bullet1Tightlessspacing"/>
        <w:ind w:left="709"/>
        <w:jc w:val="both"/>
      </w:pPr>
      <w:r w:rsidRPr="00986556">
        <w:rPr>
          <w:i/>
        </w:rPr>
        <w:t>Technical Assistance support to the Nauru Utilities Corporation (NUC)</w:t>
      </w:r>
      <w:r>
        <w:t xml:space="preserve"> – has been highly effective to date. </w:t>
      </w:r>
      <w:r w:rsidRPr="00986556">
        <w:t>Since 2012, institutional reform has been improved through a PACTAM advisor as the CEO Nauru Utilities Corporation (NUC), guided by the NUC Strategic Plan 2014-20</w:t>
      </w:r>
      <w:r>
        <w:t>. The NUC CEO has delivered substantial operational savings whilst improving stability of the power supply, evidenced by the reduction in the frequency and duration of power outages</w:t>
      </w:r>
      <w:r>
        <w:rPr>
          <w:rStyle w:val="FootnoteReference"/>
        </w:rPr>
        <w:footnoteReference w:id="9"/>
      </w:r>
      <w:r>
        <w:t xml:space="preserve">. In addition, the CEO has built capacity of staff, delivered contingency planning, strategically retired, maintained and replaced key assets and improved the reliability of water delivery. NUC’s Financial Reports and Department of Treasury confirm that operating subsidies to the NUC have reduced from $6.4m in 2015 to $1.8m (forecast) for 2018, with projections that NUC will deliver a surplus by 2020 that would enable a capital works fund. </w:t>
      </w:r>
      <w:r w:rsidR="000D0BCD">
        <w:t xml:space="preserve">This represents a cost saving of $4.6 million for the current financial year alone, </w:t>
      </w:r>
      <w:r w:rsidR="00CC44A3">
        <w:t xml:space="preserve">with savings </w:t>
      </w:r>
      <w:r w:rsidR="000D0BCD">
        <w:t xml:space="preserve">expected to </w:t>
      </w:r>
      <w:r w:rsidR="00CC44A3">
        <w:t>increase</w:t>
      </w:r>
      <w:r w:rsidR="000D0BCD">
        <w:t xml:space="preserve">. </w:t>
      </w:r>
      <w:r>
        <w:t>Electricity losses have dropped from n</w:t>
      </w:r>
      <w:r w:rsidRPr="00986556">
        <w:rPr>
          <w:szCs w:val="20"/>
        </w:rPr>
        <w:t xml:space="preserve">early half in 2014 to approaching the Pacific standard of less than 10%. Household level safety inspections have taken place, preventing electrical fires and reducing “hot” connections. The CEO has also been successful in securing investments from the ADB, DFAT, EU, NZMFAT and UAE for capital investments in diesel generators, solar power and associated infrastructure (housing, distribution lines, etc.). These impressive and critical gains at NUC </w:t>
      </w:r>
      <w:r>
        <w:t xml:space="preserve">are at risk when the incumbent departs, as despite efforts no suitable replacements have been identified to commence training. An achievable and sustainable transition strategy is needed to ensure gains are retained beyond the tenure of the incumbent. Given the constraints of a </w:t>
      </w:r>
      <w:r w:rsidR="006D04C0">
        <w:t xml:space="preserve">small </w:t>
      </w:r>
      <w:r>
        <w:t xml:space="preserve">-state, this may be challenging and require ongoing support. </w:t>
      </w:r>
    </w:p>
    <w:p w14:paraId="10B4E682" w14:textId="77777777" w:rsidR="009E791E" w:rsidRDefault="009E791E" w:rsidP="009E791E">
      <w:pPr>
        <w:pStyle w:val="Bullet1Tightlessspacing"/>
        <w:ind w:left="709"/>
        <w:jc w:val="both"/>
      </w:pPr>
      <w:r w:rsidRPr="00A55667">
        <w:rPr>
          <w:i/>
        </w:rPr>
        <w:t>Learning Centre</w:t>
      </w:r>
      <w:r>
        <w:rPr>
          <w:i/>
        </w:rPr>
        <w:t xml:space="preserve"> </w:t>
      </w:r>
      <w:r>
        <w:t xml:space="preserve">– </w:t>
      </w:r>
      <w:r w:rsidRPr="00B96BBA">
        <w:t>The building construction has recently been</w:t>
      </w:r>
      <w:r>
        <w:t xml:space="preserve"> completed and therefore </w:t>
      </w:r>
      <w:r w:rsidRPr="00B96BBA">
        <w:t xml:space="preserve">premature </w:t>
      </w:r>
      <w:r>
        <w:t xml:space="preserve">for this review </w:t>
      </w:r>
      <w:r w:rsidRPr="00B96BBA">
        <w:t xml:space="preserve">to assess the suitability of the design. No direct stakeholder interviews were conducted, but the </w:t>
      </w:r>
      <w:r>
        <w:t xml:space="preserve">parallel </w:t>
      </w:r>
      <w:r w:rsidRPr="00B96BBA">
        <w:t>education review indicated that the building is largely fit for purpose.</w:t>
      </w:r>
    </w:p>
    <w:p w14:paraId="06FBD13D" w14:textId="77777777" w:rsidR="009E791E" w:rsidRDefault="009E791E" w:rsidP="009E791E">
      <w:pPr>
        <w:jc w:val="both"/>
        <w:rPr>
          <w:lang w:eastAsia="en-AU"/>
        </w:rPr>
      </w:pPr>
      <w:r>
        <w:rPr>
          <w:lang w:eastAsia="en-AU"/>
        </w:rPr>
        <w:t xml:space="preserve">Review findings indicate that these two projects have the </w:t>
      </w:r>
      <w:r w:rsidRPr="00802126">
        <w:rPr>
          <w:b/>
          <w:lang w:eastAsia="en-AU"/>
        </w:rPr>
        <w:t>potential to be effective</w:t>
      </w:r>
      <w:r>
        <w:rPr>
          <w:lang w:eastAsia="en-AU"/>
        </w:rPr>
        <w:t xml:space="preserve">, with some </w:t>
      </w:r>
      <w:r w:rsidRPr="00802126">
        <w:rPr>
          <w:b/>
          <w:lang w:eastAsia="en-AU"/>
        </w:rPr>
        <w:t>key additional interventions</w:t>
      </w:r>
      <w:r>
        <w:rPr>
          <w:lang w:eastAsia="en-AU"/>
        </w:rPr>
        <w:t>:</w:t>
      </w:r>
    </w:p>
    <w:p w14:paraId="0596B3A2" w14:textId="79ABB219" w:rsidR="0008166B" w:rsidRPr="0008166B" w:rsidRDefault="009E791E" w:rsidP="001446F9">
      <w:pPr>
        <w:pStyle w:val="Bullet1Tightlessspacing"/>
        <w:ind w:left="709"/>
        <w:jc w:val="both"/>
        <w:rPr>
          <w:lang w:val="en-US"/>
        </w:rPr>
      </w:pPr>
      <w:r w:rsidRPr="00C27721">
        <w:rPr>
          <w:i/>
        </w:rPr>
        <w:t>Hospital (Stage 1 and 2)</w:t>
      </w:r>
      <w:r>
        <w:t xml:space="preserve"> – </w:t>
      </w:r>
      <w:r w:rsidRPr="00C27721">
        <w:rPr>
          <w:szCs w:val="20"/>
          <w:lang w:val="en-US"/>
        </w:rPr>
        <w:t xml:space="preserve">During in country interviews, </w:t>
      </w:r>
      <w:r w:rsidR="005C65A4">
        <w:rPr>
          <w:szCs w:val="20"/>
          <w:lang w:val="en-US"/>
        </w:rPr>
        <w:t>Department of Health and Medical Services (</w:t>
      </w:r>
      <w:r w:rsidR="004B0961">
        <w:rPr>
          <w:szCs w:val="20"/>
          <w:lang w:val="en-US"/>
        </w:rPr>
        <w:t>D</w:t>
      </w:r>
      <w:r w:rsidRPr="00C27721">
        <w:rPr>
          <w:szCs w:val="20"/>
          <w:lang w:val="en-US"/>
        </w:rPr>
        <w:t>HMS</w:t>
      </w:r>
      <w:r w:rsidR="005C65A4">
        <w:rPr>
          <w:szCs w:val="20"/>
          <w:lang w:val="en-US"/>
        </w:rPr>
        <w:t>)</w:t>
      </w:r>
      <w:r w:rsidRPr="00C27721">
        <w:rPr>
          <w:szCs w:val="20"/>
          <w:lang w:val="en-US"/>
        </w:rPr>
        <w:t xml:space="preserve"> representatives noted that largely the new hospital has been a “significant improvement” on the existing facilities</w:t>
      </w:r>
      <w:r w:rsidRPr="00643292">
        <w:t>.</w:t>
      </w:r>
      <w:r>
        <w:t xml:space="preserve"> </w:t>
      </w:r>
      <w:r w:rsidR="004F0B78">
        <w:t>M</w:t>
      </w:r>
      <w:r>
        <w:t>odular hospital components</w:t>
      </w:r>
      <w:r w:rsidR="006E32C2">
        <w:t xml:space="preserve"> originally intended for an</w:t>
      </w:r>
      <w:r w:rsidR="006D04C0">
        <w:t>other</w:t>
      </w:r>
      <w:r w:rsidR="006E32C2">
        <w:t xml:space="preserve"> </w:t>
      </w:r>
      <w:r w:rsidR="003D39B3">
        <w:t>site</w:t>
      </w:r>
      <w:r w:rsidR="007A44CF">
        <w:t xml:space="preserve"> </w:t>
      </w:r>
      <w:r w:rsidR="006E32C2">
        <w:t>were repurposed</w:t>
      </w:r>
      <w:r w:rsidR="004F0B78">
        <w:t xml:space="preserve">, </w:t>
      </w:r>
      <w:r w:rsidR="00662350">
        <w:t>t</w:t>
      </w:r>
      <w:r w:rsidR="00F07CF8">
        <w:t xml:space="preserve">his resulted in some </w:t>
      </w:r>
      <w:r w:rsidR="009E623C">
        <w:t xml:space="preserve">design </w:t>
      </w:r>
      <w:r w:rsidR="00F07CF8">
        <w:t>compromises</w:t>
      </w:r>
      <w:r w:rsidR="001C6140">
        <w:t xml:space="preserve"> </w:t>
      </w:r>
      <w:r w:rsidR="000C1F22">
        <w:t xml:space="preserve">when adapted to </w:t>
      </w:r>
      <w:r w:rsidR="001C6140">
        <w:t>the new site</w:t>
      </w:r>
      <w:r w:rsidR="007F605E">
        <w:t xml:space="preserve">. The most </w:t>
      </w:r>
      <w:r w:rsidR="00F07CF8">
        <w:t>notabl</w:t>
      </w:r>
      <w:r w:rsidR="007F605E">
        <w:t>e of these was</w:t>
      </w:r>
      <w:r w:rsidR="00F07CF8">
        <w:t xml:space="preserve"> operating theatre </w:t>
      </w:r>
      <w:r w:rsidR="00211620">
        <w:t xml:space="preserve">access </w:t>
      </w:r>
      <w:r w:rsidR="00CD70AF">
        <w:t xml:space="preserve">to manage </w:t>
      </w:r>
      <w:r w:rsidR="00F07CF8">
        <w:t>infection control</w:t>
      </w:r>
      <w:r w:rsidR="00F01FA7">
        <w:t xml:space="preserve"> and </w:t>
      </w:r>
      <w:r w:rsidR="00106CEF">
        <w:t>patient flow</w:t>
      </w:r>
      <w:r w:rsidR="00EA3670">
        <w:t xml:space="preserve"> through the hospital</w:t>
      </w:r>
      <w:r>
        <w:t xml:space="preserve">. Interviews with hospital and </w:t>
      </w:r>
      <w:r w:rsidR="00D948A4">
        <w:t>DHMS</w:t>
      </w:r>
      <w:r>
        <w:t xml:space="preserve"> </w:t>
      </w:r>
      <w:r w:rsidR="00802066">
        <w:t xml:space="preserve">representatives </w:t>
      </w:r>
      <w:r w:rsidR="006D04C0">
        <w:t xml:space="preserve">indicate </w:t>
      </w:r>
      <w:r w:rsidR="00616822">
        <w:t xml:space="preserve">opportunities for improvements </w:t>
      </w:r>
      <w:r w:rsidR="006801C1">
        <w:t xml:space="preserve">during construction </w:t>
      </w:r>
      <w:r w:rsidR="004F0B78">
        <w:t>may have been missed</w:t>
      </w:r>
      <w:r>
        <w:t xml:space="preserve">. </w:t>
      </w:r>
      <w:r w:rsidR="00B7503F">
        <w:t>DHMS identified issues with the training and handover process for maintenance issues.</w:t>
      </w:r>
      <w:r w:rsidR="00BB4A33">
        <w:t xml:space="preserve"> DHMS </w:t>
      </w:r>
      <w:r w:rsidR="004B039E">
        <w:t xml:space="preserve">raised concerns with their ability to handle ongoing maintenance. </w:t>
      </w:r>
      <w:r w:rsidR="00A131F9">
        <w:rPr>
          <w:szCs w:val="20"/>
          <w:lang w:val="en-US"/>
        </w:rPr>
        <w:t>T</w:t>
      </w:r>
      <w:r w:rsidRPr="00C27721">
        <w:rPr>
          <w:szCs w:val="20"/>
          <w:lang w:val="en-US"/>
        </w:rPr>
        <w:t>he</w:t>
      </w:r>
      <w:r w:rsidR="00CD369D">
        <w:rPr>
          <w:szCs w:val="20"/>
          <w:lang w:val="en-US"/>
        </w:rPr>
        <w:t xml:space="preserve"> hospital effectiveness </w:t>
      </w:r>
      <w:r w:rsidR="00B379DE">
        <w:rPr>
          <w:szCs w:val="20"/>
          <w:lang w:val="en-US"/>
        </w:rPr>
        <w:t xml:space="preserve">could be improved with </w:t>
      </w:r>
      <w:r w:rsidR="00F955B4">
        <w:rPr>
          <w:szCs w:val="20"/>
          <w:lang w:val="en-US"/>
        </w:rPr>
        <w:t xml:space="preserve">an independent evaluation undertaken to confirm any </w:t>
      </w:r>
      <w:r w:rsidR="00F955B4">
        <w:t xml:space="preserve">required </w:t>
      </w:r>
      <w:r>
        <w:t xml:space="preserve">upgrades to facilities </w:t>
      </w:r>
      <w:r w:rsidR="00327D08">
        <w:t>and materials</w:t>
      </w:r>
      <w:r w:rsidR="0022381D">
        <w:t xml:space="preserve"> that may </w:t>
      </w:r>
      <w:r w:rsidR="0022381D">
        <w:lastRenderedPageBreak/>
        <w:t>potentially</w:t>
      </w:r>
      <w:r w:rsidR="00327D08">
        <w:t xml:space="preserve"> </w:t>
      </w:r>
      <w:r>
        <w:t>extend the life of the modular structure</w:t>
      </w:r>
      <w:r w:rsidR="001648CA">
        <w:t>,</w:t>
      </w:r>
      <w:r w:rsidR="00BF632F">
        <w:t xml:space="preserve"> </w:t>
      </w:r>
      <w:r>
        <w:t xml:space="preserve">and support </w:t>
      </w:r>
      <w:r w:rsidR="00E32671">
        <w:t xml:space="preserve">capacity development for </w:t>
      </w:r>
      <w:r>
        <w:t xml:space="preserve">ongoing </w:t>
      </w:r>
      <w:r w:rsidR="00324033">
        <w:t xml:space="preserve">routine and emergency </w:t>
      </w:r>
      <w:r>
        <w:t xml:space="preserve">maintenance. </w:t>
      </w:r>
    </w:p>
    <w:p w14:paraId="0175F03F" w14:textId="09DA495C" w:rsidR="009E791E" w:rsidRPr="006A1A95" w:rsidRDefault="009E791E" w:rsidP="001446F9">
      <w:pPr>
        <w:pStyle w:val="Bullet1Tightlessspacing"/>
        <w:ind w:left="709"/>
        <w:jc w:val="both"/>
        <w:rPr>
          <w:lang w:val="en-US"/>
        </w:rPr>
      </w:pPr>
      <w:r w:rsidRPr="006A1A95">
        <w:rPr>
          <w:i/>
        </w:rPr>
        <w:t>Wellness Clinics</w:t>
      </w:r>
      <w:r>
        <w:t xml:space="preserve"> – </w:t>
      </w:r>
      <w:r w:rsidRPr="006A1A95">
        <w:rPr>
          <w:lang w:val="en-US"/>
        </w:rPr>
        <w:t>Medical staff at the Republic of Nauru (RoN) hospital indicated that the community wellness clinics are crucially needed to improve access to health services and reduce hospital patient load</w:t>
      </w:r>
      <w:r w:rsidR="00916935" w:rsidRPr="006A1A95">
        <w:rPr>
          <w:lang w:val="en-US"/>
        </w:rPr>
        <w:t>, and that the concept of the wellness clinics to deliver outreach services</w:t>
      </w:r>
      <w:r w:rsidR="00825EE8" w:rsidRPr="006A1A95">
        <w:rPr>
          <w:lang w:val="en-US"/>
        </w:rPr>
        <w:t xml:space="preserve"> such as</w:t>
      </w:r>
      <w:r w:rsidR="00916935" w:rsidRPr="006A1A95">
        <w:rPr>
          <w:lang w:val="en-US"/>
        </w:rPr>
        <w:t xml:space="preserve"> dental and mental health services is </w:t>
      </w:r>
      <w:r w:rsidR="00BD19F9" w:rsidRPr="006A1A95">
        <w:rPr>
          <w:lang w:val="en-US"/>
        </w:rPr>
        <w:t>important</w:t>
      </w:r>
      <w:r w:rsidRPr="006A1A95">
        <w:rPr>
          <w:lang w:val="en-US"/>
        </w:rPr>
        <w:t xml:space="preserve">. </w:t>
      </w:r>
      <w:r w:rsidR="00216722">
        <w:t xml:space="preserve">There </w:t>
      </w:r>
      <w:r w:rsidR="00216722" w:rsidRPr="006A1A95">
        <w:rPr>
          <w:lang w:val="en-US"/>
        </w:rPr>
        <w:t>appear to be several issues associated with the design of the clinics that are impacting the effectiveness of this investment</w:t>
      </w:r>
      <w:r w:rsidR="00E73BDB">
        <w:rPr>
          <w:lang w:val="en-US"/>
        </w:rPr>
        <w:t>, such as suitable materials for their proximity to the ocean and access to toilets</w:t>
      </w:r>
      <w:r w:rsidR="003473BC">
        <w:rPr>
          <w:lang w:val="en-US"/>
        </w:rPr>
        <w:t xml:space="preserve"> for staff and patients</w:t>
      </w:r>
      <w:r w:rsidR="00216722" w:rsidRPr="006A1A95">
        <w:rPr>
          <w:lang w:val="en-US"/>
        </w:rPr>
        <w:t>.</w:t>
      </w:r>
      <w:r w:rsidR="000932A8">
        <w:rPr>
          <w:lang w:val="en-US"/>
        </w:rPr>
        <w:t xml:space="preserve"> </w:t>
      </w:r>
      <w:r w:rsidRPr="006A1A95">
        <w:rPr>
          <w:lang w:val="en-US"/>
        </w:rPr>
        <w:t xml:space="preserve">Of the three </w:t>
      </w:r>
      <w:r w:rsidR="00B25789" w:rsidRPr="006A1A95">
        <w:rPr>
          <w:lang w:val="en-US"/>
        </w:rPr>
        <w:t xml:space="preserve">clinics </w:t>
      </w:r>
      <w:r w:rsidRPr="006A1A95">
        <w:rPr>
          <w:lang w:val="en-US"/>
        </w:rPr>
        <w:t>funded by DFAT, one is currently in use</w:t>
      </w:r>
      <w:r w:rsidDel="000233B0">
        <w:t xml:space="preserve"> </w:t>
      </w:r>
      <w:r>
        <w:t xml:space="preserve">and </w:t>
      </w:r>
      <w:r w:rsidR="003F0136">
        <w:t xml:space="preserve">DMHS indicated that </w:t>
      </w:r>
      <w:r w:rsidR="00E22357">
        <w:t xml:space="preserve">this clinic has been </w:t>
      </w:r>
      <w:r>
        <w:t>effective</w:t>
      </w:r>
      <w:r w:rsidR="009450BD">
        <w:t xml:space="preserve"> at reducing patient load at the hospital</w:t>
      </w:r>
      <w:r w:rsidR="00CE6264">
        <w:t xml:space="preserve"> by providing </w:t>
      </w:r>
      <w:r w:rsidR="005E343C">
        <w:t>servi</w:t>
      </w:r>
      <w:r w:rsidR="00CE6264">
        <w:t>ce with short wait times</w:t>
      </w:r>
      <w:r w:rsidR="005E343C">
        <w:t xml:space="preserve"> </w:t>
      </w:r>
      <w:r w:rsidR="00CE6264">
        <w:t xml:space="preserve">to </w:t>
      </w:r>
      <w:r w:rsidR="005E343C">
        <w:t>a large number of patients</w:t>
      </w:r>
      <w:r w:rsidR="00233FF3">
        <w:t xml:space="preserve"> (quantity </w:t>
      </w:r>
      <w:r w:rsidR="0053761A">
        <w:t xml:space="preserve">was unable to be </w:t>
      </w:r>
      <w:r w:rsidR="00233FF3">
        <w:t>confirmed)</w:t>
      </w:r>
      <w:r>
        <w:t xml:space="preserve">. </w:t>
      </w:r>
      <w:r w:rsidR="003F0136">
        <w:t xml:space="preserve">DMHS </w:t>
      </w:r>
      <w:r w:rsidR="00C068F4">
        <w:t xml:space="preserve">further </w:t>
      </w:r>
      <w:r w:rsidR="003F0136">
        <w:t xml:space="preserve">indicated that one clinic </w:t>
      </w:r>
      <w:r w:rsidR="00AB0FC9">
        <w:t xml:space="preserve">is no longer in use </w:t>
      </w:r>
      <w:r w:rsidR="00534E0A">
        <w:t xml:space="preserve">due to </w:t>
      </w:r>
      <w:r w:rsidR="0068753C">
        <w:t xml:space="preserve">a combination of lack of maintenance and </w:t>
      </w:r>
      <w:r w:rsidR="00534E0A">
        <w:t xml:space="preserve">rust </w:t>
      </w:r>
      <w:r w:rsidR="0068753C">
        <w:t>from sea breeze</w:t>
      </w:r>
      <w:r w:rsidR="00F42220">
        <w:t xml:space="preserve"> </w:t>
      </w:r>
      <w:r w:rsidR="00596619">
        <w:t xml:space="preserve">and is expected to receive “superficial fixes” </w:t>
      </w:r>
      <w:r w:rsidR="00DB2728">
        <w:t xml:space="preserve">to the roof and </w:t>
      </w:r>
      <w:r w:rsidR="00A76B41">
        <w:t>air-conditioning</w:t>
      </w:r>
      <w:r w:rsidR="00DB2728">
        <w:t xml:space="preserve"> </w:t>
      </w:r>
      <w:r w:rsidR="00596619">
        <w:t>to make it operational again.</w:t>
      </w:r>
      <w:r w:rsidR="00B24C2F">
        <w:t xml:space="preserve"> DFAT indicated that lack of bathroom facilities for clinic staff had contributed to </w:t>
      </w:r>
      <w:r w:rsidR="00861E67">
        <w:t>its</w:t>
      </w:r>
      <w:r w:rsidR="00B24C2F">
        <w:t xml:space="preserve"> lack of use.</w:t>
      </w:r>
      <w:r w:rsidR="00E8468D">
        <w:t xml:space="preserve"> </w:t>
      </w:r>
      <w:r w:rsidR="00936163">
        <w:t xml:space="preserve">DFAT and DHMS further indicated that the third clinic had sustained approximately $44,000 of damage during shipping or handling and has been sent back to New Zealand for repairs. </w:t>
      </w:r>
      <w:r w:rsidR="006A1A95">
        <w:t>As such, f</w:t>
      </w:r>
      <w:r>
        <w:t>urther actions are needed to ensure the clinics have appropriate facilities</w:t>
      </w:r>
      <w:r w:rsidR="004D4C8D">
        <w:t xml:space="preserve"> and maintenance</w:t>
      </w:r>
      <w:r w:rsidR="006B0474">
        <w:t>.</w:t>
      </w:r>
      <w:r w:rsidR="006F695E">
        <w:t xml:space="preserve"> </w:t>
      </w:r>
      <w:r w:rsidR="006B0474">
        <w:t>T</w:t>
      </w:r>
      <w:r w:rsidR="006F695E">
        <w:t>reatment to materials to withstand marine conditions</w:t>
      </w:r>
      <w:r w:rsidR="00C93888">
        <w:t xml:space="preserve"> may be necessary</w:t>
      </w:r>
      <w:r>
        <w:t xml:space="preserve">. </w:t>
      </w:r>
      <w:r w:rsidRPr="006A1A95">
        <w:rPr>
          <w:lang w:val="en-US"/>
        </w:rPr>
        <w:t xml:space="preserve">There is also a lack of evidence of </w:t>
      </w:r>
      <w:r w:rsidR="0078505A">
        <w:rPr>
          <w:lang w:val="en-US"/>
        </w:rPr>
        <w:t xml:space="preserve">ongoing </w:t>
      </w:r>
      <w:r w:rsidRPr="006A1A95">
        <w:rPr>
          <w:lang w:val="en-US"/>
        </w:rPr>
        <w:t>maintenance planning.</w:t>
      </w:r>
    </w:p>
    <w:p w14:paraId="248E62AD" w14:textId="77777777" w:rsidR="009E791E" w:rsidRDefault="009E791E" w:rsidP="009E791E">
      <w:pPr>
        <w:jc w:val="both"/>
        <w:rPr>
          <w:lang w:eastAsia="en-AU"/>
        </w:rPr>
      </w:pPr>
      <w:r>
        <w:rPr>
          <w:lang w:eastAsia="en-AU"/>
        </w:rPr>
        <w:t xml:space="preserve">These projects were found to be </w:t>
      </w:r>
      <w:r w:rsidRPr="00802126">
        <w:rPr>
          <w:b/>
          <w:lang w:eastAsia="en-AU"/>
        </w:rPr>
        <w:t>unlikely to be effective</w:t>
      </w:r>
      <w:r>
        <w:rPr>
          <w:lang w:eastAsia="en-AU"/>
        </w:rPr>
        <w:t>:</w:t>
      </w:r>
    </w:p>
    <w:p w14:paraId="056C4CC3" w14:textId="77777777" w:rsidR="009E791E" w:rsidRPr="00900356" w:rsidRDefault="009E791E" w:rsidP="009E791E">
      <w:pPr>
        <w:pStyle w:val="Bullet1Tightlessspacing"/>
        <w:ind w:left="709"/>
        <w:jc w:val="both"/>
      </w:pPr>
      <w:r w:rsidRPr="001C6DAE">
        <w:rPr>
          <w:i/>
        </w:rPr>
        <w:t>Household Water Tanks</w:t>
      </w:r>
      <w:r>
        <w:t xml:space="preserve"> – asset maintenance will be unlikely to be achievable on this project due to ownership of tanks by individual households. </w:t>
      </w:r>
      <w:r w:rsidR="001F34BC">
        <w:t>The effectiveness of the project has been compromised due to a number of implementation issues (</w:t>
      </w:r>
      <w:r w:rsidR="001F34BC">
        <w:rPr>
          <w:lang w:val="en-US"/>
        </w:rPr>
        <w:t xml:space="preserve">detailed under section </w:t>
      </w:r>
      <w:r w:rsidR="001F34BC" w:rsidRPr="009A08D4">
        <w:rPr>
          <w:i/>
          <w:lang w:val="en-US"/>
        </w:rPr>
        <w:fldChar w:fldCharType="begin"/>
      </w:r>
      <w:r w:rsidR="001F34BC" w:rsidRPr="009A08D4">
        <w:rPr>
          <w:i/>
          <w:lang w:val="en-US"/>
        </w:rPr>
        <w:instrText xml:space="preserve"> REF _Ref516132263 \r \h </w:instrText>
      </w:r>
      <w:r w:rsidR="001F34BC">
        <w:rPr>
          <w:i/>
          <w:lang w:val="en-US"/>
        </w:rPr>
        <w:instrText xml:space="preserve"> \* MERGEFORMAT </w:instrText>
      </w:r>
      <w:r w:rsidR="001F34BC" w:rsidRPr="009A08D4">
        <w:rPr>
          <w:i/>
          <w:lang w:val="en-US"/>
        </w:rPr>
      </w:r>
      <w:r w:rsidR="001F34BC" w:rsidRPr="009A08D4">
        <w:rPr>
          <w:i/>
          <w:lang w:val="en-US"/>
        </w:rPr>
        <w:fldChar w:fldCharType="separate"/>
      </w:r>
      <w:r w:rsidR="00404CD4">
        <w:rPr>
          <w:i/>
          <w:lang w:val="en-US"/>
        </w:rPr>
        <w:t>3.4</w:t>
      </w:r>
      <w:r w:rsidR="001F34BC" w:rsidRPr="009A08D4">
        <w:rPr>
          <w:i/>
          <w:lang w:val="en-US"/>
        </w:rPr>
        <w:fldChar w:fldCharType="end"/>
      </w:r>
      <w:r w:rsidR="001F34BC" w:rsidRPr="009A08D4">
        <w:rPr>
          <w:i/>
          <w:lang w:val="en-US"/>
        </w:rPr>
        <w:t xml:space="preserve"> </w:t>
      </w:r>
      <w:r w:rsidR="001F34BC" w:rsidRPr="009A08D4">
        <w:rPr>
          <w:i/>
          <w:lang w:val="en-US"/>
        </w:rPr>
        <w:fldChar w:fldCharType="begin"/>
      </w:r>
      <w:r w:rsidR="001F34BC" w:rsidRPr="009A08D4">
        <w:rPr>
          <w:i/>
          <w:lang w:val="en-US"/>
        </w:rPr>
        <w:instrText xml:space="preserve"> REF _Ref516132257 \h </w:instrText>
      </w:r>
      <w:r w:rsidR="001F34BC">
        <w:rPr>
          <w:i/>
          <w:lang w:val="en-US"/>
        </w:rPr>
        <w:instrText xml:space="preserve"> \* MERGEFORMAT </w:instrText>
      </w:r>
      <w:r w:rsidR="001F34BC" w:rsidRPr="009A08D4">
        <w:rPr>
          <w:i/>
          <w:lang w:val="en-US"/>
        </w:rPr>
      </w:r>
      <w:r w:rsidR="001F34BC" w:rsidRPr="009A08D4">
        <w:rPr>
          <w:i/>
          <w:lang w:val="en-US"/>
        </w:rPr>
        <w:fldChar w:fldCharType="separate"/>
      </w:r>
      <w:r w:rsidR="00404CD4" w:rsidRPr="00404CD4">
        <w:rPr>
          <w:i/>
        </w:rPr>
        <w:t>Efficiency</w:t>
      </w:r>
      <w:r w:rsidR="001F34BC" w:rsidRPr="009A08D4">
        <w:rPr>
          <w:i/>
          <w:lang w:val="en-US"/>
        </w:rPr>
        <w:fldChar w:fldCharType="end"/>
      </w:r>
      <w:r w:rsidR="001F34BC">
        <w:rPr>
          <w:i/>
          <w:lang w:val="en-US"/>
        </w:rPr>
        <w:t>),</w:t>
      </w:r>
      <w:r w:rsidR="00602577">
        <w:rPr>
          <w:i/>
          <w:lang w:val="en-US"/>
        </w:rPr>
        <w:t xml:space="preserve"> </w:t>
      </w:r>
      <w:r w:rsidR="00602577">
        <w:rPr>
          <w:lang w:val="en-US"/>
        </w:rPr>
        <w:t>resulting in</w:t>
      </w:r>
      <w:r w:rsidR="001F34BC">
        <w:t xml:space="preserve"> </w:t>
      </w:r>
      <w:r w:rsidR="001F34BC">
        <w:rPr>
          <w:szCs w:val="20"/>
          <w:lang w:val="en-US"/>
        </w:rPr>
        <w:t>t</w:t>
      </w:r>
      <w:r w:rsidR="003E5438">
        <w:rPr>
          <w:szCs w:val="20"/>
          <w:lang w:val="en-US"/>
        </w:rPr>
        <w:t>he number of water tanks that the project deliver</w:t>
      </w:r>
      <w:r w:rsidR="004A2830">
        <w:rPr>
          <w:szCs w:val="20"/>
          <w:lang w:val="en-US"/>
        </w:rPr>
        <w:t>ed by the project</w:t>
      </w:r>
      <w:r w:rsidR="003E5438">
        <w:rPr>
          <w:szCs w:val="20"/>
          <w:lang w:val="en-US"/>
        </w:rPr>
        <w:t xml:space="preserve"> reduc</w:t>
      </w:r>
      <w:r w:rsidR="004A2830">
        <w:rPr>
          <w:szCs w:val="20"/>
          <w:lang w:val="en-US"/>
        </w:rPr>
        <w:t>ing</w:t>
      </w:r>
      <w:r w:rsidR="003E5438">
        <w:rPr>
          <w:szCs w:val="20"/>
          <w:lang w:val="en-US"/>
        </w:rPr>
        <w:t xml:space="preserve"> from the original 200 to approximately 106. </w:t>
      </w:r>
    </w:p>
    <w:p w14:paraId="26C97F83" w14:textId="77777777" w:rsidR="009E791E" w:rsidRDefault="009E791E" w:rsidP="009E791E">
      <w:pPr>
        <w:pStyle w:val="Heading2"/>
        <w:ind w:left="576"/>
      </w:pPr>
      <w:bookmarkStart w:id="28" w:name="_Toc516104135"/>
      <w:bookmarkStart w:id="29" w:name="_Ref516132257"/>
      <w:bookmarkStart w:id="30" w:name="_Ref516132263"/>
      <w:bookmarkStart w:id="31" w:name="_Toc518640217"/>
      <w:r>
        <w:t>Efficiency</w:t>
      </w:r>
      <w:bookmarkEnd w:id="28"/>
      <w:bookmarkEnd w:id="29"/>
      <w:bookmarkEnd w:id="30"/>
      <w:bookmarkEnd w:id="31"/>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9E791E" w14:paraId="432A5E92" w14:textId="77777777" w:rsidTr="00D24BE5">
        <w:tc>
          <w:tcPr>
            <w:tcW w:w="2434" w:type="dxa"/>
            <w:shd w:val="clear" w:color="auto" w:fill="FBD4B4" w:themeFill="accent6" w:themeFillTint="66"/>
          </w:tcPr>
          <w:p w14:paraId="1B2D9C4C" w14:textId="77777777" w:rsidR="009E791E" w:rsidRPr="004457C2" w:rsidRDefault="009E791E" w:rsidP="00D24BE5">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3FD1C752" w14:textId="77777777" w:rsidR="009E791E" w:rsidRDefault="009E791E" w:rsidP="00D24BE5">
            <w:pPr>
              <w:spacing w:before="120" w:beforeAutospacing="0" w:after="120" w:afterAutospacing="0"/>
              <w:rPr>
                <w:lang w:eastAsia="en-AU"/>
              </w:rPr>
            </w:pPr>
            <w:r>
              <w:rPr>
                <w:lang w:eastAsia="en-AU"/>
              </w:rPr>
              <w:t>Moderate</w:t>
            </w:r>
          </w:p>
        </w:tc>
        <w:tc>
          <w:tcPr>
            <w:tcW w:w="2434" w:type="dxa"/>
            <w:shd w:val="clear" w:color="auto" w:fill="FBD4B4" w:themeFill="accent6" w:themeFillTint="66"/>
          </w:tcPr>
          <w:p w14:paraId="6DD85D5B" w14:textId="77777777" w:rsidR="009E791E" w:rsidRPr="004457C2" w:rsidRDefault="009E791E" w:rsidP="00D24BE5">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20825602" w14:textId="77777777" w:rsidR="009E791E" w:rsidRDefault="009E791E" w:rsidP="00D24BE5">
            <w:pPr>
              <w:spacing w:before="120" w:beforeAutospacing="0" w:after="120" w:afterAutospacing="0"/>
              <w:rPr>
                <w:lang w:eastAsia="en-AU"/>
              </w:rPr>
            </w:pPr>
            <w:r>
              <w:rPr>
                <w:lang w:eastAsia="en-AU"/>
              </w:rPr>
              <w:t>Adequate (4/6)</w:t>
            </w:r>
          </w:p>
        </w:tc>
      </w:tr>
    </w:tbl>
    <w:p w14:paraId="4B7AEAB1" w14:textId="77777777" w:rsidR="009E791E" w:rsidRDefault="009E791E" w:rsidP="009E791E">
      <w:pPr>
        <w:pStyle w:val="Heading3"/>
        <w:jc w:val="both"/>
      </w:pPr>
      <w:r w:rsidRPr="001924DD">
        <w:t>Key Review Question</w:t>
      </w:r>
      <w:r>
        <w:t xml:space="preserve"> 4 (KRQ)</w:t>
      </w:r>
      <w:r w:rsidRPr="001924DD">
        <w:t xml:space="preserve">: </w:t>
      </w:r>
      <w:r w:rsidRPr="0048739D">
        <w:t xml:space="preserve">To what extent has the investment efficiently used Australia’s contributions in terms of time and resources to achieve the desired outcomes? </w:t>
      </w:r>
    </w:p>
    <w:p w14:paraId="458A7878" w14:textId="77777777" w:rsidR="009E791E" w:rsidRPr="007A450A" w:rsidRDefault="009E791E" w:rsidP="009E791E">
      <w:pPr>
        <w:pStyle w:val="Tablebullet"/>
        <w:numPr>
          <w:ilvl w:val="0"/>
          <w:numId w:val="48"/>
        </w:numPr>
        <w:ind w:left="284" w:hanging="283"/>
        <w:rPr>
          <w:i/>
          <w:color w:val="E36C0A" w:themeColor="accent6" w:themeShade="BF"/>
        </w:rPr>
      </w:pPr>
      <w:r w:rsidRPr="007A450A">
        <w:rPr>
          <w:i/>
          <w:color w:val="E36C0A" w:themeColor="accent6" w:themeShade="BF"/>
        </w:rPr>
        <w:t xml:space="preserve">To what extent has DFAT selected infrastructure projects that efficiently deliver the agreed outcomes, after considering suitable alternatives? </w:t>
      </w:r>
    </w:p>
    <w:p w14:paraId="6C3C6A35" w14:textId="77777777" w:rsidR="009E791E" w:rsidRPr="007A450A" w:rsidRDefault="009E791E" w:rsidP="009E791E">
      <w:pPr>
        <w:pStyle w:val="Tablebullet"/>
        <w:numPr>
          <w:ilvl w:val="0"/>
          <w:numId w:val="48"/>
        </w:numPr>
        <w:ind w:left="284" w:hanging="283"/>
        <w:rPr>
          <w:i/>
          <w:color w:val="E36C0A" w:themeColor="accent6" w:themeShade="BF"/>
        </w:rPr>
      </w:pPr>
      <w:r w:rsidRPr="007A450A">
        <w:rPr>
          <w:i/>
          <w:color w:val="E36C0A" w:themeColor="accent6" w:themeShade="BF"/>
        </w:rPr>
        <w:t xml:space="preserve">To what extent were DFAT’s investments managed to ensure delivery on time and within budget, considering mixed modality of delivery? </w:t>
      </w:r>
    </w:p>
    <w:p w14:paraId="64C3728E" w14:textId="77777777" w:rsidR="009E791E" w:rsidRDefault="009E791E" w:rsidP="009E791E">
      <w:pPr>
        <w:pStyle w:val="Tablebullet"/>
        <w:numPr>
          <w:ilvl w:val="0"/>
          <w:numId w:val="48"/>
        </w:numPr>
        <w:ind w:left="284" w:hanging="283"/>
        <w:rPr>
          <w:i/>
          <w:color w:val="E36C0A" w:themeColor="accent6" w:themeShade="BF"/>
        </w:rPr>
      </w:pPr>
      <w:r w:rsidRPr="007A450A">
        <w:rPr>
          <w:i/>
          <w:color w:val="E36C0A" w:themeColor="accent6" w:themeShade="BF"/>
        </w:rPr>
        <w:t>How have DFAT’s infrastructure investments harmonised with other donors, regional organizations and aligned with partner government systems?</w:t>
      </w:r>
    </w:p>
    <w:p w14:paraId="390EA2CE" w14:textId="77777777" w:rsidR="003A1CB5" w:rsidRPr="007A450A" w:rsidRDefault="003A1CB5" w:rsidP="003A1CB5">
      <w:pPr>
        <w:pStyle w:val="Tablebullet"/>
        <w:numPr>
          <w:ilvl w:val="0"/>
          <w:numId w:val="0"/>
        </w:numPr>
        <w:ind w:left="284"/>
        <w:rPr>
          <w:i/>
          <w:color w:val="E36C0A" w:themeColor="accent6" w:themeShade="BF"/>
        </w:rPr>
      </w:pPr>
    </w:p>
    <w:p w14:paraId="01887DED" w14:textId="3ABDC642" w:rsidR="009E791E" w:rsidRPr="0073587F" w:rsidRDefault="009E791E" w:rsidP="009E791E">
      <w:pPr>
        <w:spacing w:before="0"/>
        <w:jc w:val="both"/>
        <w:rPr>
          <w:lang w:eastAsia="en-AU"/>
        </w:rPr>
      </w:pPr>
      <w:r>
        <w:rPr>
          <w:lang w:eastAsia="en-AU"/>
        </w:rPr>
        <w:t xml:space="preserve">The review findings suggest that overall DFAT’s contributions (time and resources) were adequately used by GoN to achieve desired outcomes. The NUC CEO is a particularly strong example of efficient use of DFAT funding, given the level of achievements in improvements to the reliability of the power supply, institutional and staff capacity and attracting donor funding (ADB, DFAT and EU) in capital investments. Other examples include larger projects, such as the Indoor Sports Facility and the Learning Centre, where a project management unit (PMU) was established and procurement was outsourced have demonstrated efficient delivery, with reasonable allowances given the context. The water tank project was low efficiency, as it encountered many challenges. However, DFAT responded to and applied lessons to subsequent projects. The wellness clinics are also quite low efficiency, given the high number of clinics not in use </w:t>
      </w:r>
      <w:r w:rsidR="003B2638">
        <w:rPr>
          <w:lang w:eastAsia="en-AU"/>
        </w:rPr>
        <w:t xml:space="preserve">within </w:t>
      </w:r>
      <w:r>
        <w:rPr>
          <w:lang w:eastAsia="en-AU"/>
        </w:rPr>
        <w:t xml:space="preserve">a short time after project completion. There was good donor harmonisation on the </w:t>
      </w:r>
      <w:r w:rsidR="006D04C0">
        <w:rPr>
          <w:lang w:eastAsia="en-AU"/>
        </w:rPr>
        <w:t>seaport</w:t>
      </w:r>
      <w:r>
        <w:rPr>
          <w:lang w:eastAsia="en-AU"/>
        </w:rPr>
        <w:t xml:space="preserve">, where DFAT </w:t>
      </w:r>
      <w:r>
        <w:rPr>
          <w:lang w:eastAsia="en-AU"/>
        </w:rPr>
        <w:lastRenderedPageBreak/>
        <w:t xml:space="preserve">contributions were leveraged for co-financing. </w:t>
      </w:r>
      <w:r w:rsidRPr="0073587F">
        <w:rPr>
          <w:lang w:eastAsia="en-AU"/>
        </w:rPr>
        <w:t>The</w:t>
      </w:r>
      <w:r>
        <w:rPr>
          <w:lang w:eastAsia="en-AU"/>
        </w:rPr>
        <w:t xml:space="preserve"> review team notes that there </w:t>
      </w:r>
      <w:r w:rsidRPr="0073587F">
        <w:rPr>
          <w:lang w:eastAsia="en-AU"/>
        </w:rPr>
        <w:t>are further opportunities for harmonisation and coordination with development partners</w:t>
      </w:r>
      <w:r>
        <w:rPr>
          <w:lang w:eastAsia="en-AU"/>
        </w:rPr>
        <w:t xml:space="preserve">, through PRIF and PAD. </w:t>
      </w:r>
    </w:p>
    <w:p w14:paraId="6C538C57" w14:textId="77777777" w:rsidR="009E791E" w:rsidRDefault="009E791E" w:rsidP="009E791E">
      <w:pPr>
        <w:rPr>
          <w:lang w:eastAsia="en-AU"/>
        </w:rPr>
      </w:pPr>
      <w:r>
        <w:rPr>
          <w:lang w:eastAsia="en-AU"/>
        </w:rPr>
        <w:t xml:space="preserve">Based on the review findings, the following projects have been assessed as being </w:t>
      </w:r>
      <w:r w:rsidRPr="00A83251">
        <w:rPr>
          <w:b/>
          <w:lang w:eastAsia="en-AU"/>
        </w:rPr>
        <w:t>highly efficient</w:t>
      </w:r>
      <w:r>
        <w:rPr>
          <w:lang w:eastAsia="en-AU"/>
        </w:rPr>
        <w:t>:</w:t>
      </w:r>
    </w:p>
    <w:p w14:paraId="5C3BDBFE" w14:textId="77777777" w:rsidR="009E791E" w:rsidRPr="00952FC7" w:rsidRDefault="009E791E" w:rsidP="009E791E">
      <w:pPr>
        <w:pStyle w:val="Bullet1Tightlessspacing"/>
        <w:ind w:left="709"/>
        <w:jc w:val="both"/>
      </w:pPr>
      <w:r w:rsidRPr="000D4FAF">
        <w:rPr>
          <w:i/>
        </w:rPr>
        <w:t>Technical Assistance support to the Nauru Utilities Corporation (NUC)</w:t>
      </w:r>
      <w:r>
        <w:t xml:space="preserve"> – </w:t>
      </w:r>
      <w:r>
        <w:rPr>
          <w:szCs w:val="20"/>
          <w:lang w:val="en-US"/>
        </w:rPr>
        <w:t xml:space="preserve">This </w:t>
      </w:r>
      <w:r w:rsidRPr="009F27AA">
        <w:rPr>
          <w:szCs w:val="20"/>
          <w:lang w:val="en-US"/>
        </w:rPr>
        <w:t>has been a</w:t>
      </w:r>
      <w:r>
        <w:rPr>
          <w:szCs w:val="20"/>
          <w:lang w:val="en-US"/>
        </w:rPr>
        <w:t xml:space="preserve"> highly</w:t>
      </w:r>
      <w:r w:rsidRPr="009F27AA">
        <w:rPr>
          <w:szCs w:val="20"/>
          <w:lang w:val="en-US"/>
        </w:rPr>
        <w:t xml:space="preserve"> efficient use of funds</w:t>
      </w:r>
      <w:r>
        <w:rPr>
          <w:szCs w:val="20"/>
          <w:lang w:val="en-US"/>
        </w:rPr>
        <w:t>, delivering significant</w:t>
      </w:r>
      <w:r w:rsidRPr="009F27AA">
        <w:rPr>
          <w:szCs w:val="20"/>
          <w:lang w:val="en-US"/>
        </w:rPr>
        <w:t xml:space="preserve"> gains </w:t>
      </w:r>
      <w:r>
        <w:rPr>
          <w:szCs w:val="20"/>
          <w:lang w:val="en-US"/>
        </w:rPr>
        <w:t xml:space="preserve">ahead of schedule </w:t>
      </w:r>
      <w:r w:rsidRPr="009F27AA">
        <w:rPr>
          <w:szCs w:val="20"/>
          <w:lang w:val="en-US"/>
        </w:rPr>
        <w:t xml:space="preserve">in </w:t>
      </w:r>
      <w:r>
        <w:rPr>
          <w:szCs w:val="20"/>
          <w:lang w:val="en-US"/>
        </w:rPr>
        <w:t xml:space="preserve">terms of stability of the electricity supply, the development of local capacity for ongoing maintenance of assets, reduced subsidies for utility operating costs and attracting development partner support for capital </w:t>
      </w:r>
      <w:r w:rsidRPr="00952FC7">
        <w:rPr>
          <w:szCs w:val="20"/>
          <w:lang w:val="en-US"/>
        </w:rPr>
        <w:t xml:space="preserve">investments to improve electricity and clean water security on the island. </w:t>
      </w:r>
      <w:r>
        <w:rPr>
          <w:szCs w:val="20"/>
          <w:lang w:val="en-US"/>
        </w:rPr>
        <w:t xml:space="preserve">The investment of $1.1 million over a five year period  (average of $212K per annum) is delivering savings in operational subsidies of $4.6 million in the current financial year alone, and expected to increase. Overall the CEO is managing a $28 million annual budget (as of the 2018/19 financial year), with an overhead cost of only 1.1%. </w:t>
      </w:r>
      <w:r w:rsidRPr="00952FC7">
        <w:rPr>
          <w:szCs w:val="20"/>
          <w:lang w:val="en-US"/>
        </w:rPr>
        <w:t>Work remains to secure the noteworthy gains to the utility beyond the engagement of the highly effective incumbent CEO.</w:t>
      </w:r>
    </w:p>
    <w:p w14:paraId="7F738459" w14:textId="77777777" w:rsidR="009E791E" w:rsidRPr="00952FC7" w:rsidRDefault="009E791E" w:rsidP="009E791E">
      <w:pPr>
        <w:numPr>
          <w:ilvl w:val="0"/>
          <w:numId w:val="24"/>
        </w:numPr>
        <w:spacing w:before="80" w:after="80"/>
        <w:ind w:left="714" w:hanging="357"/>
        <w:jc w:val="both"/>
        <w:rPr>
          <w:szCs w:val="20"/>
          <w:lang w:val="en-US"/>
        </w:rPr>
      </w:pPr>
      <w:r w:rsidRPr="00952FC7">
        <w:rPr>
          <w:i/>
          <w:lang w:eastAsia="en-AU"/>
        </w:rPr>
        <w:t>Sports Complex</w:t>
      </w:r>
      <w:r w:rsidRPr="00952FC7">
        <w:rPr>
          <w:lang w:eastAsia="en-AU"/>
        </w:rPr>
        <w:t xml:space="preserve"> - </w:t>
      </w:r>
      <w:r>
        <w:rPr>
          <w:szCs w:val="20"/>
          <w:lang w:val="en-US"/>
        </w:rPr>
        <w:t>An</w:t>
      </w:r>
      <w:r w:rsidRPr="00952FC7">
        <w:rPr>
          <w:szCs w:val="20"/>
          <w:lang w:val="en-US"/>
        </w:rPr>
        <w:t xml:space="preserve"> options analysis</w:t>
      </w:r>
      <w:r>
        <w:rPr>
          <w:szCs w:val="20"/>
          <w:lang w:val="en-US"/>
        </w:rPr>
        <w:t xml:space="preserve"> with concept designs</w:t>
      </w:r>
      <w:r>
        <w:rPr>
          <w:rStyle w:val="FootnoteReference"/>
          <w:szCs w:val="20"/>
          <w:lang w:val="en-US"/>
        </w:rPr>
        <w:footnoteReference w:id="10"/>
      </w:r>
      <w:r w:rsidRPr="00952FC7">
        <w:rPr>
          <w:szCs w:val="20"/>
          <w:lang w:val="en-US"/>
        </w:rPr>
        <w:t xml:space="preserve"> was </w:t>
      </w:r>
      <w:r>
        <w:rPr>
          <w:szCs w:val="20"/>
          <w:lang w:val="en-US"/>
        </w:rPr>
        <w:t xml:space="preserve">completed and GoN concurred with the recommendation from A&amp;L on the </w:t>
      </w:r>
      <w:r w:rsidRPr="00952FC7">
        <w:rPr>
          <w:szCs w:val="20"/>
          <w:lang w:val="en-US"/>
        </w:rPr>
        <w:t xml:space="preserve">most cost-effective design to deliver </w:t>
      </w:r>
      <w:r>
        <w:rPr>
          <w:szCs w:val="20"/>
          <w:lang w:val="en-US"/>
        </w:rPr>
        <w:t xml:space="preserve">key requirements. Despite fixed constraints around the delivery timeframe (due to the planned Pacific Leaders Forum in September 2018), </w:t>
      </w:r>
      <w:r>
        <w:rPr>
          <w:szCs w:val="20"/>
        </w:rPr>
        <w:t xml:space="preserve">this </w:t>
      </w:r>
      <w:r w:rsidRPr="009F27AA">
        <w:rPr>
          <w:szCs w:val="20"/>
        </w:rPr>
        <w:t xml:space="preserve">project </w:t>
      </w:r>
      <w:r>
        <w:rPr>
          <w:szCs w:val="20"/>
        </w:rPr>
        <w:t xml:space="preserve">is currently on track to being </w:t>
      </w:r>
      <w:r w:rsidRPr="009F27AA">
        <w:rPr>
          <w:szCs w:val="20"/>
        </w:rPr>
        <w:t xml:space="preserve">delivered </w:t>
      </w:r>
      <w:r>
        <w:rPr>
          <w:szCs w:val="20"/>
        </w:rPr>
        <w:t xml:space="preserve">very close to the schedule, which is </w:t>
      </w:r>
      <w:r w:rsidRPr="009F27AA">
        <w:rPr>
          <w:szCs w:val="20"/>
        </w:rPr>
        <w:t>remarkably efficient</w:t>
      </w:r>
      <w:r>
        <w:rPr>
          <w:szCs w:val="20"/>
        </w:rPr>
        <w:t xml:space="preserve"> given difficulties encountered</w:t>
      </w:r>
      <w:r w:rsidRPr="009F27AA">
        <w:rPr>
          <w:szCs w:val="20"/>
        </w:rPr>
        <w:t>.</w:t>
      </w:r>
    </w:p>
    <w:p w14:paraId="0DA94BD0" w14:textId="77777777" w:rsidR="009E791E" w:rsidRDefault="009E791E" w:rsidP="009E791E">
      <w:pPr>
        <w:numPr>
          <w:ilvl w:val="0"/>
          <w:numId w:val="24"/>
        </w:numPr>
        <w:spacing w:before="80" w:after="80"/>
        <w:ind w:left="714" w:hanging="357"/>
        <w:jc w:val="both"/>
        <w:rPr>
          <w:lang w:eastAsia="en-AU"/>
        </w:rPr>
      </w:pPr>
      <w:r w:rsidRPr="00952FC7">
        <w:rPr>
          <w:i/>
          <w:lang w:eastAsia="en-AU"/>
        </w:rPr>
        <w:t>Electricity Supply and Sustainability Project</w:t>
      </w:r>
      <w:r w:rsidRPr="00952FC7">
        <w:rPr>
          <w:lang w:eastAsia="en-AU"/>
        </w:rPr>
        <w:t xml:space="preserve"> - </w:t>
      </w:r>
      <w:r>
        <w:rPr>
          <w:szCs w:val="20"/>
        </w:rPr>
        <w:t>c</w:t>
      </w:r>
      <w:r w:rsidRPr="00952FC7">
        <w:rPr>
          <w:szCs w:val="20"/>
        </w:rPr>
        <w:t>onsideration of options to supply cost effective baseload power and plan</w:t>
      </w:r>
      <w:r w:rsidRPr="009F27AA">
        <w:rPr>
          <w:szCs w:val="20"/>
        </w:rPr>
        <w:t xml:space="preserve"> for asset maintenance appears to be appropriate.</w:t>
      </w:r>
      <w:r>
        <w:rPr>
          <w:szCs w:val="20"/>
        </w:rPr>
        <w:t xml:space="preserve"> </w:t>
      </w:r>
      <w:r w:rsidRPr="009F27AA">
        <w:rPr>
          <w:szCs w:val="20"/>
        </w:rPr>
        <w:t xml:space="preserve">Project delays </w:t>
      </w:r>
      <w:r>
        <w:rPr>
          <w:szCs w:val="20"/>
        </w:rPr>
        <w:t xml:space="preserve">that </w:t>
      </w:r>
      <w:r w:rsidRPr="009F27AA">
        <w:rPr>
          <w:szCs w:val="20"/>
        </w:rPr>
        <w:t>were encountered</w:t>
      </w:r>
      <w:r>
        <w:rPr>
          <w:szCs w:val="20"/>
        </w:rPr>
        <w:t xml:space="preserve"> </w:t>
      </w:r>
      <w:r w:rsidRPr="009F27AA">
        <w:rPr>
          <w:szCs w:val="20"/>
        </w:rPr>
        <w:t>due to logistical issues</w:t>
      </w:r>
      <w:r>
        <w:rPr>
          <w:szCs w:val="20"/>
        </w:rPr>
        <w:t xml:space="preserve"> were within expected bounds given the context</w:t>
      </w:r>
      <w:r w:rsidRPr="009F27AA">
        <w:rPr>
          <w:szCs w:val="20"/>
        </w:rPr>
        <w:t>.</w:t>
      </w:r>
    </w:p>
    <w:p w14:paraId="32CE193E" w14:textId="29123884" w:rsidR="009E791E" w:rsidRDefault="009E791E" w:rsidP="009E791E">
      <w:pPr>
        <w:numPr>
          <w:ilvl w:val="0"/>
          <w:numId w:val="24"/>
        </w:numPr>
        <w:spacing w:before="80" w:after="80"/>
        <w:jc w:val="both"/>
        <w:rPr>
          <w:lang w:eastAsia="en-AU"/>
        </w:rPr>
      </w:pPr>
      <w:r w:rsidRPr="00A67608">
        <w:rPr>
          <w:i/>
          <w:lang w:eastAsia="en-AU"/>
        </w:rPr>
        <w:t xml:space="preserve">USP Learning </w:t>
      </w:r>
      <w:r w:rsidR="003D39B3">
        <w:rPr>
          <w:i/>
          <w:lang w:eastAsia="en-AU"/>
        </w:rPr>
        <w:t>Centre</w:t>
      </w:r>
      <w:r>
        <w:rPr>
          <w:lang w:eastAsia="en-AU"/>
        </w:rPr>
        <w:t xml:space="preserve"> - the indication so far </w:t>
      </w:r>
      <w:r w:rsidR="005E5ED1">
        <w:rPr>
          <w:lang w:eastAsia="en-AU"/>
        </w:rPr>
        <w:t xml:space="preserve">based on the education review is </w:t>
      </w:r>
      <w:r>
        <w:rPr>
          <w:lang w:eastAsia="en-AU"/>
        </w:rPr>
        <w:t xml:space="preserve">that there is broad buy in from stakeholders on the recommended option and it is considered likely to be fit for purpose. </w:t>
      </w:r>
      <w:r w:rsidR="00991D85">
        <w:rPr>
          <w:lang w:eastAsia="en-AU"/>
        </w:rPr>
        <w:t>DFAT confirmed that th</w:t>
      </w:r>
      <w:r w:rsidR="00575D89">
        <w:rPr>
          <w:lang w:eastAsia="en-AU"/>
        </w:rPr>
        <w:t>e</w:t>
      </w:r>
      <w:r w:rsidR="00991D85">
        <w:rPr>
          <w:lang w:eastAsia="en-AU"/>
        </w:rPr>
        <w:t xml:space="preserve">re were some </w:t>
      </w:r>
      <w:r w:rsidRPr="007129E5">
        <w:rPr>
          <w:szCs w:val="20"/>
        </w:rPr>
        <w:t xml:space="preserve">project delays and associated costs </w:t>
      </w:r>
      <w:r w:rsidR="00C7083F">
        <w:rPr>
          <w:szCs w:val="20"/>
        </w:rPr>
        <w:t>overruns</w:t>
      </w:r>
      <w:r w:rsidR="00991D85">
        <w:rPr>
          <w:szCs w:val="20"/>
        </w:rPr>
        <w:t xml:space="preserve"> that were considered </w:t>
      </w:r>
      <w:r w:rsidR="00B94629">
        <w:rPr>
          <w:szCs w:val="20"/>
        </w:rPr>
        <w:t xml:space="preserve">reasonable, with </w:t>
      </w:r>
      <w:r w:rsidR="007234CE">
        <w:rPr>
          <w:szCs w:val="20"/>
        </w:rPr>
        <w:t xml:space="preserve">a </w:t>
      </w:r>
      <w:r w:rsidR="00CA1D32">
        <w:rPr>
          <w:szCs w:val="20"/>
        </w:rPr>
        <w:t xml:space="preserve">justifiable basis </w:t>
      </w:r>
      <w:r w:rsidR="00DB770C">
        <w:rPr>
          <w:szCs w:val="20"/>
        </w:rPr>
        <w:t>relating to</w:t>
      </w:r>
      <w:r w:rsidR="006A3FD4">
        <w:rPr>
          <w:szCs w:val="20"/>
        </w:rPr>
        <w:t xml:space="preserve"> </w:t>
      </w:r>
      <w:r w:rsidRPr="007129E5">
        <w:rPr>
          <w:szCs w:val="20"/>
        </w:rPr>
        <w:t>logistical issues.</w:t>
      </w:r>
      <w:r w:rsidR="00A541AF">
        <w:rPr>
          <w:szCs w:val="20"/>
        </w:rPr>
        <w:t xml:space="preserve"> </w:t>
      </w:r>
    </w:p>
    <w:p w14:paraId="27AB3F95" w14:textId="77777777" w:rsidR="009E791E" w:rsidRDefault="009E791E" w:rsidP="009E791E">
      <w:pPr>
        <w:keepNext/>
        <w:keepLines/>
        <w:jc w:val="both"/>
        <w:rPr>
          <w:lang w:eastAsia="en-AU"/>
        </w:rPr>
      </w:pPr>
      <w:r>
        <w:rPr>
          <w:lang w:eastAsia="en-AU"/>
        </w:rPr>
        <w:t xml:space="preserve">These projects have been </w:t>
      </w:r>
      <w:r w:rsidRPr="00A83251">
        <w:rPr>
          <w:b/>
          <w:lang w:eastAsia="en-AU"/>
        </w:rPr>
        <w:t>moderately efficient</w:t>
      </w:r>
      <w:r>
        <w:rPr>
          <w:lang w:eastAsia="en-AU"/>
        </w:rPr>
        <w:t>:</w:t>
      </w:r>
    </w:p>
    <w:p w14:paraId="6FB30BB8" w14:textId="2CAE2BA3" w:rsidR="009E791E" w:rsidRDefault="009E791E" w:rsidP="009E791E">
      <w:pPr>
        <w:keepNext/>
        <w:keepLines/>
        <w:numPr>
          <w:ilvl w:val="0"/>
          <w:numId w:val="24"/>
        </w:numPr>
        <w:spacing w:before="80" w:after="80"/>
        <w:ind w:left="714" w:hanging="357"/>
        <w:jc w:val="both"/>
        <w:rPr>
          <w:lang w:eastAsia="en-AU"/>
        </w:rPr>
      </w:pPr>
      <w:r w:rsidRPr="00210BD7">
        <w:rPr>
          <w:i/>
          <w:lang w:eastAsia="en-AU"/>
        </w:rPr>
        <w:t xml:space="preserve">Hospital (Stage 1 and 2) </w:t>
      </w:r>
      <w:r>
        <w:rPr>
          <w:lang w:eastAsia="en-AU"/>
        </w:rPr>
        <w:t xml:space="preserve">– </w:t>
      </w:r>
      <w:r>
        <w:rPr>
          <w:szCs w:val="20"/>
          <w:lang w:val="en-US"/>
        </w:rPr>
        <w:t>t</w:t>
      </w:r>
      <w:r w:rsidRPr="001A63EF">
        <w:rPr>
          <w:szCs w:val="20"/>
          <w:lang w:val="en-US"/>
        </w:rPr>
        <w:t xml:space="preserve">he context surrounding the hospital redevelopment didn’t follow usual good practice for infrastructure planning, including stakeholder consultations and options analysis, given the modular structure was already on island. </w:t>
      </w:r>
      <w:r w:rsidRPr="009F27AA">
        <w:rPr>
          <w:szCs w:val="20"/>
          <w:lang w:val="en-US"/>
        </w:rPr>
        <w:t>DFAT co</w:t>
      </w:r>
      <w:r w:rsidR="00321802">
        <w:rPr>
          <w:szCs w:val="20"/>
          <w:lang w:val="en-US"/>
        </w:rPr>
        <w:t>ntributed funding to</w:t>
      </w:r>
      <w:r w:rsidR="006D04C0">
        <w:rPr>
          <w:szCs w:val="20"/>
          <w:lang w:val="en-US"/>
        </w:rPr>
        <w:t>,</w:t>
      </w:r>
      <w:r w:rsidRPr="009F27AA">
        <w:rPr>
          <w:szCs w:val="20"/>
          <w:lang w:val="en-US"/>
        </w:rPr>
        <w:t xml:space="preserve"> but </w:t>
      </w:r>
      <w:r w:rsidR="003D39B3">
        <w:rPr>
          <w:szCs w:val="20"/>
          <w:lang w:val="en-US"/>
        </w:rPr>
        <w:t>did not lead the process</w:t>
      </w:r>
      <w:r w:rsidRPr="009F27AA">
        <w:rPr>
          <w:szCs w:val="20"/>
          <w:lang w:val="en-US"/>
        </w:rPr>
        <w:t>.</w:t>
      </w:r>
      <w:r>
        <w:rPr>
          <w:szCs w:val="20"/>
          <w:lang w:val="en-US"/>
        </w:rPr>
        <w:t xml:space="preserve"> </w:t>
      </w:r>
      <w:r w:rsidRPr="001A63EF">
        <w:rPr>
          <w:szCs w:val="20"/>
          <w:lang w:val="en-US"/>
        </w:rPr>
        <w:t>T</w:t>
      </w:r>
      <w:r>
        <w:rPr>
          <w:lang w:eastAsia="en-AU"/>
        </w:rPr>
        <w:t>he overall efficiency of this investment is reduced by needing follow up assistance to address issues that have arisen from this process</w:t>
      </w:r>
      <w:r w:rsidR="00544ED5">
        <w:rPr>
          <w:lang w:eastAsia="en-AU"/>
        </w:rPr>
        <w:t xml:space="preserve">, </w:t>
      </w:r>
      <w:r w:rsidR="00C33E37">
        <w:rPr>
          <w:lang w:eastAsia="en-AU"/>
        </w:rPr>
        <w:t xml:space="preserve">such as the operating theatre and roofing materials, </w:t>
      </w:r>
      <w:r w:rsidR="00544ED5">
        <w:rPr>
          <w:lang w:eastAsia="en-AU"/>
        </w:rPr>
        <w:t xml:space="preserve">as further detailed under </w:t>
      </w:r>
      <w:r w:rsidR="00544ED5" w:rsidRPr="00544ED5">
        <w:rPr>
          <w:i/>
          <w:lang w:eastAsia="en-AU"/>
        </w:rPr>
        <w:t xml:space="preserve">Section </w:t>
      </w:r>
      <w:r w:rsidR="00544ED5" w:rsidRPr="00544ED5">
        <w:rPr>
          <w:i/>
          <w:lang w:eastAsia="en-AU"/>
        </w:rPr>
        <w:fldChar w:fldCharType="begin"/>
      </w:r>
      <w:r w:rsidR="00544ED5" w:rsidRPr="00544ED5">
        <w:rPr>
          <w:i/>
          <w:lang w:eastAsia="en-AU"/>
        </w:rPr>
        <w:instrText xml:space="preserve"> REF _Ref516133660 \r \h </w:instrText>
      </w:r>
      <w:r w:rsidR="00544ED5">
        <w:rPr>
          <w:i/>
          <w:lang w:eastAsia="en-AU"/>
        </w:rPr>
        <w:instrText xml:space="preserve"> \* MERGEFORMAT </w:instrText>
      </w:r>
      <w:r w:rsidR="00544ED5" w:rsidRPr="00544ED5">
        <w:rPr>
          <w:i/>
          <w:lang w:eastAsia="en-AU"/>
        </w:rPr>
      </w:r>
      <w:r w:rsidR="00544ED5" w:rsidRPr="00544ED5">
        <w:rPr>
          <w:i/>
          <w:lang w:eastAsia="en-AU"/>
        </w:rPr>
        <w:fldChar w:fldCharType="separate"/>
      </w:r>
      <w:r w:rsidR="00404CD4">
        <w:rPr>
          <w:i/>
          <w:lang w:eastAsia="en-AU"/>
        </w:rPr>
        <w:t>3.3</w:t>
      </w:r>
      <w:r w:rsidR="00544ED5" w:rsidRPr="00544ED5">
        <w:rPr>
          <w:i/>
          <w:lang w:eastAsia="en-AU"/>
        </w:rPr>
        <w:fldChar w:fldCharType="end"/>
      </w:r>
      <w:r w:rsidR="00544ED5" w:rsidRPr="00544ED5">
        <w:rPr>
          <w:i/>
          <w:lang w:eastAsia="en-AU"/>
        </w:rPr>
        <w:t xml:space="preserve"> - </w:t>
      </w:r>
      <w:r w:rsidR="00544ED5" w:rsidRPr="00544ED5">
        <w:rPr>
          <w:i/>
          <w:lang w:eastAsia="en-AU"/>
        </w:rPr>
        <w:fldChar w:fldCharType="begin"/>
      </w:r>
      <w:r w:rsidR="00544ED5" w:rsidRPr="00544ED5">
        <w:rPr>
          <w:i/>
          <w:lang w:eastAsia="en-AU"/>
        </w:rPr>
        <w:instrText xml:space="preserve"> REF _Ref516133672 \h </w:instrText>
      </w:r>
      <w:r w:rsidR="00544ED5">
        <w:rPr>
          <w:i/>
          <w:lang w:eastAsia="en-AU"/>
        </w:rPr>
        <w:instrText xml:space="preserve"> \* MERGEFORMAT </w:instrText>
      </w:r>
      <w:r w:rsidR="00544ED5" w:rsidRPr="00544ED5">
        <w:rPr>
          <w:i/>
          <w:lang w:eastAsia="en-AU"/>
        </w:rPr>
      </w:r>
      <w:r w:rsidR="00544ED5" w:rsidRPr="00544ED5">
        <w:rPr>
          <w:i/>
          <w:lang w:eastAsia="en-AU"/>
        </w:rPr>
        <w:fldChar w:fldCharType="separate"/>
      </w:r>
      <w:r w:rsidR="00404CD4" w:rsidRPr="00404CD4">
        <w:rPr>
          <w:i/>
        </w:rPr>
        <w:t>Effectiveness</w:t>
      </w:r>
      <w:r w:rsidR="00544ED5" w:rsidRPr="00544ED5">
        <w:rPr>
          <w:i/>
          <w:lang w:eastAsia="en-AU"/>
        </w:rPr>
        <w:fldChar w:fldCharType="end"/>
      </w:r>
      <w:r>
        <w:rPr>
          <w:lang w:eastAsia="en-AU"/>
        </w:rPr>
        <w:t xml:space="preserve">. </w:t>
      </w:r>
    </w:p>
    <w:p w14:paraId="42D594D2" w14:textId="77777777" w:rsidR="009E791E" w:rsidRDefault="009E791E" w:rsidP="009E791E">
      <w:pPr>
        <w:jc w:val="both"/>
        <w:rPr>
          <w:lang w:eastAsia="en-AU"/>
        </w:rPr>
      </w:pPr>
      <w:r>
        <w:rPr>
          <w:lang w:eastAsia="en-AU"/>
        </w:rPr>
        <w:t xml:space="preserve">These projects are </w:t>
      </w:r>
      <w:r w:rsidRPr="00A83251">
        <w:rPr>
          <w:b/>
          <w:lang w:eastAsia="en-AU"/>
        </w:rPr>
        <w:t>low efficiency</w:t>
      </w:r>
      <w:r>
        <w:rPr>
          <w:lang w:eastAsia="en-AU"/>
        </w:rPr>
        <w:t>:</w:t>
      </w:r>
    </w:p>
    <w:p w14:paraId="16BB0340" w14:textId="28762F2E" w:rsidR="009E791E" w:rsidRDefault="009E791E" w:rsidP="009E791E">
      <w:pPr>
        <w:numPr>
          <w:ilvl w:val="0"/>
          <w:numId w:val="24"/>
        </w:numPr>
        <w:spacing w:before="80" w:after="80"/>
        <w:ind w:left="714" w:hanging="357"/>
        <w:jc w:val="both"/>
        <w:rPr>
          <w:lang w:eastAsia="en-AU"/>
        </w:rPr>
      </w:pPr>
      <w:r w:rsidRPr="00DB5BD0">
        <w:rPr>
          <w:i/>
          <w:lang w:eastAsia="en-AU"/>
        </w:rPr>
        <w:t>Wellness Clinics</w:t>
      </w:r>
      <w:r>
        <w:rPr>
          <w:lang w:eastAsia="en-AU"/>
        </w:rPr>
        <w:t xml:space="preserve"> – One of the </w:t>
      </w:r>
      <w:r w:rsidRPr="009F27AA">
        <w:rPr>
          <w:szCs w:val="20"/>
        </w:rPr>
        <w:t xml:space="preserve">clinics </w:t>
      </w:r>
      <w:r>
        <w:rPr>
          <w:szCs w:val="20"/>
        </w:rPr>
        <w:t xml:space="preserve">delivered by Australia is already </w:t>
      </w:r>
      <w:r w:rsidR="006D04C0">
        <w:rPr>
          <w:szCs w:val="20"/>
        </w:rPr>
        <w:t xml:space="preserve">a </w:t>
      </w:r>
      <w:r w:rsidRPr="009F27AA">
        <w:rPr>
          <w:szCs w:val="20"/>
        </w:rPr>
        <w:t>disused frame</w:t>
      </w:r>
      <w:r w:rsidR="0018519F">
        <w:rPr>
          <w:szCs w:val="20"/>
        </w:rPr>
        <w:t xml:space="preserve">, </w:t>
      </w:r>
      <w:r w:rsidR="0018519F">
        <w:rPr>
          <w:lang w:eastAsia="en-AU"/>
        </w:rPr>
        <w:t xml:space="preserve">as further detailed under </w:t>
      </w:r>
      <w:r w:rsidR="0018519F" w:rsidRPr="00544ED5">
        <w:rPr>
          <w:i/>
          <w:lang w:eastAsia="en-AU"/>
        </w:rPr>
        <w:t xml:space="preserve">Section </w:t>
      </w:r>
      <w:r w:rsidR="0018519F" w:rsidRPr="00544ED5">
        <w:rPr>
          <w:i/>
          <w:lang w:eastAsia="en-AU"/>
        </w:rPr>
        <w:fldChar w:fldCharType="begin"/>
      </w:r>
      <w:r w:rsidR="0018519F" w:rsidRPr="00544ED5">
        <w:rPr>
          <w:i/>
          <w:lang w:eastAsia="en-AU"/>
        </w:rPr>
        <w:instrText xml:space="preserve"> REF _Ref516133660 \r \h </w:instrText>
      </w:r>
      <w:r w:rsidR="0018519F">
        <w:rPr>
          <w:i/>
          <w:lang w:eastAsia="en-AU"/>
        </w:rPr>
        <w:instrText xml:space="preserve"> \* MERGEFORMAT </w:instrText>
      </w:r>
      <w:r w:rsidR="0018519F" w:rsidRPr="00544ED5">
        <w:rPr>
          <w:i/>
          <w:lang w:eastAsia="en-AU"/>
        </w:rPr>
      </w:r>
      <w:r w:rsidR="0018519F" w:rsidRPr="00544ED5">
        <w:rPr>
          <w:i/>
          <w:lang w:eastAsia="en-AU"/>
        </w:rPr>
        <w:fldChar w:fldCharType="separate"/>
      </w:r>
      <w:r w:rsidR="00404CD4">
        <w:rPr>
          <w:i/>
          <w:lang w:eastAsia="en-AU"/>
        </w:rPr>
        <w:t>3.3</w:t>
      </w:r>
      <w:r w:rsidR="0018519F" w:rsidRPr="00544ED5">
        <w:rPr>
          <w:i/>
          <w:lang w:eastAsia="en-AU"/>
        </w:rPr>
        <w:fldChar w:fldCharType="end"/>
      </w:r>
      <w:r w:rsidR="0018519F" w:rsidRPr="00544ED5">
        <w:rPr>
          <w:i/>
          <w:lang w:eastAsia="en-AU"/>
        </w:rPr>
        <w:t xml:space="preserve"> - </w:t>
      </w:r>
      <w:r w:rsidR="0018519F" w:rsidRPr="00544ED5">
        <w:rPr>
          <w:i/>
          <w:lang w:eastAsia="en-AU"/>
        </w:rPr>
        <w:fldChar w:fldCharType="begin"/>
      </w:r>
      <w:r w:rsidR="0018519F" w:rsidRPr="00544ED5">
        <w:rPr>
          <w:i/>
          <w:lang w:eastAsia="en-AU"/>
        </w:rPr>
        <w:instrText xml:space="preserve"> REF _Ref516133672 \h </w:instrText>
      </w:r>
      <w:r w:rsidR="0018519F">
        <w:rPr>
          <w:i/>
          <w:lang w:eastAsia="en-AU"/>
        </w:rPr>
        <w:instrText xml:space="preserve"> \* MERGEFORMAT </w:instrText>
      </w:r>
      <w:r w:rsidR="0018519F" w:rsidRPr="00544ED5">
        <w:rPr>
          <w:i/>
          <w:lang w:eastAsia="en-AU"/>
        </w:rPr>
      </w:r>
      <w:r w:rsidR="0018519F" w:rsidRPr="00544ED5">
        <w:rPr>
          <w:i/>
          <w:lang w:eastAsia="en-AU"/>
        </w:rPr>
        <w:fldChar w:fldCharType="separate"/>
      </w:r>
      <w:r w:rsidR="00404CD4" w:rsidRPr="00404CD4">
        <w:rPr>
          <w:i/>
        </w:rPr>
        <w:t>Effectiveness</w:t>
      </w:r>
      <w:r w:rsidR="0018519F" w:rsidRPr="00544ED5">
        <w:rPr>
          <w:i/>
          <w:lang w:eastAsia="en-AU"/>
        </w:rPr>
        <w:fldChar w:fldCharType="end"/>
      </w:r>
      <w:r>
        <w:rPr>
          <w:szCs w:val="20"/>
        </w:rPr>
        <w:t>. T</w:t>
      </w:r>
      <w:r w:rsidRPr="009F27AA">
        <w:rPr>
          <w:szCs w:val="20"/>
        </w:rPr>
        <w:t xml:space="preserve">he options analysis does not appear to be adequate to have </w:t>
      </w:r>
      <w:r>
        <w:rPr>
          <w:szCs w:val="20"/>
        </w:rPr>
        <w:t xml:space="preserve">ascertained </w:t>
      </w:r>
      <w:r w:rsidRPr="009F27AA">
        <w:rPr>
          <w:szCs w:val="20"/>
        </w:rPr>
        <w:t xml:space="preserve">efficient </w:t>
      </w:r>
      <w:r>
        <w:rPr>
          <w:szCs w:val="20"/>
        </w:rPr>
        <w:t>delivery of the objectives</w:t>
      </w:r>
      <w:r w:rsidRPr="009F27AA">
        <w:rPr>
          <w:szCs w:val="20"/>
        </w:rPr>
        <w:t xml:space="preserve">. </w:t>
      </w:r>
      <w:r>
        <w:rPr>
          <w:lang w:eastAsia="en-AU"/>
        </w:rPr>
        <w:t>D</w:t>
      </w:r>
      <w:r w:rsidRPr="002711ED">
        <w:rPr>
          <w:lang w:eastAsia="en-AU"/>
        </w:rPr>
        <w:t xml:space="preserve">elays in the project </w:t>
      </w:r>
      <w:r>
        <w:rPr>
          <w:lang w:eastAsia="en-AU"/>
        </w:rPr>
        <w:t xml:space="preserve">implementation </w:t>
      </w:r>
      <w:r w:rsidRPr="002711ED">
        <w:rPr>
          <w:lang w:eastAsia="en-AU"/>
        </w:rPr>
        <w:t xml:space="preserve">have incurred </w:t>
      </w:r>
      <w:r w:rsidR="006D04C0" w:rsidRPr="002711ED">
        <w:rPr>
          <w:lang w:eastAsia="en-AU"/>
        </w:rPr>
        <w:t>because</w:t>
      </w:r>
      <w:r w:rsidRPr="002711ED">
        <w:rPr>
          <w:lang w:eastAsia="en-AU"/>
        </w:rPr>
        <w:t xml:space="preserve"> of damage caused during shipping. </w:t>
      </w:r>
      <w:r>
        <w:rPr>
          <w:lang w:eastAsia="en-AU"/>
        </w:rPr>
        <w:t>The efficiency is further reduced as addressing the issues will ultimately cost a higher amount overall to deliver the results.</w:t>
      </w:r>
    </w:p>
    <w:p w14:paraId="1F786241" w14:textId="77777777" w:rsidR="009E791E" w:rsidRDefault="009E791E" w:rsidP="009E791E">
      <w:pPr>
        <w:numPr>
          <w:ilvl w:val="0"/>
          <w:numId w:val="24"/>
        </w:numPr>
        <w:spacing w:before="80" w:after="80"/>
        <w:ind w:left="714" w:hanging="357"/>
        <w:jc w:val="both"/>
        <w:rPr>
          <w:lang w:eastAsia="en-AU"/>
        </w:rPr>
      </w:pPr>
      <w:r w:rsidRPr="00702CE5">
        <w:rPr>
          <w:i/>
          <w:lang w:eastAsia="en-AU"/>
        </w:rPr>
        <w:t>Household Water Tanks</w:t>
      </w:r>
      <w:r>
        <w:rPr>
          <w:lang w:eastAsia="en-AU"/>
        </w:rPr>
        <w:t xml:space="preserve"> – </w:t>
      </w:r>
      <w:r w:rsidRPr="00702CE5">
        <w:rPr>
          <w:szCs w:val="20"/>
        </w:rPr>
        <w:t xml:space="preserve">the concept was developed by </w:t>
      </w:r>
      <w:r w:rsidR="003802B9">
        <w:rPr>
          <w:szCs w:val="20"/>
        </w:rPr>
        <w:t>the Department of Commerce, Industry and Environme</w:t>
      </w:r>
      <w:r w:rsidR="00CD529F">
        <w:rPr>
          <w:szCs w:val="20"/>
        </w:rPr>
        <w:t>nt</w:t>
      </w:r>
      <w:r w:rsidR="003802B9">
        <w:rPr>
          <w:szCs w:val="20"/>
        </w:rPr>
        <w:t xml:space="preserve"> (CIE) </w:t>
      </w:r>
      <w:r w:rsidRPr="00702CE5">
        <w:rPr>
          <w:szCs w:val="20"/>
        </w:rPr>
        <w:t>in response to immediate needs and proposed for Australian funding</w:t>
      </w:r>
      <w:r w:rsidR="000722A7">
        <w:rPr>
          <w:szCs w:val="20"/>
        </w:rPr>
        <w:t>, delivered through GoN systems</w:t>
      </w:r>
      <w:r w:rsidRPr="00702CE5">
        <w:rPr>
          <w:szCs w:val="20"/>
        </w:rPr>
        <w:t xml:space="preserve">. It is unclear if options analysis </w:t>
      </w:r>
      <w:r w:rsidR="008F1F5B">
        <w:rPr>
          <w:szCs w:val="20"/>
        </w:rPr>
        <w:t>or s</w:t>
      </w:r>
      <w:r w:rsidR="00006EE3" w:rsidRPr="00702CE5">
        <w:rPr>
          <w:szCs w:val="20"/>
          <w:lang w:val="en-US"/>
        </w:rPr>
        <w:t xml:space="preserve">ustainability </w:t>
      </w:r>
      <w:r w:rsidR="008F1F5B">
        <w:rPr>
          <w:szCs w:val="20"/>
          <w:lang w:val="en-US"/>
        </w:rPr>
        <w:t xml:space="preserve">were </w:t>
      </w:r>
      <w:r w:rsidR="00006EE3" w:rsidRPr="00702CE5">
        <w:rPr>
          <w:szCs w:val="20"/>
          <w:lang w:val="en-US"/>
        </w:rPr>
        <w:t>considered</w:t>
      </w:r>
      <w:r w:rsidR="00006EE3">
        <w:rPr>
          <w:szCs w:val="20"/>
          <w:lang w:val="en-US"/>
        </w:rPr>
        <w:t xml:space="preserve"> in the design</w:t>
      </w:r>
      <w:r w:rsidR="00006EE3" w:rsidRPr="00702CE5">
        <w:rPr>
          <w:szCs w:val="20"/>
          <w:lang w:val="en-US"/>
        </w:rPr>
        <w:t xml:space="preserve">; in some cases water tanks </w:t>
      </w:r>
      <w:r w:rsidR="00006EE3">
        <w:rPr>
          <w:szCs w:val="20"/>
          <w:lang w:val="en-US"/>
        </w:rPr>
        <w:t xml:space="preserve">will be </w:t>
      </w:r>
      <w:r w:rsidR="00006EE3" w:rsidRPr="00702CE5">
        <w:rPr>
          <w:szCs w:val="20"/>
          <w:lang w:val="en-US"/>
        </w:rPr>
        <w:t xml:space="preserve">delivered to replace existing broken tanks, indicating that ability to maintain the tanks may be lacking. </w:t>
      </w:r>
      <w:r w:rsidR="00A7555A">
        <w:rPr>
          <w:szCs w:val="20"/>
          <w:lang w:val="en-US"/>
        </w:rPr>
        <w:t xml:space="preserve">This project has encountered </w:t>
      </w:r>
      <w:r w:rsidR="00A339D5">
        <w:rPr>
          <w:szCs w:val="20"/>
          <w:lang w:val="en-US"/>
        </w:rPr>
        <w:t xml:space="preserve">significant </w:t>
      </w:r>
      <w:r w:rsidR="00A7555A">
        <w:rPr>
          <w:szCs w:val="20"/>
          <w:lang w:val="en-US"/>
        </w:rPr>
        <w:t xml:space="preserve">issues during procurement and construction of the concrete slabs, </w:t>
      </w:r>
      <w:r w:rsidR="00357E27">
        <w:rPr>
          <w:szCs w:val="20"/>
          <w:lang w:val="en-US"/>
        </w:rPr>
        <w:t xml:space="preserve">resulting in </w:t>
      </w:r>
      <w:r w:rsidR="00A7555A">
        <w:rPr>
          <w:szCs w:val="20"/>
          <w:lang w:val="en-US"/>
        </w:rPr>
        <w:t>suspen</w:t>
      </w:r>
      <w:r w:rsidR="00357E27">
        <w:rPr>
          <w:szCs w:val="20"/>
          <w:lang w:val="en-US"/>
        </w:rPr>
        <w:t>sion of the project</w:t>
      </w:r>
      <w:r w:rsidR="009B5DC2">
        <w:rPr>
          <w:szCs w:val="20"/>
          <w:lang w:val="en-US"/>
        </w:rPr>
        <w:t xml:space="preserve"> and significant delays</w:t>
      </w:r>
      <w:r w:rsidR="001823E4">
        <w:rPr>
          <w:szCs w:val="20"/>
          <w:lang w:val="en-US"/>
        </w:rPr>
        <w:t xml:space="preserve">. The project has </w:t>
      </w:r>
      <w:r w:rsidR="00A7555A">
        <w:rPr>
          <w:szCs w:val="20"/>
          <w:lang w:val="en-US"/>
        </w:rPr>
        <w:t>recently been resumed</w:t>
      </w:r>
      <w:r w:rsidR="003F4F4C">
        <w:rPr>
          <w:szCs w:val="20"/>
          <w:lang w:val="en-US"/>
        </w:rPr>
        <w:t>.</w:t>
      </w:r>
      <w:r w:rsidR="00B2726C">
        <w:rPr>
          <w:szCs w:val="20"/>
          <w:lang w:val="en-US"/>
        </w:rPr>
        <w:t xml:space="preserve"> </w:t>
      </w:r>
      <w:r w:rsidR="00BF369D">
        <w:rPr>
          <w:szCs w:val="20"/>
          <w:lang w:val="en-US"/>
        </w:rPr>
        <w:t xml:space="preserve">Despite the low efficiency </w:t>
      </w:r>
      <w:r w:rsidR="00BF369D">
        <w:rPr>
          <w:szCs w:val="20"/>
          <w:lang w:val="en-US"/>
        </w:rPr>
        <w:lastRenderedPageBreak/>
        <w:t xml:space="preserve">of this project, DFAT’s handling of the issues has been appropriate and lessons learned have been </w:t>
      </w:r>
      <w:r w:rsidR="009748D6">
        <w:rPr>
          <w:szCs w:val="20"/>
          <w:lang w:val="en-US"/>
        </w:rPr>
        <w:t xml:space="preserve">demonstrably </w:t>
      </w:r>
      <w:r w:rsidR="00BF369D">
        <w:rPr>
          <w:szCs w:val="20"/>
          <w:lang w:val="en-US"/>
        </w:rPr>
        <w:t>applied to subsequent projects.</w:t>
      </w:r>
    </w:p>
    <w:p w14:paraId="685E0D56" w14:textId="77777777" w:rsidR="009E791E" w:rsidRDefault="009E791E" w:rsidP="009E791E">
      <w:pPr>
        <w:jc w:val="both"/>
        <w:rPr>
          <w:lang w:eastAsia="en-AU"/>
        </w:rPr>
      </w:pPr>
      <w:r>
        <w:rPr>
          <w:lang w:eastAsia="en-AU"/>
        </w:rPr>
        <w:t xml:space="preserve">The efficiency of these projects has </w:t>
      </w:r>
      <w:r w:rsidRPr="000128A1">
        <w:rPr>
          <w:b/>
          <w:lang w:eastAsia="en-AU"/>
        </w:rPr>
        <w:t>not been ascertained</w:t>
      </w:r>
      <w:r>
        <w:rPr>
          <w:lang w:eastAsia="en-AU"/>
        </w:rPr>
        <w:t xml:space="preserve"> due to their current stage (e.g. planning or design, or largely implemented prior to the review period):</w:t>
      </w:r>
    </w:p>
    <w:p w14:paraId="7B327F25" w14:textId="00CFB10D" w:rsidR="009E791E" w:rsidRDefault="009E791E" w:rsidP="009E791E">
      <w:pPr>
        <w:numPr>
          <w:ilvl w:val="0"/>
          <w:numId w:val="24"/>
        </w:numPr>
        <w:spacing w:before="80" w:after="80"/>
        <w:ind w:left="714" w:hanging="357"/>
        <w:jc w:val="both"/>
        <w:rPr>
          <w:lang w:eastAsia="en-AU"/>
        </w:rPr>
      </w:pPr>
      <w:r w:rsidRPr="00450226">
        <w:rPr>
          <w:i/>
          <w:lang w:eastAsia="en-AU"/>
        </w:rPr>
        <w:t xml:space="preserve">TVET </w:t>
      </w:r>
      <w:r w:rsidR="003D39B3">
        <w:rPr>
          <w:i/>
          <w:lang w:eastAsia="en-AU"/>
        </w:rPr>
        <w:t>Centre</w:t>
      </w:r>
      <w:r>
        <w:rPr>
          <w:lang w:eastAsia="en-AU"/>
        </w:rPr>
        <w:t xml:space="preserve"> - </w:t>
      </w:r>
      <w:r w:rsidRPr="009F27AA">
        <w:rPr>
          <w:szCs w:val="20"/>
          <w:lang w:val="en-US"/>
        </w:rPr>
        <w:t xml:space="preserve">The development of viable options for stakeholder consideration and selection was undertaken and the proposed solution fits within the broader concept of the Learning </w:t>
      </w:r>
      <w:r w:rsidR="003D39B3">
        <w:rPr>
          <w:szCs w:val="20"/>
          <w:lang w:val="en-US"/>
        </w:rPr>
        <w:t>Centre</w:t>
      </w:r>
      <w:r w:rsidRPr="009F27AA">
        <w:rPr>
          <w:szCs w:val="20"/>
          <w:lang w:val="en-US"/>
        </w:rPr>
        <w:t xml:space="preserve"> Complex developed by the Nauru Department of Education.</w:t>
      </w:r>
    </w:p>
    <w:p w14:paraId="5B44A5A7" w14:textId="2A8CC471" w:rsidR="009E791E" w:rsidRDefault="009E791E" w:rsidP="009E791E">
      <w:pPr>
        <w:numPr>
          <w:ilvl w:val="0"/>
          <w:numId w:val="24"/>
        </w:numPr>
        <w:spacing w:before="80" w:after="80"/>
        <w:ind w:left="714" w:hanging="357"/>
        <w:jc w:val="both"/>
        <w:rPr>
          <w:lang w:eastAsia="en-AU"/>
        </w:rPr>
      </w:pPr>
      <w:r>
        <w:rPr>
          <w:i/>
          <w:lang w:eastAsia="en-AU"/>
        </w:rPr>
        <w:t>P</w:t>
      </w:r>
      <w:r w:rsidRPr="00413085">
        <w:rPr>
          <w:i/>
          <w:lang w:eastAsia="en-AU"/>
        </w:rPr>
        <w:t>ort Redevelopment</w:t>
      </w:r>
      <w:r>
        <w:rPr>
          <w:lang w:eastAsia="en-AU"/>
        </w:rPr>
        <w:t xml:space="preserve"> </w:t>
      </w:r>
      <w:r w:rsidRPr="00413085">
        <w:rPr>
          <w:i/>
          <w:lang w:eastAsia="en-AU"/>
        </w:rPr>
        <w:t>and Institutional Reform</w:t>
      </w:r>
      <w:r>
        <w:rPr>
          <w:lang w:eastAsia="en-AU"/>
        </w:rPr>
        <w:t xml:space="preserve"> – These projects are due for implementation in 2018/19. The first step of the institutional reform project was commencing during the review period with the selection of a potential new CEO being undertaken. Collaboration between ADB, DFAT and GON was instrumental in securing 33.81% of funding from the GCF for the </w:t>
      </w:r>
      <w:r w:rsidR="006D04C0">
        <w:rPr>
          <w:lang w:eastAsia="en-AU"/>
        </w:rPr>
        <w:t>seaport</w:t>
      </w:r>
      <w:r>
        <w:rPr>
          <w:lang w:eastAsia="en-AU"/>
        </w:rPr>
        <w:t xml:space="preserve"> project, enabling the project to proceed with a budget for the recommended design. This is a good example of Australian funds being leveraged, demonstrating good efficiency of resources.</w:t>
      </w:r>
    </w:p>
    <w:p w14:paraId="7393D134" w14:textId="77777777" w:rsidR="009E791E" w:rsidRDefault="009E791E" w:rsidP="009E791E">
      <w:pPr>
        <w:jc w:val="both"/>
        <w:rPr>
          <w:lang w:eastAsia="en-AU"/>
        </w:rPr>
      </w:pPr>
      <w:r>
        <w:rPr>
          <w:lang w:eastAsia="en-AU"/>
        </w:rPr>
        <w:t>Other points of note include:</w:t>
      </w:r>
    </w:p>
    <w:p w14:paraId="08CDBA6B" w14:textId="77777777" w:rsidR="00477112" w:rsidRDefault="009E791E" w:rsidP="003A7561">
      <w:pPr>
        <w:numPr>
          <w:ilvl w:val="0"/>
          <w:numId w:val="24"/>
        </w:numPr>
        <w:spacing w:before="80" w:after="80"/>
        <w:ind w:left="714" w:hanging="357"/>
        <w:jc w:val="both"/>
        <w:rPr>
          <w:lang w:eastAsia="en-AU"/>
        </w:rPr>
      </w:pPr>
      <w:r>
        <w:rPr>
          <w:lang w:eastAsia="en-AU"/>
        </w:rPr>
        <w:t xml:space="preserve">DFAT indicated that funds were provided to GoN for a water treatment project in 2012, but the funding has yet to be executed and the project is currently re-engaging. The efficiency of this approach is low. </w:t>
      </w:r>
    </w:p>
    <w:p w14:paraId="57755E88" w14:textId="77777777" w:rsidR="00303E8D" w:rsidRDefault="00303E8D" w:rsidP="00E35FE7">
      <w:pPr>
        <w:pStyle w:val="Heading2"/>
        <w:ind w:left="576"/>
      </w:pPr>
      <w:bookmarkStart w:id="32" w:name="_Toc518640218"/>
      <w:r>
        <w:t>Monitoring and Evaluation</w:t>
      </w:r>
      <w:bookmarkEnd w:id="32"/>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DB3942" w14:paraId="6A454D30" w14:textId="77777777" w:rsidTr="000A167B">
        <w:tc>
          <w:tcPr>
            <w:tcW w:w="2434" w:type="dxa"/>
            <w:shd w:val="clear" w:color="auto" w:fill="FBD4B4" w:themeFill="accent6" w:themeFillTint="66"/>
          </w:tcPr>
          <w:p w14:paraId="4CB86212" w14:textId="77777777" w:rsidR="00DB3942" w:rsidRPr="004457C2" w:rsidRDefault="00DB3942" w:rsidP="000A167B">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58971E23" w14:textId="77777777" w:rsidR="00DB3942" w:rsidRDefault="006B4B0E" w:rsidP="006B4B0E">
            <w:pPr>
              <w:spacing w:before="120" w:beforeAutospacing="0" w:after="120" w:afterAutospacing="0"/>
              <w:rPr>
                <w:lang w:eastAsia="en-AU"/>
              </w:rPr>
            </w:pPr>
            <w:r>
              <w:rPr>
                <w:lang w:eastAsia="en-AU"/>
              </w:rPr>
              <w:t>Strong</w:t>
            </w:r>
          </w:p>
        </w:tc>
        <w:tc>
          <w:tcPr>
            <w:tcW w:w="2434" w:type="dxa"/>
            <w:shd w:val="clear" w:color="auto" w:fill="FBD4B4" w:themeFill="accent6" w:themeFillTint="66"/>
          </w:tcPr>
          <w:p w14:paraId="386BF723" w14:textId="77777777" w:rsidR="00DB3942" w:rsidRPr="004457C2" w:rsidRDefault="00DB3942" w:rsidP="000A167B">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20F4CC10" w14:textId="77777777" w:rsidR="00DB3942" w:rsidRDefault="00BC258F" w:rsidP="000A167B">
            <w:pPr>
              <w:spacing w:before="120" w:beforeAutospacing="0" w:after="120" w:afterAutospacing="0"/>
              <w:rPr>
                <w:lang w:eastAsia="en-AU"/>
              </w:rPr>
            </w:pPr>
            <w:r>
              <w:rPr>
                <w:lang w:eastAsia="en-AU"/>
              </w:rPr>
              <w:t>Adequate</w:t>
            </w:r>
            <w:r w:rsidR="00DB3942">
              <w:rPr>
                <w:lang w:eastAsia="en-AU"/>
              </w:rPr>
              <w:t xml:space="preserve"> (</w:t>
            </w:r>
            <w:r>
              <w:rPr>
                <w:lang w:eastAsia="en-AU"/>
              </w:rPr>
              <w:t>4</w:t>
            </w:r>
            <w:r w:rsidR="00DB3942">
              <w:rPr>
                <w:lang w:eastAsia="en-AU"/>
              </w:rPr>
              <w:t>/6)</w:t>
            </w:r>
          </w:p>
        </w:tc>
      </w:tr>
    </w:tbl>
    <w:p w14:paraId="7FAF204C" w14:textId="77777777" w:rsidR="00737D7A" w:rsidRDefault="00DA0904" w:rsidP="00737D7A">
      <w:pPr>
        <w:pStyle w:val="Heading3"/>
        <w:jc w:val="both"/>
        <w:rPr>
          <w:bCs w:val="0"/>
        </w:rPr>
      </w:pPr>
      <w:r w:rsidRPr="001924DD">
        <w:t>Key Review Question</w:t>
      </w:r>
      <w:r>
        <w:t xml:space="preserve"> </w:t>
      </w:r>
      <w:r w:rsidR="00872096">
        <w:t>5</w:t>
      </w:r>
      <w:r w:rsidR="00C11B79">
        <w:t>a</w:t>
      </w:r>
      <w:r w:rsidRPr="001924DD">
        <w:t xml:space="preserve">: </w:t>
      </w:r>
      <w:r w:rsidR="00737D7A">
        <w:rPr>
          <w:bCs w:val="0"/>
        </w:rPr>
        <w:t xml:space="preserve">To what extent are </w:t>
      </w:r>
      <w:r w:rsidR="00737D7A" w:rsidRPr="00737D7A">
        <w:rPr>
          <w:bCs w:val="0"/>
        </w:rPr>
        <w:t xml:space="preserve">current reporting and M&amp;E arrangements suitable considering DFAT standards, particularly for the indoor sports complex, and Nauru port reform and redevelopment? </w:t>
      </w:r>
    </w:p>
    <w:p w14:paraId="7C76F918" w14:textId="77777777" w:rsidR="006B4B0E" w:rsidRPr="001C2646" w:rsidRDefault="006B4B0E" w:rsidP="006B4B0E">
      <w:pPr>
        <w:jc w:val="both"/>
        <w:rPr>
          <w:lang w:eastAsia="en-AU"/>
        </w:rPr>
      </w:pPr>
      <w:r w:rsidRPr="001C2646">
        <w:rPr>
          <w:lang w:eastAsia="en-AU"/>
        </w:rPr>
        <w:t xml:space="preserve">Current M&amp;E arrangements for individual projects, such as the Indoor Sports Facility, Nauru Port Reform and Redevelopment, NUC and PACTAM, are adequate and satisfy most of DFAT standards. Reporting </w:t>
      </w:r>
      <w:r>
        <w:rPr>
          <w:lang w:eastAsia="en-AU"/>
        </w:rPr>
        <w:t xml:space="preserve">arrangements </w:t>
      </w:r>
      <w:r w:rsidRPr="001C2646">
        <w:rPr>
          <w:lang w:eastAsia="en-AU"/>
        </w:rPr>
        <w:t xml:space="preserve">against these discrete projects </w:t>
      </w:r>
      <w:r>
        <w:rPr>
          <w:lang w:eastAsia="en-AU"/>
        </w:rPr>
        <w:t>are</w:t>
      </w:r>
      <w:r w:rsidRPr="001C2646">
        <w:rPr>
          <w:lang w:eastAsia="en-AU"/>
        </w:rPr>
        <w:t xml:space="preserve"> reasonable and provides DFAT and GoN with information on progress against project milestones, budget and timeline. </w:t>
      </w:r>
      <w:r>
        <w:rPr>
          <w:lang w:eastAsia="en-AU"/>
        </w:rPr>
        <w:t>Some highlights include the M&amp;E on the Indoor Sports Facility, Nauru Port Reform program and the NUC. For example, for the Sports Complex, r</w:t>
      </w:r>
      <w:r w:rsidRPr="001C2646">
        <w:rPr>
          <w:lang w:eastAsia="en-AU"/>
        </w:rPr>
        <w:t xml:space="preserve">egular project site visits and </w:t>
      </w:r>
      <w:r>
        <w:rPr>
          <w:lang w:eastAsia="en-AU"/>
        </w:rPr>
        <w:t xml:space="preserve">technical working group </w:t>
      </w:r>
      <w:r w:rsidRPr="001C2646">
        <w:rPr>
          <w:lang w:eastAsia="en-AU"/>
        </w:rPr>
        <w:t xml:space="preserve">meetings </w:t>
      </w:r>
      <w:r>
        <w:rPr>
          <w:lang w:eastAsia="en-AU"/>
        </w:rPr>
        <w:t xml:space="preserve">are held between </w:t>
      </w:r>
      <w:r w:rsidR="000E7F79">
        <w:rPr>
          <w:lang w:eastAsia="en-AU"/>
        </w:rPr>
        <w:t>DFAT,</w:t>
      </w:r>
      <w:r w:rsidR="00440250">
        <w:rPr>
          <w:lang w:eastAsia="en-AU"/>
        </w:rPr>
        <w:t xml:space="preserve"> </w:t>
      </w:r>
      <w:r w:rsidRPr="001C2646">
        <w:rPr>
          <w:lang w:eastAsia="en-AU"/>
        </w:rPr>
        <w:t xml:space="preserve">GoN and the construction (Craig Construction) and project management companies (A&amp;L) </w:t>
      </w:r>
      <w:r w:rsidR="000A7F05">
        <w:rPr>
          <w:lang w:eastAsia="en-AU"/>
        </w:rPr>
        <w:t>which</w:t>
      </w:r>
      <w:r>
        <w:rPr>
          <w:lang w:eastAsia="en-AU"/>
        </w:rPr>
        <w:t xml:space="preserve"> </w:t>
      </w:r>
      <w:r w:rsidRPr="001C2646">
        <w:rPr>
          <w:lang w:eastAsia="en-AU"/>
        </w:rPr>
        <w:t xml:space="preserve">allow </w:t>
      </w:r>
      <w:r w:rsidR="00440250">
        <w:rPr>
          <w:lang w:eastAsia="en-AU"/>
        </w:rPr>
        <w:t>DFAT</w:t>
      </w:r>
      <w:r w:rsidR="001A1C0B">
        <w:rPr>
          <w:lang w:eastAsia="en-AU"/>
        </w:rPr>
        <w:t xml:space="preserve"> </w:t>
      </w:r>
      <w:r w:rsidRPr="001C2646">
        <w:rPr>
          <w:lang w:eastAsia="en-AU"/>
        </w:rPr>
        <w:t xml:space="preserve">to discuss and address issues as they come up. </w:t>
      </w:r>
    </w:p>
    <w:p w14:paraId="7B3F06BA" w14:textId="77777777" w:rsidR="006B4B0E" w:rsidRDefault="006B4B0E" w:rsidP="006B4B0E">
      <w:pPr>
        <w:jc w:val="both"/>
        <w:rPr>
          <w:lang w:eastAsia="en-AU"/>
        </w:rPr>
      </w:pPr>
      <w:r>
        <w:rPr>
          <w:lang w:eastAsia="en-AU"/>
        </w:rPr>
        <w:t xml:space="preserve">The absence of an </w:t>
      </w:r>
      <w:r w:rsidRPr="001C2646">
        <w:rPr>
          <w:lang w:eastAsia="en-AU"/>
        </w:rPr>
        <w:t xml:space="preserve">overarching </w:t>
      </w:r>
      <w:r>
        <w:rPr>
          <w:lang w:eastAsia="en-AU"/>
        </w:rPr>
        <w:t>strategy</w:t>
      </w:r>
      <w:r w:rsidR="000D4F51">
        <w:rPr>
          <w:lang w:eastAsia="en-AU"/>
        </w:rPr>
        <w:t>, however,</w:t>
      </w:r>
      <w:r>
        <w:rPr>
          <w:lang w:eastAsia="en-AU"/>
        </w:rPr>
        <w:t xml:space="preserve"> for the i</w:t>
      </w:r>
      <w:r w:rsidRPr="001C2646">
        <w:rPr>
          <w:lang w:eastAsia="en-AU"/>
        </w:rPr>
        <w:t xml:space="preserve">nfrastructure portfolio may be limiting DFAT’s ability to make evidence-based decisions and to ascertain how individual investments are contributing to DFAT’s </w:t>
      </w:r>
      <w:r>
        <w:rPr>
          <w:lang w:eastAsia="en-AU"/>
        </w:rPr>
        <w:t>priorities</w:t>
      </w:r>
      <w:r w:rsidRPr="001C2646">
        <w:rPr>
          <w:lang w:eastAsia="en-AU"/>
        </w:rPr>
        <w:t xml:space="preserve"> in infrastructure in Nauru</w:t>
      </w:r>
      <w:r>
        <w:rPr>
          <w:lang w:eastAsia="en-AU"/>
        </w:rPr>
        <w:t xml:space="preserve">. </w:t>
      </w:r>
      <w:r w:rsidRPr="00C74D18">
        <w:rPr>
          <w:lang w:eastAsia="en-AU"/>
        </w:rPr>
        <w:t xml:space="preserve">The review team recommends that DFAT develop an overarching </w:t>
      </w:r>
      <w:r w:rsidR="00845FE6">
        <w:rPr>
          <w:lang w:eastAsia="en-AU"/>
        </w:rPr>
        <w:t xml:space="preserve">infrastructure </w:t>
      </w:r>
      <w:r w:rsidRPr="00C74D18">
        <w:rPr>
          <w:lang w:eastAsia="en-AU"/>
        </w:rPr>
        <w:t xml:space="preserve">strategy </w:t>
      </w:r>
      <w:r w:rsidR="00246E28">
        <w:rPr>
          <w:lang w:eastAsia="en-AU"/>
        </w:rPr>
        <w:t>(see</w:t>
      </w:r>
      <w:r w:rsidR="001316CA">
        <w:rPr>
          <w:lang w:eastAsia="en-AU"/>
        </w:rPr>
        <w:t xml:space="preserve"> KRQ 5b</w:t>
      </w:r>
      <w:r w:rsidR="009E54D3">
        <w:rPr>
          <w:lang w:eastAsia="en-AU"/>
        </w:rPr>
        <w:t xml:space="preserve"> </w:t>
      </w:r>
      <w:r w:rsidR="00246E28">
        <w:rPr>
          <w:lang w:eastAsia="en-AU"/>
        </w:rPr>
        <w:t>below</w:t>
      </w:r>
      <w:r w:rsidR="00523119">
        <w:rPr>
          <w:lang w:eastAsia="en-AU"/>
        </w:rPr>
        <w:t xml:space="preserve"> and Chapter 5 of this report</w:t>
      </w:r>
      <w:r w:rsidR="00246E28">
        <w:rPr>
          <w:lang w:eastAsia="en-AU"/>
        </w:rPr>
        <w:t xml:space="preserve"> for more information)</w:t>
      </w:r>
      <w:r w:rsidRPr="00C74D18">
        <w:rPr>
          <w:lang w:eastAsia="en-AU"/>
        </w:rPr>
        <w:t>.</w:t>
      </w:r>
      <w:r w:rsidR="00B9378F">
        <w:rPr>
          <w:lang w:eastAsia="en-AU"/>
        </w:rPr>
        <w:t xml:space="preserve"> A new</w:t>
      </w:r>
      <w:r w:rsidR="00773943">
        <w:rPr>
          <w:lang w:eastAsia="en-AU"/>
        </w:rPr>
        <w:t xml:space="preserve"> strategy would </w:t>
      </w:r>
      <w:r w:rsidR="00B9378F">
        <w:rPr>
          <w:lang w:eastAsia="en-AU"/>
        </w:rPr>
        <w:t xml:space="preserve">need to </w:t>
      </w:r>
      <w:r w:rsidR="00773943">
        <w:rPr>
          <w:lang w:eastAsia="en-AU"/>
        </w:rPr>
        <w:t>be a</w:t>
      </w:r>
      <w:r>
        <w:rPr>
          <w:lang w:eastAsia="en-AU"/>
        </w:rPr>
        <w:t xml:space="preserve">ligned </w:t>
      </w:r>
      <w:r w:rsidR="00BF2800">
        <w:rPr>
          <w:lang w:eastAsia="en-AU"/>
        </w:rPr>
        <w:t>to</w:t>
      </w:r>
      <w:r w:rsidRPr="001C2646">
        <w:rPr>
          <w:lang w:eastAsia="en-AU"/>
        </w:rPr>
        <w:t xml:space="preserve"> </w:t>
      </w:r>
      <w:r w:rsidR="00767A2C">
        <w:rPr>
          <w:lang w:eastAsia="en-AU"/>
        </w:rPr>
        <w:t xml:space="preserve">the </w:t>
      </w:r>
      <w:r w:rsidR="00054BD0">
        <w:rPr>
          <w:lang w:eastAsia="en-AU"/>
        </w:rPr>
        <w:t>AIP</w:t>
      </w:r>
      <w:r w:rsidR="00773943">
        <w:rPr>
          <w:lang w:eastAsia="en-AU"/>
        </w:rPr>
        <w:t xml:space="preserve"> and the </w:t>
      </w:r>
      <w:r w:rsidR="0040775F">
        <w:rPr>
          <w:lang w:eastAsia="en-AU"/>
        </w:rPr>
        <w:t>PAF</w:t>
      </w:r>
      <w:r w:rsidR="00773943">
        <w:rPr>
          <w:lang w:eastAsia="en-AU"/>
        </w:rPr>
        <w:t xml:space="preserve">. </w:t>
      </w:r>
      <w:r w:rsidR="00523119">
        <w:rPr>
          <w:lang w:eastAsia="en-AU"/>
        </w:rPr>
        <w:t>Further, i</w:t>
      </w:r>
      <w:r w:rsidR="00627A10">
        <w:rPr>
          <w:lang w:eastAsia="en-AU"/>
        </w:rPr>
        <w:t xml:space="preserve">ndividual investment </w:t>
      </w:r>
      <w:r w:rsidR="00893E9F">
        <w:rPr>
          <w:lang w:eastAsia="en-AU"/>
        </w:rPr>
        <w:t>monitoring and reporting systems</w:t>
      </w:r>
      <w:r>
        <w:rPr>
          <w:lang w:eastAsia="en-AU"/>
        </w:rPr>
        <w:t xml:space="preserve">, such as </w:t>
      </w:r>
      <w:r w:rsidR="00FA7C23">
        <w:rPr>
          <w:lang w:eastAsia="en-AU"/>
        </w:rPr>
        <w:t xml:space="preserve">for </w:t>
      </w:r>
      <w:r>
        <w:rPr>
          <w:lang w:eastAsia="en-AU"/>
        </w:rPr>
        <w:t>the Sports Facility</w:t>
      </w:r>
      <w:r w:rsidR="00FA7C23">
        <w:rPr>
          <w:lang w:eastAsia="en-AU"/>
        </w:rPr>
        <w:t>, or the NUC</w:t>
      </w:r>
      <w:r>
        <w:rPr>
          <w:lang w:eastAsia="en-AU"/>
        </w:rPr>
        <w:t>,</w:t>
      </w:r>
      <w:r w:rsidRPr="006B029B">
        <w:rPr>
          <w:lang w:eastAsia="en-AU"/>
        </w:rPr>
        <w:t xml:space="preserve"> would </w:t>
      </w:r>
      <w:r w:rsidR="00523119">
        <w:rPr>
          <w:lang w:eastAsia="en-AU"/>
        </w:rPr>
        <w:t xml:space="preserve">subsequently </w:t>
      </w:r>
      <w:r w:rsidR="00627A10">
        <w:rPr>
          <w:lang w:eastAsia="en-AU"/>
        </w:rPr>
        <w:t>need to be</w:t>
      </w:r>
      <w:r w:rsidRPr="006B029B">
        <w:rPr>
          <w:lang w:eastAsia="en-AU"/>
        </w:rPr>
        <w:t xml:space="preserve"> linked to the PAF with </w:t>
      </w:r>
      <w:r w:rsidR="00360FB6">
        <w:rPr>
          <w:lang w:eastAsia="en-AU"/>
        </w:rPr>
        <w:t>its</w:t>
      </w:r>
      <w:r w:rsidRPr="006B029B">
        <w:rPr>
          <w:lang w:eastAsia="en-AU"/>
        </w:rPr>
        <w:t xml:space="preserve"> own set of performance expectations</w:t>
      </w:r>
      <w:r w:rsidR="006C6DEB">
        <w:rPr>
          <w:lang w:eastAsia="en-AU"/>
        </w:rPr>
        <w:t xml:space="preserve"> which </w:t>
      </w:r>
      <w:r w:rsidR="0030128A">
        <w:rPr>
          <w:lang w:eastAsia="en-AU"/>
        </w:rPr>
        <w:t>c</w:t>
      </w:r>
      <w:r w:rsidR="00504979">
        <w:rPr>
          <w:lang w:eastAsia="en-AU"/>
        </w:rPr>
        <w:t>ould</w:t>
      </w:r>
      <w:r w:rsidR="006C6DEB">
        <w:rPr>
          <w:lang w:eastAsia="en-AU"/>
        </w:rPr>
        <w:t xml:space="preserve"> </w:t>
      </w:r>
      <w:r w:rsidR="00523119">
        <w:rPr>
          <w:lang w:eastAsia="en-AU"/>
        </w:rPr>
        <w:t xml:space="preserve">help </w:t>
      </w:r>
      <w:r w:rsidR="00511786">
        <w:rPr>
          <w:lang w:eastAsia="en-AU"/>
        </w:rPr>
        <w:t>demonstrate</w:t>
      </w:r>
      <w:r w:rsidR="00272516">
        <w:rPr>
          <w:lang w:eastAsia="en-AU"/>
        </w:rPr>
        <w:t xml:space="preserve"> contribution</w:t>
      </w:r>
      <w:r w:rsidR="006C6DEB">
        <w:rPr>
          <w:lang w:eastAsia="en-AU"/>
        </w:rPr>
        <w:t xml:space="preserve"> to</w:t>
      </w:r>
      <w:r w:rsidR="00453754">
        <w:rPr>
          <w:lang w:eastAsia="en-AU"/>
        </w:rPr>
        <w:t>wards</w:t>
      </w:r>
      <w:r w:rsidR="006C6DEB">
        <w:rPr>
          <w:lang w:eastAsia="en-AU"/>
        </w:rPr>
        <w:t xml:space="preserve"> the overarching goals set </w:t>
      </w:r>
      <w:r w:rsidR="00757F2E">
        <w:rPr>
          <w:lang w:eastAsia="en-AU"/>
        </w:rPr>
        <w:t xml:space="preserve">out </w:t>
      </w:r>
      <w:r w:rsidR="006C6DEB">
        <w:rPr>
          <w:lang w:eastAsia="en-AU"/>
        </w:rPr>
        <w:t>in an infrastructure strategy</w:t>
      </w:r>
      <w:r w:rsidRPr="006B029B">
        <w:rPr>
          <w:lang w:eastAsia="en-AU"/>
        </w:rPr>
        <w:t xml:space="preserve">. </w:t>
      </w:r>
    </w:p>
    <w:p w14:paraId="3BF1F4E6" w14:textId="77777777" w:rsidR="00C54B7C" w:rsidRPr="00737D7A" w:rsidRDefault="00C11B79" w:rsidP="00C54B7C">
      <w:pPr>
        <w:pStyle w:val="Heading3"/>
        <w:jc w:val="both"/>
      </w:pPr>
      <w:r w:rsidRPr="001924DD">
        <w:lastRenderedPageBreak/>
        <w:t>Key Review Question</w:t>
      </w:r>
      <w:r>
        <w:t xml:space="preserve"> 5b</w:t>
      </w:r>
      <w:r w:rsidR="007A037C">
        <w:t>:</w:t>
      </w:r>
      <w:r>
        <w:t xml:space="preserve"> </w:t>
      </w:r>
      <w:r w:rsidR="00C54B7C" w:rsidRPr="00872096">
        <w:t>What would the preferred structure of the program, performance expectations and monitoring and evaluation look like?</w:t>
      </w:r>
    </w:p>
    <w:p w14:paraId="4C4CE19D" w14:textId="239D4D29" w:rsidR="00C915BA" w:rsidRPr="00BB3E91" w:rsidRDefault="00CD192B" w:rsidP="00CD192B">
      <w:pPr>
        <w:jc w:val="both"/>
        <w:rPr>
          <w:lang w:eastAsia="en-AU"/>
        </w:rPr>
      </w:pPr>
      <w:r w:rsidRPr="00CD192B">
        <w:rPr>
          <w:lang w:eastAsia="en-AU"/>
        </w:rPr>
        <w:t>Go</w:t>
      </w:r>
      <w:r w:rsidR="00AC1E97">
        <w:rPr>
          <w:lang w:eastAsia="en-AU"/>
        </w:rPr>
        <w:t>vernment of Nauru</w:t>
      </w:r>
      <w:r w:rsidRPr="00CD192B">
        <w:rPr>
          <w:lang w:eastAsia="en-AU"/>
        </w:rPr>
        <w:t xml:space="preserve"> has established </w:t>
      </w:r>
      <w:r w:rsidR="006D04C0">
        <w:rPr>
          <w:lang w:eastAsia="en-AU"/>
        </w:rPr>
        <w:t>a</w:t>
      </w:r>
      <w:r w:rsidRPr="00CD192B">
        <w:rPr>
          <w:lang w:eastAsia="en-AU"/>
        </w:rPr>
        <w:t xml:space="preserve"> Nauru Infrastructure &amp; Asset</w:t>
      </w:r>
      <w:r w:rsidR="0072527C">
        <w:rPr>
          <w:lang w:eastAsia="en-AU"/>
        </w:rPr>
        <w:t xml:space="preserve"> Management Steering Committee </w:t>
      </w:r>
      <w:r w:rsidRPr="00CD192B">
        <w:rPr>
          <w:lang w:eastAsia="en-AU"/>
        </w:rPr>
        <w:t>to develop a Nauru Infrastructure Asset Management Framework</w:t>
      </w:r>
      <w:r w:rsidR="00AC02BE">
        <w:rPr>
          <w:lang w:eastAsia="en-AU"/>
        </w:rPr>
        <w:t xml:space="preserve"> (NIAMF)</w:t>
      </w:r>
      <w:r w:rsidRPr="00CD192B">
        <w:rPr>
          <w:lang w:eastAsia="en-AU"/>
        </w:rPr>
        <w:t xml:space="preserve"> and </w:t>
      </w:r>
      <w:r w:rsidR="0072527C">
        <w:rPr>
          <w:lang w:eastAsia="en-AU"/>
        </w:rPr>
        <w:t xml:space="preserve">the </w:t>
      </w:r>
      <w:r w:rsidRPr="00CD192B">
        <w:rPr>
          <w:lang w:eastAsia="en-AU"/>
        </w:rPr>
        <w:t xml:space="preserve">National Infrastructure Investment and Management Strategy to set the direction for infrastructure investments and asset management for the next 5 to 10 years. </w:t>
      </w:r>
      <w:r w:rsidR="0072527C">
        <w:rPr>
          <w:lang w:eastAsia="en-AU"/>
        </w:rPr>
        <w:t>PRIF</w:t>
      </w:r>
      <w:r w:rsidRPr="00CD192B">
        <w:rPr>
          <w:lang w:eastAsia="en-AU"/>
        </w:rPr>
        <w:t xml:space="preserve">, of which DFAT is a partner and co-funder, </w:t>
      </w:r>
      <w:r w:rsidR="006D04C0">
        <w:rPr>
          <w:lang w:eastAsia="en-AU"/>
        </w:rPr>
        <w:t>is</w:t>
      </w:r>
      <w:r w:rsidRPr="00CD192B">
        <w:rPr>
          <w:lang w:eastAsia="en-AU"/>
        </w:rPr>
        <w:t xml:space="preserve"> supporting this activity.  Given the critical importance of gains in this area, </w:t>
      </w:r>
      <w:r w:rsidR="001850B4">
        <w:rPr>
          <w:lang w:eastAsia="en-AU"/>
        </w:rPr>
        <w:t>it is recommended that DFAT</w:t>
      </w:r>
      <w:r w:rsidRPr="00CD192B">
        <w:rPr>
          <w:lang w:eastAsia="en-AU"/>
        </w:rPr>
        <w:t xml:space="preserve"> </w:t>
      </w:r>
      <w:r w:rsidR="0072527C">
        <w:rPr>
          <w:lang w:eastAsia="en-AU"/>
        </w:rPr>
        <w:t xml:space="preserve">develop an infrastructure strategy </w:t>
      </w:r>
      <w:r w:rsidR="001850B4">
        <w:rPr>
          <w:lang w:eastAsia="en-AU"/>
        </w:rPr>
        <w:t xml:space="preserve">that is </w:t>
      </w:r>
      <w:r w:rsidR="007A3BC3">
        <w:rPr>
          <w:lang w:eastAsia="en-AU"/>
        </w:rPr>
        <w:t>aligned to GoN’s strategy,</w:t>
      </w:r>
      <w:r w:rsidR="0072527C">
        <w:rPr>
          <w:lang w:eastAsia="en-AU"/>
        </w:rPr>
        <w:t xml:space="preserve"> NIAMF</w:t>
      </w:r>
      <w:r w:rsidR="00AC02BE">
        <w:rPr>
          <w:lang w:eastAsia="en-AU"/>
        </w:rPr>
        <w:t>,</w:t>
      </w:r>
      <w:r w:rsidR="006115F0">
        <w:rPr>
          <w:lang w:eastAsia="en-AU"/>
        </w:rPr>
        <w:t xml:space="preserve"> </w:t>
      </w:r>
      <w:r w:rsidR="006D04C0">
        <w:rPr>
          <w:lang w:eastAsia="en-AU"/>
        </w:rPr>
        <w:t>and</w:t>
      </w:r>
      <w:r w:rsidR="006115F0">
        <w:rPr>
          <w:lang w:eastAsia="en-AU"/>
        </w:rPr>
        <w:t xml:space="preserve"> informed by its own Aid Investment Plan</w:t>
      </w:r>
      <w:r w:rsidR="0072527C">
        <w:rPr>
          <w:lang w:eastAsia="en-AU"/>
        </w:rPr>
        <w:t xml:space="preserve">. </w:t>
      </w:r>
      <w:r w:rsidR="00C74D18">
        <w:rPr>
          <w:lang w:eastAsia="en-AU"/>
        </w:rPr>
        <w:t xml:space="preserve">The existing PAF </w:t>
      </w:r>
      <w:r w:rsidR="00251264">
        <w:rPr>
          <w:lang w:eastAsia="en-AU"/>
        </w:rPr>
        <w:t xml:space="preserve">may </w:t>
      </w:r>
      <w:r w:rsidR="00C74D18">
        <w:rPr>
          <w:lang w:eastAsia="en-AU"/>
        </w:rPr>
        <w:t>need to be updated based</w:t>
      </w:r>
      <w:r w:rsidR="00CC2486">
        <w:rPr>
          <w:lang w:eastAsia="en-AU"/>
        </w:rPr>
        <w:t xml:space="preserve"> on</w:t>
      </w:r>
      <w:r w:rsidR="00C74D18">
        <w:rPr>
          <w:lang w:eastAsia="en-AU"/>
        </w:rPr>
        <w:t xml:space="preserve"> </w:t>
      </w:r>
      <w:r w:rsidR="00CC2486">
        <w:rPr>
          <w:lang w:eastAsia="en-AU"/>
        </w:rPr>
        <w:t xml:space="preserve">the new strategy and </w:t>
      </w:r>
      <w:r w:rsidR="000D57C4">
        <w:rPr>
          <w:lang w:eastAsia="en-AU"/>
        </w:rPr>
        <w:t>would</w:t>
      </w:r>
      <w:r w:rsidR="00CC2486">
        <w:rPr>
          <w:lang w:eastAsia="en-AU"/>
        </w:rPr>
        <w:t xml:space="preserve"> support </w:t>
      </w:r>
      <w:r w:rsidR="00386147">
        <w:rPr>
          <w:lang w:eastAsia="en-AU"/>
        </w:rPr>
        <w:t xml:space="preserve">ongoing </w:t>
      </w:r>
      <w:r w:rsidR="007E2FAB">
        <w:rPr>
          <w:lang w:eastAsia="en-AU"/>
        </w:rPr>
        <w:t>monitoring, evaluation and reporting</w:t>
      </w:r>
      <w:r w:rsidR="00386147">
        <w:rPr>
          <w:lang w:eastAsia="en-AU"/>
        </w:rPr>
        <w:t xml:space="preserve"> </w:t>
      </w:r>
      <w:r w:rsidR="007F107F">
        <w:rPr>
          <w:lang w:eastAsia="en-AU"/>
        </w:rPr>
        <w:t>for</w:t>
      </w:r>
      <w:r w:rsidR="00386147">
        <w:rPr>
          <w:lang w:eastAsia="en-AU"/>
        </w:rPr>
        <w:t xml:space="preserve"> the DFAT infrastructure program. </w:t>
      </w:r>
    </w:p>
    <w:p w14:paraId="3C781781" w14:textId="77777777" w:rsidR="0015661F" w:rsidRDefault="0015661F" w:rsidP="00E35FE7">
      <w:pPr>
        <w:pStyle w:val="Heading2"/>
        <w:ind w:left="576"/>
      </w:pPr>
      <w:bookmarkStart w:id="33" w:name="_Toc518640219"/>
      <w:r>
        <w:t>Cross cutting issues</w:t>
      </w:r>
      <w:bookmarkEnd w:id="33"/>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96480B" w14:paraId="32CBE655" w14:textId="77777777" w:rsidTr="000A167B">
        <w:tc>
          <w:tcPr>
            <w:tcW w:w="2434" w:type="dxa"/>
            <w:shd w:val="clear" w:color="auto" w:fill="FBD4B4" w:themeFill="accent6" w:themeFillTint="66"/>
          </w:tcPr>
          <w:p w14:paraId="662A970A" w14:textId="77777777" w:rsidR="0096480B" w:rsidRPr="004457C2" w:rsidRDefault="0096480B" w:rsidP="000A167B">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0AF1390C" w14:textId="77777777" w:rsidR="0096480B" w:rsidRDefault="00E30146" w:rsidP="000A167B">
            <w:pPr>
              <w:spacing w:before="120" w:beforeAutospacing="0" w:after="120" w:afterAutospacing="0"/>
              <w:rPr>
                <w:lang w:eastAsia="en-AU"/>
              </w:rPr>
            </w:pPr>
            <w:r>
              <w:rPr>
                <w:lang w:eastAsia="en-AU"/>
              </w:rPr>
              <w:t>Strong</w:t>
            </w:r>
          </w:p>
        </w:tc>
        <w:tc>
          <w:tcPr>
            <w:tcW w:w="2434" w:type="dxa"/>
            <w:shd w:val="clear" w:color="auto" w:fill="FBD4B4" w:themeFill="accent6" w:themeFillTint="66"/>
          </w:tcPr>
          <w:p w14:paraId="63262FBD" w14:textId="77777777" w:rsidR="0096480B" w:rsidRPr="004457C2" w:rsidRDefault="0096480B" w:rsidP="000A167B">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4B025035" w14:textId="77777777" w:rsidR="0096480B" w:rsidRDefault="00800321" w:rsidP="000A167B">
            <w:pPr>
              <w:spacing w:before="120" w:beforeAutospacing="0" w:after="120" w:afterAutospacing="0"/>
              <w:rPr>
                <w:lang w:eastAsia="en-AU"/>
              </w:rPr>
            </w:pPr>
            <w:r>
              <w:rPr>
                <w:lang w:eastAsia="en-AU"/>
              </w:rPr>
              <w:t>Adequate</w:t>
            </w:r>
            <w:r w:rsidR="0096480B">
              <w:rPr>
                <w:lang w:eastAsia="en-AU"/>
              </w:rPr>
              <w:t xml:space="preserve"> (</w:t>
            </w:r>
            <w:r>
              <w:rPr>
                <w:lang w:eastAsia="en-AU"/>
              </w:rPr>
              <w:t>4</w:t>
            </w:r>
            <w:r w:rsidR="0096480B">
              <w:rPr>
                <w:lang w:eastAsia="en-AU"/>
              </w:rPr>
              <w:t>/6)</w:t>
            </w:r>
          </w:p>
        </w:tc>
      </w:tr>
    </w:tbl>
    <w:p w14:paraId="535025FE" w14:textId="77777777" w:rsidR="00E26208" w:rsidRDefault="00AF2F62" w:rsidP="009B1F7F">
      <w:pPr>
        <w:pStyle w:val="Heading3"/>
        <w:jc w:val="both"/>
      </w:pPr>
      <w:r w:rsidRPr="001924DD">
        <w:t>Key Review Question</w:t>
      </w:r>
      <w:r>
        <w:t xml:space="preserve"> 6 (KRQ)</w:t>
      </w:r>
      <w:r w:rsidRPr="001924DD">
        <w:t xml:space="preserve">: </w:t>
      </w:r>
      <w:r w:rsidRPr="00AF2F62">
        <w:t>To what extent have DFAT’s investments in infrastructure managed environmental and social impacts and identified opportunities for improvements in gender equality, disability inclusive development and climate change mitigation?</w:t>
      </w:r>
    </w:p>
    <w:p w14:paraId="44CE5651" w14:textId="77777777" w:rsidR="008779A4" w:rsidRDefault="00742ABA" w:rsidP="00C8199B">
      <w:pPr>
        <w:jc w:val="both"/>
        <w:rPr>
          <w:lang w:eastAsia="en-AU"/>
        </w:rPr>
      </w:pPr>
      <w:r w:rsidRPr="007310DC">
        <w:rPr>
          <w:lang w:eastAsia="en-AU"/>
        </w:rPr>
        <w:t xml:space="preserve">The opportunities for infrastructure projects to contribute to improvements in the areas of gender, disability inclusiveness and climate change </w:t>
      </w:r>
      <w:r w:rsidR="008E0876">
        <w:rPr>
          <w:lang w:eastAsia="en-AU"/>
        </w:rPr>
        <w:t xml:space="preserve">mitigation </w:t>
      </w:r>
      <w:r w:rsidRPr="007310DC">
        <w:rPr>
          <w:lang w:eastAsia="en-AU"/>
        </w:rPr>
        <w:t xml:space="preserve">have been clearly considered and applied in </w:t>
      </w:r>
      <w:r w:rsidR="003743E3">
        <w:rPr>
          <w:lang w:eastAsia="en-AU"/>
        </w:rPr>
        <w:t>recent</w:t>
      </w:r>
      <w:r w:rsidRPr="007310DC">
        <w:rPr>
          <w:lang w:eastAsia="en-AU"/>
        </w:rPr>
        <w:t xml:space="preserve"> projects. In </w:t>
      </w:r>
      <w:r w:rsidR="00AC5637">
        <w:rPr>
          <w:lang w:eastAsia="en-AU"/>
        </w:rPr>
        <w:t xml:space="preserve">some </w:t>
      </w:r>
      <w:r w:rsidRPr="007310DC">
        <w:rPr>
          <w:lang w:eastAsia="en-AU"/>
        </w:rPr>
        <w:t xml:space="preserve">cases, </w:t>
      </w:r>
      <w:r w:rsidR="00AC5637">
        <w:rPr>
          <w:lang w:eastAsia="en-AU"/>
        </w:rPr>
        <w:t xml:space="preserve">evidence </w:t>
      </w:r>
      <w:r w:rsidR="00F87134">
        <w:rPr>
          <w:lang w:eastAsia="en-AU"/>
        </w:rPr>
        <w:t xml:space="preserve">has not been available to demonstrate </w:t>
      </w:r>
      <w:r w:rsidR="00AC5637">
        <w:rPr>
          <w:lang w:eastAsia="en-AU"/>
        </w:rPr>
        <w:t xml:space="preserve">that </w:t>
      </w:r>
      <w:r w:rsidRPr="007310DC">
        <w:rPr>
          <w:lang w:eastAsia="en-AU"/>
        </w:rPr>
        <w:t xml:space="preserve">analysis </w:t>
      </w:r>
      <w:r w:rsidR="00000A18">
        <w:rPr>
          <w:lang w:eastAsia="en-AU"/>
        </w:rPr>
        <w:t xml:space="preserve">was </w:t>
      </w:r>
      <w:r w:rsidRPr="007310DC">
        <w:rPr>
          <w:lang w:eastAsia="en-AU"/>
        </w:rPr>
        <w:t>undertaken, especially with regards to disability inclusiveness.</w:t>
      </w:r>
      <w:r w:rsidR="00FE2BDB">
        <w:rPr>
          <w:lang w:eastAsia="en-AU"/>
        </w:rPr>
        <w:t xml:space="preserve"> </w:t>
      </w:r>
      <w:r w:rsidR="008779A4">
        <w:rPr>
          <w:lang w:eastAsia="en-AU"/>
        </w:rPr>
        <w:t xml:space="preserve">DFAT’s project approvals process requires that cross-cutting considerations are considered, including that </w:t>
      </w:r>
      <w:r w:rsidR="00DF0A92">
        <w:rPr>
          <w:lang w:eastAsia="en-AU"/>
        </w:rPr>
        <w:t xml:space="preserve">they are </w:t>
      </w:r>
      <w:r w:rsidR="008779A4">
        <w:rPr>
          <w:lang w:eastAsia="en-AU"/>
        </w:rPr>
        <w:t xml:space="preserve">addressed in project concept designs. </w:t>
      </w:r>
    </w:p>
    <w:p w14:paraId="3AD2417C" w14:textId="77777777" w:rsidR="009B1F7F" w:rsidRPr="009B1F7F" w:rsidRDefault="009B1F7F" w:rsidP="009B1F7F">
      <w:pPr>
        <w:pStyle w:val="Tablebullet"/>
        <w:numPr>
          <w:ilvl w:val="0"/>
          <w:numId w:val="51"/>
        </w:numPr>
        <w:ind w:left="284" w:hanging="283"/>
        <w:rPr>
          <w:i/>
          <w:color w:val="E36C0A" w:themeColor="accent6" w:themeShade="BF"/>
        </w:rPr>
      </w:pPr>
      <w:r w:rsidRPr="00EA4BD0">
        <w:rPr>
          <w:i/>
          <w:color w:val="E36C0A" w:themeColor="accent6" w:themeShade="BF"/>
        </w:rPr>
        <w:t>To what extent have opportunities to improve gender equality been identified and appropriately managed with gender sensitive approaches integrated into design?</w:t>
      </w:r>
    </w:p>
    <w:p w14:paraId="2F2706A4" w14:textId="77777777" w:rsidR="009B1F7F" w:rsidRDefault="009B1F7F" w:rsidP="006B5137">
      <w:pPr>
        <w:jc w:val="both"/>
        <w:rPr>
          <w:lang w:eastAsia="en-AU"/>
        </w:rPr>
      </w:pPr>
      <w:r w:rsidRPr="009B1F7F">
        <w:rPr>
          <w:lang w:eastAsia="en-AU"/>
        </w:rPr>
        <w:t>Nauru undertook a detailed review of the infrastructure investment in 2017, with a gender action plan devised</w:t>
      </w:r>
      <w:r w:rsidR="009459DC">
        <w:rPr>
          <w:lang w:eastAsia="en-AU"/>
        </w:rPr>
        <w:t xml:space="preserve"> (AQC, 2018)</w:t>
      </w:r>
      <w:r w:rsidR="009459DC" w:rsidRPr="009459DC">
        <w:rPr>
          <w:lang w:eastAsia="en-AU"/>
        </w:rPr>
        <w:t xml:space="preserve">. </w:t>
      </w:r>
      <w:r w:rsidR="00FC6B43" w:rsidRPr="007310DC">
        <w:rPr>
          <w:lang w:eastAsia="en-AU"/>
        </w:rPr>
        <w:t xml:space="preserve">DFAT have invested resources into an independent gender advisor to review the infrastructure program and provide </w:t>
      </w:r>
      <w:r w:rsidR="00FC6B43" w:rsidRPr="00E20F7E">
        <w:rPr>
          <w:lang w:eastAsia="en-AU"/>
        </w:rPr>
        <w:t>recommendations, which will serve to deepen the value of gender-based initiatives integrated into the infrastructure program.</w:t>
      </w:r>
      <w:r w:rsidR="00E368D7">
        <w:rPr>
          <w:lang w:eastAsia="en-AU"/>
        </w:rPr>
        <w:t xml:space="preserve"> </w:t>
      </w:r>
      <w:r w:rsidR="00AA5041" w:rsidRPr="007310DC">
        <w:rPr>
          <w:lang w:eastAsia="en-AU"/>
        </w:rPr>
        <w:t xml:space="preserve">Gender considerations </w:t>
      </w:r>
      <w:r w:rsidR="00AA5041">
        <w:rPr>
          <w:lang w:eastAsia="en-AU"/>
        </w:rPr>
        <w:t xml:space="preserve">are </w:t>
      </w:r>
      <w:r w:rsidR="00AA5041" w:rsidRPr="007310DC">
        <w:rPr>
          <w:lang w:eastAsia="en-AU"/>
        </w:rPr>
        <w:t>systemically considered as part of DFAT project approvals</w:t>
      </w:r>
      <w:r w:rsidR="00AA5041">
        <w:rPr>
          <w:lang w:eastAsia="en-AU"/>
        </w:rPr>
        <w:t>, which require gender considerations to be evaluated and addressed as part of concept designs. This is demonstrated in that g</w:t>
      </w:r>
      <w:r w:rsidR="003C5E6F">
        <w:rPr>
          <w:lang w:eastAsia="en-AU"/>
        </w:rPr>
        <w:t xml:space="preserve">ender considerations have been applied to the most recently implemented projects, </w:t>
      </w:r>
      <w:r w:rsidR="007201CB">
        <w:rPr>
          <w:lang w:eastAsia="en-AU"/>
        </w:rPr>
        <w:t>as outlined below:</w:t>
      </w:r>
    </w:p>
    <w:p w14:paraId="07369E31" w14:textId="77777777" w:rsidR="00A24055" w:rsidRDefault="00A24055" w:rsidP="00A24055">
      <w:pPr>
        <w:numPr>
          <w:ilvl w:val="0"/>
          <w:numId w:val="24"/>
        </w:numPr>
        <w:jc w:val="both"/>
        <w:rPr>
          <w:lang w:eastAsia="en-AU"/>
        </w:rPr>
      </w:pPr>
      <w:r w:rsidRPr="00CC54F0">
        <w:rPr>
          <w:i/>
          <w:lang w:eastAsia="en-AU"/>
        </w:rPr>
        <w:t>Port Redevelopment</w:t>
      </w:r>
      <w:r>
        <w:rPr>
          <w:lang w:eastAsia="en-AU"/>
        </w:rPr>
        <w:t xml:space="preserve"> </w:t>
      </w:r>
      <w:r w:rsidR="009812DF" w:rsidRPr="009812DF">
        <w:rPr>
          <w:i/>
          <w:lang w:eastAsia="en-AU"/>
        </w:rPr>
        <w:t>and Institutional Reform</w:t>
      </w:r>
      <w:r w:rsidR="00E32389">
        <w:rPr>
          <w:lang w:eastAsia="en-AU"/>
        </w:rPr>
        <w:t>–</w:t>
      </w:r>
      <w:r>
        <w:rPr>
          <w:lang w:eastAsia="en-AU"/>
        </w:rPr>
        <w:t xml:space="preserve"> </w:t>
      </w:r>
      <w:r w:rsidR="00E32389">
        <w:rPr>
          <w:lang w:eastAsia="en-AU"/>
        </w:rPr>
        <w:t xml:space="preserve">A </w:t>
      </w:r>
      <w:r w:rsidRPr="00A24055">
        <w:rPr>
          <w:lang w:eastAsia="en-AU"/>
        </w:rPr>
        <w:t xml:space="preserve">Poverty, Social and Gender Assessment </w:t>
      </w:r>
      <w:r w:rsidR="00E32389">
        <w:rPr>
          <w:lang w:eastAsia="en-AU"/>
        </w:rPr>
        <w:t xml:space="preserve">(ADB, 2017) </w:t>
      </w:r>
      <w:r w:rsidRPr="00A24055">
        <w:rPr>
          <w:lang w:eastAsia="en-AU"/>
        </w:rPr>
        <w:t xml:space="preserve">and Gender Action Plan </w:t>
      </w:r>
      <w:r w:rsidR="00E32389">
        <w:rPr>
          <w:lang w:eastAsia="en-AU"/>
        </w:rPr>
        <w:t>(ADB, 2017) were prepared for the Port Redevelopment</w:t>
      </w:r>
      <w:r w:rsidR="006C3686">
        <w:rPr>
          <w:lang w:eastAsia="en-AU"/>
        </w:rPr>
        <w:t xml:space="preserve">. These documents assess the benefits and risks to women of the port project, and propose mitigation strategies to be implemented, including that a social safeguards officer is engaged and supervised by an </w:t>
      </w:r>
      <w:r w:rsidR="006C3686" w:rsidRPr="009F27AA">
        <w:rPr>
          <w:szCs w:val="20"/>
          <w:lang w:val="en-US"/>
        </w:rPr>
        <w:t>International Social and Gender Specialist</w:t>
      </w:r>
      <w:r w:rsidR="006C3686">
        <w:rPr>
          <w:szCs w:val="20"/>
          <w:lang w:val="en-US"/>
        </w:rPr>
        <w:t xml:space="preserve">. </w:t>
      </w:r>
    </w:p>
    <w:p w14:paraId="555F84C2" w14:textId="77777777" w:rsidR="00315DA5" w:rsidRDefault="00A24055" w:rsidP="00A24055">
      <w:pPr>
        <w:numPr>
          <w:ilvl w:val="0"/>
          <w:numId w:val="24"/>
        </w:numPr>
        <w:jc w:val="both"/>
        <w:rPr>
          <w:lang w:eastAsia="en-AU"/>
        </w:rPr>
      </w:pPr>
      <w:r w:rsidRPr="00CC54F0">
        <w:rPr>
          <w:i/>
          <w:lang w:eastAsia="en-AU"/>
        </w:rPr>
        <w:t>Sports Complex</w:t>
      </w:r>
      <w:r>
        <w:rPr>
          <w:lang w:eastAsia="en-AU"/>
        </w:rPr>
        <w:t xml:space="preserve"> </w:t>
      </w:r>
      <w:r w:rsidR="00315DA5">
        <w:rPr>
          <w:lang w:eastAsia="en-AU"/>
        </w:rPr>
        <w:t>–</w:t>
      </w:r>
      <w:r w:rsidR="00E64079">
        <w:rPr>
          <w:lang w:eastAsia="en-AU"/>
        </w:rPr>
        <w:t>Interviews with the Department of Sports (DoS) and Planning and Aid Division (PAD)</w:t>
      </w:r>
      <w:r w:rsidR="000F7EAF">
        <w:rPr>
          <w:lang w:eastAsia="en-AU"/>
        </w:rPr>
        <w:t xml:space="preserve"> indicated that DFAT</w:t>
      </w:r>
      <w:r w:rsidR="00456E71">
        <w:rPr>
          <w:lang w:eastAsia="en-AU"/>
        </w:rPr>
        <w:t xml:space="preserve">’s </w:t>
      </w:r>
      <w:r w:rsidR="00E862BE">
        <w:rPr>
          <w:lang w:eastAsia="en-AU"/>
        </w:rPr>
        <w:t xml:space="preserve">project </w:t>
      </w:r>
      <w:r w:rsidR="000F7EAF">
        <w:rPr>
          <w:lang w:eastAsia="en-AU"/>
        </w:rPr>
        <w:t>approv</w:t>
      </w:r>
      <w:r w:rsidR="00E862BE">
        <w:rPr>
          <w:lang w:eastAsia="en-AU"/>
        </w:rPr>
        <w:t>al</w:t>
      </w:r>
      <w:r w:rsidR="000F7EAF">
        <w:rPr>
          <w:lang w:eastAsia="en-AU"/>
        </w:rPr>
        <w:t xml:space="preserve"> </w:t>
      </w:r>
      <w:r w:rsidR="00456E71">
        <w:rPr>
          <w:lang w:eastAsia="en-AU"/>
        </w:rPr>
        <w:t xml:space="preserve">was conditional on </w:t>
      </w:r>
      <w:r w:rsidR="000F7EAF">
        <w:rPr>
          <w:lang w:eastAsia="en-AU"/>
        </w:rPr>
        <w:t>the concept design reflect</w:t>
      </w:r>
      <w:r w:rsidR="00CD04BE">
        <w:rPr>
          <w:lang w:eastAsia="en-AU"/>
        </w:rPr>
        <w:t>ing</w:t>
      </w:r>
      <w:r w:rsidR="000F7EAF">
        <w:rPr>
          <w:lang w:eastAsia="en-AU"/>
        </w:rPr>
        <w:t xml:space="preserve"> gender considerations, including that the types of sports catered for were broadened and a children’s playground was included at the facility.</w:t>
      </w:r>
    </w:p>
    <w:p w14:paraId="4C74E0D7" w14:textId="77777777" w:rsidR="006C59DE" w:rsidRDefault="006C59DE" w:rsidP="006C59DE">
      <w:pPr>
        <w:jc w:val="both"/>
        <w:rPr>
          <w:lang w:eastAsia="en-AU"/>
        </w:rPr>
      </w:pPr>
      <w:r>
        <w:rPr>
          <w:lang w:eastAsia="en-AU"/>
        </w:rPr>
        <w:t xml:space="preserve">No evidence regarding the application of gender considerations has been available as part of this review for the (i) </w:t>
      </w:r>
      <w:r w:rsidRPr="00F6300A">
        <w:rPr>
          <w:lang w:eastAsia="en-AU"/>
        </w:rPr>
        <w:t>Hospital (Stage 1 and 2)</w:t>
      </w:r>
      <w:r>
        <w:rPr>
          <w:lang w:eastAsia="en-AU"/>
        </w:rPr>
        <w:t>; (ii)</w:t>
      </w:r>
      <w:r w:rsidRPr="00F6300A">
        <w:t xml:space="preserve"> </w:t>
      </w:r>
      <w:r w:rsidRPr="00F6300A">
        <w:rPr>
          <w:lang w:eastAsia="en-AU"/>
        </w:rPr>
        <w:t>Wellness Clinics</w:t>
      </w:r>
      <w:r>
        <w:rPr>
          <w:lang w:eastAsia="en-AU"/>
        </w:rPr>
        <w:t xml:space="preserve"> and (iii) Water tanks projects.</w:t>
      </w:r>
    </w:p>
    <w:p w14:paraId="3AE27431" w14:textId="77777777" w:rsidR="009B1F7F" w:rsidRDefault="009B1F7F" w:rsidP="009B1F7F">
      <w:pPr>
        <w:pStyle w:val="Tablebullet"/>
        <w:numPr>
          <w:ilvl w:val="0"/>
          <w:numId w:val="51"/>
        </w:numPr>
        <w:ind w:left="284" w:hanging="283"/>
        <w:rPr>
          <w:i/>
          <w:color w:val="E36C0A" w:themeColor="accent6" w:themeShade="BF"/>
        </w:rPr>
      </w:pPr>
      <w:r w:rsidRPr="00EA4BD0">
        <w:rPr>
          <w:i/>
          <w:color w:val="E36C0A" w:themeColor="accent6" w:themeShade="BF"/>
        </w:rPr>
        <w:t>To what extent are opportunities to improve life for people living with disabilities been identified and appropriately managed as part of designs?</w:t>
      </w:r>
    </w:p>
    <w:p w14:paraId="1C905EB5" w14:textId="2C119D64" w:rsidR="001052B7" w:rsidRPr="007F16D2" w:rsidRDefault="000161AF" w:rsidP="001052B7">
      <w:pPr>
        <w:jc w:val="both"/>
        <w:rPr>
          <w:lang w:eastAsia="en-AU"/>
        </w:rPr>
      </w:pPr>
      <w:r>
        <w:rPr>
          <w:lang w:eastAsia="en-AU"/>
        </w:rPr>
        <w:lastRenderedPageBreak/>
        <w:t>From the evidence sighted, it appears that d</w:t>
      </w:r>
      <w:r w:rsidR="00043F72">
        <w:rPr>
          <w:lang w:eastAsia="en-AU"/>
        </w:rPr>
        <w:t>isability</w:t>
      </w:r>
      <w:r w:rsidR="00A464BA" w:rsidRPr="007310DC">
        <w:rPr>
          <w:lang w:eastAsia="en-AU"/>
        </w:rPr>
        <w:t xml:space="preserve"> considerations </w:t>
      </w:r>
      <w:r w:rsidR="00A464BA">
        <w:rPr>
          <w:lang w:eastAsia="en-AU"/>
        </w:rPr>
        <w:t xml:space="preserve">are </w:t>
      </w:r>
      <w:r w:rsidR="00043F72">
        <w:rPr>
          <w:lang w:eastAsia="en-AU"/>
        </w:rPr>
        <w:t xml:space="preserve">less consistently applied </w:t>
      </w:r>
      <w:r w:rsidR="00A464BA" w:rsidRPr="007310DC">
        <w:rPr>
          <w:lang w:eastAsia="en-AU"/>
        </w:rPr>
        <w:t>as part of DFAT project approvals</w:t>
      </w:r>
      <w:r w:rsidR="00A464BA">
        <w:rPr>
          <w:lang w:eastAsia="en-AU"/>
        </w:rPr>
        <w:t xml:space="preserve">. </w:t>
      </w:r>
      <w:r w:rsidR="00071AA6">
        <w:rPr>
          <w:lang w:eastAsia="en-AU"/>
        </w:rPr>
        <w:t>Whilst s</w:t>
      </w:r>
      <w:r w:rsidR="00071AA6" w:rsidRPr="00A97F5B">
        <w:rPr>
          <w:lang w:eastAsia="en-AU"/>
        </w:rPr>
        <w:t>ome projects</w:t>
      </w:r>
      <w:r w:rsidR="00071AA6">
        <w:rPr>
          <w:lang w:eastAsia="en-AU"/>
        </w:rPr>
        <w:t xml:space="preserve"> have clearly included accessibility principles at the design stage</w:t>
      </w:r>
      <w:r w:rsidR="00104D02">
        <w:rPr>
          <w:lang w:eastAsia="en-AU"/>
        </w:rPr>
        <w:t xml:space="preserve"> (such as the USP Learning </w:t>
      </w:r>
      <w:r w:rsidR="003D39B3">
        <w:rPr>
          <w:lang w:eastAsia="en-AU"/>
        </w:rPr>
        <w:t>Centre</w:t>
      </w:r>
      <w:r w:rsidR="00104D02">
        <w:rPr>
          <w:lang w:eastAsia="en-AU"/>
        </w:rPr>
        <w:t xml:space="preserve"> and Sports Complex)</w:t>
      </w:r>
      <w:r w:rsidR="00071AA6" w:rsidRPr="00A97F5B">
        <w:rPr>
          <w:lang w:eastAsia="en-AU"/>
        </w:rPr>
        <w:t>.</w:t>
      </w:r>
      <w:r w:rsidR="00A203A9">
        <w:rPr>
          <w:lang w:eastAsia="en-AU"/>
        </w:rPr>
        <w:t xml:space="preserve"> </w:t>
      </w:r>
      <w:r w:rsidR="007F16D2">
        <w:rPr>
          <w:lang w:eastAsia="en-AU"/>
        </w:rPr>
        <w:t xml:space="preserve">Accessibility considerations have been </w:t>
      </w:r>
      <w:r w:rsidR="002730C4">
        <w:rPr>
          <w:lang w:eastAsia="en-AU"/>
        </w:rPr>
        <w:t xml:space="preserve">well </w:t>
      </w:r>
      <w:r w:rsidR="007F16D2">
        <w:rPr>
          <w:lang w:eastAsia="en-AU"/>
        </w:rPr>
        <w:t xml:space="preserve">applied in the design phase of the </w:t>
      </w:r>
      <w:r w:rsidR="005C55E0">
        <w:rPr>
          <w:lang w:eastAsia="en-AU"/>
        </w:rPr>
        <w:t xml:space="preserve">USP Learning </w:t>
      </w:r>
      <w:r w:rsidR="003D39B3">
        <w:rPr>
          <w:lang w:eastAsia="en-AU"/>
        </w:rPr>
        <w:t>Centre</w:t>
      </w:r>
      <w:r w:rsidR="0010327C">
        <w:rPr>
          <w:lang w:eastAsia="en-AU"/>
        </w:rPr>
        <w:t>, where the design allowed for shaded access ramps and accessible toilets</w:t>
      </w:r>
      <w:r w:rsidR="00F60C71">
        <w:rPr>
          <w:lang w:eastAsia="en-AU"/>
        </w:rPr>
        <w:t>.</w:t>
      </w:r>
      <w:r w:rsidR="0010327C">
        <w:rPr>
          <w:lang w:eastAsia="en-AU"/>
        </w:rPr>
        <w:t xml:space="preserve"> </w:t>
      </w:r>
      <w:r w:rsidR="00F60C71">
        <w:rPr>
          <w:lang w:eastAsia="en-AU"/>
        </w:rPr>
        <w:t>Similarly</w:t>
      </w:r>
      <w:r w:rsidR="00A74121">
        <w:rPr>
          <w:lang w:eastAsia="en-AU"/>
        </w:rPr>
        <w:t>,</w:t>
      </w:r>
      <w:r w:rsidR="00F60C71">
        <w:rPr>
          <w:lang w:eastAsia="en-AU"/>
        </w:rPr>
        <w:t xml:space="preserve"> the </w:t>
      </w:r>
      <w:r w:rsidR="00404F78">
        <w:rPr>
          <w:lang w:eastAsia="en-AU"/>
        </w:rPr>
        <w:t>s</w:t>
      </w:r>
      <w:r w:rsidR="0010327C">
        <w:rPr>
          <w:lang w:eastAsia="en-AU"/>
        </w:rPr>
        <w:t xml:space="preserve">ports </w:t>
      </w:r>
      <w:r w:rsidR="00404F78">
        <w:rPr>
          <w:lang w:eastAsia="en-AU"/>
        </w:rPr>
        <w:t>c</w:t>
      </w:r>
      <w:r w:rsidR="0010327C">
        <w:rPr>
          <w:lang w:eastAsia="en-AU"/>
        </w:rPr>
        <w:t>omplex</w:t>
      </w:r>
      <w:r w:rsidR="00D81B70">
        <w:rPr>
          <w:lang w:eastAsia="en-AU"/>
        </w:rPr>
        <w:t xml:space="preserve"> design followed </w:t>
      </w:r>
      <w:r w:rsidR="0010327C">
        <w:rPr>
          <w:lang w:eastAsia="en-AU"/>
        </w:rPr>
        <w:t>universal accessibility principles to make the complex</w:t>
      </w:r>
      <w:r w:rsidR="007F16D2" w:rsidRPr="007F16D2">
        <w:rPr>
          <w:lang w:eastAsia="en-AU"/>
        </w:rPr>
        <w:t xml:space="preserve"> access</w:t>
      </w:r>
      <w:r w:rsidR="0010327C">
        <w:rPr>
          <w:lang w:eastAsia="en-AU"/>
        </w:rPr>
        <w:t>ible</w:t>
      </w:r>
      <w:r w:rsidR="007F16D2" w:rsidRPr="007F16D2">
        <w:rPr>
          <w:lang w:eastAsia="en-AU"/>
        </w:rPr>
        <w:t xml:space="preserve"> for those with disabilities, </w:t>
      </w:r>
      <w:r w:rsidR="002B2503">
        <w:rPr>
          <w:lang w:eastAsia="en-AU"/>
        </w:rPr>
        <w:t xml:space="preserve">temporary injuries, </w:t>
      </w:r>
      <w:r w:rsidR="007F16D2" w:rsidRPr="007F16D2">
        <w:rPr>
          <w:lang w:eastAsia="en-AU"/>
        </w:rPr>
        <w:t xml:space="preserve">pregnant women, the elderly, </w:t>
      </w:r>
      <w:r w:rsidR="00F970B0">
        <w:rPr>
          <w:lang w:eastAsia="en-AU"/>
        </w:rPr>
        <w:t>children and others</w:t>
      </w:r>
      <w:r w:rsidR="007F16D2" w:rsidRPr="007F16D2">
        <w:rPr>
          <w:lang w:eastAsia="en-AU"/>
        </w:rPr>
        <w:t>.</w:t>
      </w:r>
      <w:r w:rsidR="009B70A6">
        <w:rPr>
          <w:lang w:eastAsia="en-AU"/>
        </w:rPr>
        <w:t xml:space="preserve"> </w:t>
      </w:r>
      <w:r w:rsidR="00C91281" w:rsidRPr="00A34644">
        <w:rPr>
          <w:lang w:eastAsia="en-AU"/>
        </w:rPr>
        <w:t xml:space="preserve">Programming </w:t>
      </w:r>
      <w:r w:rsidR="00404F78">
        <w:rPr>
          <w:lang w:eastAsia="en-AU"/>
        </w:rPr>
        <w:t xml:space="preserve">of the sports complex </w:t>
      </w:r>
      <w:r w:rsidR="00C91281" w:rsidRPr="00A34644">
        <w:rPr>
          <w:lang w:eastAsia="en-AU"/>
        </w:rPr>
        <w:t>in terms of disabled-friendly sports is to be determined.</w:t>
      </w:r>
      <w:r w:rsidR="00006B04">
        <w:rPr>
          <w:lang w:eastAsia="en-AU"/>
        </w:rPr>
        <w:t xml:space="preserve"> </w:t>
      </w:r>
      <w:r w:rsidR="001052B7">
        <w:rPr>
          <w:lang w:eastAsia="en-AU"/>
        </w:rPr>
        <w:t>There are concerns with the application of accessibility principles in these projects:</w:t>
      </w:r>
    </w:p>
    <w:p w14:paraId="698E1699" w14:textId="77777777" w:rsidR="00A464BA" w:rsidRPr="00E42391" w:rsidRDefault="00A464BA" w:rsidP="00050C46">
      <w:pPr>
        <w:numPr>
          <w:ilvl w:val="0"/>
          <w:numId w:val="24"/>
        </w:numPr>
        <w:jc w:val="both"/>
        <w:rPr>
          <w:i/>
          <w:lang w:eastAsia="en-AU"/>
        </w:rPr>
      </w:pPr>
      <w:r w:rsidRPr="00A464BA">
        <w:rPr>
          <w:i/>
          <w:lang w:eastAsia="en-AU"/>
        </w:rPr>
        <w:t>Port Redevelopment</w:t>
      </w:r>
      <w:r>
        <w:rPr>
          <w:i/>
          <w:lang w:eastAsia="en-AU"/>
        </w:rPr>
        <w:t xml:space="preserve"> </w:t>
      </w:r>
      <w:r w:rsidR="0007321F">
        <w:rPr>
          <w:i/>
          <w:lang w:eastAsia="en-AU"/>
        </w:rPr>
        <w:t>–</w:t>
      </w:r>
      <w:r>
        <w:rPr>
          <w:i/>
          <w:lang w:eastAsia="en-AU"/>
        </w:rPr>
        <w:t xml:space="preserve"> </w:t>
      </w:r>
      <w:r w:rsidR="0007321F">
        <w:rPr>
          <w:lang w:eastAsia="en-AU"/>
        </w:rPr>
        <w:t xml:space="preserve">Evidence of the evaluation of </w:t>
      </w:r>
      <w:r w:rsidR="002C635C">
        <w:rPr>
          <w:lang w:eastAsia="en-AU"/>
        </w:rPr>
        <w:t>accessibility</w:t>
      </w:r>
      <w:r w:rsidR="0007321F">
        <w:rPr>
          <w:lang w:eastAsia="en-AU"/>
        </w:rPr>
        <w:t xml:space="preserve"> considerations for the port was requested</w:t>
      </w:r>
      <w:r w:rsidR="00D5070A">
        <w:rPr>
          <w:lang w:eastAsia="en-AU"/>
        </w:rPr>
        <w:t xml:space="preserve"> </w:t>
      </w:r>
      <w:r w:rsidR="00935B16">
        <w:rPr>
          <w:lang w:eastAsia="en-AU"/>
        </w:rPr>
        <w:t xml:space="preserve">from ADB </w:t>
      </w:r>
      <w:r w:rsidR="00D5070A">
        <w:rPr>
          <w:lang w:eastAsia="en-AU"/>
        </w:rPr>
        <w:t xml:space="preserve">but </w:t>
      </w:r>
      <w:r w:rsidR="00CD641E">
        <w:rPr>
          <w:lang w:eastAsia="en-AU"/>
        </w:rPr>
        <w:t>was</w:t>
      </w:r>
      <w:r w:rsidR="00D5070A">
        <w:rPr>
          <w:lang w:eastAsia="en-AU"/>
        </w:rPr>
        <w:t xml:space="preserve"> not provided during the review period</w:t>
      </w:r>
      <w:r w:rsidR="002C635C">
        <w:rPr>
          <w:lang w:eastAsia="en-AU"/>
        </w:rPr>
        <w:t xml:space="preserve">. </w:t>
      </w:r>
    </w:p>
    <w:p w14:paraId="0B05EB6A" w14:textId="2A64241C" w:rsidR="00123BB9" w:rsidRPr="00123BB9" w:rsidRDefault="00E42391" w:rsidP="00E42391">
      <w:pPr>
        <w:numPr>
          <w:ilvl w:val="0"/>
          <w:numId w:val="24"/>
        </w:numPr>
        <w:jc w:val="both"/>
        <w:rPr>
          <w:i/>
          <w:lang w:eastAsia="en-AU"/>
        </w:rPr>
      </w:pPr>
      <w:r w:rsidRPr="007F16D2">
        <w:rPr>
          <w:i/>
          <w:lang w:eastAsia="en-AU"/>
        </w:rPr>
        <w:t>Hospital (Stage 1 and 2)</w:t>
      </w:r>
      <w:r w:rsidRPr="00E42391">
        <w:rPr>
          <w:lang w:eastAsia="en-AU"/>
        </w:rPr>
        <w:t xml:space="preserve"> – </w:t>
      </w:r>
      <w:r w:rsidR="00666259">
        <w:rPr>
          <w:lang w:eastAsia="en-AU"/>
        </w:rPr>
        <w:t>T</w:t>
      </w:r>
      <w:r w:rsidR="00123BB9">
        <w:rPr>
          <w:lang w:eastAsia="en-AU"/>
        </w:rPr>
        <w:t xml:space="preserve">he hospital planning process was significantly varied </w:t>
      </w:r>
      <w:r w:rsidR="00666259">
        <w:rPr>
          <w:lang w:eastAsia="en-AU"/>
        </w:rPr>
        <w:t xml:space="preserve">from the masterplan </w:t>
      </w:r>
      <w:r w:rsidR="00123BB9">
        <w:rPr>
          <w:lang w:eastAsia="en-AU"/>
        </w:rPr>
        <w:t xml:space="preserve">to make use of the modular components that were repurposed </w:t>
      </w:r>
      <w:r w:rsidR="003D39B3">
        <w:rPr>
          <w:lang w:eastAsia="en-AU"/>
        </w:rPr>
        <w:t>following a fire</w:t>
      </w:r>
      <w:r w:rsidR="00123BB9">
        <w:rPr>
          <w:lang w:eastAsia="en-AU"/>
        </w:rPr>
        <w:t xml:space="preserve">. </w:t>
      </w:r>
      <w:r w:rsidR="009A0399">
        <w:rPr>
          <w:lang w:eastAsia="en-AU"/>
        </w:rPr>
        <w:t xml:space="preserve">Interviews with hospital and Department of Health (DoH) staff indicated that </w:t>
      </w:r>
      <w:r w:rsidR="004E4117">
        <w:rPr>
          <w:lang w:eastAsia="en-AU"/>
        </w:rPr>
        <w:t xml:space="preserve">accessibility had not been well considered, with </w:t>
      </w:r>
      <w:r w:rsidR="009A0399">
        <w:rPr>
          <w:lang w:eastAsia="en-AU"/>
        </w:rPr>
        <w:t xml:space="preserve">doorways and other areas that </w:t>
      </w:r>
      <w:r w:rsidR="00A0259E">
        <w:rPr>
          <w:lang w:eastAsia="en-AU"/>
        </w:rPr>
        <w:t xml:space="preserve">are </w:t>
      </w:r>
      <w:r w:rsidR="009A0399">
        <w:rPr>
          <w:lang w:eastAsia="en-AU"/>
        </w:rPr>
        <w:t xml:space="preserve">too narrow for wheelchair access. </w:t>
      </w:r>
    </w:p>
    <w:p w14:paraId="7D24F056" w14:textId="77777777" w:rsidR="007F16D2" w:rsidRDefault="007F16D2" w:rsidP="00CD4EB9">
      <w:pPr>
        <w:numPr>
          <w:ilvl w:val="0"/>
          <w:numId w:val="24"/>
        </w:numPr>
        <w:jc w:val="both"/>
        <w:rPr>
          <w:lang w:eastAsia="en-AU"/>
        </w:rPr>
      </w:pPr>
      <w:r w:rsidRPr="007F16D2">
        <w:rPr>
          <w:i/>
          <w:lang w:eastAsia="en-AU"/>
        </w:rPr>
        <w:t xml:space="preserve">TVET </w:t>
      </w:r>
      <w:r w:rsidR="005F0418" w:rsidRPr="007F16D2">
        <w:rPr>
          <w:i/>
          <w:lang w:eastAsia="en-AU"/>
        </w:rPr>
        <w:t>Centre</w:t>
      </w:r>
      <w:r>
        <w:rPr>
          <w:i/>
          <w:lang w:eastAsia="en-AU"/>
        </w:rPr>
        <w:t xml:space="preserve"> </w:t>
      </w:r>
      <w:r w:rsidR="003C790C">
        <w:rPr>
          <w:i/>
          <w:lang w:eastAsia="en-AU"/>
        </w:rPr>
        <w:t>–</w:t>
      </w:r>
      <w:r>
        <w:rPr>
          <w:i/>
          <w:lang w:eastAsia="en-AU"/>
        </w:rPr>
        <w:t xml:space="preserve"> </w:t>
      </w:r>
      <w:r w:rsidR="003C790C" w:rsidRPr="003C790C">
        <w:rPr>
          <w:lang w:eastAsia="en-AU"/>
        </w:rPr>
        <w:t>The site</w:t>
      </w:r>
      <w:r w:rsidR="003C790C">
        <w:rPr>
          <w:lang w:eastAsia="en-AU"/>
        </w:rPr>
        <w:t xml:space="preserve"> visit to the TVET </w:t>
      </w:r>
      <w:r w:rsidR="005F0418">
        <w:rPr>
          <w:lang w:eastAsia="en-AU"/>
        </w:rPr>
        <w:t>Centre</w:t>
      </w:r>
      <w:r w:rsidR="003C790C">
        <w:rPr>
          <w:lang w:eastAsia="en-AU"/>
        </w:rPr>
        <w:t xml:space="preserve"> and interview with the Department of Education (DoE) Asset Manager indicated concerns with accessibility of the TVET </w:t>
      </w:r>
      <w:r w:rsidR="005F0418">
        <w:rPr>
          <w:lang w:eastAsia="en-AU"/>
        </w:rPr>
        <w:t>Centre</w:t>
      </w:r>
      <w:r w:rsidR="003C790C">
        <w:rPr>
          <w:lang w:eastAsia="en-AU"/>
        </w:rPr>
        <w:t xml:space="preserve"> and Nauru Secondary School</w:t>
      </w:r>
      <w:r w:rsidR="00071BC4">
        <w:rPr>
          <w:lang w:eastAsia="en-AU"/>
        </w:rPr>
        <w:t xml:space="preserve"> (</w:t>
      </w:r>
      <w:r w:rsidR="003C790C">
        <w:rPr>
          <w:lang w:eastAsia="en-AU"/>
        </w:rPr>
        <w:t>which share</w:t>
      </w:r>
      <w:r w:rsidR="00530FDC">
        <w:rPr>
          <w:lang w:eastAsia="en-AU"/>
        </w:rPr>
        <w:t>s</w:t>
      </w:r>
      <w:r w:rsidR="003C790C">
        <w:rPr>
          <w:lang w:eastAsia="en-AU"/>
        </w:rPr>
        <w:t xml:space="preserve"> accessible toilets </w:t>
      </w:r>
      <w:r w:rsidR="00530FDC">
        <w:rPr>
          <w:lang w:eastAsia="en-AU"/>
        </w:rPr>
        <w:t xml:space="preserve">with TVET </w:t>
      </w:r>
      <w:r w:rsidR="003C790C">
        <w:rPr>
          <w:lang w:eastAsia="en-AU"/>
        </w:rPr>
        <w:t xml:space="preserve">and was funded by DFAT prior to the review period). </w:t>
      </w:r>
      <w:r w:rsidR="00A44B9F">
        <w:rPr>
          <w:lang w:eastAsia="en-AU"/>
        </w:rPr>
        <w:t>Wheelchair a</w:t>
      </w:r>
      <w:r w:rsidR="009E03D5">
        <w:rPr>
          <w:lang w:eastAsia="en-AU"/>
        </w:rPr>
        <w:t xml:space="preserve">ccess to </w:t>
      </w:r>
      <w:r w:rsidR="006337CF">
        <w:rPr>
          <w:lang w:eastAsia="en-AU"/>
        </w:rPr>
        <w:t xml:space="preserve">and between </w:t>
      </w:r>
      <w:r w:rsidR="00FD3410">
        <w:rPr>
          <w:lang w:eastAsia="en-AU"/>
        </w:rPr>
        <w:t>buildings</w:t>
      </w:r>
      <w:r w:rsidR="00B25C8C">
        <w:rPr>
          <w:lang w:eastAsia="en-AU"/>
        </w:rPr>
        <w:t>, including the accessible toilet,</w:t>
      </w:r>
      <w:r w:rsidR="00FD3410">
        <w:rPr>
          <w:lang w:eastAsia="en-AU"/>
        </w:rPr>
        <w:t xml:space="preserve"> </w:t>
      </w:r>
      <w:r w:rsidR="009E03D5">
        <w:rPr>
          <w:lang w:eastAsia="en-AU"/>
        </w:rPr>
        <w:t>over gravel</w:t>
      </w:r>
      <w:r w:rsidR="00D17889">
        <w:rPr>
          <w:lang w:eastAsia="en-AU"/>
        </w:rPr>
        <w:t xml:space="preserve"> is </w:t>
      </w:r>
      <w:r w:rsidR="00307460">
        <w:rPr>
          <w:lang w:eastAsia="en-AU"/>
        </w:rPr>
        <w:t>problematic</w:t>
      </w:r>
      <w:r w:rsidR="00695A16">
        <w:rPr>
          <w:lang w:eastAsia="en-AU"/>
        </w:rPr>
        <w:t xml:space="preserve">. A proposal is being put forward </w:t>
      </w:r>
      <w:r w:rsidR="00B9037B">
        <w:rPr>
          <w:lang w:eastAsia="en-AU"/>
        </w:rPr>
        <w:t xml:space="preserve">for </w:t>
      </w:r>
      <w:r w:rsidR="00695A16">
        <w:rPr>
          <w:lang w:eastAsia="en-AU"/>
        </w:rPr>
        <w:t>paved, undercover pathways.</w:t>
      </w:r>
    </w:p>
    <w:p w14:paraId="0D25013E" w14:textId="77777777" w:rsidR="00281569" w:rsidRPr="00BC3274" w:rsidRDefault="006B46FD" w:rsidP="00BC3274">
      <w:pPr>
        <w:jc w:val="both"/>
        <w:rPr>
          <w:lang w:eastAsia="en-AU"/>
        </w:rPr>
      </w:pPr>
      <w:r>
        <w:rPr>
          <w:lang w:eastAsia="en-AU"/>
        </w:rPr>
        <w:t xml:space="preserve">Disability considerations are </w:t>
      </w:r>
      <w:r w:rsidR="00291535">
        <w:rPr>
          <w:lang w:eastAsia="en-AU"/>
        </w:rPr>
        <w:t xml:space="preserve">less </w:t>
      </w:r>
      <w:r>
        <w:rPr>
          <w:lang w:eastAsia="en-AU"/>
        </w:rPr>
        <w:t xml:space="preserve">relevant to the (i) </w:t>
      </w:r>
      <w:r w:rsidRPr="006B46FD">
        <w:rPr>
          <w:lang w:eastAsia="en-AU"/>
        </w:rPr>
        <w:t>NUC Technical Assistance</w:t>
      </w:r>
      <w:r>
        <w:rPr>
          <w:lang w:eastAsia="en-AU"/>
        </w:rPr>
        <w:t xml:space="preserve"> and (ii) </w:t>
      </w:r>
      <w:r w:rsidRPr="006B46FD">
        <w:rPr>
          <w:lang w:eastAsia="en-AU"/>
        </w:rPr>
        <w:t>Electricity Supply and Sustainability Project</w:t>
      </w:r>
      <w:r w:rsidR="000F441E">
        <w:rPr>
          <w:lang w:eastAsia="en-AU"/>
        </w:rPr>
        <w:t>s</w:t>
      </w:r>
      <w:r>
        <w:rPr>
          <w:lang w:eastAsia="en-AU"/>
        </w:rPr>
        <w:t>.</w:t>
      </w:r>
      <w:r w:rsidR="000F441E">
        <w:rPr>
          <w:lang w:eastAsia="en-AU"/>
        </w:rPr>
        <w:t xml:space="preserve"> No evidence was available regarding disability considerations for (i) </w:t>
      </w:r>
      <w:r w:rsidR="000F441E" w:rsidRPr="000F441E">
        <w:rPr>
          <w:lang w:eastAsia="en-AU"/>
        </w:rPr>
        <w:t>Wellness Clinics</w:t>
      </w:r>
      <w:r w:rsidR="000F441E">
        <w:rPr>
          <w:lang w:eastAsia="en-AU"/>
        </w:rPr>
        <w:t xml:space="preserve">, (ii) </w:t>
      </w:r>
      <w:r w:rsidR="000F441E" w:rsidRPr="000F441E">
        <w:rPr>
          <w:lang w:eastAsia="en-AU"/>
        </w:rPr>
        <w:t>Household Water Tanks</w:t>
      </w:r>
      <w:r w:rsidR="000F441E">
        <w:rPr>
          <w:lang w:eastAsia="en-AU"/>
        </w:rPr>
        <w:t>; (iii)</w:t>
      </w:r>
      <w:r w:rsidR="000F441E" w:rsidRPr="000F441E">
        <w:rPr>
          <w:lang w:eastAsia="en-AU"/>
        </w:rPr>
        <w:t xml:space="preserve"> Port Redevelopment</w:t>
      </w:r>
      <w:r w:rsidR="000F441E">
        <w:rPr>
          <w:lang w:eastAsia="en-AU"/>
        </w:rPr>
        <w:t xml:space="preserve"> and Institutional Reform. </w:t>
      </w:r>
    </w:p>
    <w:p w14:paraId="5FAD4D83" w14:textId="77777777" w:rsidR="00771A35" w:rsidRPr="009B1F7F" w:rsidRDefault="009B1F7F" w:rsidP="009B1F7F">
      <w:pPr>
        <w:pStyle w:val="Tablebullet"/>
        <w:numPr>
          <w:ilvl w:val="0"/>
          <w:numId w:val="51"/>
        </w:numPr>
        <w:ind w:left="284" w:hanging="283"/>
        <w:rPr>
          <w:i/>
          <w:color w:val="E36C0A" w:themeColor="accent6" w:themeShade="BF"/>
        </w:rPr>
      </w:pPr>
      <w:r w:rsidRPr="00EA4BD0">
        <w:rPr>
          <w:i/>
          <w:color w:val="E36C0A" w:themeColor="accent6" w:themeShade="BF"/>
        </w:rPr>
        <w:t>To what extent have investments in infrastructure identified opportunities to contribute to climate change mitigation?</w:t>
      </w:r>
    </w:p>
    <w:p w14:paraId="168377F4" w14:textId="77777777" w:rsidR="00940896" w:rsidRDefault="00544A01" w:rsidP="009D050F">
      <w:pPr>
        <w:jc w:val="both"/>
        <w:rPr>
          <w:lang w:eastAsia="en-AU"/>
        </w:rPr>
      </w:pPr>
      <w:r>
        <w:rPr>
          <w:lang w:eastAsia="en-AU"/>
        </w:rPr>
        <w:t xml:space="preserve">This question has focused on the mitigation aspects of climate change, as adaptation considerations are addressed under the effectiveness criteria (KRQ </w:t>
      </w:r>
      <w:r w:rsidR="00864267">
        <w:rPr>
          <w:lang w:eastAsia="en-AU"/>
        </w:rPr>
        <w:t xml:space="preserve">3a). </w:t>
      </w:r>
      <w:r w:rsidR="005B56FD">
        <w:rPr>
          <w:lang w:eastAsia="en-AU"/>
        </w:rPr>
        <w:t>Climate change mitigation has demonstrably been a key consideration in the project selection and de</w:t>
      </w:r>
      <w:r w:rsidR="00C70ED3">
        <w:rPr>
          <w:lang w:eastAsia="en-AU"/>
        </w:rPr>
        <w:t>s</w:t>
      </w:r>
      <w:r w:rsidR="005B56FD">
        <w:rPr>
          <w:lang w:eastAsia="en-AU"/>
        </w:rPr>
        <w:t>ign</w:t>
      </w:r>
      <w:r w:rsidR="003D2D10">
        <w:rPr>
          <w:lang w:eastAsia="en-AU"/>
        </w:rPr>
        <w:t xml:space="preserve"> of the following projects:</w:t>
      </w:r>
    </w:p>
    <w:p w14:paraId="4C9D8B8E" w14:textId="77777777" w:rsidR="006F3365" w:rsidRPr="00C70ED3" w:rsidRDefault="006F3365" w:rsidP="006F3365">
      <w:pPr>
        <w:numPr>
          <w:ilvl w:val="0"/>
          <w:numId w:val="24"/>
        </w:numPr>
        <w:jc w:val="both"/>
        <w:rPr>
          <w:i/>
          <w:lang w:eastAsia="en-AU"/>
        </w:rPr>
      </w:pPr>
      <w:r w:rsidRPr="00C70ED3">
        <w:rPr>
          <w:i/>
          <w:lang w:eastAsia="en-AU"/>
        </w:rPr>
        <w:t>Port Redevelopment and Institutional Reform</w:t>
      </w:r>
      <w:r w:rsidRPr="00C70ED3">
        <w:rPr>
          <w:lang w:eastAsia="en-AU"/>
        </w:rPr>
        <w:t xml:space="preserve"> </w:t>
      </w:r>
      <w:r w:rsidR="00A46220">
        <w:rPr>
          <w:lang w:eastAsia="en-AU"/>
        </w:rPr>
        <w:t>–</w:t>
      </w:r>
      <w:r w:rsidRPr="00C70ED3">
        <w:rPr>
          <w:lang w:eastAsia="en-AU"/>
        </w:rPr>
        <w:t xml:space="preserve"> </w:t>
      </w:r>
      <w:r w:rsidR="00A46220">
        <w:rPr>
          <w:lang w:eastAsia="en-AU"/>
        </w:rPr>
        <w:t xml:space="preserve">the Final Feasibility Report (Cardno, 2017) for the port project </w:t>
      </w:r>
      <w:r w:rsidR="00A46220" w:rsidRPr="00A46220">
        <w:rPr>
          <w:lang w:eastAsia="en-AU"/>
        </w:rPr>
        <w:t>quantified expected greenhouse gas (GHG) emissions reductions as an estimated $8.6 million climate change benefit</w:t>
      </w:r>
      <w:r w:rsidR="00A46220">
        <w:rPr>
          <w:lang w:eastAsia="en-AU"/>
        </w:rPr>
        <w:t xml:space="preserve">. ADB indicated that climate change </w:t>
      </w:r>
      <w:r w:rsidR="005E2DA3">
        <w:rPr>
          <w:lang w:eastAsia="en-AU"/>
        </w:rPr>
        <w:t>mitigation</w:t>
      </w:r>
      <w:r w:rsidR="00A46220">
        <w:rPr>
          <w:lang w:eastAsia="en-AU"/>
        </w:rPr>
        <w:t xml:space="preserve"> </w:t>
      </w:r>
      <w:r w:rsidR="005E2DA3">
        <w:rPr>
          <w:lang w:eastAsia="en-AU"/>
        </w:rPr>
        <w:t xml:space="preserve">was a key </w:t>
      </w:r>
      <w:r w:rsidR="006A1A6D">
        <w:rPr>
          <w:lang w:eastAsia="en-AU"/>
        </w:rPr>
        <w:t xml:space="preserve">basis for the </w:t>
      </w:r>
      <w:r w:rsidR="00A46220">
        <w:rPr>
          <w:lang w:eastAsia="en-AU"/>
        </w:rPr>
        <w:t xml:space="preserve">Green Climate Fund to </w:t>
      </w:r>
      <w:r w:rsidR="006A1A6D">
        <w:rPr>
          <w:lang w:eastAsia="en-AU"/>
        </w:rPr>
        <w:t>co-finance the project</w:t>
      </w:r>
      <w:r w:rsidR="00A46220">
        <w:rPr>
          <w:lang w:eastAsia="en-AU"/>
        </w:rPr>
        <w:t xml:space="preserve">. </w:t>
      </w:r>
      <w:r w:rsidR="00897F31">
        <w:t>The value of reduced emissions was based on estimated fuel use by pusher barges and berthed container and fuel vessels</w:t>
      </w:r>
      <w:r w:rsidR="00117F69">
        <w:t xml:space="preserve">. </w:t>
      </w:r>
    </w:p>
    <w:p w14:paraId="52FF9E1A" w14:textId="77777777" w:rsidR="00976C11" w:rsidRPr="004A42A4" w:rsidRDefault="00BB415A" w:rsidP="004A42A4">
      <w:pPr>
        <w:numPr>
          <w:ilvl w:val="0"/>
          <w:numId w:val="24"/>
        </w:numPr>
        <w:jc w:val="both"/>
        <w:rPr>
          <w:i/>
          <w:lang w:eastAsia="en-AU"/>
        </w:rPr>
      </w:pPr>
      <w:r w:rsidRPr="00C70ED3">
        <w:rPr>
          <w:i/>
          <w:lang w:eastAsia="en-AU"/>
        </w:rPr>
        <w:t>Electricity Supply and Sustainability Project</w:t>
      </w:r>
      <w:r w:rsidRPr="00AE7A59">
        <w:rPr>
          <w:i/>
          <w:lang w:eastAsia="en-AU"/>
        </w:rPr>
        <w:t xml:space="preserve"> </w:t>
      </w:r>
      <w:r w:rsidRPr="00AE7A59">
        <w:rPr>
          <w:lang w:eastAsia="en-AU"/>
        </w:rPr>
        <w:t xml:space="preserve">- </w:t>
      </w:r>
      <w:r w:rsidRPr="00C9022B">
        <w:rPr>
          <w:lang w:eastAsia="en-AU"/>
        </w:rPr>
        <w:t xml:space="preserve">Interviews with the NUC and ADB indicated that the provision of the new diesel generators would reduce carbon emissions as compared to continuing to run the existing, less efficient generators. The generators selected were medium speed, providing good fuel efficiency and a longer asset life span than </w:t>
      </w:r>
      <w:r w:rsidR="008C5423">
        <w:rPr>
          <w:lang w:eastAsia="en-AU"/>
        </w:rPr>
        <w:t xml:space="preserve">more fuel intensive </w:t>
      </w:r>
      <w:r w:rsidRPr="00C9022B">
        <w:rPr>
          <w:lang w:eastAsia="en-AU"/>
        </w:rPr>
        <w:t>high</w:t>
      </w:r>
      <w:r w:rsidR="00A0505B">
        <w:rPr>
          <w:lang w:eastAsia="en-AU"/>
        </w:rPr>
        <w:t>-</w:t>
      </w:r>
      <w:r w:rsidRPr="00C9022B">
        <w:rPr>
          <w:lang w:eastAsia="en-AU"/>
        </w:rPr>
        <w:t>speed generators. This approach also represented a cost saving in fuel and oil use</w:t>
      </w:r>
      <w:r w:rsidR="00492D8D">
        <w:rPr>
          <w:lang w:eastAsia="en-AU"/>
        </w:rPr>
        <w:t xml:space="preserve"> and was confirmed by PMAG as a necessary pre-condition for solar energy to be introduced into the energy mi</w:t>
      </w:r>
      <w:r w:rsidR="00E17D1D">
        <w:rPr>
          <w:lang w:eastAsia="en-AU"/>
        </w:rPr>
        <w:t>x</w:t>
      </w:r>
      <w:r w:rsidR="00870A71">
        <w:rPr>
          <w:rStyle w:val="FootnoteReference"/>
          <w:lang w:eastAsia="en-AU"/>
        </w:rPr>
        <w:footnoteReference w:id="11"/>
      </w:r>
      <w:r w:rsidRPr="00C9022B">
        <w:rPr>
          <w:lang w:eastAsia="en-AU"/>
        </w:rPr>
        <w:t>.</w:t>
      </w:r>
    </w:p>
    <w:p w14:paraId="33612B48" w14:textId="4F3EE691" w:rsidR="00E42391" w:rsidRPr="00E82B66" w:rsidRDefault="008B48D9" w:rsidP="009D050F">
      <w:pPr>
        <w:jc w:val="both"/>
        <w:rPr>
          <w:rFonts w:eastAsia="Times New Roman" w:cs="Calibri"/>
          <w:color w:val="000000"/>
          <w:sz w:val="20"/>
          <w:szCs w:val="20"/>
          <w:lang w:eastAsia="en-AU"/>
        </w:rPr>
      </w:pPr>
      <w:r>
        <w:rPr>
          <w:lang w:eastAsia="en-AU"/>
        </w:rPr>
        <w:t xml:space="preserve">The review has not seen </w:t>
      </w:r>
      <w:r w:rsidR="00330B8E" w:rsidRPr="00B316C8">
        <w:rPr>
          <w:lang w:eastAsia="en-AU"/>
        </w:rPr>
        <w:t>evidence</w:t>
      </w:r>
      <w:r w:rsidR="00B316C8" w:rsidRPr="00B316C8">
        <w:rPr>
          <w:lang w:eastAsia="en-AU"/>
        </w:rPr>
        <w:t xml:space="preserve"> </w:t>
      </w:r>
      <w:r w:rsidR="00702504">
        <w:rPr>
          <w:lang w:eastAsia="en-AU"/>
        </w:rPr>
        <w:t xml:space="preserve">that </w:t>
      </w:r>
      <w:r w:rsidR="00B316C8">
        <w:rPr>
          <w:lang w:eastAsia="en-AU"/>
        </w:rPr>
        <w:t>climate change mitigation</w:t>
      </w:r>
      <w:r w:rsidR="0029568D">
        <w:rPr>
          <w:lang w:eastAsia="en-AU"/>
        </w:rPr>
        <w:t xml:space="preserve"> strategies </w:t>
      </w:r>
      <w:r w:rsidR="00702504">
        <w:rPr>
          <w:lang w:eastAsia="en-AU"/>
        </w:rPr>
        <w:t xml:space="preserve">have been considered </w:t>
      </w:r>
      <w:r w:rsidR="0029568D">
        <w:rPr>
          <w:lang w:eastAsia="en-AU"/>
        </w:rPr>
        <w:t xml:space="preserve">for the (i) TVET </w:t>
      </w:r>
      <w:r w:rsidR="003D39B3">
        <w:rPr>
          <w:lang w:eastAsia="en-AU"/>
        </w:rPr>
        <w:t>Centre</w:t>
      </w:r>
      <w:r w:rsidR="0029568D">
        <w:rPr>
          <w:lang w:eastAsia="en-AU"/>
        </w:rPr>
        <w:t xml:space="preserve">, </w:t>
      </w:r>
      <w:r w:rsidR="00363F3F">
        <w:rPr>
          <w:lang w:eastAsia="en-AU"/>
        </w:rPr>
        <w:t xml:space="preserve">(ii) Hospital; </w:t>
      </w:r>
      <w:r w:rsidR="0029568D">
        <w:rPr>
          <w:lang w:eastAsia="en-AU"/>
        </w:rPr>
        <w:t>(</w:t>
      </w:r>
      <w:r w:rsidR="00363F3F">
        <w:rPr>
          <w:lang w:eastAsia="en-AU"/>
        </w:rPr>
        <w:t>i</w:t>
      </w:r>
      <w:r w:rsidR="0029568D">
        <w:rPr>
          <w:lang w:eastAsia="en-AU"/>
        </w:rPr>
        <w:t>ii) Household Water Tanks; and (i</w:t>
      </w:r>
      <w:r w:rsidR="006F77C0">
        <w:rPr>
          <w:lang w:eastAsia="en-AU"/>
        </w:rPr>
        <w:t>v</w:t>
      </w:r>
      <w:r w:rsidR="0029568D">
        <w:rPr>
          <w:lang w:eastAsia="en-AU"/>
        </w:rPr>
        <w:t>) wellness clinics</w:t>
      </w:r>
      <w:r w:rsidR="00E54844">
        <w:rPr>
          <w:lang w:eastAsia="en-AU"/>
        </w:rPr>
        <w:t xml:space="preserve"> projects</w:t>
      </w:r>
      <w:r w:rsidR="0029568D">
        <w:rPr>
          <w:lang w:eastAsia="en-AU"/>
        </w:rPr>
        <w:t xml:space="preserve">. </w:t>
      </w:r>
      <w:r w:rsidR="00986601">
        <w:rPr>
          <w:lang w:eastAsia="en-AU"/>
        </w:rPr>
        <w:t>The evidence demonstrates that on other projects, climate change mitigation options were applied where relevant.</w:t>
      </w:r>
    </w:p>
    <w:p w14:paraId="31C628D9" w14:textId="77777777" w:rsidR="00A8652C" w:rsidRDefault="00A8652C" w:rsidP="00EA7183">
      <w:pPr>
        <w:pStyle w:val="Heading1"/>
      </w:pPr>
      <w:bookmarkStart w:id="34" w:name="_Toc518640220"/>
      <w:r>
        <w:lastRenderedPageBreak/>
        <w:t>Lessons Learn</w:t>
      </w:r>
      <w:r w:rsidR="00596EBD">
        <w:t>ed</w:t>
      </w:r>
      <w:r w:rsidR="00057162">
        <w:t xml:space="preserve"> </w:t>
      </w:r>
      <w:r w:rsidR="00610D8D">
        <w:t>and Considerations</w:t>
      </w:r>
      <w:bookmarkEnd w:id="34"/>
    </w:p>
    <w:p w14:paraId="1A19CF72" w14:textId="77777777" w:rsidR="00057162" w:rsidRDefault="00057162" w:rsidP="00057162">
      <w:pPr>
        <w:pStyle w:val="Heading2"/>
        <w:ind w:left="576"/>
      </w:pPr>
      <w:bookmarkStart w:id="35" w:name="_Toc518640221"/>
      <w:r>
        <w:t>Lessons Learned</w:t>
      </w:r>
      <w:bookmarkEnd w:id="35"/>
    </w:p>
    <w:p w14:paraId="6B380E3F" w14:textId="77777777" w:rsidR="00AE5968" w:rsidRPr="00AE5968" w:rsidRDefault="0083354F" w:rsidP="00AE5968">
      <w:pPr>
        <w:spacing w:before="160" w:after="160"/>
        <w:jc w:val="both"/>
        <w:rPr>
          <w:i/>
          <w:lang w:eastAsia="en-AU"/>
        </w:rPr>
      </w:pPr>
      <w:r>
        <w:rPr>
          <w:i/>
          <w:lang w:eastAsia="en-AU"/>
        </w:rPr>
        <w:t>Sector Wide</w:t>
      </w:r>
      <w:r w:rsidR="0008647E">
        <w:rPr>
          <w:i/>
          <w:lang w:eastAsia="en-AU"/>
        </w:rPr>
        <w:t>:</w:t>
      </w:r>
    </w:p>
    <w:p w14:paraId="60876BD0" w14:textId="34095957" w:rsidR="006469EA" w:rsidRDefault="00881884" w:rsidP="00881884">
      <w:pPr>
        <w:numPr>
          <w:ilvl w:val="0"/>
          <w:numId w:val="25"/>
        </w:numPr>
        <w:spacing w:before="160" w:after="160"/>
        <w:ind w:left="426" w:hanging="357"/>
        <w:jc w:val="both"/>
        <w:rPr>
          <w:lang w:eastAsia="en-AU"/>
        </w:rPr>
      </w:pPr>
      <w:r>
        <w:rPr>
          <w:lang w:eastAsia="en-AU"/>
        </w:rPr>
        <w:t xml:space="preserve">The use of Government of Nauru systems for infrastructure investments has caused some clear inefficiencies, such as on the water tank project and also on the wellness clinics. There are strong reasons to encourage use of government systems, given the overarching goal of strengthening government capacity. This trade-off has resulted in impediments and DFAT has identified solutions to mitigate these issues, which are key lessons to be captured and possibly shared. The key lesson </w:t>
      </w:r>
      <w:r w:rsidR="0066393E">
        <w:rPr>
          <w:lang w:eastAsia="en-AU"/>
        </w:rPr>
        <w:t xml:space="preserve">is </w:t>
      </w:r>
      <w:r>
        <w:rPr>
          <w:lang w:eastAsia="en-AU"/>
        </w:rPr>
        <w:t xml:space="preserve">the importance of high quality process for the outsourcing of design, consultations, procurement and project supervision. Project supervision through a Project Management Unit that report to a steering committee to facilitate project delivery </w:t>
      </w:r>
      <w:r w:rsidR="00A46721">
        <w:rPr>
          <w:lang w:eastAsia="en-AU"/>
        </w:rPr>
        <w:t xml:space="preserve">is necessary to ensure </w:t>
      </w:r>
      <w:r>
        <w:rPr>
          <w:lang w:eastAsia="en-AU"/>
        </w:rPr>
        <w:t xml:space="preserve">effective </w:t>
      </w:r>
      <w:r w:rsidR="00DB5393">
        <w:rPr>
          <w:lang w:eastAsia="en-AU"/>
        </w:rPr>
        <w:t xml:space="preserve">project </w:t>
      </w:r>
      <w:r>
        <w:rPr>
          <w:lang w:eastAsia="en-AU"/>
        </w:rPr>
        <w:t>deliver</w:t>
      </w:r>
      <w:r w:rsidR="00A46721">
        <w:rPr>
          <w:lang w:eastAsia="en-AU"/>
        </w:rPr>
        <w:t>y</w:t>
      </w:r>
      <w:r>
        <w:rPr>
          <w:lang w:eastAsia="en-AU"/>
        </w:rPr>
        <w:t xml:space="preserve">. </w:t>
      </w:r>
    </w:p>
    <w:p w14:paraId="463FFE2D" w14:textId="70F662DB" w:rsidR="007B4DAF" w:rsidRDefault="007B4DAF" w:rsidP="00DF081F">
      <w:pPr>
        <w:numPr>
          <w:ilvl w:val="0"/>
          <w:numId w:val="25"/>
        </w:numPr>
        <w:spacing w:before="160" w:after="160"/>
        <w:ind w:left="426" w:hanging="357"/>
        <w:jc w:val="both"/>
        <w:rPr>
          <w:lang w:eastAsia="en-AU"/>
        </w:rPr>
      </w:pPr>
      <w:r w:rsidRPr="001408A8">
        <w:rPr>
          <w:lang w:eastAsia="en-AU"/>
        </w:rPr>
        <w:t>The cost of assets provided by Australia degrading and needing to be replaced prematurely is a reputational risk, contributes to an ongoing need for external funding and reduces the value for money proposition of each investment.</w:t>
      </w:r>
      <w:r>
        <w:rPr>
          <w:lang w:eastAsia="en-AU"/>
        </w:rPr>
        <w:t xml:space="preserve"> </w:t>
      </w:r>
      <w:r w:rsidR="00755886">
        <w:rPr>
          <w:lang w:eastAsia="en-AU"/>
        </w:rPr>
        <w:t xml:space="preserve">It is important for </w:t>
      </w:r>
      <w:r>
        <w:rPr>
          <w:lang w:eastAsia="en-AU"/>
        </w:rPr>
        <w:t>DFAT to evaluate GON’s capacity to deliver on co-contributions in the form of ongoing asset maintenance as part of project consideration.</w:t>
      </w:r>
    </w:p>
    <w:p w14:paraId="2006E89B" w14:textId="52945AEC" w:rsidR="00827B95" w:rsidRPr="00B02EDB" w:rsidRDefault="00827B95" w:rsidP="00827B95">
      <w:pPr>
        <w:numPr>
          <w:ilvl w:val="0"/>
          <w:numId w:val="25"/>
        </w:numPr>
        <w:spacing w:before="160" w:after="160"/>
        <w:ind w:left="426" w:hanging="357"/>
        <w:jc w:val="both"/>
        <w:rPr>
          <w:lang w:eastAsia="en-AU"/>
        </w:rPr>
      </w:pPr>
      <w:r w:rsidRPr="002C4238">
        <w:rPr>
          <w:lang w:eastAsia="en-AU"/>
        </w:rPr>
        <w:t>In the delivery of major</w:t>
      </w:r>
      <w:r>
        <w:rPr>
          <w:lang w:eastAsia="en-AU"/>
        </w:rPr>
        <w:t xml:space="preserve"> GoN</w:t>
      </w:r>
      <w:r w:rsidRPr="002C4238">
        <w:rPr>
          <w:lang w:eastAsia="en-AU"/>
        </w:rPr>
        <w:t xml:space="preserve"> infrastructure investments with Australian funding, DFAT should be the lead implementation agency for the Australian government (irrespective of budget contributions) to ensure effective development o</w:t>
      </w:r>
      <w:r w:rsidRPr="000A167B">
        <w:rPr>
          <w:lang w:eastAsia="en-AU"/>
        </w:rPr>
        <w:t xml:space="preserve">utcomes </w:t>
      </w:r>
      <w:r w:rsidRPr="000A167B">
        <w:rPr>
          <w:lang w:val="en-US"/>
        </w:rPr>
        <w:t>build on long term relationships with governments and protect Australia’s reputation</w:t>
      </w:r>
      <w:r w:rsidRPr="000A167B">
        <w:rPr>
          <w:lang w:eastAsia="en-AU"/>
        </w:rPr>
        <w:t>.</w:t>
      </w:r>
      <w:r w:rsidRPr="002C4238">
        <w:rPr>
          <w:lang w:eastAsia="en-AU"/>
        </w:rPr>
        <w:t xml:space="preserve"> </w:t>
      </w:r>
      <w:r>
        <w:rPr>
          <w:lang w:eastAsia="en-AU"/>
        </w:rPr>
        <w:t xml:space="preserve">This is particularly important </w:t>
      </w:r>
      <w:r w:rsidRPr="002C4238">
        <w:rPr>
          <w:lang w:eastAsia="en-AU"/>
        </w:rPr>
        <w:t xml:space="preserve">during </w:t>
      </w:r>
      <w:r>
        <w:rPr>
          <w:lang w:eastAsia="en-AU"/>
        </w:rPr>
        <w:t xml:space="preserve">feasibility analysis, concept design, </w:t>
      </w:r>
      <w:r w:rsidRPr="00B02EDB">
        <w:rPr>
          <w:lang w:eastAsia="en-AU"/>
        </w:rPr>
        <w:t>construction and handover to establish local ownership. DFAT focuses on delivering sustainable development in our region, and they have substantial experience and processes in place to deliver this objective in line with international good practice and representing Australia in long-term relationships with recipient governments.</w:t>
      </w:r>
      <w:r w:rsidR="007B4DAF">
        <w:rPr>
          <w:lang w:eastAsia="en-AU"/>
        </w:rPr>
        <w:t xml:space="preserve"> PMU and other mechanisms to deliver are suitable and DFAT do not need to lead each project, but they should be the lead agency representing</w:t>
      </w:r>
      <w:r w:rsidR="00410B82">
        <w:rPr>
          <w:lang w:eastAsia="en-AU"/>
        </w:rPr>
        <w:t xml:space="preserve"> the Government of</w:t>
      </w:r>
      <w:r w:rsidR="007B4DAF">
        <w:rPr>
          <w:lang w:eastAsia="en-AU"/>
        </w:rPr>
        <w:t xml:space="preserve"> Australia.</w:t>
      </w:r>
    </w:p>
    <w:p w14:paraId="44163722" w14:textId="21225F40" w:rsidR="006469EA" w:rsidRDefault="006469EA" w:rsidP="00881884">
      <w:pPr>
        <w:numPr>
          <w:ilvl w:val="0"/>
          <w:numId w:val="25"/>
        </w:numPr>
        <w:spacing w:before="160" w:after="160"/>
        <w:ind w:left="426" w:hanging="357"/>
        <w:jc w:val="both"/>
        <w:rPr>
          <w:lang w:eastAsia="en-AU"/>
        </w:rPr>
      </w:pPr>
      <w:r w:rsidRPr="00B02EDB">
        <w:rPr>
          <w:lang w:eastAsia="en-AU"/>
        </w:rPr>
        <w:t>Contracts for maintenance should include service level agreements for response times, allowing for reasonable difficulties in obtaining parts and limited expertise. Other recommendations as outlined in the RONH Revi</w:t>
      </w:r>
      <w:r w:rsidR="007A7F56">
        <w:rPr>
          <w:lang w:eastAsia="en-AU"/>
        </w:rPr>
        <w:t>ew Report V2 should be actioned</w:t>
      </w:r>
      <w:r w:rsidRPr="00B02EDB">
        <w:rPr>
          <w:lang w:eastAsia="en-AU"/>
        </w:rPr>
        <w:t>.</w:t>
      </w:r>
    </w:p>
    <w:p w14:paraId="234DEF5E" w14:textId="77777777" w:rsidR="006469EA" w:rsidRDefault="006469EA" w:rsidP="006469EA">
      <w:pPr>
        <w:numPr>
          <w:ilvl w:val="0"/>
          <w:numId w:val="25"/>
        </w:numPr>
        <w:spacing w:before="160" w:after="160"/>
        <w:ind w:left="426" w:hanging="357"/>
        <w:jc w:val="both"/>
      </w:pPr>
      <w:r w:rsidRPr="00002334">
        <w:t xml:space="preserve">The mechanism for maintenance </w:t>
      </w:r>
      <w:r>
        <w:t xml:space="preserve">of </w:t>
      </w:r>
      <w:r w:rsidRPr="00002334">
        <w:t xml:space="preserve">assets </w:t>
      </w:r>
      <w:r>
        <w:t xml:space="preserve">could potentially be </w:t>
      </w:r>
      <w:r w:rsidRPr="00002334">
        <w:t>support</w:t>
      </w:r>
      <w:r>
        <w:t>ed</w:t>
      </w:r>
      <w:r w:rsidRPr="00002334">
        <w:t xml:space="preserve"> </w:t>
      </w:r>
      <w:r>
        <w:t xml:space="preserve">through a central stockpile of </w:t>
      </w:r>
      <w:r w:rsidRPr="00002334">
        <w:t>spare parts</w:t>
      </w:r>
      <w:r>
        <w:t xml:space="preserve"> for routine maintenance, available for all buildings (e.g. education, health, public buildings, utility, etc.).</w:t>
      </w:r>
    </w:p>
    <w:p w14:paraId="7FE49EB8" w14:textId="77777777" w:rsidR="00881884" w:rsidRPr="006469EA" w:rsidRDefault="006469EA" w:rsidP="006469EA">
      <w:pPr>
        <w:spacing w:before="160" w:after="160"/>
        <w:jc w:val="both"/>
        <w:rPr>
          <w:i/>
          <w:lang w:eastAsia="en-AU"/>
        </w:rPr>
      </w:pPr>
      <w:r w:rsidRPr="006469EA">
        <w:rPr>
          <w:i/>
          <w:lang w:eastAsia="en-AU"/>
        </w:rPr>
        <w:t>Project Specific</w:t>
      </w:r>
      <w:r w:rsidR="0089748B">
        <w:rPr>
          <w:i/>
          <w:lang w:eastAsia="en-AU"/>
        </w:rPr>
        <w:t>:</w:t>
      </w:r>
    </w:p>
    <w:p w14:paraId="00A9F42E" w14:textId="309545C8" w:rsidR="00942415" w:rsidRDefault="00942415" w:rsidP="00A2387B">
      <w:pPr>
        <w:numPr>
          <w:ilvl w:val="0"/>
          <w:numId w:val="25"/>
        </w:numPr>
        <w:spacing w:before="160" w:after="160"/>
        <w:ind w:left="426" w:hanging="357"/>
        <w:jc w:val="both"/>
        <w:rPr>
          <w:lang w:eastAsia="en-AU"/>
        </w:rPr>
      </w:pPr>
      <w:r>
        <w:t>The NUC CEO has come up with an innovative approach to addressing “hot” connections to the electricity supply, by providing a service to each household whereby their electricity connections are checked for safety to prevent house fires. Whilst conducting safety inspections, issues of irregular connections and metering arrangements were able to be identified. This approach</w:t>
      </w:r>
      <w:r w:rsidR="008A3A04">
        <w:t xml:space="preserve"> of providing a service that benefits </w:t>
      </w:r>
      <w:r w:rsidR="00ED5716">
        <w:t>households</w:t>
      </w:r>
      <w:r w:rsidR="007A7F56">
        <w:t>,</w:t>
      </w:r>
      <w:r w:rsidR="00ED5716">
        <w:t xml:space="preserve"> </w:t>
      </w:r>
      <w:r w:rsidR="008A3A04">
        <w:t>increase</w:t>
      </w:r>
      <w:r w:rsidR="00ED5716">
        <w:t>s</w:t>
      </w:r>
      <w:r w:rsidR="008A3A04">
        <w:t xml:space="preserve"> cooperation </w:t>
      </w:r>
      <w:r w:rsidR="00D56D0C">
        <w:t>and access</w:t>
      </w:r>
      <w:r w:rsidR="00536FB7">
        <w:t xml:space="preserve"> to resolve a potentially challenging compliance issue</w:t>
      </w:r>
      <w:r w:rsidR="00D56D0C">
        <w:t xml:space="preserve">, </w:t>
      </w:r>
      <w:r w:rsidR="00ED5716">
        <w:t xml:space="preserve">and </w:t>
      </w:r>
      <w:r w:rsidR="008A3A04">
        <w:t xml:space="preserve">is a </w:t>
      </w:r>
      <w:r>
        <w:t xml:space="preserve">useful </w:t>
      </w:r>
      <w:r w:rsidR="008A3A04">
        <w:t xml:space="preserve">approach with potential for </w:t>
      </w:r>
      <w:r>
        <w:t>broad</w:t>
      </w:r>
      <w:r w:rsidR="008A3A04">
        <w:t>er application</w:t>
      </w:r>
      <w:r>
        <w:t xml:space="preserve">. </w:t>
      </w:r>
    </w:p>
    <w:p w14:paraId="13093B97" w14:textId="77777777" w:rsidR="004E2216" w:rsidRPr="00B02EDB" w:rsidRDefault="00B43D87" w:rsidP="00A2387B">
      <w:pPr>
        <w:numPr>
          <w:ilvl w:val="0"/>
          <w:numId w:val="25"/>
        </w:numPr>
        <w:spacing w:before="160" w:after="160"/>
        <w:ind w:left="426" w:hanging="357"/>
        <w:jc w:val="both"/>
        <w:rPr>
          <w:lang w:eastAsia="en-AU"/>
        </w:rPr>
      </w:pPr>
      <w:r w:rsidRPr="00B02EDB">
        <w:rPr>
          <w:lang w:eastAsia="en-AU"/>
        </w:rPr>
        <w:t xml:space="preserve">Needs for people living with disabilities have not been considered in the TVET or NSS designs. DFAT could consider supporting improvements in these areas, if </w:t>
      </w:r>
      <w:r w:rsidR="00C823F4" w:rsidRPr="00B02EDB">
        <w:rPr>
          <w:lang w:eastAsia="en-AU"/>
        </w:rPr>
        <w:t xml:space="preserve">not funded by </w:t>
      </w:r>
      <w:r w:rsidRPr="00B02EDB">
        <w:rPr>
          <w:lang w:eastAsia="en-AU"/>
        </w:rPr>
        <w:t xml:space="preserve">GoN </w:t>
      </w:r>
      <w:r w:rsidR="00C823F4" w:rsidRPr="00B02EDB">
        <w:rPr>
          <w:lang w:eastAsia="en-AU"/>
        </w:rPr>
        <w:t>or others</w:t>
      </w:r>
      <w:r w:rsidRPr="00B02EDB">
        <w:rPr>
          <w:lang w:eastAsia="en-AU"/>
        </w:rPr>
        <w:t>.</w:t>
      </w:r>
    </w:p>
    <w:p w14:paraId="643FD025" w14:textId="77777777" w:rsidR="00304F67" w:rsidRDefault="00304F67" w:rsidP="00304F67">
      <w:pPr>
        <w:numPr>
          <w:ilvl w:val="0"/>
          <w:numId w:val="25"/>
        </w:numPr>
        <w:spacing w:before="160" w:after="160"/>
        <w:ind w:left="426" w:hanging="357"/>
        <w:jc w:val="both"/>
      </w:pPr>
      <w:r>
        <w:t xml:space="preserve">The Common Approach (developed through PRIF) for environmental and social safeguards </w:t>
      </w:r>
      <w:r w:rsidR="00E45C44">
        <w:t>would</w:t>
      </w:r>
      <w:r>
        <w:t xml:space="preserve"> be a useful tool to simplify the application of DFAT and ADB’s safeguards requirements to the port project. </w:t>
      </w:r>
    </w:p>
    <w:p w14:paraId="7F20FAEF" w14:textId="77777777" w:rsidR="00A716D9" w:rsidRDefault="00A716D9" w:rsidP="00EA7183">
      <w:pPr>
        <w:pStyle w:val="Heading1"/>
      </w:pPr>
      <w:bookmarkStart w:id="36" w:name="_Toc518640222"/>
      <w:r>
        <w:lastRenderedPageBreak/>
        <w:t>Recommendations for a future Infrastructure strategy</w:t>
      </w:r>
      <w:bookmarkEnd w:id="36"/>
    </w:p>
    <w:p w14:paraId="2F47A31A" w14:textId="77777777" w:rsidR="00907ACF" w:rsidRDefault="00907ACF" w:rsidP="00907ACF">
      <w:pPr>
        <w:spacing w:before="120" w:after="120" w:line="280" w:lineRule="exact"/>
        <w:jc w:val="both"/>
        <w:rPr>
          <w:lang w:eastAsia="en-AU"/>
        </w:rPr>
      </w:pPr>
      <w:r>
        <w:rPr>
          <w:lang w:eastAsia="en-AU"/>
        </w:rPr>
        <w:t xml:space="preserve">Based on the evidence collected (through extensive in-country consultations and document reviews), the review team makes the following recommendations for </w:t>
      </w:r>
      <w:r w:rsidR="00C20C91">
        <w:rPr>
          <w:lang w:eastAsia="en-AU"/>
        </w:rPr>
        <w:t xml:space="preserve">the future infrastructure strategy for DFAT in Nauru </w:t>
      </w:r>
      <w:r>
        <w:rPr>
          <w:lang w:eastAsia="en-AU"/>
        </w:rPr>
        <w:t xml:space="preserve">to support the Government of Nauru’s and DFAT’s objectives in infrastructure. Detailed information on the evidence against the KRQ is in Annex </w:t>
      </w:r>
      <w:r w:rsidR="00285AB3">
        <w:rPr>
          <w:lang w:eastAsia="en-AU"/>
        </w:rPr>
        <w:t>B</w:t>
      </w:r>
      <w:r>
        <w:rPr>
          <w:lang w:eastAsia="en-AU"/>
        </w:rPr>
        <w:t xml:space="preserve">: Evidence Matrix. </w:t>
      </w:r>
    </w:p>
    <w:p w14:paraId="6A48F515" w14:textId="77777777" w:rsidR="00806DA5" w:rsidRDefault="00806DA5" w:rsidP="00D221BE">
      <w:pPr>
        <w:jc w:val="both"/>
        <w:rPr>
          <w:lang w:eastAsia="en-AU"/>
        </w:rPr>
      </w:pPr>
      <w:r>
        <w:rPr>
          <w:lang w:eastAsia="en-AU"/>
        </w:rPr>
        <w:t>The recommendations are</w:t>
      </w:r>
      <w:r w:rsidR="00262D64">
        <w:rPr>
          <w:lang w:eastAsia="en-AU"/>
        </w:rPr>
        <w:t xml:space="preserve"> </w:t>
      </w:r>
      <w:r w:rsidR="00A4334A">
        <w:rPr>
          <w:lang w:eastAsia="en-AU"/>
        </w:rPr>
        <w:t>focused</w:t>
      </w:r>
      <w:r w:rsidR="00262D64">
        <w:rPr>
          <w:lang w:eastAsia="en-AU"/>
        </w:rPr>
        <w:t xml:space="preserve"> </w:t>
      </w:r>
      <w:r w:rsidR="00A4334A">
        <w:rPr>
          <w:lang w:eastAsia="en-AU"/>
        </w:rPr>
        <w:t xml:space="preserve">on </w:t>
      </w:r>
      <w:r w:rsidR="00E93F72">
        <w:rPr>
          <w:lang w:eastAsia="en-AU"/>
        </w:rPr>
        <w:t>two</w:t>
      </w:r>
      <w:r w:rsidR="00262D64">
        <w:rPr>
          <w:lang w:eastAsia="en-AU"/>
        </w:rPr>
        <w:t xml:space="preserve"> main </w:t>
      </w:r>
      <w:r w:rsidR="00A4334A">
        <w:rPr>
          <w:lang w:eastAsia="en-AU"/>
        </w:rPr>
        <w:t>objectives</w:t>
      </w:r>
      <w:r>
        <w:rPr>
          <w:lang w:eastAsia="en-AU"/>
        </w:rPr>
        <w:t>:</w:t>
      </w:r>
    </w:p>
    <w:p w14:paraId="0BEF2244" w14:textId="77777777" w:rsidR="008719D9" w:rsidRDefault="008719D9" w:rsidP="008719D9">
      <w:pPr>
        <w:numPr>
          <w:ilvl w:val="0"/>
          <w:numId w:val="21"/>
        </w:numPr>
        <w:jc w:val="both"/>
        <w:rPr>
          <w:lang w:eastAsia="en-AU"/>
        </w:rPr>
      </w:pPr>
      <w:bookmarkStart w:id="37" w:name="_Hlk515579279"/>
      <w:r w:rsidRPr="002C0982">
        <w:rPr>
          <w:lang w:eastAsia="en-AU"/>
        </w:rPr>
        <w:t>Supporting the Government of Nauru</w:t>
      </w:r>
      <w:r>
        <w:rPr>
          <w:lang w:eastAsia="en-AU"/>
        </w:rPr>
        <w:t xml:space="preserve"> to embed and implement a </w:t>
      </w:r>
      <w:r w:rsidRPr="0039280A">
        <w:rPr>
          <w:lang w:eastAsia="en-AU"/>
        </w:rPr>
        <w:t>robust and</w:t>
      </w:r>
      <w:r w:rsidRPr="002C0982">
        <w:rPr>
          <w:b/>
          <w:lang w:eastAsia="en-AU"/>
        </w:rPr>
        <w:t xml:space="preserve"> strategic infrastructure framework</w:t>
      </w:r>
      <w:r>
        <w:rPr>
          <w:lang w:eastAsia="en-AU"/>
        </w:rPr>
        <w:t xml:space="preserve"> for prioritisation and selection of investments; and </w:t>
      </w:r>
    </w:p>
    <w:p w14:paraId="700232F0" w14:textId="77777777" w:rsidR="00806DA5" w:rsidRDefault="006324F2" w:rsidP="00A2387B">
      <w:pPr>
        <w:numPr>
          <w:ilvl w:val="0"/>
          <w:numId w:val="21"/>
        </w:numPr>
        <w:jc w:val="both"/>
        <w:rPr>
          <w:lang w:eastAsia="en-AU"/>
        </w:rPr>
      </w:pPr>
      <w:r w:rsidRPr="00852E92">
        <w:rPr>
          <w:b/>
          <w:lang w:eastAsia="en-AU"/>
        </w:rPr>
        <w:t>Retaining</w:t>
      </w:r>
      <w:r w:rsidR="00806DA5" w:rsidRPr="00852E92">
        <w:rPr>
          <w:b/>
          <w:lang w:eastAsia="en-AU"/>
        </w:rPr>
        <w:t xml:space="preserve"> </w:t>
      </w:r>
      <w:r w:rsidR="00DE26F0" w:rsidRPr="00852E92">
        <w:rPr>
          <w:b/>
          <w:lang w:eastAsia="en-AU"/>
        </w:rPr>
        <w:t xml:space="preserve">the </w:t>
      </w:r>
      <w:r w:rsidR="00806DA5" w:rsidRPr="00852E92">
        <w:rPr>
          <w:b/>
          <w:lang w:eastAsia="en-AU"/>
        </w:rPr>
        <w:t xml:space="preserve">value for money </w:t>
      </w:r>
      <w:r w:rsidR="00D02D76" w:rsidRPr="00852E92">
        <w:rPr>
          <w:b/>
          <w:lang w:eastAsia="en-AU"/>
        </w:rPr>
        <w:t xml:space="preserve">proposition </w:t>
      </w:r>
      <w:r w:rsidR="00F55330">
        <w:rPr>
          <w:b/>
          <w:lang w:eastAsia="en-AU"/>
        </w:rPr>
        <w:t xml:space="preserve">of </w:t>
      </w:r>
      <w:r w:rsidR="00806DA5" w:rsidRPr="00852E92">
        <w:rPr>
          <w:b/>
          <w:lang w:eastAsia="en-AU"/>
        </w:rPr>
        <w:t>existing investments</w:t>
      </w:r>
      <w:r w:rsidR="00806DA5">
        <w:rPr>
          <w:lang w:eastAsia="en-AU"/>
        </w:rPr>
        <w:t xml:space="preserve"> over time through </w:t>
      </w:r>
      <w:r w:rsidR="00E225E6">
        <w:rPr>
          <w:lang w:eastAsia="en-AU"/>
        </w:rPr>
        <w:t>selected</w:t>
      </w:r>
      <w:r w:rsidR="00806DA5">
        <w:rPr>
          <w:lang w:eastAsia="en-AU"/>
        </w:rPr>
        <w:t xml:space="preserve"> interventions</w:t>
      </w:r>
      <w:r w:rsidR="008719D9">
        <w:rPr>
          <w:lang w:eastAsia="en-AU"/>
        </w:rPr>
        <w:t>.</w:t>
      </w:r>
    </w:p>
    <w:bookmarkEnd w:id="37"/>
    <w:p w14:paraId="1F690FC9" w14:textId="77777777" w:rsidR="00B0614F" w:rsidRPr="001A4CAF" w:rsidRDefault="00B0614F" w:rsidP="001A4CAF">
      <w:pPr>
        <w:jc w:val="both"/>
        <w:rPr>
          <w:lang w:eastAsia="en-AU"/>
        </w:rPr>
      </w:pPr>
      <w:r>
        <w:rPr>
          <w:lang w:eastAsia="en-AU"/>
        </w:rPr>
        <w:t xml:space="preserve">A new </w:t>
      </w:r>
      <w:r w:rsidR="008C1D9F">
        <w:rPr>
          <w:lang w:eastAsia="en-AU"/>
        </w:rPr>
        <w:t xml:space="preserve">infrastructure </w:t>
      </w:r>
      <w:r>
        <w:rPr>
          <w:lang w:eastAsia="en-AU"/>
        </w:rPr>
        <w:t xml:space="preserve">strategy would need to be </w:t>
      </w:r>
      <w:r w:rsidR="00AD1D20">
        <w:rPr>
          <w:lang w:eastAsia="en-AU"/>
        </w:rPr>
        <w:t>i</w:t>
      </w:r>
      <w:r w:rsidR="004D2F7C">
        <w:rPr>
          <w:lang w:eastAsia="en-AU"/>
        </w:rPr>
        <w:t xml:space="preserve">nformed by DFAT’s </w:t>
      </w:r>
      <w:r>
        <w:rPr>
          <w:lang w:eastAsia="en-AU"/>
        </w:rPr>
        <w:t>A</w:t>
      </w:r>
      <w:r w:rsidR="004D2F7C">
        <w:rPr>
          <w:lang w:eastAsia="en-AU"/>
        </w:rPr>
        <w:t xml:space="preserve">id </w:t>
      </w:r>
      <w:r>
        <w:rPr>
          <w:lang w:eastAsia="en-AU"/>
        </w:rPr>
        <w:t>I</w:t>
      </w:r>
      <w:r w:rsidR="004D2F7C">
        <w:rPr>
          <w:lang w:eastAsia="en-AU"/>
        </w:rPr>
        <w:t xml:space="preserve">nvestment </w:t>
      </w:r>
      <w:r>
        <w:rPr>
          <w:lang w:eastAsia="en-AU"/>
        </w:rPr>
        <w:t>P</w:t>
      </w:r>
      <w:r w:rsidR="004D2F7C">
        <w:rPr>
          <w:lang w:eastAsia="en-AU"/>
        </w:rPr>
        <w:t>lan</w:t>
      </w:r>
      <w:r w:rsidR="00AD1D20">
        <w:rPr>
          <w:lang w:eastAsia="en-AU"/>
        </w:rPr>
        <w:t xml:space="preserve"> and reflected in the</w:t>
      </w:r>
      <w:r>
        <w:rPr>
          <w:lang w:eastAsia="en-AU"/>
        </w:rPr>
        <w:t xml:space="preserve"> PAF. Further, </w:t>
      </w:r>
      <w:r w:rsidR="0038077B">
        <w:rPr>
          <w:lang w:eastAsia="en-AU"/>
        </w:rPr>
        <w:t xml:space="preserve">existing and new </w:t>
      </w:r>
      <w:r w:rsidR="00D3054E">
        <w:rPr>
          <w:lang w:eastAsia="en-AU"/>
        </w:rPr>
        <w:t>infrastructure project</w:t>
      </w:r>
      <w:r>
        <w:rPr>
          <w:lang w:eastAsia="en-AU"/>
        </w:rPr>
        <w:t xml:space="preserve"> monitoring and reporting systems</w:t>
      </w:r>
      <w:r w:rsidR="00305E22">
        <w:rPr>
          <w:lang w:eastAsia="en-AU"/>
        </w:rPr>
        <w:t xml:space="preserve"> </w:t>
      </w:r>
      <w:r w:rsidRPr="006B029B">
        <w:rPr>
          <w:lang w:eastAsia="en-AU"/>
        </w:rPr>
        <w:t xml:space="preserve">would </w:t>
      </w:r>
      <w:r>
        <w:rPr>
          <w:lang w:eastAsia="en-AU"/>
        </w:rPr>
        <w:t>subsequently need to be</w:t>
      </w:r>
      <w:r w:rsidRPr="006B029B">
        <w:rPr>
          <w:lang w:eastAsia="en-AU"/>
        </w:rPr>
        <w:t xml:space="preserve"> linked to the PAF with </w:t>
      </w:r>
      <w:r w:rsidR="00D3054E">
        <w:rPr>
          <w:lang w:eastAsia="en-AU"/>
        </w:rPr>
        <w:t>their</w:t>
      </w:r>
      <w:r w:rsidRPr="006B029B">
        <w:rPr>
          <w:lang w:eastAsia="en-AU"/>
        </w:rPr>
        <w:t xml:space="preserve"> own set of performance expectations</w:t>
      </w:r>
      <w:r>
        <w:rPr>
          <w:lang w:eastAsia="en-AU"/>
        </w:rPr>
        <w:t xml:space="preserve"> which </w:t>
      </w:r>
      <w:r w:rsidR="00DB2C18">
        <w:rPr>
          <w:lang w:eastAsia="en-AU"/>
        </w:rPr>
        <w:t>c</w:t>
      </w:r>
      <w:r>
        <w:rPr>
          <w:lang w:eastAsia="en-AU"/>
        </w:rPr>
        <w:t>ould help demonstrate contribution towards overarching goals set out in an infrastructure strategy</w:t>
      </w:r>
      <w:r w:rsidRPr="006B029B">
        <w:rPr>
          <w:lang w:eastAsia="en-AU"/>
        </w:rPr>
        <w:t xml:space="preserve">. </w:t>
      </w:r>
    </w:p>
    <w:p w14:paraId="1C8F4965" w14:textId="77777777" w:rsidR="00D31B48" w:rsidRDefault="00D31B48" w:rsidP="00B85386">
      <w:pPr>
        <w:jc w:val="both"/>
        <w:rPr>
          <w:lang w:eastAsia="en-AU"/>
        </w:rPr>
      </w:pPr>
      <w:r>
        <w:rPr>
          <w:lang w:eastAsia="en-AU"/>
        </w:rPr>
        <w:t xml:space="preserve">As per objective </w:t>
      </w:r>
      <w:r w:rsidR="00C65406">
        <w:rPr>
          <w:lang w:eastAsia="en-AU"/>
        </w:rPr>
        <w:t>1</w:t>
      </w:r>
      <w:r>
        <w:rPr>
          <w:lang w:eastAsia="en-AU"/>
        </w:rPr>
        <w:t xml:space="preserve">, the process for selection of infrastructure investments is recommended to be based on the revised NSDS (2018-2030), the </w:t>
      </w:r>
      <w:r w:rsidR="00F67D10">
        <w:rPr>
          <w:lang w:eastAsia="en-AU"/>
        </w:rPr>
        <w:t xml:space="preserve">GON </w:t>
      </w:r>
      <w:r>
        <w:rPr>
          <w:lang w:eastAsia="en-AU"/>
        </w:rPr>
        <w:t xml:space="preserve">strategic framework for infrastructure and </w:t>
      </w:r>
      <w:r w:rsidR="00F67D10">
        <w:rPr>
          <w:lang w:eastAsia="en-AU"/>
        </w:rPr>
        <w:t>DFAT’s</w:t>
      </w:r>
      <w:r w:rsidR="006B1ACA">
        <w:rPr>
          <w:lang w:eastAsia="en-AU"/>
        </w:rPr>
        <w:t xml:space="preserve"> </w:t>
      </w:r>
      <w:r w:rsidR="00D24BE5">
        <w:rPr>
          <w:lang w:eastAsia="en-AU"/>
        </w:rPr>
        <w:t>new</w:t>
      </w:r>
      <w:r w:rsidR="00721AF3">
        <w:rPr>
          <w:lang w:eastAsia="en-AU"/>
        </w:rPr>
        <w:t xml:space="preserve"> </w:t>
      </w:r>
      <w:r w:rsidR="00F67D10">
        <w:rPr>
          <w:lang w:eastAsia="en-AU"/>
        </w:rPr>
        <w:t xml:space="preserve">infrastructure strategy, with project selection </w:t>
      </w:r>
      <w:r>
        <w:rPr>
          <w:lang w:eastAsia="en-AU"/>
        </w:rPr>
        <w:t xml:space="preserve">based on a multi-criteria analysis. </w:t>
      </w:r>
      <w:r w:rsidR="007645FF">
        <w:rPr>
          <w:lang w:eastAsia="en-AU"/>
        </w:rPr>
        <w:t>T</w:t>
      </w:r>
      <w:r>
        <w:rPr>
          <w:lang w:eastAsia="en-AU"/>
        </w:rPr>
        <w:t xml:space="preserve">he below list is indicative of currently foreseeable need for </w:t>
      </w:r>
      <w:r w:rsidR="00D8394D">
        <w:rPr>
          <w:lang w:eastAsia="en-AU"/>
        </w:rPr>
        <w:t xml:space="preserve">priority </w:t>
      </w:r>
      <w:r>
        <w:rPr>
          <w:lang w:eastAsia="en-AU"/>
        </w:rPr>
        <w:t xml:space="preserve">infrastructure investment </w:t>
      </w:r>
      <w:r w:rsidR="0066217B">
        <w:rPr>
          <w:lang w:eastAsia="en-AU"/>
        </w:rPr>
        <w:t xml:space="preserve">(by GoN or development partners) </w:t>
      </w:r>
      <w:r w:rsidR="00F318AD">
        <w:rPr>
          <w:lang w:eastAsia="en-AU"/>
        </w:rPr>
        <w:t xml:space="preserve">in Nauru </w:t>
      </w:r>
      <w:r>
        <w:rPr>
          <w:lang w:eastAsia="en-AU"/>
        </w:rPr>
        <w:t>going forward:</w:t>
      </w:r>
    </w:p>
    <w:p w14:paraId="3FFF6415" w14:textId="77777777" w:rsidR="00D31B48" w:rsidRDefault="00D31B48" w:rsidP="00A2387B">
      <w:pPr>
        <w:numPr>
          <w:ilvl w:val="0"/>
          <w:numId w:val="24"/>
        </w:numPr>
        <w:spacing w:before="160" w:after="160"/>
        <w:ind w:left="714" w:hanging="357"/>
        <w:rPr>
          <w:lang w:eastAsia="en-AU"/>
        </w:rPr>
      </w:pPr>
      <w:r>
        <w:rPr>
          <w:lang w:eastAsia="en-AU"/>
        </w:rPr>
        <w:t>Renewable energy;</w:t>
      </w:r>
    </w:p>
    <w:p w14:paraId="43AF62E7" w14:textId="77777777" w:rsidR="00B14DB4" w:rsidRDefault="00D31B48" w:rsidP="00A2387B">
      <w:pPr>
        <w:numPr>
          <w:ilvl w:val="0"/>
          <w:numId w:val="24"/>
        </w:numPr>
        <w:spacing w:before="160" w:after="160"/>
        <w:ind w:left="714" w:hanging="357"/>
        <w:rPr>
          <w:lang w:eastAsia="en-AU"/>
        </w:rPr>
      </w:pPr>
      <w:r>
        <w:rPr>
          <w:lang w:eastAsia="en-AU"/>
        </w:rPr>
        <w:t>Water</w:t>
      </w:r>
      <w:r w:rsidR="00B14DB4" w:rsidRPr="00B14DB4">
        <w:rPr>
          <w:lang w:eastAsia="en-AU"/>
        </w:rPr>
        <w:t xml:space="preserve"> </w:t>
      </w:r>
      <w:r w:rsidR="00B14DB4">
        <w:rPr>
          <w:lang w:eastAsia="en-AU"/>
        </w:rPr>
        <w:t>and</w:t>
      </w:r>
      <w:r>
        <w:rPr>
          <w:lang w:eastAsia="en-AU"/>
        </w:rPr>
        <w:t xml:space="preserve"> sanitation</w:t>
      </w:r>
      <w:r w:rsidR="00B14DB4">
        <w:rPr>
          <w:lang w:eastAsia="en-AU"/>
        </w:rPr>
        <w:t>;</w:t>
      </w:r>
    </w:p>
    <w:p w14:paraId="3A7219A0" w14:textId="77777777" w:rsidR="00D31B48" w:rsidRDefault="00B14DB4" w:rsidP="00A2387B">
      <w:pPr>
        <w:numPr>
          <w:ilvl w:val="0"/>
          <w:numId w:val="24"/>
        </w:numPr>
        <w:spacing w:before="160" w:after="160"/>
        <w:ind w:left="714" w:hanging="357"/>
        <w:rPr>
          <w:lang w:eastAsia="en-AU"/>
        </w:rPr>
      </w:pPr>
      <w:r>
        <w:rPr>
          <w:lang w:eastAsia="en-AU"/>
        </w:rPr>
        <w:t>D</w:t>
      </w:r>
      <w:r w:rsidR="00D31B48">
        <w:rPr>
          <w:lang w:eastAsia="en-AU"/>
        </w:rPr>
        <w:t>rainage</w:t>
      </w:r>
      <w:r>
        <w:rPr>
          <w:lang w:eastAsia="en-AU"/>
        </w:rPr>
        <w:t xml:space="preserve"> and roads</w:t>
      </w:r>
      <w:r w:rsidR="00D31B48">
        <w:rPr>
          <w:lang w:eastAsia="en-AU"/>
        </w:rPr>
        <w:t>;</w:t>
      </w:r>
    </w:p>
    <w:p w14:paraId="464DE392" w14:textId="77777777" w:rsidR="00D31B48" w:rsidRDefault="00D31B48" w:rsidP="00A2387B">
      <w:pPr>
        <w:numPr>
          <w:ilvl w:val="0"/>
          <w:numId w:val="24"/>
        </w:numPr>
        <w:spacing w:before="160" w:after="160"/>
        <w:ind w:left="714" w:hanging="357"/>
        <w:rPr>
          <w:lang w:eastAsia="en-AU"/>
        </w:rPr>
      </w:pPr>
      <w:r>
        <w:rPr>
          <w:lang w:eastAsia="en-AU"/>
        </w:rPr>
        <w:t>Health (community health clinics and stage 3 of the hospital, including nurses quarters);</w:t>
      </w:r>
    </w:p>
    <w:p w14:paraId="352026B7" w14:textId="77777777" w:rsidR="00D31B48" w:rsidRDefault="00D31B48" w:rsidP="00A2387B">
      <w:pPr>
        <w:numPr>
          <w:ilvl w:val="0"/>
          <w:numId w:val="24"/>
        </w:numPr>
        <w:spacing w:before="160" w:after="160"/>
        <w:ind w:left="714" w:hanging="357"/>
        <w:rPr>
          <w:lang w:eastAsia="en-AU"/>
        </w:rPr>
      </w:pPr>
      <w:r>
        <w:rPr>
          <w:lang w:eastAsia="en-AU"/>
        </w:rPr>
        <w:t>Information and Communications Technology, including access for educational purposes;</w:t>
      </w:r>
    </w:p>
    <w:p w14:paraId="2D7A09AE" w14:textId="77777777" w:rsidR="00D31B48" w:rsidRDefault="00D31B48" w:rsidP="00A2387B">
      <w:pPr>
        <w:numPr>
          <w:ilvl w:val="0"/>
          <w:numId w:val="24"/>
        </w:numPr>
        <w:spacing w:before="160" w:after="160"/>
        <w:ind w:left="714" w:hanging="357"/>
        <w:rPr>
          <w:lang w:eastAsia="en-AU"/>
        </w:rPr>
      </w:pPr>
      <w:r>
        <w:rPr>
          <w:lang w:eastAsia="en-AU"/>
        </w:rPr>
        <w:t>Education (additional TVET facilities for staff and students, classrooms at primary and secondary levels if attendance rates increase);</w:t>
      </w:r>
    </w:p>
    <w:p w14:paraId="3DD231D3" w14:textId="77777777" w:rsidR="00D31B48" w:rsidRDefault="00D31B48" w:rsidP="00A2387B">
      <w:pPr>
        <w:numPr>
          <w:ilvl w:val="0"/>
          <w:numId w:val="24"/>
        </w:numPr>
        <w:spacing w:before="160" w:after="160"/>
        <w:ind w:left="714" w:hanging="357"/>
        <w:rPr>
          <w:lang w:eastAsia="en-AU"/>
        </w:rPr>
      </w:pPr>
      <w:r>
        <w:rPr>
          <w:lang w:eastAsia="en-AU"/>
        </w:rPr>
        <w:t>Waste management; and</w:t>
      </w:r>
    </w:p>
    <w:p w14:paraId="43CE4EC8" w14:textId="77777777" w:rsidR="00D31B48" w:rsidRDefault="00D31B48" w:rsidP="00A2387B">
      <w:pPr>
        <w:numPr>
          <w:ilvl w:val="0"/>
          <w:numId w:val="24"/>
        </w:numPr>
        <w:spacing w:before="160" w:after="160"/>
        <w:ind w:left="714" w:hanging="357"/>
        <w:rPr>
          <w:lang w:eastAsia="en-AU"/>
        </w:rPr>
      </w:pPr>
      <w:r>
        <w:rPr>
          <w:lang w:eastAsia="en-AU"/>
        </w:rPr>
        <w:t xml:space="preserve">Land rehabilitation and associated infrastructure (including water catchments and land use planning). </w:t>
      </w:r>
      <w:r w:rsidRPr="00D73E7D">
        <w:rPr>
          <w:szCs w:val="20"/>
        </w:rPr>
        <w:tab/>
      </w:r>
    </w:p>
    <w:p w14:paraId="5CB13468" w14:textId="77777777" w:rsidR="00E635E5" w:rsidRDefault="00E635E5" w:rsidP="00F83FEB">
      <w:pPr>
        <w:jc w:val="both"/>
        <w:rPr>
          <w:lang w:eastAsia="en-AU"/>
        </w:rPr>
      </w:pPr>
      <w:r>
        <w:rPr>
          <w:lang w:eastAsia="en-AU"/>
        </w:rPr>
        <w:t xml:space="preserve">The recommendations to achieve each of these objectives are as outlined </w:t>
      </w:r>
      <w:r w:rsidR="00A94BF5">
        <w:rPr>
          <w:lang w:eastAsia="en-AU"/>
        </w:rPr>
        <w:t xml:space="preserve">in </w:t>
      </w:r>
      <w:r w:rsidR="00A94BF5" w:rsidRPr="00F75A27">
        <w:rPr>
          <w:i/>
          <w:lang w:eastAsia="en-AU"/>
        </w:rPr>
        <w:fldChar w:fldCharType="begin"/>
      </w:r>
      <w:r w:rsidR="00A94BF5" w:rsidRPr="00F75A27">
        <w:rPr>
          <w:i/>
          <w:lang w:eastAsia="en-AU"/>
        </w:rPr>
        <w:instrText xml:space="preserve"> REF _Ref515575116 \h </w:instrText>
      </w:r>
      <w:r w:rsidR="00F75A27" w:rsidRPr="00F75A27">
        <w:rPr>
          <w:i/>
          <w:lang w:eastAsia="en-AU"/>
        </w:rPr>
        <w:instrText xml:space="preserve"> \* MERGEFORMAT </w:instrText>
      </w:r>
      <w:r w:rsidR="00A94BF5" w:rsidRPr="00F75A27">
        <w:rPr>
          <w:i/>
          <w:lang w:eastAsia="en-AU"/>
        </w:rPr>
      </w:r>
      <w:r w:rsidR="00A94BF5" w:rsidRPr="00F75A27">
        <w:rPr>
          <w:i/>
          <w:lang w:eastAsia="en-AU"/>
        </w:rPr>
        <w:fldChar w:fldCharType="separate"/>
      </w:r>
      <w:r w:rsidR="00404CD4" w:rsidRPr="0098036F">
        <w:rPr>
          <w:i/>
        </w:rPr>
        <w:t xml:space="preserve">Figure </w:t>
      </w:r>
      <w:r w:rsidR="00404CD4">
        <w:rPr>
          <w:i/>
          <w:noProof/>
        </w:rPr>
        <w:t>3</w:t>
      </w:r>
      <w:r w:rsidR="00A94BF5" w:rsidRPr="00F75A27">
        <w:rPr>
          <w:i/>
          <w:lang w:eastAsia="en-AU"/>
        </w:rPr>
        <w:fldChar w:fldCharType="end"/>
      </w:r>
      <w:r w:rsidR="00A94BF5">
        <w:rPr>
          <w:lang w:eastAsia="en-AU"/>
        </w:rPr>
        <w:t xml:space="preserve"> </w:t>
      </w:r>
      <w:r>
        <w:rPr>
          <w:lang w:eastAsia="en-AU"/>
        </w:rPr>
        <w:t xml:space="preserve">below. </w:t>
      </w:r>
    </w:p>
    <w:p w14:paraId="15346D40" w14:textId="77777777" w:rsidR="00112B3E" w:rsidRPr="00112B3E" w:rsidRDefault="00112B3E" w:rsidP="00112B3E">
      <w:pPr>
        <w:spacing w:before="0" w:after="0"/>
        <w:rPr>
          <w:i/>
          <w:lang w:eastAsia="en-AU"/>
        </w:rPr>
      </w:pPr>
    </w:p>
    <w:p w14:paraId="174FE035" w14:textId="77777777" w:rsidR="00D31B48" w:rsidRDefault="00D31B48" w:rsidP="00D221BE">
      <w:pPr>
        <w:jc w:val="both"/>
        <w:rPr>
          <w:lang w:eastAsia="en-AU"/>
        </w:rPr>
      </w:pPr>
    </w:p>
    <w:p w14:paraId="6E590E51" w14:textId="77777777" w:rsidR="00D31B48" w:rsidRDefault="00D31B48">
      <w:r>
        <w:br w:type="page"/>
      </w:r>
    </w:p>
    <w:tbl>
      <w:tblPr>
        <w:tblStyle w:val="TableGrid"/>
        <w:tblW w:w="0" w:type="auto"/>
        <w:tblLook w:val="04A0" w:firstRow="1" w:lastRow="0" w:firstColumn="1" w:lastColumn="0" w:noHBand="0" w:noVBand="1"/>
      </w:tblPr>
      <w:tblGrid>
        <w:gridCol w:w="9737"/>
      </w:tblGrid>
      <w:tr w:rsidR="00247E44" w14:paraId="03F144DB" w14:textId="77777777" w:rsidTr="007310DC">
        <w:tc>
          <w:tcPr>
            <w:tcW w:w="9737" w:type="dxa"/>
            <w:shd w:val="clear" w:color="auto" w:fill="FABF8F" w:themeFill="accent6" w:themeFillTint="99"/>
          </w:tcPr>
          <w:p w14:paraId="69873B0D" w14:textId="77777777" w:rsidR="00247E44" w:rsidRPr="00247E44" w:rsidRDefault="00247E44" w:rsidP="009D08F3">
            <w:pPr>
              <w:keepNext/>
              <w:keepLines/>
              <w:spacing w:before="120" w:beforeAutospacing="0" w:after="120" w:afterAutospacing="0" w:line="264" w:lineRule="auto"/>
              <w:jc w:val="both"/>
              <w:rPr>
                <w:b/>
                <w:sz w:val="22"/>
                <w:szCs w:val="20"/>
                <w:lang w:val="en-US"/>
              </w:rPr>
            </w:pPr>
            <w:bookmarkStart w:id="38" w:name="_Hlk515579601"/>
            <w:r>
              <w:rPr>
                <w:b/>
                <w:lang w:eastAsia="en-AU"/>
              </w:rPr>
              <w:lastRenderedPageBreak/>
              <w:t>Objective</w:t>
            </w:r>
            <w:r w:rsidRPr="001E205B">
              <w:rPr>
                <w:b/>
                <w:lang w:eastAsia="en-AU"/>
              </w:rPr>
              <w:t xml:space="preserve"> </w:t>
            </w:r>
            <w:r w:rsidR="00F56205">
              <w:rPr>
                <w:b/>
                <w:lang w:eastAsia="en-AU"/>
              </w:rPr>
              <w:t>1</w:t>
            </w:r>
            <w:r>
              <w:rPr>
                <w:b/>
                <w:lang w:eastAsia="en-AU"/>
              </w:rPr>
              <w:t xml:space="preserve"> </w:t>
            </w:r>
            <w:r w:rsidRPr="001E205B">
              <w:rPr>
                <w:b/>
                <w:szCs w:val="20"/>
                <w:lang w:val="en-US"/>
              </w:rPr>
              <w:t>–</w:t>
            </w:r>
            <w:r>
              <w:rPr>
                <w:b/>
                <w:lang w:eastAsia="en-AU"/>
              </w:rPr>
              <w:t xml:space="preserve"> </w:t>
            </w:r>
            <w:r w:rsidRPr="001E205B">
              <w:rPr>
                <w:b/>
                <w:lang w:eastAsia="en-AU"/>
              </w:rPr>
              <w:t>Government of Nauru to embed</w:t>
            </w:r>
            <w:r w:rsidR="003A2198">
              <w:rPr>
                <w:b/>
                <w:lang w:eastAsia="en-AU"/>
              </w:rPr>
              <w:t xml:space="preserve"> and implement</w:t>
            </w:r>
            <w:r w:rsidRPr="001E205B">
              <w:rPr>
                <w:b/>
                <w:lang w:eastAsia="en-AU"/>
              </w:rPr>
              <w:t xml:space="preserve"> a robust and strategic infrastructure framework for prioritisation and selection of investments.</w:t>
            </w:r>
          </w:p>
        </w:tc>
      </w:tr>
      <w:tr w:rsidR="00247E44" w14:paraId="7FECF4F0" w14:textId="77777777" w:rsidTr="007310DC">
        <w:tc>
          <w:tcPr>
            <w:tcW w:w="9737" w:type="dxa"/>
          </w:tcPr>
          <w:p w14:paraId="59EB44F2" w14:textId="77777777" w:rsidR="00247E44" w:rsidRDefault="00247E44" w:rsidP="0030298C">
            <w:pPr>
              <w:keepNext/>
              <w:keepLines/>
              <w:spacing w:before="120" w:beforeAutospacing="0" w:after="120" w:afterAutospacing="0"/>
              <w:ind w:right="131"/>
              <w:jc w:val="both"/>
              <w:rPr>
                <w:lang w:eastAsia="en-AU"/>
              </w:rPr>
            </w:pPr>
            <w:r w:rsidRPr="00247E44">
              <w:rPr>
                <w:lang w:eastAsia="en-AU"/>
              </w:rPr>
              <w:t>The GoN has established the Nauru Infrastructure &amp; Asset Management Steering Committee (NIAMSC) to develop a Nauru Infrastructure Asset Management Framework (NIAMF) and National Infrastructure Investment and Management Strategy (NIIMS) to set the direction for infrastructure investments and asset management for the next 5 to 10 years. The Pacific Regional Infrastructure Facility (PRIF), of which DFAT is a partner and co-funder, are supporting this activity.  Given the critical importance of gains in this area, it would be in DFAT’s interests to support the program to enhance effectiveness of outcomes. It is recommended that DFAT support GoN to:</w:t>
            </w:r>
          </w:p>
          <w:p w14:paraId="31C0EB61" w14:textId="77777777" w:rsidR="009A3007" w:rsidRPr="006862F2" w:rsidRDefault="009A3007" w:rsidP="0075611C">
            <w:pPr>
              <w:spacing w:before="40" w:beforeAutospacing="0" w:after="40" w:afterAutospacing="0" w:line="264" w:lineRule="auto"/>
              <w:ind w:right="130"/>
              <w:jc w:val="both"/>
              <w:rPr>
                <w:b/>
                <w:lang w:eastAsia="en-AU"/>
              </w:rPr>
            </w:pPr>
            <w:r>
              <w:rPr>
                <w:b/>
                <w:lang w:eastAsia="en-AU"/>
              </w:rPr>
              <w:t>SHORT TERM</w:t>
            </w:r>
            <w:r w:rsidRPr="006862F2">
              <w:rPr>
                <w:b/>
                <w:lang w:eastAsia="en-AU"/>
              </w:rPr>
              <w:t>:</w:t>
            </w:r>
          </w:p>
          <w:p w14:paraId="5112BE8E" w14:textId="77777777" w:rsidR="009A3007" w:rsidRDefault="00FE1D14" w:rsidP="0075611C">
            <w:pPr>
              <w:numPr>
                <w:ilvl w:val="0"/>
                <w:numId w:val="23"/>
              </w:numPr>
              <w:spacing w:before="120" w:beforeAutospacing="0" w:after="120" w:afterAutospacing="0" w:line="264" w:lineRule="auto"/>
              <w:ind w:left="714" w:right="130" w:hanging="357"/>
              <w:jc w:val="both"/>
              <w:rPr>
                <w:lang w:eastAsia="en-AU"/>
              </w:rPr>
            </w:pPr>
            <w:r>
              <w:rPr>
                <w:lang w:eastAsia="en-AU"/>
              </w:rPr>
              <w:t xml:space="preserve">DFAT to engage with </w:t>
            </w:r>
            <w:r w:rsidR="00E17BE0">
              <w:rPr>
                <w:lang w:eastAsia="en-AU"/>
              </w:rPr>
              <w:t xml:space="preserve">PRIF to </w:t>
            </w:r>
            <w:r w:rsidR="00EB3273">
              <w:rPr>
                <w:lang w:eastAsia="en-AU"/>
              </w:rPr>
              <w:t xml:space="preserve">request </w:t>
            </w:r>
            <w:r w:rsidR="009A3007" w:rsidRPr="00051908">
              <w:rPr>
                <w:b/>
                <w:lang w:eastAsia="en-AU"/>
              </w:rPr>
              <w:t>a</w:t>
            </w:r>
            <w:r w:rsidR="00D85067">
              <w:rPr>
                <w:b/>
                <w:lang w:eastAsia="en-AU"/>
              </w:rPr>
              <w:t>n independent</w:t>
            </w:r>
            <w:r w:rsidR="009A3007" w:rsidRPr="00051908">
              <w:rPr>
                <w:b/>
                <w:lang w:eastAsia="en-AU"/>
              </w:rPr>
              <w:t xml:space="preserve"> quality peer review </w:t>
            </w:r>
            <w:r w:rsidR="009A3007" w:rsidRPr="0064122B">
              <w:rPr>
                <w:lang w:eastAsia="en-AU"/>
              </w:rPr>
              <w:t xml:space="preserve">of NIAMF, NIIMS and associated documents is undertaken to </w:t>
            </w:r>
            <w:r w:rsidR="009A3007">
              <w:rPr>
                <w:lang w:eastAsia="en-AU"/>
              </w:rPr>
              <w:t xml:space="preserve">ensure robust </w:t>
            </w:r>
            <w:r w:rsidR="009A3007" w:rsidRPr="0064122B">
              <w:rPr>
                <w:lang w:eastAsia="en-AU"/>
              </w:rPr>
              <w:t>analysis</w:t>
            </w:r>
            <w:r w:rsidR="00CE5C89">
              <w:rPr>
                <w:lang w:eastAsia="en-AU"/>
              </w:rPr>
              <w:t>.</w:t>
            </w:r>
          </w:p>
          <w:p w14:paraId="57253104" w14:textId="77777777" w:rsidR="006862F2" w:rsidRDefault="006862F2" w:rsidP="0075611C">
            <w:pPr>
              <w:numPr>
                <w:ilvl w:val="0"/>
                <w:numId w:val="23"/>
              </w:numPr>
              <w:spacing w:before="120" w:beforeAutospacing="0" w:after="120" w:afterAutospacing="0" w:line="264" w:lineRule="auto"/>
              <w:ind w:left="714" w:right="130" w:hanging="357"/>
              <w:jc w:val="both"/>
              <w:rPr>
                <w:lang w:eastAsia="en-AU"/>
              </w:rPr>
            </w:pPr>
            <w:r w:rsidRPr="0064122B">
              <w:rPr>
                <w:b/>
                <w:lang w:eastAsia="en-AU"/>
              </w:rPr>
              <w:t xml:space="preserve">Coordinate and harmonize </w:t>
            </w:r>
            <w:r w:rsidRPr="0064122B">
              <w:rPr>
                <w:lang w:eastAsia="en-AU"/>
              </w:rPr>
              <w:t>with development partners as a key part of the process of selecting infrastructure investments to ensure that the highest priority projects are supported and opportunities to leverage the strategic advantages of each development partner are identified, as well as opportunities to co-fund or otherwise collaborate to leverage available funds. The PRIF mechanism could be a platform to facilitate coordination across Nauru’s infrastructure investments</w:t>
            </w:r>
            <w:r w:rsidR="00655462">
              <w:rPr>
                <w:lang w:eastAsia="en-AU"/>
              </w:rPr>
              <w:t>.</w:t>
            </w:r>
          </w:p>
          <w:p w14:paraId="48D641B7" w14:textId="77777777" w:rsidR="009A3007" w:rsidRPr="006862F2" w:rsidRDefault="0025791F" w:rsidP="0075611C">
            <w:pPr>
              <w:spacing w:before="40" w:beforeAutospacing="0" w:after="40" w:afterAutospacing="0" w:line="264" w:lineRule="auto"/>
              <w:ind w:right="130"/>
              <w:jc w:val="both"/>
              <w:rPr>
                <w:b/>
                <w:lang w:eastAsia="en-AU"/>
              </w:rPr>
            </w:pPr>
            <w:r>
              <w:rPr>
                <w:b/>
                <w:lang w:eastAsia="en-AU"/>
              </w:rPr>
              <w:t xml:space="preserve">WITHIN </w:t>
            </w:r>
            <w:r w:rsidR="00C01643">
              <w:rPr>
                <w:b/>
                <w:lang w:eastAsia="en-AU"/>
              </w:rPr>
              <w:t>1-</w:t>
            </w:r>
            <w:r w:rsidR="008D7CA9">
              <w:rPr>
                <w:b/>
                <w:lang w:eastAsia="en-AU"/>
              </w:rPr>
              <w:t>3</w:t>
            </w:r>
            <w:r w:rsidR="00C01643">
              <w:rPr>
                <w:b/>
                <w:lang w:eastAsia="en-AU"/>
              </w:rPr>
              <w:t xml:space="preserve"> YEARS</w:t>
            </w:r>
            <w:r w:rsidR="009A3007">
              <w:rPr>
                <w:b/>
                <w:lang w:eastAsia="en-AU"/>
              </w:rPr>
              <w:t>:</w:t>
            </w:r>
          </w:p>
          <w:p w14:paraId="5EA3EC76" w14:textId="77777777" w:rsidR="00BD6440" w:rsidRDefault="00060335" w:rsidP="0075611C">
            <w:pPr>
              <w:numPr>
                <w:ilvl w:val="0"/>
                <w:numId w:val="23"/>
              </w:numPr>
              <w:spacing w:before="120" w:beforeAutospacing="0" w:after="120" w:afterAutospacing="0" w:line="264" w:lineRule="auto"/>
              <w:ind w:left="714" w:right="130" w:hanging="357"/>
              <w:jc w:val="both"/>
              <w:rPr>
                <w:lang w:eastAsia="en-AU"/>
              </w:rPr>
            </w:pPr>
            <w:r>
              <w:rPr>
                <w:lang w:eastAsia="en-AU"/>
              </w:rPr>
              <w:t xml:space="preserve">Develop an </w:t>
            </w:r>
            <w:r w:rsidRPr="0089346C">
              <w:rPr>
                <w:b/>
                <w:lang w:eastAsia="en-AU"/>
              </w:rPr>
              <w:t>Infrastructure Strategy for DFAT</w:t>
            </w:r>
            <w:r>
              <w:rPr>
                <w:lang w:eastAsia="en-AU"/>
              </w:rPr>
              <w:t xml:space="preserve"> </w:t>
            </w:r>
            <w:r w:rsidR="0089346C">
              <w:rPr>
                <w:lang w:eastAsia="en-AU"/>
              </w:rPr>
              <w:t xml:space="preserve">Nauru </w:t>
            </w:r>
            <w:r w:rsidR="00BD6440">
              <w:rPr>
                <w:lang w:eastAsia="en-AU"/>
              </w:rPr>
              <w:t xml:space="preserve">that supports Australia’s strategic interests in Nauru and considers the </w:t>
            </w:r>
            <w:r w:rsidR="00F41B19">
              <w:rPr>
                <w:lang w:eastAsia="en-AU"/>
              </w:rPr>
              <w:t>recommended priority infrastructure needs identified in the NIAMF</w:t>
            </w:r>
            <w:r w:rsidR="00410CD4">
              <w:rPr>
                <w:lang w:eastAsia="en-AU"/>
              </w:rPr>
              <w:t xml:space="preserve">, </w:t>
            </w:r>
            <w:r w:rsidR="00F41B19">
              <w:rPr>
                <w:lang w:eastAsia="en-AU"/>
              </w:rPr>
              <w:t>NIIMS</w:t>
            </w:r>
            <w:r w:rsidR="00410CD4">
              <w:rPr>
                <w:lang w:eastAsia="en-AU"/>
              </w:rPr>
              <w:t xml:space="preserve"> and NSDS</w:t>
            </w:r>
            <w:r w:rsidR="00CE5C89">
              <w:rPr>
                <w:lang w:eastAsia="en-AU"/>
              </w:rPr>
              <w:t>;</w:t>
            </w:r>
          </w:p>
          <w:p w14:paraId="51B342AF" w14:textId="77777777" w:rsidR="00060335" w:rsidRDefault="00F41B19" w:rsidP="0075611C">
            <w:pPr>
              <w:numPr>
                <w:ilvl w:val="0"/>
                <w:numId w:val="23"/>
              </w:numPr>
              <w:spacing w:before="120" w:beforeAutospacing="0" w:after="120" w:afterAutospacing="0" w:line="264" w:lineRule="auto"/>
              <w:ind w:left="714" w:right="130" w:hanging="357"/>
              <w:jc w:val="both"/>
              <w:rPr>
                <w:lang w:eastAsia="en-AU"/>
              </w:rPr>
            </w:pPr>
            <w:r>
              <w:rPr>
                <w:lang w:eastAsia="en-AU"/>
              </w:rPr>
              <w:t>S</w:t>
            </w:r>
            <w:r w:rsidR="00EE55A5">
              <w:rPr>
                <w:lang w:eastAsia="en-AU"/>
              </w:rPr>
              <w:t>upport</w:t>
            </w:r>
            <w:r w:rsidR="00BE301F">
              <w:rPr>
                <w:lang w:eastAsia="en-AU"/>
              </w:rPr>
              <w:t xml:space="preserve"> </w:t>
            </w:r>
            <w:r>
              <w:rPr>
                <w:lang w:eastAsia="en-AU"/>
              </w:rPr>
              <w:t>NIAMF and NIIMS</w:t>
            </w:r>
            <w:r w:rsidDel="00F41B19">
              <w:rPr>
                <w:lang w:eastAsia="en-AU"/>
              </w:rPr>
              <w:t xml:space="preserve"> </w:t>
            </w:r>
            <w:r w:rsidR="00BE301F" w:rsidRPr="00D20FF2">
              <w:rPr>
                <w:lang w:eastAsia="en-AU"/>
              </w:rPr>
              <w:t>as the platform</w:t>
            </w:r>
            <w:r w:rsidR="00BE301F">
              <w:rPr>
                <w:lang w:eastAsia="en-AU"/>
              </w:rPr>
              <w:t xml:space="preserve"> </w:t>
            </w:r>
            <w:r w:rsidR="00BE301F" w:rsidRPr="0064122B">
              <w:rPr>
                <w:lang w:eastAsia="en-AU"/>
              </w:rPr>
              <w:t xml:space="preserve">to inform infrastructure investments through GoN budget allocations and requests for funding from </w:t>
            </w:r>
            <w:r w:rsidR="00BE301F">
              <w:rPr>
                <w:lang w:eastAsia="en-AU"/>
              </w:rPr>
              <w:t xml:space="preserve">DFAT and other </w:t>
            </w:r>
            <w:r w:rsidR="00BE301F" w:rsidRPr="0064122B">
              <w:rPr>
                <w:lang w:eastAsia="en-AU"/>
              </w:rPr>
              <w:t>development partners</w:t>
            </w:r>
            <w:r w:rsidR="00CE5C89">
              <w:rPr>
                <w:lang w:eastAsia="en-AU"/>
              </w:rPr>
              <w:t>.</w:t>
            </w:r>
          </w:p>
          <w:p w14:paraId="651208EA" w14:textId="77777777" w:rsidR="0030298C" w:rsidRPr="0037430E" w:rsidRDefault="0030298C" w:rsidP="0075611C">
            <w:pPr>
              <w:numPr>
                <w:ilvl w:val="0"/>
                <w:numId w:val="23"/>
              </w:numPr>
              <w:spacing w:before="120" w:beforeAutospacing="0" w:after="120" w:afterAutospacing="0" w:line="264" w:lineRule="auto"/>
              <w:ind w:left="714" w:right="130" w:hanging="357"/>
              <w:jc w:val="both"/>
              <w:rPr>
                <w:lang w:eastAsia="en-AU"/>
              </w:rPr>
            </w:pPr>
            <w:r w:rsidRPr="0064122B">
              <w:rPr>
                <w:b/>
                <w:lang w:eastAsia="en-AU"/>
              </w:rPr>
              <w:t xml:space="preserve">Develop the capacity of </w:t>
            </w:r>
            <w:r w:rsidR="00045FFB">
              <w:rPr>
                <w:b/>
                <w:lang w:eastAsia="en-AU"/>
              </w:rPr>
              <w:t>DoID</w:t>
            </w:r>
            <w:r w:rsidRPr="0064122B">
              <w:rPr>
                <w:b/>
                <w:lang w:eastAsia="en-AU"/>
              </w:rPr>
              <w:t xml:space="preserve"> </w:t>
            </w:r>
            <w:r w:rsidRPr="0064122B">
              <w:rPr>
                <w:lang w:eastAsia="en-AU"/>
              </w:rPr>
              <w:t>to periodically update the NIAMF, NIIMS and associated documents to inform infrastructure project prioritization over time (such as through a long-term embedded PACTAM advisor</w:t>
            </w:r>
            <w:r w:rsidR="00120918">
              <w:rPr>
                <w:lang w:eastAsia="en-AU"/>
              </w:rPr>
              <w:t xml:space="preserve"> </w:t>
            </w:r>
            <w:r w:rsidR="00FD6CDF">
              <w:rPr>
                <w:lang w:eastAsia="en-AU"/>
              </w:rPr>
              <w:t xml:space="preserve">with budget available </w:t>
            </w:r>
            <w:r w:rsidR="00120918">
              <w:rPr>
                <w:lang w:eastAsia="en-AU"/>
              </w:rPr>
              <w:t>in 2019-20</w:t>
            </w:r>
            <w:r w:rsidRPr="0064122B">
              <w:rPr>
                <w:lang w:eastAsia="en-AU"/>
              </w:rPr>
              <w:t>)</w:t>
            </w:r>
            <w:r w:rsidR="0037430E">
              <w:rPr>
                <w:lang w:eastAsia="en-AU"/>
              </w:rPr>
              <w:t>.</w:t>
            </w:r>
          </w:p>
        </w:tc>
      </w:tr>
    </w:tbl>
    <w:p w14:paraId="407D85A9" w14:textId="77777777" w:rsidR="00F56205" w:rsidRPr="00A25E1F" w:rsidRDefault="00F56205" w:rsidP="00A25E1F">
      <w:pPr>
        <w:pStyle w:val="Caption"/>
        <w:spacing w:before="40" w:after="0"/>
        <w:rPr>
          <w:i/>
          <w:sz w:val="2"/>
        </w:rPr>
      </w:pPr>
      <w:bookmarkStart w:id="39" w:name="_Ref515575116"/>
      <w:bookmarkEnd w:id="38"/>
    </w:p>
    <w:tbl>
      <w:tblPr>
        <w:tblStyle w:val="TableGrid"/>
        <w:tblW w:w="0" w:type="auto"/>
        <w:tblLook w:val="04A0" w:firstRow="1" w:lastRow="0" w:firstColumn="1" w:lastColumn="0" w:noHBand="0" w:noVBand="1"/>
      </w:tblPr>
      <w:tblGrid>
        <w:gridCol w:w="9737"/>
      </w:tblGrid>
      <w:tr w:rsidR="00F56205" w14:paraId="2C074DF8" w14:textId="77777777" w:rsidTr="00E74A45">
        <w:tc>
          <w:tcPr>
            <w:tcW w:w="9737" w:type="dxa"/>
            <w:shd w:val="clear" w:color="auto" w:fill="FABF8F" w:themeFill="accent6" w:themeFillTint="99"/>
          </w:tcPr>
          <w:p w14:paraId="2A7D8295" w14:textId="77777777" w:rsidR="00F56205" w:rsidRPr="00492139" w:rsidRDefault="00F56205" w:rsidP="00E74A45">
            <w:pPr>
              <w:spacing w:before="120" w:beforeAutospacing="0" w:after="120" w:afterAutospacing="0"/>
              <w:ind w:right="131"/>
              <w:jc w:val="both"/>
              <w:rPr>
                <w:b/>
                <w:lang w:eastAsia="en-AU"/>
              </w:rPr>
            </w:pPr>
            <w:r>
              <w:rPr>
                <w:b/>
                <w:lang w:eastAsia="en-AU"/>
              </w:rPr>
              <w:t>Objective</w:t>
            </w:r>
            <w:r w:rsidRPr="00B53CE8">
              <w:rPr>
                <w:b/>
                <w:lang w:eastAsia="en-AU"/>
              </w:rPr>
              <w:t xml:space="preserve"> </w:t>
            </w:r>
            <w:r w:rsidR="00196618">
              <w:rPr>
                <w:b/>
                <w:lang w:eastAsia="en-AU"/>
              </w:rPr>
              <w:t>2</w:t>
            </w:r>
            <w:r w:rsidRPr="00B53CE8">
              <w:rPr>
                <w:b/>
                <w:lang w:eastAsia="en-AU"/>
              </w:rPr>
              <w:t xml:space="preserve"> – Retain the value for money proposition of existing investments.</w:t>
            </w:r>
          </w:p>
        </w:tc>
      </w:tr>
      <w:tr w:rsidR="00F56205" w14:paraId="3561D86F" w14:textId="77777777" w:rsidTr="00E74A45">
        <w:tc>
          <w:tcPr>
            <w:tcW w:w="9737" w:type="dxa"/>
          </w:tcPr>
          <w:p w14:paraId="2F46F3A5" w14:textId="77777777" w:rsidR="00C01643" w:rsidRPr="00C01643" w:rsidRDefault="00C01643" w:rsidP="0075611C">
            <w:pPr>
              <w:spacing w:before="40" w:beforeAutospacing="0" w:after="40" w:afterAutospacing="0" w:line="264" w:lineRule="auto"/>
              <w:ind w:right="130"/>
              <w:jc w:val="both"/>
              <w:rPr>
                <w:b/>
                <w:lang w:eastAsia="en-AU"/>
              </w:rPr>
            </w:pPr>
            <w:r w:rsidRPr="006F5A48">
              <w:rPr>
                <w:b/>
                <w:lang w:eastAsia="en-AU"/>
              </w:rPr>
              <w:t>SHORT TERM:</w:t>
            </w:r>
          </w:p>
          <w:p w14:paraId="4FFDBE88" w14:textId="77777777" w:rsidR="00C01643" w:rsidRPr="0075611C" w:rsidRDefault="00C01643" w:rsidP="0075611C">
            <w:pPr>
              <w:numPr>
                <w:ilvl w:val="0"/>
                <w:numId w:val="22"/>
              </w:numPr>
              <w:spacing w:before="120" w:beforeAutospacing="0" w:after="120" w:afterAutospacing="0" w:line="264" w:lineRule="auto"/>
              <w:ind w:left="714" w:right="130" w:hanging="357"/>
              <w:jc w:val="both"/>
              <w:rPr>
                <w:lang w:eastAsia="en-AU"/>
              </w:rPr>
            </w:pPr>
            <w:r w:rsidRPr="0030298C">
              <w:rPr>
                <w:b/>
                <w:lang w:eastAsia="en-AU"/>
              </w:rPr>
              <w:t>Continuation</w:t>
            </w:r>
            <w:r w:rsidRPr="001408A8">
              <w:rPr>
                <w:b/>
                <w:lang w:eastAsia="en-AU"/>
              </w:rPr>
              <w:t xml:space="preserve"> of the NUC CEO</w:t>
            </w:r>
            <w:r w:rsidRPr="001408A8">
              <w:rPr>
                <w:lang w:eastAsia="en-AU"/>
              </w:rPr>
              <w:t xml:space="preserve">. Significant gains have been made through the NUC in stabilising the </w:t>
            </w:r>
            <w:r w:rsidRPr="00061AA6">
              <w:rPr>
                <w:lang w:eastAsia="en-AU"/>
              </w:rPr>
              <w:t xml:space="preserve">electricity supply and improvements in water delivery, of which DFAT contributed not only the PACTAM Advisor (NUC CEO) but also contributed to the capital costs of two diesel generators and associated </w:t>
            </w:r>
            <w:r w:rsidRPr="0075611C">
              <w:rPr>
                <w:lang w:eastAsia="en-AU"/>
              </w:rPr>
              <w:t>infrastructure. The value of this investment is not yet secured, as gains will likely be lost if ongoing support to the NUC is not continued until a long-term sustainability strategy can be implemented. It is recommended that a sustainability strategy, with clear time frames articulated, would be a key deliverable for the NUC CEO.</w:t>
            </w:r>
          </w:p>
          <w:p w14:paraId="54834D15" w14:textId="77777777" w:rsidR="00E17C98" w:rsidRPr="00061AA6" w:rsidRDefault="00E17C98" w:rsidP="0075611C">
            <w:pPr>
              <w:numPr>
                <w:ilvl w:val="0"/>
                <w:numId w:val="22"/>
              </w:numPr>
              <w:spacing w:before="120" w:beforeAutospacing="0" w:after="120" w:afterAutospacing="0" w:line="264" w:lineRule="auto"/>
              <w:ind w:left="714" w:right="130" w:hanging="357"/>
              <w:jc w:val="both"/>
              <w:rPr>
                <w:lang w:eastAsia="en-AU"/>
              </w:rPr>
            </w:pPr>
            <w:r w:rsidRPr="0075611C">
              <w:rPr>
                <w:lang w:val="en-US"/>
              </w:rPr>
              <w:t xml:space="preserve">Consider innovative approaches to maintaining </w:t>
            </w:r>
            <w:r w:rsidRPr="0041031D">
              <w:rPr>
                <w:lang w:val="en-US"/>
              </w:rPr>
              <w:t xml:space="preserve">and cleaning privately owned </w:t>
            </w:r>
            <w:r w:rsidRPr="0041031D">
              <w:rPr>
                <w:b/>
                <w:lang w:val="en-US"/>
              </w:rPr>
              <w:t>water tanks</w:t>
            </w:r>
            <w:r w:rsidR="00426B5D" w:rsidRPr="009B3C45">
              <w:rPr>
                <w:lang w:val="en-US"/>
              </w:rPr>
              <w:t>. Potential options include</w:t>
            </w:r>
            <w:r w:rsidRPr="00A85141">
              <w:rPr>
                <w:lang w:val="en-US"/>
              </w:rPr>
              <w:t xml:space="preserve"> </w:t>
            </w:r>
            <w:r w:rsidRPr="00F606E1">
              <w:rPr>
                <w:lang w:val="en-US"/>
              </w:rPr>
              <w:t xml:space="preserve">perhaps similar to the approach taken to </w:t>
            </w:r>
            <w:r w:rsidRPr="005F59D6">
              <w:rPr>
                <w:lang w:val="en-US"/>
              </w:rPr>
              <w:t>electrica</w:t>
            </w:r>
            <w:r w:rsidRPr="00061AA6">
              <w:rPr>
                <w:lang w:val="en-US"/>
              </w:rPr>
              <w:t>l safety at the household level.</w:t>
            </w:r>
          </w:p>
          <w:p w14:paraId="4C310B20" w14:textId="77777777" w:rsidR="00C01643" w:rsidRPr="00061AA6" w:rsidRDefault="002A618D" w:rsidP="0075611C">
            <w:pPr>
              <w:spacing w:before="40" w:beforeAutospacing="0" w:after="40" w:afterAutospacing="0" w:line="264" w:lineRule="auto"/>
              <w:ind w:right="130"/>
              <w:jc w:val="both"/>
              <w:rPr>
                <w:b/>
                <w:lang w:eastAsia="en-AU"/>
              </w:rPr>
            </w:pPr>
            <w:r w:rsidRPr="00061AA6">
              <w:rPr>
                <w:b/>
                <w:lang w:eastAsia="en-AU"/>
              </w:rPr>
              <w:t xml:space="preserve">WITHIN </w:t>
            </w:r>
            <w:r w:rsidR="006F5A48" w:rsidRPr="00061AA6">
              <w:rPr>
                <w:b/>
                <w:lang w:eastAsia="en-AU"/>
              </w:rPr>
              <w:t>2</w:t>
            </w:r>
            <w:r w:rsidR="00F027CB" w:rsidRPr="00061AA6">
              <w:rPr>
                <w:b/>
                <w:lang w:eastAsia="en-AU"/>
              </w:rPr>
              <w:t>-3</w:t>
            </w:r>
            <w:r w:rsidR="006F5A48" w:rsidRPr="00061AA6">
              <w:rPr>
                <w:b/>
                <w:lang w:eastAsia="en-AU"/>
              </w:rPr>
              <w:t xml:space="preserve"> YEARS:</w:t>
            </w:r>
          </w:p>
          <w:p w14:paraId="1084A511" w14:textId="74FC1232" w:rsidR="004F32FC" w:rsidRPr="00FE1F44" w:rsidRDefault="00F56205" w:rsidP="00FE1F44">
            <w:pPr>
              <w:numPr>
                <w:ilvl w:val="0"/>
                <w:numId w:val="22"/>
              </w:numPr>
              <w:spacing w:before="120" w:beforeAutospacing="0" w:after="120" w:afterAutospacing="0" w:line="264" w:lineRule="auto"/>
              <w:ind w:left="714" w:right="130" w:hanging="357"/>
              <w:jc w:val="both"/>
              <w:rPr>
                <w:lang w:eastAsia="en-AU"/>
              </w:rPr>
            </w:pPr>
            <w:r w:rsidRPr="0075611C">
              <w:rPr>
                <w:b/>
                <w:lang w:eastAsia="en-AU"/>
              </w:rPr>
              <w:t>Asset Maintenance</w:t>
            </w:r>
            <w:r w:rsidRPr="001408A8">
              <w:rPr>
                <w:lang w:eastAsia="en-AU"/>
              </w:rPr>
              <w:t>. The cost of assets provided by Australia degrading and needing to be replaced prem</w:t>
            </w:r>
            <w:r w:rsidR="00321802">
              <w:rPr>
                <w:lang w:eastAsia="en-AU"/>
              </w:rPr>
              <w:t>aturely is a reputational risk</w:t>
            </w:r>
            <w:r w:rsidRPr="001408A8">
              <w:rPr>
                <w:lang w:eastAsia="en-AU"/>
              </w:rPr>
              <w:t xml:space="preserve">, contributes to an ongoing need </w:t>
            </w:r>
            <w:r w:rsidR="00655462">
              <w:rPr>
                <w:lang w:eastAsia="en-AU"/>
              </w:rPr>
              <w:t xml:space="preserve">from GoN </w:t>
            </w:r>
            <w:r w:rsidRPr="001408A8">
              <w:rPr>
                <w:lang w:eastAsia="en-AU"/>
              </w:rPr>
              <w:t>for external funding and reduces the value for money proposition of each investment.</w:t>
            </w:r>
            <w:r w:rsidR="00FE1F44">
              <w:rPr>
                <w:lang w:eastAsia="en-AU"/>
              </w:rPr>
              <w:t xml:space="preserve"> </w:t>
            </w:r>
            <w:r w:rsidR="00112B3E">
              <w:rPr>
                <w:lang w:eastAsia="en-AU"/>
              </w:rPr>
              <w:t>In addition,</w:t>
            </w:r>
            <w:r w:rsidR="00736C06">
              <w:rPr>
                <w:lang w:eastAsia="en-AU"/>
              </w:rPr>
              <w:t xml:space="preserve"> t</w:t>
            </w:r>
            <w:r w:rsidRPr="00FE1F44">
              <w:rPr>
                <w:lang w:eastAsia="en-AU"/>
              </w:rPr>
              <w:t xml:space="preserve">he RON hospital needs </w:t>
            </w:r>
            <w:r w:rsidR="00112B3E">
              <w:rPr>
                <w:lang w:eastAsia="en-AU"/>
              </w:rPr>
              <w:t xml:space="preserve">an </w:t>
            </w:r>
            <w:r w:rsidRPr="00FE1F44">
              <w:rPr>
                <w:lang w:eastAsia="en-AU"/>
              </w:rPr>
              <w:t>assessment</w:t>
            </w:r>
            <w:r w:rsidR="003A277B" w:rsidRPr="00FE1F44">
              <w:rPr>
                <w:lang w:eastAsia="en-AU"/>
              </w:rPr>
              <w:t xml:space="preserve"> </w:t>
            </w:r>
            <w:r w:rsidR="00112B3E">
              <w:rPr>
                <w:lang w:eastAsia="en-AU"/>
              </w:rPr>
              <w:t xml:space="preserve">to determine if </w:t>
            </w:r>
            <w:r w:rsidRPr="00FE1F44">
              <w:rPr>
                <w:lang w:eastAsia="en-AU"/>
              </w:rPr>
              <w:t xml:space="preserve">interventions </w:t>
            </w:r>
            <w:r w:rsidR="00112B3E">
              <w:rPr>
                <w:lang w:eastAsia="en-AU"/>
              </w:rPr>
              <w:t xml:space="preserve">are needed </w:t>
            </w:r>
            <w:r w:rsidRPr="00FE1F44">
              <w:rPr>
                <w:lang w:eastAsia="en-AU"/>
              </w:rPr>
              <w:t xml:space="preserve">to </w:t>
            </w:r>
            <w:r w:rsidR="00112B3E">
              <w:rPr>
                <w:lang w:eastAsia="en-AU"/>
              </w:rPr>
              <w:t xml:space="preserve">address current limitations </w:t>
            </w:r>
            <w:r w:rsidRPr="00FE1F44">
              <w:rPr>
                <w:lang w:eastAsia="en-AU"/>
              </w:rPr>
              <w:t>and extend the life of the modular structure situated close to corrosive marine environment.</w:t>
            </w:r>
            <w:r w:rsidR="00542616" w:rsidRPr="00FE1F44">
              <w:rPr>
                <w:lang w:eastAsia="en-AU"/>
              </w:rPr>
              <w:t xml:space="preserve"> Support for short term </w:t>
            </w:r>
            <w:r w:rsidR="00112B3E">
              <w:rPr>
                <w:lang w:eastAsia="en-AU"/>
              </w:rPr>
              <w:t xml:space="preserve">hospital </w:t>
            </w:r>
            <w:r w:rsidR="00542616" w:rsidRPr="00FE1F44">
              <w:rPr>
                <w:lang w:eastAsia="en-AU"/>
              </w:rPr>
              <w:t xml:space="preserve">maintenance </w:t>
            </w:r>
            <w:r w:rsidR="0007672B" w:rsidRPr="00FE1F44">
              <w:rPr>
                <w:lang w:eastAsia="en-AU"/>
              </w:rPr>
              <w:t xml:space="preserve">may be </w:t>
            </w:r>
            <w:r w:rsidR="00542616" w:rsidRPr="00FE1F44">
              <w:rPr>
                <w:lang w:eastAsia="en-AU"/>
              </w:rPr>
              <w:t xml:space="preserve">necessary in the interim. </w:t>
            </w:r>
          </w:p>
          <w:p w14:paraId="4BBD39DE" w14:textId="77777777" w:rsidR="002F299A" w:rsidRPr="00CE7329" w:rsidRDefault="00F56205" w:rsidP="0075611C">
            <w:pPr>
              <w:numPr>
                <w:ilvl w:val="0"/>
                <w:numId w:val="22"/>
              </w:numPr>
              <w:spacing w:before="120" w:beforeAutospacing="0" w:after="120" w:afterAutospacing="0" w:line="264" w:lineRule="auto"/>
              <w:ind w:left="714" w:right="130" w:hanging="357"/>
              <w:jc w:val="both"/>
              <w:rPr>
                <w:lang w:eastAsia="en-AU"/>
              </w:rPr>
            </w:pPr>
            <w:r w:rsidRPr="004F32FC">
              <w:rPr>
                <w:b/>
                <w:lang w:eastAsia="en-AU"/>
              </w:rPr>
              <w:t>DFAT’s Strengths and Capacity</w:t>
            </w:r>
            <w:r w:rsidRPr="004F32FC">
              <w:rPr>
                <w:lang w:eastAsia="en-AU"/>
              </w:rPr>
              <w:t xml:space="preserve">. DFAT is better placed to support on larger projects, instead of a number of smaller projects, to utilise government systems whilst best delivering project outcomes. Additional resourcing within DFAT to manage the infrastructure portfolio may also needed to ensure suitable oversight can be provided to existing commitments (in particular the new port), as well as to support </w:t>
            </w:r>
            <w:r w:rsidR="00257631" w:rsidRPr="004F32FC">
              <w:rPr>
                <w:lang w:eastAsia="en-AU"/>
              </w:rPr>
              <w:t xml:space="preserve">follow through on these </w:t>
            </w:r>
            <w:r w:rsidRPr="004F32FC">
              <w:rPr>
                <w:lang w:eastAsia="en-AU"/>
              </w:rPr>
              <w:t>recommendations.</w:t>
            </w:r>
          </w:p>
        </w:tc>
      </w:tr>
    </w:tbl>
    <w:p w14:paraId="05B8EB8D" w14:textId="77777777" w:rsidR="00A92D66" w:rsidRPr="003A1ECA" w:rsidRDefault="0098036F" w:rsidP="003A1ECA">
      <w:pPr>
        <w:pStyle w:val="Caption"/>
        <w:spacing w:before="40"/>
        <w:jc w:val="center"/>
        <w:rPr>
          <w:i/>
          <w:lang w:eastAsia="en-AU"/>
        </w:rPr>
      </w:pPr>
      <w:bookmarkStart w:id="40" w:name="_Toc518640262"/>
      <w:r w:rsidRPr="0098036F">
        <w:rPr>
          <w:i/>
        </w:rPr>
        <w:t xml:space="preserve">Figure </w:t>
      </w:r>
      <w:r w:rsidRPr="0098036F">
        <w:rPr>
          <w:i/>
        </w:rPr>
        <w:fldChar w:fldCharType="begin"/>
      </w:r>
      <w:r w:rsidRPr="0098036F">
        <w:rPr>
          <w:i/>
        </w:rPr>
        <w:instrText xml:space="preserve"> SEQ Figure \* ARABIC </w:instrText>
      </w:r>
      <w:r w:rsidRPr="0098036F">
        <w:rPr>
          <w:i/>
        </w:rPr>
        <w:fldChar w:fldCharType="separate"/>
      </w:r>
      <w:r w:rsidR="00404CD4">
        <w:rPr>
          <w:i/>
          <w:noProof/>
        </w:rPr>
        <w:t>3</w:t>
      </w:r>
      <w:r w:rsidRPr="0098036F">
        <w:rPr>
          <w:i/>
        </w:rPr>
        <w:fldChar w:fldCharType="end"/>
      </w:r>
      <w:bookmarkEnd w:id="39"/>
      <w:r w:rsidRPr="0098036F">
        <w:rPr>
          <w:i/>
        </w:rPr>
        <w:t xml:space="preserve"> </w:t>
      </w:r>
      <w:r w:rsidR="00D61960">
        <w:rPr>
          <w:i/>
        </w:rPr>
        <w:t>–</w:t>
      </w:r>
      <w:r w:rsidRPr="0098036F">
        <w:rPr>
          <w:i/>
        </w:rPr>
        <w:t xml:space="preserve"> </w:t>
      </w:r>
      <w:r w:rsidR="00D61960">
        <w:rPr>
          <w:i/>
        </w:rPr>
        <w:t xml:space="preserve">List of </w:t>
      </w:r>
      <w:r w:rsidRPr="0098036F">
        <w:rPr>
          <w:i/>
        </w:rPr>
        <w:t>Recommendations</w:t>
      </w:r>
      <w:bookmarkEnd w:id="40"/>
    </w:p>
    <w:p w14:paraId="22312FCE" w14:textId="77777777" w:rsidR="00A92D66" w:rsidRDefault="00A92D66" w:rsidP="00A92D66">
      <w:pPr>
        <w:pStyle w:val="Heading1"/>
        <w:numPr>
          <w:ilvl w:val="0"/>
          <w:numId w:val="0"/>
        </w:numPr>
        <w:ind w:left="431" w:hanging="431"/>
      </w:pPr>
      <w:bookmarkStart w:id="41" w:name="_Toc518640223"/>
      <w:r>
        <w:lastRenderedPageBreak/>
        <w:t>Annex A – Key Review Questions</w:t>
      </w:r>
      <w:bookmarkEnd w:id="41"/>
    </w:p>
    <w:tbl>
      <w:tblPr>
        <w:tblStyle w:val="Rebranded"/>
        <w:tblW w:w="10092" w:type="dxa"/>
        <w:tblLook w:val="04A0" w:firstRow="1" w:lastRow="0" w:firstColumn="1" w:lastColumn="0" w:noHBand="0" w:noVBand="1"/>
      </w:tblPr>
      <w:tblGrid>
        <w:gridCol w:w="2630"/>
        <w:gridCol w:w="7462"/>
      </w:tblGrid>
      <w:tr w:rsidR="00A92D66" w:rsidRPr="00D56429" w14:paraId="468FCB8D" w14:textId="77777777" w:rsidTr="00E74A45">
        <w:trPr>
          <w:cnfStyle w:val="100000000000" w:firstRow="1" w:lastRow="0" w:firstColumn="0" w:lastColumn="0" w:oddVBand="0" w:evenVBand="0" w:oddHBand="0" w:evenHBand="0" w:firstRowFirstColumn="0" w:firstRowLastColumn="0" w:lastRowFirstColumn="0" w:lastRowLastColumn="0"/>
          <w:trHeight w:val="506"/>
        </w:trPr>
        <w:tc>
          <w:tcPr>
            <w:tcW w:w="2630" w:type="dxa"/>
          </w:tcPr>
          <w:p w14:paraId="5403B26C" w14:textId="77777777" w:rsidR="00A92D66" w:rsidRPr="00D56429" w:rsidRDefault="00A92D66" w:rsidP="00E74A45">
            <w:pPr>
              <w:pStyle w:val="Tablelightheading"/>
              <w:spacing w:before="100" w:after="100"/>
              <w:jc w:val="both"/>
            </w:pPr>
            <w:r>
              <w:t>Criteria</w:t>
            </w:r>
          </w:p>
        </w:tc>
        <w:tc>
          <w:tcPr>
            <w:tcW w:w="7462" w:type="dxa"/>
          </w:tcPr>
          <w:p w14:paraId="2CE0C91B" w14:textId="77777777" w:rsidR="00A92D66" w:rsidRPr="00D56429" w:rsidRDefault="00A92D66" w:rsidP="00E74A45">
            <w:pPr>
              <w:pStyle w:val="Tablelightheading"/>
              <w:jc w:val="both"/>
            </w:pPr>
            <w:r>
              <w:t>Key Review Questions</w:t>
            </w:r>
          </w:p>
        </w:tc>
      </w:tr>
      <w:tr w:rsidR="00A92D66" w:rsidRPr="002704D0" w14:paraId="2822525C" w14:textId="77777777" w:rsidTr="00E74A45">
        <w:trPr>
          <w:trHeight w:val="322"/>
        </w:trPr>
        <w:tc>
          <w:tcPr>
            <w:tcW w:w="2630" w:type="dxa"/>
          </w:tcPr>
          <w:p w14:paraId="1580C9A6" w14:textId="77777777" w:rsidR="00A92D66" w:rsidRPr="00325BD2" w:rsidRDefault="00A92D66" w:rsidP="00E74A45">
            <w:pPr>
              <w:pStyle w:val="tabletext0"/>
              <w:jc w:val="both"/>
              <w:rPr>
                <w:b/>
              </w:rPr>
            </w:pPr>
            <w:r w:rsidRPr="00325BD2">
              <w:rPr>
                <w:b/>
              </w:rPr>
              <w:t>Relevance</w:t>
            </w:r>
          </w:p>
        </w:tc>
        <w:tc>
          <w:tcPr>
            <w:tcW w:w="7462" w:type="dxa"/>
          </w:tcPr>
          <w:p w14:paraId="08C4AE97" w14:textId="77777777" w:rsidR="00A92D66" w:rsidRPr="005126F5" w:rsidRDefault="00A92D66" w:rsidP="00E74A45">
            <w:pPr>
              <w:pStyle w:val="ListParagraph"/>
              <w:numPr>
                <w:ilvl w:val="1"/>
                <w:numId w:val="3"/>
              </w:numPr>
              <w:spacing w:before="80" w:beforeAutospacing="0" w:after="80" w:afterAutospacing="0" w:line="200" w:lineRule="exact"/>
              <w:ind w:left="374" w:hanging="357"/>
              <w:jc w:val="both"/>
              <w:rPr>
                <w:rFonts w:cs="Arial"/>
                <w:bCs/>
              </w:rPr>
            </w:pPr>
            <w:r w:rsidRPr="005126F5">
              <w:rPr>
                <w:rFonts w:cs="Arial"/>
                <w:bCs/>
              </w:rPr>
              <w:t>Given the objectives of DFAT and the GoN in the infrastructure and essential services sector, to what extent are existing initiatives relevant?</w:t>
            </w:r>
          </w:p>
          <w:p w14:paraId="7C6A7CB1" w14:textId="77777777" w:rsidR="00A92D66" w:rsidRDefault="00A92D66" w:rsidP="00F5286F">
            <w:pPr>
              <w:pStyle w:val="Tablebullet"/>
              <w:numPr>
                <w:ilvl w:val="0"/>
                <w:numId w:val="45"/>
              </w:numPr>
              <w:spacing w:beforeAutospacing="0" w:afterAutospacing="0"/>
              <w:ind w:left="662" w:hanging="283"/>
            </w:pPr>
            <w:r>
              <w:t xml:space="preserve">To what extent does Australia’s contribution support GoN’s objectives in infrastructure and essential services? </w:t>
            </w:r>
          </w:p>
          <w:p w14:paraId="1C3E8817" w14:textId="77777777" w:rsidR="00A92D66" w:rsidRDefault="00A92D66" w:rsidP="00F5286F">
            <w:pPr>
              <w:pStyle w:val="Tablebullet"/>
              <w:numPr>
                <w:ilvl w:val="0"/>
                <w:numId w:val="45"/>
              </w:numPr>
              <w:spacing w:beforeAutospacing="0" w:afterAutospacing="0"/>
              <w:ind w:left="662" w:hanging="283"/>
            </w:pPr>
            <w:r>
              <w:t>How i</w:t>
            </w:r>
            <w:r w:rsidRPr="00665834">
              <w:t xml:space="preserve">s investing in </w:t>
            </w:r>
            <w:r>
              <w:t>infrastructure and essential services</w:t>
            </w:r>
            <w:r w:rsidRPr="00665834">
              <w:t xml:space="preserve"> in </w:t>
            </w:r>
            <w:r>
              <w:t xml:space="preserve">Nauru in </w:t>
            </w:r>
            <w:r w:rsidRPr="00665834">
              <w:t>Australia’s national interest?</w:t>
            </w:r>
            <w:r>
              <w:t xml:space="preserve"> </w:t>
            </w:r>
          </w:p>
          <w:p w14:paraId="25F7A283" w14:textId="77777777" w:rsidR="00A92D66" w:rsidRPr="002704D0" w:rsidRDefault="00A92D66" w:rsidP="00E74A45">
            <w:pPr>
              <w:pStyle w:val="ListParagraph"/>
              <w:numPr>
                <w:ilvl w:val="1"/>
                <w:numId w:val="3"/>
              </w:numPr>
              <w:spacing w:before="80" w:beforeAutospacing="0" w:after="80" w:afterAutospacing="0" w:line="200" w:lineRule="exact"/>
              <w:ind w:left="379" w:hanging="357"/>
              <w:jc w:val="both"/>
            </w:pPr>
            <w:r w:rsidRPr="005126F5">
              <w:rPr>
                <w:rFonts w:cs="Arial"/>
                <w:bCs/>
              </w:rPr>
              <w:t>What</w:t>
            </w:r>
            <w:r>
              <w:t xml:space="preserve"> areas of infrastructure/services would be most strategic for DFAT to support and why?</w:t>
            </w:r>
          </w:p>
        </w:tc>
      </w:tr>
      <w:tr w:rsidR="00A92D66" w:rsidRPr="004F0455" w14:paraId="2247FCA0" w14:textId="77777777" w:rsidTr="00E74A45">
        <w:trPr>
          <w:trHeight w:val="322"/>
        </w:trPr>
        <w:tc>
          <w:tcPr>
            <w:tcW w:w="2630" w:type="dxa"/>
          </w:tcPr>
          <w:p w14:paraId="47BE53EF" w14:textId="77777777" w:rsidR="00A92D66" w:rsidRPr="00325BD2" w:rsidRDefault="00A92D66" w:rsidP="00E74A45">
            <w:pPr>
              <w:pStyle w:val="tabletext0"/>
              <w:jc w:val="both"/>
              <w:rPr>
                <w:b/>
              </w:rPr>
            </w:pPr>
            <w:r w:rsidRPr="00325BD2">
              <w:rPr>
                <w:b/>
              </w:rPr>
              <w:t>Effectiveness</w:t>
            </w:r>
          </w:p>
        </w:tc>
        <w:tc>
          <w:tcPr>
            <w:tcW w:w="7462" w:type="dxa"/>
          </w:tcPr>
          <w:p w14:paraId="6BA6E0B9" w14:textId="77777777" w:rsidR="00A92D66" w:rsidRPr="006251B5" w:rsidRDefault="00A92D66" w:rsidP="00E74A45">
            <w:pPr>
              <w:pStyle w:val="ListParagraph"/>
              <w:numPr>
                <w:ilvl w:val="1"/>
                <w:numId w:val="3"/>
              </w:numPr>
              <w:spacing w:before="80" w:beforeAutospacing="0" w:after="80" w:afterAutospacing="0" w:line="200" w:lineRule="exact"/>
              <w:ind w:left="374" w:hanging="357"/>
              <w:jc w:val="both"/>
              <w:rPr>
                <w:rFonts w:cs="Arial"/>
                <w:bCs/>
              </w:rPr>
            </w:pPr>
            <w:r w:rsidRPr="00C2359F">
              <w:rPr>
                <w:rFonts w:cs="Arial"/>
                <w:bCs/>
              </w:rPr>
              <w:t>To what extent has DFAT’s support been effective at providing essential infrastructure and reform of the utilities sector?</w:t>
            </w:r>
          </w:p>
          <w:p w14:paraId="7C07FE6F" w14:textId="77777777" w:rsidR="00A92D66" w:rsidRPr="006B4684" w:rsidRDefault="00A92D66" w:rsidP="00E74A45">
            <w:pPr>
              <w:pStyle w:val="Tablebullet"/>
              <w:numPr>
                <w:ilvl w:val="0"/>
                <w:numId w:val="30"/>
              </w:numPr>
              <w:spacing w:beforeAutospacing="0" w:afterAutospacing="0"/>
              <w:ind w:left="662" w:hanging="283"/>
            </w:pPr>
            <w:r w:rsidRPr="006B4684">
              <w:t xml:space="preserve">To what extent have DFAT’s investments delivered physical infrastructure that is </w:t>
            </w:r>
            <w:r>
              <w:t>fit for purpose over time in a changing climate</w:t>
            </w:r>
            <w:r w:rsidRPr="006B4684">
              <w:t xml:space="preserve">? </w:t>
            </w:r>
          </w:p>
          <w:p w14:paraId="59B8D173" w14:textId="77777777" w:rsidR="00A92D66" w:rsidRPr="004F0455" w:rsidRDefault="00A92D66" w:rsidP="00E74A45">
            <w:pPr>
              <w:pStyle w:val="Tablebullet"/>
              <w:numPr>
                <w:ilvl w:val="0"/>
                <w:numId w:val="30"/>
              </w:numPr>
              <w:spacing w:beforeAutospacing="0" w:afterAutospacing="0"/>
              <w:ind w:left="662" w:hanging="283"/>
            </w:pPr>
            <w:r w:rsidRPr="006B4684">
              <w:t>To what extent have DFAT’s investments ensured that infrastructure assets</w:t>
            </w:r>
            <w:r>
              <w:t xml:space="preserve"> and utilities</w:t>
            </w:r>
            <w:r w:rsidRPr="006B4684">
              <w:t xml:space="preserve"> </w:t>
            </w:r>
            <w:r>
              <w:t xml:space="preserve">are </w:t>
            </w:r>
            <w:r w:rsidRPr="006B4684">
              <w:t>sustainably operated</w:t>
            </w:r>
            <w:r>
              <w:t>, managed</w:t>
            </w:r>
            <w:r w:rsidRPr="006B4684">
              <w:t xml:space="preserve"> and maintained? </w:t>
            </w:r>
          </w:p>
        </w:tc>
      </w:tr>
      <w:tr w:rsidR="00A92D66" w:rsidRPr="0092122D" w14:paraId="54959D78" w14:textId="77777777" w:rsidTr="00E74A45">
        <w:trPr>
          <w:trHeight w:val="298"/>
        </w:trPr>
        <w:tc>
          <w:tcPr>
            <w:tcW w:w="2630" w:type="dxa"/>
          </w:tcPr>
          <w:p w14:paraId="3EB3436B" w14:textId="77777777" w:rsidR="00A92D66" w:rsidRPr="00325BD2" w:rsidRDefault="00A92D66" w:rsidP="00E74A45">
            <w:pPr>
              <w:spacing w:before="0" w:after="0" w:line="200" w:lineRule="exact"/>
              <w:jc w:val="both"/>
              <w:rPr>
                <w:b/>
              </w:rPr>
            </w:pPr>
            <w:r w:rsidRPr="00325BD2">
              <w:rPr>
                <w:b/>
              </w:rPr>
              <w:t>Efficiency</w:t>
            </w:r>
          </w:p>
        </w:tc>
        <w:tc>
          <w:tcPr>
            <w:tcW w:w="7462" w:type="dxa"/>
          </w:tcPr>
          <w:p w14:paraId="7E2E29AC" w14:textId="77777777" w:rsidR="00A92D66" w:rsidRDefault="00A92D66" w:rsidP="00E74A45">
            <w:pPr>
              <w:pStyle w:val="ListParagraph"/>
              <w:numPr>
                <w:ilvl w:val="1"/>
                <w:numId w:val="3"/>
              </w:numPr>
              <w:spacing w:before="80" w:beforeAutospacing="0" w:after="80" w:afterAutospacing="0" w:line="200" w:lineRule="exact"/>
              <w:ind w:left="374" w:hanging="357"/>
              <w:jc w:val="both"/>
            </w:pPr>
            <w:r>
              <w:t xml:space="preserve">To </w:t>
            </w:r>
            <w:r w:rsidRPr="005126F5">
              <w:rPr>
                <w:rFonts w:cs="Arial"/>
                <w:bCs/>
              </w:rPr>
              <w:t>what</w:t>
            </w:r>
            <w:r>
              <w:t xml:space="preserve"> extent has the investment efficiently used Australia’s contributions in terms of time and resources to achieve the desired outcomes? </w:t>
            </w:r>
          </w:p>
          <w:p w14:paraId="4C01A877" w14:textId="77777777" w:rsidR="00A92D66" w:rsidRDefault="00A92D66" w:rsidP="00F5286F">
            <w:pPr>
              <w:pStyle w:val="Tablebullet"/>
              <w:numPr>
                <w:ilvl w:val="0"/>
                <w:numId w:val="47"/>
              </w:numPr>
              <w:spacing w:beforeAutospacing="0" w:afterAutospacing="0"/>
              <w:ind w:left="662" w:hanging="283"/>
            </w:pPr>
            <w:r w:rsidRPr="00C60369">
              <w:t xml:space="preserve">To what extent has DFAT </w:t>
            </w:r>
            <w:r>
              <w:t xml:space="preserve">selected </w:t>
            </w:r>
            <w:r w:rsidRPr="00C60369">
              <w:t xml:space="preserve">infrastructure projects </w:t>
            </w:r>
            <w:r>
              <w:t xml:space="preserve">that efficiently deliver the agreed outcomes, after </w:t>
            </w:r>
            <w:r w:rsidRPr="00C60369">
              <w:t>consider</w:t>
            </w:r>
            <w:r>
              <w:t>ing</w:t>
            </w:r>
            <w:r w:rsidRPr="00C60369">
              <w:t xml:space="preserve"> suitable alternatives? </w:t>
            </w:r>
          </w:p>
          <w:p w14:paraId="76A8B62B" w14:textId="77777777" w:rsidR="00A92D66" w:rsidRDefault="00A92D66" w:rsidP="00F5286F">
            <w:pPr>
              <w:pStyle w:val="Tablebullet"/>
              <w:numPr>
                <w:ilvl w:val="0"/>
                <w:numId w:val="47"/>
              </w:numPr>
              <w:spacing w:beforeAutospacing="0" w:afterAutospacing="0"/>
              <w:ind w:left="662" w:hanging="283"/>
            </w:pPr>
            <w:r>
              <w:t xml:space="preserve">To what extent were DFAT’s investments managed to ensure delivery on time and within budget, considering mixed modality of delivery? </w:t>
            </w:r>
          </w:p>
          <w:p w14:paraId="416180C3" w14:textId="77777777" w:rsidR="00A92D66" w:rsidRPr="0092122D" w:rsidRDefault="00A92D66" w:rsidP="00F5286F">
            <w:pPr>
              <w:pStyle w:val="Tablebullet"/>
              <w:numPr>
                <w:ilvl w:val="0"/>
                <w:numId w:val="47"/>
              </w:numPr>
              <w:spacing w:beforeAutospacing="0" w:after="120" w:afterAutospacing="0"/>
              <w:ind w:left="664" w:hanging="284"/>
            </w:pPr>
            <w:r>
              <w:t xml:space="preserve">How have DFAT’s infrastructure investments harmonised with other donors, regional organizations and aligned with partner government systems? </w:t>
            </w:r>
          </w:p>
        </w:tc>
      </w:tr>
      <w:tr w:rsidR="00A92D66" w:rsidRPr="002704D0" w14:paraId="1D562A9F" w14:textId="77777777" w:rsidTr="00E74A45">
        <w:trPr>
          <w:trHeight w:val="298"/>
        </w:trPr>
        <w:tc>
          <w:tcPr>
            <w:tcW w:w="2630" w:type="dxa"/>
          </w:tcPr>
          <w:p w14:paraId="0AC6DC43" w14:textId="77777777" w:rsidR="00A92D66" w:rsidRPr="00325BD2" w:rsidRDefault="00A92D66" w:rsidP="00E74A45">
            <w:pPr>
              <w:spacing w:before="0" w:after="0" w:line="200" w:lineRule="exact"/>
              <w:rPr>
                <w:b/>
              </w:rPr>
            </w:pPr>
            <w:r w:rsidRPr="00325BD2">
              <w:rPr>
                <w:b/>
              </w:rPr>
              <w:t>Monitoring and Evaluation</w:t>
            </w:r>
          </w:p>
        </w:tc>
        <w:tc>
          <w:tcPr>
            <w:tcW w:w="7462" w:type="dxa"/>
          </w:tcPr>
          <w:p w14:paraId="09FCBDC0" w14:textId="77777777" w:rsidR="00A92D66" w:rsidRDefault="00A92D66" w:rsidP="00E74A45">
            <w:pPr>
              <w:pStyle w:val="ListParagraph"/>
              <w:numPr>
                <w:ilvl w:val="1"/>
                <w:numId w:val="3"/>
              </w:numPr>
              <w:spacing w:before="80" w:beforeAutospacing="0" w:after="80" w:afterAutospacing="0" w:line="200" w:lineRule="exact"/>
              <w:ind w:left="374" w:hanging="357"/>
              <w:jc w:val="both"/>
            </w:pPr>
            <w:r w:rsidRPr="005126F5">
              <w:rPr>
                <w:rFonts w:cs="Arial"/>
                <w:bCs/>
              </w:rPr>
              <w:t>What</w:t>
            </w:r>
            <w:r>
              <w:t xml:space="preserve"> would the preferred structure of the program, performance expectations and monitoring and evaluation look like? </w:t>
            </w:r>
          </w:p>
          <w:p w14:paraId="40082632" w14:textId="77777777" w:rsidR="00A92D66" w:rsidRDefault="00A92D66" w:rsidP="00F5286F">
            <w:pPr>
              <w:pStyle w:val="Tablebullet"/>
              <w:numPr>
                <w:ilvl w:val="0"/>
                <w:numId w:val="49"/>
              </w:numPr>
              <w:spacing w:beforeAutospacing="0" w:afterAutospacing="0"/>
              <w:ind w:left="662" w:hanging="283"/>
            </w:pPr>
            <w:r>
              <w:t xml:space="preserve">To what extent are the current reporting and M&amp;E arrangements suitable considering DFAT standards, particularly for the indoor sports complex, and Nauru port reform and redevelopment? </w:t>
            </w:r>
          </w:p>
          <w:p w14:paraId="13AE35E4" w14:textId="77777777" w:rsidR="00A92D66" w:rsidRPr="002704D0" w:rsidRDefault="00A92D66" w:rsidP="00F5286F">
            <w:pPr>
              <w:pStyle w:val="Tablebullet"/>
              <w:numPr>
                <w:ilvl w:val="0"/>
                <w:numId w:val="49"/>
              </w:numPr>
              <w:spacing w:beforeAutospacing="0" w:afterAutospacing="0"/>
              <w:ind w:left="662" w:hanging="283"/>
            </w:pPr>
            <w:r w:rsidRPr="00C01D86">
              <w:t>What would the recommended</w:t>
            </w:r>
            <w:r>
              <w:t xml:space="preserve"> Theory of Change and M&amp;E Framework include </w:t>
            </w:r>
            <w:r w:rsidRPr="00C01D86">
              <w:t xml:space="preserve">for </w:t>
            </w:r>
            <w:r>
              <w:t xml:space="preserve">ongoing and </w:t>
            </w:r>
            <w:r w:rsidRPr="00C01D86">
              <w:t xml:space="preserve">future DFAT </w:t>
            </w:r>
            <w:r>
              <w:t>infrastructure investments?</w:t>
            </w:r>
          </w:p>
        </w:tc>
      </w:tr>
      <w:tr w:rsidR="00A92D66" w:rsidRPr="009F08EB" w14:paraId="076ECE31" w14:textId="77777777" w:rsidTr="00E74A45">
        <w:trPr>
          <w:trHeight w:val="298"/>
        </w:trPr>
        <w:tc>
          <w:tcPr>
            <w:tcW w:w="2630" w:type="dxa"/>
          </w:tcPr>
          <w:p w14:paraId="0DADD17C" w14:textId="77777777" w:rsidR="00A92D66" w:rsidRPr="00325BD2" w:rsidRDefault="00A92D66" w:rsidP="00E74A45">
            <w:pPr>
              <w:spacing w:before="0" w:after="0" w:line="200" w:lineRule="exact"/>
              <w:rPr>
                <w:b/>
              </w:rPr>
            </w:pPr>
            <w:r>
              <w:rPr>
                <w:b/>
              </w:rPr>
              <w:t>Cross Cutting Issues</w:t>
            </w:r>
          </w:p>
        </w:tc>
        <w:tc>
          <w:tcPr>
            <w:tcW w:w="7462" w:type="dxa"/>
          </w:tcPr>
          <w:p w14:paraId="604A2C9B" w14:textId="77777777" w:rsidR="00A92D66" w:rsidRDefault="00A92D66" w:rsidP="00E74A45">
            <w:pPr>
              <w:pStyle w:val="ListParagraph"/>
              <w:numPr>
                <w:ilvl w:val="1"/>
                <w:numId w:val="3"/>
              </w:numPr>
              <w:spacing w:before="80" w:beforeAutospacing="0" w:after="80" w:afterAutospacing="0" w:line="200" w:lineRule="exact"/>
              <w:ind w:left="374" w:hanging="357"/>
              <w:jc w:val="both"/>
            </w:pPr>
            <w:r w:rsidRPr="006B4684">
              <w:t xml:space="preserve">To </w:t>
            </w:r>
            <w:r w:rsidRPr="00ED075B">
              <w:t>what</w:t>
            </w:r>
            <w:r w:rsidRPr="006B4684">
              <w:t xml:space="preserve"> extent have DFAT’s investments in infrastructure </w:t>
            </w:r>
            <w:r>
              <w:t>managed</w:t>
            </w:r>
            <w:r w:rsidRPr="006B4684">
              <w:t xml:space="preserve"> environmental and social impacts</w:t>
            </w:r>
            <w:r>
              <w:t xml:space="preserve"> and identified opportunities for improvements in </w:t>
            </w:r>
            <w:r w:rsidRPr="006B4684">
              <w:t>gender equality, disability inclusive development</w:t>
            </w:r>
            <w:r>
              <w:t xml:space="preserve"> and </w:t>
            </w:r>
            <w:r w:rsidRPr="006B4684">
              <w:t xml:space="preserve">climate change mitigation? </w:t>
            </w:r>
          </w:p>
          <w:p w14:paraId="189E16BE" w14:textId="77777777" w:rsidR="00A92D66" w:rsidRPr="009F08EB" w:rsidRDefault="00A92D66" w:rsidP="00F5286F">
            <w:pPr>
              <w:pStyle w:val="Tablebullet"/>
              <w:numPr>
                <w:ilvl w:val="0"/>
                <w:numId w:val="50"/>
              </w:numPr>
              <w:ind w:left="662" w:hanging="283"/>
            </w:pPr>
            <w:r>
              <w:t>To what extent h</w:t>
            </w:r>
            <w:r w:rsidRPr="009F08EB">
              <w:t xml:space="preserve">ave </w:t>
            </w:r>
            <w:r>
              <w:t>opportunities</w:t>
            </w:r>
            <w:r w:rsidRPr="009F08EB">
              <w:t xml:space="preserve"> to </w:t>
            </w:r>
            <w:r>
              <w:t xml:space="preserve">improve </w:t>
            </w:r>
            <w:r w:rsidRPr="009F08EB">
              <w:t>gender equality been identified and appropriately managed with gender sensitive approaches integrated into design?</w:t>
            </w:r>
          </w:p>
          <w:p w14:paraId="03DB481A" w14:textId="77777777" w:rsidR="00A92D66" w:rsidRDefault="00A92D66" w:rsidP="00F5286F">
            <w:pPr>
              <w:pStyle w:val="Tablebullet"/>
              <w:numPr>
                <w:ilvl w:val="0"/>
                <w:numId w:val="50"/>
              </w:numPr>
              <w:spacing w:before="100" w:after="100"/>
              <w:ind w:left="662" w:hanging="283"/>
            </w:pPr>
            <w:r>
              <w:t>To what extent are opportunities to improve life for people living with disabilities been identified and appropriately managed as part of designs?</w:t>
            </w:r>
          </w:p>
          <w:p w14:paraId="0E69AF17" w14:textId="77777777" w:rsidR="00A92D66" w:rsidRPr="009F08EB" w:rsidRDefault="00A92D66" w:rsidP="00F5286F">
            <w:pPr>
              <w:pStyle w:val="Tablebullet"/>
              <w:numPr>
                <w:ilvl w:val="0"/>
                <w:numId w:val="50"/>
              </w:numPr>
              <w:ind w:left="662" w:hanging="283"/>
            </w:pPr>
            <w:r>
              <w:t>To what extent have investments in infrastructure identified opportunities to contribute to climate change mitigation?</w:t>
            </w:r>
          </w:p>
        </w:tc>
      </w:tr>
    </w:tbl>
    <w:p w14:paraId="40E8D031" w14:textId="77777777" w:rsidR="00A92D66" w:rsidRPr="00CC576A" w:rsidRDefault="00A92D66" w:rsidP="00A92D66">
      <w:pPr>
        <w:rPr>
          <w:lang w:eastAsia="en-AU"/>
        </w:rPr>
      </w:pPr>
    </w:p>
    <w:p w14:paraId="3E87CFF4" w14:textId="77777777" w:rsidR="00E2018F" w:rsidRDefault="00E2018F" w:rsidP="00E2018F">
      <w:pPr>
        <w:pStyle w:val="Heading1"/>
        <w:numPr>
          <w:ilvl w:val="0"/>
          <w:numId w:val="0"/>
        </w:numPr>
        <w:ind w:left="431" w:hanging="431"/>
        <w:sectPr w:rsidR="00E2018F" w:rsidSect="00FC6C97">
          <w:pgSz w:w="11907" w:h="16839" w:code="9"/>
          <w:pgMar w:top="1276" w:right="1080" w:bottom="851" w:left="1080" w:header="720" w:footer="510" w:gutter="0"/>
          <w:pgNumType w:start="1"/>
          <w:cols w:space="720"/>
          <w:docGrid w:linePitch="299"/>
        </w:sectPr>
      </w:pPr>
    </w:p>
    <w:p w14:paraId="7B41898C" w14:textId="77777777" w:rsidR="00A716D9" w:rsidRDefault="00E2018F" w:rsidP="0074297E">
      <w:pPr>
        <w:pStyle w:val="Heading1"/>
        <w:numPr>
          <w:ilvl w:val="0"/>
          <w:numId w:val="0"/>
        </w:numPr>
        <w:ind w:left="431" w:hanging="431"/>
      </w:pPr>
      <w:bookmarkStart w:id="42" w:name="_Toc518640224"/>
      <w:r>
        <w:lastRenderedPageBreak/>
        <w:t xml:space="preserve">Annex </w:t>
      </w:r>
      <w:r w:rsidR="00A92D66">
        <w:t>B</w:t>
      </w:r>
      <w:r w:rsidR="00BF72B1">
        <w:t xml:space="preserve"> – </w:t>
      </w:r>
      <w:r w:rsidR="00A716D9">
        <w:t>Evidence Matrix</w:t>
      </w:r>
      <w:bookmarkEnd w:id="42"/>
      <w:r w:rsidR="00A716D9">
        <w:t xml:space="preserve"> </w:t>
      </w:r>
    </w:p>
    <w:tbl>
      <w:tblPr>
        <w:tblStyle w:val="TableGrid"/>
        <w:tblpPr w:leftFromText="181" w:rightFromText="181" w:vertAnchor="text" w:horzAnchor="margin" w:tblpX="-18" w:tblpY="1"/>
        <w:tblW w:w="20404"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1835"/>
        <w:gridCol w:w="4536"/>
        <w:gridCol w:w="4394"/>
        <w:gridCol w:w="4536"/>
        <w:gridCol w:w="5103"/>
      </w:tblGrid>
      <w:tr w:rsidR="00A02000" w:rsidRPr="009F27AA" w14:paraId="5E37FA88" w14:textId="77777777" w:rsidTr="00473C45">
        <w:trPr>
          <w:trHeight w:val="419"/>
          <w:tblHeader/>
        </w:trPr>
        <w:tc>
          <w:tcPr>
            <w:tcW w:w="20404" w:type="dxa"/>
            <w:gridSpan w:val="5"/>
            <w:tcBorders>
              <w:bottom w:val="single" w:sz="6" w:space="0" w:color="E26E00"/>
            </w:tcBorders>
            <w:shd w:val="clear" w:color="auto" w:fill="FABF8F" w:themeFill="accent6" w:themeFillTint="99"/>
          </w:tcPr>
          <w:p w14:paraId="1C46ABC2" w14:textId="77777777" w:rsidR="00A02000" w:rsidRPr="009F27AA" w:rsidRDefault="00A02000" w:rsidP="00473C45">
            <w:pPr>
              <w:pStyle w:val="Nospacingbeforeorafter"/>
              <w:spacing w:before="60" w:after="60"/>
              <w:rPr>
                <w:b/>
                <w:szCs w:val="20"/>
              </w:rPr>
            </w:pPr>
            <w:r w:rsidRPr="009F27AA">
              <w:rPr>
                <w:b/>
                <w:szCs w:val="20"/>
                <w:lang w:val="en-US"/>
              </w:rPr>
              <w:t xml:space="preserve">List of projects DFAT have been involved in the following physical infrastructure in Nauru during the review period (since 2014) - by project status and sector. </w:t>
            </w:r>
          </w:p>
        </w:tc>
      </w:tr>
      <w:tr w:rsidR="00A02000" w:rsidRPr="009F27AA" w14:paraId="236AD0B6" w14:textId="77777777" w:rsidTr="00473C45">
        <w:trPr>
          <w:trHeight w:val="419"/>
          <w:tblHeader/>
        </w:trPr>
        <w:tc>
          <w:tcPr>
            <w:tcW w:w="1835" w:type="dxa"/>
            <w:shd w:val="clear" w:color="auto" w:fill="auto"/>
          </w:tcPr>
          <w:p w14:paraId="24931112" w14:textId="77777777" w:rsidR="00A02000" w:rsidRPr="009F27AA" w:rsidRDefault="00A02000" w:rsidP="00473C45">
            <w:pPr>
              <w:pStyle w:val="Tablebullet"/>
              <w:numPr>
                <w:ilvl w:val="0"/>
                <w:numId w:val="0"/>
              </w:numPr>
              <w:spacing w:before="80" w:beforeAutospacing="0" w:after="80" w:afterAutospacing="0"/>
              <w:rPr>
                <w:b/>
                <w:szCs w:val="20"/>
                <w:lang w:val="en-US"/>
              </w:rPr>
            </w:pPr>
            <w:r w:rsidRPr="009F27AA">
              <w:rPr>
                <w:b/>
                <w:szCs w:val="20"/>
                <w:lang w:val="en-US"/>
              </w:rPr>
              <w:t>Sector</w:t>
            </w:r>
          </w:p>
        </w:tc>
        <w:tc>
          <w:tcPr>
            <w:tcW w:w="4536" w:type="dxa"/>
            <w:shd w:val="clear" w:color="auto" w:fill="auto"/>
          </w:tcPr>
          <w:p w14:paraId="390294F7" w14:textId="77777777" w:rsidR="00A02000" w:rsidRPr="009F27AA" w:rsidRDefault="00A02000" w:rsidP="00473C45">
            <w:pPr>
              <w:pStyle w:val="Tablebullet"/>
              <w:numPr>
                <w:ilvl w:val="0"/>
                <w:numId w:val="0"/>
              </w:numPr>
              <w:spacing w:before="80" w:beforeAutospacing="0" w:after="80" w:afterAutospacing="0"/>
              <w:ind w:left="459"/>
              <w:jc w:val="center"/>
              <w:rPr>
                <w:szCs w:val="20"/>
                <w:lang w:val="en-US"/>
              </w:rPr>
            </w:pPr>
            <w:r w:rsidRPr="009F27AA">
              <w:rPr>
                <w:b/>
                <w:szCs w:val="20"/>
                <w:lang w:val="en-US"/>
              </w:rPr>
              <w:t>Completed</w:t>
            </w:r>
          </w:p>
        </w:tc>
        <w:tc>
          <w:tcPr>
            <w:tcW w:w="4394" w:type="dxa"/>
            <w:shd w:val="clear" w:color="auto" w:fill="auto"/>
          </w:tcPr>
          <w:p w14:paraId="33198EC3" w14:textId="77777777" w:rsidR="00A02000" w:rsidRPr="009F27AA" w:rsidRDefault="00D519CB" w:rsidP="00473C45">
            <w:pPr>
              <w:pStyle w:val="Tablebullet"/>
              <w:numPr>
                <w:ilvl w:val="0"/>
                <w:numId w:val="0"/>
              </w:numPr>
              <w:spacing w:before="80" w:beforeAutospacing="0" w:after="80" w:afterAutospacing="0"/>
              <w:ind w:left="459"/>
              <w:jc w:val="center"/>
              <w:rPr>
                <w:szCs w:val="20"/>
                <w:lang w:val="en-US"/>
              </w:rPr>
            </w:pPr>
            <w:r>
              <w:rPr>
                <w:b/>
                <w:szCs w:val="20"/>
                <w:lang w:val="en-US"/>
              </w:rPr>
              <w:t>Ongoing</w:t>
            </w:r>
            <w:r w:rsidRPr="009F27AA">
              <w:rPr>
                <w:b/>
                <w:szCs w:val="20"/>
                <w:lang w:val="en-US"/>
              </w:rPr>
              <w:t xml:space="preserve"> </w:t>
            </w:r>
            <w:r>
              <w:rPr>
                <w:b/>
                <w:szCs w:val="20"/>
                <w:lang w:val="en-US"/>
              </w:rPr>
              <w:t xml:space="preserve">/ </w:t>
            </w:r>
            <w:r w:rsidR="00A02000" w:rsidRPr="009F27AA">
              <w:rPr>
                <w:b/>
                <w:szCs w:val="20"/>
                <w:lang w:val="en-US"/>
              </w:rPr>
              <w:t>Construction</w:t>
            </w:r>
          </w:p>
        </w:tc>
        <w:tc>
          <w:tcPr>
            <w:tcW w:w="4536" w:type="dxa"/>
            <w:shd w:val="clear" w:color="auto" w:fill="auto"/>
          </w:tcPr>
          <w:p w14:paraId="7686B02B" w14:textId="77777777" w:rsidR="00A02000" w:rsidRPr="009F27AA" w:rsidRDefault="00A02000" w:rsidP="00473C45">
            <w:pPr>
              <w:pStyle w:val="Tablebullet"/>
              <w:numPr>
                <w:ilvl w:val="0"/>
                <w:numId w:val="0"/>
              </w:numPr>
              <w:spacing w:before="80" w:beforeAutospacing="0" w:after="80" w:afterAutospacing="0"/>
              <w:ind w:left="459"/>
              <w:jc w:val="center"/>
              <w:rPr>
                <w:szCs w:val="20"/>
                <w:lang w:val="en-US"/>
              </w:rPr>
            </w:pPr>
            <w:r w:rsidRPr="009F27AA">
              <w:rPr>
                <w:b/>
                <w:szCs w:val="20"/>
                <w:lang w:val="en-US"/>
              </w:rPr>
              <w:t>Planning / Design</w:t>
            </w:r>
          </w:p>
        </w:tc>
        <w:tc>
          <w:tcPr>
            <w:tcW w:w="5103" w:type="dxa"/>
            <w:shd w:val="clear" w:color="auto" w:fill="auto"/>
          </w:tcPr>
          <w:p w14:paraId="28215FF4" w14:textId="77777777" w:rsidR="00A02000" w:rsidRPr="009F27AA" w:rsidRDefault="00A02000" w:rsidP="00473C45">
            <w:pPr>
              <w:pStyle w:val="Tablebullet"/>
              <w:numPr>
                <w:ilvl w:val="0"/>
                <w:numId w:val="0"/>
              </w:numPr>
              <w:spacing w:before="80" w:beforeAutospacing="0" w:after="80" w:afterAutospacing="0"/>
              <w:ind w:left="459"/>
              <w:jc w:val="center"/>
              <w:rPr>
                <w:szCs w:val="20"/>
                <w:lang w:val="en-US"/>
              </w:rPr>
            </w:pPr>
            <w:r w:rsidRPr="009F27AA">
              <w:rPr>
                <w:b/>
                <w:szCs w:val="20"/>
                <w:lang w:val="en-US"/>
              </w:rPr>
              <w:t>Operations and Maintenance</w:t>
            </w:r>
          </w:p>
        </w:tc>
      </w:tr>
      <w:tr w:rsidR="00A02000" w:rsidRPr="009F27AA" w14:paraId="19FB3B07" w14:textId="77777777" w:rsidTr="00473C45">
        <w:trPr>
          <w:trHeight w:val="256"/>
          <w:tblHeader/>
        </w:trPr>
        <w:tc>
          <w:tcPr>
            <w:tcW w:w="1835" w:type="dxa"/>
            <w:shd w:val="clear" w:color="auto" w:fill="auto"/>
          </w:tcPr>
          <w:p w14:paraId="53D58B04"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Education</w:t>
            </w:r>
          </w:p>
        </w:tc>
        <w:tc>
          <w:tcPr>
            <w:tcW w:w="4536" w:type="dxa"/>
            <w:shd w:val="clear" w:color="auto" w:fill="auto"/>
          </w:tcPr>
          <w:p w14:paraId="4242FB6F" w14:textId="04AF6C35" w:rsidR="00A02000" w:rsidRDefault="00A02000" w:rsidP="00473C45">
            <w:pPr>
              <w:pStyle w:val="Tablebullet"/>
              <w:numPr>
                <w:ilvl w:val="0"/>
                <w:numId w:val="0"/>
              </w:numPr>
              <w:spacing w:before="80" w:beforeAutospacing="0" w:after="80" w:afterAutospacing="0"/>
              <w:rPr>
                <w:color w:val="auto"/>
                <w:szCs w:val="20"/>
                <w:lang w:val="en-US"/>
              </w:rPr>
            </w:pPr>
            <w:r w:rsidRPr="009F27AA">
              <w:rPr>
                <w:color w:val="auto"/>
                <w:szCs w:val="20"/>
                <w:lang w:val="en-US"/>
              </w:rPr>
              <w:t xml:space="preserve">TVET </w:t>
            </w:r>
            <w:r w:rsidR="003D39B3">
              <w:rPr>
                <w:color w:val="auto"/>
                <w:szCs w:val="20"/>
                <w:lang w:val="en-US"/>
              </w:rPr>
              <w:t>Centre</w:t>
            </w:r>
          </w:p>
          <w:p w14:paraId="1EB4A924" w14:textId="726DD773" w:rsidR="005829F0" w:rsidRPr="009F27AA" w:rsidRDefault="005829F0" w:rsidP="00473C45">
            <w:pPr>
              <w:pStyle w:val="Tablebullet"/>
              <w:numPr>
                <w:ilvl w:val="0"/>
                <w:numId w:val="0"/>
              </w:numPr>
              <w:spacing w:before="80" w:beforeAutospacing="0" w:after="80" w:afterAutospacing="0"/>
              <w:rPr>
                <w:szCs w:val="20"/>
                <w:lang w:val="en-US"/>
              </w:rPr>
            </w:pPr>
            <w:r w:rsidRPr="009F27AA">
              <w:rPr>
                <w:szCs w:val="20"/>
                <w:lang w:val="en-US"/>
              </w:rPr>
              <w:t xml:space="preserve">USP Learning </w:t>
            </w:r>
            <w:r w:rsidR="003D39B3">
              <w:rPr>
                <w:szCs w:val="20"/>
                <w:lang w:val="en-US"/>
              </w:rPr>
              <w:t>Centre</w:t>
            </w:r>
          </w:p>
        </w:tc>
        <w:tc>
          <w:tcPr>
            <w:tcW w:w="4394" w:type="dxa"/>
            <w:shd w:val="clear" w:color="auto" w:fill="auto"/>
          </w:tcPr>
          <w:p w14:paraId="13C99F6D"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536" w:type="dxa"/>
            <w:shd w:val="clear" w:color="auto" w:fill="auto"/>
          </w:tcPr>
          <w:p w14:paraId="38F5C7CE"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5103" w:type="dxa"/>
            <w:shd w:val="clear" w:color="auto" w:fill="auto"/>
          </w:tcPr>
          <w:p w14:paraId="47FEEDF2" w14:textId="77777777" w:rsidR="00A02000" w:rsidRPr="009F27AA" w:rsidRDefault="00A02000" w:rsidP="00473C45">
            <w:pPr>
              <w:pStyle w:val="Tablebullet"/>
              <w:numPr>
                <w:ilvl w:val="0"/>
                <w:numId w:val="0"/>
              </w:numPr>
              <w:spacing w:before="80" w:beforeAutospacing="0" w:after="80" w:afterAutospacing="0"/>
              <w:rPr>
                <w:szCs w:val="20"/>
                <w:lang w:val="en-US"/>
              </w:rPr>
            </w:pPr>
          </w:p>
        </w:tc>
      </w:tr>
      <w:tr w:rsidR="00A02000" w:rsidRPr="009F27AA" w14:paraId="016EBADC" w14:textId="77777777" w:rsidTr="00473C45">
        <w:trPr>
          <w:trHeight w:val="319"/>
          <w:tblHeader/>
        </w:trPr>
        <w:tc>
          <w:tcPr>
            <w:tcW w:w="1835" w:type="dxa"/>
            <w:shd w:val="clear" w:color="auto" w:fill="auto"/>
          </w:tcPr>
          <w:p w14:paraId="5614346A"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Health</w:t>
            </w:r>
          </w:p>
        </w:tc>
        <w:tc>
          <w:tcPr>
            <w:tcW w:w="4536" w:type="dxa"/>
            <w:shd w:val="clear" w:color="auto" w:fill="auto"/>
          </w:tcPr>
          <w:p w14:paraId="602B9B2D" w14:textId="77777777" w:rsidR="00F60F68" w:rsidRDefault="00A02000" w:rsidP="00473C45">
            <w:pPr>
              <w:pStyle w:val="Tablebullet"/>
              <w:numPr>
                <w:ilvl w:val="0"/>
                <w:numId w:val="0"/>
              </w:numPr>
              <w:spacing w:before="80" w:beforeAutospacing="0" w:after="80" w:afterAutospacing="0"/>
              <w:rPr>
                <w:color w:val="auto"/>
                <w:szCs w:val="20"/>
                <w:lang w:val="en-US"/>
              </w:rPr>
            </w:pPr>
            <w:r w:rsidRPr="009F27AA">
              <w:rPr>
                <w:color w:val="auto"/>
                <w:szCs w:val="20"/>
                <w:lang w:val="en-US"/>
              </w:rPr>
              <w:t>Hospital (stage 1 and 2)</w:t>
            </w:r>
          </w:p>
          <w:p w14:paraId="03ECF0EE" w14:textId="77777777" w:rsidR="002B2B11" w:rsidRPr="00583FB1" w:rsidRDefault="002B2B11" w:rsidP="00473C45">
            <w:pPr>
              <w:pStyle w:val="Tablebullet"/>
              <w:numPr>
                <w:ilvl w:val="0"/>
                <w:numId w:val="0"/>
              </w:numPr>
              <w:spacing w:before="80" w:beforeAutospacing="0" w:after="80" w:afterAutospacing="0"/>
              <w:rPr>
                <w:color w:val="auto"/>
                <w:szCs w:val="20"/>
                <w:lang w:val="en-US"/>
              </w:rPr>
            </w:pPr>
            <w:r w:rsidRPr="002B2B11">
              <w:rPr>
                <w:color w:val="auto"/>
                <w:szCs w:val="20"/>
                <w:lang w:val="en-US"/>
              </w:rPr>
              <w:t>Wellness clinics</w:t>
            </w:r>
          </w:p>
        </w:tc>
        <w:tc>
          <w:tcPr>
            <w:tcW w:w="4394" w:type="dxa"/>
            <w:shd w:val="clear" w:color="auto" w:fill="auto"/>
          </w:tcPr>
          <w:p w14:paraId="33E39D4C"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536" w:type="dxa"/>
            <w:shd w:val="clear" w:color="auto" w:fill="auto"/>
          </w:tcPr>
          <w:p w14:paraId="3E164759" w14:textId="77777777" w:rsidR="00A02000" w:rsidRPr="009F27AA" w:rsidRDefault="00A02000" w:rsidP="00473C45">
            <w:pPr>
              <w:pStyle w:val="Tablebullet"/>
              <w:numPr>
                <w:ilvl w:val="0"/>
                <w:numId w:val="0"/>
              </w:numPr>
              <w:spacing w:before="80" w:beforeAutospacing="0" w:after="80" w:afterAutospacing="0"/>
              <w:rPr>
                <w:color w:val="auto"/>
                <w:szCs w:val="20"/>
                <w:lang w:val="en-US"/>
              </w:rPr>
            </w:pPr>
          </w:p>
        </w:tc>
        <w:tc>
          <w:tcPr>
            <w:tcW w:w="5103" w:type="dxa"/>
            <w:shd w:val="clear" w:color="auto" w:fill="auto"/>
          </w:tcPr>
          <w:p w14:paraId="77BBF9E5" w14:textId="77777777" w:rsidR="00A02000" w:rsidRPr="009F27AA" w:rsidRDefault="00A02000" w:rsidP="00473C45">
            <w:pPr>
              <w:pStyle w:val="Tablebullet"/>
              <w:numPr>
                <w:ilvl w:val="0"/>
                <w:numId w:val="0"/>
              </w:numPr>
              <w:spacing w:before="80" w:beforeAutospacing="0" w:after="80" w:afterAutospacing="0"/>
              <w:rPr>
                <w:szCs w:val="20"/>
                <w:lang w:val="en-US"/>
              </w:rPr>
            </w:pPr>
          </w:p>
        </w:tc>
      </w:tr>
      <w:tr w:rsidR="00A02000" w:rsidRPr="009F27AA" w14:paraId="0E9F6F4D" w14:textId="77777777" w:rsidTr="00473C45">
        <w:trPr>
          <w:trHeight w:val="419"/>
          <w:tblHeader/>
        </w:trPr>
        <w:tc>
          <w:tcPr>
            <w:tcW w:w="1835" w:type="dxa"/>
            <w:shd w:val="clear" w:color="auto" w:fill="auto"/>
          </w:tcPr>
          <w:p w14:paraId="1003365C"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Power</w:t>
            </w:r>
          </w:p>
        </w:tc>
        <w:tc>
          <w:tcPr>
            <w:tcW w:w="4536" w:type="dxa"/>
            <w:shd w:val="clear" w:color="auto" w:fill="auto"/>
          </w:tcPr>
          <w:p w14:paraId="66490FE2"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color w:val="auto"/>
                <w:szCs w:val="20"/>
                <w:lang w:val="en-US"/>
              </w:rPr>
              <w:t>Nauru Electricity Supply and Sustainability Project</w:t>
            </w:r>
          </w:p>
        </w:tc>
        <w:tc>
          <w:tcPr>
            <w:tcW w:w="4394" w:type="dxa"/>
            <w:shd w:val="clear" w:color="auto" w:fill="auto"/>
          </w:tcPr>
          <w:p w14:paraId="1BF339BE"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536" w:type="dxa"/>
            <w:shd w:val="clear" w:color="auto" w:fill="auto"/>
          </w:tcPr>
          <w:p w14:paraId="5CFAE7B7"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5103" w:type="dxa"/>
            <w:shd w:val="clear" w:color="auto" w:fill="auto"/>
          </w:tcPr>
          <w:p w14:paraId="20985271"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 xml:space="preserve">Support to the NUC (CEO through PACTAM) including TA support for rehabilitation and maintenance of assets. </w:t>
            </w:r>
          </w:p>
        </w:tc>
      </w:tr>
      <w:tr w:rsidR="00A02000" w:rsidRPr="009F27AA" w14:paraId="61B51724" w14:textId="77777777" w:rsidTr="00473C45">
        <w:trPr>
          <w:trHeight w:val="419"/>
          <w:tblHeader/>
        </w:trPr>
        <w:tc>
          <w:tcPr>
            <w:tcW w:w="1835" w:type="dxa"/>
            <w:shd w:val="clear" w:color="auto" w:fill="auto"/>
          </w:tcPr>
          <w:p w14:paraId="157DA3EF"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Water</w:t>
            </w:r>
          </w:p>
        </w:tc>
        <w:tc>
          <w:tcPr>
            <w:tcW w:w="4536" w:type="dxa"/>
            <w:shd w:val="clear" w:color="auto" w:fill="auto"/>
          </w:tcPr>
          <w:p w14:paraId="1006BBD4"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394" w:type="dxa"/>
            <w:shd w:val="clear" w:color="auto" w:fill="auto"/>
          </w:tcPr>
          <w:p w14:paraId="6D6069BD"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Household water tanks</w:t>
            </w:r>
          </w:p>
        </w:tc>
        <w:tc>
          <w:tcPr>
            <w:tcW w:w="4536" w:type="dxa"/>
            <w:shd w:val="clear" w:color="auto" w:fill="auto"/>
          </w:tcPr>
          <w:p w14:paraId="26C55A91"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5103" w:type="dxa"/>
            <w:shd w:val="clear" w:color="auto" w:fill="auto"/>
          </w:tcPr>
          <w:p w14:paraId="7C303D85" w14:textId="77777777" w:rsidR="00A02000" w:rsidRPr="009F27AA" w:rsidRDefault="00A02000" w:rsidP="00473C45">
            <w:pPr>
              <w:pStyle w:val="Tablebullet"/>
              <w:numPr>
                <w:ilvl w:val="0"/>
                <w:numId w:val="0"/>
              </w:numPr>
              <w:spacing w:before="80" w:beforeAutospacing="0" w:after="80" w:afterAutospacing="0"/>
              <w:rPr>
                <w:szCs w:val="20"/>
                <w:lang w:val="en-US"/>
              </w:rPr>
            </w:pPr>
          </w:p>
        </w:tc>
      </w:tr>
      <w:tr w:rsidR="00A02000" w:rsidRPr="009F27AA" w14:paraId="3DB4C9AE" w14:textId="77777777" w:rsidTr="00473C45">
        <w:trPr>
          <w:trHeight w:val="419"/>
          <w:tblHeader/>
        </w:trPr>
        <w:tc>
          <w:tcPr>
            <w:tcW w:w="1835" w:type="dxa"/>
            <w:shd w:val="clear" w:color="auto" w:fill="auto"/>
          </w:tcPr>
          <w:p w14:paraId="7B45BBC8"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 xml:space="preserve">Sports </w:t>
            </w:r>
          </w:p>
        </w:tc>
        <w:tc>
          <w:tcPr>
            <w:tcW w:w="4536" w:type="dxa"/>
            <w:shd w:val="clear" w:color="auto" w:fill="auto"/>
          </w:tcPr>
          <w:p w14:paraId="3D41E397"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394" w:type="dxa"/>
            <w:shd w:val="clear" w:color="auto" w:fill="auto"/>
          </w:tcPr>
          <w:p w14:paraId="23C4DC1E"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Sports complex</w:t>
            </w:r>
          </w:p>
        </w:tc>
        <w:tc>
          <w:tcPr>
            <w:tcW w:w="4536" w:type="dxa"/>
            <w:shd w:val="clear" w:color="auto" w:fill="auto"/>
          </w:tcPr>
          <w:p w14:paraId="523D3095"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5103" w:type="dxa"/>
            <w:shd w:val="clear" w:color="auto" w:fill="auto"/>
          </w:tcPr>
          <w:p w14:paraId="107D9B20" w14:textId="77777777" w:rsidR="00A02000" w:rsidRPr="009F27AA" w:rsidRDefault="00A02000" w:rsidP="00473C45">
            <w:pPr>
              <w:pStyle w:val="Tablebullet"/>
              <w:numPr>
                <w:ilvl w:val="0"/>
                <w:numId w:val="0"/>
              </w:numPr>
              <w:spacing w:before="80" w:beforeAutospacing="0" w:after="80" w:afterAutospacing="0"/>
              <w:rPr>
                <w:szCs w:val="20"/>
                <w:lang w:val="en-US"/>
              </w:rPr>
            </w:pPr>
          </w:p>
        </w:tc>
      </w:tr>
      <w:tr w:rsidR="00A02000" w:rsidRPr="009F27AA" w14:paraId="07A9FFC0" w14:textId="77777777" w:rsidTr="00473C45">
        <w:trPr>
          <w:trHeight w:val="419"/>
          <w:tblHeader/>
        </w:trPr>
        <w:tc>
          <w:tcPr>
            <w:tcW w:w="1835" w:type="dxa"/>
            <w:shd w:val="clear" w:color="auto" w:fill="auto"/>
          </w:tcPr>
          <w:p w14:paraId="5BA9F4BF" w14:textId="77777777" w:rsidR="00A02000" w:rsidRPr="009F27AA" w:rsidRDefault="00A02000" w:rsidP="00473C45">
            <w:pPr>
              <w:pStyle w:val="Tablebullet"/>
              <w:numPr>
                <w:ilvl w:val="0"/>
                <w:numId w:val="0"/>
              </w:numPr>
              <w:spacing w:before="80" w:beforeAutospacing="0" w:after="80" w:afterAutospacing="0"/>
              <w:rPr>
                <w:szCs w:val="20"/>
                <w:lang w:val="en-US"/>
              </w:rPr>
            </w:pPr>
            <w:r w:rsidRPr="009F27AA">
              <w:rPr>
                <w:szCs w:val="20"/>
                <w:lang w:val="en-US"/>
              </w:rPr>
              <w:t>Transport (sea)</w:t>
            </w:r>
          </w:p>
        </w:tc>
        <w:tc>
          <w:tcPr>
            <w:tcW w:w="4536" w:type="dxa"/>
            <w:shd w:val="clear" w:color="auto" w:fill="auto"/>
          </w:tcPr>
          <w:p w14:paraId="221F29BE"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394" w:type="dxa"/>
            <w:shd w:val="clear" w:color="auto" w:fill="auto"/>
          </w:tcPr>
          <w:p w14:paraId="20911626" w14:textId="77777777" w:rsidR="00A02000" w:rsidRPr="009F27AA" w:rsidRDefault="00A02000" w:rsidP="00473C45">
            <w:pPr>
              <w:pStyle w:val="Tablebullet"/>
              <w:numPr>
                <w:ilvl w:val="0"/>
                <w:numId w:val="0"/>
              </w:numPr>
              <w:spacing w:before="80" w:beforeAutospacing="0" w:after="80" w:afterAutospacing="0"/>
              <w:rPr>
                <w:szCs w:val="20"/>
                <w:lang w:val="en-US"/>
              </w:rPr>
            </w:pPr>
          </w:p>
        </w:tc>
        <w:tc>
          <w:tcPr>
            <w:tcW w:w="4536" w:type="dxa"/>
            <w:shd w:val="clear" w:color="auto" w:fill="auto"/>
          </w:tcPr>
          <w:p w14:paraId="790B6527" w14:textId="31D6C386" w:rsidR="00A02000" w:rsidRPr="009F27AA" w:rsidRDefault="007A7F56" w:rsidP="00473C45">
            <w:pPr>
              <w:pStyle w:val="Tablebullet"/>
              <w:numPr>
                <w:ilvl w:val="0"/>
                <w:numId w:val="0"/>
              </w:numPr>
              <w:spacing w:before="80" w:beforeAutospacing="0" w:after="80" w:afterAutospacing="0"/>
              <w:rPr>
                <w:szCs w:val="20"/>
                <w:lang w:val="en-US"/>
              </w:rPr>
            </w:pPr>
            <w:r>
              <w:rPr>
                <w:szCs w:val="20"/>
                <w:lang w:val="en-US"/>
              </w:rPr>
              <w:t>Sea</w:t>
            </w:r>
            <w:r w:rsidR="00A02000">
              <w:rPr>
                <w:szCs w:val="20"/>
                <w:lang w:val="en-US"/>
              </w:rPr>
              <w:t>p</w:t>
            </w:r>
            <w:r w:rsidR="00A02000" w:rsidRPr="009F27AA">
              <w:rPr>
                <w:szCs w:val="20"/>
                <w:lang w:val="en-US"/>
              </w:rPr>
              <w:t>ort</w:t>
            </w:r>
            <w:r w:rsidR="00A02000">
              <w:rPr>
                <w:szCs w:val="20"/>
                <w:lang w:val="en-US"/>
              </w:rPr>
              <w:t xml:space="preserve"> (</w:t>
            </w:r>
            <w:r w:rsidR="00A02000" w:rsidRPr="009F27AA">
              <w:rPr>
                <w:szCs w:val="20"/>
                <w:lang w:val="en-US"/>
              </w:rPr>
              <w:t xml:space="preserve">including </w:t>
            </w:r>
            <w:r w:rsidR="00A02000">
              <w:rPr>
                <w:szCs w:val="20"/>
                <w:lang w:val="en-US"/>
              </w:rPr>
              <w:t>TA and redevelopment)</w:t>
            </w:r>
          </w:p>
        </w:tc>
        <w:tc>
          <w:tcPr>
            <w:tcW w:w="5103" w:type="dxa"/>
            <w:shd w:val="clear" w:color="auto" w:fill="auto"/>
          </w:tcPr>
          <w:p w14:paraId="45346F98" w14:textId="77777777" w:rsidR="00A02000" w:rsidRPr="009F27AA" w:rsidRDefault="00A02000" w:rsidP="00473C45">
            <w:pPr>
              <w:pStyle w:val="Tablebullet"/>
              <w:numPr>
                <w:ilvl w:val="0"/>
                <w:numId w:val="0"/>
              </w:numPr>
              <w:spacing w:before="80" w:beforeAutospacing="0" w:after="80" w:afterAutospacing="0"/>
              <w:rPr>
                <w:szCs w:val="20"/>
                <w:lang w:val="en-US"/>
              </w:rPr>
            </w:pPr>
          </w:p>
        </w:tc>
      </w:tr>
      <w:tr w:rsidR="00A02000" w:rsidRPr="009F27AA" w14:paraId="193F33A5" w14:textId="77777777" w:rsidTr="00473C45">
        <w:trPr>
          <w:trHeight w:val="419"/>
          <w:tblHeader/>
        </w:trPr>
        <w:tc>
          <w:tcPr>
            <w:tcW w:w="20404" w:type="dxa"/>
            <w:gridSpan w:val="5"/>
            <w:shd w:val="clear" w:color="auto" w:fill="auto"/>
          </w:tcPr>
          <w:p w14:paraId="1FC520F3" w14:textId="77777777" w:rsidR="00A02000" w:rsidRPr="009F27AA" w:rsidRDefault="00A02000" w:rsidP="00473C45">
            <w:pPr>
              <w:pStyle w:val="Tablebullet"/>
              <w:numPr>
                <w:ilvl w:val="0"/>
                <w:numId w:val="0"/>
              </w:numPr>
              <w:spacing w:before="80" w:after="80"/>
              <w:rPr>
                <w:i/>
                <w:szCs w:val="20"/>
                <w:lang w:val="en-US"/>
              </w:rPr>
            </w:pPr>
            <w:r w:rsidRPr="009F27AA">
              <w:rPr>
                <w:i/>
                <w:szCs w:val="20"/>
                <w:lang w:val="en-US"/>
              </w:rPr>
              <w:t>Limitations of this review:</w:t>
            </w:r>
          </w:p>
          <w:p w14:paraId="688DC698" w14:textId="77777777" w:rsidR="00A02000" w:rsidRPr="009F27AA" w:rsidRDefault="00A02000" w:rsidP="00CA7E72">
            <w:pPr>
              <w:pStyle w:val="Tablebullet"/>
              <w:numPr>
                <w:ilvl w:val="0"/>
                <w:numId w:val="20"/>
              </w:numPr>
              <w:spacing w:before="80" w:after="80"/>
              <w:rPr>
                <w:szCs w:val="20"/>
                <w:lang w:val="en-US"/>
              </w:rPr>
            </w:pPr>
            <w:r w:rsidRPr="009F27AA">
              <w:rPr>
                <w:i/>
                <w:szCs w:val="20"/>
                <w:lang w:val="en-US"/>
              </w:rPr>
              <w:t xml:space="preserve">The hospital masterplan (including nurses quarters) has not been included as it has been recently evaluated as part of a separate health review for DFAT.  </w:t>
            </w:r>
          </w:p>
          <w:p w14:paraId="22089787" w14:textId="77777777" w:rsidR="009A468B" w:rsidRPr="00CA7E72" w:rsidRDefault="009A468B" w:rsidP="009A468B">
            <w:pPr>
              <w:pStyle w:val="Tablebullet"/>
              <w:numPr>
                <w:ilvl w:val="0"/>
                <w:numId w:val="20"/>
              </w:numPr>
              <w:spacing w:before="80" w:after="80"/>
              <w:rPr>
                <w:i/>
                <w:szCs w:val="20"/>
                <w:lang w:val="en-US"/>
              </w:rPr>
            </w:pPr>
            <w:r w:rsidRPr="00CA7E72">
              <w:rPr>
                <w:i/>
                <w:szCs w:val="20"/>
                <w:lang w:val="en-US"/>
              </w:rPr>
              <w:t xml:space="preserve">The wellness clinics have also been reviewed by the health review and time limitations for data collection has resulted in only partial information being included in this review. </w:t>
            </w:r>
          </w:p>
          <w:p w14:paraId="3EA9D582" w14:textId="650E0493" w:rsidR="00A02000" w:rsidRPr="00CA7E72" w:rsidRDefault="00A02000" w:rsidP="00CA7E72">
            <w:pPr>
              <w:pStyle w:val="Tablebullet"/>
              <w:numPr>
                <w:ilvl w:val="0"/>
                <w:numId w:val="20"/>
              </w:numPr>
              <w:spacing w:before="80" w:after="80"/>
              <w:rPr>
                <w:i/>
                <w:szCs w:val="20"/>
                <w:lang w:val="en-US"/>
              </w:rPr>
            </w:pPr>
            <w:r w:rsidRPr="009F27AA">
              <w:rPr>
                <w:i/>
                <w:szCs w:val="20"/>
                <w:lang w:val="en-US"/>
              </w:rPr>
              <w:t xml:space="preserve">Construction of the TVET </w:t>
            </w:r>
            <w:r w:rsidR="003D39B3">
              <w:rPr>
                <w:i/>
                <w:szCs w:val="20"/>
                <w:lang w:val="en-US"/>
              </w:rPr>
              <w:t>Centre</w:t>
            </w:r>
            <w:r w:rsidRPr="009F27AA">
              <w:rPr>
                <w:i/>
                <w:szCs w:val="20"/>
                <w:lang w:val="en-US"/>
              </w:rPr>
              <w:t xml:space="preserve"> was completed in early 2014 (the start of the review period), and as such only limited information for this has been available as a lot of planning and implementation falls outside the review period.</w:t>
            </w:r>
          </w:p>
          <w:p w14:paraId="1470B04D" w14:textId="63B81EB1" w:rsidR="00A02000" w:rsidRPr="00D55641" w:rsidRDefault="00A02000" w:rsidP="00CA7E72">
            <w:pPr>
              <w:pStyle w:val="Tablebullet"/>
              <w:numPr>
                <w:ilvl w:val="0"/>
                <w:numId w:val="20"/>
              </w:numPr>
              <w:spacing w:before="80" w:after="80"/>
              <w:rPr>
                <w:szCs w:val="20"/>
                <w:lang w:val="en-US"/>
              </w:rPr>
            </w:pPr>
            <w:r w:rsidRPr="009F27AA">
              <w:rPr>
                <w:i/>
                <w:szCs w:val="20"/>
                <w:lang w:val="en-US"/>
              </w:rPr>
              <w:t xml:space="preserve">The USP Learning </w:t>
            </w:r>
            <w:r w:rsidR="003D39B3">
              <w:rPr>
                <w:i/>
                <w:szCs w:val="20"/>
                <w:lang w:val="en-US"/>
              </w:rPr>
              <w:t>Centre</w:t>
            </w:r>
            <w:r w:rsidRPr="009F27AA">
              <w:rPr>
                <w:i/>
                <w:szCs w:val="20"/>
                <w:lang w:val="en-US"/>
              </w:rPr>
              <w:t xml:space="preserve"> has relied upon interviews and information from the parallel education review. </w:t>
            </w:r>
          </w:p>
          <w:p w14:paraId="422825CE" w14:textId="77777777" w:rsidR="00A02000" w:rsidRPr="00452A1D" w:rsidRDefault="00A02000" w:rsidP="00CA7E72">
            <w:pPr>
              <w:pStyle w:val="Tablebullet"/>
              <w:numPr>
                <w:ilvl w:val="0"/>
                <w:numId w:val="20"/>
              </w:numPr>
              <w:spacing w:before="80" w:after="80"/>
              <w:rPr>
                <w:i/>
                <w:szCs w:val="20"/>
                <w:lang w:val="en-US"/>
              </w:rPr>
            </w:pPr>
            <w:r w:rsidRPr="00452A1D">
              <w:rPr>
                <w:i/>
                <w:szCs w:val="20"/>
                <w:lang w:val="en-US"/>
              </w:rPr>
              <w:t>DFAT Funding allocated for a</w:t>
            </w:r>
            <w:r w:rsidRPr="00452A1D">
              <w:rPr>
                <w:i/>
              </w:rPr>
              <w:t xml:space="preserve"> </w:t>
            </w:r>
            <w:r w:rsidRPr="00452A1D">
              <w:rPr>
                <w:i/>
                <w:szCs w:val="20"/>
                <w:lang w:val="en-US"/>
              </w:rPr>
              <w:t>Reverse Osmosis Plant Shed in FY 2012/13 which has been reallocated to an NUC water testing shed has not been part of this review</w:t>
            </w:r>
            <w:r>
              <w:rPr>
                <w:i/>
                <w:szCs w:val="20"/>
                <w:lang w:val="en-US"/>
              </w:rPr>
              <w:t>.</w:t>
            </w:r>
          </w:p>
        </w:tc>
      </w:tr>
    </w:tbl>
    <w:p w14:paraId="28ACF252" w14:textId="77777777" w:rsidR="00A02000" w:rsidRDefault="00A02000" w:rsidP="00A716D9">
      <w:pPr>
        <w:rPr>
          <w:lang w:eastAsia="en-AU"/>
        </w:rPr>
      </w:pPr>
    </w:p>
    <w:tbl>
      <w:tblPr>
        <w:tblStyle w:val="TableGrid"/>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25"/>
        <w:gridCol w:w="10506"/>
      </w:tblGrid>
      <w:tr w:rsidR="002260AF" w14:paraId="5C59D403" w14:textId="77777777" w:rsidTr="002B71A4">
        <w:tc>
          <w:tcPr>
            <w:tcW w:w="10425" w:type="dxa"/>
          </w:tcPr>
          <w:p w14:paraId="0DD9022B" w14:textId="77777777" w:rsidR="002260AF" w:rsidRDefault="002260AF" w:rsidP="00A716D9">
            <w:pPr>
              <w:rPr>
                <w:lang w:eastAsia="en-AU"/>
              </w:rPr>
            </w:pPr>
            <w:r>
              <w:rPr>
                <w:noProof/>
                <w:lang w:eastAsia="en-AU"/>
              </w:rPr>
              <w:drawing>
                <wp:inline distT="0" distB="0" distL="0" distR="0" wp14:anchorId="35BD4297" wp14:editId="38B0694E">
                  <wp:extent cx="6464300" cy="4178300"/>
                  <wp:effectExtent l="0" t="0" r="12700" b="12700"/>
                  <wp:docPr id="18" name="Chart 18">
                    <a:extLst xmlns:a="http://schemas.openxmlformats.org/drawingml/2006/main">
                      <a:ext uri="{FF2B5EF4-FFF2-40B4-BE49-F238E27FC236}">
                        <a16:creationId xmlns:a16="http://schemas.microsoft.com/office/drawing/2014/main" id="{9D6FA0E5-93AB-4FB5-A23C-6A1CD5773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0506" w:type="dxa"/>
          </w:tcPr>
          <w:p w14:paraId="5934DEF2" w14:textId="77777777" w:rsidR="002260AF" w:rsidRDefault="002B71A4" w:rsidP="00A716D9">
            <w:pPr>
              <w:rPr>
                <w:lang w:eastAsia="en-AU"/>
              </w:rPr>
            </w:pPr>
            <w:r>
              <w:rPr>
                <w:noProof/>
                <w:lang w:eastAsia="en-AU"/>
              </w:rPr>
              <w:drawing>
                <wp:inline distT="0" distB="0" distL="0" distR="0" wp14:anchorId="62C4B5FE" wp14:editId="2F86B741">
                  <wp:extent cx="6367145" cy="4178300"/>
                  <wp:effectExtent l="0" t="0" r="14605" b="12700"/>
                  <wp:docPr id="21" name="Chart 21">
                    <a:extLst xmlns:a="http://schemas.openxmlformats.org/drawingml/2006/main">
                      <a:ext uri="{FF2B5EF4-FFF2-40B4-BE49-F238E27FC236}">
                        <a16:creationId xmlns:a16="http://schemas.microsoft.com/office/drawing/2014/main" id="{1AAD8D3F-D12B-4BE2-AA33-03D1BA9CA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7D2758B8" w14:textId="77777777" w:rsidR="00403A70" w:rsidRDefault="00403A70" w:rsidP="00A716D9">
      <w:pPr>
        <w:rPr>
          <w:lang w:eastAsia="en-AU"/>
        </w:rPr>
      </w:pPr>
    </w:p>
    <w:p w14:paraId="69837EAE" w14:textId="77777777" w:rsidR="00A02000" w:rsidRDefault="00A02000">
      <w:pPr>
        <w:spacing w:before="0" w:after="0"/>
        <w:rPr>
          <w:lang w:eastAsia="en-AU"/>
        </w:rPr>
      </w:pPr>
    </w:p>
    <w:tbl>
      <w:tblPr>
        <w:tblStyle w:val="TableGrid"/>
        <w:tblpPr w:leftFromText="181" w:rightFromText="181" w:vertAnchor="page" w:horzAnchor="margin" w:tblpX="-577" w:tblpY="1702"/>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4450"/>
        <w:gridCol w:w="5504"/>
      </w:tblGrid>
      <w:tr w:rsidR="00A02000" w:rsidRPr="009F27AA" w14:paraId="325C1514" w14:textId="77777777" w:rsidTr="00473C45">
        <w:trPr>
          <w:trHeight w:val="225"/>
        </w:trPr>
        <w:tc>
          <w:tcPr>
            <w:tcW w:w="22080" w:type="dxa"/>
            <w:gridSpan w:val="3"/>
            <w:shd w:val="clear" w:color="auto" w:fill="FFFFFF" w:themeFill="background1"/>
          </w:tcPr>
          <w:p w14:paraId="749FD284" w14:textId="77777777" w:rsidR="00A02000" w:rsidRPr="009F27AA" w:rsidRDefault="00A02000" w:rsidP="00473C45">
            <w:pPr>
              <w:spacing w:before="60" w:after="60"/>
              <w:rPr>
                <w:b/>
                <w:szCs w:val="20"/>
                <w:lang w:val="en-US"/>
              </w:rPr>
            </w:pPr>
            <w:r w:rsidRPr="009F27AA">
              <w:rPr>
                <w:b/>
                <w:szCs w:val="20"/>
                <w:lang w:val="en-US"/>
              </w:rPr>
              <w:t>EVIDENCE MATRIX – NAURU – Infrastructure Sector Review</w:t>
            </w:r>
          </w:p>
        </w:tc>
      </w:tr>
      <w:tr w:rsidR="00A02000" w:rsidRPr="009F27AA" w14:paraId="744DE211" w14:textId="77777777" w:rsidTr="00473C45">
        <w:trPr>
          <w:trHeight w:val="225"/>
        </w:trPr>
        <w:tc>
          <w:tcPr>
            <w:tcW w:w="2126" w:type="dxa"/>
            <w:shd w:val="clear" w:color="auto" w:fill="FABF8F" w:themeFill="accent6" w:themeFillTint="99"/>
          </w:tcPr>
          <w:p w14:paraId="11A17550" w14:textId="77777777" w:rsidR="00A02000" w:rsidRPr="009F27AA" w:rsidRDefault="00A02000" w:rsidP="00473C45">
            <w:pPr>
              <w:spacing w:before="60" w:after="60"/>
              <w:rPr>
                <w:b/>
                <w:szCs w:val="20"/>
                <w:lang w:val="en-US"/>
              </w:rPr>
            </w:pPr>
            <w:r w:rsidRPr="009F27AA">
              <w:rPr>
                <w:b/>
                <w:szCs w:val="20"/>
                <w:lang w:val="en-US"/>
              </w:rPr>
              <w:t xml:space="preserve">Key question </w:t>
            </w:r>
          </w:p>
        </w:tc>
        <w:tc>
          <w:tcPr>
            <w:tcW w:w="19954" w:type="dxa"/>
            <w:gridSpan w:val="2"/>
            <w:shd w:val="clear" w:color="auto" w:fill="FABF8F" w:themeFill="accent6" w:themeFillTint="99"/>
          </w:tcPr>
          <w:p w14:paraId="7A1E37C1" w14:textId="77777777" w:rsidR="00A02000" w:rsidRPr="009F27AA" w:rsidRDefault="00A02000" w:rsidP="00473C45">
            <w:pPr>
              <w:pStyle w:val="Nospacingbeforeorafter"/>
              <w:rPr>
                <w:b/>
                <w:szCs w:val="20"/>
                <w:lang w:eastAsia="en-AU"/>
              </w:rPr>
            </w:pPr>
            <w:r w:rsidRPr="009F27AA">
              <w:rPr>
                <w:b/>
                <w:szCs w:val="20"/>
                <w:lang w:val="en-US"/>
              </w:rPr>
              <w:t xml:space="preserve"> </w:t>
            </w:r>
            <w:r w:rsidRPr="009F27AA">
              <w:rPr>
                <w:b/>
                <w:szCs w:val="20"/>
                <w:lang w:eastAsia="en-AU"/>
              </w:rPr>
              <w:t>Overall finding:</w:t>
            </w:r>
          </w:p>
        </w:tc>
      </w:tr>
      <w:tr w:rsidR="00A02000" w:rsidRPr="009F27AA" w14:paraId="383A74F6" w14:textId="77777777" w:rsidTr="00473C45">
        <w:trPr>
          <w:trHeight w:val="1112"/>
        </w:trPr>
        <w:tc>
          <w:tcPr>
            <w:tcW w:w="2126" w:type="dxa"/>
            <w:shd w:val="clear" w:color="auto" w:fill="FBD4B4" w:themeFill="accent6" w:themeFillTint="66"/>
          </w:tcPr>
          <w:p w14:paraId="6AE6A939" w14:textId="77777777" w:rsidR="00A02000" w:rsidRPr="009F27AA" w:rsidRDefault="00A02000" w:rsidP="00A2387B">
            <w:pPr>
              <w:pStyle w:val="tabletext0"/>
              <w:numPr>
                <w:ilvl w:val="0"/>
                <w:numId w:val="12"/>
              </w:numPr>
              <w:tabs>
                <w:tab w:val="left" w:pos="250"/>
              </w:tabs>
              <w:ind w:left="22" w:right="45" w:hanging="22"/>
              <w:rPr>
                <w:rFonts w:eastAsia="Times"/>
                <w:b/>
                <w:szCs w:val="20"/>
              </w:rPr>
            </w:pPr>
            <w:r w:rsidRPr="009F27AA">
              <w:rPr>
                <w:rFonts w:eastAsia="Times"/>
                <w:b/>
                <w:szCs w:val="20"/>
              </w:rPr>
              <w:t>Given the objectives of DFAT and the GoN in the infrastructure and essential services sector, to what extent are existing initiatives relevant?</w:t>
            </w:r>
          </w:p>
        </w:tc>
        <w:tc>
          <w:tcPr>
            <w:tcW w:w="19954" w:type="dxa"/>
            <w:gridSpan w:val="2"/>
            <w:shd w:val="clear" w:color="auto" w:fill="FBD4B4" w:themeFill="accent6" w:themeFillTint="66"/>
          </w:tcPr>
          <w:p w14:paraId="2DF6E412" w14:textId="77777777" w:rsidR="00A02000" w:rsidRPr="009F27AA" w:rsidRDefault="00A02000" w:rsidP="00473C45">
            <w:pPr>
              <w:pStyle w:val="Nospacingbeforeorafter"/>
              <w:rPr>
                <w:szCs w:val="20"/>
              </w:rPr>
            </w:pPr>
            <w:r w:rsidRPr="009F27AA">
              <w:rPr>
                <w:szCs w:val="20"/>
              </w:rPr>
              <w:t>DFAT’s infrastructure investments in the review period have focused on essential, social and economic infrastructure the key sectors of (i) transport (sea), (ii) power, (iii) water, (iv) health and (v) education. In addition, DFAT have provided sport infrastructure. Infrastructure investments include key assets in each sector, including the port, diesel generators, water tanks, the hospital, community wellness clinics, learning village buildings (TVET and USP), sports complex and rehabilitation of sports facilities.</w:t>
            </w:r>
          </w:p>
          <w:p w14:paraId="739863D2" w14:textId="77777777" w:rsidR="00A02000" w:rsidRPr="009F27AA" w:rsidRDefault="00A02000" w:rsidP="00473C45">
            <w:pPr>
              <w:pStyle w:val="Nospacingbeforeorafter"/>
              <w:rPr>
                <w:szCs w:val="20"/>
              </w:rPr>
            </w:pPr>
            <w:r w:rsidRPr="009F27AA">
              <w:rPr>
                <w:szCs w:val="20"/>
              </w:rPr>
              <w:t xml:space="preserve">All of the areas of investment by DFAT during the review period have been relevant to the GoN’s objectives in infrastructure and essential services, as outlined in Nauru’s National Strategic Development Strategy (NSDS) for 2005-2025. From stakeholder consultations held to establish priorities for the NSDS 2018-2030 (being drafted at the time of this review), the areas of focus appear to be shifting as needs have been addressed. The revised priorities should inform the selection of any future investments in infrastructure assets going forward, whilst balancing asset rehabilitation and maintenance needs with investments in new assets. </w:t>
            </w:r>
            <w:r w:rsidRPr="009F27AA">
              <w:rPr>
                <w:szCs w:val="20"/>
                <w:lang w:val="en-US"/>
              </w:rPr>
              <w:t xml:space="preserve"> </w:t>
            </w:r>
          </w:p>
        </w:tc>
      </w:tr>
      <w:tr w:rsidR="00A02000" w:rsidRPr="009F27AA" w14:paraId="6D827080" w14:textId="77777777" w:rsidTr="00473C45">
        <w:trPr>
          <w:trHeight w:val="415"/>
        </w:trPr>
        <w:tc>
          <w:tcPr>
            <w:tcW w:w="2126" w:type="dxa"/>
            <w:shd w:val="clear" w:color="auto" w:fill="FABF8F" w:themeFill="accent6" w:themeFillTint="99"/>
          </w:tcPr>
          <w:p w14:paraId="35A5DD01" w14:textId="77777777" w:rsidR="00A02000" w:rsidRPr="009F27AA" w:rsidRDefault="00A02000" w:rsidP="00473C45">
            <w:pPr>
              <w:spacing w:before="60" w:after="60"/>
              <w:rPr>
                <w:szCs w:val="20"/>
              </w:rPr>
            </w:pPr>
            <w:r w:rsidRPr="009F27AA">
              <w:rPr>
                <w:b/>
                <w:szCs w:val="20"/>
                <w:lang w:val="en-US"/>
              </w:rPr>
              <w:t xml:space="preserve">Sub-question </w:t>
            </w:r>
          </w:p>
        </w:tc>
        <w:tc>
          <w:tcPr>
            <w:tcW w:w="14450" w:type="dxa"/>
            <w:shd w:val="clear" w:color="auto" w:fill="FABF8F" w:themeFill="accent6" w:themeFillTint="99"/>
          </w:tcPr>
          <w:p w14:paraId="371C4ED3" w14:textId="77777777" w:rsidR="00A02000" w:rsidRPr="009F27AA" w:rsidRDefault="00A02000" w:rsidP="00473C45">
            <w:pPr>
              <w:pStyle w:val="Tablebullet"/>
              <w:numPr>
                <w:ilvl w:val="0"/>
                <w:numId w:val="0"/>
              </w:numPr>
              <w:spacing w:before="60" w:after="60"/>
              <w:rPr>
                <w:b/>
                <w:szCs w:val="20"/>
              </w:rPr>
            </w:pPr>
            <w:r w:rsidRPr="009F27AA">
              <w:rPr>
                <w:b/>
                <w:szCs w:val="20"/>
                <w:lang w:val="en-US"/>
              </w:rPr>
              <w:t xml:space="preserve">Evidence </w:t>
            </w:r>
          </w:p>
        </w:tc>
        <w:tc>
          <w:tcPr>
            <w:tcW w:w="5504" w:type="dxa"/>
            <w:shd w:val="clear" w:color="auto" w:fill="FABF8F" w:themeFill="accent6" w:themeFillTint="99"/>
          </w:tcPr>
          <w:p w14:paraId="5408B7DD" w14:textId="77777777" w:rsidR="00A02000" w:rsidRPr="009F27AA" w:rsidRDefault="00A02000" w:rsidP="00473C45">
            <w:pPr>
              <w:pStyle w:val="Nospacingbeforeorafter"/>
              <w:spacing w:before="60" w:after="60"/>
              <w:rPr>
                <w:szCs w:val="20"/>
              </w:rPr>
            </w:pPr>
            <w:r w:rsidRPr="009F27AA">
              <w:rPr>
                <w:b/>
                <w:szCs w:val="20"/>
                <w:lang w:val="en-US"/>
              </w:rPr>
              <w:t xml:space="preserve">Findings </w:t>
            </w:r>
          </w:p>
        </w:tc>
      </w:tr>
      <w:tr w:rsidR="00A02000" w:rsidRPr="009F27AA" w14:paraId="4C19538D" w14:textId="77777777" w:rsidTr="00473C45">
        <w:trPr>
          <w:trHeight w:val="274"/>
        </w:trPr>
        <w:tc>
          <w:tcPr>
            <w:tcW w:w="2126" w:type="dxa"/>
          </w:tcPr>
          <w:p w14:paraId="4022C8D3" w14:textId="77777777" w:rsidR="00A02000" w:rsidRPr="009F27AA" w:rsidRDefault="00A02000" w:rsidP="00473C45">
            <w:pPr>
              <w:pStyle w:val="ListParagraph"/>
              <w:numPr>
                <w:ilvl w:val="1"/>
                <w:numId w:val="11"/>
              </w:numPr>
              <w:spacing w:before="40" w:after="100"/>
              <w:ind w:left="459" w:hanging="425"/>
              <w:rPr>
                <w:szCs w:val="20"/>
              </w:rPr>
            </w:pPr>
            <w:r w:rsidRPr="009F27AA">
              <w:rPr>
                <w:szCs w:val="20"/>
              </w:rPr>
              <w:t xml:space="preserve">To what extent does Australia’s contribution support GoN’s objectives in infrastructure and essential services? </w:t>
            </w:r>
          </w:p>
        </w:tc>
        <w:tc>
          <w:tcPr>
            <w:tcW w:w="14450" w:type="dxa"/>
          </w:tcPr>
          <w:p w14:paraId="117F16E7" w14:textId="77777777" w:rsidR="00A02000" w:rsidRPr="009F27AA" w:rsidRDefault="00A02000" w:rsidP="00473C45">
            <w:pPr>
              <w:pStyle w:val="Tablebullet"/>
              <w:numPr>
                <w:ilvl w:val="0"/>
                <w:numId w:val="0"/>
              </w:numPr>
              <w:spacing w:before="40" w:after="100"/>
              <w:ind w:left="459"/>
              <w:rPr>
                <w:szCs w:val="20"/>
                <w:lang w:val="en-US"/>
              </w:rPr>
            </w:pPr>
            <w:bookmarkStart w:id="43" w:name="_Hlk515431086"/>
            <w:r w:rsidRPr="009F27AA">
              <w:rPr>
                <w:b/>
                <w:szCs w:val="20"/>
                <w:lang w:val="en-US"/>
              </w:rPr>
              <w:t>Strength of Evidence Rating</w:t>
            </w:r>
            <w:r w:rsidRPr="009F27AA">
              <w:rPr>
                <w:szCs w:val="20"/>
                <w:lang w:val="en-US"/>
              </w:rPr>
              <w:t xml:space="preserve">: </w:t>
            </w:r>
            <w:r w:rsidRPr="009F27AA">
              <w:rPr>
                <w:b/>
                <w:szCs w:val="20"/>
                <w:lang w:val="en-US"/>
              </w:rPr>
              <w:t xml:space="preserve">Strong. </w:t>
            </w:r>
            <w:r w:rsidRPr="009F27AA">
              <w:rPr>
                <w:i/>
                <w:szCs w:val="20"/>
                <w:lang w:val="en-US"/>
              </w:rPr>
              <w:t>(Based on government documents and primary interviews)</w:t>
            </w:r>
          </w:p>
          <w:bookmarkEnd w:id="43"/>
          <w:p w14:paraId="539E6400" w14:textId="77777777" w:rsidR="00A02000" w:rsidRPr="009F27AA" w:rsidRDefault="00A02000" w:rsidP="00473C45">
            <w:pPr>
              <w:pStyle w:val="Tablebullet"/>
              <w:spacing w:before="100" w:after="100"/>
              <w:ind w:left="884" w:hanging="425"/>
              <w:rPr>
                <w:szCs w:val="20"/>
                <w:lang w:val="en-US"/>
              </w:rPr>
            </w:pPr>
            <w:r w:rsidRPr="009F27AA">
              <w:rPr>
                <w:b/>
                <w:szCs w:val="20"/>
                <w:lang w:val="en-US"/>
              </w:rPr>
              <w:t>[EVIDENCE 1] – NSDS 2005-2025 (Original and 2009 Revision).</w:t>
            </w:r>
            <w:r w:rsidRPr="009F27AA">
              <w:rPr>
                <w:szCs w:val="20"/>
                <w:lang w:val="en-US"/>
              </w:rPr>
              <w:t xml:space="preserve"> The National Sustainable Development Strategy (NSDS) was prepared in 2004 for the period 2005-2025 and revised in October 2009. In December 2017 stakeholder consultations for a revised NSDS from 2018-2030 had been undertaken, as a preliminary step in drafting a revised version of the NSDS.  At the time of the review, the revised NSDS 2018-2030 is still being drafted by the Planning and Aid Division (PAD) of the Ministry of Finance (MoF). The NSDS included a high-level snapshot of progress towards the Millennium Development Goals, to which the areas identified as NSDS priorities broadly underpin. For the revised 2018-2030 NSDS, the Sustainable Development Goals are now relevant. The </w:t>
            </w:r>
            <w:r w:rsidRPr="009F27AA">
              <w:rPr>
                <w:b/>
                <w:szCs w:val="20"/>
                <w:lang w:val="en-US"/>
              </w:rPr>
              <w:t>original NSDS (2005-2025)</w:t>
            </w:r>
            <w:r w:rsidRPr="009F27AA">
              <w:rPr>
                <w:szCs w:val="20"/>
                <w:lang w:val="en-US"/>
              </w:rPr>
              <w:t xml:space="preserve"> identified these priority sectors and focus areas: (i) Energy (including renewable sources); (ii) Institutional capacity to plan, deliver, maintain and operate infrastructure and community engagement;  (iii) Water and Sanitation; (iv) Waste management; (v) Transport (air, sea and land); (vi) Sports; (vii) Social infrastructure - health and education; and (viii) Asset maintenance. These were largely unchanged in the 2009 version of the NSDS.</w:t>
            </w:r>
          </w:p>
          <w:p w14:paraId="7E6F23CC" w14:textId="77777777" w:rsidR="00A02000" w:rsidRPr="009F27AA" w:rsidRDefault="00A02000" w:rsidP="00473C45">
            <w:pPr>
              <w:pStyle w:val="Tablebullet"/>
              <w:spacing w:before="100" w:after="100"/>
              <w:ind w:left="884" w:hanging="425"/>
              <w:rPr>
                <w:szCs w:val="20"/>
                <w:lang w:val="en-US"/>
              </w:rPr>
            </w:pPr>
            <w:r w:rsidRPr="009F27AA">
              <w:rPr>
                <w:b/>
                <w:szCs w:val="20"/>
                <w:lang w:val="en-US"/>
              </w:rPr>
              <w:t>[EVIDENCE 2] – NSDS 2018-2030 Stakeholder Consultation Dec 2017.</w:t>
            </w:r>
            <w:r w:rsidRPr="009F27AA">
              <w:rPr>
                <w:szCs w:val="20"/>
                <w:lang w:val="en-US"/>
              </w:rPr>
              <w:t xml:space="preserve"> The </w:t>
            </w:r>
            <w:r w:rsidRPr="009F27AA">
              <w:rPr>
                <w:b/>
                <w:szCs w:val="20"/>
                <w:lang w:val="en-US"/>
              </w:rPr>
              <w:t>NSDS 2018-2030 Stakeholder Consultation Report (December 2017)</w:t>
            </w:r>
            <w:r w:rsidRPr="009F27AA">
              <w:rPr>
                <w:szCs w:val="20"/>
                <w:lang w:val="en-US"/>
              </w:rPr>
              <w:t xml:space="preserve"> identifies the following objectives: (i) Land rehabilitation; (ii) Port development; (iii) Roads and drainage; and (iv) Water, sanitation and solid waste. </w:t>
            </w:r>
          </w:p>
          <w:p w14:paraId="08BD341C" w14:textId="77777777" w:rsidR="00A02000" w:rsidRPr="009F27AA" w:rsidRDefault="00A02000" w:rsidP="00473C45">
            <w:pPr>
              <w:pStyle w:val="Tablebullet"/>
              <w:spacing w:before="100" w:after="100"/>
              <w:ind w:left="884" w:hanging="425"/>
              <w:rPr>
                <w:szCs w:val="20"/>
              </w:rPr>
            </w:pPr>
            <w:r w:rsidRPr="009F27AA">
              <w:rPr>
                <w:b/>
                <w:szCs w:val="20"/>
                <w:lang w:val="en-US"/>
              </w:rPr>
              <w:t>[EVIDENCE 3] – Nauru Economic Infrastructure Strategy and Investment Plan (NEISIP)</w:t>
            </w:r>
            <w:r w:rsidRPr="009F27AA">
              <w:rPr>
                <w:szCs w:val="20"/>
                <w:lang w:val="en-US"/>
              </w:rPr>
              <w:t xml:space="preserve"> </w:t>
            </w:r>
            <w:r w:rsidRPr="009F27AA">
              <w:rPr>
                <w:b/>
                <w:szCs w:val="20"/>
                <w:lang w:val="en-US"/>
              </w:rPr>
              <w:t xml:space="preserve">(PRIF, 2011). </w:t>
            </w:r>
            <w:r w:rsidRPr="009F27AA">
              <w:rPr>
                <w:szCs w:val="20"/>
                <w:lang w:val="en-US"/>
              </w:rPr>
              <w:t>During 2010 and 2011 the Government of Nauru has engaged with PRIF (PIAC) to develop the Nauru Economic Infrastructure Strategy and Investment Plan (NEISIP), which represented a 5 to 10-year prioritized investment plan for economic infrastructure. The plan identified needs and priorities for investments in economic infrastructure (including government buildings) and assessed the financial resources to support implementation.</w:t>
            </w:r>
            <w:r w:rsidRPr="009F27AA">
              <w:rPr>
                <w:rFonts w:cstheme="minorHAnsi"/>
                <w:szCs w:val="20"/>
              </w:rPr>
              <w:t xml:space="preserve"> The assessment from the NEISIP authors indicates that the NSDS is consistent with the Millennium Development Goals (MDGs), the Pacific Plan and the Paris Declaration on climate change. The priorities identified by NEISIP include </w:t>
            </w:r>
            <w:r w:rsidRPr="009F27AA">
              <w:rPr>
                <w:szCs w:val="20"/>
              </w:rPr>
              <w:t>(i) Development of a new quay wall and Anibare Mooring; (ii) Resurfacing and fencing of the runway; (iii) Road rehabilitation (contingent on runway resurfacing); (iv) Preparation of a masterplan for water and sanitation (including solid waste); (v) Sludge “alternative disposal options” project; (vi) Procurement of additional water tankers for water supply; (vii) Preparation of a strategy for renewable energy (with an emphasis on solar); (viii) Establishment of an O&amp;M spare parts store and workshop for NUA; (ix) Development of a new hospital; (x) Rebuilding of Aiwo School; and (xi) Implementation of the Learning Village Project.</w:t>
            </w:r>
          </w:p>
          <w:p w14:paraId="5D84D855" w14:textId="77777777" w:rsidR="00A02000" w:rsidRPr="009F27AA" w:rsidRDefault="00A02000" w:rsidP="00473C45">
            <w:pPr>
              <w:pStyle w:val="Tablebullet"/>
              <w:spacing w:before="120" w:after="100"/>
              <w:ind w:left="884" w:hanging="425"/>
              <w:rPr>
                <w:b/>
                <w:szCs w:val="20"/>
                <w:lang w:val="en-US"/>
              </w:rPr>
            </w:pPr>
            <w:r w:rsidRPr="009F27AA">
              <w:rPr>
                <w:b/>
                <w:szCs w:val="20"/>
                <w:lang w:val="en-US"/>
              </w:rPr>
              <w:t xml:space="preserve">[EVIDENCE 4] – Infrastructure Sector Review (ISR) (PRIF-PIAC, 2013). </w:t>
            </w:r>
            <w:r w:rsidRPr="009F27AA">
              <w:rPr>
                <w:szCs w:val="20"/>
                <w:lang w:val="en-US"/>
              </w:rPr>
              <w:t xml:space="preserve">The Infrastructure Sector Review by PIAC evaluated and revised the NEISIP prepared in 2010/11. The review confirmed the NEISIP recommendations, with some revisions over time and identified a number of key actions to achieve the strategic objectives and realize NEISIP priority investments. Investments that were identified in the review and subsequently supported by DFAT include in maritime (feasibility for port redevelopment, operational plan for the port and corporate strategy and performance improvement plan for PAN), power (performance improvement plan for NUC) and government buildings (new hospital, learning village). The Infrastructure Sector Review also identified a number of other objectives, some of which have been supported by GoN and other development partners. </w:t>
            </w:r>
          </w:p>
          <w:p w14:paraId="4C6C1DA1" w14:textId="77777777" w:rsidR="00A02000" w:rsidRPr="009F27AA" w:rsidRDefault="00A02000" w:rsidP="00473C45">
            <w:pPr>
              <w:pStyle w:val="Tablebullet"/>
              <w:spacing w:before="100" w:after="100"/>
              <w:ind w:left="884" w:hanging="425"/>
              <w:rPr>
                <w:b/>
                <w:szCs w:val="20"/>
                <w:lang w:val="en-US"/>
              </w:rPr>
            </w:pPr>
            <w:r w:rsidRPr="009F27AA">
              <w:rPr>
                <w:b/>
                <w:szCs w:val="20"/>
                <w:lang w:val="en-US"/>
              </w:rPr>
              <w:t xml:space="preserve">[EVIDENCE 5] – Aid Partnership Arrangement (DFAT &amp; GON 2017) – </w:t>
            </w:r>
            <w:r w:rsidRPr="009F27AA">
              <w:rPr>
                <w:szCs w:val="20"/>
                <w:lang w:val="en-US"/>
              </w:rPr>
              <w:t>The</w:t>
            </w:r>
            <w:r w:rsidRPr="009F27AA">
              <w:rPr>
                <w:b/>
                <w:szCs w:val="20"/>
                <w:lang w:val="en-US"/>
              </w:rPr>
              <w:t xml:space="preserve"> </w:t>
            </w:r>
            <w:r w:rsidRPr="009F27AA">
              <w:rPr>
                <w:szCs w:val="20"/>
                <w:lang w:val="en-US"/>
              </w:rPr>
              <w:t>APA identifies one of three priority areas is “to invest in nation building infrastructure consistent with Australia’s strategic interests, which include growth through enhanced trade facilitation”. This includes “construction and maintenance of economic infrastructure to support human development and foster commerce and trade”. The report also notes that a Program Monitoring and Advisory Group (PMAG) was established by GoN and GoA to help enhance program outcomes for the Partnership for Development.</w:t>
            </w:r>
          </w:p>
          <w:p w14:paraId="6AB980C7" w14:textId="77777777" w:rsidR="00A02000" w:rsidRPr="009F27AA" w:rsidRDefault="00A02000" w:rsidP="00473C45">
            <w:pPr>
              <w:pStyle w:val="Tablebullet"/>
              <w:spacing w:before="120" w:after="100"/>
              <w:ind w:left="884" w:hanging="425"/>
              <w:rPr>
                <w:szCs w:val="20"/>
                <w:lang w:val="en-US"/>
              </w:rPr>
            </w:pPr>
            <w:r w:rsidRPr="009F27AA">
              <w:rPr>
                <w:b/>
                <w:szCs w:val="20"/>
                <w:lang w:val="en-US"/>
              </w:rPr>
              <w:t xml:space="preserve">[EVIDENCE 6] – Independent Review Report (PMAG, 2014) – </w:t>
            </w:r>
            <w:r w:rsidRPr="009F27AA">
              <w:rPr>
                <w:szCs w:val="20"/>
                <w:lang w:val="en-US"/>
              </w:rPr>
              <w:t>The independent review states:</w:t>
            </w:r>
            <w:r w:rsidRPr="009F27AA">
              <w:rPr>
                <w:b/>
                <w:szCs w:val="20"/>
                <w:lang w:val="en-US"/>
              </w:rPr>
              <w:t xml:space="preserve"> </w:t>
            </w:r>
            <w:r w:rsidRPr="009F27AA">
              <w:rPr>
                <w:szCs w:val="20"/>
                <w:lang w:val="en-US"/>
              </w:rPr>
              <w:t>“Improving the reliability of power supplies remains a key concern, and ADB will be assisting in buying a new generator, repairing the power station roof, preparing an asset management plan, reviewing the corporate structure, improving accounting and HR systems, and conducting a tariff study. An Energy Road Map for Nauru, setting the basis for the shift to renewable energy, has been prepared. However, the mission is of the clear view that a reliable base load is a pre-requisite and remains the first priority.”</w:t>
            </w:r>
          </w:p>
          <w:p w14:paraId="698E4395" w14:textId="77777777" w:rsidR="00A02000" w:rsidRPr="009F27AA" w:rsidRDefault="00A02000" w:rsidP="00473C45">
            <w:pPr>
              <w:pStyle w:val="Tablebullet"/>
              <w:spacing w:before="120" w:after="100"/>
              <w:ind w:left="884" w:hanging="425"/>
              <w:rPr>
                <w:szCs w:val="20"/>
                <w:lang w:val="en-US"/>
              </w:rPr>
            </w:pPr>
            <w:r w:rsidRPr="009F27AA">
              <w:rPr>
                <w:b/>
                <w:szCs w:val="20"/>
                <w:lang w:val="en-US"/>
              </w:rPr>
              <w:t>[EVIDENCE 7] – Nauru Water and Sanitation Masterplan (GoN, 2017)</w:t>
            </w:r>
            <w:r w:rsidRPr="009F27AA">
              <w:rPr>
                <w:szCs w:val="20"/>
                <w:lang w:val="en-US"/>
              </w:rPr>
              <w:t xml:space="preserve"> – “</w:t>
            </w:r>
            <w:r w:rsidRPr="009F27AA">
              <w:rPr>
                <w:szCs w:val="20"/>
              </w:rPr>
              <w:t>The proposed water supply system is a traditional water supply system with pumping to key reservoir locations and then making maximum use of gravity to supply a ring main which extends around the island. The water supply options have considered and accommodated the use of conjunctive water sources to reduce Nauru’s reliance on desalination although this remains the primary bulk water production source. Improvements in rainwater harvesting at a household level are possible and are actively encouraged.”</w:t>
            </w:r>
          </w:p>
          <w:p w14:paraId="11C39D8C" w14:textId="77777777" w:rsidR="00A02000" w:rsidRPr="009F27AA" w:rsidRDefault="00A02000" w:rsidP="00473C45">
            <w:pPr>
              <w:pStyle w:val="Tablebullet"/>
              <w:spacing w:before="100" w:after="100"/>
              <w:ind w:left="884" w:hanging="425"/>
              <w:rPr>
                <w:szCs w:val="20"/>
                <w:lang w:val="en-US"/>
              </w:rPr>
            </w:pPr>
            <w:r w:rsidRPr="009F27AA">
              <w:rPr>
                <w:b/>
                <w:szCs w:val="20"/>
                <w:lang w:val="en-US"/>
              </w:rPr>
              <w:t xml:space="preserve">[EVIDENCE 8] – Concept Design Report (A&amp;L, 2017) – </w:t>
            </w:r>
            <w:r w:rsidRPr="009F27AA">
              <w:rPr>
                <w:szCs w:val="20"/>
                <w:lang w:val="en-US"/>
              </w:rPr>
              <w:t xml:space="preserve">The report identifies two major sport complexes on Nauru. The first is Centennial Hall in Aiwo district, an open-sided, steel roof structure with an elevated stage, open area for changing and a painted concrete floor, electric lighting and seating for 1500 people. Centennial Hall is used for a wide range of government, community and sporting events and is the current home of weightlifting and power lifting in Nauru but is too low and small for basketball or volleyball. The second is Nauru Secondary School in Yaren district, which is used for school sports activities and events, with room for basketball, volley ball, badminton, gymnastics and general gymnasium activities. Community activities are also staged. The report further states that eighty-five percent of the population lives on the narrow coastal strip, with the rest living around the Buada lagoon. </w:t>
            </w:r>
          </w:p>
          <w:p w14:paraId="187FC559" w14:textId="77777777" w:rsidR="00A02000" w:rsidRPr="009F27AA" w:rsidRDefault="00A02000" w:rsidP="00473C45">
            <w:pPr>
              <w:pStyle w:val="Tablebullet"/>
              <w:spacing w:before="120" w:after="100"/>
              <w:ind w:left="884" w:hanging="425"/>
              <w:rPr>
                <w:szCs w:val="20"/>
                <w:lang w:val="en-US"/>
              </w:rPr>
            </w:pPr>
            <w:r w:rsidRPr="009F27AA">
              <w:rPr>
                <w:b/>
                <w:szCs w:val="20"/>
                <w:lang w:val="en-US"/>
              </w:rPr>
              <w:t>[EVIDENCE 9] -</w:t>
            </w:r>
            <w:r w:rsidRPr="009F27AA">
              <w:rPr>
                <w:szCs w:val="20"/>
                <w:lang w:val="en-US"/>
              </w:rPr>
              <w:t xml:space="preserve"> Representatives from the Ministry of Finance Planning and Aid Division (PAD) </w:t>
            </w:r>
            <w:r w:rsidRPr="009F27AA">
              <w:rPr>
                <w:b/>
                <w:szCs w:val="20"/>
                <w:lang w:val="en-US"/>
              </w:rPr>
              <w:t>[INTERVIEW 8]</w:t>
            </w:r>
            <w:r w:rsidRPr="009F27AA">
              <w:rPr>
                <w:szCs w:val="20"/>
                <w:lang w:val="en-US"/>
              </w:rPr>
              <w:t xml:space="preserve"> expressed the opinion that DFAT’s investments were closely aligned and relevant to Nauru’s strategic development plan. </w:t>
            </w:r>
          </w:p>
          <w:p w14:paraId="78C2B7BA" w14:textId="77777777" w:rsidR="00A02000" w:rsidRPr="009F27AA" w:rsidRDefault="00A02000" w:rsidP="00473C45">
            <w:pPr>
              <w:pStyle w:val="Tablebullet"/>
              <w:spacing w:before="120" w:after="100"/>
              <w:ind w:left="884" w:hanging="425"/>
              <w:rPr>
                <w:szCs w:val="20"/>
                <w:lang w:val="en-US"/>
              </w:rPr>
            </w:pPr>
            <w:r w:rsidRPr="009F27AA">
              <w:rPr>
                <w:b/>
                <w:szCs w:val="20"/>
                <w:lang w:val="en-US"/>
              </w:rPr>
              <w:lastRenderedPageBreak/>
              <w:t xml:space="preserve">[EVIDENCE 10 </w:t>
            </w:r>
            <w:r w:rsidRPr="009F27AA">
              <w:rPr>
                <w:szCs w:val="20"/>
                <w:lang w:val="en-US"/>
              </w:rPr>
              <w:t xml:space="preserve">– CIE stated </w:t>
            </w:r>
            <w:r w:rsidRPr="009F27AA">
              <w:rPr>
                <w:b/>
                <w:szCs w:val="20"/>
                <w:lang w:val="en-US"/>
              </w:rPr>
              <w:t xml:space="preserve">[INTERVIEW 7] </w:t>
            </w:r>
            <w:r w:rsidRPr="009F27AA">
              <w:rPr>
                <w:szCs w:val="20"/>
                <w:lang w:val="en-US"/>
              </w:rPr>
              <w:t>that the Water Tanks Project was requested by GoN through an Australian funded climate change adaptation initiative that was in place at that time to provide water storage at the household level in the case of increased periods of drought. The focus of the program was on meeting the immediate needs of vulnerable households.</w:t>
            </w:r>
          </w:p>
          <w:p w14:paraId="24879633" w14:textId="0E948B27" w:rsidR="00A02000" w:rsidRPr="007A7F56" w:rsidRDefault="00A02000" w:rsidP="007A7F56">
            <w:pPr>
              <w:pStyle w:val="Tablebullet"/>
              <w:spacing w:before="120" w:after="100"/>
              <w:ind w:left="884" w:hanging="425"/>
              <w:rPr>
                <w:szCs w:val="20"/>
                <w:lang w:val="en-US"/>
              </w:rPr>
            </w:pPr>
            <w:r w:rsidRPr="009F27AA">
              <w:rPr>
                <w:b/>
                <w:szCs w:val="20"/>
                <w:lang w:val="en-US"/>
              </w:rPr>
              <w:t xml:space="preserve">[EVIDENCE 11] </w:t>
            </w:r>
            <w:r w:rsidRPr="009F27AA">
              <w:rPr>
                <w:szCs w:val="20"/>
                <w:lang w:val="en-US"/>
              </w:rPr>
              <w:t xml:space="preserve">– DFAT indicated </w:t>
            </w:r>
            <w:r w:rsidRPr="009F27AA">
              <w:rPr>
                <w:b/>
                <w:szCs w:val="20"/>
                <w:lang w:val="en-US"/>
              </w:rPr>
              <w:t xml:space="preserve">[INTERVIEW 1] </w:t>
            </w:r>
            <w:r w:rsidRPr="009F27AA">
              <w:rPr>
                <w:szCs w:val="20"/>
                <w:lang w:val="en-US"/>
              </w:rPr>
              <w:t xml:space="preserve">that the </w:t>
            </w:r>
            <w:r w:rsidR="00FD3BE1">
              <w:t>sports complex was a priority outlined in the NSDS and there had been a number of requests from GON for the complex (including at the Senior Officials Talks) in 2016.  A</w:t>
            </w:r>
            <w:r w:rsidR="004D5601">
              <w:t>us</w:t>
            </w:r>
            <w:r w:rsidR="00FD3BE1">
              <w:t xml:space="preserve">Aid had also </w:t>
            </w:r>
            <w:r w:rsidR="00706D4B">
              <w:t>undertaken</w:t>
            </w:r>
            <w:r w:rsidR="00FD3BE1">
              <w:t xml:space="preserve"> a study on constructing a sports complex in 2007.  Due to delays in the Port Project and expenditure issues in health, the sports complex priority was able to moved forward.</w:t>
            </w:r>
            <w:r w:rsidRPr="007A7F56">
              <w:rPr>
                <w:szCs w:val="20"/>
                <w:lang w:val="en-US"/>
              </w:rPr>
              <w:t xml:space="preserve"> </w:t>
            </w:r>
          </w:p>
          <w:p w14:paraId="0099E7EA" w14:textId="77777777" w:rsidR="00A02000" w:rsidRPr="009F27AA" w:rsidRDefault="00A02000" w:rsidP="00473C45">
            <w:pPr>
              <w:pStyle w:val="Tablebullet"/>
              <w:spacing w:before="120" w:after="100"/>
              <w:ind w:left="884" w:hanging="425"/>
              <w:rPr>
                <w:szCs w:val="20"/>
                <w:lang w:val="en-US"/>
              </w:rPr>
            </w:pPr>
            <w:r w:rsidRPr="009F27AA">
              <w:rPr>
                <w:b/>
                <w:szCs w:val="20"/>
                <w:lang w:val="en-US"/>
              </w:rPr>
              <w:t>[EVIDENCE 12]</w:t>
            </w:r>
            <w:r w:rsidRPr="009F27AA">
              <w:rPr>
                <w:szCs w:val="20"/>
                <w:lang w:val="en-US"/>
              </w:rPr>
              <w:t xml:space="preserve">– The Ministry of Infrastructure Development indicated </w:t>
            </w:r>
            <w:r w:rsidRPr="009F27AA">
              <w:rPr>
                <w:b/>
                <w:szCs w:val="20"/>
                <w:lang w:val="en-US"/>
              </w:rPr>
              <w:t xml:space="preserve">[INTERVIEW 4] </w:t>
            </w:r>
            <w:r w:rsidRPr="009F27AA">
              <w:rPr>
                <w:szCs w:val="20"/>
                <w:lang w:val="en-US"/>
              </w:rPr>
              <w:t>that whilst they have sought funding for the runway resurfacing in the AOP for a number of years now, advice received from three different consultants was contradictory. They indicated that the runway was five years “overdue” to be resurfaced, however due to a small number of flights per week (1 per week normally, increased to 11 per week as a result of the RPCs</w:t>
            </w:r>
            <w:r w:rsidR="00955C4F">
              <w:rPr>
                <w:szCs w:val="20"/>
                <w:lang w:val="en-US"/>
              </w:rPr>
              <w:t xml:space="preserve"> </w:t>
            </w:r>
            <w:r w:rsidR="004B41F6">
              <w:rPr>
                <w:szCs w:val="20"/>
                <w:lang w:val="en-US"/>
              </w:rPr>
              <w:t xml:space="preserve">since </w:t>
            </w:r>
            <w:r w:rsidR="00955C4F">
              <w:rPr>
                <w:szCs w:val="20"/>
                <w:lang w:val="en-US"/>
              </w:rPr>
              <w:t>2013</w:t>
            </w:r>
            <w:r w:rsidRPr="009F27AA">
              <w:rPr>
                <w:szCs w:val="20"/>
                <w:lang w:val="en-US"/>
              </w:rPr>
              <w:t>), there was less wear and tear on the runway and it continues to meet international standards (ICAO). The main ring road also cannot be patched beyond a certain size of pothole</w:t>
            </w:r>
            <w:r w:rsidR="008D10E9">
              <w:rPr>
                <w:szCs w:val="20"/>
                <w:lang w:val="en-US"/>
              </w:rPr>
              <w:t>,</w:t>
            </w:r>
            <w:r w:rsidRPr="009F27AA">
              <w:rPr>
                <w:szCs w:val="20"/>
                <w:lang w:val="en-US"/>
              </w:rPr>
              <w:t xml:space="preserve"> but need</w:t>
            </w:r>
            <w:r w:rsidR="008D10E9">
              <w:rPr>
                <w:szCs w:val="20"/>
                <w:lang w:val="en-US"/>
              </w:rPr>
              <w:t>s</w:t>
            </w:r>
            <w:r w:rsidRPr="009F27AA">
              <w:rPr>
                <w:szCs w:val="20"/>
                <w:lang w:val="en-US"/>
              </w:rPr>
              <w:t xml:space="preserve"> to be </w:t>
            </w:r>
            <w:r w:rsidR="00EC0F98" w:rsidRPr="009F27AA">
              <w:rPr>
                <w:szCs w:val="20"/>
                <w:lang w:val="en-US"/>
              </w:rPr>
              <w:t xml:space="preserve">totally </w:t>
            </w:r>
            <w:r w:rsidRPr="009F27AA">
              <w:rPr>
                <w:szCs w:val="20"/>
                <w:lang w:val="en-US"/>
              </w:rPr>
              <w:t xml:space="preserve">resurfaced due to the cost of bringing in the necessary equipment from overseas (likely New Zealand), and is also not a priority at this stage. </w:t>
            </w:r>
          </w:p>
        </w:tc>
        <w:tc>
          <w:tcPr>
            <w:tcW w:w="5504" w:type="dxa"/>
          </w:tcPr>
          <w:p w14:paraId="2B62B721" w14:textId="77777777" w:rsidR="00A02000" w:rsidRPr="009F27AA" w:rsidRDefault="00A02000" w:rsidP="00473C45">
            <w:pPr>
              <w:pStyle w:val="Nospacingbeforeorafter"/>
              <w:rPr>
                <w:b/>
                <w:szCs w:val="20"/>
              </w:rPr>
            </w:pPr>
            <w:r w:rsidRPr="009F27AA">
              <w:rPr>
                <w:b/>
                <w:szCs w:val="20"/>
              </w:rPr>
              <w:lastRenderedPageBreak/>
              <w:t>Rating: Good (5/6)</w:t>
            </w:r>
          </w:p>
          <w:p w14:paraId="05182C88" w14:textId="77777777" w:rsidR="00A02000" w:rsidRPr="009F27AA" w:rsidRDefault="00A02000" w:rsidP="00473C45">
            <w:pPr>
              <w:pStyle w:val="Nospacingbeforeorafter"/>
              <w:spacing w:before="60" w:after="60"/>
              <w:rPr>
                <w:szCs w:val="20"/>
              </w:rPr>
            </w:pPr>
            <w:r w:rsidRPr="009F27AA">
              <w:rPr>
                <w:szCs w:val="20"/>
              </w:rPr>
              <w:t xml:space="preserve">The areas of investment by DFAT during the review period have been relevant to the GoN’s objectives in infrastructure and essential services as articulated at a high level in the NSDS 2005-2025. </w:t>
            </w:r>
          </w:p>
          <w:p w14:paraId="0B711D96" w14:textId="77777777" w:rsidR="00A02000" w:rsidRPr="009F27AA" w:rsidRDefault="00A02000" w:rsidP="00473C45">
            <w:pPr>
              <w:pStyle w:val="Nospacingbeforeorafter"/>
              <w:spacing w:before="60" w:after="60"/>
              <w:rPr>
                <w:szCs w:val="20"/>
              </w:rPr>
            </w:pPr>
            <w:r w:rsidRPr="009F27AA">
              <w:rPr>
                <w:szCs w:val="20"/>
              </w:rPr>
              <w:t xml:space="preserve">NEISIP (2011) identifies a range of priority infrastructure investments. DFAT’s investments align partially with the recommendations, including delivery of a new hospital and the learning village. Some activities have been delivered by other development partners. Whilst DFAT’s investments did not align fully with the recommendations, the projects identified as priority actions (including the runway resurfacing and road rehabilitation) were not clearly the most important use of limited funds and were dropped from the revised priority list in 2013. Other recommendations included development of long-term strategies and masterplans, including for water, sanitation and renewable energy, which have been delivered by GoN through other development partners. </w:t>
            </w:r>
          </w:p>
          <w:p w14:paraId="0D88B9DB" w14:textId="77777777" w:rsidR="00A02000" w:rsidRPr="009F27AA" w:rsidRDefault="00A02000" w:rsidP="00473C45">
            <w:pPr>
              <w:pStyle w:val="Nospacingbeforeorafter"/>
              <w:spacing w:before="60" w:after="60"/>
              <w:rPr>
                <w:szCs w:val="20"/>
              </w:rPr>
            </w:pPr>
            <w:r w:rsidRPr="009F27AA">
              <w:rPr>
                <w:szCs w:val="20"/>
              </w:rPr>
              <w:t xml:space="preserve">Infrastructure projects delivered by DFAT that do not align with the ISR (2013) include the water tanks project, provision of additional diesel generators (through ADB) and the sports complex. Both the water tanks project and diesel generators were in response to fulfilling an immediate need, rather than aligned with strategic long-term investments. </w:t>
            </w:r>
          </w:p>
          <w:p w14:paraId="514EC4C9" w14:textId="77777777" w:rsidR="00A02000" w:rsidRPr="009F27AA" w:rsidRDefault="00A02000" w:rsidP="00473C45">
            <w:pPr>
              <w:pStyle w:val="Nospacingbeforeorafter"/>
              <w:spacing w:before="60" w:after="60"/>
              <w:rPr>
                <w:szCs w:val="20"/>
              </w:rPr>
            </w:pPr>
            <w:r w:rsidRPr="009F27AA">
              <w:rPr>
                <w:szCs w:val="20"/>
              </w:rPr>
              <w:t>The diesel generators were essential to provide</w:t>
            </w:r>
            <w:r w:rsidRPr="009F27AA">
              <w:rPr>
                <w:szCs w:val="20"/>
                <w:lang w:val="en-US"/>
              </w:rPr>
              <w:t xml:space="preserve"> a reliable base load as a pre-requisite for future solar (and other renewables) and was considered the first priority by PMAG</w:t>
            </w:r>
            <w:r w:rsidRPr="009F27AA">
              <w:rPr>
                <w:szCs w:val="20"/>
              </w:rPr>
              <w:t xml:space="preserve">. </w:t>
            </w:r>
          </w:p>
          <w:p w14:paraId="55E03A62" w14:textId="77777777" w:rsidR="00A02000" w:rsidRPr="009F27AA" w:rsidRDefault="00A02000" w:rsidP="00473C45">
            <w:pPr>
              <w:pStyle w:val="Nospacingbeforeorafter"/>
              <w:spacing w:before="60" w:after="60"/>
              <w:rPr>
                <w:szCs w:val="20"/>
              </w:rPr>
            </w:pPr>
            <w:r w:rsidRPr="009F27AA">
              <w:rPr>
                <w:szCs w:val="20"/>
              </w:rPr>
              <w:t>The household water tanks approach aligns with the recent masterplan for water and sanitation, which actively encourages rainwater harvesting at a household level. This project was also initiated by GoN applying for funding through an Australian funded Climate Change initiative.</w:t>
            </w:r>
          </w:p>
          <w:p w14:paraId="162C9E37" w14:textId="77777777" w:rsidR="00A02000" w:rsidRPr="009F27AA" w:rsidRDefault="00A02000" w:rsidP="00473C45">
            <w:pPr>
              <w:pStyle w:val="Nospacingbeforeorafter"/>
              <w:spacing w:before="60" w:after="60"/>
              <w:rPr>
                <w:szCs w:val="20"/>
              </w:rPr>
            </w:pPr>
            <w:bookmarkStart w:id="44" w:name="_Hlk515772272"/>
            <w:r w:rsidRPr="009F27AA">
              <w:rPr>
                <w:szCs w:val="20"/>
              </w:rPr>
              <w:t xml:space="preserve">The sports complex was supported by DFAT </w:t>
            </w:r>
            <w:r w:rsidR="00E17A82">
              <w:rPr>
                <w:szCs w:val="20"/>
              </w:rPr>
              <w:t>to deliver</w:t>
            </w:r>
            <w:r w:rsidR="00AB0076">
              <w:rPr>
                <w:szCs w:val="20"/>
              </w:rPr>
              <w:t xml:space="preserve"> </w:t>
            </w:r>
            <w:r w:rsidR="00AB0076">
              <w:t>health and social inclusion</w:t>
            </w:r>
            <w:r w:rsidR="00AB0076" w:rsidRPr="009F27AA">
              <w:rPr>
                <w:szCs w:val="20"/>
              </w:rPr>
              <w:t xml:space="preserve"> </w:t>
            </w:r>
            <w:r w:rsidR="00AB0076">
              <w:rPr>
                <w:szCs w:val="20"/>
              </w:rPr>
              <w:t xml:space="preserve">outcomes. </w:t>
            </w:r>
            <w:r w:rsidR="008A21CA">
              <w:rPr>
                <w:szCs w:val="20"/>
              </w:rPr>
              <w:t>A</w:t>
            </w:r>
            <w:r w:rsidR="008A21CA" w:rsidRPr="009F27AA">
              <w:rPr>
                <w:szCs w:val="20"/>
              </w:rPr>
              <w:t>lthough sports are part of the NSDS</w:t>
            </w:r>
            <w:r w:rsidR="008A21CA">
              <w:rPr>
                <w:szCs w:val="20"/>
              </w:rPr>
              <w:t>,</w:t>
            </w:r>
            <w:r w:rsidR="008A21CA" w:rsidRPr="009F27AA">
              <w:rPr>
                <w:szCs w:val="20"/>
              </w:rPr>
              <w:t xml:space="preserve"> </w:t>
            </w:r>
            <w:r w:rsidR="008A21CA">
              <w:rPr>
                <w:szCs w:val="20"/>
              </w:rPr>
              <w:t>t</w:t>
            </w:r>
            <w:r w:rsidRPr="009F27AA">
              <w:rPr>
                <w:szCs w:val="20"/>
              </w:rPr>
              <w:t>his project is the least relevant in terms of prioritisation of infrastructure investments</w:t>
            </w:r>
            <w:r w:rsidR="001613BB">
              <w:rPr>
                <w:szCs w:val="20"/>
              </w:rPr>
              <w:t>, as per the NEISIP and ISR</w:t>
            </w:r>
            <w:r w:rsidRPr="009F27AA">
              <w:rPr>
                <w:szCs w:val="20"/>
              </w:rPr>
              <w:t xml:space="preserve">. </w:t>
            </w:r>
          </w:p>
          <w:bookmarkEnd w:id="44"/>
          <w:p w14:paraId="48BE6AF0" w14:textId="77777777" w:rsidR="00A02000" w:rsidRPr="009F27AA" w:rsidRDefault="00A02000" w:rsidP="00473C45">
            <w:pPr>
              <w:pStyle w:val="Nospacingbeforeorafter"/>
              <w:spacing w:after="160"/>
              <w:rPr>
                <w:szCs w:val="20"/>
              </w:rPr>
            </w:pPr>
            <w:r w:rsidRPr="009F27AA">
              <w:rPr>
                <w:szCs w:val="20"/>
              </w:rPr>
              <w:t xml:space="preserve"> </w:t>
            </w:r>
          </w:p>
        </w:tc>
      </w:tr>
      <w:tr w:rsidR="00A02000" w:rsidRPr="009F27AA" w14:paraId="49494693" w14:textId="77777777" w:rsidTr="00473C45">
        <w:trPr>
          <w:trHeight w:val="72"/>
        </w:trPr>
        <w:tc>
          <w:tcPr>
            <w:tcW w:w="2126" w:type="dxa"/>
          </w:tcPr>
          <w:p w14:paraId="02A72450" w14:textId="77777777" w:rsidR="00A02000" w:rsidRPr="009F27AA" w:rsidRDefault="00A02000" w:rsidP="00473C45">
            <w:pPr>
              <w:pStyle w:val="ListParagraph"/>
              <w:numPr>
                <w:ilvl w:val="1"/>
                <w:numId w:val="11"/>
              </w:numPr>
              <w:spacing w:before="100" w:after="100"/>
              <w:ind w:left="459" w:hanging="425"/>
              <w:rPr>
                <w:szCs w:val="20"/>
              </w:rPr>
            </w:pPr>
            <w:r w:rsidRPr="009F27AA">
              <w:rPr>
                <w:szCs w:val="20"/>
              </w:rPr>
              <w:t xml:space="preserve">How is investing in infrastructure and essential services in Nauru in Australia’s national interest? </w:t>
            </w:r>
          </w:p>
        </w:tc>
        <w:tc>
          <w:tcPr>
            <w:tcW w:w="14450" w:type="dxa"/>
          </w:tcPr>
          <w:p w14:paraId="6128CD9A" w14:textId="77777777" w:rsidR="00A02000" w:rsidRPr="009F27AA" w:rsidRDefault="00A02000" w:rsidP="00473C45">
            <w:pPr>
              <w:pStyle w:val="Tablebullet"/>
              <w:numPr>
                <w:ilvl w:val="0"/>
                <w:numId w:val="0"/>
              </w:numPr>
              <w:spacing w:before="100" w:after="100"/>
              <w:ind w:left="458"/>
              <w:rPr>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Weak. </w:t>
            </w:r>
            <w:r w:rsidRPr="009F27AA">
              <w:rPr>
                <w:i/>
                <w:szCs w:val="20"/>
                <w:lang w:val="en-US"/>
              </w:rPr>
              <w:t>(Based on GOA document</w:t>
            </w:r>
            <w:r>
              <w:rPr>
                <w:i/>
                <w:szCs w:val="20"/>
                <w:lang w:val="en-US"/>
              </w:rPr>
              <w:t>s and interviews</w:t>
            </w:r>
            <w:r w:rsidRPr="009F27AA">
              <w:rPr>
                <w:i/>
                <w:szCs w:val="20"/>
                <w:lang w:val="en-US"/>
              </w:rPr>
              <w:t>)</w:t>
            </w:r>
          </w:p>
          <w:p w14:paraId="75648428" w14:textId="77777777" w:rsidR="00A02000" w:rsidRPr="009F27AA" w:rsidRDefault="00A02000" w:rsidP="00473C45">
            <w:pPr>
              <w:pStyle w:val="Tablebullet"/>
              <w:spacing w:before="80" w:after="80"/>
              <w:ind w:left="884" w:hanging="425"/>
              <w:rPr>
                <w:szCs w:val="20"/>
                <w:lang w:val="en-US"/>
              </w:rPr>
            </w:pPr>
            <w:r w:rsidRPr="009F27AA">
              <w:rPr>
                <w:b/>
                <w:szCs w:val="20"/>
                <w:lang w:val="en-US"/>
              </w:rPr>
              <w:t>[EVIDENCE 1]</w:t>
            </w:r>
            <w:r w:rsidRPr="009F27AA">
              <w:rPr>
                <w:szCs w:val="20"/>
                <w:lang w:val="en-US"/>
              </w:rPr>
              <w:t xml:space="preserve"> – White Paper - Four Aid Tests </w:t>
            </w:r>
          </w:p>
          <w:p w14:paraId="2C2EE300" w14:textId="77777777" w:rsidR="00A02000" w:rsidRPr="009F27AA" w:rsidRDefault="00A02000" w:rsidP="00473C45">
            <w:pPr>
              <w:pStyle w:val="Tablebullet"/>
              <w:numPr>
                <w:ilvl w:val="0"/>
                <w:numId w:val="0"/>
              </w:numPr>
              <w:spacing w:before="80" w:after="120"/>
              <w:ind w:left="885"/>
              <w:rPr>
                <w:szCs w:val="20"/>
                <w:lang w:val="en-US"/>
              </w:rPr>
            </w:pPr>
            <w:r w:rsidRPr="009F27AA">
              <w:rPr>
                <w:szCs w:val="20"/>
                <w:lang w:val="en-US"/>
              </w:rPr>
              <w:t>“We ensure that our investments deliver results by using a comprehensive performance system. We report publicly on our effectiveness through the annual Performance of Australian Aid report. When allocating development assistance, we apply four tests:</w:t>
            </w:r>
          </w:p>
          <w:p w14:paraId="1DC74334" w14:textId="77777777" w:rsidR="00A02000" w:rsidRPr="00084515" w:rsidRDefault="00A02000" w:rsidP="00473C45">
            <w:pPr>
              <w:pStyle w:val="Tablebullet"/>
              <w:numPr>
                <w:ilvl w:val="1"/>
                <w:numId w:val="6"/>
              </w:numPr>
              <w:spacing w:before="80" w:after="100"/>
              <w:rPr>
                <w:lang w:val="en-US"/>
              </w:rPr>
            </w:pPr>
            <w:r w:rsidRPr="0095180B">
              <w:rPr>
                <w:b/>
                <w:lang w:val="en-US"/>
              </w:rPr>
              <w:t>is this in our national interest?</w:t>
            </w:r>
            <w:r>
              <w:rPr>
                <w:lang w:val="en-US"/>
              </w:rPr>
              <w:t xml:space="preserve">  “Australia’s aid in Nauru forms part of our broader economic and diplomacy efforts to promote prosperity and security in the Pacific region and we pursue an integrated set of foreign, trade and development policies to advance our interests in Nauru.” [Aid Investment Plan]</w:t>
            </w:r>
          </w:p>
          <w:p w14:paraId="0069F152" w14:textId="77777777" w:rsidR="00A02000" w:rsidRPr="00084515" w:rsidRDefault="00A02000" w:rsidP="00473C45">
            <w:pPr>
              <w:pStyle w:val="Tablebullet"/>
              <w:numPr>
                <w:ilvl w:val="1"/>
                <w:numId w:val="6"/>
              </w:numPr>
              <w:spacing w:before="80" w:after="100"/>
              <w:rPr>
                <w:lang w:val="en-US"/>
              </w:rPr>
            </w:pPr>
            <w:r w:rsidRPr="0095180B">
              <w:rPr>
                <w:b/>
                <w:lang w:val="en-US"/>
              </w:rPr>
              <w:t>will this promote inclusive growth and reduce poverty?-</w:t>
            </w:r>
            <w:r>
              <w:rPr>
                <w:lang w:val="en-US"/>
              </w:rPr>
              <w:t xml:space="preserve"> Although there are no specific statistics, funding provided to the hospital phase I and II (health), TVET Centre and the Learning Centre (education), sports complex (social and health), port redevelopment and NUC through the NUC CEO (essential services) can be deemed to be contributing to inclusive growth and reducing poverty in Nauru. </w:t>
            </w:r>
          </w:p>
          <w:p w14:paraId="7B5B7894" w14:textId="77777777" w:rsidR="00A02000" w:rsidRPr="00084515" w:rsidRDefault="00A02000" w:rsidP="00473C45">
            <w:pPr>
              <w:pStyle w:val="Tablebullet"/>
              <w:numPr>
                <w:ilvl w:val="1"/>
                <w:numId w:val="6"/>
              </w:numPr>
              <w:spacing w:before="80" w:after="100"/>
              <w:rPr>
                <w:lang w:val="en-US"/>
              </w:rPr>
            </w:pPr>
            <w:r w:rsidRPr="0095180B">
              <w:rPr>
                <w:b/>
                <w:lang w:val="en-US"/>
              </w:rPr>
              <w:t>does Australia’s contribution add value and leverage partner funding?</w:t>
            </w:r>
            <w:r>
              <w:rPr>
                <w:lang w:val="en-US"/>
              </w:rPr>
              <w:t xml:space="preserve"> Australia is one Nauru’s key partners supporting infrastructure and essential services. Australia’s contribution is adding value in both physical and social infrastructure of Nauru. Australia is also leveraging funding from other partners such as the ADB, Green Climate Fund and others. </w:t>
            </w:r>
          </w:p>
          <w:p w14:paraId="7F2DC2E5" w14:textId="77777777" w:rsidR="00A02000" w:rsidRDefault="00A02000" w:rsidP="00473C45">
            <w:pPr>
              <w:pStyle w:val="Tablebullet"/>
              <w:numPr>
                <w:ilvl w:val="1"/>
                <w:numId w:val="6"/>
              </w:numPr>
              <w:spacing w:before="80" w:after="100"/>
              <w:rPr>
                <w:lang w:val="en-US"/>
              </w:rPr>
            </w:pPr>
            <w:r w:rsidRPr="0095180B">
              <w:rPr>
                <w:b/>
                <w:lang w:val="en-US"/>
              </w:rPr>
              <w:t>will this deliver results and value for money?”-</w:t>
            </w:r>
            <w:r>
              <w:rPr>
                <w:lang w:val="en-US"/>
              </w:rPr>
              <w:t xml:space="preserve"> the following DFAT investments are assessed to be effective or likely to be effective after completion (see section on effectiveness for more information):</w:t>
            </w:r>
          </w:p>
          <w:p w14:paraId="199AC075" w14:textId="6E865AA1" w:rsidR="00A02000" w:rsidRPr="00275803" w:rsidRDefault="00A02000" w:rsidP="00A2387B">
            <w:pPr>
              <w:pStyle w:val="Tablebullet"/>
              <w:numPr>
                <w:ilvl w:val="0"/>
                <w:numId w:val="31"/>
              </w:numPr>
              <w:spacing w:before="80" w:after="100"/>
              <w:rPr>
                <w:lang w:val="en-US"/>
              </w:rPr>
            </w:pPr>
            <w:r w:rsidRPr="00275803">
              <w:rPr>
                <w:lang w:val="en-US"/>
              </w:rPr>
              <w:t xml:space="preserve">TVET </w:t>
            </w:r>
            <w:r w:rsidR="003D39B3">
              <w:rPr>
                <w:lang w:val="en-US"/>
              </w:rPr>
              <w:t>Centre</w:t>
            </w:r>
          </w:p>
          <w:p w14:paraId="60D60651" w14:textId="77777777" w:rsidR="00A02000" w:rsidRPr="00275803" w:rsidRDefault="00A02000" w:rsidP="00A2387B">
            <w:pPr>
              <w:pStyle w:val="Tablebullet"/>
              <w:numPr>
                <w:ilvl w:val="0"/>
                <w:numId w:val="31"/>
              </w:numPr>
              <w:spacing w:before="80" w:after="100"/>
              <w:rPr>
                <w:lang w:val="en-US"/>
              </w:rPr>
            </w:pPr>
            <w:r w:rsidRPr="00275803">
              <w:rPr>
                <w:lang w:val="en-US"/>
              </w:rPr>
              <w:t>Electricity Supply and Sustainability Project</w:t>
            </w:r>
          </w:p>
          <w:p w14:paraId="0DBD4C03" w14:textId="451472B0" w:rsidR="00A02000" w:rsidRPr="00275803" w:rsidRDefault="00A02000" w:rsidP="00A2387B">
            <w:pPr>
              <w:pStyle w:val="Tablebullet"/>
              <w:numPr>
                <w:ilvl w:val="0"/>
                <w:numId w:val="31"/>
              </w:numPr>
              <w:spacing w:before="80" w:after="100"/>
              <w:rPr>
                <w:lang w:val="en-US"/>
              </w:rPr>
            </w:pPr>
            <w:r w:rsidRPr="00275803">
              <w:rPr>
                <w:lang w:val="en-US"/>
              </w:rPr>
              <w:t xml:space="preserve">USP Learning </w:t>
            </w:r>
            <w:r w:rsidR="003D39B3">
              <w:rPr>
                <w:lang w:val="en-US"/>
              </w:rPr>
              <w:t>Centre</w:t>
            </w:r>
          </w:p>
          <w:p w14:paraId="3219C8DC" w14:textId="77777777" w:rsidR="00A02000" w:rsidRPr="00275803" w:rsidRDefault="00A02000" w:rsidP="00A2387B">
            <w:pPr>
              <w:pStyle w:val="Tablebullet"/>
              <w:numPr>
                <w:ilvl w:val="0"/>
                <w:numId w:val="31"/>
              </w:numPr>
              <w:spacing w:before="80" w:after="100"/>
              <w:rPr>
                <w:lang w:val="en-US"/>
              </w:rPr>
            </w:pPr>
            <w:r w:rsidRPr="00275803">
              <w:rPr>
                <w:lang w:val="en-US"/>
              </w:rPr>
              <w:t>Sports Complex</w:t>
            </w:r>
          </w:p>
          <w:p w14:paraId="223B7B7D" w14:textId="77777777" w:rsidR="00A02000" w:rsidRPr="00275803" w:rsidRDefault="00A02000" w:rsidP="00A2387B">
            <w:pPr>
              <w:pStyle w:val="Tablebullet"/>
              <w:numPr>
                <w:ilvl w:val="0"/>
                <w:numId w:val="31"/>
              </w:numPr>
              <w:spacing w:before="80" w:after="100"/>
              <w:rPr>
                <w:lang w:val="en-US"/>
              </w:rPr>
            </w:pPr>
            <w:r w:rsidRPr="00275803">
              <w:rPr>
                <w:lang w:val="en-US"/>
              </w:rPr>
              <w:t>Port Redevelopment</w:t>
            </w:r>
          </w:p>
          <w:p w14:paraId="5EFD1C89" w14:textId="77777777" w:rsidR="00A02000" w:rsidRPr="00275803" w:rsidRDefault="00A02000" w:rsidP="00A2387B">
            <w:pPr>
              <w:pStyle w:val="Tablebullet"/>
              <w:numPr>
                <w:ilvl w:val="0"/>
                <w:numId w:val="31"/>
              </w:numPr>
              <w:spacing w:before="80" w:after="100"/>
              <w:rPr>
                <w:lang w:val="en-US"/>
              </w:rPr>
            </w:pPr>
            <w:r w:rsidRPr="00275803">
              <w:rPr>
                <w:lang w:val="en-US"/>
              </w:rPr>
              <w:t>Technical Assistance support to the Nauru Utilities Corporation (NUC)</w:t>
            </w:r>
          </w:p>
          <w:p w14:paraId="2F3CA177" w14:textId="77777777" w:rsidR="00A02000" w:rsidRPr="009F27AA" w:rsidRDefault="00A02000" w:rsidP="00473C45">
            <w:pPr>
              <w:pStyle w:val="Tablebullet"/>
              <w:spacing w:before="120" w:after="80"/>
              <w:ind w:left="884" w:hanging="425"/>
              <w:rPr>
                <w:szCs w:val="20"/>
                <w:lang w:val="en-US"/>
              </w:rPr>
            </w:pPr>
            <w:r w:rsidRPr="009F27AA">
              <w:rPr>
                <w:b/>
                <w:szCs w:val="20"/>
                <w:lang w:val="en-US"/>
              </w:rPr>
              <w:t>[EVIDENCE 2]</w:t>
            </w:r>
            <w:r w:rsidRPr="009F27AA">
              <w:rPr>
                <w:szCs w:val="20"/>
                <w:lang w:val="en-US"/>
              </w:rPr>
              <w:t xml:space="preserve"> – Aid Investment Plan – Nauru (2015-16 to 2018-19)</w:t>
            </w:r>
          </w:p>
          <w:p w14:paraId="440B2913" w14:textId="77777777" w:rsidR="00A02000" w:rsidRPr="009F27AA" w:rsidRDefault="00A02000" w:rsidP="00473C45">
            <w:pPr>
              <w:pStyle w:val="Tablebullet"/>
              <w:numPr>
                <w:ilvl w:val="0"/>
                <w:numId w:val="0"/>
              </w:numPr>
              <w:spacing w:before="80" w:after="100"/>
              <w:ind w:left="885"/>
              <w:rPr>
                <w:szCs w:val="20"/>
                <w:lang w:val="en-US"/>
              </w:rPr>
            </w:pPr>
            <w:r w:rsidRPr="009F27AA">
              <w:rPr>
                <w:szCs w:val="20"/>
                <w:lang w:val="en-US"/>
              </w:rPr>
              <w:t xml:space="preserve">“It is in Australia’s interest to support a stable and economically sound and resilient Nauru that has the capacity to effectively manage its resources and deliver on key human development needs, and to enable Nauru’s community to benefit from economic and labor mobility opportunities. Australia’s aid in Nauru forms part of our broader economic and labor mobility opportunities. Australia’s aid in Nauru forms part of our broader economic and diplomacy efforts to promote prosperity and security in the Pacific region and we pursue an integrated set of foreign, trade and development policies to advance our interests in Nauru.” </w:t>
            </w:r>
          </w:p>
        </w:tc>
        <w:tc>
          <w:tcPr>
            <w:tcW w:w="5504" w:type="dxa"/>
          </w:tcPr>
          <w:p w14:paraId="7B338561" w14:textId="77777777" w:rsidR="00A02000" w:rsidRPr="009F27AA" w:rsidRDefault="00A02000" w:rsidP="00473C45">
            <w:pPr>
              <w:pStyle w:val="Nospacingbeforeorafter"/>
              <w:spacing w:before="60" w:after="60"/>
              <w:rPr>
                <w:b/>
                <w:szCs w:val="20"/>
              </w:rPr>
            </w:pPr>
            <w:bookmarkStart w:id="45" w:name="_Hlk515431091"/>
            <w:r w:rsidRPr="009F27AA">
              <w:rPr>
                <w:b/>
                <w:szCs w:val="20"/>
              </w:rPr>
              <w:t>Rating: Good (5/6)</w:t>
            </w:r>
          </w:p>
          <w:bookmarkEnd w:id="45"/>
          <w:p w14:paraId="0290E562" w14:textId="77777777" w:rsidR="00A02000" w:rsidRPr="009F27AA" w:rsidRDefault="00A02000" w:rsidP="00473C45">
            <w:pPr>
              <w:pStyle w:val="CommentText"/>
              <w:spacing w:before="60" w:after="100"/>
            </w:pPr>
            <w:r w:rsidRPr="009F27AA">
              <w:t xml:space="preserve">Physical infrastructure that is fit for purpose, maintained and operated over time is essential in the delivery of an economically sound and resilient Nauru. Institutional capacity to effectively manage resources such as infrastructure assets is key to delivering on key human development needs, including social infrastructure associated with health and education. </w:t>
            </w:r>
          </w:p>
          <w:p w14:paraId="0BBC9FEB" w14:textId="77777777" w:rsidR="00A02000" w:rsidRPr="009F27AA" w:rsidRDefault="00A02000" w:rsidP="00473C45">
            <w:pPr>
              <w:pStyle w:val="CommentText"/>
              <w:spacing w:before="60" w:after="100"/>
              <w:rPr>
                <w:lang w:val="en-US"/>
              </w:rPr>
            </w:pPr>
            <w:r w:rsidRPr="009F27AA">
              <w:rPr>
                <w:lang w:val="en-US"/>
              </w:rPr>
              <w:t>It is evident that the investments within the review period fit with the three strategic priorities of the Aid Investment Plan 2015-16 to 2018-19, namely:</w:t>
            </w:r>
          </w:p>
          <w:p w14:paraId="5E4FC081" w14:textId="77777777" w:rsidR="00A02000" w:rsidRPr="009F27AA" w:rsidRDefault="00A02000" w:rsidP="00A2387B">
            <w:pPr>
              <w:pStyle w:val="CommentText"/>
              <w:numPr>
                <w:ilvl w:val="0"/>
                <w:numId w:val="15"/>
              </w:numPr>
              <w:spacing w:before="60" w:after="100"/>
              <w:rPr>
                <w:lang w:val="en-US"/>
              </w:rPr>
            </w:pPr>
            <w:r w:rsidRPr="009F27AA">
              <w:rPr>
                <w:lang w:val="en-US"/>
              </w:rPr>
              <w:t>Promoting more effective public-sector management</w:t>
            </w:r>
          </w:p>
          <w:p w14:paraId="3499064C" w14:textId="77777777" w:rsidR="00A02000" w:rsidRPr="009F27AA" w:rsidRDefault="00A02000" w:rsidP="00A2387B">
            <w:pPr>
              <w:pStyle w:val="CommentText"/>
              <w:numPr>
                <w:ilvl w:val="0"/>
                <w:numId w:val="15"/>
              </w:numPr>
              <w:spacing w:before="60" w:after="100"/>
              <w:rPr>
                <w:lang w:val="en-US"/>
              </w:rPr>
            </w:pPr>
            <w:r w:rsidRPr="009F27AA">
              <w:rPr>
                <w:lang w:val="en-US"/>
              </w:rPr>
              <w:t>Investing in nation building infrastructure</w:t>
            </w:r>
          </w:p>
          <w:p w14:paraId="6D935C4F" w14:textId="77777777" w:rsidR="00A02000" w:rsidRPr="009F27AA" w:rsidRDefault="00A02000" w:rsidP="00A2387B">
            <w:pPr>
              <w:pStyle w:val="CommentText"/>
              <w:numPr>
                <w:ilvl w:val="0"/>
                <w:numId w:val="15"/>
              </w:numPr>
              <w:spacing w:before="60" w:after="100"/>
              <w:rPr>
                <w:lang w:val="en-US"/>
              </w:rPr>
            </w:pPr>
            <w:r w:rsidRPr="009F27AA">
              <w:rPr>
                <w:lang w:val="en-US"/>
              </w:rPr>
              <w:t>Supporting human development</w:t>
            </w:r>
          </w:p>
        </w:tc>
      </w:tr>
    </w:tbl>
    <w:p w14:paraId="1B254341" w14:textId="77777777" w:rsidR="00A02000" w:rsidRDefault="00A02000" w:rsidP="00A716D9">
      <w:pPr>
        <w:rPr>
          <w:lang w:eastAsia="en-AU"/>
        </w:rPr>
      </w:pPr>
    </w:p>
    <w:p w14:paraId="7F91E3E2" w14:textId="77777777" w:rsidR="00A02000" w:rsidRDefault="00A02000">
      <w:pPr>
        <w:spacing w:before="0" w:after="0"/>
        <w:rPr>
          <w:lang w:eastAsia="en-AU"/>
        </w:rPr>
      </w:pPr>
      <w:r>
        <w:rPr>
          <w:lang w:eastAsia="en-AU"/>
        </w:rPr>
        <w:br w:type="page"/>
      </w: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9954"/>
      </w:tblGrid>
      <w:tr w:rsidR="00293AD0" w:rsidRPr="009F27AA" w14:paraId="7EE83725" w14:textId="77777777" w:rsidTr="00473C45">
        <w:trPr>
          <w:trHeight w:val="353"/>
        </w:trPr>
        <w:tc>
          <w:tcPr>
            <w:tcW w:w="2126" w:type="dxa"/>
            <w:shd w:val="clear" w:color="auto" w:fill="FABF8F" w:themeFill="accent6" w:themeFillTint="99"/>
          </w:tcPr>
          <w:p w14:paraId="1AE05C0D" w14:textId="77777777" w:rsidR="00293AD0" w:rsidRPr="009F27AA" w:rsidRDefault="00293AD0" w:rsidP="00473C45">
            <w:pPr>
              <w:spacing w:before="60" w:after="100"/>
              <w:rPr>
                <w:b/>
                <w:szCs w:val="20"/>
              </w:rPr>
            </w:pPr>
            <w:r w:rsidRPr="009F27AA">
              <w:rPr>
                <w:b/>
                <w:szCs w:val="20"/>
              </w:rPr>
              <w:lastRenderedPageBreak/>
              <w:t xml:space="preserve">Key question </w:t>
            </w:r>
          </w:p>
        </w:tc>
        <w:tc>
          <w:tcPr>
            <w:tcW w:w="19954" w:type="dxa"/>
            <w:shd w:val="clear" w:color="auto" w:fill="FABF8F" w:themeFill="accent6" w:themeFillTint="99"/>
          </w:tcPr>
          <w:p w14:paraId="2C381772" w14:textId="77777777" w:rsidR="00293AD0" w:rsidRPr="009F27AA" w:rsidRDefault="00293AD0" w:rsidP="00473C45">
            <w:pPr>
              <w:pStyle w:val="Nospacingbeforeorafter"/>
              <w:spacing w:before="60" w:after="60"/>
              <w:rPr>
                <w:b/>
                <w:szCs w:val="20"/>
              </w:rPr>
            </w:pPr>
            <w:r w:rsidRPr="009F27AA">
              <w:rPr>
                <w:b/>
                <w:szCs w:val="20"/>
              </w:rPr>
              <w:t xml:space="preserve">Overall finding: </w:t>
            </w:r>
          </w:p>
        </w:tc>
      </w:tr>
      <w:tr w:rsidR="00293AD0" w:rsidRPr="009F27AA" w14:paraId="0724DA8F" w14:textId="77777777" w:rsidTr="00473C45">
        <w:trPr>
          <w:trHeight w:val="564"/>
        </w:trPr>
        <w:tc>
          <w:tcPr>
            <w:tcW w:w="2126" w:type="dxa"/>
            <w:shd w:val="clear" w:color="auto" w:fill="FBD4B4" w:themeFill="accent6" w:themeFillTint="66"/>
          </w:tcPr>
          <w:p w14:paraId="2D987244" w14:textId="77777777" w:rsidR="00293AD0" w:rsidRPr="009F27AA" w:rsidRDefault="00293AD0" w:rsidP="00A2387B">
            <w:pPr>
              <w:pStyle w:val="tabletext0"/>
              <w:numPr>
                <w:ilvl w:val="0"/>
                <w:numId w:val="12"/>
              </w:numPr>
              <w:tabs>
                <w:tab w:val="left" w:pos="250"/>
              </w:tabs>
              <w:spacing w:before="100" w:after="100"/>
              <w:ind w:left="22" w:right="45" w:hanging="22"/>
              <w:rPr>
                <w:b/>
                <w:szCs w:val="20"/>
              </w:rPr>
            </w:pPr>
            <w:r w:rsidRPr="009F27AA">
              <w:rPr>
                <w:rFonts w:eastAsia="Times"/>
                <w:b/>
                <w:iCs w:val="0"/>
                <w:szCs w:val="20"/>
              </w:rPr>
              <w:t>What areas of infrastructure/services would be most strategic for DFAT to support and why?</w:t>
            </w:r>
          </w:p>
        </w:tc>
        <w:tc>
          <w:tcPr>
            <w:tcW w:w="19954" w:type="dxa"/>
            <w:tcBorders>
              <w:bottom w:val="single" w:sz="6" w:space="0" w:color="E26E00"/>
            </w:tcBorders>
            <w:shd w:val="clear" w:color="auto" w:fill="FBD4B4" w:themeFill="accent6" w:themeFillTint="66"/>
          </w:tcPr>
          <w:p w14:paraId="4C645CDD" w14:textId="77777777" w:rsidR="00293AD0" w:rsidRPr="009F27AA" w:rsidRDefault="00293AD0" w:rsidP="00473C45">
            <w:pPr>
              <w:pStyle w:val="Nospacingbeforeorafter"/>
              <w:rPr>
                <w:szCs w:val="20"/>
                <w:lang w:val="en-US"/>
              </w:rPr>
            </w:pPr>
            <w:r w:rsidRPr="009F27AA">
              <w:rPr>
                <w:b/>
                <w:szCs w:val="20"/>
                <w:lang w:val="en-US"/>
              </w:rPr>
              <w:t>[</w:t>
            </w:r>
            <w:r w:rsidR="002E6609">
              <w:rPr>
                <w:b/>
                <w:szCs w:val="20"/>
              </w:rPr>
              <w:t>OBJECTIVE</w:t>
            </w:r>
            <w:r w:rsidRPr="009F27AA">
              <w:rPr>
                <w:b/>
                <w:szCs w:val="20"/>
                <w:lang w:val="en-US"/>
              </w:rPr>
              <w:t xml:space="preserve"> </w:t>
            </w:r>
            <w:r w:rsidR="00623CAA">
              <w:rPr>
                <w:b/>
                <w:szCs w:val="20"/>
                <w:lang w:val="en-US"/>
              </w:rPr>
              <w:t>1</w:t>
            </w:r>
            <w:r w:rsidRPr="009F27AA">
              <w:rPr>
                <w:b/>
                <w:szCs w:val="20"/>
                <w:lang w:val="en-US"/>
              </w:rPr>
              <w:t xml:space="preserve">] – </w:t>
            </w:r>
            <w:r w:rsidR="00E062C0" w:rsidRPr="001E205B">
              <w:rPr>
                <w:b/>
                <w:lang w:eastAsia="en-AU"/>
              </w:rPr>
              <w:t>Government of Nauru to embed</w:t>
            </w:r>
            <w:r w:rsidR="00E062C0">
              <w:rPr>
                <w:b/>
                <w:lang w:eastAsia="en-AU"/>
              </w:rPr>
              <w:t xml:space="preserve"> and implement</w:t>
            </w:r>
            <w:r w:rsidR="00E062C0" w:rsidRPr="001E205B">
              <w:rPr>
                <w:b/>
                <w:lang w:eastAsia="en-AU"/>
              </w:rPr>
              <w:t xml:space="preserve"> a robust and strategic infrastructure framework for prioritisation and selection of investments.</w:t>
            </w:r>
            <w:r w:rsidRPr="009F27AA">
              <w:rPr>
                <w:b/>
                <w:szCs w:val="20"/>
                <w:lang w:val="en-US"/>
              </w:rPr>
              <w:t xml:space="preserve"> </w:t>
            </w:r>
            <w:r w:rsidRPr="009F27AA">
              <w:rPr>
                <w:szCs w:val="20"/>
                <w:lang w:val="en-US"/>
              </w:rPr>
              <w:t xml:space="preserve">The GoN has established the Nauru Infrastructure &amp; Asset Management Steering Committee (NIAMSC) to develop a Nauru Infrastructure Asset Management Framework (NIAMF) and National Infrastructure Investment and Management Strategy (NIIMS) to set the direction for infrastructure investments and asset management for the next 5 to 10 years. The Pacific Regional Infrastructure Facility (PRIF), of which DFAT is a partner and co-funder, are supporting this activity. </w:t>
            </w:r>
            <w:r w:rsidRPr="009F27AA">
              <w:rPr>
                <w:szCs w:val="20"/>
              </w:rPr>
              <w:t xml:space="preserve"> Given the critical importance of gains in this area, it would be in DFAT’s interests to support the program to enhance effectiveness of outcomes. </w:t>
            </w:r>
            <w:r w:rsidRPr="009F27AA">
              <w:rPr>
                <w:szCs w:val="20"/>
                <w:lang w:val="en-US"/>
              </w:rPr>
              <w:t>It is recommended that DFAT support GoN to:</w:t>
            </w:r>
          </w:p>
          <w:p w14:paraId="414B7309" w14:textId="77777777" w:rsidR="00CA7EA8" w:rsidRPr="00CA7EA8" w:rsidRDefault="00CA7EA8" w:rsidP="00A2387B">
            <w:pPr>
              <w:pStyle w:val="Nospacingbeforeorafter"/>
              <w:numPr>
                <w:ilvl w:val="0"/>
                <w:numId w:val="18"/>
              </w:numPr>
              <w:spacing w:before="120"/>
              <w:ind w:left="714" w:hanging="357"/>
              <w:rPr>
                <w:szCs w:val="20"/>
                <w:lang w:val="en-US"/>
              </w:rPr>
            </w:pPr>
            <w:r>
              <w:rPr>
                <w:szCs w:val="20"/>
                <w:lang w:val="en-US"/>
              </w:rPr>
              <w:t xml:space="preserve">Develop an </w:t>
            </w:r>
            <w:r w:rsidRPr="00CA7EA8">
              <w:rPr>
                <w:b/>
                <w:szCs w:val="20"/>
                <w:lang w:val="en-US"/>
              </w:rPr>
              <w:t>Infrastructure Strategy for DFAT</w:t>
            </w:r>
            <w:r>
              <w:rPr>
                <w:szCs w:val="20"/>
                <w:lang w:val="en-US"/>
              </w:rPr>
              <w:t xml:space="preserve"> Nauru that align with the NIAMF and NIIMS, and support them as the platform to inform infrastructure investments through GoN budget allocations and requests for funding </w:t>
            </w:r>
            <w:r w:rsidR="00B3708A">
              <w:rPr>
                <w:szCs w:val="20"/>
                <w:lang w:val="en-US"/>
              </w:rPr>
              <w:t>from DFAT and other development partners;</w:t>
            </w:r>
          </w:p>
          <w:p w14:paraId="0688F791" w14:textId="77777777" w:rsidR="00293AD0" w:rsidRPr="009F27AA" w:rsidRDefault="00293AD0" w:rsidP="00A2387B">
            <w:pPr>
              <w:pStyle w:val="Nospacingbeforeorafter"/>
              <w:numPr>
                <w:ilvl w:val="0"/>
                <w:numId w:val="18"/>
              </w:numPr>
              <w:spacing w:before="120"/>
              <w:ind w:left="714" w:hanging="357"/>
              <w:rPr>
                <w:szCs w:val="20"/>
                <w:lang w:val="en-US"/>
              </w:rPr>
            </w:pPr>
            <w:r w:rsidRPr="009F27AA">
              <w:rPr>
                <w:szCs w:val="20"/>
              </w:rPr>
              <w:t>Analyse</w:t>
            </w:r>
            <w:r w:rsidRPr="009F27AA">
              <w:rPr>
                <w:b/>
                <w:szCs w:val="20"/>
              </w:rPr>
              <w:t xml:space="preserve"> lessons learned</w:t>
            </w:r>
            <w:r w:rsidRPr="009F27AA">
              <w:rPr>
                <w:szCs w:val="20"/>
              </w:rPr>
              <w:t xml:space="preserve"> from the 2011 NEISIP activity delivered by PRIF, which was revised in 2013, to determine if any adjustments to the approach are needed</w:t>
            </w:r>
            <w:r w:rsidR="0049293C">
              <w:rPr>
                <w:szCs w:val="20"/>
              </w:rPr>
              <w:t xml:space="preserve"> </w:t>
            </w:r>
            <w:r w:rsidR="0049293C">
              <w:rPr>
                <w:lang w:eastAsia="en-AU"/>
              </w:rPr>
              <w:t xml:space="preserve">and support </w:t>
            </w:r>
            <w:r w:rsidR="0049293C" w:rsidRPr="00051908">
              <w:rPr>
                <w:b/>
                <w:lang w:eastAsia="en-AU"/>
              </w:rPr>
              <w:t xml:space="preserve">a quality peer review </w:t>
            </w:r>
            <w:r w:rsidR="0049293C" w:rsidRPr="0064122B">
              <w:rPr>
                <w:lang w:eastAsia="en-AU"/>
              </w:rPr>
              <w:t>of NIAMF, NIIMS and associated documents is undertaken (through PRIF</w:t>
            </w:r>
            <w:r w:rsidR="0049293C">
              <w:rPr>
                <w:lang w:eastAsia="en-AU"/>
              </w:rPr>
              <w:t xml:space="preserve">, </w:t>
            </w:r>
            <w:r w:rsidR="0049293C" w:rsidRPr="0064122B">
              <w:rPr>
                <w:lang w:eastAsia="en-AU"/>
              </w:rPr>
              <w:t>independently</w:t>
            </w:r>
            <w:r w:rsidR="0049293C">
              <w:rPr>
                <w:lang w:eastAsia="en-AU"/>
              </w:rPr>
              <w:t xml:space="preserve"> and including DFAT feedback</w:t>
            </w:r>
            <w:r w:rsidR="0049293C" w:rsidRPr="0064122B">
              <w:rPr>
                <w:lang w:eastAsia="en-AU"/>
              </w:rPr>
              <w:t xml:space="preserve">) to </w:t>
            </w:r>
            <w:r w:rsidR="0049293C">
              <w:rPr>
                <w:lang w:eastAsia="en-AU"/>
              </w:rPr>
              <w:t xml:space="preserve">ensure robust </w:t>
            </w:r>
            <w:r w:rsidR="0049293C" w:rsidRPr="0064122B">
              <w:rPr>
                <w:lang w:eastAsia="en-AU"/>
              </w:rPr>
              <w:t>analysis</w:t>
            </w:r>
            <w:r w:rsidRPr="009F27AA">
              <w:rPr>
                <w:szCs w:val="20"/>
              </w:rPr>
              <w:t>;</w:t>
            </w:r>
          </w:p>
          <w:p w14:paraId="4F8E1A3D" w14:textId="77777777" w:rsidR="00293AD0" w:rsidRPr="009F27AA" w:rsidRDefault="00293AD0" w:rsidP="00A2387B">
            <w:pPr>
              <w:pStyle w:val="Nospacingbeforeorafter"/>
              <w:numPr>
                <w:ilvl w:val="0"/>
                <w:numId w:val="18"/>
              </w:numPr>
              <w:ind w:left="714" w:hanging="357"/>
              <w:rPr>
                <w:szCs w:val="20"/>
                <w:lang w:val="en-US"/>
              </w:rPr>
            </w:pPr>
            <w:r w:rsidRPr="009F27AA">
              <w:rPr>
                <w:b/>
                <w:szCs w:val="20"/>
              </w:rPr>
              <w:t xml:space="preserve">Develop the </w:t>
            </w:r>
            <w:r w:rsidRPr="009F27AA">
              <w:rPr>
                <w:b/>
                <w:szCs w:val="20"/>
                <w:lang w:val="en-US"/>
              </w:rPr>
              <w:t>capacity</w:t>
            </w:r>
            <w:r w:rsidRPr="009F27AA">
              <w:rPr>
                <w:szCs w:val="20"/>
                <w:lang w:val="en-US"/>
              </w:rPr>
              <w:t xml:space="preserve"> </w:t>
            </w:r>
            <w:r w:rsidRPr="009F27AA">
              <w:rPr>
                <w:b/>
                <w:szCs w:val="20"/>
                <w:lang w:val="en-US"/>
              </w:rPr>
              <w:t>of GoN</w:t>
            </w:r>
            <w:r w:rsidRPr="009F27AA">
              <w:rPr>
                <w:szCs w:val="20"/>
                <w:lang w:val="en-US"/>
              </w:rPr>
              <w:t xml:space="preserve"> to periodically update the NIAMF, NIIMS and associated documents to inform infrastructure project prioritization over time (such as through a long-term embedded PACTAM advisor); </w:t>
            </w:r>
            <w:r w:rsidR="00CA7EA8">
              <w:rPr>
                <w:szCs w:val="20"/>
                <w:lang w:val="en-US"/>
              </w:rPr>
              <w:t>and</w:t>
            </w:r>
          </w:p>
          <w:p w14:paraId="19918894" w14:textId="77777777" w:rsidR="0054018A" w:rsidRDefault="00293AD0" w:rsidP="00E74A45">
            <w:pPr>
              <w:pStyle w:val="Nospacingbeforeorafter"/>
              <w:numPr>
                <w:ilvl w:val="0"/>
                <w:numId w:val="18"/>
              </w:numPr>
              <w:spacing w:before="120"/>
              <w:rPr>
                <w:szCs w:val="20"/>
              </w:rPr>
            </w:pPr>
            <w:r w:rsidRPr="00CA7EA8">
              <w:rPr>
                <w:b/>
                <w:szCs w:val="20"/>
              </w:rPr>
              <w:t xml:space="preserve">Coordinate and harmonize </w:t>
            </w:r>
            <w:r w:rsidRPr="00CA7EA8">
              <w:rPr>
                <w:szCs w:val="20"/>
              </w:rPr>
              <w:t>with development partners as a key part of the process of selecting infrastructure investments to ensure that the highest priority projects are supported and opportunities to leverage the strategic advantages of each development partner are identified, as well as opportunities to co-fund or otherwise collaborate to leverage available funds. The PRIF mechanism could be a platform to facilitate coordination across Nauru’s infrastructure investments.</w:t>
            </w:r>
          </w:p>
          <w:p w14:paraId="7F315740" w14:textId="77777777" w:rsidR="00623CAA" w:rsidRPr="009F27AA" w:rsidRDefault="00623CAA" w:rsidP="00623CAA">
            <w:pPr>
              <w:pStyle w:val="Nospacingbeforeorafter"/>
              <w:spacing w:before="120" w:after="120"/>
              <w:rPr>
                <w:szCs w:val="20"/>
              </w:rPr>
            </w:pPr>
            <w:r w:rsidRPr="009F27AA">
              <w:rPr>
                <w:b/>
                <w:szCs w:val="20"/>
              </w:rPr>
              <w:t>[</w:t>
            </w:r>
            <w:r>
              <w:rPr>
                <w:b/>
                <w:szCs w:val="20"/>
              </w:rPr>
              <w:t>OBJECTIVE</w:t>
            </w:r>
            <w:r w:rsidRPr="009F27AA">
              <w:rPr>
                <w:b/>
                <w:szCs w:val="20"/>
              </w:rPr>
              <w:t xml:space="preserve"> </w:t>
            </w:r>
            <w:r>
              <w:rPr>
                <w:b/>
                <w:szCs w:val="20"/>
              </w:rPr>
              <w:t>2</w:t>
            </w:r>
            <w:r w:rsidRPr="009F27AA">
              <w:rPr>
                <w:b/>
                <w:szCs w:val="20"/>
              </w:rPr>
              <w:t xml:space="preserve">] – To retain the value </w:t>
            </w:r>
            <w:r>
              <w:rPr>
                <w:b/>
                <w:szCs w:val="20"/>
              </w:rPr>
              <w:t xml:space="preserve">for money proposition </w:t>
            </w:r>
            <w:r w:rsidRPr="009F27AA">
              <w:rPr>
                <w:b/>
                <w:szCs w:val="20"/>
              </w:rPr>
              <w:t>of investments made</w:t>
            </w:r>
            <w:r w:rsidRPr="009F27AA">
              <w:rPr>
                <w:szCs w:val="20"/>
              </w:rPr>
              <w:t xml:space="preserve"> to date, DFAT to focus on these key areas going forward:</w:t>
            </w:r>
          </w:p>
          <w:p w14:paraId="22ED2903" w14:textId="3FEB3D83" w:rsidR="00623CAA" w:rsidRPr="009F27AA" w:rsidRDefault="00623CAA" w:rsidP="00F5286F">
            <w:pPr>
              <w:pStyle w:val="Nospacingbeforeorafter"/>
              <w:numPr>
                <w:ilvl w:val="0"/>
                <w:numId w:val="35"/>
              </w:numPr>
              <w:spacing w:before="120"/>
              <w:rPr>
                <w:szCs w:val="20"/>
              </w:rPr>
            </w:pPr>
            <w:r w:rsidRPr="009F27AA">
              <w:rPr>
                <w:b/>
                <w:szCs w:val="20"/>
              </w:rPr>
              <w:t xml:space="preserve">Asset Maintenance. </w:t>
            </w:r>
            <w:r w:rsidRPr="009F27AA">
              <w:rPr>
                <w:szCs w:val="20"/>
              </w:rPr>
              <w:t>Ensuring GoN has the ability to maintain assets sustainably over the asset lifecycle. The cost of assets provided by Australia degrading and needing to be replaced prematurely is a reputational ri</w:t>
            </w:r>
            <w:r w:rsidR="007A7F56">
              <w:rPr>
                <w:szCs w:val="20"/>
              </w:rPr>
              <w:t>sk</w:t>
            </w:r>
            <w:r w:rsidRPr="009F27AA">
              <w:rPr>
                <w:szCs w:val="20"/>
              </w:rPr>
              <w:t>, contributes to an ongoing need for external funding and reduces the value for money proposition of each investment.</w:t>
            </w:r>
          </w:p>
          <w:p w14:paraId="7F4B2E2E" w14:textId="77777777" w:rsidR="00623CAA" w:rsidRPr="009F27AA" w:rsidRDefault="00623CAA" w:rsidP="00F5286F">
            <w:pPr>
              <w:pStyle w:val="Nospacingbeforeorafter"/>
              <w:numPr>
                <w:ilvl w:val="0"/>
                <w:numId w:val="35"/>
              </w:numPr>
              <w:ind w:left="714" w:hanging="357"/>
              <w:rPr>
                <w:szCs w:val="20"/>
              </w:rPr>
            </w:pPr>
            <w:r w:rsidRPr="009F27AA">
              <w:rPr>
                <w:b/>
                <w:szCs w:val="20"/>
              </w:rPr>
              <w:t xml:space="preserve">Continuation of the NUC CEO. </w:t>
            </w:r>
            <w:r w:rsidRPr="009F27AA">
              <w:rPr>
                <w:szCs w:val="20"/>
              </w:rPr>
              <w:t xml:space="preserve">Significant gains have been made through the NUC in stabilising the electricity supply and improvements in water delivery, of which DFAT contributed not only the PACTAM Advisor (NUC CEO) but also contributed to the capital costs of two diesel generators and associated infrastructure. The value of this investment is not yet secured, as gains will likely be lost if ongoing support to the NUC CEO is not continued until a long-term sustainability strategy can be implemented. It is recommended that a sustainability strategy, with clear time frames articulated, would be a key deliverable for the NUC CEO. </w:t>
            </w:r>
          </w:p>
          <w:p w14:paraId="02378F9A" w14:textId="77777777" w:rsidR="001623A7" w:rsidRPr="001623A7" w:rsidRDefault="00623CAA" w:rsidP="00F5286F">
            <w:pPr>
              <w:pStyle w:val="Nospacingbeforeorafter"/>
              <w:numPr>
                <w:ilvl w:val="0"/>
                <w:numId w:val="35"/>
              </w:numPr>
              <w:spacing w:before="120"/>
              <w:rPr>
                <w:szCs w:val="20"/>
              </w:rPr>
            </w:pPr>
            <w:r w:rsidRPr="001623A7">
              <w:rPr>
                <w:b/>
                <w:szCs w:val="20"/>
              </w:rPr>
              <w:t>RON Hospital.</w:t>
            </w:r>
            <w:r w:rsidRPr="001623A7">
              <w:rPr>
                <w:szCs w:val="20"/>
              </w:rPr>
              <w:t xml:space="preserve"> </w:t>
            </w:r>
            <w:r w:rsidR="001623A7" w:rsidRPr="001623A7">
              <w:rPr>
                <w:szCs w:val="20"/>
              </w:rPr>
              <w:t>Within the next two years, the RON hospital needs further assessment interventions to enhance current facilities and extend the life of the modular structure situated close to corrosive marine environment. Support for short term maintenance may be necessary in the interim.</w:t>
            </w:r>
          </w:p>
          <w:p w14:paraId="288CC836" w14:textId="77777777" w:rsidR="00623CAA" w:rsidRPr="005B456D" w:rsidRDefault="00623CAA" w:rsidP="00F5286F">
            <w:pPr>
              <w:pStyle w:val="Nospacingbeforeorafter"/>
              <w:numPr>
                <w:ilvl w:val="0"/>
                <w:numId w:val="35"/>
              </w:numPr>
              <w:spacing w:before="120"/>
              <w:ind w:left="714" w:hanging="357"/>
              <w:rPr>
                <w:szCs w:val="20"/>
              </w:rPr>
            </w:pPr>
            <w:r w:rsidRPr="009F27AA">
              <w:rPr>
                <w:b/>
                <w:szCs w:val="20"/>
              </w:rPr>
              <w:t>DFAT’s Strengths and Capacity</w:t>
            </w:r>
            <w:r w:rsidRPr="009F27AA">
              <w:rPr>
                <w:szCs w:val="20"/>
              </w:rPr>
              <w:t>. DFAT is better placed to support on larger projects, instead of a number of smaller projects, to utilise government systems whilst best delivering project outcomes. Additional resourcing within DFAT to manage the infrastructure portfolio may also needed to ensure suitable oversight can be provided to existing commitments (in particular the new port), as well as to support recommendations 2 and 3</w:t>
            </w:r>
            <w:r>
              <w:rPr>
                <w:szCs w:val="20"/>
              </w:rPr>
              <w:t xml:space="preserve">. </w:t>
            </w:r>
          </w:p>
          <w:p w14:paraId="3BE97B1D" w14:textId="77777777" w:rsidR="00293AD0" w:rsidRPr="009F27AA" w:rsidRDefault="00293AD0" w:rsidP="00473C45">
            <w:pPr>
              <w:pStyle w:val="Nospacingbeforeorafter"/>
              <w:spacing w:before="80"/>
              <w:rPr>
                <w:szCs w:val="20"/>
              </w:rPr>
            </w:pPr>
            <w:r w:rsidRPr="009F27AA">
              <w:rPr>
                <w:szCs w:val="20"/>
              </w:rPr>
              <w:t>Realistic expectations would be needed regarding the longevity of engagement and level of support needed to deliver sustained capacity, considering constraints such as the political economy and likely long-term lack of human resources typical of a micro-state. The recently established Ministry of Infrastructure Development would likely need embedded support to establish their role and ability to deliver necessary results.</w:t>
            </w:r>
          </w:p>
        </w:tc>
      </w:tr>
    </w:tbl>
    <w:tbl>
      <w:tblPr>
        <w:tblStyle w:val="TableGrid"/>
        <w:tblpPr w:leftFromText="181" w:rightFromText="181" w:topFromText="102" w:bottomFromText="102" w:vertAnchor="text" w:horzAnchor="margin" w:tblpX="-577" w:tblpY="1"/>
        <w:tblOverlap w:val="never"/>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13317"/>
        <w:gridCol w:w="8763"/>
      </w:tblGrid>
      <w:tr w:rsidR="005B456D" w:rsidRPr="009F27AA" w14:paraId="5FF82006" w14:textId="77777777" w:rsidTr="00E74A45">
        <w:trPr>
          <w:trHeight w:val="419"/>
        </w:trPr>
        <w:tc>
          <w:tcPr>
            <w:tcW w:w="13317" w:type="dxa"/>
            <w:tcBorders>
              <w:top w:val="single" w:sz="6" w:space="0" w:color="E26E00"/>
              <w:left w:val="single" w:sz="6" w:space="0" w:color="E26E00"/>
              <w:bottom w:val="single" w:sz="6" w:space="0" w:color="E26E00"/>
              <w:right w:val="single" w:sz="6" w:space="0" w:color="E26E00"/>
            </w:tcBorders>
            <w:shd w:val="clear" w:color="auto" w:fill="FABF8F" w:themeFill="accent6" w:themeFillTint="99"/>
          </w:tcPr>
          <w:p w14:paraId="2BE15D51" w14:textId="77777777" w:rsidR="005B456D" w:rsidRPr="009F27AA" w:rsidRDefault="005B456D" w:rsidP="00E74A45">
            <w:pPr>
              <w:spacing w:before="80" w:beforeAutospacing="0" w:after="40" w:afterAutospacing="0"/>
              <w:rPr>
                <w:b/>
                <w:szCs w:val="20"/>
              </w:rPr>
            </w:pPr>
            <w:r w:rsidRPr="009F27AA">
              <w:rPr>
                <w:b/>
                <w:szCs w:val="20"/>
              </w:rPr>
              <w:t xml:space="preserve">Evidence </w:t>
            </w:r>
          </w:p>
        </w:tc>
        <w:tc>
          <w:tcPr>
            <w:tcW w:w="8763" w:type="dxa"/>
            <w:tcBorders>
              <w:top w:val="single" w:sz="6" w:space="0" w:color="E26E00"/>
              <w:left w:val="single" w:sz="6" w:space="0" w:color="E26E00"/>
              <w:bottom w:val="single" w:sz="6" w:space="0" w:color="E26E00"/>
              <w:right w:val="single" w:sz="6" w:space="0" w:color="E26E00"/>
            </w:tcBorders>
            <w:shd w:val="clear" w:color="auto" w:fill="FABF8F" w:themeFill="accent6" w:themeFillTint="99"/>
            <w:hideMark/>
          </w:tcPr>
          <w:p w14:paraId="7FC5BD32" w14:textId="77777777" w:rsidR="005B456D" w:rsidRPr="009F27AA" w:rsidRDefault="005B456D" w:rsidP="00E74A45">
            <w:pPr>
              <w:pStyle w:val="Nospacingbeforeorafter"/>
              <w:spacing w:before="60" w:beforeAutospacing="0" w:after="60" w:afterAutospacing="0"/>
              <w:rPr>
                <w:b/>
                <w:szCs w:val="20"/>
              </w:rPr>
            </w:pPr>
            <w:r w:rsidRPr="009F27AA">
              <w:rPr>
                <w:b/>
                <w:szCs w:val="20"/>
                <w:lang w:val="en-US"/>
              </w:rPr>
              <w:t>Findings</w:t>
            </w:r>
          </w:p>
        </w:tc>
      </w:tr>
      <w:tr w:rsidR="005B456D" w:rsidRPr="009F27AA" w14:paraId="398C3551" w14:textId="77777777" w:rsidTr="00E74A45">
        <w:trPr>
          <w:trHeight w:val="419"/>
        </w:trPr>
        <w:tc>
          <w:tcPr>
            <w:tcW w:w="13317" w:type="dxa"/>
            <w:tcBorders>
              <w:top w:val="single" w:sz="6" w:space="0" w:color="E26E00"/>
              <w:left w:val="single" w:sz="6" w:space="0" w:color="E26E00"/>
              <w:bottom w:val="single" w:sz="6" w:space="0" w:color="E26E00"/>
              <w:right w:val="single" w:sz="6" w:space="0" w:color="E26E00"/>
            </w:tcBorders>
            <w:shd w:val="clear" w:color="auto" w:fill="FFFFFF" w:themeFill="background1"/>
          </w:tcPr>
          <w:p w14:paraId="4CF15F92" w14:textId="77777777" w:rsidR="005B456D" w:rsidRPr="009F27AA" w:rsidRDefault="005B456D" w:rsidP="00E74A45">
            <w:pPr>
              <w:pStyle w:val="Tablebullet"/>
              <w:numPr>
                <w:ilvl w:val="0"/>
                <w:numId w:val="0"/>
              </w:numPr>
              <w:spacing w:before="40" w:after="100"/>
              <w:rPr>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government documents and primary interviews)</w:t>
            </w:r>
          </w:p>
          <w:p w14:paraId="62EC3243" w14:textId="77777777" w:rsidR="005B456D" w:rsidRPr="009F27AA" w:rsidRDefault="005B456D" w:rsidP="00E74A45">
            <w:pPr>
              <w:pStyle w:val="Tablebullet"/>
              <w:numPr>
                <w:ilvl w:val="0"/>
                <w:numId w:val="0"/>
              </w:numPr>
              <w:spacing w:beforeAutospacing="0" w:afterAutospacing="0"/>
              <w:rPr>
                <w:szCs w:val="20"/>
                <w:highlight w:val="yellow"/>
                <w:lang w:val="en-US" w:eastAsia="en-US"/>
              </w:rPr>
            </w:pPr>
            <w:r w:rsidRPr="009F27AA">
              <w:rPr>
                <w:b/>
                <w:szCs w:val="20"/>
                <w:lang w:val="en-US" w:eastAsia="en-US"/>
              </w:rPr>
              <w:t>[EVIDENCE 1]</w:t>
            </w:r>
            <w:r w:rsidRPr="009F27AA">
              <w:rPr>
                <w:szCs w:val="20"/>
                <w:lang w:val="en-US" w:eastAsia="en-US"/>
              </w:rPr>
              <w:t xml:space="preserve"> – It is commonly accepted that following recommended maintenance schedules for assets is necessary to ensure the asset is functional for its expected life span, and that by not undertaking suitable maintenance the return on investment of an asset is likely reduced. </w:t>
            </w:r>
          </w:p>
          <w:p w14:paraId="1A512675" w14:textId="77777777" w:rsidR="005B456D" w:rsidRPr="009F27AA" w:rsidRDefault="005B456D" w:rsidP="00E74A45">
            <w:pPr>
              <w:pStyle w:val="Tablebullet"/>
              <w:numPr>
                <w:ilvl w:val="0"/>
                <w:numId w:val="0"/>
              </w:numPr>
              <w:spacing w:beforeAutospacing="0" w:afterAutospacing="0"/>
              <w:rPr>
                <w:szCs w:val="20"/>
                <w:highlight w:val="yellow"/>
                <w:lang w:val="en-US" w:eastAsia="en-US"/>
              </w:rPr>
            </w:pPr>
          </w:p>
          <w:p w14:paraId="363D227B" w14:textId="77777777" w:rsidR="005B456D" w:rsidRPr="009F27AA" w:rsidRDefault="005B456D" w:rsidP="00E74A45">
            <w:pPr>
              <w:pStyle w:val="Tablebullet"/>
              <w:numPr>
                <w:ilvl w:val="0"/>
                <w:numId w:val="0"/>
              </w:numPr>
              <w:spacing w:beforeAutospacing="0" w:afterAutospacing="0"/>
              <w:rPr>
                <w:szCs w:val="20"/>
              </w:rPr>
            </w:pPr>
            <w:r w:rsidRPr="009F27AA">
              <w:rPr>
                <w:b/>
                <w:szCs w:val="20"/>
                <w:lang w:val="en-US" w:eastAsia="en-US"/>
              </w:rPr>
              <w:t>[EVIDENCE 2]</w:t>
            </w:r>
            <w:r w:rsidRPr="009F27AA">
              <w:rPr>
                <w:szCs w:val="20"/>
                <w:lang w:val="en-US" w:eastAsia="en-US"/>
              </w:rPr>
              <w:t xml:space="preserve"> – </w:t>
            </w:r>
            <w:r w:rsidRPr="009F27AA">
              <w:rPr>
                <w:szCs w:val="20"/>
              </w:rPr>
              <w:t xml:space="preserve"> The</w:t>
            </w:r>
            <w:r w:rsidRPr="009F27AA">
              <w:rPr>
                <w:b/>
                <w:szCs w:val="20"/>
              </w:rPr>
              <w:t xml:space="preserve"> </w:t>
            </w:r>
            <w:r w:rsidRPr="009F27AA">
              <w:rPr>
                <w:szCs w:val="20"/>
              </w:rPr>
              <w:t xml:space="preserve">NUC CEO </w:t>
            </w:r>
            <w:r w:rsidRPr="009F27AA">
              <w:rPr>
                <w:b/>
                <w:szCs w:val="20"/>
              </w:rPr>
              <w:t xml:space="preserve">[INTERVIEW 11] </w:t>
            </w:r>
            <w:r w:rsidRPr="009F27AA">
              <w:rPr>
                <w:szCs w:val="20"/>
              </w:rPr>
              <w:t xml:space="preserve">presented evidence of the strategic plan set in place in 2014, and the achievements delivered since that date. Anecdotal evidence from a number of others interviewed also supported that the electricity supply had become more secure in that timeframe, and to a lesser extent, also the reliability and speed of water delivery services. However, the NUC CEO outlined that attempts to identify a suitable person to take over the position at the end of the PACTAM funding had not been successful, and it was the opinion of the NUC CEO that there were no members of the current team were not suitably skilled to step into the position. The General Manager is also Fijian and indicated that he would also depart when the CEO left, leaving a significant gap in leadership at the NUC. </w:t>
            </w:r>
          </w:p>
          <w:p w14:paraId="6260A990" w14:textId="77777777" w:rsidR="005B456D" w:rsidRPr="009F27AA" w:rsidRDefault="005B456D" w:rsidP="00E74A45">
            <w:pPr>
              <w:pStyle w:val="Tablebullet"/>
              <w:numPr>
                <w:ilvl w:val="0"/>
                <w:numId w:val="0"/>
              </w:numPr>
              <w:spacing w:beforeAutospacing="0" w:afterAutospacing="0"/>
              <w:rPr>
                <w:szCs w:val="20"/>
                <w:highlight w:val="yellow"/>
                <w:lang w:val="en-US" w:eastAsia="en-US"/>
              </w:rPr>
            </w:pPr>
          </w:p>
          <w:p w14:paraId="3155F432" w14:textId="5AFE1DCD" w:rsidR="005B456D" w:rsidRPr="009F27AA" w:rsidRDefault="005B456D" w:rsidP="00E74A45">
            <w:pPr>
              <w:pStyle w:val="Tablebullet"/>
              <w:numPr>
                <w:ilvl w:val="0"/>
                <w:numId w:val="0"/>
              </w:numPr>
              <w:spacing w:beforeAutospacing="0" w:afterAutospacing="0"/>
              <w:rPr>
                <w:szCs w:val="20"/>
                <w:lang w:val="en-US" w:eastAsia="en-US"/>
              </w:rPr>
            </w:pPr>
            <w:r w:rsidRPr="009F27AA">
              <w:rPr>
                <w:b/>
                <w:szCs w:val="20"/>
                <w:lang w:val="en-US" w:eastAsia="en-US"/>
              </w:rPr>
              <w:t xml:space="preserve">[EVIDENCE 3] - </w:t>
            </w:r>
            <w:r w:rsidR="007A7F56">
              <w:rPr>
                <w:szCs w:val="20"/>
                <w:lang w:val="en-US" w:eastAsia="en-US"/>
              </w:rPr>
              <w:t xml:space="preserve"> Interviews with A&amp;L </w:t>
            </w:r>
            <w:r w:rsidRPr="009F27AA">
              <w:rPr>
                <w:szCs w:val="20"/>
                <w:lang w:val="en-US" w:eastAsia="en-US"/>
              </w:rPr>
              <w:t xml:space="preserve"> </w:t>
            </w:r>
            <w:r w:rsidR="007A7F56">
              <w:rPr>
                <w:b/>
                <w:szCs w:val="20"/>
                <w:lang w:val="en-US" w:eastAsia="en-US"/>
              </w:rPr>
              <w:t>[INTERVIEWS 22</w:t>
            </w:r>
            <w:r w:rsidRPr="009F27AA">
              <w:rPr>
                <w:b/>
                <w:szCs w:val="20"/>
                <w:lang w:val="en-US" w:eastAsia="en-US"/>
              </w:rPr>
              <w:t>]</w:t>
            </w:r>
            <w:r w:rsidRPr="009F27AA">
              <w:rPr>
                <w:szCs w:val="20"/>
                <w:lang w:val="en-US" w:eastAsia="en-US"/>
              </w:rPr>
              <w:t xml:space="preserve"> A&amp;L had undertaken a review of the hospital during construction of Phase 2, however noted that they are not building certifiers. A&amp;L stated that “we believe that an independent inspection of the current roofing should be carried out by a reliable roofing contractor to determine its overall condition and expected life and to suggest / develop a roof maintenance program for RONH”.</w:t>
            </w:r>
          </w:p>
          <w:p w14:paraId="4985F7CF" w14:textId="77777777" w:rsidR="005B456D" w:rsidRPr="009F27AA" w:rsidRDefault="005B456D" w:rsidP="00E74A45">
            <w:pPr>
              <w:pStyle w:val="Tablebullet"/>
              <w:numPr>
                <w:ilvl w:val="0"/>
                <w:numId w:val="0"/>
              </w:numPr>
              <w:spacing w:beforeAutospacing="0" w:afterAutospacing="0"/>
              <w:rPr>
                <w:szCs w:val="20"/>
                <w:lang w:val="en-US" w:eastAsia="en-US"/>
              </w:rPr>
            </w:pPr>
          </w:p>
          <w:p w14:paraId="33808B47" w14:textId="3A0DFBD9" w:rsidR="005B456D" w:rsidRPr="009F27AA" w:rsidRDefault="005B456D" w:rsidP="00E74A45">
            <w:pPr>
              <w:pStyle w:val="Tablebullet"/>
              <w:numPr>
                <w:ilvl w:val="0"/>
                <w:numId w:val="0"/>
              </w:numPr>
              <w:spacing w:beforeAutospacing="0" w:afterAutospacing="0"/>
              <w:rPr>
                <w:szCs w:val="20"/>
                <w:lang w:val="en-US" w:eastAsia="en-US"/>
              </w:rPr>
            </w:pPr>
            <w:r w:rsidRPr="009F27AA">
              <w:rPr>
                <w:b/>
                <w:szCs w:val="20"/>
                <w:lang w:val="en-US" w:eastAsia="en-US"/>
              </w:rPr>
              <w:t xml:space="preserve">[EVIDENCE 4] – </w:t>
            </w:r>
            <w:r w:rsidRPr="009F27AA">
              <w:rPr>
                <w:szCs w:val="20"/>
                <w:lang w:val="en-US" w:eastAsia="en-US"/>
              </w:rPr>
              <w:t xml:space="preserve">Based on observations from the review team and DFAT’s comments </w:t>
            </w:r>
            <w:r w:rsidRPr="009F27AA">
              <w:rPr>
                <w:b/>
                <w:szCs w:val="20"/>
                <w:lang w:val="en-US" w:eastAsia="en-US"/>
              </w:rPr>
              <w:t>[INTERVIEW 1]</w:t>
            </w:r>
            <w:r w:rsidRPr="009F27AA">
              <w:rPr>
                <w:szCs w:val="20"/>
                <w:lang w:val="en-US" w:eastAsia="en-US"/>
              </w:rPr>
              <w:t>, it appears that DFAT Nauru are under-resourced in terms of their ability to provide support to infrastructure projects. In order to deliver on the recommendations, particularly to strengthen GoN’s asset maintenance capabilities and to support DFAT’s interests in implementation of the Port, DFAT appear</w:t>
            </w:r>
            <w:r w:rsidR="007A7F56">
              <w:rPr>
                <w:szCs w:val="20"/>
                <w:lang w:val="en-US" w:eastAsia="en-US"/>
              </w:rPr>
              <w:t>s</w:t>
            </w:r>
            <w:r w:rsidRPr="009F27AA">
              <w:rPr>
                <w:szCs w:val="20"/>
                <w:lang w:val="en-US" w:eastAsia="en-US"/>
              </w:rPr>
              <w:t xml:space="preserve"> to need a dedicated resource for the infrastructure portfolio. </w:t>
            </w:r>
          </w:p>
          <w:p w14:paraId="656BFCC8" w14:textId="77777777" w:rsidR="005B456D" w:rsidRPr="009F27AA" w:rsidRDefault="005B456D" w:rsidP="00E74A45">
            <w:pPr>
              <w:pStyle w:val="Tablebullet"/>
              <w:numPr>
                <w:ilvl w:val="0"/>
                <w:numId w:val="0"/>
              </w:numPr>
              <w:spacing w:beforeAutospacing="0" w:afterAutospacing="0"/>
              <w:rPr>
                <w:szCs w:val="20"/>
                <w:lang w:val="en-US" w:eastAsia="en-US"/>
              </w:rPr>
            </w:pPr>
          </w:p>
          <w:p w14:paraId="7ACD6443" w14:textId="77777777" w:rsidR="005B456D" w:rsidRPr="009F27AA" w:rsidRDefault="005B456D" w:rsidP="00E74A45">
            <w:pPr>
              <w:pStyle w:val="Tablebullet"/>
              <w:numPr>
                <w:ilvl w:val="0"/>
                <w:numId w:val="0"/>
              </w:numPr>
              <w:spacing w:beforeAutospacing="0" w:afterAutospacing="0"/>
              <w:rPr>
                <w:b/>
                <w:szCs w:val="20"/>
                <w:lang w:val="en-US"/>
              </w:rPr>
            </w:pPr>
            <w:r w:rsidRPr="009F27AA">
              <w:rPr>
                <w:b/>
                <w:szCs w:val="20"/>
                <w:lang w:val="en-US" w:eastAsia="en-US"/>
              </w:rPr>
              <w:t>[EVIDENCE 5]</w:t>
            </w:r>
            <w:r w:rsidRPr="009F27AA">
              <w:rPr>
                <w:szCs w:val="20"/>
                <w:lang w:val="en-US" w:eastAsia="en-US"/>
              </w:rPr>
              <w:t xml:space="preserve"> - </w:t>
            </w:r>
            <w:r w:rsidRPr="009F27AA">
              <w:rPr>
                <w:b/>
                <w:szCs w:val="20"/>
                <w:lang w:val="en-US"/>
              </w:rPr>
              <w:t xml:space="preserve"> Nauru Economic Infrastructure Strategy and Investment Plan (NEISIP)</w:t>
            </w:r>
            <w:r w:rsidRPr="009F27AA">
              <w:rPr>
                <w:szCs w:val="20"/>
                <w:lang w:val="en-US"/>
              </w:rPr>
              <w:t xml:space="preserve"> </w:t>
            </w:r>
            <w:r w:rsidRPr="009F27AA">
              <w:rPr>
                <w:b/>
                <w:szCs w:val="20"/>
                <w:lang w:val="en-US"/>
              </w:rPr>
              <w:t xml:space="preserve">(PRIF, 2011). </w:t>
            </w:r>
            <w:r w:rsidRPr="009F27AA">
              <w:rPr>
                <w:szCs w:val="20"/>
                <w:lang w:val="en-US"/>
              </w:rPr>
              <w:t>NEISIP represents planning in the infrastructure sector, with high level support from GoN (it was endorsed by Parliament in 2011). PRIF are continuing to support this and the newly formed Department of Infrastructure Development have also agreed with the approaches outlined and are actively engaged with this as a planning approach for the infrastructure sector.</w:t>
            </w:r>
          </w:p>
        </w:tc>
        <w:tc>
          <w:tcPr>
            <w:tcW w:w="8763" w:type="dxa"/>
            <w:tcBorders>
              <w:top w:val="single" w:sz="6" w:space="0" w:color="E26E00"/>
              <w:left w:val="single" w:sz="6" w:space="0" w:color="E26E00"/>
              <w:bottom w:val="single" w:sz="6" w:space="0" w:color="E26E00"/>
              <w:right w:val="single" w:sz="6" w:space="0" w:color="E26E00"/>
            </w:tcBorders>
          </w:tcPr>
          <w:p w14:paraId="348C55DA" w14:textId="77777777" w:rsidR="005B456D" w:rsidRPr="009F27AA" w:rsidRDefault="005B456D" w:rsidP="00E74A45">
            <w:pPr>
              <w:pStyle w:val="Nospacingbeforeorafter"/>
              <w:spacing w:before="60" w:after="60"/>
              <w:rPr>
                <w:b/>
                <w:szCs w:val="20"/>
              </w:rPr>
            </w:pPr>
            <w:r w:rsidRPr="009F27AA">
              <w:rPr>
                <w:b/>
                <w:szCs w:val="20"/>
              </w:rPr>
              <w:t>Rating: N/A</w:t>
            </w:r>
          </w:p>
          <w:p w14:paraId="06C65B40" w14:textId="77777777" w:rsidR="005B456D" w:rsidRPr="009F27AA" w:rsidRDefault="005B456D" w:rsidP="00E74A45">
            <w:pPr>
              <w:pStyle w:val="Tablebullet"/>
              <w:numPr>
                <w:ilvl w:val="0"/>
                <w:numId w:val="0"/>
              </w:numPr>
              <w:rPr>
                <w:szCs w:val="20"/>
                <w:lang w:val="en-US" w:eastAsia="en-US"/>
              </w:rPr>
            </w:pPr>
            <w:r w:rsidRPr="009F27AA">
              <w:rPr>
                <w:szCs w:val="20"/>
                <w:lang w:val="en-US" w:eastAsia="en-US"/>
              </w:rPr>
              <w:t xml:space="preserve">There are some asset maintenance strategies in place, as outlined in response to Key Review Question 3b, however the adequacy of these is in question and the infrastructure delivered may not deliver expected return on investment unless asset maintenance is strengthened systemically by GoN across assets irrespective of funding source. </w:t>
            </w:r>
          </w:p>
          <w:p w14:paraId="02A74B92" w14:textId="77777777" w:rsidR="005B456D" w:rsidRPr="009F27AA" w:rsidRDefault="005B456D" w:rsidP="00E74A45">
            <w:pPr>
              <w:pStyle w:val="Tablebullet"/>
              <w:numPr>
                <w:ilvl w:val="0"/>
                <w:numId w:val="0"/>
              </w:numPr>
              <w:rPr>
                <w:szCs w:val="20"/>
                <w:lang w:val="en-US" w:eastAsia="en-US"/>
              </w:rPr>
            </w:pPr>
            <w:r w:rsidRPr="009F27AA">
              <w:rPr>
                <w:szCs w:val="20"/>
                <w:lang w:val="en-US" w:eastAsia="en-US"/>
              </w:rPr>
              <w:t>The NUC is unlikely to sustain gains delivered if the NUC CEO and General Manager simultaneously depart. Suitable candidates (more than one) need to be identified well prior to the incumbent’s departure to avoid losing the gains made through the investment to date.</w:t>
            </w:r>
          </w:p>
          <w:p w14:paraId="670ABEAF" w14:textId="5C5C9609" w:rsidR="005B456D" w:rsidRPr="009F27AA" w:rsidRDefault="005B456D" w:rsidP="00E74A45">
            <w:pPr>
              <w:pStyle w:val="Tablebullet"/>
              <w:numPr>
                <w:ilvl w:val="0"/>
                <w:numId w:val="0"/>
              </w:numPr>
              <w:rPr>
                <w:szCs w:val="20"/>
                <w:lang w:val="en-US" w:eastAsia="en-US"/>
              </w:rPr>
            </w:pPr>
            <w:r w:rsidRPr="009F27AA">
              <w:rPr>
                <w:szCs w:val="20"/>
                <w:lang w:val="en-US" w:eastAsia="en-US"/>
              </w:rPr>
              <w:t xml:space="preserve">Concerns regarding the roof, floor and walls of the RONH hospital were raised by </w:t>
            </w:r>
            <w:r w:rsidR="007A7F56">
              <w:rPr>
                <w:szCs w:val="20"/>
                <w:lang w:val="en-US" w:eastAsia="en-US"/>
              </w:rPr>
              <w:t>contractors</w:t>
            </w:r>
            <w:r w:rsidRPr="009F27AA">
              <w:rPr>
                <w:szCs w:val="20"/>
                <w:lang w:val="en-US" w:eastAsia="en-US"/>
              </w:rPr>
              <w:t xml:space="preserve"> A&amp;L also supported that and independent assessment of the structure was necessary, and was not their role in completing a previous review of the hospital.</w:t>
            </w:r>
          </w:p>
          <w:p w14:paraId="22422495" w14:textId="77777777" w:rsidR="005B456D" w:rsidRPr="009F27AA" w:rsidRDefault="005B456D" w:rsidP="00E74A45">
            <w:pPr>
              <w:pStyle w:val="Tablebullet"/>
              <w:numPr>
                <w:ilvl w:val="0"/>
                <w:numId w:val="0"/>
              </w:numPr>
              <w:rPr>
                <w:szCs w:val="20"/>
                <w:lang w:val="en-US" w:eastAsia="en-US"/>
              </w:rPr>
            </w:pPr>
            <w:r w:rsidRPr="009F27AA">
              <w:rPr>
                <w:szCs w:val="20"/>
                <w:lang w:val="en-US" w:eastAsia="en-US"/>
              </w:rPr>
              <w:t xml:space="preserve">DFAT Nauru currently have a staff member with responsibility for the health and infrastructure portfolios, both of which are significant portfolios. DFAT may need to assess the suitability of this and potentially create a dedicated infrastructure position internally to provide suitable oversight of infrastructure commitments. </w:t>
            </w:r>
          </w:p>
          <w:p w14:paraId="5E822CE9" w14:textId="77777777" w:rsidR="005B456D" w:rsidRPr="009F27AA" w:rsidRDefault="005B456D" w:rsidP="00E74A45">
            <w:pPr>
              <w:pStyle w:val="Tablebullet"/>
              <w:numPr>
                <w:ilvl w:val="0"/>
                <w:numId w:val="0"/>
              </w:numPr>
              <w:rPr>
                <w:szCs w:val="20"/>
                <w:lang w:val="en-US" w:eastAsia="en-US"/>
              </w:rPr>
            </w:pPr>
            <w:r w:rsidRPr="009F27AA">
              <w:rPr>
                <w:szCs w:val="20"/>
                <w:lang w:val="en-US" w:eastAsia="en-US"/>
              </w:rPr>
              <w:t>Given significant existing investment by DFAT and other donors through PRIF in the NEISIP and associated documents for asset management and infrastructure prioritization and planning, it is recommended that DFAT support this process where possible and engage with this as the mechanism going forward to strategic infrastructure programming. Steps that would support this would include ensuring the quality of the document is suitable (through peer review), assess the lessons’ learned as to why the traction since 2011 appears to have been limited such that the current iteration may be strengthened, and working with GoN (such as through PRIF or PACTAM) to ensure that they have the capacity to take ownership of the documents going forward.</w:t>
            </w:r>
          </w:p>
          <w:p w14:paraId="4301DD1B" w14:textId="77777777" w:rsidR="005B456D" w:rsidRPr="009F27AA" w:rsidRDefault="005B456D" w:rsidP="00E74A45">
            <w:pPr>
              <w:pStyle w:val="Tablebullet"/>
              <w:numPr>
                <w:ilvl w:val="0"/>
                <w:numId w:val="0"/>
              </w:numPr>
              <w:rPr>
                <w:szCs w:val="20"/>
                <w:lang w:val="en-US" w:eastAsia="en-US"/>
              </w:rPr>
            </w:pPr>
          </w:p>
        </w:tc>
      </w:tr>
    </w:tbl>
    <w:p w14:paraId="52E63C77" w14:textId="77777777" w:rsidR="00A6511B" w:rsidRDefault="00A6511B" w:rsidP="00A716D9">
      <w:pPr>
        <w:rPr>
          <w:lang w:eastAsia="en-AU"/>
        </w:rPr>
      </w:pP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9954"/>
      </w:tblGrid>
      <w:tr w:rsidR="00293AD0" w:rsidRPr="009F27AA" w14:paraId="08360E11" w14:textId="77777777" w:rsidTr="00473C45">
        <w:trPr>
          <w:trHeight w:val="353"/>
        </w:trPr>
        <w:tc>
          <w:tcPr>
            <w:tcW w:w="2126" w:type="dxa"/>
            <w:shd w:val="clear" w:color="auto" w:fill="FABF8F" w:themeFill="accent6" w:themeFillTint="99"/>
          </w:tcPr>
          <w:p w14:paraId="65AA8B7A" w14:textId="77777777" w:rsidR="00293AD0" w:rsidRPr="009F27AA" w:rsidRDefault="00293AD0" w:rsidP="00473C45">
            <w:pPr>
              <w:spacing w:before="60" w:after="100"/>
              <w:rPr>
                <w:b/>
                <w:szCs w:val="20"/>
              </w:rPr>
            </w:pPr>
            <w:r w:rsidRPr="009F27AA">
              <w:rPr>
                <w:b/>
                <w:szCs w:val="20"/>
              </w:rPr>
              <w:t xml:space="preserve">Key question </w:t>
            </w:r>
          </w:p>
        </w:tc>
        <w:tc>
          <w:tcPr>
            <w:tcW w:w="19954" w:type="dxa"/>
            <w:shd w:val="clear" w:color="auto" w:fill="FABF8F" w:themeFill="accent6" w:themeFillTint="99"/>
          </w:tcPr>
          <w:p w14:paraId="5AB5B6E3" w14:textId="77777777" w:rsidR="00293AD0" w:rsidRPr="009F27AA" w:rsidRDefault="00293AD0" w:rsidP="00473C45">
            <w:pPr>
              <w:pStyle w:val="Nospacingbeforeorafter"/>
              <w:spacing w:before="60" w:after="60"/>
              <w:rPr>
                <w:b/>
                <w:szCs w:val="20"/>
              </w:rPr>
            </w:pPr>
            <w:r w:rsidRPr="009F27AA">
              <w:rPr>
                <w:b/>
                <w:szCs w:val="20"/>
              </w:rPr>
              <w:t xml:space="preserve">Overall finding: </w:t>
            </w:r>
          </w:p>
        </w:tc>
      </w:tr>
      <w:tr w:rsidR="00293AD0" w:rsidRPr="009F27AA" w14:paraId="7F425784" w14:textId="77777777" w:rsidTr="00473C45">
        <w:trPr>
          <w:trHeight w:val="564"/>
        </w:trPr>
        <w:tc>
          <w:tcPr>
            <w:tcW w:w="2126" w:type="dxa"/>
            <w:shd w:val="clear" w:color="auto" w:fill="FBD4B4" w:themeFill="accent6" w:themeFillTint="66"/>
          </w:tcPr>
          <w:p w14:paraId="1CC64F5C" w14:textId="77777777" w:rsidR="00293AD0" w:rsidRPr="009F27AA" w:rsidRDefault="00293AD0" w:rsidP="00A2387B">
            <w:pPr>
              <w:pStyle w:val="tabletext0"/>
              <w:numPr>
                <w:ilvl w:val="0"/>
                <w:numId w:val="12"/>
              </w:numPr>
              <w:tabs>
                <w:tab w:val="left" w:pos="250"/>
              </w:tabs>
              <w:ind w:left="22" w:right="45" w:hanging="22"/>
              <w:rPr>
                <w:rFonts w:eastAsia="Times" w:cs="Arial"/>
                <w:b/>
                <w:szCs w:val="20"/>
              </w:rPr>
            </w:pPr>
            <w:r w:rsidRPr="009F27AA">
              <w:rPr>
                <w:rFonts w:eastAsia="Times"/>
                <w:b/>
                <w:iCs w:val="0"/>
                <w:szCs w:val="20"/>
              </w:rPr>
              <w:t xml:space="preserve">To </w:t>
            </w:r>
            <w:r w:rsidRPr="009F27AA">
              <w:rPr>
                <w:rFonts w:eastAsia="Times"/>
                <w:b/>
                <w:szCs w:val="20"/>
              </w:rPr>
              <w:t>what</w:t>
            </w:r>
            <w:r w:rsidRPr="009F27AA">
              <w:rPr>
                <w:rFonts w:eastAsia="Times"/>
                <w:b/>
                <w:iCs w:val="0"/>
                <w:szCs w:val="20"/>
              </w:rPr>
              <w:t xml:space="preserve"> extent has DFAT’s support been effective at providing essential infrastructure and reform of the utilities sector?</w:t>
            </w:r>
          </w:p>
          <w:p w14:paraId="7EDF4433" w14:textId="77777777" w:rsidR="00293AD0" w:rsidRPr="009F27AA" w:rsidRDefault="00293AD0" w:rsidP="00473C45">
            <w:pPr>
              <w:spacing w:before="60" w:after="60"/>
              <w:rPr>
                <w:b/>
                <w:szCs w:val="20"/>
              </w:rPr>
            </w:pPr>
          </w:p>
        </w:tc>
        <w:tc>
          <w:tcPr>
            <w:tcW w:w="19954" w:type="dxa"/>
            <w:tcBorders>
              <w:bottom w:val="single" w:sz="6" w:space="0" w:color="E26E00"/>
            </w:tcBorders>
            <w:shd w:val="clear" w:color="auto" w:fill="FBD4B4" w:themeFill="accent6" w:themeFillTint="66"/>
          </w:tcPr>
          <w:p w14:paraId="5648592E" w14:textId="77777777" w:rsidR="00293AD0" w:rsidRPr="009F27AA" w:rsidRDefault="00293AD0" w:rsidP="00473C45">
            <w:pPr>
              <w:pStyle w:val="Nospacingbeforeorafter"/>
              <w:spacing w:before="80"/>
              <w:rPr>
                <w:szCs w:val="20"/>
              </w:rPr>
            </w:pPr>
            <w:r w:rsidRPr="009F27AA">
              <w:rPr>
                <w:szCs w:val="20"/>
              </w:rPr>
              <w:t xml:space="preserve">DFAT’s infrastructure investments in the review period have focused on essential, social and economic infrastructure in the key sectors of (i) transport (sea), (ii) power, (iii) water, (iv) health and (v) education. In addition, DFAT have provided sport infrastructure. Infrastructure investments include key assets in each sector, including the port, diesel generators, water tanks, the hospital, community wellness clinics, learning village buildings (TVET and USP), sports complex and rehabilitation of sports facilities. </w:t>
            </w:r>
          </w:p>
          <w:p w14:paraId="30920EE8" w14:textId="77777777" w:rsidR="00293AD0" w:rsidRPr="009F27AA" w:rsidRDefault="00293AD0" w:rsidP="00473C45">
            <w:pPr>
              <w:pStyle w:val="Nospacingbeforeorafter"/>
              <w:rPr>
                <w:szCs w:val="20"/>
              </w:rPr>
            </w:pPr>
            <w:r w:rsidRPr="009F27AA">
              <w:rPr>
                <w:szCs w:val="20"/>
              </w:rPr>
              <w:t>DFAT’s infrastructure investments since 2014 by implementation phase are:</w:t>
            </w:r>
          </w:p>
          <w:p w14:paraId="6E52A1E9" w14:textId="239D61A6" w:rsidR="00293AD0" w:rsidRPr="009F27AA" w:rsidRDefault="00293AD0" w:rsidP="00A2387B">
            <w:pPr>
              <w:pStyle w:val="Nospacingbeforeorafter"/>
              <w:numPr>
                <w:ilvl w:val="0"/>
                <w:numId w:val="19"/>
              </w:numPr>
              <w:spacing w:before="60" w:after="60"/>
              <w:rPr>
                <w:szCs w:val="20"/>
              </w:rPr>
            </w:pPr>
            <w:r w:rsidRPr="009F27AA">
              <w:rPr>
                <w:b/>
                <w:szCs w:val="20"/>
              </w:rPr>
              <w:t>Completed</w:t>
            </w:r>
            <w:r w:rsidRPr="009F27AA">
              <w:rPr>
                <w:szCs w:val="20"/>
              </w:rPr>
              <w:t xml:space="preserve"> – TVET </w:t>
            </w:r>
            <w:r w:rsidR="003D39B3">
              <w:rPr>
                <w:szCs w:val="20"/>
              </w:rPr>
              <w:t>Centre</w:t>
            </w:r>
            <w:r w:rsidRPr="009F27AA">
              <w:rPr>
                <w:szCs w:val="20"/>
              </w:rPr>
              <w:t xml:space="preserve">, Hospital (Stage 1 and 2), </w:t>
            </w:r>
            <w:r w:rsidR="00176717" w:rsidRPr="009F27AA">
              <w:rPr>
                <w:szCs w:val="20"/>
              </w:rPr>
              <w:t>Wellness Clinics</w:t>
            </w:r>
            <w:r w:rsidR="00176717">
              <w:rPr>
                <w:szCs w:val="20"/>
              </w:rPr>
              <w:t>,</w:t>
            </w:r>
            <w:r w:rsidR="00176717" w:rsidRPr="009F27AA">
              <w:rPr>
                <w:szCs w:val="20"/>
              </w:rPr>
              <w:t xml:space="preserve"> </w:t>
            </w:r>
            <w:r w:rsidRPr="009F27AA">
              <w:rPr>
                <w:szCs w:val="20"/>
              </w:rPr>
              <w:t>Electricity Supply and Sustainability Project</w:t>
            </w:r>
          </w:p>
          <w:p w14:paraId="731A5A5B" w14:textId="0E1FFEF4" w:rsidR="00293AD0" w:rsidRPr="009F27AA" w:rsidRDefault="00293AD0" w:rsidP="00A2387B">
            <w:pPr>
              <w:pStyle w:val="Nospacingbeforeorafter"/>
              <w:numPr>
                <w:ilvl w:val="0"/>
                <w:numId w:val="19"/>
              </w:numPr>
              <w:spacing w:before="60" w:after="60"/>
              <w:rPr>
                <w:szCs w:val="20"/>
              </w:rPr>
            </w:pPr>
            <w:r w:rsidRPr="009F27AA">
              <w:rPr>
                <w:b/>
                <w:szCs w:val="20"/>
              </w:rPr>
              <w:t>Ongoing / Construction</w:t>
            </w:r>
            <w:r w:rsidRPr="009F27AA">
              <w:rPr>
                <w:szCs w:val="20"/>
              </w:rPr>
              <w:t xml:space="preserve"> – USP Learning </w:t>
            </w:r>
            <w:r w:rsidR="003D39B3">
              <w:rPr>
                <w:szCs w:val="20"/>
              </w:rPr>
              <w:t>Centre</w:t>
            </w:r>
            <w:r w:rsidRPr="009F27AA">
              <w:rPr>
                <w:szCs w:val="20"/>
              </w:rPr>
              <w:t>, Household Water Tanks, Sports Complex</w:t>
            </w:r>
          </w:p>
          <w:p w14:paraId="550958DB" w14:textId="77777777" w:rsidR="00293AD0" w:rsidRPr="009F27AA" w:rsidRDefault="00293AD0" w:rsidP="00A2387B">
            <w:pPr>
              <w:pStyle w:val="Nospacingbeforeorafter"/>
              <w:numPr>
                <w:ilvl w:val="0"/>
                <w:numId w:val="19"/>
              </w:numPr>
              <w:spacing w:before="60" w:after="60"/>
              <w:rPr>
                <w:szCs w:val="20"/>
              </w:rPr>
            </w:pPr>
            <w:r w:rsidRPr="009F27AA">
              <w:rPr>
                <w:b/>
                <w:szCs w:val="20"/>
              </w:rPr>
              <w:t xml:space="preserve">Planning / Design </w:t>
            </w:r>
            <w:r w:rsidRPr="009F27AA">
              <w:rPr>
                <w:szCs w:val="20"/>
              </w:rPr>
              <w:t>– Port Redevelopment, Port Institutional Reform</w:t>
            </w:r>
          </w:p>
          <w:p w14:paraId="62A2B6E1" w14:textId="77777777" w:rsidR="00293AD0" w:rsidRPr="009F27AA" w:rsidRDefault="00293AD0" w:rsidP="00A2387B">
            <w:pPr>
              <w:pStyle w:val="Nospacingbeforeorafter"/>
              <w:numPr>
                <w:ilvl w:val="0"/>
                <w:numId w:val="19"/>
              </w:numPr>
              <w:spacing w:before="60" w:after="60"/>
              <w:rPr>
                <w:szCs w:val="20"/>
              </w:rPr>
            </w:pPr>
            <w:r w:rsidRPr="009F27AA">
              <w:rPr>
                <w:b/>
                <w:szCs w:val="20"/>
              </w:rPr>
              <w:t xml:space="preserve">Operations &amp; Maintenance </w:t>
            </w:r>
            <w:r w:rsidRPr="009F27AA">
              <w:rPr>
                <w:szCs w:val="20"/>
              </w:rPr>
              <w:t>– Technical Assistance support to the Nauru Utilities Corporation (NUC) – inline CEO position</w:t>
            </w:r>
          </w:p>
          <w:p w14:paraId="174EB01B" w14:textId="77777777" w:rsidR="00293AD0" w:rsidRPr="009F27AA" w:rsidRDefault="00293AD0" w:rsidP="00473C45">
            <w:pPr>
              <w:pStyle w:val="Tablebullet"/>
              <w:numPr>
                <w:ilvl w:val="0"/>
                <w:numId w:val="0"/>
              </w:numPr>
              <w:spacing w:before="60" w:after="60"/>
              <w:rPr>
                <w:szCs w:val="20"/>
                <w:lang w:val="en-US"/>
              </w:rPr>
            </w:pPr>
            <w:r w:rsidRPr="009F27AA">
              <w:rPr>
                <w:szCs w:val="20"/>
                <w:lang w:val="en-US"/>
              </w:rPr>
              <w:t>DFAT’s investments since 2014 by financing arrangement are:</w:t>
            </w:r>
          </w:p>
          <w:p w14:paraId="40C6B188" w14:textId="77777777" w:rsidR="00293AD0" w:rsidRPr="009F27AA" w:rsidRDefault="00293AD0" w:rsidP="00473C45">
            <w:pPr>
              <w:pStyle w:val="Tablebullet"/>
              <w:spacing w:before="60" w:after="60"/>
              <w:ind w:left="604" w:hanging="285"/>
              <w:rPr>
                <w:szCs w:val="20"/>
              </w:rPr>
            </w:pPr>
            <w:r w:rsidRPr="009F27AA">
              <w:rPr>
                <w:b/>
                <w:szCs w:val="20"/>
                <w:lang w:val="en-US"/>
              </w:rPr>
              <w:t>Co-financed</w:t>
            </w:r>
            <w:r w:rsidRPr="009F27AA">
              <w:rPr>
                <w:szCs w:val="20"/>
                <w:lang w:val="en-US"/>
              </w:rPr>
              <w:t xml:space="preserve"> - </w:t>
            </w:r>
            <w:r w:rsidRPr="009F27AA">
              <w:rPr>
                <w:szCs w:val="20"/>
              </w:rPr>
              <w:t>Nauru Electricity Supply and Sustainability Project (ADB and EU), Port redevelopment and Port Institutional Strengthening (ADB, GoN and GCF)</w:t>
            </w:r>
          </w:p>
          <w:p w14:paraId="21959150" w14:textId="39EDF9E8" w:rsidR="00293AD0" w:rsidRPr="009F27AA" w:rsidRDefault="00293AD0" w:rsidP="00473C45">
            <w:pPr>
              <w:pStyle w:val="Tablebullet"/>
              <w:spacing w:before="60" w:after="60"/>
              <w:ind w:left="604" w:hanging="285"/>
              <w:rPr>
                <w:szCs w:val="20"/>
              </w:rPr>
            </w:pPr>
            <w:r w:rsidRPr="009F27AA">
              <w:rPr>
                <w:b/>
                <w:szCs w:val="20"/>
              </w:rPr>
              <w:t>DFAT Implemented</w:t>
            </w:r>
            <w:r w:rsidRPr="009F27AA">
              <w:rPr>
                <w:szCs w:val="20"/>
              </w:rPr>
              <w:t xml:space="preserve"> - NUC CEO (through PACTAM)</w:t>
            </w:r>
            <w:r w:rsidR="007A7F56">
              <w:rPr>
                <w:szCs w:val="20"/>
              </w:rPr>
              <w:t>, RON Hospital - stage 1 and 2</w:t>
            </w:r>
          </w:p>
          <w:p w14:paraId="01F47AEA" w14:textId="66727232" w:rsidR="00293AD0" w:rsidRPr="009F27AA" w:rsidRDefault="00293AD0" w:rsidP="00473C45">
            <w:pPr>
              <w:pStyle w:val="Tablebullet"/>
              <w:spacing w:before="60" w:after="60"/>
              <w:ind w:left="604" w:hanging="285"/>
              <w:rPr>
                <w:szCs w:val="20"/>
              </w:rPr>
            </w:pPr>
            <w:r w:rsidRPr="009F27AA">
              <w:rPr>
                <w:b/>
                <w:szCs w:val="20"/>
              </w:rPr>
              <w:t>Financed through GoN systems</w:t>
            </w:r>
            <w:r w:rsidRPr="009F27AA">
              <w:rPr>
                <w:szCs w:val="20"/>
              </w:rPr>
              <w:t xml:space="preserve"> - TVET </w:t>
            </w:r>
            <w:r w:rsidR="003D39B3">
              <w:rPr>
                <w:szCs w:val="20"/>
              </w:rPr>
              <w:t>Centre</w:t>
            </w:r>
            <w:r w:rsidRPr="009F27AA">
              <w:rPr>
                <w:szCs w:val="20"/>
              </w:rPr>
              <w:t xml:space="preserve">, USP Learning </w:t>
            </w:r>
            <w:r w:rsidR="003D39B3">
              <w:rPr>
                <w:szCs w:val="20"/>
              </w:rPr>
              <w:t>Centre</w:t>
            </w:r>
            <w:r w:rsidRPr="009F27AA">
              <w:rPr>
                <w:szCs w:val="20"/>
              </w:rPr>
              <w:t>, Wellness clinics, Household water tanks, Sports complex</w:t>
            </w:r>
          </w:p>
          <w:p w14:paraId="1B1C161D" w14:textId="77777777" w:rsidR="00293AD0" w:rsidRPr="009F27AA" w:rsidRDefault="00293AD0" w:rsidP="00473C45">
            <w:pPr>
              <w:pStyle w:val="Nospacingbeforeorafter"/>
              <w:spacing w:before="60" w:after="60"/>
              <w:rPr>
                <w:szCs w:val="20"/>
              </w:rPr>
            </w:pPr>
            <w:r w:rsidRPr="009F27AA">
              <w:rPr>
                <w:szCs w:val="20"/>
              </w:rPr>
              <w:t xml:space="preserve">These projects have been assessed as </w:t>
            </w:r>
            <w:r w:rsidRPr="009F27AA">
              <w:rPr>
                <w:b/>
                <w:szCs w:val="20"/>
              </w:rPr>
              <w:t>effective</w:t>
            </w:r>
            <w:r w:rsidRPr="009F27AA">
              <w:rPr>
                <w:szCs w:val="20"/>
              </w:rPr>
              <w:t xml:space="preserve"> or </w:t>
            </w:r>
            <w:r w:rsidRPr="009F27AA">
              <w:rPr>
                <w:b/>
                <w:szCs w:val="20"/>
              </w:rPr>
              <w:t>likely to be effective</w:t>
            </w:r>
            <w:r w:rsidRPr="009F27AA">
              <w:rPr>
                <w:szCs w:val="20"/>
              </w:rPr>
              <w:t xml:space="preserve"> upon completion</w:t>
            </w:r>
            <w:r w:rsidRPr="009F27AA">
              <w:rPr>
                <w:i/>
                <w:szCs w:val="20"/>
              </w:rPr>
              <w:t>*</w:t>
            </w:r>
            <w:r w:rsidRPr="009F27AA">
              <w:rPr>
                <w:szCs w:val="20"/>
              </w:rPr>
              <w:t>:</w:t>
            </w:r>
          </w:p>
          <w:p w14:paraId="1F89055F" w14:textId="721E4038" w:rsidR="00293AD0" w:rsidRPr="009F27AA" w:rsidRDefault="00293AD0" w:rsidP="00A2387B">
            <w:pPr>
              <w:pStyle w:val="Nospacingbeforeorafter"/>
              <w:numPr>
                <w:ilvl w:val="0"/>
                <w:numId w:val="19"/>
              </w:numPr>
              <w:spacing w:before="60" w:after="60"/>
              <w:rPr>
                <w:szCs w:val="20"/>
              </w:rPr>
            </w:pPr>
            <w:r w:rsidRPr="009F27AA">
              <w:rPr>
                <w:szCs w:val="20"/>
              </w:rPr>
              <w:t xml:space="preserve">TVET </w:t>
            </w:r>
            <w:r w:rsidR="003D39B3">
              <w:rPr>
                <w:szCs w:val="20"/>
              </w:rPr>
              <w:t>Centre</w:t>
            </w:r>
          </w:p>
          <w:p w14:paraId="669FC5C8" w14:textId="7CAB4603" w:rsidR="00293AD0" w:rsidRPr="009F27AA" w:rsidRDefault="00293AD0" w:rsidP="00A2387B">
            <w:pPr>
              <w:pStyle w:val="Nospacingbeforeorafter"/>
              <w:numPr>
                <w:ilvl w:val="0"/>
                <w:numId w:val="19"/>
              </w:numPr>
              <w:spacing w:before="60" w:after="60"/>
              <w:rPr>
                <w:szCs w:val="20"/>
              </w:rPr>
            </w:pPr>
            <w:r w:rsidRPr="009F27AA">
              <w:rPr>
                <w:szCs w:val="20"/>
              </w:rPr>
              <w:t xml:space="preserve">USP Learning </w:t>
            </w:r>
            <w:r w:rsidR="003D39B3">
              <w:rPr>
                <w:szCs w:val="20"/>
              </w:rPr>
              <w:t>Centre</w:t>
            </w:r>
          </w:p>
          <w:p w14:paraId="1A73734F" w14:textId="77777777" w:rsidR="00293AD0" w:rsidRPr="009F27AA" w:rsidRDefault="00293AD0" w:rsidP="00A2387B">
            <w:pPr>
              <w:pStyle w:val="Nospacingbeforeorafter"/>
              <w:numPr>
                <w:ilvl w:val="0"/>
                <w:numId w:val="19"/>
              </w:numPr>
              <w:spacing w:before="60" w:after="60"/>
              <w:rPr>
                <w:szCs w:val="20"/>
              </w:rPr>
            </w:pPr>
            <w:r w:rsidRPr="009F27AA">
              <w:rPr>
                <w:szCs w:val="20"/>
              </w:rPr>
              <w:t>Electricity Supply and Sustainability Project</w:t>
            </w:r>
          </w:p>
          <w:p w14:paraId="5A1B5585" w14:textId="77777777" w:rsidR="00293AD0" w:rsidRPr="009F27AA" w:rsidRDefault="00293AD0" w:rsidP="00A2387B">
            <w:pPr>
              <w:pStyle w:val="Nospacingbeforeorafter"/>
              <w:numPr>
                <w:ilvl w:val="0"/>
                <w:numId w:val="19"/>
              </w:numPr>
              <w:spacing w:before="60" w:after="60"/>
              <w:rPr>
                <w:szCs w:val="20"/>
              </w:rPr>
            </w:pPr>
            <w:r w:rsidRPr="009F27AA">
              <w:rPr>
                <w:szCs w:val="20"/>
              </w:rPr>
              <w:t>Sports Complex</w:t>
            </w:r>
          </w:p>
          <w:p w14:paraId="65ACB584" w14:textId="77777777" w:rsidR="00293AD0" w:rsidRPr="009F27AA" w:rsidRDefault="00293AD0" w:rsidP="00A2387B">
            <w:pPr>
              <w:pStyle w:val="Nospacingbeforeorafter"/>
              <w:numPr>
                <w:ilvl w:val="0"/>
                <w:numId w:val="19"/>
              </w:numPr>
              <w:spacing w:before="60" w:after="60"/>
              <w:rPr>
                <w:szCs w:val="20"/>
              </w:rPr>
            </w:pPr>
            <w:r w:rsidRPr="009F27AA">
              <w:rPr>
                <w:szCs w:val="20"/>
              </w:rPr>
              <w:t>Port Redevelopment</w:t>
            </w:r>
          </w:p>
          <w:p w14:paraId="2DBC7FDE" w14:textId="77777777" w:rsidR="00293AD0" w:rsidRPr="009F27AA" w:rsidRDefault="00293AD0" w:rsidP="00A2387B">
            <w:pPr>
              <w:pStyle w:val="Nospacingbeforeorafter"/>
              <w:numPr>
                <w:ilvl w:val="0"/>
                <w:numId w:val="19"/>
              </w:numPr>
              <w:spacing w:before="60" w:after="60"/>
              <w:rPr>
                <w:szCs w:val="20"/>
              </w:rPr>
            </w:pPr>
            <w:r w:rsidRPr="009F27AA">
              <w:rPr>
                <w:szCs w:val="20"/>
              </w:rPr>
              <w:t>Port Institutional Reform</w:t>
            </w:r>
          </w:p>
          <w:p w14:paraId="3382253E" w14:textId="77777777" w:rsidR="00293AD0" w:rsidRPr="009F27AA" w:rsidRDefault="00293AD0" w:rsidP="00A2387B">
            <w:pPr>
              <w:pStyle w:val="Nospacingbeforeorafter"/>
              <w:numPr>
                <w:ilvl w:val="0"/>
                <w:numId w:val="19"/>
              </w:numPr>
              <w:spacing w:before="60" w:after="60"/>
              <w:rPr>
                <w:szCs w:val="20"/>
              </w:rPr>
            </w:pPr>
            <w:r w:rsidRPr="009F27AA">
              <w:rPr>
                <w:szCs w:val="20"/>
              </w:rPr>
              <w:t>Technical Assistance support to the Nauru Utilities Corporation (NUC) – has been highly effective to date, however this is at risk if the incumbent departs. An achievable and sustainable transition strategy is needed to ensure gains are retained beyond the tenure of the incumbent. Given the constraints of a micro-state, this may be challenging and require ongoing support.</w:t>
            </w:r>
          </w:p>
          <w:p w14:paraId="22DB7AD7" w14:textId="77777777" w:rsidR="00293AD0" w:rsidRPr="009F27AA" w:rsidRDefault="00293AD0" w:rsidP="00473C45">
            <w:pPr>
              <w:pStyle w:val="Nospacingbeforeorafter"/>
              <w:spacing w:before="60" w:after="60"/>
              <w:rPr>
                <w:szCs w:val="20"/>
              </w:rPr>
            </w:pPr>
            <w:r w:rsidRPr="009F27AA">
              <w:rPr>
                <w:szCs w:val="20"/>
              </w:rPr>
              <w:t xml:space="preserve">These projects have the </w:t>
            </w:r>
            <w:r w:rsidRPr="009F27AA">
              <w:rPr>
                <w:b/>
                <w:szCs w:val="20"/>
              </w:rPr>
              <w:t>potential to be effective</w:t>
            </w:r>
            <w:r w:rsidRPr="009F27AA">
              <w:rPr>
                <w:szCs w:val="20"/>
              </w:rPr>
              <w:t xml:space="preserve">, with some </w:t>
            </w:r>
            <w:r w:rsidRPr="009F27AA">
              <w:rPr>
                <w:b/>
                <w:szCs w:val="20"/>
              </w:rPr>
              <w:t>key additional interventions</w:t>
            </w:r>
            <w:r w:rsidRPr="009F27AA">
              <w:rPr>
                <w:szCs w:val="20"/>
              </w:rPr>
              <w:t>:</w:t>
            </w:r>
          </w:p>
          <w:p w14:paraId="5904503D" w14:textId="77777777" w:rsidR="00293AD0" w:rsidRPr="009F27AA" w:rsidRDefault="00293AD0" w:rsidP="00A2387B">
            <w:pPr>
              <w:pStyle w:val="Nospacingbeforeorafter"/>
              <w:numPr>
                <w:ilvl w:val="0"/>
                <w:numId w:val="19"/>
              </w:numPr>
              <w:spacing w:before="60" w:after="60"/>
              <w:rPr>
                <w:szCs w:val="20"/>
              </w:rPr>
            </w:pPr>
            <w:r w:rsidRPr="009F27AA">
              <w:rPr>
                <w:szCs w:val="20"/>
              </w:rPr>
              <w:t>Hospital (Stage 1 and 2) – requires additional resources to address key upgrades to materials and facilities to extend the life of the modular structure and meet user needs and support ongoing asset maintenance.</w:t>
            </w:r>
          </w:p>
          <w:p w14:paraId="15870E9A" w14:textId="77777777" w:rsidR="00293AD0" w:rsidRPr="009F27AA" w:rsidRDefault="00293AD0" w:rsidP="00A2387B">
            <w:pPr>
              <w:pStyle w:val="Nospacingbeforeorafter"/>
              <w:numPr>
                <w:ilvl w:val="0"/>
                <w:numId w:val="19"/>
              </w:numPr>
              <w:spacing w:before="60" w:after="60"/>
              <w:rPr>
                <w:szCs w:val="20"/>
              </w:rPr>
            </w:pPr>
            <w:r w:rsidRPr="009F27AA">
              <w:rPr>
                <w:szCs w:val="20"/>
              </w:rPr>
              <w:t>Wellness Clinics – these facilities are clearly necessary, and the operational clinic is potentially effective. Further actions are needed to ensure the clinics have appropriate facilities to be effective.</w:t>
            </w:r>
          </w:p>
          <w:p w14:paraId="7947E6A2" w14:textId="77777777" w:rsidR="00293AD0" w:rsidRPr="009F27AA" w:rsidRDefault="00293AD0" w:rsidP="00473C45">
            <w:pPr>
              <w:pStyle w:val="Nospacingbeforeorafter"/>
              <w:spacing w:before="60" w:after="60"/>
              <w:rPr>
                <w:szCs w:val="20"/>
              </w:rPr>
            </w:pPr>
            <w:r w:rsidRPr="009F27AA">
              <w:rPr>
                <w:szCs w:val="20"/>
              </w:rPr>
              <w:t xml:space="preserve">These projects are </w:t>
            </w:r>
            <w:r w:rsidRPr="009F27AA">
              <w:rPr>
                <w:b/>
                <w:szCs w:val="20"/>
              </w:rPr>
              <w:t>unlikely to be effective</w:t>
            </w:r>
            <w:r w:rsidRPr="009F27AA">
              <w:rPr>
                <w:szCs w:val="20"/>
              </w:rPr>
              <w:t>:</w:t>
            </w:r>
          </w:p>
          <w:p w14:paraId="5667DA00" w14:textId="77777777" w:rsidR="00293AD0" w:rsidRPr="009F27AA" w:rsidRDefault="00293AD0" w:rsidP="00A2387B">
            <w:pPr>
              <w:pStyle w:val="Nospacingbeforeorafter"/>
              <w:numPr>
                <w:ilvl w:val="0"/>
                <w:numId w:val="19"/>
              </w:numPr>
              <w:spacing w:before="60" w:after="60"/>
              <w:rPr>
                <w:szCs w:val="20"/>
              </w:rPr>
            </w:pPr>
            <w:r w:rsidRPr="009F27AA">
              <w:rPr>
                <w:szCs w:val="20"/>
              </w:rPr>
              <w:t xml:space="preserve">Household Water Tanks – asset maintenance will be unlikely to be achievable on this project due to ownership of tanks by individual households. </w:t>
            </w:r>
          </w:p>
          <w:p w14:paraId="6923034C" w14:textId="77777777" w:rsidR="00293AD0" w:rsidRPr="009F27AA" w:rsidRDefault="00293AD0" w:rsidP="00473C45">
            <w:pPr>
              <w:pStyle w:val="Nospacingbeforeorafter"/>
              <w:rPr>
                <w:i/>
                <w:szCs w:val="20"/>
              </w:rPr>
            </w:pPr>
            <w:r w:rsidRPr="009F27AA">
              <w:rPr>
                <w:i/>
                <w:szCs w:val="20"/>
              </w:rPr>
              <w:t>* The effectiveness of the projects over time is subject to the recommendations being actioned to ensure that gains are sustained. This includes (i) systemic support for asset maintenance across GoN’s infrastructure; (ii) suitable resourcing within DFAT, and (iii) continuation of the NUC CEO.</w:t>
            </w:r>
            <w:r w:rsidRPr="009F27AA">
              <w:rPr>
                <w:i/>
                <w:szCs w:val="20"/>
              </w:rPr>
              <w:br/>
            </w:r>
          </w:p>
        </w:tc>
      </w:tr>
    </w:tbl>
    <w:p w14:paraId="2F246C26" w14:textId="77777777" w:rsidR="00293AD0" w:rsidRDefault="00293AD0" w:rsidP="00A716D9">
      <w:pPr>
        <w:rPr>
          <w:lang w:eastAsia="en-AU"/>
        </w:rPr>
      </w:pPr>
    </w:p>
    <w:p w14:paraId="2355B7C3" w14:textId="77777777" w:rsidR="00293AD0" w:rsidRDefault="00293AD0">
      <w:pPr>
        <w:spacing w:before="0" w:after="0"/>
        <w:rPr>
          <w:lang w:eastAsia="en-AU"/>
        </w:rPr>
      </w:pPr>
      <w:r>
        <w:rPr>
          <w:lang w:eastAsia="en-AU"/>
        </w:rPr>
        <w:br w:type="page"/>
      </w: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3437"/>
        <w:gridCol w:w="10664"/>
        <w:gridCol w:w="7979"/>
      </w:tblGrid>
      <w:tr w:rsidR="00293AD0" w:rsidRPr="009F27AA" w14:paraId="189F9ED7" w14:textId="77777777" w:rsidTr="00473C45">
        <w:trPr>
          <w:trHeight w:val="419"/>
          <w:tblHeader/>
        </w:trPr>
        <w:tc>
          <w:tcPr>
            <w:tcW w:w="22080" w:type="dxa"/>
            <w:gridSpan w:val="3"/>
            <w:tcBorders>
              <w:bottom w:val="single" w:sz="6" w:space="0" w:color="E26E00"/>
            </w:tcBorders>
            <w:shd w:val="clear" w:color="auto" w:fill="FABF8F" w:themeFill="accent6" w:themeFillTint="99"/>
          </w:tcPr>
          <w:p w14:paraId="2A777208" w14:textId="77777777" w:rsidR="00293AD0" w:rsidRPr="009F27AA" w:rsidRDefault="00293AD0" w:rsidP="00473C45">
            <w:pPr>
              <w:pStyle w:val="Nospacingbeforeorafter"/>
              <w:spacing w:before="60" w:after="60"/>
              <w:rPr>
                <w:b/>
                <w:szCs w:val="20"/>
              </w:rPr>
            </w:pPr>
            <w:r w:rsidRPr="009F27AA">
              <w:rPr>
                <w:b/>
                <w:szCs w:val="20"/>
              </w:rPr>
              <w:lastRenderedPageBreak/>
              <w:t>Sub-question</w:t>
            </w:r>
          </w:p>
          <w:p w14:paraId="435E6D9B" w14:textId="77777777" w:rsidR="00293AD0" w:rsidRPr="009F27AA" w:rsidRDefault="00293AD0" w:rsidP="00A2387B">
            <w:pPr>
              <w:pStyle w:val="Nospacingbeforeorafter"/>
              <w:numPr>
                <w:ilvl w:val="0"/>
                <w:numId w:val="16"/>
              </w:numPr>
              <w:spacing w:before="60" w:after="60"/>
              <w:rPr>
                <w:b/>
                <w:szCs w:val="20"/>
              </w:rPr>
            </w:pPr>
            <w:r w:rsidRPr="009F27AA">
              <w:rPr>
                <w:szCs w:val="20"/>
              </w:rPr>
              <w:t xml:space="preserve">To what extent have </w:t>
            </w:r>
            <w:r w:rsidRPr="009F27AA">
              <w:rPr>
                <w:rFonts w:eastAsia="Times"/>
                <w:szCs w:val="20"/>
              </w:rPr>
              <w:t>DFAT’s</w:t>
            </w:r>
            <w:r w:rsidRPr="009F27AA">
              <w:rPr>
                <w:szCs w:val="20"/>
              </w:rPr>
              <w:t xml:space="preserve"> investments delivered physical infrastructure that is fit for purpose over time in a changing climate?</w:t>
            </w:r>
          </w:p>
        </w:tc>
      </w:tr>
      <w:tr w:rsidR="00293AD0" w:rsidRPr="009F27AA" w14:paraId="4F1A453E"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3E9D552E" w14:textId="77777777" w:rsidR="00293AD0" w:rsidRPr="009F27AA" w:rsidRDefault="00293AD0" w:rsidP="00473C45">
            <w:pPr>
              <w:pStyle w:val="Nospacingbeforeorafter"/>
              <w:spacing w:before="120" w:after="120"/>
              <w:rPr>
                <w:b/>
                <w:szCs w:val="20"/>
              </w:rPr>
            </w:pPr>
            <w:r w:rsidRPr="009F27AA">
              <w:rPr>
                <w:b/>
                <w:szCs w:val="20"/>
              </w:rPr>
              <w:t>Project</w:t>
            </w: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34D98C98" w14:textId="77777777" w:rsidR="00293AD0" w:rsidRPr="009F27AA" w:rsidRDefault="00293AD0" w:rsidP="00473C45">
            <w:pPr>
              <w:pStyle w:val="Nospacingbeforeorafter"/>
              <w:spacing w:before="120" w:after="120"/>
              <w:rPr>
                <w:b/>
                <w:szCs w:val="20"/>
              </w:rPr>
            </w:pPr>
            <w:r w:rsidRPr="009F27AA">
              <w:rPr>
                <w:b/>
                <w:szCs w:val="20"/>
              </w:rPr>
              <w:t>Evidence</w:t>
            </w:r>
          </w:p>
        </w:tc>
        <w:tc>
          <w:tcPr>
            <w:tcW w:w="7979" w:type="dxa"/>
            <w:tcBorders>
              <w:left w:val="single" w:sz="6" w:space="0" w:color="E26E00"/>
              <w:bottom w:val="single" w:sz="6" w:space="0" w:color="E26E00"/>
            </w:tcBorders>
            <w:shd w:val="clear" w:color="auto" w:fill="FBD4B4" w:themeFill="accent6" w:themeFillTint="66"/>
          </w:tcPr>
          <w:p w14:paraId="18F3769E" w14:textId="77777777" w:rsidR="00293AD0" w:rsidRPr="009F27AA" w:rsidRDefault="00293AD0" w:rsidP="00473C45">
            <w:pPr>
              <w:pStyle w:val="Nospacingbeforeorafter"/>
              <w:spacing w:before="120" w:after="120"/>
              <w:rPr>
                <w:b/>
                <w:szCs w:val="20"/>
              </w:rPr>
            </w:pPr>
            <w:r w:rsidRPr="009F27AA">
              <w:rPr>
                <w:b/>
                <w:szCs w:val="20"/>
              </w:rPr>
              <w:t>Findings</w:t>
            </w:r>
          </w:p>
        </w:tc>
      </w:tr>
      <w:tr w:rsidR="00293AD0" w:rsidRPr="009F27AA" w14:paraId="437545F0"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3DDF3E0E" w14:textId="77777777" w:rsidR="00293AD0" w:rsidRPr="009F27AA" w:rsidRDefault="00293AD0" w:rsidP="00473C45">
            <w:pPr>
              <w:pStyle w:val="Nospacingbeforeorafter"/>
              <w:spacing w:before="80" w:beforeAutospacing="0" w:after="80" w:afterAutospacing="0"/>
              <w:rPr>
                <w:b/>
                <w:szCs w:val="20"/>
              </w:rPr>
            </w:pP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385C7375" w14:textId="77777777" w:rsidR="00293AD0" w:rsidRPr="009F27AA" w:rsidRDefault="00293AD0" w:rsidP="00473C45">
            <w:pPr>
              <w:pStyle w:val="Tablebullet"/>
              <w:numPr>
                <w:ilvl w:val="0"/>
                <w:numId w:val="0"/>
              </w:numPr>
              <w:spacing w:before="80" w:beforeAutospacing="0" w:after="80" w:afterAutospacing="0"/>
              <w:rPr>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tc>
        <w:tc>
          <w:tcPr>
            <w:tcW w:w="7979" w:type="dxa"/>
            <w:tcBorders>
              <w:left w:val="single" w:sz="6" w:space="0" w:color="E26E00"/>
              <w:bottom w:val="single" w:sz="6" w:space="0" w:color="E26E00"/>
            </w:tcBorders>
            <w:shd w:val="clear" w:color="auto" w:fill="FBD4B4" w:themeFill="accent6" w:themeFillTint="66"/>
          </w:tcPr>
          <w:p w14:paraId="4DC61736" w14:textId="77777777" w:rsidR="00293AD0" w:rsidRPr="009F27AA" w:rsidRDefault="00293AD0" w:rsidP="00473C45">
            <w:pPr>
              <w:pStyle w:val="Nospacingbeforeorafter"/>
              <w:spacing w:before="80" w:beforeAutospacing="0" w:after="80" w:afterAutospacing="0"/>
              <w:rPr>
                <w:b/>
                <w:szCs w:val="20"/>
              </w:rPr>
            </w:pPr>
            <w:r w:rsidRPr="009F27AA">
              <w:rPr>
                <w:b/>
                <w:szCs w:val="20"/>
              </w:rPr>
              <w:t>Rating: Good (5/6)</w:t>
            </w:r>
          </w:p>
        </w:tc>
      </w:tr>
      <w:tr w:rsidR="00293AD0" w:rsidRPr="009F27AA" w14:paraId="40BCF940" w14:textId="77777777" w:rsidTr="00473C45">
        <w:trPr>
          <w:trHeight w:val="419"/>
          <w:tblHeader/>
        </w:trPr>
        <w:tc>
          <w:tcPr>
            <w:tcW w:w="22080" w:type="dxa"/>
            <w:gridSpan w:val="3"/>
            <w:tcBorders>
              <w:bottom w:val="single" w:sz="6" w:space="0" w:color="E26E00"/>
            </w:tcBorders>
            <w:shd w:val="clear" w:color="auto" w:fill="FDE9D9" w:themeFill="accent6" w:themeFillTint="33"/>
          </w:tcPr>
          <w:p w14:paraId="0508E16E" w14:textId="77777777" w:rsidR="00293AD0" w:rsidRPr="009F27AA" w:rsidRDefault="00293AD0" w:rsidP="00473C45">
            <w:pPr>
              <w:pStyle w:val="Nospacingbeforeorafter"/>
              <w:spacing w:before="120" w:after="120"/>
              <w:rPr>
                <w:b/>
                <w:szCs w:val="20"/>
              </w:rPr>
            </w:pPr>
            <w:r w:rsidRPr="009F27AA">
              <w:rPr>
                <w:b/>
                <w:szCs w:val="20"/>
              </w:rPr>
              <w:t>COMPLETED PROJECTS</w:t>
            </w:r>
          </w:p>
        </w:tc>
      </w:tr>
      <w:tr w:rsidR="00293AD0" w:rsidRPr="009F27AA" w14:paraId="3122423C" w14:textId="77777777" w:rsidTr="00473C45">
        <w:trPr>
          <w:trHeight w:val="419"/>
          <w:tblHeader/>
        </w:trPr>
        <w:tc>
          <w:tcPr>
            <w:tcW w:w="3437" w:type="dxa"/>
            <w:tcBorders>
              <w:right w:val="single" w:sz="6" w:space="0" w:color="E26E00"/>
            </w:tcBorders>
            <w:shd w:val="clear" w:color="auto" w:fill="auto"/>
          </w:tcPr>
          <w:p w14:paraId="2CB2E03F" w14:textId="782ED6E2" w:rsidR="00293AD0" w:rsidRPr="009F27AA" w:rsidRDefault="00293AD0" w:rsidP="00473C45">
            <w:pPr>
              <w:pStyle w:val="Nospacingbeforeorafter"/>
              <w:spacing w:before="80" w:after="80"/>
              <w:rPr>
                <w:b/>
                <w:szCs w:val="20"/>
              </w:rPr>
            </w:pPr>
            <w:r w:rsidRPr="009F27AA">
              <w:rPr>
                <w:szCs w:val="20"/>
                <w:lang w:val="en-US"/>
              </w:rPr>
              <w:t xml:space="preserve">TVET </w:t>
            </w:r>
            <w:r w:rsidR="003D39B3">
              <w:rPr>
                <w:szCs w:val="20"/>
                <w:lang w:val="en-US"/>
              </w:rPr>
              <w:t>Centre</w:t>
            </w:r>
          </w:p>
        </w:tc>
        <w:tc>
          <w:tcPr>
            <w:tcW w:w="10664" w:type="dxa"/>
            <w:tcBorders>
              <w:left w:val="single" w:sz="6" w:space="0" w:color="E26E00"/>
              <w:right w:val="single" w:sz="6" w:space="0" w:color="E26E00"/>
            </w:tcBorders>
            <w:shd w:val="clear" w:color="auto" w:fill="auto"/>
          </w:tcPr>
          <w:p w14:paraId="65519C1D" w14:textId="352A7E78" w:rsidR="00293AD0" w:rsidRPr="009F27AA" w:rsidRDefault="00293AD0" w:rsidP="00473C45">
            <w:pPr>
              <w:pStyle w:val="Tablebullet"/>
              <w:numPr>
                <w:ilvl w:val="0"/>
                <w:numId w:val="0"/>
              </w:numPr>
              <w:spacing w:before="100" w:after="100"/>
              <w:rPr>
                <w:szCs w:val="20"/>
                <w:lang w:val="en-US"/>
              </w:rPr>
            </w:pPr>
            <w:r w:rsidRPr="009F27AA">
              <w:rPr>
                <w:szCs w:val="20"/>
                <w:lang w:val="en-US"/>
              </w:rPr>
              <w:t xml:space="preserve">Evidence collected in the parallel Education suggests that the TVET </w:t>
            </w:r>
            <w:r w:rsidR="003D39B3">
              <w:rPr>
                <w:szCs w:val="20"/>
                <w:lang w:val="en-US"/>
              </w:rPr>
              <w:t>Centre</w:t>
            </w:r>
            <w:r w:rsidRPr="009F27AA">
              <w:rPr>
                <w:szCs w:val="20"/>
                <w:lang w:val="en-US"/>
              </w:rPr>
              <w:t xml:space="preserve"> at this stage has requirements for additional infrastructure, including classrooms (subject to negotiations with the secondary school regarding existing resources), staff offices and toilet facilities. </w:t>
            </w:r>
          </w:p>
        </w:tc>
        <w:tc>
          <w:tcPr>
            <w:tcW w:w="7979" w:type="dxa"/>
            <w:tcBorders>
              <w:left w:val="single" w:sz="6" w:space="0" w:color="E26E00"/>
            </w:tcBorders>
            <w:shd w:val="clear" w:color="auto" w:fill="auto"/>
          </w:tcPr>
          <w:p w14:paraId="06DEEC77" w14:textId="77777777" w:rsidR="00293AD0" w:rsidRPr="009F27AA" w:rsidRDefault="00293AD0" w:rsidP="00473C45">
            <w:pPr>
              <w:pStyle w:val="Nospacingbeforeorafter"/>
              <w:spacing w:before="120" w:after="120"/>
              <w:rPr>
                <w:b/>
                <w:szCs w:val="20"/>
              </w:rPr>
            </w:pPr>
            <w:r w:rsidRPr="009F27AA">
              <w:rPr>
                <w:szCs w:val="20"/>
                <w:lang w:val="en-US"/>
              </w:rPr>
              <w:t>The infrastructure review has not analyzed in detail the design process for this project as construction was completed in early 2014.</w:t>
            </w:r>
            <w:r w:rsidRPr="009F27AA">
              <w:rPr>
                <w:szCs w:val="20"/>
                <w:lang w:val="en-US"/>
              </w:rPr>
              <w:br/>
            </w:r>
            <w:r w:rsidRPr="009F27AA">
              <w:rPr>
                <w:szCs w:val="20"/>
                <w:lang w:val="en-US"/>
              </w:rPr>
              <w:br/>
              <w:t>The education review suggests additional infrastructure for TVET may be required.</w:t>
            </w:r>
          </w:p>
        </w:tc>
      </w:tr>
      <w:tr w:rsidR="00EF31FA" w:rsidRPr="009F27AA" w14:paraId="5761DCA8" w14:textId="77777777" w:rsidTr="00473C45">
        <w:trPr>
          <w:trHeight w:val="419"/>
          <w:tblHeader/>
        </w:trPr>
        <w:tc>
          <w:tcPr>
            <w:tcW w:w="3437" w:type="dxa"/>
            <w:tcBorders>
              <w:right w:val="single" w:sz="6" w:space="0" w:color="E26E00"/>
            </w:tcBorders>
            <w:shd w:val="clear" w:color="auto" w:fill="auto"/>
          </w:tcPr>
          <w:p w14:paraId="0A53C9B2" w14:textId="4038B96A" w:rsidR="00EF31FA" w:rsidRPr="009F27AA" w:rsidRDefault="00EF31FA" w:rsidP="00EF31FA">
            <w:pPr>
              <w:pStyle w:val="Nospacingbeforeorafter"/>
              <w:spacing w:before="80" w:after="80"/>
              <w:rPr>
                <w:szCs w:val="20"/>
                <w:lang w:val="en-US"/>
              </w:rPr>
            </w:pPr>
            <w:r>
              <w:rPr>
                <w:szCs w:val="20"/>
                <w:lang w:val="en-US"/>
              </w:rPr>
              <w:t xml:space="preserve">USP Learning </w:t>
            </w:r>
            <w:r w:rsidR="003D39B3">
              <w:rPr>
                <w:szCs w:val="20"/>
                <w:lang w:val="en-US"/>
              </w:rPr>
              <w:t>Centre</w:t>
            </w:r>
          </w:p>
        </w:tc>
        <w:tc>
          <w:tcPr>
            <w:tcW w:w="10664" w:type="dxa"/>
            <w:tcBorders>
              <w:left w:val="single" w:sz="6" w:space="0" w:color="E26E00"/>
              <w:right w:val="single" w:sz="6" w:space="0" w:color="E26E00"/>
            </w:tcBorders>
            <w:shd w:val="clear" w:color="auto" w:fill="auto"/>
          </w:tcPr>
          <w:p w14:paraId="4B6D7998" w14:textId="463E8391" w:rsidR="00EF31FA" w:rsidRPr="009F27AA" w:rsidRDefault="00EF31FA" w:rsidP="00EF31FA">
            <w:pPr>
              <w:pStyle w:val="Tablebullet"/>
              <w:numPr>
                <w:ilvl w:val="0"/>
                <w:numId w:val="0"/>
              </w:numPr>
              <w:spacing w:before="100" w:after="100"/>
              <w:rPr>
                <w:szCs w:val="20"/>
                <w:lang w:val="en-US"/>
              </w:rPr>
            </w:pPr>
            <w:r w:rsidRPr="009F27AA">
              <w:rPr>
                <w:b/>
                <w:szCs w:val="20"/>
                <w:lang w:val="en-US"/>
              </w:rPr>
              <w:t>[EVIDENCE 1]</w:t>
            </w:r>
            <w:r w:rsidRPr="009F27AA">
              <w:rPr>
                <w:szCs w:val="20"/>
                <w:lang w:val="en-US"/>
              </w:rPr>
              <w:t xml:space="preserve"> </w:t>
            </w:r>
            <w:r w:rsidRPr="009F27AA">
              <w:rPr>
                <w:b/>
                <w:szCs w:val="20"/>
                <w:lang w:val="en-US"/>
              </w:rPr>
              <w:t>– Nauru Education Review for DFAT (May/June 2018)</w:t>
            </w:r>
            <w:r w:rsidRPr="009F27AA">
              <w:rPr>
                <w:szCs w:val="20"/>
                <w:lang w:val="en-US"/>
              </w:rPr>
              <w:t xml:space="preserve"> - Based on the education review conducted in parallel for DFAT, it appears that the design of the learning </w:t>
            </w:r>
            <w:r w:rsidR="003D39B3">
              <w:rPr>
                <w:szCs w:val="20"/>
                <w:lang w:val="en-US"/>
              </w:rPr>
              <w:t>Centre</w:t>
            </w:r>
            <w:r w:rsidRPr="009F27AA">
              <w:rPr>
                <w:szCs w:val="20"/>
                <w:lang w:val="en-US"/>
              </w:rPr>
              <w:t xml:space="preserve"> is largely fit for its intended purpose. Main areas of feedback from the education review in the design include that it could have been better integrated with TVET (including potentially including a TVET staff office and access ways aside from through the multipurpose room) and a kitchenette on the ground floor. A downstairs classroom would also have been beneficial, noting that the multipurpose space will possibly be utilized as a conference facility for meetings. </w:t>
            </w:r>
          </w:p>
        </w:tc>
        <w:tc>
          <w:tcPr>
            <w:tcW w:w="7979" w:type="dxa"/>
            <w:tcBorders>
              <w:left w:val="single" w:sz="6" w:space="0" w:color="E26E00"/>
            </w:tcBorders>
            <w:shd w:val="clear" w:color="auto" w:fill="auto"/>
          </w:tcPr>
          <w:p w14:paraId="41DEA472" w14:textId="77777777" w:rsidR="00EF31FA" w:rsidRPr="009F27AA" w:rsidRDefault="00EF31FA" w:rsidP="00EF31FA">
            <w:pPr>
              <w:pStyle w:val="Tablebullet"/>
              <w:keepNext/>
              <w:keepLines/>
              <w:numPr>
                <w:ilvl w:val="0"/>
                <w:numId w:val="0"/>
              </w:numPr>
              <w:spacing w:before="60" w:after="60"/>
              <w:rPr>
                <w:szCs w:val="20"/>
                <w:lang w:val="en-US"/>
              </w:rPr>
            </w:pPr>
            <w:r w:rsidRPr="009F27AA">
              <w:rPr>
                <w:szCs w:val="20"/>
                <w:lang w:val="en-US"/>
              </w:rPr>
              <w:t>The building construction has recently been completed, so it is premature to assess the suitability of the design. No direct stakeholder interviews were conducted, but the education review indicated that the building is largely fit for purpose.</w:t>
            </w:r>
          </w:p>
          <w:p w14:paraId="1557764B" w14:textId="1E54D9CD" w:rsidR="00EF31FA" w:rsidRPr="009F27AA" w:rsidRDefault="00EF31FA" w:rsidP="00EF31FA">
            <w:pPr>
              <w:pStyle w:val="Nospacingbeforeorafter"/>
              <w:spacing w:before="120" w:after="120"/>
              <w:rPr>
                <w:szCs w:val="20"/>
                <w:lang w:val="en-US"/>
              </w:rPr>
            </w:pPr>
            <w:r w:rsidRPr="009F27AA">
              <w:rPr>
                <w:szCs w:val="20"/>
                <w:lang w:val="en-US"/>
              </w:rPr>
              <w:t xml:space="preserve">The site is in close proximity to other learning facilities, including Nauru Secondary School and the TVET </w:t>
            </w:r>
            <w:r w:rsidR="003D39B3">
              <w:rPr>
                <w:szCs w:val="20"/>
                <w:lang w:val="en-US"/>
              </w:rPr>
              <w:t>Centre</w:t>
            </w:r>
            <w:r w:rsidRPr="009F27AA">
              <w:rPr>
                <w:szCs w:val="20"/>
                <w:lang w:val="en-US"/>
              </w:rPr>
              <w:t>, which collectively make the Learning Village. These existing facilities and availability of leased land have strongly informed site selection, and proximity to the ocean has been addressed in the design through suitable selection of materials.</w:t>
            </w:r>
          </w:p>
        </w:tc>
      </w:tr>
      <w:tr w:rsidR="00EF31FA" w:rsidRPr="009F27AA" w14:paraId="38401482" w14:textId="77777777" w:rsidTr="00473C45">
        <w:trPr>
          <w:trHeight w:val="419"/>
          <w:tblHeader/>
        </w:trPr>
        <w:tc>
          <w:tcPr>
            <w:tcW w:w="3437" w:type="dxa"/>
            <w:tcBorders>
              <w:right w:val="single" w:sz="6" w:space="0" w:color="E26E00"/>
            </w:tcBorders>
            <w:shd w:val="clear" w:color="auto" w:fill="auto"/>
          </w:tcPr>
          <w:p w14:paraId="605B08D3" w14:textId="77777777" w:rsidR="00EF31FA" w:rsidRPr="009F27AA" w:rsidRDefault="00EF31FA" w:rsidP="00EF31FA">
            <w:pPr>
              <w:pStyle w:val="Nospacingbeforeorafter"/>
              <w:rPr>
                <w:b/>
                <w:szCs w:val="20"/>
              </w:rPr>
            </w:pPr>
            <w:r w:rsidRPr="009F27AA">
              <w:rPr>
                <w:szCs w:val="20"/>
                <w:lang w:val="en-US"/>
              </w:rPr>
              <w:t>Hospital (stage 1 and 2)</w:t>
            </w:r>
          </w:p>
        </w:tc>
        <w:tc>
          <w:tcPr>
            <w:tcW w:w="10664" w:type="dxa"/>
            <w:tcBorders>
              <w:left w:val="single" w:sz="6" w:space="0" w:color="E26E00"/>
              <w:right w:val="single" w:sz="6" w:space="0" w:color="E26E00"/>
            </w:tcBorders>
            <w:shd w:val="clear" w:color="auto" w:fill="auto"/>
          </w:tcPr>
          <w:p w14:paraId="1F6E60CB" w14:textId="77777777" w:rsidR="00EF31FA" w:rsidRPr="009F27AA" w:rsidRDefault="00EF31FA" w:rsidP="00EF31FA">
            <w:pPr>
              <w:pStyle w:val="Tablebullet"/>
              <w:numPr>
                <w:ilvl w:val="0"/>
                <w:numId w:val="0"/>
              </w:numPr>
              <w:spacing w:before="100" w:after="100"/>
              <w:rPr>
                <w:szCs w:val="20"/>
                <w:lang w:val="en-US"/>
              </w:rPr>
            </w:pPr>
            <w:r w:rsidRPr="009F27AA">
              <w:rPr>
                <w:szCs w:val="20"/>
                <w:lang w:val="en-US"/>
              </w:rPr>
              <w:t xml:space="preserve">Interviews </w:t>
            </w:r>
            <w:r w:rsidRPr="009F27AA">
              <w:rPr>
                <w:b/>
                <w:szCs w:val="20"/>
                <w:lang w:val="en-US"/>
              </w:rPr>
              <w:t>[INTERVIEWS 1, 9]</w:t>
            </w:r>
            <w:r w:rsidRPr="009F27AA">
              <w:rPr>
                <w:szCs w:val="20"/>
                <w:lang w:val="en-US"/>
              </w:rPr>
              <w:t xml:space="preserve"> suggest that largely the new hospital has been a significant improvement on the existing facilities, part of which burnt down in 2013 after the original hospital masterplan had been prepared. Interviewees from </w:t>
            </w:r>
            <w:r w:rsidR="00C16826">
              <w:rPr>
                <w:szCs w:val="20"/>
                <w:lang w:val="en-US"/>
              </w:rPr>
              <w:t>Department of Health and Medical Services (D</w:t>
            </w:r>
            <w:r w:rsidRPr="009F27AA">
              <w:rPr>
                <w:szCs w:val="20"/>
                <w:lang w:val="en-US"/>
              </w:rPr>
              <w:t>HMS</w:t>
            </w:r>
            <w:r w:rsidR="00C16826">
              <w:rPr>
                <w:szCs w:val="20"/>
                <w:lang w:val="en-US"/>
              </w:rPr>
              <w:t>)</w:t>
            </w:r>
            <w:r w:rsidRPr="009F27AA">
              <w:rPr>
                <w:szCs w:val="20"/>
                <w:lang w:val="en-US"/>
              </w:rPr>
              <w:t xml:space="preserve"> were particularly complementary of DFAT’s Second Secretary in working with GoN </w:t>
            </w:r>
          </w:p>
          <w:p w14:paraId="688412ED" w14:textId="77777777" w:rsidR="00EF31FA" w:rsidRPr="009F27AA" w:rsidRDefault="00EF31FA" w:rsidP="00EF31FA">
            <w:pPr>
              <w:pStyle w:val="Tablebullet"/>
              <w:numPr>
                <w:ilvl w:val="0"/>
                <w:numId w:val="0"/>
              </w:numPr>
              <w:spacing w:before="60" w:after="60"/>
              <w:rPr>
                <w:szCs w:val="20"/>
                <w:lang w:val="en-US"/>
              </w:rPr>
            </w:pPr>
            <w:r w:rsidRPr="009F27AA">
              <w:rPr>
                <w:szCs w:val="20"/>
                <w:lang w:val="en-US"/>
              </w:rPr>
              <w:t xml:space="preserve">Issues raised </w:t>
            </w:r>
            <w:r w:rsidRPr="009F27AA">
              <w:rPr>
                <w:b/>
                <w:szCs w:val="20"/>
                <w:lang w:val="en-US"/>
              </w:rPr>
              <w:t>[INTERVIEW 9]</w:t>
            </w:r>
            <w:r w:rsidRPr="009F27AA">
              <w:rPr>
                <w:szCs w:val="20"/>
                <w:lang w:val="en-US"/>
              </w:rPr>
              <w:t xml:space="preserve"> regarding the design of the hospital were (i) the layout of operating theatre as substandard for managing infection control, (ii) materials selection for the roof (rusting from proximity to the sea) and flooring (has failed in one spot and showing signs of soft spots within 2 years of construction), (iii) confusing flow of patients to access different hospital services including lack of reception areas within the hospital (e.g. at pathology labs), (iv) width of doorways to accommodate beds with medical staff around as they move through emergency areas, (v) wheelchair access, (vi) design of the ambulance access area, which has a pole blocking ambulance swing doors from opening, (vii) a number of concerns regarding the oxygen and other gas delivery and alarm systems which have not worked since delivery, notably in the operating theatre area, (viii) proximity of the septic treatment facilities to the maternity ward and (ix) proximity of the incinerator to the oxygen tanks, with resultant safety concerns meaning some of these facilities cannot be used. </w:t>
            </w:r>
          </w:p>
          <w:p w14:paraId="2DD6FD5E" w14:textId="77777777" w:rsidR="00EF31FA" w:rsidRPr="009F27AA" w:rsidRDefault="00EF31FA" w:rsidP="00EF31FA">
            <w:pPr>
              <w:pStyle w:val="Nospacingbeforeorafter"/>
              <w:spacing w:before="120" w:after="120"/>
              <w:rPr>
                <w:szCs w:val="20"/>
                <w:lang w:val="en-US"/>
              </w:rPr>
            </w:pPr>
            <w:r w:rsidRPr="009F27AA">
              <w:rPr>
                <w:szCs w:val="20"/>
                <w:lang w:val="en-US"/>
              </w:rPr>
              <w:t xml:space="preserve">DFAT </w:t>
            </w:r>
            <w:r w:rsidRPr="009F27AA">
              <w:rPr>
                <w:b/>
                <w:szCs w:val="20"/>
                <w:lang w:val="en-US"/>
              </w:rPr>
              <w:t>[INTERVIEW 1]</w:t>
            </w:r>
            <w:r w:rsidRPr="009F27AA">
              <w:rPr>
                <w:szCs w:val="20"/>
                <w:lang w:val="en-US"/>
              </w:rPr>
              <w:t xml:space="preserve"> indicated that the design of the hospital facilities underwent an independent quality review process after construction was completed. The quality review identified the operating theatre as an area where the design did not adequately meet the needs for infection control. </w:t>
            </w:r>
          </w:p>
          <w:p w14:paraId="6B87250A" w14:textId="0F223BF3" w:rsidR="00EF31FA" w:rsidRPr="003D39B3" w:rsidRDefault="00EF31FA" w:rsidP="003D39B3">
            <w:pPr>
              <w:pStyle w:val="Nospacingbeforeorafter"/>
              <w:spacing w:before="120" w:after="120"/>
              <w:rPr>
                <w:szCs w:val="20"/>
              </w:rPr>
            </w:pPr>
            <w:r w:rsidRPr="009F27AA">
              <w:rPr>
                <w:b/>
                <w:szCs w:val="20"/>
                <w:lang w:val="en-US"/>
              </w:rPr>
              <w:t>[INTERVIEW 23]</w:t>
            </w:r>
            <w:r w:rsidRPr="009F27AA">
              <w:rPr>
                <w:szCs w:val="20"/>
                <w:lang w:val="en-US"/>
              </w:rPr>
              <w:t xml:space="preserve"> indicated that a modular structure for the hospital was already on island, having been designed for </w:t>
            </w:r>
            <w:r w:rsidR="007A7F56">
              <w:rPr>
                <w:szCs w:val="20"/>
                <w:lang w:val="en-US"/>
              </w:rPr>
              <w:t xml:space="preserve">an alternate </w:t>
            </w:r>
            <w:r w:rsidRPr="009F27AA">
              <w:rPr>
                <w:szCs w:val="20"/>
                <w:lang w:val="en-US"/>
              </w:rPr>
              <w:t>location and to attach to existing structures in that location. Following the 2013 fire at the RON hospital, the decision was made to repurpose the modular structures to rebuild</w:t>
            </w:r>
            <w:r w:rsidR="003D39B3">
              <w:rPr>
                <w:szCs w:val="20"/>
                <w:lang w:val="en-US"/>
              </w:rPr>
              <w:t xml:space="preserve"> on the existing hospital site. </w:t>
            </w:r>
            <w:r w:rsidRPr="009F27AA">
              <w:rPr>
                <w:szCs w:val="20"/>
              </w:rPr>
              <w:t xml:space="preserve">The structure was designed to Australian standards and constructed in Australia, with the explicit expectation that Australian technicians would be undertaking maintenance long-term. A 20-year life span is expected for most materials; however some components have an expected life of 5-10 years. The materials used were not intended to be used in close proximity to the ocean, as has ended up being their current location. </w:t>
            </w:r>
            <w:r w:rsidR="007A7F56">
              <w:rPr>
                <w:szCs w:val="20"/>
              </w:rPr>
              <w:t>T</w:t>
            </w:r>
            <w:r w:rsidRPr="009F27AA">
              <w:rPr>
                <w:szCs w:val="20"/>
              </w:rPr>
              <w:t xml:space="preserve">he roof material would be expected to last around 4 years at the RON hospital location, assuming that routine (6-monthly) maintenance was taking place to identify and treat rust. Noting the Phase 1 was completed in mid-2016, and Phase 2 in early 2017, however the materials were also stored in Nauru since 2013. </w:t>
            </w:r>
            <w:r w:rsidR="00B8065D">
              <w:rPr>
                <w:szCs w:val="20"/>
              </w:rPr>
              <w:t>L</w:t>
            </w:r>
            <w:r w:rsidRPr="009F27AA">
              <w:rPr>
                <w:szCs w:val="20"/>
              </w:rPr>
              <w:t>imitations with the Phase 1 of the building, including the flooring, noting that the Phase 2 was designed with a slab foundation to be more robust and maintainable. </w:t>
            </w:r>
            <w:r w:rsidR="00B8065D">
              <w:rPr>
                <w:szCs w:val="20"/>
              </w:rPr>
              <w:t>The</w:t>
            </w:r>
            <w:r w:rsidRPr="009F27AA">
              <w:rPr>
                <w:szCs w:val="20"/>
              </w:rPr>
              <w:t xml:space="preserve"> floor of the Phase 1 structure needs to be spray insulated underneath to prevent ongoing issues with weak spots caused by the internal temperature dropping below the dew point of 23 degrees. </w:t>
            </w:r>
            <w:r w:rsidR="00B8065D">
              <w:rPr>
                <w:szCs w:val="20"/>
              </w:rPr>
              <w:t>The</w:t>
            </w:r>
            <w:r w:rsidRPr="009F27AA">
              <w:rPr>
                <w:szCs w:val="20"/>
              </w:rPr>
              <w:t xml:space="preserve"> walls may also have similar issues and recommended that a building inspection be undertaken to assess the roof, flooring and walls. </w:t>
            </w:r>
            <w:r w:rsidRPr="009F27AA">
              <w:rPr>
                <w:szCs w:val="20"/>
                <w:lang w:val="en-US"/>
              </w:rPr>
              <w:t xml:space="preserve"> </w:t>
            </w:r>
          </w:p>
        </w:tc>
        <w:tc>
          <w:tcPr>
            <w:tcW w:w="7979" w:type="dxa"/>
            <w:tcBorders>
              <w:left w:val="single" w:sz="6" w:space="0" w:color="E26E00"/>
            </w:tcBorders>
            <w:shd w:val="clear" w:color="auto" w:fill="auto"/>
          </w:tcPr>
          <w:p w14:paraId="3AA4DD48" w14:textId="7AE1A071" w:rsidR="00EF31FA" w:rsidRPr="009F27AA" w:rsidRDefault="00EF31FA" w:rsidP="00EF31FA">
            <w:pPr>
              <w:pStyle w:val="Tablebullet"/>
              <w:numPr>
                <w:ilvl w:val="0"/>
                <w:numId w:val="0"/>
              </w:numPr>
              <w:spacing w:before="60" w:after="60"/>
              <w:rPr>
                <w:szCs w:val="20"/>
                <w:lang w:val="en-US"/>
              </w:rPr>
            </w:pPr>
            <w:r w:rsidRPr="009F27AA">
              <w:rPr>
                <w:szCs w:val="20"/>
                <w:lang w:val="en-US"/>
              </w:rPr>
              <w:t xml:space="preserve">The process for the RON hospital development evolved </w:t>
            </w:r>
            <w:r w:rsidR="003D39B3">
              <w:rPr>
                <w:szCs w:val="20"/>
                <w:lang w:val="en-US"/>
              </w:rPr>
              <w:t>following</w:t>
            </w:r>
            <w:r w:rsidRPr="009F27AA">
              <w:rPr>
                <w:szCs w:val="20"/>
                <w:lang w:val="en-US"/>
              </w:rPr>
              <w:t xml:space="preserve"> the RON hospital fire in 2013. </w:t>
            </w:r>
            <w:bookmarkStart w:id="46" w:name="_Hlk516108495"/>
            <w:r w:rsidRPr="009F27AA">
              <w:rPr>
                <w:szCs w:val="20"/>
                <w:lang w:val="en-US"/>
              </w:rPr>
              <w:t xml:space="preserve">DFAT contributed funding to the process but </w:t>
            </w:r>
            <w:r w:rsidR="00321802">
              <w:rPr>
                <w:szCs w:val="20"/>
                <w:lang w:val="en-US"/>
              </w:rPr>
              <w:t>did not lead implementation.</w:t>
            </w:r>
            <w:bookmarkEnd w:id="46"/>
          </w:p>
          <w:p w14:paraId="61C9D551" w14:textId="77777777" w:rsidR="00EF31FA" w:rsidRPr="009F27AA" w:rsidRDefault="00EF31FA" w:rsidP="00EF31FA">
            <w:pPr>
              <w:pStyle w:val="Tablebullet"/>
              <w:numPr>
                <w:ilvl w:val="0"/>
                <w:numId w:val="0"/>
              </w:numPr>
              <w:spacing w:before="60" w:after="60"/>
              <w:rPr>
                <w:szCs w:val="20"/>
                <w:lang w:val="en-US"/>
              </w:rPr>
            </w:pPr>
            <w:r w:rsidRPr="009F27AA">
              <w:rPr>
                <w:szCs w:val="20"/>
                <w:lang w:val="en-US"/>
              </w:rPr>
              <w:t xml:space="preserve">The process followed was lacking in key areas and has a number of resultant trailing issues in terms of effectiveness. These include (i) lack of stakeholder engagement and consultation; (ii) adapting the existing design to the new site without meeting key needs, such as the operating theatre; (iii) materials that are expected to have a shortened life span in their current location; (iv) maintenance needs (including for plant such as oxygen supply systems) that are difficult to support locally; (v) no defect liability period in the contract; and (vi) poor handover and capacity building for operations and maintenance.  </w:t>
            </w:r>
          </w:p>
          <w:p w14:paraId="17096D2E" w14:textId="77777777" w:rsidR="00EF31FA" w:rsidRPr="009F27AA" w:rsidRDefault="00EF31FA" w:rsidP="00EF31FA">
            <w:pPr>
              <w:pStyle w:val="Tablebullet"/>
              <w:numPr>
                <w:ilvl w:val="0"/>
                <w:numId w:val="0"/>
              </w:numPr>
              <w:spacing w:before="60" w:after="60"/>
              <w:rPr>
                <w:szCs w:val="20"/>
                <w:lang w:val="en-US"/>
              </w:rPr>
            </w:pPr>
            <w:r w:rsidRPr="009F27AA">
              <w:rPr>
                <w:szCs w:val="20"/>
                <w:lang w:val="en-US"/>
              </w:rPr>
              <w:t xml:space="preserve">Other areas such as the location of the incinerator for hospital waste (placed in proximity to oxygen tanks) was not adequate, despite going through an extensive consultation process. This suggests that the consultations may not have included people with suitable skills and experience (in hospitals and/or infrastructure) to ensure a suitable outcome. </w:t>
            </w:r>
          </w:p>
          <w:p w14:paraId="5FAE2EA3" w14:textId="77777777" w:rsidR="00EF31FA" w:rsidRPr="009F27AA" w:rsidRDefault="00EF31FA" w:rsidP="00EF31FA">
            <w:pPr>
              <w:pStyle w:val="Nospacingbeforeorafter"/>
              <w:rPr>
                <w:b/>
                <w:szCs w:val="20"/>
              </w:rPr>
            </w:pPr>
          </w:p>
        </w:tc>
      </w:tr>
      <w:tr w:rsidR="0076498C" w:rsidRPr="009F27AA" w14:paraId="44437BC6" w14:textId="77777777" w:rsidTr="00473C45">
        <w:trPr>
          <w:trHeight w:val="419"/>
          <w:tblHeader/>
        </w:trPr>
        <w:tc>
          <w:tcPr>
            <w:tcW w:w="3437" w:type="dxa"/>
            <w:tcBorders>
              <w:right w:val="single" w:sz="6" w:space="0" w:color="E26E00"/>
            </w:tcBorders>
            <w:shd w:val="clear" w:color="auto" w:fill="auto"/>
          </w:tcPr>
          <w:p w14:paraId="0D5F8B48" w14:textId="77777777" w:rsidR="00233306" w:rsidRDefault="00233306" w:rsidP="0076498C">
            <w:pPr>
              <w:pStyle w:val="Nospacingbeforeorafter"/>
              <w:rPr>
                <w:szCs w:val="20"/>
                <w:lang w:val="en-US"/>
              </w:rPr>
            </w:pPr>
          </w:p>
          <w:p w14:paraId="256F0AA5" w14:textId="77777777" w:rsidR="00233306" w:rsidRDefault="00233306" w:rsidP="0076498C">
            <w:pPr>
              <w:pStyle w:val="Nospacingbeforeorafter"/>
              <w:rPr>
                <w:szCs w:val="20"/>
                <w:lang w:val="en-US"/>
              </w:rPr>
            </w:pPr>
          </w:p>
          <w:p w14:paraId="2FF82C57" w14:textId="77777777" w:rsidR="0076498C" w:rsidRPr="009F27AA" w:rsidRDefault="0076498C" w:rsidP="0076498C">
            <w:pPr>
              <w:pStyle w:val="Nospacingbeforeorafter"/>
              <w:rPr>
                <w:szCs w:val="20"/>
                <w:lang w:val="en-US"/>
              </w:rPr>
            </w:pPr>
            <w:r w:rsidRPr="009F27AA">
              <w:rPr>
                <w:szCs w:val="20"/>
                <w:lang w:val="en-US"/>
              </w:rPr>
              <w:t>Wellness clinics</w:t>
            </w:r>
          </w:p>
        </w:tc>
        <w:tc>
          <w:tcPr>
            <w:tcW w:w="10664" w:type="dxa"/>
            <w:tcBorders>
              <w:left w:val="single" w:sz="6" w:space="0" w:color="E26E00"/>
              <w:right w:val="single" w:sz="6" w:space="0" w:color="E26E00"/>
            </w:tcBorders>
            <w:shd w:val="clear" w:color="auto" w:fill="auto"/>
          </w:tcPr>
          <w:p w14:paraId="5EC9DB9F" w14:textId="77777777" w:rsidR="00233306" w:rsidRDefault="00233306" w:rsidP="0076498C">
            <w:pPr>
              <w:pStyle w:val="Tablebullet"/>
              <w:numPr>
                <w:ilvl w:val="0"/>
                <w:numId w:val="0"/>
              </w:numPr>
              <w:spacing w:before="60" w:after="60"/>
              <w:rPr>
                <w:szCs w:val="20"/>
                <w:lang w:val="en-US"/>
              </w:rPr>
            </w:pPr>
          </w:p>
          <w:p w14:paraId="00FB50B0"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Interviews </w:t>
            </w:r>
            <w:r w:rsidRPr="009F27AA">
              <w:rPr>
                <w:b/>
                <w:szCs w:val="20"/>
                <w:lang w:val="en-US"/>
              </w:rPr>
              <w:t>[INTERVIEWS 1, 9]</w:t>
            </w:r>
            <w:r w:rsidRPr="009F27AA">
              <w:rPr>
                <w:szCs w:val="20"/>
                <w:lang w:val="en-US"/>
              </w:rPr>
              <w:t xml:space="preserve"> have indicated that there were four community wellness clinics (shipping containers), of which three were funded by DFAT and one by GoN. Of the three funded by DFAT, one is currently in use (located near the police station), one has stopped being used due to lack of facilities for staff and patients (toilets, air-conditioning) and one was damaged in transit to Nauru. The latter is being repaired in New Zealand and will be installed at a later date. The GoN funded clinic is also no longer used, due to the container itself rusting in a short period of time from sea spray and lack of air-conditioning. </w:t>
            </w:r>
          </w:p>
          <w:p w14:paraId="44530EF5" w14:textId="77777777" w:rsidR="0076498C" w:rsidRPr="009F27AA" w:rsidRDefault="0076498C" w:rsidP="0076498C">
            <w:pPr>
              <w:pStyle w:val="Tablebullet"/>
              <w:numPr>
                <w:ilvl w:val="0"/>
                <w:numId w:val="0"/>
              </w:numPr>
              <w:spacing w:before="100" w:after="100"/>
              <w:rPr>
                <w:szCs w:val="20"/>
                <w:lang w:val="en-US"/>
              </w:rPr>
            </w:pPr>
            <w:r w:rsidRPr="009F27AA">
              <w:rPr>
                <w:szCs w:val="20"/>
                <w:lang w:val="en-US"/>
              </w:rPr>
              <w:lastRenderedPageBreak/>
              <w:t xml:space="preserve">Medical staff at the hospital </w:t>
            </w:r>
            <w:r w:rsidRPr="009F27AA">
              <w:rPr>
                <w:b/>
                <w:szCs w:val="20"/>
                <w:lang w:val="en-US"/>
              </w:rPr>
              <w:t>[INTERVIEW 9]</w:t>
            </w:r>
            <w:r w:rsidRPr="009F27AA">
              <w:rPr>
                <w:szCs w:val="20"/>
                <w:lang w:val="en-US"/>
              </w:rPr>
              <w:t xml:space="preserve"> indicated that the community wellness clinics are crucially needed to improve access to health services and reduce hospital patient load.</w:t>
            </w:r>
          </w:p>
        </w:tc>
        <w:tc>
          <w:tcPr>
            <w:tcW w:w="7979" w:type="dxa"/>
            <w:tcBorders>
              <w:left w:val="single" w:sz="6" w:space="0" w:color="E26E00"/>
            </w:tcBorders>
            <w:shd w:val="clear" w:color="auto" w:fill="auto"/>
          </w:tcPr>
          <w:p w14:paraId="4171AE7D" w14:textId="77777777" w:rsidR="00233306" w:rsidRDefault="00233306" w:rsidP="0076498C">
            <w:pPr>
              <w:pStyle w:val="Tablebullet"/>
              <w:numPr>
                <w:ilvl w:val="0"/>
                <w:numId w:val="0"/>
              </w:numPr>
              <w:spacing w:before="60" w:after="60"/>
              <w:rPr>
                <w:szCs w:val="20"/>
                <w:lang w:val="en-US"/>
              </w:rPr>
            </w:pPr>
          </w:p>
          <w:p w14:paraId="413FBC6A"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The investment in shipping container solutions, whilst potentially cost effective and timely, still requires adequate assessment of supplementary facilities needed to ensure that they are utilized. The clinics cannot be seen to be “fit for purpose” where they are not used due to lack of facilities.</w:t>
            </w:r>
          </w:p>
          <w:p w14:paraId="452C0187"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lastRenderedPageBreak/>
              <w:t>The siting of the clinics also needs to be considered, given some evidence that those located close to the ocean have rusted in a short period of time. Other materials or ways to deliver the services could be considered.</w:t>
            </w:r>
          </w:p>
        </w:tc>
      </w:tr>
      <w:tr w:rsidR="0076498C" w:rsidRPr="009F27AA" w14:paraId="249F945E" w14:textId="77777777" w:rsidTr="00473C45">
        <w:trPr>
          <w:trHeight w:val="419"/>
          <w:tblHeader/>
        </w:trPr>
        <w:tc>
          <w:tcPr>
            <w:tcW w:w="3437" w:type="dxa"/>
            <w:tcBorders>
              <w:bottom w:val="single" w:sz="6" w:space="0" w:color="E26E00"/>
              <w:right w:val="single" w:sz="6" w:space="0" w:color="E26E00"/>
            </w:tcBorders>
            <w:shd w:val="clear" w:color="auto" w:fill="auto"/>
          </w:tcPr>
          <w:p w14:paraId="6BF02BB3" w14:textId="77777777" w:rsidR="0076498C" w:rsidRPr="009F27AA" w:rsidRDefault="0076498C" w:rsidP="0076498C">
            <w:pPr>
              <w:pStyle w:val="Nospacingbeforeorafter"/>
              <w:spacing w:before="80" w:after="80"/>
              <w:rPr>
                <w:b/>
                <w:szCs w:val="20"/>
              </w:rPr>
            </w:pPr>
            <w:r w:rsidRPr="009F27AA">
              <w:rPr>
                <w:szCs w:val="20"/>
                <w:lang w:val="en-US"/>
              </w:rPr>
              <w:lastRenderedPageBreak/>
              <w:t>Nauru Electricity Supply and Sustainability Project</w:t>
            </w:r>
          </w:p>
        </w:tc>
        <w:tc>
          <w:tcPr>
            <w:tcW w:w="10664" w:type="dxa"/>
            <w:tcBorders>
              <w:left w:val="single" w:sz="6" w:space="0" w:color="E26E00"/>
              <w:bottom w:val="single" w:sz="6" w:space="0" w:color="E26E00"/>
              <w:right w:val="single" w:sz="6" w:space="0" w:color="E26E00"/>
            </w:tcBorders>
            <w:shd w:val="clear" w:color="auto" w:fill="auto"/>
          </w:tcPr>
          <w:p w14:paraId="77C96AE2" w14:textId="77777777" w:rsidR="0076498C" w:rsidRPr="009F27AA" w:rsidRDefault="0076498C" w:rsidP="0076498C">
            <w:pPr>
              <w:pStyle w:val="Tablebullet"/>
              <w:numPr>
                <w:ilvl w:val="0"/>
                <w:numId w:val="0"/>
              </w:numPr>
              <w:spacing w:before="60" w:after="60"/>
              <w:rPr>
                <w:szCs w:val="20"/>
                <w:lang w:val="en-US"/>
              </w:rPr>
            </w:pPr>
            <w:r w:rsidRPr="009F27AA">
              <w:rPr>
                <w:b/>
                <w:szCs w:val="20"/>
                <w:lang w:val="en-US"/>
              </w:rPr>
              <w:t xml:space="preserve">[EVIDENCE 1] – Independent Review Report (PMAG, 2014) – </w:t>
            </w:r>
            <w:r w:rsidRPr="009F27AA">
              <w:rPr>
                <w:szCs w:val="20"/>
                <w:lang w:val="en-US"/>
              </w:rPr>
              <w:t>The independent review states:</w:t>
            </w:r>
            <w:r w:rsidRPr="009F27AA">
              <w:rPr>
                <w:b/>
                <w:szCs w:val="20"/>
                <w:lang w:val="en-US"/>
              </w:rPr>
              <w:t xml:space="preserve"> </w:t>
            </w:r>
            <w:r w:rsidRPr="009F27AA">
              <w:rPr>
                <w:szCs w:val="20"/>
                <w:lang w:val="en-US"/>
              </w:rPr>
              <w:t>“Improving the reliability of power supplies remains a key concern, and ADB will be assisting in buying a new generator, repairing the power station roof, preparing an asset management plan, reviewing the corporate structure, improving accounting and HR systems, and conducting a tariff study. An Energy Road Map for Nauru, setting the basis for the shift to renewable energy, has been prepared. However, the mission is of the clear view that a reliable base load is a pre-requisite and remains the first priority.”</w:t>
            </w:r>
          </w:p>
          <w:p w14:paraId="05165FDC"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 broader project by ADB included several components, of which DFAT contributed AUD 6.4m between 2014 to 2016 for the procurement of two diesel generators </w:t>
            </w:r>
            <w:r w:rsidRPr="009F27AA">
              <w:rPr>
                <w:b/>
                <w:szCs w:val="20"/>
                <w:lang w:val="en-US"/>
              </w:rPr>
              <w:t>(Investment Annual Infrastructure Report – DFAT, 2018)</w:t>
            </w:r>
            <w:r w:rsidRPr="009F27AA">
              <w:rPr>
                <w:szCs w:val="20"/>
                <w:lang w:val="en-US"/>
              </w:rPr>
              <w:t>.</w:t>
            </w:r>
          </w:p>
          <w:p w14:paraId="466822DC" w14:textId="77777777" w:rsidR="0076498C" w:rsidRPr="009F27AA" w:rsidRDefault="0076498C" w:rsidP="0076498C">
            <w:pPr>
              <w:pStyle w:val="Tablebullet"/>
              <w:numPr>
                <w:ilvl w:val="0"/>
                <w:numId w:val="0"/>
              </w:numPr>
              <w:spacing w:before="100" w:after="100"/>
              <w:rPr>
                <w:szCs w:val="20"/>
                <w:lang w:val="en-US"/>
              </w:rPr>
            </w:pPr>
            <w:r w:rsidRPr="009F27AA">
              <w:rPr>
                <w:szCs w:val="20"/>
                <w:lang w:val="en-US"/>
              </w:rPr>
              <w:t xml:space="preserve">As outlined in the </w:t>
            </w:r>
            <w:r w:rsidRPr="009F27AA">
              <w:rPr>
                <w:b/>
                <w:szCs w:val="20"/>
                <w:lang w:val="en-US"/>
              </w:rPr>
              <w:t>ADB Report and Recommendation of the President to the Board of Directors (2014)</w:t>
            </w:r>
            <w:r w:rsidRPr="009F27AA">
              <w:rPr>
                <w:szCs w:val="20"/>
                <w:lang w:val="en-US"/>
              </w:rPr>
              <w:t>, the overall project included “the delivery and installation of new diesel-fired generation to provide reliable base-load power for the NUC, allowing it to retire older generation assets and perform scheduled refurbishment of existing units to extend their service life. The project also repaired the roof of the existing structure housing the NUC’s generators to shield them from the elements. Addressing reliability and efficiency shortcomings in Nauru’s current diesel generation equipment is of first-order priority to improve service reliability and mitigate the risk of catastrophic failure of the NUC’s power generation. The NUC’s investment priorities include introducing 3.0 MW of new diesel-fired generation under the project to replace existing generation, improve efficiency and reliability, and reduce fuel costs. The NUC estimates that this will result in a 20% improvement in generation efficiency from the existing 3.4 kilowatt-hours (kWh) generated per liter of diesel consumed to 4.1 kWh.”</w:t>
            </w:r>
          </w:p>
          <w:p w14:paraId="240E24A5" w14:textId="77777777" w:rsidR="0076498C" w:rsidRPr="009F27AA" w:rsidRDefault="0076498C" w:rsidP="0076498C">
            <w:pPr>
              <w:pStyle w:val="Nospacingbeforeorafter"/>
              <w:spacing w:before="120" w:after="120"/>
              <w:rPr>
                <w:b/>
                <w:szCs w:val="20"/>
              </w:rPr>
            </w:pPr>
            <w:r w:rsidRPr="009F27AA">
              <w:rPr>
                <w:szCs w:val="20"/>
                <w:lang w:val="en-US"/>
              </w:rPr>
              <w:t xml:space="preserve">Interview </w:t>
            </w:r>
            <w:r w:rsidRPr="009F27AA">
              <w:rPr>
                <w:b/>
                <w:szCs w:val="20"/>
                <w:lang w:val="en-US"/>
              </w:rPr>
              <w:t>[INTERVIEW 11]</w:t>
            </w:r>
            <w:r w:rsidRPr="009F27AA">
              <w:rPr>
                <w:szCs w:val="20"/>
                <w:lang w:val="en-US"/>
              </w:rPr>
              <w:t xml:space="preserve"> with NUC indicated that the selection of diesel generators were suitable in terms of capacity, quality and brand and that NUC’s local staff now have the capability to maintain the generators. The interview indicated an expectation that the new diesel generators are intended to be the last for Nauru, with the expectation that they will be replaced at the end of their life with renewable energy sources. </w:t>
            </w:r>
            <w:r w:rsidRPr="009F27AA">
              <w:rPr>
                <w:szCs w:val="20"/>
                <w:lang w:val="en-US"/>
              </w:rPr>
              <w:br/>
            </w:r>
          </w:p>
        </w:tc>
        <w:tc>
          <w:tcPr>
            <w:tcW w:w="7979" w:type="dxa"/>
            <w:tcBorders>
              <w:left w:val="single" w:sz="6" w:space="0" w:color="E26E00"/>
              <w:bottom w:val="single" w:sz="6" w:space="0" w:color="E26E00"/>
            </w:tcBorders>
            <w:shd w:val="clear" w:color="auto" w:fill="auto"/>
          </w:tcPr>
          <w:p w14:paraId="4DA095CC" w14:textId="77777777" w:rsidR="0076498C" w:rsidRPr="009F27AA" w:rsidRDefault="0076498C" w:rsidP="0076498C">
            <w:pPr>
              <w:pStyle w:val="Nospacingbeforeorafter"/>
              <w:spacing w:before="120" w:after="120"/>
              <w:rPr>
                <w:b/>
                <w:szCs w:val="20"/>
              </w:rPr>
            </w:pPr>
            <w:r w:rsidRPr="009F27AA">
              <w:rPr>
                <w:szCs w:val="20"/>
                <w:lang w:val="en-US"/>
              </w:rPr>
              <w:t>The diesel generators contributed by DFAT were suitable in terms of capacity and quality and are contributing to the improved level of energy service in Nauru. The solution was suitable as a stepping stone towards renewable energy solutions being incorporated into Nauru’s energy mix.</w:t>
            </w:r>
          </w:p>
        </w:tc>
      </w:tr>
      <w:tr w:rsidR="0076498C" w:rsidRPr="009F27AA" w14:paraId="6FB191D7" w14:textId="77777777" w:rsidTr="00473C45">
        <w:trPr>
          <w:trHeight w:val="419"/>
          <w:tblHeader/>
        </w:trPr>
        <w:tc>
          <w:tcPr>
            <w:tcW w:w="22080" w:type="dxa"/>
            <w:gridSpan w:val="3"/>
            <w:shd w:val="clear" w:color="auto" w:fill="FDE9D9" w:themeFill="accent6" w:themeFillTint="33"/>
          </w:tcPr>
          <w:p w14:paraId="190BAB26" w14:textId="77777777" w:rsidR="0076498C" w:rsidRPr="009F27AA" w:rsidRDefault="0076498C" w:rsidP="0076498C">
            <w:pPr>
              <w:pStyle w:val="Nospacingbeforeorafter"/>
              <w:keepNext/>
              <w:keepLines/>
              <w:spacing w:before="120" w:after="120"/>
              <w:rPr>
                <w:b/>
                <w:szCs w:val="20"/>
              </w:rPr>
            </w:pPr>
            <w:r>
              <w:rPr>
                <w:b/>
                <w:szCs w:val="20"/>
              </w:rPr>
              <w:t>ONGOING / UNDER CONSTRUCTION PROJECTS</w:t>
            </w:r>
          </w:p>
        </w:tc>
      </w:tr>
      <w:tr w:rsidR="0076498C" w:rsidRPr="009F27AA" w14:paraId="755B0678" w14:textId="77777777" w:rsidTr="00473C45">
        <w:trPr>
          <w:trHeight w:val="419"/>
          <w:tblHeader/>
        </w:trPr>
        <w:tc>
          <w:tcPr>
            <w:tcW w:w="3437" w:type="dxa"/>
            <w:tcBorders>
              <w:right w:val="single" w:sz="6" w:space="0" w:color="E26E00"/>
            </w:tcBorders>
            <w:shd w:val="clear" w:color="auto" w:fill="auto"/>
          </w:tcPr>
          <w:p w14:paraId="0A34D86C" w14:textId="77777777" w:rsidR="0076498C" w:rsidRPr="009F27AA" w:rsidRDefault="0076498C" w:rsidP="0076498C">
            <w:pPr>
              <w:pStyle w:val="Nospacingbeforeorafter"/>
              <w:spacing w:before="80" w:after="80"/>
              <w:rPr>
                <w:szCs w:val="20"/>
                <w:lang w:val="en-US"/>
              </w:rPr>
            </w:pPr>
            <w:r w:rsidRPr="009F27AA">
              <w:rPr>
                <w:szCs w:val="20"/>
                <w:lang w:val="en-US"/>
              </w:rPr>
              <w:t>Household water tanks</w:t>
            </w:r>
          </w:p>
        </w:tc>
        <w:tc>
          <w:tcPr>
            <w:tcW w:w="10664" w:type="dxa"/>
            <w:tcBorders>
              <w:left w:val="single" w:sz="6" w:space="0" w:color="E26E00"/>
              <w:right w:val="single" w:sz="6" w:space="0" w:color="E26E00"/>
            </w:tcBorders>
            <w:shd w:val="clear" w:color="auto" w:fill="auto"/>
          </w:tcPr>
          <w:p w14:paraId="285F6FB1"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Interviews </w:t>
            </w:r>
            <w:r w:rsidRPr="009F27AA">
              <w:rPr>
                <w:b/>
                <w:szCs w:val="20"/>
                <w:lang w:val="en-US"/>
              </w:rPr>
              <w:t>[INTERVIEWS 1, 7]</w:t>
            </w:r>
            <w:r w:rsidRPr="009F27AA">
              <w:rPr>
                <w:szCs w:val="20"/>
                <w:lang w:val="en-US"/>
              </w:rPr>
              <w:t xml:space="preserve"> suggest that due to a number of factors, the household water tanks project is yet to be completed and has recently progressed again after being on hold for a number of years. The recent progress includes a tender for water tanks to be procured and delivered to Nauru port. Installation will be tendered as a separate process once the particular water tanks are identified through the tender process. The selection of households appears to have encountered challenges. </w:t>
            </w:r>
          </w:p>
          <w:p w14:paraId="704CA593" w14:textId="77777777" w:rsidR="0076498C" w:rsidRPr="009F27AA" w:rsidRDefault="0076498C" w:rsidP="0076498C">
            <w:pPr>
              <w:pStyle w:val="Nospacingbeforeorafter"/>
              <w:spacing w:before="120" w:after="120"/>
              <w:rPr>
                <w:i/>
                <w:szCs w:val="20"/>
                <w:lang w:val="en-US"/>
              </w:rPr>
            </w:pPr>
            <w:r w:rsidRPr="009F27AA">
              <w:rPr>
                <w:b/>
                <w:szCs w:val="20"/>
                <w:lang w:val="en-US"/>
              </w:rPr>
              <w:t xml:space="preserve">[EVIDENCE 1] – Climate Risk and Vulnerability Assessment (Cardno, 2017) </w:t>
            </w:r>
            <w:r w:rsidRPr="009F27AA">
              <w:rPr>
                <w:szCs w:val="20"/>
                <w:lang w:val="en-US"/>
              </w:rPr>
              <w:t>indicates that “almost all climate models project an increase in long-term average rainfall, with most models predicting increased rainfall for both the dry and wet seasons (BOM and CSIRO, 2014), although it is noted that the current range of interannual variation in rainfall is greater than all but the upper range of projections for the highest emission scenario by 2090. There is medium confidence in these projections. One of the reasons is that the future behavior of ENSO is unclear, and ENSO is a strong influence on rainfall variability from year-to-year.”</w:t>
            </w:r>
            <w:r w:rsidRPr="009F27AA">
              <w:rPr>
                <w:szCs w:val="20"/>
                <w:lang w:val="en-US"/>
              </w:rPr>
              <w:br/>
            </w:r>
            <w:r w:rsidRPr="009F27AA">
              <w:rPr>
                <w:szCs w:val="20"/>
                <w:lang w:val="en-US"/>
              </w:rPr>
              <w:br/>
            </w:r>
            <w:r w:rsidRPr="009F27AA">
              <w:rPr>
                <w:b/>
                <w:szCs w:val="20"/>
                <w:lang w:val="en-US"/>
              </w:rPr>
              <w:t>[EVIDENCE 2] – Nauru Water and Sanitation Masterplan (GoN, 2017)</w:t>
            </w:r>
            <w:r w:rsidRPr="009F27AA">
              <w:rPr>
                <w:szCs w:val="20"/>
                <w:lang w:val="en-US"/>
              </w:rPr>
              <w:t xml:space="preserve"> – “The proposed water supply system is a traditional water supply system with pumping to key reservoir locations and then making maximum use of gravity to supply a ring main which extends around the island. The water supply options have considered and accommodated the use of conjunctive water sources to reduce Nauru’s reliance on desalination although this remains the primary bulk water production source. Improvements in rainwater harvesting at a household level are possible and are actively encouraged.”</w:t>
            </w:r>
          </w:p>
        </w:tc>
        <w:tc>
          <w:tcPr>
            <w:tcW w:w="7979" w:type="dxa"/>
            <w:tcBorders>
              <w:left w:val="single" w:sz="6" w:space="0" w:color="E26E00"/>
            </w:tcBorders>
            <w:shd w:val="clear" w:color="auto" w:fill="auto"/>
          </w:tcPr>
          <w:p w14:paraId="4778F528"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 design of the project aligns with the water and sanitation masterplan and is fit for purpose. </w:t>
            </w:r>
            <w:r w:rsidRPr="009F27AA">
              <w:rPr>
                <w:szCs w:val="20"/>
                <w:lang w:val="en-US"/>
              </w:rPr>
              <w:br/>
            </w:r>
            <w:r w:rsidRPr="009F27AA">
              <w:rPr>
                <w:szCs w:val="20"/>
                <w:lang w:val="en-US"/>
              </w:rPr>
              <w:br/>
              <w:t>The effectiveness of this project has been low, given implementation issues resulting in reduction in scope from 200 household water tanks to 106, and the delivery of even this quantity remains at risk. There is also a lack of maintenance strategy, and maintenance will be challenging given the ownership of tanks at the household level.</w:t>
            </w:r>
          </w:p>
          <w:p w14:paraId="0661EA02" w14:textId="77777777" w:rsidR="0076498C" w:rsidRPr="009F27AA" w:rsidRDefault="0076498C" w:rsidP="0076498C">
            <w:pPr>
              <w:pStyle w:val="Tablebullet"/>
              <w:numPr>
                <w:ilvl w:val="0"/>
                <w:numId w:val="0"/>
              </w:numPr>
              <w:spacing w:before="100" w:after="100"/>
              <w:rPr>
                <w:b/>
                <w:szCs w:val="20"/>
              </w:rPr>
            </w:pPr>
          </w:p>
        </w:tc>
      </w:tr>
      <w:tr w:rsidR="0076498C" w:rsidRPr="009F27AA" w14:paraId="7CF92B31" w14:textId="77777777" w:rsidTr="00473C45">
        <w:trPr>
          <w:trHeight w:val="419"/>
          <w:tblHeader/>
        </w:trPr>
        <w:tc>
          <w:tcPr>
            <w:tcW w:w="3437" w:type="dxa"/>
            <w:tcBorders>
              <w:right w:val="single" w:sz="6" w:space="0" w:color="E26E00"/>
            </w:tcBorders>
            <w:shd w:val="clear" w:color="auto" w:fill="auto"/>
          </w:tcPr>
          <w:p w14:paraId="40142F31" w14:textId="77777777" w:rsidR="0076498C" w:rsidRPr="009F27AA" w:rsidRDefault="0076498C" w:rsidP="0076498C">
            <w:pPr>
              <w:pStyle w:val="Nospacingbeforeorafter"/>
              <w:spacing w:before="80" w:after="80"/>
              <w:rPr>
                <w:szCs w:val="20"/>
                <w:lang w:val="en-US"/>
              </w:rPr>
            </w:pPr>
            <w:r w:rsidRPr="009F27AA">
              <w:rPr>
                <w:szCs w:val="20"/>
                <w:lang w:val="en-US"/>
              </w:rPr>
              <w:t>Sports complex</w:t>
            </w:r>
          </w:p>
        </w:tc>
        <w:tc>
          <w:tcPr>
            <w:tcW w:w="10664" w:type="dxa"/>
            <w:tcBorders>
              <w:left w:val="single" w:sz="6" w:space="0" w:color="E26E00"/>
              <w:right w:val="single" w:sz="6" w:space="0" w:color="E26E00"/>
            </w:tcBorders>
            <w:shd w:val="clear" w:color="auto" w:fill="auto"/>
          </w:tcPr>
          <w:p w14:paraId="61633F8B" w14:textId="77777777" w:rsidR="0076498C" w:rsidRPr="009F27AA" w:rsidRDefault="0076498C" w:rsidP="0076498C">
            <w:pPr>
              <w:pStyle w:val="Tablebullet"/>
              <w:numPr>
                <w:ilvl w:val="0"/>
                <w:numId w:val="0"/>
              </w:numPr>
              <w:spacing w:before="60" w:after="60"/>
              <w:rPr>
                <w:szCs w:val="20"/>
              </w:rPr>
            </w:pPr>
            <w:r w:rsidRPr="009F27AA">
              <w:rPr>
                <w:b/>
                <w:szCs w:val="20"/>
                <w:lang w:val="en-US"/>
              </w:rPr>
              <w:t xml:space="preserve">[INTERVIEW 18] </w:t>
            </w:r>
            <w:r w:rsidRPr="009F27AA">
              <w:rPr>
                <w:szCs w:val="20"/>
                <w:lang w:val="en-US"/>
              </w:rPr>
              <w:t>the Department of Sports and Infrastructure (DSI) indicated that there had been demand for a sports facility in Nauru since 1994, when the National Olympic Committee was established. The original design, for which steel frames were constructed on the same site, was for three court spaces. The new concept design for a larger facility with two courts is preferable as it allows full sized courts that are up to regional standard. DSI indicated that they were felt the designs were fit for purpose, although expressed some reservation that the project had been delivered in two stages. The concern expressed was that the second phase may never eventuate, and the overall plan may not be delivered given funding for sports is often lower than other priorities. Concerns were also raised about the lack of a strategy and operational plans once the complex opens.</w:t>
            </w:r>
            <w:r w:rsidRPr="009F27AA">
              <w:rPr>
                <w:szCs w:val="20"/>
              </w:rPr>
              <w:t xml:space="preserve"> </w:t>
            </w:r>
          </w:p>
          <w:p w14:paraId="3789A20C" w14:textId="77777777" w:rsidR="0076498C" w:rsidRPr="009F27AA" w:rsidRDefault="0076498C" w:rsidP="0076498C">
            <w:pPr>
              <w:pStyle w:val="Tablebullet"/>
              <w:numPr>
                <w:ilvl w:val="0"/>
                <w:numId w:val="0"/>
              </w:numPr>
              <w:spacing w:before="60" w:after="60"/>
              <w:rPr>
                <w:szCs w:val="20"/>
                <w:lang w:val="en-US"/>
              </w:rPr>
            </w:pPr>
            <w:r w:rsidRPr="009F27AA">
              <w:rPr>
                <w:b/>
                <w:szCs w:val="20"/>
                <w:lang w:val="en-US"/>
              </w:rPr>
              <w:t>[EVIDENCE 1] – Concept Design Report for Nauru Sports Complex (A&amp;L, 2017)</w:t>
            </w:r>
            <w:r w:rsidRPr="009F27AA">
              <w:rPr>
                <w:szCs w:val="20"/>
                <w:lang w:val="en-US"/>
              </w:rPr>
              <w:t xml:space="preserve"> indicates that current and future weather and climatic conditions have been factored into the design, including building orientation to provide natural ventilation and shade, increased gutter, downpipe and drain sizes and wind resistance detailing and engineering design that accounts for heavier storms, rainfall events, and wind velocity. Other factors that have been considered include land tenure implications of the site selection, temperature and humidity and extreme sea level events, noting the site is located on the coast at an elevation of 5m above sea level.  </w:t>
            </w:r>
          </w:p>
        </w:tc>
        <w:tc>
          <w:tcPr>
            <w:tcW w:w="7979" w:type="dxa"/>
            <w:tcBorders>
              <w:left w:val="single" w:sz="6" w:space="0" w:color="E26E00"/>
            </w:tcBorders>
            <w:shd w:val="clear" w:color="auto" w:fill="auto"/>
          </w:tcPr>
          <w:p w14:paraId="361A6513"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Whilst the sports facility is currently under construction, the information available indicates that the sports facility will be fit for purpose now, and for the foreseeable future. </w:t>
            </w:r>
          </w:p>
          <w:p w14:paraId="2DA46504"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 site is close to the sea (at an elevation of 5m) and has been designed with materials appropriate to the location. </w:t>
            </w:r>
          </w:p>
          <w:p w14:paraId="16C41F80" w14:textId="77777777" w:rsidR="0076498C" w:rsidRPr="009F27AA" w:rsidRDefault="0076498C" w:rsidP="0076498C">
            <w:pPr>
              <w:pStyle w:val="Nospacingbeforeorafter"/>
              <w:spacing w:before="120" w:after="120"/>
              <w:rPr>
                <w:b/>
                <w:szCs w:val="20"/>
              </w:rPr>
            </w:pPr>
          </w:p>
        </w:tc>
      </w:tr>
      <w:tr w:rsidR="0076498C" w:rsidRPr="009F27AA" w14:paraId="1F197C2A" w14:textId="77777777" w:rsidTr="00473C45">
        <w:trPr>
          <w:trHeight w:val="419"/>
          <w:tblHeader/>
        </w:trPr>
        <w:tc>
          <w:tcPr>
            <w:tcW w:w="22080" w:type="dxa"/>
            <w:gridSpan w:val="3"/>
            <w:shd w:val="clear" w:color="auto" w:fill="FDE9D9" w:themeFill="accent6" w:themeFillTint="33"/>
          </w:tcPr>
          <w:p w14:paraId="7DFAF1C1" w14:textId="77777777" w:rsidR="0076498C" w:rsidRPr="009F27AA" w:rsidRDefault="0076498C" w:rsidP="0076498C">
            <w:pPr>
              <w:pStyle w:val="Nospacingbeforeorafter"/>
              <w:keepNext/>
              <w:keepLines/>
              <w:spacing w:before="120" w:after="120"/>
              <w:rPr>
                <w:b/>
                <w:szCs w:val="20"/>
                <w:lang w:val="en-US"/>
              </w:rPr>
            </w:pPr>
            <w:r w:rsidRPr="009F27AA">
              <w:rPr>
                <w:b/>
                <w:szCs w:val="20"/>
                <w:lang w:val="en-US"/>
              </w:rPr>
              <w:lastRenderedPageBreak/>
              <w:t>PLANNED PROJECTS</w:t>
            </w:r>
          </w:p>
        </w:tc>
      </w:tr>
      <w:tr w:rsidR="0076498C" w:rsidRPr="009F27AA" w14:paraId="30D0F2C5" w14:textId="77777777" w:rsidTr="00473C45">
        <w:trPr>
          <w:trHeight w:val="419"/>
          <w:tblHeader/>
        </w:trPr>
        <w:tc>
          <w:tcPr>
            <w:tcW w:w="3437" w:type="dxa"/>
            <w:tcBorders>
              <w:right w:val="single" w:sz="6" w:space="0" w:color="E26E00"/>
            </w:tcBorders>
            <w:shd w:val="clear" w:color="auto" w:fill="auto"/>
          </w:tcPr>
          <w:p w14:paraId="2FBD2542" w14:textId="77777777" w:rsidR="0076498C" w:rsidRPr="009F27AA" w:rsidRDefault="0076498C" w:rsidP="0076498C">
            <w:pPr>
              <w:pStyle w:val="Nospacingbeforeorafter"/>
              <w:spacing w:before="80" w:after="80"/>
              <w:rPr>
                <w:szCs w:val="20"/>
                <w:lang w:val="en-US"/>
              </w:rPr>
            </w:pPr>
            <w:r w:rsidRPr="009F27AA">
              <w:rPr>
                <w:szCs w:val="20"/>
                <w:lang w:val="en-US"/>
              </w:rPr>
              <w:t>Port Redevelopment</w:t>
            </w:r>
          </w:p>
        </w:tc>
        <w:tc>
          <w:tcPr>
            <w:tcW w:w="10664" w:type="dxa"/>
            <w:tcBorders>
              <w:left w:val="single" w:sz="6" w:space="0" w:color="E26E00"/>
              <w:right w:val="single" w:sz="6" w:space="0" w:color="E26E00"/>
            </w:tcBorders>
            <w:shd w:val="clear" w:color="auto" w:fill="auto"/>
          </w:tcPr>
          <w:p w14:paraId="064B3231" w14:textId="77777777" w:rsidR="0076498C" w:rsidRPr="009F27AA" w:rsidRDefault="0076498C" w:rsidP="0076498C">
            <w:pPr>
              <w:pStyle w:val="Tablebullet"/>
              <w:keepNext/>
              <w:keepLines/>
              <w:numPr>
                <w:ilvl w:val="0"/>
                <w:numId w:val="0"/>
              </w:numPr>
              <w:spacing w:before="100" w:after="100"/>
              <w:ind w:left="36"/>
              <w:rPr>
                <w:szCs w:val="20"/>
                <w:lang w:val="en-US"/>
              </w:rPr>
            </w:pPr>
            <w:r w:rsidRPr="009F27AA">
              <w:rPr>
                <w:szCs w:val="20"/>
                <w:lang w:val="en-US"/>
              </w:rPr>
              <w:t xml:space="preserve">The Nauru Port Redevelopment project is still in the planning stage, with construction expected to commence in 2019. Significant due diligence has been completed by ADB to ensure that the design is climate resilient and fit for purpose. </w:t>
            </w:r>
          </w:p>
          <w:p w14:paraId="0DD133C8" w14:textId="77777777" w:rsidR="0076498C" w:rsidRPr="009F27AA" w:rsidRDefault="0076498C" w:rsidP="0076498C">
            <w:pPr>
              <w:pStyle w:val="Nospacingbeforeorafter"/>
              <w:keepNext/>
              <w:keepLines/>
              <w:rPr>
                <w:szCs w:val="20"/>
                <w:lang w:val="en-US"/>
              </w:rPr>
            </w:pPr>
            <w:r w:rsidRPr="009F27AA">
              <w:rPr>
                <w:b/>
                <w:szCs w:val="20"/>
                <w:lang w:val="en-US"/>
              </w:rPr>
              <w:t>[EVIDENCE 1]</w:t>
            </w:r>
            <w:r w:rsidRPr="009F27AA">
              <w:rPr>
                <w:szCs w:val="20"/>
                <w:lang w:val="en-US"/>
              </w:rPr>
              <w:t xml:space="preserve"> - </w:t>
            </w:r>
            <w:r w:rsidRPr="009F27AA">
              <w:rPr>
                <w:b/>
                <w:szCs w:val="20"/>
                <w:lang w:val="en-US"/>
              </w:rPr>
              <w:t>Previous studies</w:t>
            </w:r>
            <w:r w:rsidRPr="009F27AA">
              <w:rPr>
                <w:szCs w:val="20"/>
                <w:lang w:val="en-US"/>
              </w:rPr>
              <w:t xml:space="preserve"> have been undertaken to explore options for improving the Port facilities, including by the Asian Development Bank (ADB, 2009), the Japanese International Corporation Agency (JICA, 2014), and the Pacific Regional Infrastructure Facility (PRIF, 2015). ADB performed two additional studies for the project in 2015-2017. Together, these studies explored 21 designs and were considered by ADB to have exhausted virtually every technically feasible option. The selected design has been assessed as being technically feasible, compliant with International Ship and Port Facility Security requirements and ensures climate resilience. It was also the least cost option. </w:t>
            </w:r>
          </w:p>
          <w:p w14:paraId="2DBC390E" w14:textId="77777777" w:rsidR="0076498C" w:rsidRPr="009F27AA" w:rsidRDefault="0076498C" w:rsidP="0076498C">
            <w:pPr>
              <w:pStyle w:val="Nospacingbeforeorafter"/>
              <w:keepNext/>
              <w:keepLines/>
              <w:rPr>
                <w:szCs w:val="20"/>
                <w:lang w:val="en-US"/>
              </w:rPr>
            </w:pPr>
            <w:r w:rsidRPr="009F27AA">
              <w:rPr>
                <w:b/>
                <w:szCs w:val="20"/>
                <w:lang w:val="en-US"/>
              </w:rPr>
              <w:t>[EVIDENCE 2]</w:t>
            </w:r>
            <w:r w:rsidRPr="009F27AA">
              <w:rPr>
                <w:szCs w:val="20"/>
                <w:lang w:val="en-US"/>
              </w:rPr>
              <w:t xml:space="preserve"> - </w:t>
            </w:r>
            <w:r w:rsidRPr="009F27AA">
              <w:rPr>
                <w:b/>
                <w:szCs w:val="20"/>
                <w:lang w:val="en-US"/>
              </w:rPr>
              <w:t>Feasibility Study</w:t>
            </w:r>
            <w:r w:rsidRPr="009F27AA">
              <w:rPr>
                <w:szCs w:val="20"/>
                <w:lang w:val="en-US"/>
              </w:rPr>
              <w:t xml:space="preserve"> </w:t>
            </w:r>
            <w:r w:rsidRPr="009F27AA">
              <w:rPr>
                <w:b/>
                <w:szCs w:val="20"/>
                <w:lang w:val="en-US"/>
              </w:rPr>
              <w:t>(ADB, 2017)</w:t>
            </w:r>
            <w:r w:rsidRPr="009F27AA">
              <w:rPr>
                <w:szCs w:val="20"/>
                <w:lang w:val="en-US"/>
              </w:rPr>
              <w:t xml:space="preserve"> covering due diligence and a review of previous investigations into Port options was undertaken, and was followed by geotechnical investigations, topography and cadastral surveys, necessary clearance for unexploded ordnance and detailed engineering services.</w:t>
            </w:r>
          </w:p>
          <w:p w14:paraId="28E586CF" w14:textId="77777777" w:rsidR="0076498C" w:rsidRPr="009F27AA" w:rsidRDefault="0076498C" w:rsidP="0076498C">
            <w:pPr>
              <w:pStyle w:val="Nospacingbeforeorafter"/>
              <w:keepNext/>
              <w:keepLines/>
              <w:rPr>
                <w:szCs w:val="20"/>
                <w:lang w:val="en-US"/>
              </w:rPr>
            </w:pPr>
            <w:r w:rsidRPr="009F27AA">
              <w:rPr>
                <w:b/>
                <w:szCs w:val="20"/>
                <w:lang w:val="en-US"/>
              </w:rPr>
              <w:t>[EVIDENCE 3]</w:t>
            </w:r>
            <w:r w:rsidRPr="009F27AA">
              <w:rPr>
                <w:szCs w:val="20"/>
                <w:lang w:val="en-US"/>
              </w:rPr>
              <w:t xml:space="preserve"> – </w:t>
            </w:r>
            <w:r w:rsidRPr="009F27AA">
              <w:rPr>
                <w:b/>
                <w:szCs w:val="20"/>
                <w:lang w:val="en-US"/>
              </w:rPr>
              <w:t>Quality Assurance.</w:t>
            </w:r>
            <w:r w:rsidRPr="009F27AA">
              <w:rPr>
                <w:szCs w:val="20"/>
                <w:lang w:val="en-US"/>
              </w:rPr>
              <w:t xml:space="preserve"> DFAT’s quality assurance process has involved an Independent Appraisal (DFAT, 2018), Peer Review (</w:t>
            </w:r>
            <w:r w:rsidRPr="00294869">
              <w:rPr>
                <w:szCs w:val="20"/>
                <w:lang w:val="en-US"/>
              </w:rPr>
              <w:t>DFAT, 2018</w:t>
            </w:r>
            <w:r w:rsidRPr="009F27AA">
              <w:rPr>
                <w:szCs w:val="20"/>
                <w:lang w:val="en-US"/>
              </w:rPr>
              <w:t xml:space="preserve">), and </w:t>
            </w:r>
            <w:r w:rsidRPr="009F27AA">
              <w:rPr>
                <w:szCs w:val="20"/>
              </w:rPr>
              <w:t xml:space="preserve">Aid Governance Board (ongoing in 2018). In addition, ADB have commissioned an </w:t>
            </w:r>
            <w:r w:rsidRPr="009F27AA">
              <w:rPr>
                <w:szCs w:val="20"/>
                <w:lang w:val="en-US"/>
              </w:rPr>
              <w:t>Independent Review (GHD, ongoing in 2018) to assess the economic and financial viability and fit for purpose. The results of the technical review are the subject of discussions between the reviewer (GHD) and the technical design team (Cardno) at the time of the review, to ensure the comments are reflected in the final design. In addition, the proposed port activity has undergone ADB board approval and Green Climate Fund approval processes.</w:t>
            </w:r>
          </w:p>
          <w:p w14:paraId="087179EF" w14:textId="77777777" w:rsidR="0076498C" w:rsidRPr="009F27AA" w:rsidRDefault="0076498C" w:rsidP="0076498C">
            <w:pPr>
              <w:pStyle w:val="Nospacingbeforeorafter"/>
              <w:keepNext/>
              <w:keepLines/>
              <w:rPr>
                <w:i/>
                <w:szCs w:val="20"/>
                <w:lang w:val="en-US"/>
              </w:rPr>
            </w:pPr>
            <w:r w:rsidRPr="009F27AA">
              <w:rPr>
                <w:b/>
                <w:szCs w:val="20"/>
                <w:lang w:val="en-US"/>
              </w:rPr>
              <w:t>[EVIDENCE 4] – Climate Risk and Vulnerability Assessment (Cardno, 2017).</w:t>
            </w:r>
            <w:r w:rsidRPr="009F27AA">
              <w:rPr>
                <w:szCs w:val="20"/>
                <w:lang w:val="en-US"/>
              </w:rPr>
              <w:t xml:space="preserve"> As per ADB’s requirements since 2014 for all investment projects to consider climate risk and incorporate adaptation measures, a Climate Risk and Vulnerability Assessment was undertaken. The assessment considered regional divers of climate, such as the South Pacific Convergence Zone (SPCZ), El Nino-Southern Oscillation (ENSO) and the West Pacific Monsoon. Existing climate conditions were assessed, as were four climate change projection scenarios (representative concentration pathways (RPC) 2.6, 4.5, 6.0 and 8.5). Factors evaluated include temperature, rainfall, drought, tropical cyclones, mean sea level, ocean currents, wind and wave climate, ocean acidity and tsunami. The relevant hazards were identified to be increased air temperatures, sea level rise (58cm by 2070 under RPC 8.5), changes in wind and wave climate resulting in potential increases in extreme wave heights, increase in both average annual rainfall and the intensity of extreme rainfall events, and ocean acidity. The risk assessment proposed climate resilient measures to be reflected in the port design, as well as opportunities for improved resilience and sustainability (design and other options, including drainage, materials selection, sustainability, asset management practices, emergency management and improving knowledge and understanding of the local climate). </w:t>
            </w:r>
          </w:p>
        </w:tc>
        <w:tc>
          <w:tcPr>
            <w:tcW w:w="7979" w:type="dxa"/>
            <w:tcBorders>
              <w:left w:val="single" w:sz="6" w:space="0" w:color="E26E00"/>
            </w:tcBorders>
            <w:shd w:val="clear" w:color="auto" w:fill="auto"/>
          </w:tcPr>
          <w:p w14:paraId="045F8B49" w14:textId="77777777" w:rsidR="0076498C" w:rsidRPr="009F27AA" w:rsidRDefault="0076498C" w:rsidP="0076498C">
            <w:pPr>
              <w:pStyle w:val="Tablebullet"/>
              <w:keepNext/>
              <w:keepLines/>
              <w:numPr>
                <w:ilvl w:val="0"/>
                <w:numId w:val="0"/>
              </w:numPr>
              <w:spacing w:before="100" w:after="100"/>
              <w:ind w:left="36"/>
              <w:rPr>
                <w:szCs w:val="20"/>
                <w:lang w:val="en-US"/>
              </w:rPr>
            </w:pPr>
            <w:r w:rsidRPr="009F27AA">
              <w:rPr>
                <w:szCs w:val="20"/>
                <w:lang w:val="en-US"/>
              </w:rPr>
              <w:t xml:space="preserve">The effectiveness of the project cannot be ascertained at the current stage of implementation (planning). However, the feasibility assessment, options analysis, technical design and associated quality assurance have been robust to setup the project for effective outcomes. Notwithstanding, there remain some outstanding issues to be resolved. The processes in place jointly by DFAT and ADB appear to be adequate to resolve outstanding issues related to the technical design. </w:t>
            </w:r>
          </w:p>
          <w:p w14:paraId="606F319B" w14:textId="77777777" w:rsidR="0076498C" w:rsidRPr="009F27AA" w:rsidRDefault="0076498C" w:rsidP="0076498C">
            <w:pPr>
              <w:pStyle w:val="Tablebullet"/>
              <w:keepNext/>
              <w:keepLines/>
              <w:numPr>
                <w:ilvl w:val="0"/>
                <w:numId w:val="0"/>
              </w:numPr>
              <w:spacing w:before="100" w:after="100"/>
              <w:ind w:left="36"/>
              <w:rPr>
                <w:szCs w:val="20"/>
                <w:lang w:val="en-US"/>
              </w:rPr>
            </w:pPr>
            <w:r w:rsidRPr="009F27AA">
              <w:rPr>
                <w:szCs w:val="20"/>
                <w:lang w:val="en-US"/>
              </w:rPr>
              <w:t xml:space="preserve">The operation of the port under climate change scenarios has been investigated, and peer reviewed for suitability. </w:t>
            </w:r>
          </w:p>
          <w:p w14:paraId="24CEE918" w14:textId="77777777" w:rsidR="0076498C" w:rsidRPr="004034A6" w:rsidRDefault="0076498C" w:rsidP="0076498C">
            <w:pPr>
              <w:pStyle w:val="Tablebullet"/>
              <w:keepNext/>
              <w:keepLines/>
              <w:numPr>
                <w:ilvl w:val="0"/>
                <w:numId w:val="0"/>
              </w:numPr>
              <w:spacing w:before="100" w:after="100"/>
              <w:ind w:left="36"/>
              <w:rPr>
                <w:szCs w:val="20"/>
                <w:lang w:val="en-US"/>
              </w:rPr>
            </w:pPr>
            <w:r w:rsidRPr="009F27AA">
              <w:rPr>
                <w:szCs w:val="20"/>
                <w:lang w:val="en-US"/>
              </w:rPr>
              <w:t xml:space="preserve">Significant risks have been identified for the construction and operation stages of the port redevelopment. Whilst mitigation strategies have been proposed, it will be essential that DFAT is adequately resourced to follow up on implementation issues, foreseen and unforeseen, that arise. </w:t>
            </w:r>
          </w:p>
        </w:tc>
      </w:tr>
      <w:tr w:rsidR="0076498C" w:rsidRPr="009F27AA" w14:paraId="660886D5" w14:textId="77777777" w:rsidTr="00473C45">
        <w:trPr>
          <w:trHeight w:val="419"/>
          <w:tblHeader/>
        </w:trPr>
        <w:tc>
          <w:tcPr>
            <w:tcW w:w="22080" w:type="dxa"/>
            <w:gridSpan w:val="3"/>
            <w:shd w:val="clear" w:color="auto" w:fill="FDE9D9" w:themeFill="accent6" w:themeFillTint="33"/>
          </w:tcPr>
          <w:p w14:paraId="5AFE3A1E" w14:textId="77777777" w:rsidR="0076498C" w:rsidRPr="009F27AA" w:rsidRDefault="0076498C" w:rsidP="0076498C">
            <w:pPr>
              <w:pStyle w:val="Nospacingbeforeorafter"/>
              <w:spacing w:before="120" w:after="120"/>
              <w:rPr>
                <w:b/>
                <w:szCs w:val="20"/>
                <w:lang w:val="en-US"/>
              </w:rPr>
            </w:pPr>
            <w:r w:rsidRPr="009F27AA">
              <w:rPr>
                <w:b/>
                <w:szCs w:val="20"/>
                <w:lang w:val="en-US"/>
              </w:rPr>
              <w:t>OPERATIONS AND MAINTENANCE</w:t>
            </w:r>
          </w:p>
        </w:tc>
      </w:tr>
      <w:tr w:rsidR="0076498C" w:rsidRPr="009F27AA" w14:paraId="73E0F95E" w14:textId="77777777" w:rsidTr="00473C45">
        <w:trPr>
          <w:trHeight w:val="419"/>
          <w:tblHeader/>
        </w:trPr>
        <w:tc>
          <w:tcPr>
            <w:tcW w:w="3437" w:type="dxa"/>
            <w:tcBorders>
              <w:right w:val="single" w:sz="6" w:space="0" w:color="E26E00"/>
            </w:tcBorders>
            <w:shd w:val="clear" w:color="auto" w:fill="auto"/>
          </w:tcPr>
          <w:p w14:paraId="702995D5" w14:textId="77777777" w:rsidR="0076498C" w:rsidRPr="009F27AA" w:rsidRDefault="0076498C" w:rsidP="0076498C">
            <w:pPr>
              <w:pStyle w:val="Nospacingbeforeorafter"/>
              <w:spacing w:before="80" w:after="80"/>
              <w:rPr>
                <w:szCs w:val="20"/>
                <w:lang w:val="en-US"/>
              </w:rPr>
            </w:pPr>
            <w:r w:rsidRPr="009F27AA">
              <w:rPr>
                <w:szCs w:val="20"/>
                <w:lang w:val="en-US"/>
              </w:rPr>
              <w:t>NUC support (CEO – PACTAM)</w:t>
            </w:r>
          </w:p>
        </w:tc>
        <w:tc>
          <w:tcPr>
            <w:tcW w:w="10664" w:type="dxa"/>
            <w:tcBorders>
              <w:left w:val="single" w:sz="6" w:space="0" w:color="E26E00"/>
              <w:right w:val="single" w:sz="6" w:space="0" w:color="E26E00"/>
            </w:tcBorders>
            <w:shd w:val="clear" w:color="auto" w:fill="auto"/>
          </w:tcPr>
          <w:p w14:paraId="06660145" w14:textId="77777777" w:rsidR="0076498C" w:rsidRPr="009F27AA" w:rsidRDefault="0076498C" w:rsidP="0076498C">
            <w:pPr>
              <w:pStyle w:val="Tablebullet"/>
              <w:numPr>
                <w:ilvl w:val="0"/>
                <w:numId w:val="0"/>
              </w:numPr>
              <w:spacing w:before="60" w:after="60"/>
              <w:rPr>
                <w:b/>
                <w:szCs w:val="20"/>
              </w:rPr>
            </w:pPr>
            <w:r w:rsidRPr="009F27AA">
              <w:rPr>
                <w:i/>
                <w:szCs w:val="20"/>
                <w:lang w:val="en-US"/>
              </w:rPr>
              <w:t>Not applicable – refer to Q3b. (Diesel Generators already covered above)</w:t>
            </w:r>
          </w:p>
        </w:tc>
        <w:tc>
          <w:tcPr>
            <w:tcW w:w="7979" w:type="dxa"/>
            <w:tcBorders>
              <w:left w:val="single" w:sz="6" w:space="0" w:color="E26E00"/>
            </w:tcBorders>
            <w:shd w:val="clear" w:color="auto" w:fill="auto"/>
          </w:tcPr>
          <w:p w14:paraId="124B7555" w14:textId="77777777" w:rsidR="0076498C" w:rsidRPr="009F27AA" w:rsidRDefault="0076498C" w:rsidP="0076498C">
            <w:pPr>
              <w:pStyle w:val="Tablebullet"/>
              <w:spacing w:before="60" w:after="60"/>
              <w:ind w:left="457" w:hanging="426"/>
              <w:rPr>
                <w:szCs w:val="20"/>
                <w:lang w:val="en-US"/>
              </w:rPr>
            </w:pPr>
            <w:r>
              <w:rPr>
                <w:szCs w:val="20"/>
                <w:lang w:val="en-US"/>
              </w:rPr>
              <w:t>N/A</w:t>
            </w:r>
          </w:p>
        </w:tc>
      </w:tr>
    </w:tbl>
    <w:p w14:paraId="18CB93E5" w14:textId="77777777" w:rsidR="00293AD0" w:rsidRDefault="00293AD0" w:rsidP="00A716D9">
      <w:pPr>
        <w:rPr>
          <w:lang w:eastAsia="en-AU"/>
        </w:rPr>
      </w:pPr>
    </w:p>
    <w:p w14:paraId="54F57EB3" w14:textId="77777777" w:rsidR="00293AD0" w:rsidRDefault="00293AD0">
      <w:pPr>
        <w:spacing w:before="0" w:after="0"/>
        <w:rPr>
          <w:lang w:eastAsia="en-AU"/>
        </w:rPr>
      </w:pPr>
      <w:r>
        <w:rPr>
          <w:lang w:eastAsia="en-AU"/>
        </w:rPr>
        <w:br w:type="page"/>
      </w: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3437"/>
        <w:gridCol w:w="10664"/>
        <w:gridCol w:w="7979"/>
      </w:tblGrid>
      <w:tr w:rsidR="00293AD0" w:rsidRPr="009F27AA" w14:paraId="42BE8171" w14:textId="77777777" w:rsidTr="00473C45">
        <w:trPr>
          <w:trHeight w:val="419"/>
          <w:tblHeader/>
        </w:trPr>
        <w:tc>
          <w:tcPr>
            <w:tcW w:w="22080" w:type="dxa"/>
            <w:gridSpan w:val="3"/>
            <w:tcBorders>
              <w:bottom w:val="single" w:sz="6" w:space="0" w:color="E26E00"/>
            </w:tcBorders>
            <w:shd w:val="clear" w:color="auto" w:fill="FABF8F" w:themeFill="accent6" w:themeFillTint="99"/>
          </w:tcPr>
          <w:p w14:paraId="690A6FF1" w14:textId="77777777" w:rsidR="00293AD0" w:rsidRPr="009F27AA" w:rsidRDefault="00293AD0" w:rsidP="00473C45">
            <w:pPr>
              <w:pStyle w:val="Nospacingbeforeorafter"/>
              <w:spacing w:before="60" w:after="60"/>
              <w:rPr>
                <w:b/>
                <w:szCs w:val="20"/>
              </w:rPr>
            </w:pPr>
            <w:r w:rsidRPr="009F27AA">
              <w:rPr>
                <w:b/>
                <w:szCs w:val="20"/>
              </w:rPr>
              <w:lastRenderedPageBreak/>
              <w:t>Sub-question</w:t>
            </w:r>
          </w:p>
          <w:p w14:paraId="5075655D" w14:textId="77777777" w:rsidR="00293AD0" w:rsidRPr="009F27AA" w:rsidRDefault="00293AD0" w:rsidP="00A2387B">
            <w:pPr>
              <w:pStyle w:val="Nospacingbeforeorafter"/>
              <w:numPr>
                <w:ilvl w:val="0"/>
                <w:numId w:val="16"/>
              </w:numPr>
              <w:spacing w:before="60" w:after="60"/>
              <w:rPr>
                <w:b/>
                <w:szCs w:val="20"/>
              </w:rPr>
            </w:pPr>
            <w:r w:rsidRPr="009F27AA">
              <w:rPr>
                <w:szCs w:val="20"/>
              </w:rPr>
              <w:t xml:space="preserve">To what extent have </w:t>
            </w:r>
            <w:r w:rsidRPr="009F27AA">
              <w:rPr>
                <w:rFonts w:eastAsia="Times"/>
                <w:szCs w:val="20"/>
              </w:rPr>
              <w:t>DFAT’s</w:t>
            </w:r>
            <w:r w:rsidRPr="009F27AA">
              <w:rPr>
                <w:szCs w:val="20"/>
              </w:rPr>
              <w:t xml:space="preserve"> investments ensured that infrastructure assets and utilities are sustainably operated, managed and maintained?</w:t>
            </w:r>
          </w:p>
        </w:tc>
      </w:tr>
      <w:tr w:rsidR="00293AD0" w:rsidRPr="009F27AA" w14:paraId="405959E7"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2178B208" w14:textId="77777777" w:rsidR="00293AD0" w:rsidRPr="009F27AA" w:rsidRDefault="00293AD0" w:rsidP="00473C45">
            <w:pPr>
              <w:pStyle w:val="Nospacingbeforeorafter"/>
              <w:spacing w:before="80" w:beforeAutospacing="0" w:after="80" w:afterAutospacing="0"/>
              <w:rPr>
                <w:b/>
                <w:szCs w:val="20"/>
              </w:rPr>
            </w:pPr>
            <w:r w:rsidRPr="009F27AA">
              <w:rPr>
                <w:b/>
                <w:szCs w:val="20"/>
              </w:rPr>
              <w:t>Project</w:t>
            </w: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2E52988D" w14:textId="77777777" w:rsidR="00293AD0" w:rsidRPr="009F27AA" w:rsidRDefault="00293AD0" w:rsidP="00473C45">
            <w:pPr>
              <w:pStyle w:val="Nospacingbeforeorafter"/>
              <w:spacing w:before="80" w:beforeAutospacing="0" w:after="80" w:afterAutospacing="0"/>
              <w:rPr>
                <w:b/>
                <w:szCs w:val="20"/>
              </w:rPr>
            </w:pPr>
            <w:r w:rsidRPr="009F27AA">
              <w:rPr>
                <w:b/>
                <w:szCs w:val="20"/>
              </w:rPr>
              <w:t>Evidence</w:t>
            </w:r>
          </w:p>
        </w:tc>
        <w:tc>
          <w:tcPr>
            <w:tcW w:w="7979" w:type="dxa"/>
            <w:tcBorders>
              <w:left w:val="single" w:sz="6" w:space="0" w:color="E26E00"/>
              <w:bottom w:val="single" w:sz="6" w:space="0" w:color="E26E00"/>
            </w:tcBorders>
            <w:shd w:val="clear" w:color="auto" w:fill="FBD4B4" w:themeFill="accent6" w:themeFillTint="66"/>
          </w:tcPr>
          <w:p w14:paraId="31B3232E" w14:textId="77777777" w:rsidR="00293AD0" w:rsidRPr="009F27AA" w:rsidRDefault="00293AD0" w:rsidP="00473C45">
            <w:pPr>
              <w:pStyle w:val="Nospacingbeforeorafter"/>
              <w:spacing w:before="80" w:beforeAutospacing="0" w:after="80" w:afterAutospacing="0"/>
              <w:rPr>
                <w:b/>
                <w:szCs w:val="20"/>
              </w:rPr>
            </w:pPr>
            <w:r w:rsidRPr="009F27AA">
              <w:rPr>
                <w:b/>
                <w:szCs w:val="20"/>
              </w:rPr>
              <w:t>Findings</w:t>
            </w:r>
          </w:p>
        </w:tc>
      </w:tr>
      <w:tr w:rsidR="00293AD0" w:rsidRPr="009F27AA" w14:paraId="49F292A7"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3EDAC39E" w14:textId="77777777" w:rsidR="00293AD0" w:rsidRPr="009F27AA" w:rsidRDefault="00293AD0" w:rsidP="00473C45">
            <w:pPr>
              <w:pStyle w:val="Nospacingbeforeorafter"/>
              <w:spacing w:before="80" w:beforeAutospacing="0" w:after="80" w:afterAutospacing="0"/>
              <w:rPr>
                <w:b/>
                <w:szCs w:val="20"/>
              </w:rPr>
            </w:pP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698F4FED" w14:textId="77777777" w:rsidR="00293AD0" w:rsidRPr="009F27AA" w:rsidRDefault="00293AD0" w:rsidP="00473C45">
            <w:pPr>
              <w:pStyle w:val="Nospacingbeforeorafter"/>
              <w:spacing w:before="80" w:beforeAutospacing="0" w:after="80" w:afterAutospacing="0"/>
              <w:rPr>
                <w:b/>
                <w:szCs w:val="20"/>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tc>
        <w:tc>
          <w:tcPr>
            <w:tcW w:w="7979" w:type="dxa"/>
            <w:tcBorders>
              <w:left w:val="single" w:sz="6" w:space="0" w:color="E26E00"/>
              <w:bottom w:val="single" w:sz="6" w:space="0" w:color="E26E00"/>
            </w:tcBorders>
            <w:shd w:val="clear" w:color="auto" w:fill="FBD4B4" w:themeFill="accent6" w:themeFillTint="66"/>
          </w:tcPr>
          <w:p w14:paraId="39FA1489" w14:textId="77777777" w:rsidR="00293AD0" w:rsidRPr="009F27AA" w:rsidRDefault="00293AD0" w:rsidP="00473C45">
            <w:pPr>
              <w:pStyle w:val="Nospacingbeforeorafter"/>
              <w:spacing w:before="80" w:beforeAutospacing="0" w:after="80" w:afterAutospacing="0"/>
              <w:rPr>
                <w:b/>
                <w:szCs w:val="20"/>
              </w:rPr>
            </w:pPr>
            <w:bookmarkStart w:id="47" w:name="_Hlk515432754"/>
            <w:r w:rsidRPr="009F27AA">
              <w:rPr>
                <w:b/>
                <w:szCs w:val="20"/>
              </w:rPr>
              <w:t>Rating: Less than Adequate (3)</w:t>
            </w:r>
            <w:bookmarkEnd w:id="47"/>
          </w:p>
        </w:tc>
      </w:tr>
      <w:tr w:rsidR="00293AD0" w:rsidRPr="009F27AA" w14:paraId="296A1A06" w14:textId="77777777" w:rsidTr="00473C45">
        <w:trPr>
          <w:trHeight w:val="419"/>
          <w:tblHeader/>
        </w:trPr>
        <w:tc>
          <w:tcPr>
            <w:tcW w:w="22080" w:type="dxa"/>
            <w:gridSpan w:val="3"/>
            <w:tcBorders>
              <w:bottom w:val="single" w:sz="6" w:space="0" w:color="E26E00"/>
            </w:tcBorders>
            <w:shd w:val="clear" w:color="auto" w:fill="FDE9D9" w:themeFill="accent6" w:themeFillTint="33"/>
          </w:tcPr>
          <w:p w14:paraId="79F0E40F" w14:textId="77777777" w:rsidR="00293AD0" w:rsidRPr="009F27AA" w:rsidRDefault="00293AD0" w:rsidP="00473C45">
            <w:pPr>
              <w:pStyle w:val="Nospacingbeforeorafter"/>
              <w:spacing w:before="120" w:after="120"/>
              <w:rPr>
                <w:b/>
                <w:szCs w:val="20"/>
              </w:rPr>
            </w:pPr>
            <w:r w:rsidRPr="009F27AA">
              <w:rPr>
                <w:b/>
                <w:szCs w:val="20"/>
              </w:rPr>
              <w:t>COMPLETED PROJECTS</w:t>
            </w:r>
          </w:p>
        </w:tc>
      </w:tr>
      <w:tr w:rsidR="00293AD0" w:rsidRPr="009F27AA" w14:paraId="1F3D5545" w14:textId="77777777" w:rsidTr="00473C45">
        <w:trPr>
          <w:trHeight w:val="419"/>
          <w:tblHeader/>
        </w:trPr>
        <w:tc>
          <w:tcPr>
            <w:tcW w:w="3437" w:type="dxa"/>
            <w:tcBorders>
              <w:right w:val="single" w:sz="6" w:space="0" w:color="E26E00"/>
            </w:tcBorders>
            <w:shd w:val="clear" w:color="auto" w:fill="auto"/>
          </w:tcPr>
          <w:p w14:paraId="66751458" w14:textId="3C4C93AC" w:rsidR="00293AD0" w:rsidRPr="009F27AA" w:rsidRDefault="00293AD0" w:rsidP="00473C45">
            <w:pPr>
              <w:pStyle w:val="Nospacingbeforeorafter"/>
              <w:spacing w:before="120" w:after="120"/>
              <w:rPr>
                <w:b/>
                <w:szCs w:val="20"/>
              </w:rPr>
            </w:pPr>
            <w:r w:rsidRPr="009F27AA">
              <w:rPr>
                <w:szCs w:val="20"/>
                <w:lang w:val="en-US"/>
              </w:rPr>
              <w:t xml:space="preserve">TVET </w:t>
            </w:r>
            <w:r w:rsidR="003D39B3">
              <w:rPr>
                <w:szCs w:val="20"/>
                <w:lang w:val="en-US"/>
              </w:rPr>
              <w:t>Centre</w:t>
            </w:r>
          </w:p>
        </w:tc>
        <w:tc>
          <w:tcPr>
            <w:tcW w:w="10664" w:type="dxa"/>
            <w:tcBorders>
              <w:left w:val="single" w:sz="6" w:space="0" w:color="E26E00"/>
              <w:right w:val="single" w:sz="6" w:space="0" w:color="E26E00"/>
            </w:tcBorders>
            <w:shd w:val="clear" w:color="auto" w:fill="auto"/>
          </w:tcPr>
          <w:p w14:paraId="349A6EB4" w14:textId="52A2817F" w:rsidR="00293AD0" w:rsidRPr="009F27AA" w:rsidRDefault="00293AD0" w:rsidP="00473C45">
            <w:pPr>
              <w:pStyle w:val="Tablebullet"/>
              <w:numPr>
                <w:ilvl w:val="0"/>
                <w:numId w:val="0"/>
              </w:numPr>
              <w:spacing w:before="60" w:after="60"/>
              <w:rPr>
                <w:szCs w:val="20"/>
                <w:lang w:val="en-US"/>
              </w:rPr>
            </w:pPr>
            <w:r w:rsidRPr="009F27AA">
              <w:rPr>
                <w:b/>
                <w:szCs w:val="20"/>
                <w:lang w:val="en-US"/>
              </w:rPr>
              <w:t xml:space="preserve">[INTERVIEW 12] </w:t>
            </w:r>
            <w:r w:rsidRPr="009F27AA">
              <w:rPr>
                <w:szCs w:val="20"/>
                <w:lang w:val="en-US"/>
              </w:rPr>
              <w:t xml:space="preserve">– There is a dedicated resource responsible for maintenance of all education assets, including the TVET </w:t>
            </w:r>
            <w:r w:rsidR="003D39B3">
              <w:rPr>
                <w:szCs w:val="20"/>
                <w:lang w:val="en-US"/>
              </w:rPr>
              <w:t>Centre</w:t>
            </w:r>
            <w:r w:rsidRPr="009F27AA">
              <w:rPr>
                <w:szCs w:val="20"/>
                <w:lang w:val="en-US"/>
              </w:rPr>
              <w:t xml:space="preserve">, Nauru Secondary School, Nauru College, three primary schools, five infant schools and the “able disabled </w:t>
            </w:r>
            <w:r w:rsidR="003D39B3">
              <w:rPr>
                <w:szCs w:val="20"/>
                <w:lang w:val="en-US"/>
              </w:rPr>
              <w:t>Centre</w:t>
            </w:r>
            <w:r w:rsidRPr="009F27AA">
              <w:rPr>
                <w:szCs w:val="20"/>
                <w:lang w:val="en-US"/>
              </w:rPr>
              <w:t xml:space="preserve">” for children living with disabilities (11 schools in total). Maintenance challenges for the </w:t>
            </w:r>
            <w:r w:rsidR="003D39B3">
              <w:rPr>
                <w:szCs w:val="20"/>
                <w:lang w:val="en-US"/>
              </w:rPr>
              <w:t>Centre</w:t>
            </w:r>
            <w:r w:rsidRPr="009F27AA">
              <w:rPr>
                <w:szCs w:val="20"/>
                <w:lang w:val="en-US"/>
              </w:rPr>
              <w:t xml:space="preserve">s include the availability of spare parts, such as for fans and light fittings which regularly rust due to sea spray on those schools located in proximity to the ocean (noting that Nauru Primary School located in the elevated “topside” part of Meneng has lower maintenance needs). Annual Operating Plans (AOPs) are submitted each year to cover scheduled maintenance, emergency repairs as well as new project proposals. The interviewee indicated that the budget requested for routine and emergency maintenance is usually allocated in full. Current proposals for TVET include new toilet facilities (not including disabled access toilet due to one existing), covered and paved walkways around the learning village (including main entrance and to toilet facilities) for wheelchair access. In addition, there is a new project proposal to extend the TVET </w:t>
            </w:r>
            <w:r w:rsidR="003D39B3">
              <w:rPr>
                <w:szCs w:val="20"/>
                <w:lang w:val="en-US"/>
              </w:rPr>
              <w:t>Centre</w:t>
            </w:r>
            <w:r w:rsidRPr="009F27AA">
              <w:rPr>
                <w:szCs w:val="20"/>
                <w:lang w:val="en-US"/>
              </w:rPr>
              <w:t xml:space="preserve"> to add a new 2-level multipurpose building. The Nauru Secondary School suffered extensive roof damage from a storm recently, which was repaired under the maintenance agreement. Maintaining air conditioners is a difficult area due to limited contractors with skills and delayed response times. </w:t>
            </w:r>
          </w:p>
          <w:p w14:paraId="2395B719" w14:textId="77777777" w:rsidR="00293AD0" w:rsidRPr="009F27AA" w:rsidRDefault="00293AD0" w:rsidP="00473C45">
            <w:pPr>
              <w:pStyle w:val="Tablebullet"/>
              <w:numPr>
                <w:ilvl w:val="0"/>
                <w:numId w:val="0"/>
              </w:numPr>
              <w:spacing w:before="60" w:after="60"/>
              <w:rPr>
                <w:szCs w:val="20"/>
                <w:lang w:val="en-US"/>
              </w:rPr>
            </w:pPr>
            <w:r w:rsidRPr="009F27AA">
              <w:rPr>
                <w:b/>
                <w:szCs w:val="20"/>
                <w:lang w:val="en-US"/>
              </w:rPr>
              <w:t>[INTERVIEW 13]</w:t>
            </w:r>
            <w:r w:rsidRPr="009F27AA">
              <w:rPr>
                <w:szCs w:val="20"/>
                <w:lang w:val="en-US"/>
              </w:rPr>
              <w:t xml:space="preserve"> – Senior management of the Nauru Secondary School indicated concerns with the maintenance of school buildings, including substantial delays in issue rectification. Issues identified included rust being a major issue, plumbing, sewerage and water supply issues, unsafe doors resulting in people being locked inside rooms. They also queried if routine maintenance was taking place, noting that despite requests no maintenance schedule had been sighted. </w:t>
            </w:r>
          </w:p>
          <w:p w14:paraId="419E0D67" w14:textId="5E15338F" w:rsidR="00293AD0" w:rsidRPr="009F27AA" w:rsidRDefault="00293AD0" w:rsidP="00473C45">
            <w:pPr>
              <w:pStyle w:val="Tablebullet"/>
              <w:numPr>
                <w:ilvl w:val="0"/>
                <w:numId w:val="0"/>
              </w:numPr>
              <w:spacing w:before="60" w:after="60"/>
              <w:rPr>
                <w:szCs w:val="20"/>
                <w:lang w:val="en-US"/>
              </w:rPr>
            </w:pPr>
            <w:r w:rsidRPr="009F27AA">
              <w:rPr>
                <w:b/>
                <w:szCs w:val="20"/>
                <w:lang w:val="en-US"/>
              </w:rPr>
              <w:t>[SITE VISIT]</w:t>
            </w:r>
            <w:r w:rsidRPr="009F27AA">
              <w:rPr>
                <w:szCs w:val="20"/>
                <w:lang w:val="en-US"/>
              </w:rPr>
              <w:t xml:space="preserve"> – Site visit to the Nauru Secondary School, TVET </w:t>
            </w:r>
            <w:r w:rsidR="003D39B3">
              <w:rPr>
                <w:szCs w:val="20"/>
                <w:lang w:val="en-US"/>
              </w:rPr>
              <w:t>Centre</w:t>
            </w:r>
            <w:r w:rsidRPr="009F27AA">
              <w:rPr>
                <w:szCs w:val="20"/>
                <w:lang w:val="en-US"/>
              </w:rPr>
              <w:t xml:space="preserve"> and Nauru Primary School did not reveal apparent major maintenance issues, however it should be noted that the buildings are all relatively newly constructed and the reviewer is not a building inspector and did not visit all parts of the buildings. Items such as roof damage from storms had been repaired. Air conditioners that were not functioning was a recurring problem and appeared to be having an impact on TVET students in particular. </w:t>
            </w:r>
          </w:p>
        </w:tc>
        <w:tc>
          <w:tcPr>
            <w:tcW w:w="7979" w:type="dxa"/>
            <w:tcBorders>
              <w:left w:val="single" w:sz="6" w:space="0" w:color="E26E00"/>
            </w:tcBorders>
            <w:shd w:val="clear" w:color="auto" w:fill="auto"/>
          </w:tcPr>
          <w:p w14:paraId="677501A8" w14:textId="32A685A5" w:rsidR="00293AD0" w:rsidRPr="009F27AA" w:rsidRDefault="00293AD0" w:rsidP="00473C45">
            <w:pPr>
              <w:pStyle w:val="Tablebullet"/>
              <w:numPr>
                <w:ilvl w:val="0"/>
                <w:numId w:val="0"/>
              </w:numPr>
              <w:spacing w:before="60" w:after="60"/>
              <w:rPr>
                <w:szCs w:val="20"/>
                <w:lang w:val="en-US"/>
              </w:rPr>
            </w:pPr>
            <w:r w:rsidRPr="009F27AA">
              <w:rPr>
                <w:szCs w:val="20"/>
                <w:lang w:val="en-US"/>
              </w:rPr>
              <w:t xml:space="preserve">There is a mechanism in place through GoN for maintenance of the TVET </w:t>
            </w:r>
            <w:r w:rsidR="003D39B3">
              <w:rPr>
                <w:szCs w:val="20"/>
                <w:lang w:val="en-US"/>
              </w:rPr>
              <w:t>Centre</w:t>
            </w:r>
            <w:r w:rsidRPr="009F27AA">
              <w:rPr>
                <w:szCs w:val="20"/>
                <w:lang w:val="en-US"/>
              </w:rPr>
              <w:t xml:space="preserve">. On superficial evaluation this appears to be addressing major items (such as storm damage), however the buildings sighted are all newly constructed and over time the effectiveness of this is unclear. Older school buildings have very apparent maintenance issues, were also built prior to the financial crisis and maintenance may have lapsed during that period. </w:t>
            </w:r>
          </w:p>
          <w:p w14:paraId="0ECD70B0" w14:textId="77777777" w:rsidR="00293AD0" w:rsidRPr="009F27AA" w:rsidRDefault="00293AD0" w:rsidP="00473C45">
            <w:pPr>
              <w:pStyle w:val="Tablebullet"/>
              <w:numPr>
                <w:ilvl w:val="0"/>
                <w:numId w:val="0"/>
              </w:numPr>
              <w:spacing w:before="60" w:after="60"/>
              <w:rPr>
                <w:szCs w:val="20"/>
                <w:lang w:val="en-US"/>
              </w:rPr>
            </w:pPr>
            <w:r w:rsidRPr="009F27AA">
              <w:rPr>
                <w:szCs w:val="20"/>
                <w:lang w:val="en-US"/>
              </w:rPr>
              <w:t xml:space="preserve">The review team was unable to meet with TVET management, however NSS management (through the same maintenance arrangement) identified concerns with maintenance, including timeliness of issues being addressed and apparent lack of routine maintenance. </w:t>
            </w:r>
          </w:p>
          <w:p w14:paraId="7A68BD91" w14:textId="77777777" w:rsidR="00293AD0" w:rsidRPr="009F27AA" w:rsidRDefault="00293AD0" w:rsidP="00473C45">
            <w:pPr>
              <w:pStyle w:val="Nospacingbeforeorafter"/>
              <w:spacing w:before="120" w:after="120"/>
              <w:rPr>
                <w:b/>
                <w:szCs w:val="20"/>
              </w:rPr>
            </w:pPr>
            <w:r w:rsidRPr="009F27AA">
              <w:rPr>
                <w:szCs w:val="20"/>
                <w:lang w:val="en-US"/>
              </w:rPr>
              <w:t xml:space="preserve"> </w:t>
            </w:r>
          </w:p>
        </w:tc>
      </w:tr>
      <w:tr w:rsidR="00246684" w:rsidRPr="009F27AA" w14:paraId="3C93B18D" w14:textId="77777777" w:rsidTr="00473C45">
        <w:trPr>
          <w:trHeight w:val="419"/>
          <w:tblHeader/>
        </w:trPr>
        <w:tc>
          <w:tcPr>
            <w:tcW w:w="3437" w:type="dxa"/>
            <w:tcBorders>
              <w:right w:val="single" w:sz="6" w:space="0" w:color="E26E00"/>
            </w:tcBorders>
            <w:shd w:val="clear" w:color="auto" w:fill="auto"/>
          </w:tcPr>
          <w:p w14:paraId="0EFCF9A2" w14:textId="1ED6FD85" w:rsidR="00246684" w:rsidRPr="009F27AA" w:rsidRDefault="00246684" w:rsidP="00246684">
            <w:pPr>
              <w:pStyle w:val="Nospacingbeforeorafter"/>
              <w:spacing w:before="120" w:after="120"/>
              <w:rPr>
                <w:szCs w:val="20"/>
                <w:lang w:val="en-US"/>
              </w:rPr>
            </w:pPr>
            <w:r>
              <w:rPr>
                <w:szCs w:val="20"/>
                <w:lang w:val="en-US"/>
              </w:rPr>
              <w:t xml:space="preserve">USP Learning </w:t>
            </w:r>
            <w:r w:rsidR="003D39B3">
              <w:rPr>
                <w:szCs w:val="20"/>
                <w:lang w:val="en-US"/>
              </w:rPr>
              <w:t>Centre</w:t>
            </w:r>
          </w:p>
        </w:tc>
        <w:tc>
          <w:tcPr>
            <w:tcW w:w="10664" w:type="dxa"/>
            <w:tcBorders>
              <w:left w:val="single" w:sz="6" w:space="0" w:color="E26E00"/>
              <w:right w:val="single" w:sz="6" w:space="0" w:color="E26E00"/>
            </w:tcBorders>
            <w:shd w:val="clear" w:color="auto" w:fill="auto"/>
          </w:tcPr>
          <w:p w14:paraId="1A016CDB" w14:textId="77777777" w:rsidR="00246684" w:rsidRPr="009F27AA" w:rsidRDefault="00246684" w:rsidP="00246684">
            <w:pPr>
              <w:pStyle w:val="Nospacingbeforeorafter"/>
              <w:spacing w:before="120" w:after="120"/>
              <w:rPr>
                <w:szCs w:val="20"/>
                <w:lang w:val="en-US"/>
              </w:rPr>
            </w:pPr>
            <w:r w:rsidRPr="009F27AA">
              <w:rPr>
                <w:b/>
                <w:szCs w:val="20"/>
                <w:lang w:val="en-US"/>
              </w:rPr>
              <w:t>[INTERVIEW 1]</w:t>
            </w:r>
            <w:r w:rsidRPr="009F27AA">
              <w:rPr>
                <w:szCs w:val="20"/>
                <w:lang w:val="en-US"/>
              </w:rPr>
              <w:t xml:space="preserve"> indicated that discussions with USP are underway regarding responsibility for building maintenance, however this is yet to be concluded. </w:t>
            </w:r>
          </w:p>
          <w:p w14:paraId="43B9DF75" w14:textId="5C4B6EBC" w:rsidR="00246684" w:rsidRPr="009F27AA" w:rsidRDefault="00246684" w:rsidP="00246684">
            <w:pPr>
              <w:pStyle w:val="Tablebullet"/>
              <w:numPr>
                <w:ilvl w:val="0"/>
                <w:numId w:val="0"/>
              </w:numPr>
              <w:spacing w:before="60" w:after="60"/>
              <w:rPr>
                <w:b/>
                <w:szCs w:val="20"/>
                <w:lang w:val="en-US"/>
              </w:rPr>
            </w:pPr>
            <w:r w:rsidRPr="009F27AA">
              <w:rPr>
                <w:i/>
                <w:szCs w:val="20"/>
                <w:lang w:val="en-US"/>
              </w:rPr>
              <w:t xml:space="preserve">Refer to section above on TVET </w:t>
            </w:r>
            <w:r w:rsidR="003D39B3">
              <w:rPr>
                <w:i/>
                <w:szCs w:val="20"/>
                <w:lang w:val="en-US"/>
              </w:rPr>
              <w:t>Centre</w:t>
            </w:r>
          </w:p>
        </w:tc>
        <w:tc>
          <w:tcPr>
            <w:tcW w:w="7979" w:type="dxa"/>
            <w:tcBorders>
              <w:left w:val="single" w:sz="6" w:space="0" w:color="E26E00"/>
            </w:tcBorders>
            <w:shd w:val="clear" w:color="auto" w:fill="auto"/>
          </w:tcPr>
          <w:p w14:paraId="4CBE536F" w14:textId="77777777" w:rsidR="00246684" w:rsidRPr="009F27AA" w:rsidRDefault="00246684" w:rsidP="00246684">
            <w:pPr>
              <w:pStyle w:val="Tablebullet"/>
              <w:numPr>
                <w:ilvl w:val="0"/>
                <w:numId w:val="0"/>
              </w:numPr>
              <w:spacing w:before="60" w:after="60"/>
              <w:rPr>
                <w:szCs w:val="20"/>
                <w:lang w:val="en-US"/>
              </w:rPr>
            </w:pPr>
            <w:r w:rsidRPr="009F27AA">
              <w:rPr>
                <w:szCs w:val="20"/>
                <w:lang w:val="en-US"/>
              </w:rPr>
              <w:t>The operation and maintenance of the facility will be outsourced to USP as a service provider. Pending the outcome of discussions with USP on responsibility for maintenance, the maintenance of the building may need to fall under the broader asset maintenance strategy.</w:t>
            </w:r>
            <w:r w:rsidRPr="009F27AA">
              <w:rPr>
                <w:szCs w:val="20"/>
              </w:rPr>
              <w:t xml:space="preserve"> </w:t>
            </w:r>
          </w:p>
        </w:tc>
      </w:tr>
      <w:tr w:rsidR="00246684" w:rsidRPr="009F27AA" w14:paraId="17323501" w14:textId="77777777" w:rsidTr="00473C45">
        <w:trPr>
          <w:trHeight w:val="419"/>
          <w:tblHeader/>
        </w:trPr>
        <w:tc>
          <w:tcPr>
            <w:tcW w:w="3437" w:type="dxa"/>
            <w:tcBorders>
              <w:right w:val="single" w:sz="6" w:space="0" w:color="E26E00"/>
            </w:tcBorders>
            <w:shd w:val="clear" w:color="auto" w:fill="auto"/>
          </w:tcPr>
          <w:p w14:paraId="090F3B1A" w14:textId="77777777" w:rsidR="00246684" w:rsidRPr="009F27AA" w:rsidRDefault="00246684" w:rsidP="00246684">
            <w:pPr>
              <w:pStyle w:val="Nospacingbeforeorafter"/>
              <w:spacing w:before="120" w:after="120"/>
              <w:rPr>
                <w:b/>
                <w:szCs w:val="20"/>
              </w:rPr>
            </w:pPr>
            <w:r w:rsidRPr="009F27AA">
              <w:rPr>
                <w:szCs w:val="20"/>
                <w:lang w:val="en-US"/>
              </w:rPr>
              <w:t>Hospital (stage 1 and 2)</w:t>
            </w:r>
          </w:p>
        </w:tc>
        <w:tc>
          <w:tcPr>
            <w:tcW w:w="10664" w:type="dxa"/>
            <w:tcBorders>
              <w:left w:val="single" w:sz="6" w:space="0" w:color="E26E00"/>
              <w:right w:val="single" w:sz="6" w:space="0" w:color="E26E00"/>
            </w:tcBorders>
            <w:shd w:val="clear" w:color="auto" w:fill="auto"/>
          </w:tcPr>
          <w:p w14:paraId="285B15DC" w14:textId="77777777" w:rsidR="00246684" w:rsidRPr="009F27AA" w:rsidRDefault="00246684" w:rsidP="00246684">
            <w:pPr>
              <w:pStyle w:val="Tablebullet"/>
              <w:numPr>
                <w:ilvl w:val="0"/>
                <w:numId w:val="0"/>
              </w:numPr>
              <w:spacing w:before="60" w:after="60"/>
              <w:rPr>
                <w:szCs w:val="20"/>
                <w:lang w:val="en-US"/>
              </w:rPr>
            </w:pPr>
            <w:r w:rsidRPr="009F27AA">
              <w:rPr>
                <w:b/>
                <w:szCs w:val="20"/>
                <w:lang w:val="en-US"/>
              </w:rPr>
              <w:t xml:space="preserve">[EVIDENCE 1] Redevelopment of the Republic of Nauru Hospital - Review Report Volume 2 (A&amp;L, 2017) – </w:t>
            </w:r>
            <w:r w:rsidRPr="009F27AA">
              <w:rPr>
                <w:szCs w:val="20"/>
                <w:lang w:val="en-US"/>
              </w:rPr>
              <w:t>This report states that “The repurposing of existing medical facilities to compliment local models of care required a high level of stakeholders and user engagement which did not occur. The delivery model was unusual, limiting local participation and providing new facilities at a pace that local budgets, management systems and processes were not capable of effectively operating and maintaining.” The report further noted a “noticeable ‘lack of ownership’ demonstrated by some local staff, with potential serious impact on sustainability.”</w:t>
            </w:r>
          </w:p>
          <w:p w14:paraId="4962625A" w14:textId="36BD8639" w:rsidR="00246684" w:rsidRPr="009F27AA" w:rsidRDefault="00246684" w:rsidP="00246684">
            <w:pPr>
              <w:pStyle w:val="Tablebullet"/>
              <w:numPr>
                <w:ilvl w:val="0"/>
                <w:numId w:val="0"/>
              </w:numPr>
              <w:spacing w:before="60" w:after="60"/>
              <w:rPr>
                <w:szCs w:val="20"/>
                <w:lang w:val="en-US"/>
              </w:rPr>
            </w:pPr>
            <w:r w:rsidRPr="009F27AA">
              <w:rPr>
                <w:b/>
                <w:szCs w:val="20"/>
                <w:lang w:val="en-US"/>
              </w:rPr>
              <w:t>[INTERVIEW 1]</w:t>
            </w:r>
            <w:r w:rsidRPr="009F27AA">
              <w:rPr>
                <w:szCs w:val="20"/>
                <w:lang w:val="en-US"/>
              </w:rPr>
              <w:t xml:space="preserve"> – DFAT indicated that </w:t>
            </w:r>
            <w:r w:rsidR="00B8065D">
              <w:rPr>
                <w:szCs w:val="20"/>
                <w:lang w:val="en-US"/>
              </w:rPr>
              <w:t>it was</w:t>
            </w:r>
            <w:r w:rsidRPr="009F27AA">
              <w:rPr>
                <w:szCs w:val="20"/>
                <w:lang w:val="en-US"/>
              </w:rPr>
              <w:t xml:space="preserve"> a minor partner in the delivery of the Republic of Nauru Hospital.</w:t>
            </w:r>
          </w:p>
          <w:p w14:paraId="5E63F0D5" w14:textId="77777777" w:rsidR="00246684" w:rsidRPr="009F27AA" w:rsidRDefault="00246684" w:rsidP="00246684">
            <w:pPr>
              <w:pStyle w:val="Nospacingbeforeorafter"/>
              <w:spacing w:before="120" w:after="120"/>
              <w:rPr>
                <w:b/>
                <w:szCs w:val="20"/>
              </w:rPr>
            </w:pPr>
            <w:r w:rsidRPr="009F27AA">
              <w:rPr>
                <w:b/>
                <w:szCs w:val="20"/>
                <w:lang w:val="en-US"/>
              </w:rPr>
              <w:t>[INTERVIEW 9]</w:t>
            </w:r>
            <w:r w:rsidRPr="009F27AA">
              <w:rPr>
                <w:szCs w:val="20"/>
                <w:lang w:val="en-US"/>
              </w:rPr>
              <w:t xml:space="preserve"> – Department of Health and Medical Services (DHMS) indicated concerns with the consultation process and their ability to operate key parts of the hospital (including gas systems and warnings, which remain defunct at the time of the review having never operated since construction). Maintenance arrangements are also an ongoing issue, including concerns over split responsibilities between </w:t>
            </w:r>
            <w:r w:rsidR="00351D6F">
              <w:rPr>
                <w:szCs w:val="20"/>
                <w:lang w:val="en-US"/>
              </w:rPr>
              <w:t>D</w:t>
            </w:r>
            <w:r w:rsidRPr="009F27AA">
              <w:rPr>
                <w:szCs w:val="20"/>
                <w:lang w:val="en-US"/>
              </w:rPr>
              <w:t xml:space="preserve">HMS and the Department of Public Administration and Operations (PAO).  The maintenance concerns included the buildings, gas system (requiring specialist assistance), air conditioning and vehicles (ambulances and international medical staff). </w:t>
            </w:r>
          </w:p>
        </w:tc>
        <w:tc>
          <w:tcPr>
            <w:tcW w:w="7979" w:type="dxa"/>
            <w:tcBorders>
              <w:left w:val="single" w:sz="6" w:space="0" w:color="E26E00"/>
            </w:tcBorders>
            <w:shd w:val="clear" w:color="auto" w:fill="auto"/>
          </w:tcPr>
          <w:p w14:paraId="3B1B08ED" w14:textId="77777777" w:rsidR="00246684" w:rsidRPr="009F27AA" w:rsidRDefault="00246684" w:rsidP="00246684">
            <w:pPr>
              <w:pStyle w:val="Tablebullet"/>
              <w:numPr>
                <w:ilvl w:val="0"/>
                <w:numId w:val="0"/>
              </w:numPr>
              <w:spacing w:before="60" w:after="60"/>
              <w:rPr>
                <w:szCs w:val="20"/>
                <w:lang w:val="en-US"/>
              </w:rPr>
            </w:pPr>
            <w:r w:rsidRPr="009F27AA">
              <w:rPr>
                <w:szCs w:val="20"/>
                <w:lang w:val="en-US"/>
              </w:rPr>
              <w:t>The model for delivery of the Republic of Nauru Hospital (RONH) did not follow established good practices in the delivery of infrastructure, including stakeholder engagement, consultations and local ownership, resulting in ongoing usage, operations and maintenance issues that may impact the effectiveness of the asset over its life cycle.</w:t>
            </w:r>
          </w:p>
        </w:tc>
      </w:tr>
      <w:tr w:rsidR="0076498C" w:rsidRPr="009F27AA" w14:paraId="3F624D3A" w14:textId="77777777" w:rsidTr="00473C45">
        <w:trPr>
          <w:trHeight w:val="419"/>
          <w:tblHeader/>
        </w:trPr>
        <w:tc>
          <w:tcPr>
            <w:tcW w:w="3437" w:type="dxa"/>
            <w:tcBorders>
              <w:right w:val="single" w:sz="6" w:space="0" w:color="E26E00"/>
            </w:tcBorders>
            <w:shd w:val="clear" w:color="auto" w:fill="auto"/>
          </w:tcPr>
          <w:p w14:paraId="7C283715" w14:textId="77777777" w:rsidR="0076498C" w:rsidRPr="009F27AA" w:rsidRDefault="0076498C" w:rsidP="0076498C">
            <w:pPr>
              <w:pStyle w:val="Nospacingbeforeorafter"/>
              <w:spacing w:before="120" w:after="120"/>
              <w:rPr>
                <w:szCs w:val="20"/>
                <w:lang w:val="en-US"/>
              </w:rPr>
            </w:pPr>
            <w:r w:rsidRPr="009F27AA">
              <w:rPr>
                <w:szCs w:val="20"/>
                <w:lang w:val="en-US"/>
              </w:rPr>
              <w:t>Wellness clinics</w:t>
            </w:r>
          </w:p>
        </w:tc>
        <w:tc>
          <w:tcPr>
            <w:tcW w:w="10664" w:type="dxa"/>
            <w:tcBorders>
              <w:left w:val="single" w:sz="6" w:space="0" w:color="E26E00"/>
              <w:right w:val="single" w:sz="6" w:space="0" w:color="E26E00"/>
            </w:tcBorders>
            <w:shd w:val="clear" w:color="auto" w:fill="auto"/>
          </w:tcPr>
          <w:p w14:paraId="2DD62B06" w14:textId="77777777" w:rsidR="0076498C" w:rsidRPr="009F27AA" w:rsidRDefault="0076498C" w:rsidP="0076498C">
            <w:pPr>
              <w:pStyle w:val="Tablebullet"/>
              <w:numPr>
                <w:ilvl w:val="0"/>
                <w:numId w:val="0"/>
              </w:numPr>
              <w:spacing w:before="60" w:after="60"/>
              <w:rPr>
                <w:b/>
                <w:szCs w:val="20"/>
                <w:lang w:val="en-US"/>
              </w:rPr>
            </w:pPr>
            <w:r w:rsidRPr="009F27AA">
              <w:rPr>
                <w:szCs w:val="20"/>
                <w:lang w:val="en-US"/>
              </w:rPr>
              <w:t xml:space="preserve">Interviews </w:t>
            </w:r>
            <w:r w:rsidRPr="009F27AA">
              <w:rPr>
                <w:b/>
                <w:szCs w:val="20"/>
                <w:lang w:val="en-US"/>
              </w:rPr>
              <w:t>[INTERVIEWS 1, 9]</w:t>
            </w:r>
            <w:r w:rsidRPr="009F27AA">
              <w:rPr>
                <w:szCs w:val="20"/>
                <w:lang w:val="en-US"/>
              </w:rPr>
              <w:t xml:space="preserve"> have indicated that there were four community wellness clinics (shipping containers), of which three were funded by DFAT and one by GoN. Of the three funded by DFAT, one is currently in use (located near the police station), one has stopped being used due to lack of facilities for staff and patients (toilets, air-conditioning) and one was damaged in transit to Nauru. The latter is being repaired in New Zealand and will be installed at a later date. The GoN funded clinic is also no longer used, due to the container itself rusting in a short period of time from sea spray and lack of air-conditioning. </w:t>
            </w:r>
          </w:p>
        </w:tc>
        <w:tc>
          <w:tcPr>
            <w:tcW w:w="7979" w:type="dxa"/>
            <w:tcBorders>
              <w:left w:val="single" w:sz="6" w:space="0" w:color="E26E00"/>
            </w:tcBorders>
            <w:shd w:val="clear" w:color="auto" w:fill="auto"/>
          </w:tcPr>
          <w:p w14:paraId="0C3D4B8A"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There appear to be a number of issues associated with the design of the wellness clinics that are impacting the effectiveness of this investment. </w:t>
            </w:r>
          </w:p>
          <w:p w14:paraId="2687B61D"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There is a lack of evidence regarding planning for maintenance of these facilities, but anecdotally and based on the rapid disuse of two of the facilities, it would appear that the operations and maintenance of these has not been adequate.</w:t>
            </w:r>
          </w:p>
        </w:tc>
      </w:tr>
      <w:tr w:rsidR="0076498C" w:rsidRPr="009F27AA" w14:paraId="138B37BA" w14:textId="77777777" w:rsidTr="00473C45">
        <w:trPr>
          <w:trHeight w:val="419"/>
          <w:tblHeader/>
        </w:trPr>
        <w:tc>
          <w:tcPr>
            <w:tcW w:w="3437" w:type="dxa"/>
            <w:tcBorders>
              <w:bottom w:val="single" w:sz="6" w:space="0" w:color="E26E00"/>
              <w:right w:val="single" w:sz="6" w:space="0" w:color="E26E00"/>
            </w:tcBorders>
            <w:shd w:val="clear" w:color="auto" w:fill="auto"/>
          </w:tcPr>
          <w:p w14:paraId="393989FB" w14:textId="77777777" w:rsidR="0076498C" w:rsidRPr="009F27AA" w:rsidRDefault="0076498C" w:rsidP="0076498C">
            <w:pPr>
              <w:pStyle w:val="Nospacingbeforeorafter"/>
              <w:spacing w:before="120" w:after="120"/>
              <w:rPr>
                <w:b/>
                <w:szCs w:val="20"/>
              </w:rPr>
            </w:pPr>
            <w:r w:rsidRPr="009F27AA">
              <w:rPr>
                <w:szCs w:val="20"/>
                <w:lang w:val="en-US"/>
              </w:rPr>
              <w:t>Nauru Electricity Supply and Sustainability Project</w:t>
            </w:r>
          </w:p>
        </w:tc>
        <w:tc>
          <w:tcPr>
            <w:tcW w:w="10664" w:type="dxa"/>
            <w:tcBorders>
              <w:left w:val="single" w:sz="6" w:space="0" w:color="E26E00"/>
              <w:bottom w:val="single" w:sz="6" w:space="0" w:color="E26E00"/>
              <w:right w:val="single" w:sz="6" w:space="0" w:color="E26E00"/>
            </w:tcBorders>
            <w:shd w:val="clear" w:color="auto" w:fill="auto"/>
          </w:tcPr>
          <w:p w14:paraId="6F6F28D7" w14:textId="77777777" w:rsidR="0076498C" w:rsidRPr="009F27AA" w:rsidRDefault="0076498C" w:rsidP="0076498C">
            <w:pPr>
              <w:pStyle w:val="Nospacingbeforeorafter"/>
              <w:spacing w:before="120" w:after="120"/>
              <w:rPr>
                <w:b/>
                <w:szCs w:val="20"/>
              </w:rPr>
            </w:pPr>
            <w:r w:rsidRPr="009F27AA">
              <w:rPr>
                <w:i/>
                <w:szCs w:val="20"/>
                <w:lang w:val="en-US"/>
              </w:rPr>
              <w:t>Refer to section on NUC CEO for ongoing operations and maintenance</w:t>
            </w:r>
          </w:p>
        </w:tc>
        <w:tc>
          <w:tcPr>
            <w:tcW w:w="7979" w:type="dxa"/>
            <w:tcBorders>
              <w:left w:val="single" w:sz="6" w:space="0" w:color="E26E00"/>
              <w:bottom w:val="single" w:sz="6" w:space="0" w:color="E26E00"/>
            </w:tcBorders>
            <w:shd w:val="clear" w:color="auto" w:fill="auto"/>
          </w:tcPr>
          <w:p w14:paraId="167EA4F6" w14:textId="77777777" w:rsidR="0076498C" w:rsidRPr="009F27AA" w:rsidRDefault="0076498C" w:rsidP="0076498C">
            <w:pPr>
              <w:pStyle w:val="Nospacingbeforeorafter"/>
              <w:spacing w:before="120" w:after="120"/>
              <w:rPr>
                <w:i/>
                <w:szCs w:val="20"/>
                <w:lang w:val="en-US"/>
              </w:rPr>
            </w:pPr>
            <w:r w:rsidRPr="009F27AA">
              <w:rPr>
                <w:i/>
                <w:szCs w:val="20"/>
                <w:lang w:val="en-US"/>
              </w:rPr>
              <w:t>Refer to section on NUC CEO for ongoing operations and maintenance</w:t>
            </w:r>
          </w:p>
        </w:tc>
      </w:tr>
      <w:tr w:rsidR="00233306" w:rsidRPr="009F27AA" w14:paraId="2AC02EEB" w14:textId="77777777" w:rsidTr="00233306">
        <w:trPr>
          <w:trHeight w:val="419"/>
          <w:tblHeader/>
        </w:trPr>
        <w:tc>
          <w:tcPr>
            <w:tcW w:w="22080" w:type="dxa"/>
            <w:gridSpan w:val="3"/>
            <w:shd w:val="clear" w:color="auto" w:fill="auto"/>
          </w:tcPr>
          <w:p w14:paraId="5EE5A38D" w14:textId="77777777" w:rsidR="00233306" w:rsidRDefault="00233306" w:rsidP="0076498C">
            <w:pPr>
              <w:pStyle w:val="Nospacingbeforeorafter"/>
              <w:spacing w:before="120" w:after="120"/>
              <w:rPr>
                <w:b/>
                <w:szCs w:val="20"/>
              </w:rPr>
            </w:pPr>
          </w:p>
        </w:tc>
      </w:tr>
      <w:tr w:rsidR="0076498C" w:rsidRPr="009F27AA" w14:paraId="5E144C07" w14:textId="77777777" w:rsidTr="00473C45">
        <w:trPr>
          <w:trHeight w:val="419"/>
          <w:tblHeader/>
        </w:trPr>
        <w:tc>
          <w:tcPr>
            <w:tcW w:w="22080" w:type="dxa"/>
            <w:gridSpan w:val="3"/>
            <w:shd w:val="clear" w:color="auto" w:fill="FDE9D9" w:themeFill="accent6" w:themeFillTint="33"/>
          </w:tcPr>
          <w:p w14:paraId="29D4A6EB" w14:textId="77777777" w:rsidR="0076498C" w:rsidRPr="009F27AA" w:rsidRDefault="0076498C" w:rsidP="0076498C">
            <w:pPr>
              <w:pStyle w:val="Nospacingbeforeorafter"/>
              <w:spacing w:before="120" w:after="120"/>
              <w:rPr>
                <w:b/>
                <w:szCs w:val="20"/>
              </w:rPr>
            </w:pPr>
            <w:r>
              <w:rPr>
                <w:b/>
                <w:szCs w:val="20"/>
              </w:rPr>
              <w:lastRenderedPageBreak/>
              <w:t>ONGOING / UNDER CONSTRUCTION PROJECTS</w:t>
            </w:r>
          </w:p>
        </w:tc>
      </w:tr>
      <w:tr w:rsidR="0076498C" w:rsidRPr="009F27AA" w14:paraId="7294D9F2" w14:textId="77777777" w:rsidTr="00473C45">
        <w:trPr>
          <w:trHeight w:val="419"/>
          <w:tblHeader/>
        </w:trPr>
        <w:tc>
          <w:tcPr>
            <w:tcW w:w="3437" w:type="dxa"/>
            <w:tcBorders>
              <w:right w:val="single" w:sz="6" w:space="0" w:color="E26E00"/>
            </w:tcBorders>
            <w:shd w:val="clear" w:color="auto" w:fill="auto"/>
          </w:tcPr>
          <w:p w14:paraId="4BB58D65" w14:textId="77777777" w:rsidR="0076498C" w:rsidRPr="009F27AA" w:rsidRDefault="0076498C" w:rsidP="0076498C">
            <w:pPr>
              <w:pStyle w:val="Nospacingbeforeorafter"/>
              <w:spacing w:before="120" w:after="120"/>
              <w:rPr>
                <w:szCs w:val="20"/>
                <w:lang w:val="en-US"/>
              </w:rPr>
            </w:pPr>
            <w:r w:rsidRPr="009F27AA">
              <w:rPr>
                <w:szCs w:val="20"/>
                <w:lang w:val="en-US"/>
              </w:rPr>
              <w:t>Household water tanks</w:t>
            </w:r>
          </w:p>
        </w:tc>
        <w:tc>
          <w:tcPr>
            <w:tcW w:w="10664" w:type="dxa"/>
            <w:tcBorders>
              <w:left w:val="single" w:sz="6" w:space="0" w:color="E26E00"/>
              <w:right w:val="single" w:sz="6" w:space="0" w:color="E26E00"/>
            </w:tcBorders>
            <w:shd w:val="clear" w:color="auto" w:fill="auto"/>
          </w:tcPr>
          <w:p w14:paraId="0EFE4844" w14:textId="77777777" w:rsidR="0076498C" w:rsidRPr="009F27AA" w:rsidRDefault="0076498C" w:rsidP="0076498C">
            <w:pPr>
              <w:pStyle w:val="Nospacingbeforeorafter"/>
              <w:spacing w:before="120" w:after="120"/>
              <w:rPr>
                <w:szCs w:val="20"/>
                <w:lang w:val="en-US"/>
              </w:rPr>
            </w:pPr>
            <w:r w:rsidRPr="009F27AA">
              <w:rPr>
                <w:b/>
                <w:szCs w:val="20"/>
                <w:lang w:val="en-US"/>
              </w:rPr>
              <w:t>[INTERVIEW 1]</w:t>
            </w:r>
            <w:r w:rsidRPr="009F27AA">
              <w:rPr>
                <w:szCs w:val="20"/>
                <w:lang w:val="en-US"/>
              </w:rPr>
              <w:t xml:space="preserve"> indicated that there is no clear maintenance strategy in place and that the water tanks were to be owned and maintained by each recipient household. Further, the interviewees indicated some expectation that the water tanks provided would be re-sold at the completion of the project. </w:t>
            </w:r>
          </w:p>
        </w:tc>
        <w:tc>
          <w:tcPr>
            <w:tcW w:w="7979" w:type="dxa"/>
            <w:tcBorders>
              <w:left w:val="single" w:sz="6" w:space="0" w:color="E26E00"/>
            </w:tcBorders>
            <w:shd w:val="clear" w:color="auto" w:fill="auto"/>
          </w:tcPr>
          <w:p w14:paraId="4C2713BF"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Due to a lack of maintenance strategies in place, the provision of free water tanks to households are unlikely to be maintained over time. Further, it is possible that some of the water tanks provided will be on-sold instead of utilized as intended.</w:t>
            </w:r>
          </w:p>
          <w:p w14:paraId="122D6553"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 long-term impact of this project is unlikely to be effective in achieving the outcome of delivering water tanks to the most vulnerable households, and in sustainably operating and maintaining them over time. </w:t>
            </w:r>
          </w:p>
        </w:tc>
      </w:tr>
      <w:tr w:rsidR="0076498C" w:rsidRPr="009F27AA" w14:paraId="6102860F" w14:textId="77777777" w:rsidTr="00473C45">
        <w:trPr>
          <w:trHeight w:val="419"/>
          <w:tblHeader/>
        </w:trPr>
        <w:tc>
          <w:tcPr>
            <w:tcW w:w="3437" w:type="dxa"/>
            <w:tcBorders>
              <w:right w:val="single" w:sz="6" w:space="0" w:color="E26E00"/>
            </w:tcBorders>
            <w:shd w:val="clear" w:color="auto" w:fill="auto"/>
          </w:tcPr>
          <w:p w14:paraId="537A0CFA" w14:textId="77777777" w:rsidR="0076498C" w:rsidRPr="009F27AA" w:rsidRDefault="0076498C" w:rsidP="0076498C">
            <w:pPr>
              <w:pStyle w:val="Nospacingbeforeorafter"/>
              <w:spacing w:before="120" w:after="120"/>
              <w:rPr>
                <w:szCs w:val="20"/>
                <w:lang w:val="en-US"/>
              </w:rPr>
            </w:pPr>
            <w:r w:rsidRPr="009F27AA">
              <w:rPr>
                <w:szCs w:val="20"/>
                <w:lang w:val="en-US"/>
              </w:rPr>
              <w:t>Sports complex</w:t>
            </w:r>
          </w:p>
        </w:tc>
        <w:tc>
          <w:tcPr>
            <w:tcW w:w="10664" w:type="dxa"/>
            <w:tcBorders>
              <w:left w:val="single" w:sz="6" w:space="0" w:color="E26E00"/>
              <w:right w:val="single" w:sz="6" w:space="0" w:color="E26E00"/>
            </w:tcBorders>
            <w:shd w:val="clear" w:color="auto" w:fill="auto"/>
          </w:tcPr>
          <w:p w14:paraId="0C50BA99" w14:textId="77777777" w:rsidR="0076498C" w:rsidRPr="009F27AA" w:rsidRDefault="0076498C" w:rsidP="0076498C">
            <w:pPr>
              <w:pStyle w:val="Nospacingbeforeorafter"/>
              <w:spacing w:before="120" w:after="120"/>
              <w:rPr>
                <w:szCs w:val="20"/>
                <w:lang w:val="en-US"/>
              </w:rPr>
            </w:pPr>
            <w:r w:rsidRPr="009F27AA">
              <w:rPr>
                <w:b/>
                <w:szCs w:val="20"/>
                <w:lang w:val="en-US"/>
              </w:rPr>
              <w:t>[INTERVIEW 1]</w:t>
            </w:r>
            <w:r w:rsidRPr="009F27AA">
              <w:rPr>
                <w:szCs w:val="20"/>
                <w:lang w:val="en-US"/>
              </w:rPr>
              <w:t xml:space="preserve"> indicated that a parallel sports technical assistance is being planned to support the ongoing operations, management and maintenance of the sports complex. In addition, the architects and supervision contractor (A&amp;L) will be requested to provide maintenance schedules that could be used as a basis for the maintenance to be tendered out. </w:t>
            </w:r>
          </w:p>
          <w:p w14:paraId="10134904" w14:textId="77777777" w:rsidR="0076498C" w:rsidRPr="009F27AA" w:rsidRDefault="0076498C" w:rsidP="0076498C">
            <w:pPr>
              <w:pStyle w:val="Nospacingbeforeorafter"/>
              <w:spacing w:before="120" w:after="120"/>
              <w:rPr>
                <w:szCs w:val="20"/>
                <w:lang w:val="en-US"/>
              </w:rPr>
            </w:pPr>
            <w:r w:rsidRPr="009F27AA">
              <w:rPr>
                <w:b/>
                <w:szCs w:val="20"/>
                <w:lang w:val="en-US"/>
              </w:rPr>
              <w:t>[EVIDENCE 1] - Draft Sports Technical Assistance Terms of Reference</w:t>
            </w:r>
            <w:r w:rsidRPr="009F27AA">
              <w:rPr>
                <w:szCs w:val="20"/>
                <w:lang w:val="en-US"/>
              </w:rPr>
              <w:t xml:space="preserve"> - indicates that the parallel sports TA will be responsible for developing an operation, management and maintenance strategy for the new sports complex.</w:t>
            </w:r>
          </w:p>
          <w:p w14:paraId="4EE4D23A" w14:textId="77777777" w:rsidR="0076498C" w:rsidRPr="009F27AA" w:rsidRDefault="0076498C" w:rsidP="0076498C">
            <w:pPr>
              <w:pStyle w:val="Nospacingbeforeorafter"/>
              <w:spacing w:before="120" w:after="120"/>
              <w:rPr>
                <w:i/>
                <w:szCs w:val="20"/>
                <w:lang w:val="en-US"/>
              </w:rPr>
            </w:pPr>
          </w:p>
        </w:tc>
        <w:tc>
          <w:tcPr>
            <w:tcW w:w="7979" w:type="dxa"/>
            <w:tcBorders>
              <w:left w:val="single" w:sz="6" w:space="0" w:color="E26E00"/>
            </w:tcBorders>
            <w:shd w:val="clear" w:color="auto" w:fill="auto"/>
          </w:tcPr>
          <w:p w14:paraId="3B61E89E"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Consideration has been given to support the Department of Sport to develop a strategy considering ongoing operations, management and maintenance needs. Ensuring follow through on the strategy, including allocation of necessary resources, will be important.</w:t>
            </w:r>
          </w:p>
          <w:p w14:paraId="3625BE4E"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The maintenance schedules to be provided by A&amp;L may be suitable for outsourcing. This approach for maintenance should be considered in the context of broader asset maintenance strategy for GoN assets, to ensure that value for money is delivered and that the broader approach to sustainable asset management is also delivered.</w:t>
            </w:r>
          </w:p>
        </w:tc>
      </w:tr>
      <w:tr w:rsidR="0076498C" w:rsidRPr="009F27AA" w14:paraId="30BA21F8" w14:textId="77777777" w:rsidTr="00473C45">
        <w:trPr>
          <w:trHeight w:val="419"/>
          <w:tblHeader/>
        </w:trPr>
        <w:tc>
          <w:tcPr>
            <w:tcW w:w="22080" w:type="dxa"/>
            <w:gridSpan w:val="3"/>
            <w:shd w:val="clear" w:color="auto" w:fill="FDE9D9" w:themeFill="accent6" w:themeFillTint="33"/>
          </w:tcPr>
          <w:p w14:paraId="38DDD17B" w14:textId="77777777" w:rsidR="0076498C" w:rsidRPr="009F27AA" w:rsidRDefault="0076498C" w:rsidP="0076498C">
            <w:pPr>
              <w:pStyle w:val="Nospacingbeforeorafter"/>
              <w:spacing w:before="120" w:after="120"/>
              <w:rPr>
                <w:b/>
                <w:szCs w:val="20"/>
                <w:lang w:val="en-US"/>
              </w:rPr>
            </w:pPr>
            <w:r w:rsidRPr="009F27AA">
              <w:rPr>
                <w:b/>
                <w:szCs w:val="20"/>
                <w:lang w:val="en-US"/>
              </w:rPr>
              <w:t>PLANNED PROJECTS</w:t>
            </w:r>
          </w:p>
        </w:tc>
      </w:tr>
      <w:tr w:rsidR="0076498C" w:rsidRPr="009F27AA" w14:paraId="2F2F3477" w14:textId="77777777" w:rsidTr="00473C45">
        <w:trPr>
          <w:trHeight w:val="419"/>
          <w:tblHeader/>
        </w:trPr>
        <w:tc>
          <w:tcPr>
            <w:tcW w:w="3437" w:type="dxa"/>
            <w:tcBorders>
              <w:right w:val="single" w:sz="6" w:space="0" w:color="E26E00"/>
            </w:tcBorders>
            <w:shd w:val="clear" w:color="auto" w:fill="auto"/>
          </w:tcPr>
          <w:p w14:paraId="6FB5E91A" w14:textId="77777777" w:rsidR="0076498C" w:rsidRPr="009F27AA" w:rsidRDefault="0076498C" w:rsidP="0076498C">
            <w:pPr>
              <w:pStyle w:val="Nospacingbeforeorafter"/>
              <w:spacing w:before="120" w:after="120"/>
              <w:rPr>
                <w:szCs w:val="20"/>
                <w:lang w:val="en-US"/>
              </w:rPr>
            </w:pPr>
            <w:r w:rsidRPr="009F27AA">
              <w:rPr>
                <w:szCs w:val="20"/>
                <w:lang w:val="en-US"/>
              </w:rPr>
              <w:t>Port Redevelopment</w:t>
            </w:r>
          </w:p>
        </w:tc>
        <w:tc>
          <w:tcPr>
            <w:tcW w:w="10664" w:type="dxa"/>
            <w:tcBorders>
              <w:left w:val="single" w:sz="6" w:space="0" w:color="E26E00"/>
              <w:right w:val="single" w:sz="6" w:space="0" w:color="E26E00"/>
            </w:tcBorders>
            <w:shd w:val="clear" w:color="auto" w:fill="auto"/>
          </w:tcPr>
          <w:p w14:paraId="30BC8B9F" w14:textId="77777777" w:rsidR="0076498C" w:rsidRPr="009F27AA" w:rsidRDefault="0076498C" w:rsidP="0076498C">
            <w:pPr>
              <w:pStyle w:val="Tablebullet"/>
              <w:numPr>
                <w:ilvl w:val="0"/>
                <w:numId w:val="0"/>
              </w:numPr>
              <w:spacing w:before="60" w:after="60"/>
              <w:rPr>
                <w:szCs w:val="20"/>
              </w:rPr>
            </w:pPr>
            <w:r w:rsidRPr="009F27AA">
              <w:rPr>
                <w:b/>
                <w:szCs w:val="20"/>
              </w:rPr>
              <w:t>[</w:t>
            </w:r>
            <w:r w:rsidRPr="009F27AA">
              <w:rPr>
                <w:b/>
                <w:szCs w:val="20"/>
                <w:lang w:val="en-US"/>
              </w:rPr>
              <w:t>EVIDENCE</w:t>
            </w:r>
            <w:r w:rsidRPr="009F27AA">
              <w:rPr>
                <w:b/>
                <w:szCs w:val="20"/>
              </w:rPr>
              <w:t xml:space="preserve"> 1]</w:t>
            </w:r>
            <w:r w:rsidRPr="009F27AA">
              <w:rPr>
                <w:szCs w:val="20"/>
              </w:rPr>
              <w:t xml:space="preserve"> – </w:t>
            </w:r>
            <w:r w:rsidRPr="009F27AA">
              <w:rPr>
                <w:b/>
                <w:szCs w:val="20"/>
              </w:rPr>
              <w:t xml:space="preserve">Final Port Reform Report (Cardno, 2017). </w:t>
            </w:r>
            <w:r w:rsidRPr="009F27AA">
              <w:rPr>
                <w:szCs w:val="20"/>
              </w:rPr>
              <w:t>The Port Reform Technical Assistance (TA) Project was established to ensure that the port operations would be operated, managed and maintained over time. This project includes introducing legislative amendments for organizational and port tariff restructuring, create an effective asset management system, establish a revolving fund for operations and maintenance and engage a private sector port operator to ensure long-term sustainability of assets. GoN is expected to implement the reforms from 1 January 2018 to 31 December 2022. DFAT funded the TA project (AUD 3.3m) in 2016/17 (Investment Annual Expenditure Report, DFAT, 2018).</w:t>
            </w:r>
          </w:p>
          <w:p w14:paraId="4C45324B" w14:textId="77777777" w:rsidR="0076498C" w:rsidRPr="009F27AA" w:rsidRDefault="0076498C" w:rsidP="0076498C">
            <w:pPr>
              <w:pStyle w:val="Tablebullet"/>
              <w:numPr>
                <w:ilvl w:val="0"/>
                <w:numId w:val="0"/>
              </w:numPr>
              <w:spacing w:before="60" w:after="60"/>
              <w:rPr>
                <w:szCs w:val="20"/>
              </w:rPr>
            </w:pPr>
            <w:r w:rsidRPr="009F27AA">
              <w:rPr>
                <w:b/>
                <w:szCs w:val="20"/>
                <w:lang w:val="en-US"/>
              </w:rPr>
              <w:t xml:space="preserve">[EVIDENCE 2] – Investment Design Summary (DFAT, 2018) </w:t>
            </w:r>
            <w:r w:rsidRPr="009F27AA">
              <w:rPr>
                <w:szCs w:val="20"/>
                <w:lang w:val="en-US"/>
              </w:rPr>
              <w:t xml:space="preserve">stated that the ADB has assessed the project as financially viable with an estimated financial internal rate of return of 2.9%, which is higher than the weighted average cost of capital of 1.3%. This assumes, however, a substantial increase in the port handling tariff, as approved by the government. In November 2017, the government gazetted the law to increase the tariffs. Therefore, the risk of not implementing the tariff increase is moderate. Nevertheless, to mitigate the risks and ensure financial sustainability, the government agreed to set up a dedicated maintenance fund earmarked from its budget from 1 July 2018. This fund will fully cover port operations and maintenance if the project does not generate sufficient revenue. The port reforms will recommend appropriate management of any accumulated funds generated from the port tariffs. </w:t>
            </w:r>
          </w:p>
          <w:p w14:paraId="15A757CB" w14:textId="77777777" w:rsidR="0076498C" w:rsidRPr="009F27AA" w:rsidRDefault="0076498C" w:rsidP="0076498C">
            <w:pPr>
              <w:pStyle w:val="Tablebullet"/>
              <w:numPr>
                <w:ilvl w:val="0"/>
                <w:numId w:val="0"/>
              </w:numPr>
              <w:spacing w:before="100" w:after="120"/>
              <w:rPr>
                <w:szCs w:val="20"/>
              </w:rPr>
            </w:pPr>
            <w:r w:rsidRPr="009F27AA">
              <w:rPr>
                <w:b/>
                <w:szCs w:val="20"/>
              </w:rPr>
              <w:t>[</w:t>
            </w:r>
            <w:r w:rsidRPr="009F27AA">
              <w:rPr>
                <w:b/>
                <w:szCs w:val="20"/>
                <w:lang w:val="en-US"/>
              </w:rPr>
              <w:t>INTERVIEW</w:t>
            </w:r>
            <w:r w:rsidRPr="009F27AA">
              <w:rPr>
                <w:b/>
                <w:szCs w:val="20"/>
              </w:rPr>
              <w:t xml:space="preserve"> 20] – Letter of Assurance from ADB.</w:t>
            </w:r>
            <w:r w:rsidRPr="009F27AA">
              <w:rPr>
                <w:szCs w:val="20"/>
              </w:rPr>
              <w:t xml:space="preserve"> DFAT indicated that ADB have provided a letter of assurance that the economic and financial analysis demonstrating the sustainability of the port was correct.</w:t>
            </w:r>
          </w:p>
          <w:p w14:paraId="4FDFB37A" w14:textId="77777777" w:rsidR="0076498C" w:rsidRPr="009F27AA" w:rsidRDefault="0076498C" w:rsidP="0076498C">
            <w:pPr>
              <w:pStyle w:val="Nospacingbeforeorafter"/>
              <w:spacing w:before="120" w:after="120"/>
              <w:rPr>
                <w:i/>
                <w:szCs w:val="20"/>
                <w:lang w:val="en-US"/>
              </w:rPr>
            </w:pPr>
            <w:r w:rsidRPr="009F27AA">
              <w:rPr>
                <w:b/>
                <w:szCs w:val="20"/>
                <w:lang w:val="en-US"/>
              </w:rPr>
              <w:t>[INTERVIEW 17]</w:t>
            </w:r>
            <w:r w:rsidRPr="009F27AA">
              <w:rPr>
                <w:szCs w:val="20"/>
                <w:lang w:val="en-US"/>
              </w:rPr>
              <w:t xml:space="preserve"> – </w:t>
            </w:r>
            <w:r w:rsidRPr="009F27AA">
              <w:rPr>
                <w:b/>
                <w:szCs w:val="20"/>
                <w:lang w:val="en-US"/>
              </w:rPr>
              <w:t>Treasury</w:t>
            </w:r>
            <w:r w:rsidRPr="009F27AA">
              <w:rPr>
                <w:szCs w:val="20"/>
                <w:lang w:val="en-US"/>
              </w:rPr>
              <w:t xml:space="preserve"> confirmed that GoN have already made a contribution of (the AUD equivalent of) USD1.5m into the port maintenance revolving fund, with a total of USD4.5m to be contributed by the end of the project.</w:t>
            </w:r>
          </w:p>
        </w:tc>
        <w:tc>
          <w:tcPr>
            <w:tcW w:w="7979" w:type="dxa"/>
            <w:tcBorders>
              <w:left w:val="single" w:sz="6" w:space="0" w:color="E26E00"/>
            </w:tcBorders>
            <w:shd w:val="clear" w:color="auto" w:fill="auto"/>
          </w:tcPr>
          <w:p w14:paraId="53F53A04"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 ongoing operations and maintenance of the port has been a key </w:t>
            </w:r>
            <w:r w:rsidRPr="009F27AA">
              <w:rPr>
                <w:szCs w:val="20"/>
              </w:rPr>
              <w:t>part</w:t>
            </w:r>
            <w:r w:rsidRPr="009F27AA">
              <w:rPr>
                <w:szCs w:val="20"/>
                <w:lang w:val="en-US"/>
              </w:rPr>
              <w:t xml:space="preserve"> of the analysis of the viability of the port redevelopment, including a separate TA funded by DFAT. Ongoing viability has been assessed, including economic and financial analysis which has been subject to an independent quality review and letter of assurance from ADB to DFAT. </w:t>
            </w:r>
          </w:p>
          <w:p w14:paraId="01BF9E79"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t xml:space="preserve">There are demonstrable commitments from GON to the ongoing operations and maintenance (including gazetting tariff reforms, establishing a maintenance fund and committing AUD1.5m of initial funding). Further steps are required from GON with regards to the tariff changes which are planned as part of the Port Reform Technical Assistance Project. </w:t>
            </w:r>
          </w:p>
        </w:tc>
      </w:tr>
      <w:tr w:rsidR="0076498C" w:rsidRPr="009F27AA" w14:paraId="3407C933" w14:textId="77777777" w:rsidTr="00473C45">
        <w:trPr>
          <w:trHeight w:val="419"/>
          <w:tblHeader/>
        </w:trPr>
        <w:tc>
          <w:tcPr>
            <w:tcW w:w="22080" w:type="dxa"/>
            <w:gridSpan w:val="3"/>
            <w:shd w:val="clear" w:color="auto" w:fill="FDE9D9" w:themeFill="accent6" w:themeFillTint="33"/>
          </w:tcPr>
          <w:p w14:paraId="40FC8F07" w14:textId="77777777" w:rsidR="0076498C" w:rsidRPr="009F27AA" w:rsidRDefault="0076498C" w:rsidP="0076498C">
            <w:pPr>
              <w:pStyle w:val="Nospacingbeforeorafter"/>
              <w:spacing w:before="120" w:after="120"/>
              <w:rPr>
                <w:b/>
                <w:szCs w:val="20"/>
                <w:lang w:val="en-US"/>
              </w:rPr>
            </w:pPr>
            <w:r w:rsidRPr="009F27AA">
              <w:rPr>
                <w:b/>
                <w:szCs w:val="20"/>
                <w:lang w:val="en-US"/>
              </w:rPr>
              <w:t>OPERATIONS AND MAINTENANCE</w:t>
            </w:r>
          </w:p>
        </w:tc>
      </w:tr>
      <w:tr w:rsidR="0076498C" w:rsidRPr="009F27AA" w14:paraId="28F32EA8" w14:textId="77777777" w:rsidTr="00473C45">
        <w:trPr>
          <w:trHeight w:val="419"/>
          <w:tblHeader/>
        </w:trPr>
        <w:tc>
          <w:tcPr>
            <w:tcW w:w="3437" w:type="dxa"/>
            <w:tcBorders>
              <w:right w:val="single" w:sz="6" w:space="0" w:color="E26E00"/>
            </w:tcBorders>
            <w:shd w:val="clear" w:color="auto" w:fill="auto"/>
          </w:tcPr>
          <w:p w14:paraId="29BE7236" w14:textId="77777777" w:rsidR="0076498C" w:rsidRPr="009F27AA" w:rsidRDefault="0076498C" w:rsidP="0076498C">
            <w:pPr>
              <w:pStyle w:val="Nospacingbeforeorafter"/>
              <w:spacing w:before="120" w:after="120"/>
              <w:rPr>
                <w:szCs w:val="20"/>
                <w:lang w:val="en-US"/>
              </w:rPr>
            </w:pPr>
            <w:r w:rsidRPr="009F27AA">
              <w:rPr>
                <w:szCs w:val="20"/>
                <w:lang w:val="en-US"/>
              </w:rPr>
              <w:t>NUC support (CEO – PACTAM)</w:t>
            </w:r>
          </w:p>
        </w:tc>
        <w:tc>
          <w:tcPr>
            <w:tcW w:w="10664" w:type="dxa"/>
            <w:tcBorders>
              <w:left w:val="single" w:sz="6" w:space="0" w:color="E26E00"/>
              <w:right w:val="single" w:sz="6" w:space="0" w:color="E26E00"/>
            </w:tcBorders>
            <w:shd w:val="clear" w:color="auto" w:fill="auto"/>
          </w:tcPr>
          <w:p w14:paraId="0A303C71" w14:textId="77777777" w:rsidR="0076498C" w:rsidRPr="009F27AA" w:rsidRDefault="0076498C" w:rsidP="0076498C">
            <w:pPr>
              <w:pStyle w:val="Tablebullet"/>
              <w:numPr>
                <w:ilvl w:val="0"/>
                <w:numId w:val="0"/>
              </w:numPr>
              <w:spacing w:before="100" w:after="120"/>
              <w:rPr>
                <w:szCs w:val="20"/>
              </w:rPr>
            </w:pPr>
            <w:r w:rsidRPr="009F27AA">
              <w:rPr>
                <w:b/>
                <w:szCs w:val="20"/>
                <w:lang w:val="en-US"/>
              </w:rPr>
              <w:t xml:space="preserve">[EVIDENCE 1] – Presentation on the Nauru Utilities Corporate Strategic Plan (2014-2020). </w:t>
            </w:r>
            <w:r w:rsidRPr="009F27AA">
              <w:rPr>
                <w:szCs w:val="20"/>
                <w:lang w:val="en-US"/>
              </w:rPr>
              <w:t xml:space="preserve">The NUC CEO </w:t>
            </w:r>
            <w:r w:rsidRPr="002E452B">
              <w:rPr>
                <w:b/>
                <w:szCs w:val="20"/>
              </w:rPr>
              <w:t>delivered</w:t>
            </w:r>
            <w:r w:rsidRPr="009F27AA">
              <w:rPr>
                <w:szCs w:val="20"/>
                <w:lang w:val="en-US"/>
              </w:rPr>
              <w:t xml:space="preserve"> a presentation and interview, outlining his arrival at the NUC as a General Manager in 2013, and as the CEO since 2014. The first step was to put together the NUC’s strategic plan (2014-2020), which articulated the 2020 goals as (i) being proactive, (ii) reliable and safe power supply, (iii) best efficiencies, (iv) N-2 production capacities, (v) low frequency and duration of outages, (vi) best customer service, (vii) best supply chain and inventory system, (viii) high worker morale and (ix) high skills and knowledge levels. T</w:t>
            </w:r>
            <w:r w:rsidRPr="009F27AA">
              <w:rPr>
                <w:szCs w:val="20"/>
              </w:rPr>
              <w:t>he NUC presentation indicated that they are very close to delivering the 2020 goals, having achieved over 80% so far and forecasting that by the end of 2019 they will have achieved all the goals. Key points are:</w:t>
            </w:r>
          </w:p>
          <w:p w14:paraId="778B5EB7" w14:textId="77777777" w:rsidR="0076498C" w:rsidRPr="002E452B" w:rsidRDefault="0076498C" w:rsidP="0076498C">
            <w:pPr>
              <w:pStyle w:val="Tablebullet"/>
              <w:spacing w:before="60" w:after="60"/>
              <w:ind w:left="409" w:hanging="285"/>
              <w:rPr>
                <w:szCs w:val="20"/>
              </w:rPr>
            </w:pPr>
            <w:r w:rsidRPr="009F27AA">
              <w:rPr>
                <w:szCs w:val="20"/>
              </w:rPr>
              <w:t xml:space="preserve">The situation has significantly progressed from 2013, when the focus was reacting to emergencies and with significantly run-down assets. Now the organisation is focusing on transitioning over the next year into the “maintenance phase”. The CEO indicated his focus on valuing the workers and instilling a work culture change. </w:t>
            </w:r>
          </w:p>
          <w:p w14:paraId="38BD7E01" w14:textId="77777777" w:rsidR="0076498C" w:rsidRPr="002E452B" w:rsidRDefault="0076498C" w:rsidP="0076498C">
            <w:pPr>
              <w:pStyle w:val="Tablebullet"/>
              <w:spacing w:before="60" w:after="60"/>
              <w:ind w:left="409" w:hanging="285"/>
              <w:rPr>
                <w:szCs w:val="20"/>
              </w:rPr>
            </w:pPr>
            <w:r w:rsidRPr="002E452B">
              <w:rPr>
                <w:szCs w:val="20"/>
              </w:rPr>
              <w:t>The NUC is almost at the point where government subsidies are no longer needed for operational expenses (although they remain necessary for capital costs). Subsidies to the NUC reduced from $6.4m in 2015 to $1.8m forecast for 2018 (this forecast amount was able to be independently verified by Treasury, and the other figures correlate to the NUC’s published annual reports). By 2020, NUC should be in surplus, enabling them to build up a capital works fund.</w:t>
            </w:r>
          </w:p>
          <w:p w14:paraId="5897B904" w14:textId="77777777" w:rsidR="0076498C" w:rsidRDefault="0076498C" w:rsidP="0076498C">
            <w:pPr>
              <w:pStyle w:val="Tablebullet"/>
              <w:spacing w:before="60" w:after="60"/>
              <w:ind w:left="409" w:hanging="285"/>
              <w:rPr>
                <w:szCs w:val="20"/>
              </w:rPr>
            </w:pPr>
            <w:r w:rsidRPr="002E452B">
              <w:rPr>
                <w:szCs w:val="20"/>
              </w:rPr>
              <w:t>Nearly half of electricity was lost in 2014, and NUC is now targeting less than 10% loss. Main gains were in testing meters, identifying conductors with “hot joins” and rectifying billing issues. A team are inspecting each house for safety (to reduce incidence of fires), and in doing so are also able to identify households that are by-passing their electrical meters. Government departments also now need to pay their electricity bills.</w:t>
            </w:r>
          </w:p>
          <w:p w14:paraId="4FA1A153" w14:textId="77777777" w:rsidR="00233306" w:rsidRPr="002E452B" w:rsidRDefault="00233306" w:rsidP="00233306">
            <w:pPr>
              <w:pStyle w:val="Tablebullet"/>
              <w:numPr>
                <w:ilvl w:val="0"/>
                <w:numId w:val="0"/>
              </w:numPr>
              <w:spacing w:before="60" w:after="60"/>
              <w:ind w:left="1440" w:hanging="360"/>
              <w:rPr>
                <w:szCs w:val="20"/>
              </w:rPr>
            </w:pPr>
          </w:p>
          <w:p w14:paraId="06B6C2F3" w14:textId="77777777" w:rsidR="0076498C" w:rsidRPr="002E452B" w:rsidRDefault="0076498C" w:rsidP="0076498C">
            <w:pPr>
              <w:pStyle w:val="Tablebullet"/>
              <w:spacing w:before="60" w:after="60"/>
              <w:ind w:left="409" w:hanging="285"/>
              <w:rPr>
                <w:szCs w:val="20"/>
              </w:rPr>
            </w:pPr>
            <w:r w:rsidRPr="002E452B">
              <w:rPr>
                <w:szCs w:val="20"/>
              </w:rPr>
              <w:lastRenderedPageBreak/>
              <w:t xml:space="preserve">The presentation included graphs that showed significant reductions in both the average electricity interruption duration and frequency, with some way still to go to meet the benchmarks set by the Pacific Power Association, but significant demonstrable progress (which was anecdotally verified by a number of Nauruan’s who indicated noticeable improvements in reliability of electricity supply). </w:t>
            </w:r>
          </w:p>
          <w:p w14:paraId="2C6196EE" w14:textId="2931F1BF" w:rsidR="0076498C" w:rsidRPr="002E452B" w:rsidRDefault="0076498C" w:rsidP="0076498C">
            <w:pPr>
              <w:pStyle w:val="Tablebullet"/>
              <w:spacing w:before="60" w:after="60"/>
              <w:ind w:left="409" w:hanging="285"/>
              <w:rPr>
                <w:szCs w:val="20"/>
              </w:rPr>
            </w:pPr>
            <w:r w:rsidRPr="002E452B">
              <w:rPr>
                <w:szCs w:val="20"/>
              </w:rPr>
              <w:t xml:space="preserve">NUC is also responsible for water through management of the Reverse Osmosis (RO) water treatment and delivery of potable water via water tankers to government offices, the hospital, the Menan hotel and household water tanks. </w:t>
            </w:r>
            <w:r w:rsidR="003D39B3">
              <w:rPr>
                <w:szCs w:val="20"/>
              </w:rPr>
              <w:t xml:space="preserve">The </w:t>
            </w:r>
            <w:r w:rsidRPr="002E452B">
              <w:rPr>
                <w:szCs w:val="20"/>
              </w:rPr>
              <w:t>water supply “business” is quite weather dependent, as demand increases, and it becomes more profitable during dry periods, and profits are lower when it rains. The Menan hotel also has a backup RO facility on the other side of the island to the NUC. There have been some improvements to the water delivery success ratio. The cost of delivering water during droughts becomes very high as there are not enough tankers, and they need to hire more at high cost during busy periods. As such, NUC are looking to procure 4 additional tankers. The next stage of the strategic plan is to deliver limited piping, commencing with pipes to the hospital.</w:t>
            </w:r>
          </w:p>
          <w:p w14:paraId="36E7FA35" w14:textId="77777777" w:rsidR="0076498C" w:rsidRPr="009F27AA" w:rsidRDefault="0076498C" w:rsidP="0076498C">
            <w:pPr>
              <w:pStyle w:val="Tablebullet"/>
              <w:spacing w:before="60" w:after="60"/>
              <w:ind w:left="409" w:hanging="285"/>
              <w:rPr>
                <w:szCs w:val="20"/>
                <w:lang w:val="en-US"/>
              </w:rPr>
            </w:pPr>
            <w:r w:rsidRPr="002E452B">
              <w:rPr>
                <w:szCs w:val="20"/>
              </w:rPr>
              <w:t>In terms of sustaining the gains made to date, the NUC CEO is of the opinion that after another year most of the gains will be bedded down and a shift will occur into the “maintenance phase”. However, to date candidates have not been able to be</w:t>
            </w:r>
            <w:r w:rsidRPr="009F27AA">
              <w:rPr>
                <w:szCs w:val="20"/>
                <w:lang w:val="en-US"/>
              </w:rPr>
              <w:t xml:space="preserve"> identified to be trained to take over the CEO position or General Manager position (also a Fijian who will likely leave when the CEO leaves), despite efforts to identify someone suitable. </w:t>
            </w:r>
          </w:p>
          <w:p w14:paraId="7C76A39C" w14:textId="77777777" w:rsidR="0076498C" w:rsidRPr="009F27AA" w:rsidRDefault="0076498C" w:rsidP="0076498C">
            <w:pPr>
              <w:pStyle w:val="Tablebullet"/>
              <w:numPr>
                <w:ilvl w:val="0"/>
                <w:numId w:val="0"/>
              </w:numPr>
              <w:spacing w:before="60" w:after="60"/>
              <w:rPr>
                <w:szCs w:val="20"/>
                <w:lang w:val="en-US"/>
              </w:rPr>
            </w:pPr>
            <w:r w:rsidRPr="009F27AA">
              <w:rPr>
                <w:b/>
                <w:szCs w:val="20"/>
                <w:lang w:val="en-US"/>
              </w:rPr>
              <w:t>[EVIDENCE 2] – Annual Operating Reports 2015, 2016 and 2017 –</w:t>
            </w:r>
            <w:r w:rsidRPr="009F27AA">
              <w:rPr>
                <w:szCs w:val="20"/>
                <w:lang w:val="en-US"/>
              </w:rPr>
              <w:t xml:space="preserve"> These reports support the reductions in government subsidies from 2015 to 2017. </w:t>
            </w:r>
            <w:r w:rsidRPr="009F27AA">
              <w:rPr>
                <w:szCs w:val="20"/>
                <w:lang w:val="en-US"/>
              </w:rPr>
              <w:br/>
            </w:r>
          </w:p>
        </w:tc>
        <w:tc>
          <w:tcPr>
            <w:tcW w:w="7979" w:type="dxa"/>
            <w:tcBorders>
              <w:left w:val="single" w:sz="6" w:space="0" w:color="E26E00"/>
            </w:tcBorders>
            <w:shd w:val="clear" w:color="auto" w:fill="auto"/>
          </w:tcPr>
          <w:p w14:paraId="6E6F8823" w14:textId="77777777" w:rsidR="0076498C" w:rsidRPr="009F27AA" w:rsidRDefault="0076498C" w:rsidP="0076498C">
            <w:pPr>
              <w:pStyle w:val="Tablebullet"/>
              <w:numPr>
                <w:ilvl w:val="0"/>
                <w:numId w:val="0"/>
              </w:numPr>
              <w:spacing w:before="60" w:after="60"/>
              <w:rPr>
                <w:szCs w:val="20"/>
                <w:lang w:val="en-US"/>
              </w:rPr>
            </w:pPr>
            <w:r w:rsidRPr="009F27AA">
              <w:rPr>
                <w:szCs w:val="20"/>
                <w:lang w:val="en-US"/>
              </w:rPr>
              <w:lastRenderedPageBreak/>
              <w:t>The CEO of NUC has been demonstrably very effective at improving the reliability of electricity supply in Nauru since 2014 and has built up the skills of the NUC team to proactively maintain infrastructure assets, improve operating efficiency and reducing losses. This has been a key success story of the Nauru infrastructure program. However, it appears likely that these gains may not be sustained when the CEO departs. It is therefore recommended that the CEO is retained as long as possible in the current role, and that a key deliverable is to implement a transitioning strategy prior to his departure.</w:t>
            </w:r>
          </w:p>
          <w:p w14:paraId="47C69948" w14:textId="77777777" w:rsidR="0076498C" w:rsidRPr="009F27AA" w:rsidRDefault="0076498C" w:rsidP="0076498C">
            <w:pPr>
              <w:pStyle w:val="Nospacingbeforeorafter"/>
              <w:rPr>
                <w:szCs w:val="20"/>
                <w:lang w:val="en-US"/>
              </w:rPr>
            </w:pPr>
          </w:p>
        </w:tc>
      </w:tr>
    </w:tbl>
    <w:p w14:paraId="1451B229" w14:textId="77777777" w:rsidR="00293AD0" w:rsidRPr="00293AD0" w:rsidRDefault="00293AD0" w:rsidP="00293AD0">
      <w:pPr>
        <w:spacing w:before="40" w:after="0"/>
        <w:rPr>
          <w:sz w:val="6"/>
          <w:lang w:eastAsia="en-AU"/>
        </w:rPr>
      </w:pP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9954"/>
      </w:tblGrid>
      <w:tr w:rsidR="00293AD0" w:rsidRPr="009F27AA" w14:paraId="5F8056F5" w14:textId="77777777" w:rsidTr="00473C45">
        <w:trPr>
          <w:trHeight w:val="353"/>
        </w:trPr>
        <w:tc>
          <w:tcPr>
            <w:tcW w:w="2126" w:type="dxa"/>
            <w:shd w:val="clear" w:color="auto" w:fill="FABF8F" w:themeFill="accent6" w:themeFillTint="99"/>
          </w:tcPr>
          <w:p w14:paraId="1D2C7B2E" w14:textId="77777777" w:rsidR="00293AD0" w:rsidRPr="009F27AA" w:rsidRDefault="00293AD0" w:rsidP="00473C45">
            <w:pPr>
              <w:spacing w:before="60" w:after="100"/>
              <w:rPr>
                <w:b/>
                <w:szCs w:val="20"/>
              </w:rPr>
            </w:pPr>
            <w:r w:rsidRPr="009F27AA">
              <w:rPr>
                <w:b/>
                <w:szCs w:val="20"/>
              </w:rPr>
              <w:t xml:space="preserve">Key question </w:t>
            </w:r>
          </w:p>
        </w:tc>
        <w:tc>
          <w:tcPr>
            <w:tcW w:w="19954" w:type="dxa"/>
            <w:shd w:val="clear" w:color="auto" w:fill="FABF8F" w:themeFill="accent6" w:themeFillTint="99"/>
          </w:tcPr>
          <w:p w14:paraId="4E7E5499" w14:textId="77777777" w:rsidR="00293AD0" w:rsidRPr="009F27AA" w:rsidRDefault="00293AD0" w:rsidP="00473C45">
            <w:pPr>
              <w:pStyle w:val="Nospacingbeforeorafter"/>
              <w:spacing w:before="60" w:after="60"/>
              <w:rPr>
                <w:b/>
                <w:szCs w:val="20"/>
              </w:rPr>
            </w:pPr>
            <w:r w:rsidRPr="009F27AA">
              <w:rPr>
                <w:b/>
                <w:szCs w:val="20"/>
              </w:rPr>
              <w:t xml:space="preserve">Overall finding: </w:t>
            </w:r>
          </w:p>
        </w:tc>
      </w:tr>
      <w:tr w:rsidR="00293AD0" w:rsidRPr="009F27AA" w14:paraId="14E8ECFE" w14:textId="77777777" w:rsidTr="00473C45">
        <w:trPr>
          <w:trHeight w:val="564"/>
        </w:trPr>
        <w:tc>
          <w:tcPr>
            <w:tcW w:w="2126" w:type="dxa"/>
            <w:shd w:val="clear" w:color="auto" w:fill="FBD4B4" w:themeFill="accent6" w:themeFillTint="66"/>
          </w:tcPr>
          <w:p w14:paraId="5994EBFD" w14:textId="77777777" w:rsidR="00293AD0" w:rsidRPr="009F27AA" w:rsidRDefault="00293AD0" w:rsidP="00A2387B">
            <w:pPr>
              <w:pStyle w:val="tabletext0"/>
              <w:numPr>
                <w:ilvl w:val="0"/>
                <w:numId w:val="12"/>
              </w:numPr>
              <w:tabs>
                <w:tab w:val="left" w:pos="250"/>
              </w:tabs>
              <w:ind w:left="22" w:right="45" w:hanging="22"/>
              <w:rPr>
                <w:b/>
                <w:szCs w:val="20"/>
              </w:rPr>
            </w:pPr>
            <w:r w:rsidRPr="009F27AA">
              <w:rPr>
                <w:rFonts w:eastAsia="Times" w:cs="Arial"/>
                <w:b/>
                <w:szCs w:val="20"/>
              </w:rPr>
              <w:t xml:space="preserve">To what extent has the investment efficiently used Australia’s contributions in terms of time and resources to achieve the desired outcomes? </w:t>
            </w:r>
          </w:p>
        </w:tc>
        <w:tc>
          <w:tcPr>
            <w:tcW w:w="19954" w:type="dxa"/>
            <w:shd w:val="clear" w:color="auto" w:fill="FBD4B4" w:themeFill="accent6" w:themeFillTint="66"/>
          </w:tcPr>
          <w:p w14:paraId="412E33D5" w14:textId="77777777" w:rsidR="00293AD0" w:rsidRPr="009F27AA" w:rsidRDefault="00293AD0" w:rsidP="00473C45">
            <w:pPr>
              <w:pStyle w:val="Nospacingbeforeorafter"/>
              <w:spacing w:after="80" w:afterAutospacing="0"/>
              <w:rPr>
                <w:szCs w:val="20"/>
              </w:rPr>
            </w:pPr>
            <w:r w:rsidRPr="009F27AA">
              <w:rPr>
                <w:szCs w:val="20"/>
              </w:rPr>
              <w:t>DFAT’s infrastructure investments since 2014 by implementation phase are:</w:t>
            </w:r>
          </w:p>
          <w:p w14:paraId="248753F0" w14:textId="1F92D538" w:rsidR="00293AD0" w:rsidRPr="009F27AA" w:rsidRDefault="00293AD0" w:rsidP="00A2387B">
            <w:pPr>
              <w:pStyle w:val="Nospacingbeforeorafter"/>
              <w:numPr>
                <w:ilvl w:val="0"/>
                <w:numId w:val="19"/>
              </w:numPr>
              <w:spacing w:before="120" w:beforeAutospacing="0"/>
              <w:ind w:hanging="357"/>
              <w:rPr>
                <w:szCs w:val="20"/>
              </w:rPr>
            </w:pPr>
            <w:r w:rsidRPr="009F27AA">
              <w:rPr>
                <w:b/>
                <w:szCs w:val="20"/>
              </w:rPr>
              <w:t>Completed</w:t>
            </w:r>
            <w:r w:rsidRPr="009F27AA">
              <w:rPr>
                <w:szCs w:val="20"/>
              </w:rPr>
              <w:t xml:space="preserve"> – TVET </w:t>
            </w:r>
            <w:r w:rsidR="00B8065D" w:rsidRPr="009F27AA">
              <w:rPr>
                <w:szCs w:val="20"/>
              </w:rPr>
              <w:t>Centre</w:t>
            </w:r>
            <w:r w:rsidRPr="009F27AA">
              <w:rPr>
                <w:szCs w:val="20"/>
              </w:rPr>
              <w:t xml:space="preserve">, </w:t>
            </w:r>
            <w:r w:rsidR="00246684" w:rsidRPr="009F27AA">
              <w:rPr>
                <w:szCs w:val="20"/>
              </w:rPr>
              <w:t xml:space="preserve">USP Learning </w:t>
            </w:r>
            <w:r w:rsidR="00B8065D" w:rsidRPr="009F27AA">
              <w:rPr>
                <w:szCs w:val="20"/>
              </w:rPr>
              <w:t>Centre</w:t>
            </w:r>
            <w:r w:rsidR="00246684">
              <w:rPr>
                <w:szCs w:val="20"/>
              </w:rPr>
              <w:t xml:space="preserve">, </w:t>
            </w:r>
            <w:r w:rsidRPr="009F27AA">
              <w:rPr>
                <w:szCs w:val="20"/>
              </w:rPr>
              <w:t xml:space="preserve">Hospital (Stage 1 and 2), </w:t>
            </w:r>
            <w:r w:rsidR="00203F43" w:rsidRPr="00203F43">
              <w:rPr>
                <w:szCs w:val="20"/>
              </w:rPr>
              <w:t>Wellness Clinics,</w:t>
            </w:r>
            <w:r w:rsidR="00695F29">
              <w:rPr>
                <w:szCs w:val="20"/>
              </w:rPr>
              <w:t xml:space="preserve"> </w:t>
            </w:r>
            <w:r w:rsidRPr="009F27AA">
              <w:rPr>
                <w:szCs w:val="20"/>
              </w:rPr>
              <w:t>Electricity Supply and Sustainability Project</w:t>
            </w:r>
          </w:p>
          <w:p w14:paraId="76ABE4B1" w14:textId="77777777" w:rsidR="00293AD0" w:rsidRPr="009F27AA" w:rsidRDefault="00293AD0" w:rsidP="00A2387B">
            <w:pPr>
              <w:pStyle w:val="Nospacingbeforeorafter"/>
              <w:numPr>
                <w:ilvl w:val="0"/>
                <w:numId w:val="19"/>
              </w:numPr>
              <w:spacing w:before="60" w:after="60"/>
              <w:rPr>
                <w:szCs w:val="20"/>
              </w:rPr>
            </w:pPr>
            <w:r w:rsidRPr="009F27AA">
              <w:rPr>
                <w:b/>
                <w:szCs w:val="20"/>
              </w:rPr>
              <w:t>Ongoing / Construction</w:t>
            </w:r>
            <w:r w:rsidRPr="009F27AA">
              <w:rPr>
                <w:szCs w:val="20"/>
              </w:rPr>
              <w:t xml:space="preserve"> –</w:t>
            </w:r>
            <w:r w:rsidR="00203F43">
              <w:rPr>
                <w:szCs w:val="20"/>
              </w:rPr>
              <w:t xml:space="preserve"> </w:t>
            </w:r>
            <w:r w:rsidRPr="009F27AA">
              <w:rPr>
                <w:szCs w:val="20"/>
              </w:rPr>
              <w:t>Household Water Tanks, Sports Complex</w:t>
            </w:r>
          </w:p>
          <w:p w14:paraId="3B715795" w14:textId="77777777" w:rsidR="00293AD0" w:rsidRPr="009F27AA" w:rsidRDefault="00293AD0" w:rsidP="00A2387B">
            <w:pPr>
              <w:pStyle w:val="Nospacingbeforeorafter"/>
              <w:numPr>
                <w:ilvl w:val="0"/>
                <w:numId w:val="19"/>
              </w:numPr>
              <w:spacing w:before="60" w:after="60"/>
              <w:rPr>
                <w:szCs w:val="20"/>
              </w:rPr>
            </w:pPr>
            <w:r w:rsidRPr="009F27AA">
              <w:rPr>
                <w:b/>
                <w:szCs w:val="20"/>
              </w:rPr>
              <w:t xml:space="preserve">Planning / Design </w:t>
            </w:r>
            <w:r w:rsidRPr="009F27AA">
              <w:rPr>
                <w:szCs w:val="20"/>
              </w:rPr>
              <w:t>– Port Redevelopment, Port Institutional Reform</w:t>
            </w:r>
          </w:p>
          <w:p w14:paraId="0639BD95" w14:textId="77777777" w:rsidR="00293AD0" w:rsidRPr="009F27AA" w:rsidRDefault="00293AD0" w:rsidP="00A2387B">
            <w:pPr>
              <w:pStyle w:val="Nospacingbeforeorafter"/>
              <w:numPr>
                <w:ilvl w:val="0"/>
                <w:numId w:val="19"/>
              </w:numPr>
              <w:spacing w:before="60" w:after="60"/>
              <w:rPr>
                <w:szCs w:val="20"/>
              </w:rPr>
            </w:pPr>
            <w:r w:rsidRPr="009F27AA">
              <w:rPr>
                <w:b/>
                <w:szCs w:val="20"/>
              </w:rPr>
              <w:t xml:space="preserve">Operations &amp; Maintenance </w:t>
            </w:r>
            <w:r w:rsidRPr="009F27AA">
              <w:rPr>
                <w:szCs w:val="20"/>
              </w:rPr>
              <w:t>– Technical Assistance support to the Nauru Utilities Corporation (NUC) – inline CEO position</w:t>
            </w:r>
          </w:p>
          <w:p w14:paraId="702AB76C" w14:textId="77777777" w:rsidR="00293AD0" w:rsidRPr="009F27AA" w:rsidRDefault="00293AD0" w:rsidP="00473C45">
            <w:pPr>
              <w:pStyle w:val="Nospacingbeforeorafter"/>
              <w:spacing w:after="80" w:afterAutospacing="0"/>
              <w:rPr>
                <w:szCs w:val="20"/>
              </w:rPr>
            </w:pPr>
            <w:r w:rsidRPr="009F27AA">
              <w:rPr>
                <w:szCs w:val="20"/>
              </w:rPr>
              <w:t xml:space="preserve">These projects have been assessed as being </w:t>
            </w:r>
            <w:r w:rsidRPr="009F27AA">
              <w:rPr>
                <w:b/>
                <w:szCs w:val="20"/>
              </w:rPr>
              <w:t>highly</w:t>
            </w:r>
            <w:r w:rsidRPr="009F27AA">
              <w:rPr>
                <w:szCs w:val="20"/>
              </w:rPr>
              <w:t xml:space="preserve"> </w:t>
            </w:r>
            <w:r w:rsidRPr="009F27AA">
              <w:rPr>
                <w:b/>
                <w:szCs w:val="20"/>
              </w:rPr>
              <w:t>efficient</w:t>
            </w:r>
            <w:r w:rsidRPr="009F27AA">
              <w:rPr>
                <w:szCs w:val="20"/>
              </w:rPr>
              <w:t>:</w:t>
            </w:r>
          </w:p>
          <w:p w14:paraId="31CB9037" w14:textId="77777777" w:rsidR="00293AD0" w:rsidRPr="009F27AA" w:rsidRDefault="00293AD0" w:rsidP="00A2387B">
            <w:pPr>
              <w:pStyle w:val="Nospacingbeforeorafter"/>
              <w:numPr>
                <w:ilvl w:val="0"/>
                <w:numId w:val="19"/>
              </w:numPr>
              <w:spacing w:before="120" w:beforeAutospacing="0"/>
              <w:ind w:hanging="357"/>
              <w:rPr>
                <w:szCs w:val="20"/>
              </w:rPr>
            </w:pPr>
            <w:r w:rsidRPr="00250792">
              <w:rPr>
                <w:szCs w:val="20"/>
              </w:rPr>
              <w:t>Technical</w:t>
            </w:r>
            <w:r w:rsidRPr="009F27AA">
              <w:rPr>
                <w:szCs w:val="20"/>
              </w:rPr>
              <w:t xml:space="preserve"> Assistance support to the Nauru Utilities Corporation (NUC)</w:t>
            </w:r>
          </w:p>
          <w:p w14:paraId="696849B2" w14:textId="77777777" w:rsidR="00293AD0" w:rsidRPr="009F27AA" w:rsidRDefault="00293AD0" w:rsidP="00A2387B">
            <w:pPr>
              <w:pStyle w:val="Nospacingbeforeorafter"/>
              <w:numPr>
                <w:ilvl w:val="0"/>
                <w:numId w:val="19"/>
              </w:numPr>
              <w:rPr>
                <w:szCs w:val="20"/>
              </w:rPr>
            </w:pPr>
            <w:r w:rsidRPr="009F27AA">
              <w:rPr>
                <w:szCs w:val="20"/>
              </w:rPr>
              <w:t>Sports Complex</w:t>
            </w:r>
          </w:p>
          <w:p w14:paraId="60E028F3" w14:textId="77777777" w:rsidR="00293AD0" w:rsidRPr="009F27AA" w:rsidRDefault="00293AD0" w:rsidP="00A2387B">
            <w:pPr>
              <w:pStyle w:val="Nospacingbeforeorafter"/>
              <w:numPr>
                <w:ilvl w:val="0"/>
                <w:numId w:val="19"/>
              </w:numPr>
              <w:rPr>
                <w:szCs w:val="20"/>
              </w:rPr>
            </w:pPr>
            <w:r w:rsidRPr="009F27AA">
              <w:rPr>
                <w:szCs w:val="20"/>
              </w:rPr>
              <w:t>Electricity Supply and Sustainability Project</w:t>
            </w:r>
          </w:p>
          <w:p w14:paraId="128FD2B7" w14:textId="701B181D" w:rsidR="00293AD0" w:rsidRPr="009F27AA" w:rsidRDefault="00293AD0" w:rsidP="00A2387B">
            <w:pPr>
              <w:pStyle w:val="Nospacingbeforeorafter"/>
              <w:numPr>
                <w:ilvl w:val="0"/>
                <w:numId w:val="19"/>
              </w:numPr>
              <w:rPr>
                <w:szCs w:val="20"/>
              </w:rPr>
            </w:pPr>
            <w:r w:rsidRPr="009F27AA">
              <w:rPr>
                <w:szCs w:val="20"/>
              </w:rPr>
              <w:t xml:space="preserve">USP Learning </w:t>
            </w:r>
            <w:r w:rsidR="003D39B3">
              <w:rPr>
                <w:szCs w:val="20"/>
              </w:rPr>
              <w:t>Centre</w:t>
            </w:r>
          </w:p>
          <w:p w14:paraId="32936131" w14:textId="77777777" w:rsidR="00293AD0" w:rsidRPr="009F27AA" w:rsidRDefault="00293AD0" w:rsidP="00473C45">
            <w:pPr>
              <w:pStyle w:val="Nospacingbeforeorafter"/>
              <w:spacing w:after="80" w:afterAutospacing="0"/>
              <w:rPr>
                <w:szCs w:val="20"/>
              </w:rPr>
            </w:pPr>
            <w:r w:rsidRPr="009F27AA">
              <w:rPr>
                <w:szCs w:val="20"/>
              </w:rPr>
              <w:t xml:space="preserve">These projects have been </w:t>
            </w:r>
            <w:r w:rsidRPr="009F27AA">
              <w:rPr>
                <w:b/>
                <w:szCs w:val="20"/>
              </w:rPr>
              <w:t>moderately efficient</w:t>
            </w:r>
            <w:r w:rsidRPr="009F27AA">
              <w:rPr>
                <w:szCs w:val="20"/>
              </w:rPr>
              <w:t>:</w:t>
            </w:r>
          </w:p>
          <w:p w14:paraId="5B045CCE" w14:textId="77777777" w:rsidR="00293AD0" w:rsidRPr="009F27AA" w:rsidRDefault="00293AD0" w:rsidP="00A2387B">
            <w:pPr>
              <w:pStyle w:val="Nospacingbeforeorafter"/>
              <w:numPr>
                <w:ilvl w:val="0"/>
                <w:numId w:val="19"/>
              </w:numPr>
              <w:spacing w:before="120" w:beforeAutospacing="0"/>
              <w:ind w:hanging="357"/>
              <w:rPr>
                <w:szCs w:val="20"/>
              </w:rPr>
            </w:pPr>
            <w:r w:rsidRPr="009F27AA">
              <w:rPr>
                <w:szCs w:val="20"/>
              </w:rPr>
              <w:t>Hospital (Stage 1 and 2) – the delivery was reasonably fast, however the process was lacking and the overall efficiency of this investment is reduced by needing follow up assistance to address issues that have arisen from this process.</w:t>
            </w:r>
          </w:p>
          <w:p w14:paraId="51693A07" w14:textId="77777777" w:rsidR="00293AD0" w:rsidRPr="009F27AA" w:rsidRDefault="00293AD0" w:rsidP="00473C45">
            <w:pPr>
              <w:pStyle w:val="Nospacingbeforeorafter"/>
              <w:spacing w:after="80" w:afterAutospacing="0"/>
              <w:rPr>
                <w:szCs w:val="20"/>
              </w:rPr>
            </w:pPr>
            <w:r w:rsidRPr="009F27AA">
              <w:rPr>
                <w:szCs w:val="20"/>
              </w:rPr>
              <w:t xml:space="preserve">These projects are </w:t>
            </w:r>
            <w:r w:rsidRPr="009F27AA">
              <w:rPr>
                <w:b/>
                <w:szCs w:val="20"/>
              </w:rPr>
              <w:t>low efficiency</w:t>
            </w:r>
            <w:r w:rsidRPr="009F27AA">
              <w:rPr>
                <w:szCs w:val="20"/>
              </w:rPr>
              <w:t>:</w:t>
            </w:r>
          </w:p>
          <w:p w14:paraId="4CE40DA9" w14:textId="77777777" w:rsidR="00293AD0" w:rsidRPr="009F27AA" w:rsidRDefault="00293AD0" w:rsidP="00A2387B">
            <w:pPr>
              <w:pStyle w:val="Nospacingbeforeorafter"/>
              <w:numPr>
                <w:ilvl w:val="0"/>
                <w:numId w:val="19"/>
              </w:numPr>
              <w:spacing w:before="120" w:beforeAutospacing="0"/>
              <w:ind w:hanging="357"/>
              <w:rPr>
                <w:szCs w:val="20"/>
              </w:rPr>
            </w:pPr>
            <w:r w:rsidRPr="009F27AA">
              <w:rPr>
                <w:szCs w:val="20"/>
              </w:rPr>
              <w:t>Wellness Clinics – These clinics were similarly quick to deliver, based on modular design from New Zealand, however the efficiency is reduced due to the lack of adequate planning and options analysis, which has impacted the overall delivery of outcomes and will ultimately cost a higher amount overall to deliver the results.</w:t>
            </w:r>
          </w:p>
          <w:p w14:paraId="63ECF48B" w14:textId="77777777" w:rsidR="00293AD0" w:rsidRPr="009F27AA" w:rsidRDefault="00293AD0" w:rsidP="00A2387B">
            <w:pPr>
              <w:pStyle w:val="Nospacingbeforeorafter"/>
              <w:numPr>
                <w:ilvl w:val="0"/>
                <w:numId w:val="19"/>
              </w:numPr>
              <w:rPr>
                <w:szCs w:val="20"/>
              </w:rPr>
            </w:pPr>
            <w:r w:rsidRPr="009F27AA">
              <w:rPr>
                <w:szCs w:val="20"/>
              </w:rPr>
              <w:t xml:space="preserve">Household Water Tanks – this project is ongoing and has encountered significant delays due to project issues. </w:t>
            </w:r>
          </w:p>
          <w:p w14:paraId="146E64C5" w14:textId="77777777" w:rsidR="00293AD0" w:rsidRPr="009F27AA" w:rsidRDefault="00293AD0" w:rsidP="00473C45">
            <w:pPr>
              <w:pStyle w:val="Nospacingbeforeorafter"/>
              <w:spacing w:after="80" w:afterAutospacing="0"/>
              <w:rPr>
                <w:szCs w:val="20"/>
              </w:rPr>
            </w:pPr>
            <w:r w:rsidRPr="009F27AA">
              <w:rPr>
                <w:szCs w:val="20"/>
              </w:rPr>
              <w:t xml:space="preserve">The </w:t>
            </w:r>
            <w:r w:rsidRPr="009F27AA">
              <w:rPr>
                <w:b/>
                <w:szCs w:val="20"/>
              </w:rPr>
              <w:t>efficiency of these projects has not been ascertained</w:t>
            </w:r>
            <w:r w:rsidRPr="009F27AA">
              <w:rPr>
                <w:szCs w:val="20"/>
              </w:rPr>
              <w:t xml:space="preserve"> due to their current stage (e.g. planning or design, or largely implemented prior to the review period):</w:t>
            </w:r>
          </w:p>
          <w:p w14:paraId="6A1C9F19" w14:textId="013C2A43" w:rsidR="00293AD0" w:rsidRPr="009F27AA" w:rsidRDefault="00293AD0" w:rsidP="00A2387B">
            <w:pPr>
              <w:pStyle w:val="Nospacingbeforeorafter"/>
              <w:numPr>
                <w:ilvl w:val="0"/>
                <w:numId w:val="19"/>
              </w:numPr>
              <w:spacing w:before="120" w:beforeAutospacing="0"/>
              <w:ind w:hanging="357"/>
              <w:rPr>
                <w:szCs w:val="20"/>
              </w:rPr>
            </w:pPr>
            <w:r w:rsidRPr="009F27AA">
              <w:rPr>
                <w:szCs w:val="20"/>
              </w:rPr>
              <w:t xml:space="preserve">TVET </w:t>
            </w:r>
            <w:r w:rsidR="00B8065D" w:rsidRPr="009F27AA">
              <w:rPr>
                <w:szCs w:val="20"/>
              </w:rPr>
              <w:t>Centre</w:t>
            </w:r>
          </w:p>
          <w:p w14:paraId="67107180" w14:textId="77777777" w:rsidR="00293AD0" w:rsidRPr="009F27AA" w:rsidRDefault="00293AD0" w:rsidP="00A2387B">
            <w:pPr>
              <w:pStyle w:val="Nospacingbeforeorafter"/>
              <w:numPr>
                <w:ilvl w:val="0"/>
                <w:numId w:val="19"/>
              </w:numPr>
              <w:spacing w:before="60" w:after="60"/>
              <w:rPr>
                <w:szCs w:val="20"/>
              </w:rPr>
            </w:pPr>
            <w:r w:rsidRPr="009F27AA">
              <w:rPr>
                <w:szCs w:val="20"/>
              </w:rPr>
              <w:t>Port Redevelopment</w:t>
            </w:r>
          </w:p>
          <w:p w14:paraId="7CDF1928" w14:textId="77777777" w:rsidR="00293AD0" w:rsidRPr="009F27AA" w:rsidRDefault="00293AD0" w:rsidP="00A2387B">
            <w:pPr>
              <w:pStyle w:val="Nospacingbeforeorafter"/>
              <w:numPr>
                <w:ilvl w:val="0"/>
                <w:numId w:val="19"/>
              </w:numPr>
              <w:spacing w:before="60" w:after="60"/>
              <w:rPr>
                <w:szCs w:val="20"/>
              </w:rPr>
            </w:pPr>
            <w:r w:rsidRPr="009F27AA">
              <w:rPr>
                <w:szCs w:val="20"/>
              </w:rPr>
              <w:t>Port Institutional Reform</w:t>
            </w:r>
          </w:p>
          <w:p w14:paraId="15D515AF" w14:textId="77777777" w:rsidR="00293AD0" w:rsidRPr="009F27AA" w:rsidRDefault="00293AD0" w:rsidP="00473C45">
            <w:pPr>
              <w:pStyle w:val="Nospacingbeforeorafter"/>
              <w:spacing w:after="80" w:afterAutospacing="0"/>
              <w:rPr>
                <w:szCs w:val="20"/>
              </w:rPr>
            </w:pPr>
            <w:r w:rsidRPr="009F27AA">
              <w:rPr>
                <w:b/>
                <w:szCs w:val="20"/>
              </w:rPr>
              <w:t>Other points of note</w:t>
            </w:r>
            <w:r w:rsidRPr="009F27AA">
              <w:rPr>
                <w:szCs w:val="20"/>
              </w:rPr>
              <w:t xml:space="preserve"> include:</w:t>
            </w:r>
          </w:p>
          <w:p w14:paraId="2AADA1AF" w14:textId="77777777" w:rsidR="00293AD0" w:rsidRPr="009F27AA" w:rsidRDefault="00293AD0" w:rsidP="00A2387B">
            <w:pPr>
              <w:pStyle w:val="Nospacingbeforeorafter"/>
              <w:numPr>
                <w:ilvl w:val="0"/>
                <w:numId w:val="19"/>
              </w:numPr>
              <w:spacing w:before="120" w:beforeAutospacing="0"/>
              <w:ind w:hanging="357"/>
              <w:rPr>
                <w:szCs w:val="20"/>
              </w:rPr>
            </w:pPr>
            <w:r w:rsidRPr="009F27AA">
              <w:rPr>
                <w:szCs w:val="20"/>
              </w:rPr>
              <w:t xml:space="preserve">DFAT indicated that funds were provided to GoN for a water treatment project in 2012, but the funding has yet to be executed and the project is currently re-engaging. The efficiency of this approach is low. </w:t>
            </w:r>
          </w:p>
          <w:p w14:paraId="62207882" w14:textId="77777777" w:rsidR="00293AD0" w:rsidRPr="009F27AA" w:rsidRDefault="00293AD0" w:rsidP="00A2387B">
            <w:pPr>
              <w:pStyle w:val="Nospacingbeforeorafter"/>
              <w:numPr>
                <w:ilvl w:val="0"/>
                <w:numId w:val="19"/>
              </w:numPr>
              <w:spacing w:before="60" w:after="60"/>
              <w:rPr>
                <w:szCs w:val="20"/>
              </w:rPr>
            </w:pPr>
            <w:r w:rsidRPr="009F27AA">
              <w:rPr>
                <w:szCs w:val="20"/>
              </w:rPr>
              <w:t xml:space="preserve">The use of Government of Nauru systems for infrastructure investments has caused some clear inefficiencies, such as on the water tank project and also on the wellness clinics. There are strong reasons to encourage use of government systems, given a big picture focus on delivering not only project outcomes but also developing government capacity. However, this trade-off has caused real impediments in some cases and DFAT has identified solutions to assist with mitigating these issues. These include ensuring that a competent company is contracted to assist with design, consultation with GoN and other stakeholders, oversee procurement and project supervision (a Project Management Unit reporting to a steering committee to facilitate project delivery). </w:t>
            </w:r>
          </w:p>
          <w:p w14:paraId="12BC0D70" w14:textId="77777777" w:rsidR="00293AD0" w:rsidRPr="009F27AA" w:rsidRDefault="00293AD0" w:rsidP="00A2387B">
            <w:pPr>
              <w:pStyle w:val="Nospacingbeforeorafter"/>
              <w:numPr>
                <w:ilvl w:val="0"/>
                <w:numId w:val="19"/>
              </w:numPr>
              <w:rPr>
                <w:szCs w:val="20"/>
              </w:rPr>
            </w:pPr>
            <w:r w:rsidRPr="009F27AA">
              <w:rPr>
                <w:szCs w:val="20"/>
              </w:rPr>
              <w:t xml:space="preserve">Collaboration between ADB, DFAT and GON was instrumental in securing 33.81% of funding from the GCF for the port project, enabling the project to proceed with a budget for the recommended design. In the absence of this collaboration, it is unlikely that the port project would have been able to proceed based on the budget of each agency working in isolation. </w:t>
            </w:r>
          </w:p>
          <w:p w14:paraId="535C3EFA" w14:textId="77777777" w:rsidR="00293AD0" w:rsidRPr="009F27AA" w:rsidRDefault="00293AD0" w:rsidP="00A2387B">
            <w:pPr>
              <w:pStyle w:val="Nospacingbeforeorafter"/>
              <w:numPr>
                <w:ilvl w:val="0"/>
                <w:numId w:val="19"/>
              </w:numPr>
              <w:spacing w:before="60" w:after="60"/>
              <w:rPr>
                <w:szCs w:val="20"/>
              </w:rPr>
            </w:pPr>
            <w:r w:rsidRPr="009F27AA">
              <w:rPr>
                <w:szCs w:val="20"/>
                <w:lang w:val="en-US"/>
              </w:rPr>
              <w:t>DFAT should look to increase opportunities for collaboration with other development partners and regional mechanisms such as the Pacific Regional Infrastructure Facility (PRIF).</w:t>
            </w:r>
          </w:p>
        </w:tc>
      </w:tr>
    </w:tbl>
    <w:p w14:paraId="46D87C87" w14:textId="77777777" w:rsidR="00293AD0" w:rsidRDefault="00293AD0">
      <w:pPr>
        <w:spacing w:before="0" w:after="0"/>
        <w:rPr>
          <w:lang w:eastAsia="en-AU"/>
        </w:rPr>
      </w:pPr>
    </w:p>
    <w:tbl>
      <w:tblPr>
        <w:tblStyle w:val="TableGrid"/>
        <w:tblpPr w:leftFromText="181" w:rightFromText="181" w:vertAnchor="text" w:horzAnchor="margin" w:tblpX="-577" w:tblpY="1"/>
        <w:tblOverlap w:val="never"/>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3437"/>
        <w:gridCol w:w="10664"/>
        <w:gridCol w:w="7979"/>
      </w:tblGrid>
      <w:tr w:rsidR="00650A55" w:rsidRPr="009F27AA" w14:paraId="19A441C9" w14:textId="77777777" w:rsidTr="00473C45">
        <w:trPr>
          <w:trHeight w:val="419"/>
          <w:tblHeader/>
        </w:trPr>
        <w:tc>
          <w:tcPr>
            <w:tcW w:w="22080" w:type="dxa"/>
            <w:gridSpan w:val="3"/>
            <w:tcBorders>
              <w:bottom w:val="single" w:sz="6" w:space="0" w:color="E26E00"/>
            </w:tcBorders>
            <w:shd w:val="clear" w:color="auto" w:fill="FABF8F" w:themeFill="accent6" w:themeFillTint="99"/>
          </w:tcPr>
          <w:p w14:paraId="7A2E1FFB" w14:textId="77777777" w:rsidR="00650A55" w:rsidRPr="009F27AA" w:rsidRDefault="00650A55" w:rsidP="00473C45">
            <w:pPr>
              <w:pStyle w:val="Nospacingbeforeorafter"/>
              <w:spacing w:before="60" w:after="60"/>
              <w:rPr>
                <w:b/>
                <w:szCs w:val="20"/>
              </w:rPr>
            </w:pPr>
            <w:r w:rsidRPr="009F27AA">
              <w:rPr>
                <w:b/>
                <w:szCs w:val="20"/>
              </w:rPr>
              <w:lastRenderedPageBreak/>
              <w:t>Sub-question</w:t>
            </w:r>
          </w:p>
          <w:p w14:paraId="568DD153" w14:textId="77777777" w:rsidR="00650A55" w:rsidRPr="009F27AA" w:rsidRDefault="00650A55" w:rsidP="00A2387B">
            <w:pPr>
              <w:pStyle w:val="Nospacingbeforeorafter"/>
              <w:numPr>
                <w:ilvl w:val="0"/>
                <w:numId w:val="17"/>
              </w:numPr>
              <w:spacing w:before="60" w:after="60"/>
              <w:rPr>
                <w:b/>
                <w:szCs w:val="20"/>
              </w:rPr>
            </w:pPr>
            <w:r w:rsidRPr="009F27AA">
              <w:rPr>
                <w:rFonts w:eastAsia="Times"/>
                <w:szCs w:val="20"/>
              </w:rPr>
              <w:t>To what extent has DFAT selected infrastructure projects that efficiently deliver the agreed outcomes, after considering suitable alternatives?</w:t>
            </w:r>
          </w:p>
        </w:tc>
      </w:tr>
      <w:tr w:rsidR="00650A55" w:rsidRPr="009F27AA" w14:paraId="0ABE8B34"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4D7C6D52" w14:textId="77777777" w:rsidR="00650A55" w:rsidRPr="009F27AA" w:rsidRDefault="00650A55" w:rsidP="00473C45">
            <w:pPr>
              <w:pStyle w:val="Nospacingbeforeorafter"/>
              <w:spacing w:before="80" w:beforeAutospacing="0" w:after="80" w:afterAutospacing="0"/>
              <w:rPr>
                <w:b/>
                <w:szCs w:val="20"/>
              </w:rPr>
            </w:pPr>
            <w:r w:rsidRPr="009F27AA">
              <w:rPr>
                <w:b/>
                <w:szCs w:val="20"/>
              </w:rPr>
              <w:t>Project</w:t>
            </w: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397AD08F" w14:textId="77777777" w:rsidR="00650A55" w:rsidRPr="009F27AA" w:rsidRDefault="00650A55" w:rsidP="00473C45">
            <w:pPr>
              <w:pStyle w:val="Nospacingbeforeorafter"/>
              <w:spacing w:before="80" w:beforeAutospacing="0" w:after="80" w:afterAutospacing="0"/>
              <w:rPr>
                <w:b/>
                <w:szCs w:val="20"/>
              </w:rPr>
            </w:pPr>
            <w:r w:rsidRPr="009F27AA">
              <w:rPr>
                <w:b/>
                <w:szCs w:val="20"/>
              </w:rPr>
              <w:t>Evidence</w:t>
            </w:r>
          </w:p>
        </w:tc>
        <w:tc>
          <w:tcPr>
            <w:tcW w:w="7979" w:type="dxa"/>
            <w:tcBorders>
              <w:left w:val="single" w:sz="6" w:space="0" w:color="E26E00"/>
              <w:bottom w:val="single" w:sz="6" w:space="0" w:color="E26E00"/>
            </w:tcBorders>
            <w:shd w:val="clear" w:color="auto" w:fill="FBD4B4" w:themeFill="accent6" w:themeFillTint="66"/>
          </w:tcPr>
          <w:p w14:paraId="379FDBC3" w14:textId="77777777" w:rsidR="00650A55" w:rsidRPr="009F27AA" w:rsidRDefault="00650A55" w:rsidP="00473C45">
            <w:pPr>
              <w:pStyle w:val="Nospacingbeforeorafter"/>
              <w:spacing w:before="80" w:beforeAutospacing="0" w:after="80" w:afterAutospacing="0"/>
              <w:rPr>
                <w:b/>
                <w:szCs w:val="20"/>
              </w:rPr>
            </w:pPr>
            <w:r w:rsidRPr="009F27AA">
              <w:rPr>
                <w:b/>
                <w:szCs w:val="20"/>
              </w:rPr>
              <w:t>Findings</w:t>
            </w:r>
          </w:p>
        </w:tc>
      </w:tr>
      <w:tr w:rsidR="00650A55" w:rsidRPr="009F27AA" w14:paraId="3146ED0E"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4AEF08AE" w14:textId="77777777" w:rsidR="00650A55" w:rsidRPr="009F27AA" w:rsidRDefault="00650A55" w:rsidP="00473C45">
            <w:pPr>
              <w:pStyle w:val="Nospacingbeforeorafter"/>
              <w:spacing w:before="80" w:beforeAutospacing="0" w:after="80" w:afterAutospacing="0"/>
              <w:rPr>
                <w:b/>
                <w:szCs w:val="20"/>
              </w:rPr>
            </w:pP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4F2CDD4B" w14:textId="77777777" w:rsidR="00650A55" w:rsidRPr="009F27AA" w:rsidRDefault="00650A55" w:rsidP="00473C45">
            <w:pPr>
              <w:pStyle w:val="Nospacingbeforeorafter"/>
              <w:spacing w:before="80" w:beforeAutospacing="0" w:after="80" w:afterAutospacing="0"/>
              <w:rPr>
                <w:b/>
                <w:szCs w:val="20"/>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tc>
        <w:tc>
          <w:tcPr>
            <w:tcW w:w="7979" w:type="dxa"/>
            <w:tcBorders>
              <w:left w:val="single" w:sz="6" w:space="0" w:color="E26E00"/>
              <w:bottom w:val="single" w:sz="6" w:space="0" w:color="E26E00"/>
            </w:tcBorders>
            <w:shd w:val="clear" w:color="auto" w:fill="FBD4B4" w:themeFill="accent6" w:themeFillTint="66"/>
          </w:tcPr>
          <w:p w14:paraId="0732572C" w14:textId="77777777" w:rsidR="00650A55" w:rsidRPr="009F27AA" w:rsidRDefault="00650A55" w:rsidP="00473C45">
            <w:pPr>
              <w:pStyle w:val="Nospacingbeforeorafter"/>
              <w:spacing w:before="80" w:beforeAutospacing="0" w:after="80" w:afterAutospacing="0"/>
              <w:rPr>
                <w:b/>
                <w:szCs w:val="20"/>
              </w:rPr>
            </w:pPr>
            <w:r w:rsidRPr="009F27AA">
              <w:rPr>
                <w:b/>
                <w:szCs w:val="20"/>
              </w:rPr>
              <w:t>Rating: Adequate (4)</w:t>
            </w:r>
          </w:p>
        </w:tc>
      </w:tr>
      <w:tr w:rsidR="00650A55" w:rsidRPr="009F27AA" w14:paraId="06E303E8" w14:textId="77777777" w:rsidTr="00473C45">
        <w:trPr>
          <w:trHeight w:val="419"/>
          <w:tblHeader/>
        </w:trPr>
        <w:tc>
          <w:tcPr>
            <w:tcW w:w="22080" w:type="dxa"/>
            <w:gridSpan w:val="3"/>
            <w:tcBorders>
              <w:bottom w:val="single" w:sz="6" w:space="0" w:color="E26E00"/>
            </w:tcBorders>
            <w:shd w:val="clear" w:color="auto" w:fill="FDE9D9" w:themeFill="accent6" w:themeFillTint="33"/>
          </w:tcPr>
          <w:p w14:paraId="09010329" w14:textId="77777777" w:rsidR="00650A55" w:rsidRPr="009F27AA" w:rsidRDefault="00650A55" w:rsidP="00473C45">
            <w:pPr>
              <w:pStyle w:val="Nospacingbeforeorafter"/>
              <w:spacing w:before="120" w:after="120"/>
              <w:rPr>
                <w:b/>
                <w:szCs w:val="20"/>
              </w:rPr>
            </w:pPr>
            <w:r w:rsidRPr="009F27AA">
              <w:rPr>
                <w:b/>
                <w:szCs w:val="20"/>
              </w:rPr>
              <w:t>COMPLETED PROJECTS</w:t>
            </w:r>
          </w:p>
        </w:tc>
      </w:tr>
      <w:tr w:rsidR="00650A55" w:rsidRPr="009F27AA" w14:paraId="296F775D" w14:textId="77777777" w:rsidTr="00473C45">
        <w:trPr>
          <w:trHeight w:val="624"/>
          <w:tblHeader/>
        </w:trPr>
        <w:tc>
          <w:tcPr>
            <w:tcW w:w="3437" w:type="dxa"/>
            <w:tcBorders>
              <w:right w:val="single" w:sz="6" w:space="0" w:color="E26E00"/>
            </w:tcBorders>
            <w:shd w:val="clear" w:color="auto" w:fill="auto"/>
          </w:tcPr>
          <w:p w14:paraId="4E197DBF" w14:textId="45B5F805" w:rsidR="00650A55" w:rsidRPr="009F27AA" w:rsidRDefault="00650A55" w:rsidP="00473C45">
            <w:pPr>
              <w:pStyle w:val="Nospacingbeforeorafter"/>
              <w:spacing w:before="120" w:after="120"/>
              <w:rPr>
                <w:szCs w:val="20"/>
                <w:lang w:val="en-US"/>
              </w:rPr>
            </w:pPr>
            <w:r w:rsidRPr="009F27AA">
              <w:rPr>
                <w:szCs w:val="20"/>
                <w:lang w:val="en-US"/>
              </w:rPr>
              <w:t xml:space="preserve">TVET </w:t>
            </w:r>
            <w:r w:rsidR="003D39B3">
              <w:rPr>
                <w:szCs w:val="20"/>
                <w:lang w:val="en-US"/>
              </w:rPr>
              <w:t>Centre</w:t>
            </w:r>
          </w:p>
        </w:tc>
        <w:tc>
          <w:tcPr>
            <w:tcW w:w="10664" w:type="dxa"/>
            <w:tcBorders>
              <w:left w:val="single" w:sz="6" w:space="0" w:color="E26E00"/>
              <w:right w:val="single" w:sz="6" w:space="0" w:color="E26E00"/>
            </w:tcBorders>
            <w:shd w:val="clear" w:color="auto" w:fill="auto"/>
          </w:tcPr>
          <w:p w14:paraId="42F9F781" w14:textId="386310DC" w:rsidR="00650A55" w:rsidRPr="00BD611E" w:rsidRDefault="00650A55" w:rsidP="00473C45">
            <w:pPr>
              <w:pStyle w:val="Nospacingbeforeorafter"/>
              <w:spacing w:after="0" w:afterAutospacing="0"/>
              <w:rPr>
                <w:i/>
                <w:szCs w:val="20"/>
                <w:lang w:val="en-US"/>
              </w:rPr>
            </w:pPr>
            <w:r w:rsidRPr="009F27AA">
              <w:rPr>
                <w:b/>
                <w:szCs w:val="20"/>
                <w:lang w:val="en-US"/>
              </w:rPr>
              <w:t>[EVIDENCE 1]</w:t>
            </w:r>
            <w:r w:rsidRPr="009F27AA">
              <w:rPr>
                <w:szCs w:val="20"/>
                <w:lang w:val="en-US"/>
              </w:rPr>
              <w:t xml:space="preserve"> – </w:t>
            </w:r>
            <w:r w:rsidRPr="009F27AA">
              <w:rPr>
                <w:b/>
                <w:szCs w:val="20"/>
                <w:lang w:val="en-US"/>
              </w:rPr>
              <w:t xml:space="preserve">Nauru Learning Village Concept Design Report (A&amp;L, 2012) </w:t>
            </w:r>
            <w:r w:rsidRPr="009F27AA">
              <w:rPr>
                <w:szCs w:val="20"/>
                <w:lang w:val="en-US"/>
              </w:rPr>
              <w:t xml:space="preserve">– </w:t>
            </w:r>
            <w:r w:rsidRPr="009F27AA">
              <w:rPr>
                <w:i/>
                <w:szCs w:val="20"/>
                <w:lang w:val="en-US"/>
              </w:rPr>
              <w:t xml:space="preserve">Refer to the section below on the USP </w:t>
            </w:r>
            <w:r w:rsidR="00C46A37">
              <w:rPr>
                <w:i/>
                <w:szCs w:val="20"/>
                <w:lang w:val="en-US"/>
              </w:rPr>
              <w:t xml:space="preserve">USP Learning </w:t>
            </w:r>
            <w:r w:rsidR="003D39B3">
              <w:rPr>
                <w:i/>
                <w:szCs w:val="20"/>
                <w:lang w:val="en-US"/>
              </w:rPr>
              <w:t>Centre</w:t>
            </w:r>
            <w:r w:rsidRPr="009F27AA">
              <w:rPr>
                <w:i/>
                <w:szCs w:val="20"/>
                <w:lang w:val="en-US"/>
              </w:rPr>
              <w:t xml:space="preserve"> for overview of the options developed for the overall Learning </w:t>
            </w:r>
            <w:r w:rsidR="003D39B3">
              <w:rPr>
                <w:i/>
                <w:szCs w:val="20"/>
                <w:lang w:val="en-US"/>
              </w:rPr>
              <w:t>Centre</w:t>
            </w:r>
            <w:r w:rsidRPr="009F27AA">
              <w:rPr>
                <w:i/>
                <w:szCs w:val="20"/>
                <w:lang w:val="en-US"/>
              </w:rPr>
              <w:t xml:space="preserve"> Complex.</w:t>
            </w:r>
          </w:p>
        </w:tc>
        <w:tc>
          <w:tcPr>
            <w:tcW w:w="7979" w:type="dxa"/>
            <w:tcBorders>
              <w:left w:val="single" w:sz="6" w:space="0" w:color="E26E00"/>
            </w:tcBorders>
            <w:shd w:val="clear" w:color="auto" w:fill="auto"/>
          </w:tcPr>
          <w:p w14:paraId="0A98F804" w14:textId="151A3A02" w:rsidR="00650A55" w:rsidRPr="009F27AA" w:rsidRDefault="00650A55" w:rsidP="00473C45">
            <w:pPr>
              <w:pStyle w:val="Nospacingbeforeorafter"/>
              <w:spacing w:before="120" w:after="120"/>
              <w:rPr>
                <w:szCs w:val="20"/>
                <w:lang w:val="en-US"/>
              </w:rPr>
            </w:pPr>
            <w:r w:rsidRPr="009F27AA">
              <w:rPr>
                <w:szCs w:val="20"/>
                <w:lang w:val="en-US"/>
              </w:rPr>
              <w:t xml:space="preserve">The development of viable options for stakeholder consideration and selection was undertaken and the proposed solution fits within the broader concept of the Learning </w:t>
            </w:r>
            <w:r w:rsidR="003D39B3">
              <w:rPr>
                <w:szCs w:val="20"/>
                <w:lang w:val="en-US"/>
              </w:rPr>
              <w:t>Centre</w:t>
            </w:r>
            <w:r w:rsidRPr="009F27AA">
              <w:rPr>
                <w:szCs w:val="20"/>
                <w:lang w:val="en-US"/>
              </w:rPr>
              <w:t xml:space="preserve"> Complex developed by the Nauru Department of Education. </w:t>
            </w:r>
          </w:p>
        </w:tc>
      </w:tr>
      <w:tr w:rsidR="004D3FB2" w:rsidRPr="009F27AA" w14:paraId="56491203" w14:textId="77777777" w:rsidTr="00473C45">
        <w:trPr>
          <w:trHeight w:val="624"/>
          <w:tblHeader/>
        </w:trPr>
        <w:tc>
          <w:tcPr>
            <w:tcW w:w="3437" w:type="dxa"/>
            <w:tcBorders>
              <w:right w:val="single" w:sz="6" w:space="0" w:color="E26E00"/>
            </w:tcBorders>
            <w:shd w:val="clear" w:color="auto" w:fill="auto"/>
          </w:tcPr>
          <w:p w14:paraId="3442F052" w14:textId="58EDB3A2" w:rsidR="004D3FB2" w:rsidRPr="009F27AA" w:rsidRDefault="004D3FB2" w:rsidP="004D3FB2">
            <w:pPr>
              <w:pStyle w:val="Nospacingbeforeorafter"/>
              <w:spacing w:before="120" w:after="120"/>
              <w:rPr>
                <w:szCs w:val="20"/>
                <w:lang w:val="en-US"/>
              </w:rPr>
            </w:pPr>
            <w:r w:rsidRPr="009F27AA">
              <w:rPr>
                <w:szCs w:val="20"/>
                <w:lang w:val="en-US"/>
              </w:rPr>
              <w:t xml:space="preserve">USP Learning </w:t>
            </w:r>
            <w:r w:rsidR="003D39B3">
              <w:rPr>
                <w:szCs w:val="20"/>
                <w:lang w:val="en-US"/>
              </w:rPr>
              <w:t>Centre</w:t>
            </w:r>
          </w:p>
        </w:tc>
        <w:tc>
          <w:tcPr>
            <w:tcW w:w="10664" w:type="dxa"/>
            <w:tcBorders>
              <w:left w:val="single" w:sz="6" w:space="0" w:color="E26E00"/>
              <w:right w:val="single" w:sz="6" w:space="0" w:color="E26E00"/>
            </w:tcBorders>
            <w:shd w:val="clear" w:color="auto" w:fill="auto"/>
          </w:tcPr>
          <w:p w14:paraId="070A42D9" w14:textId="1862A47C" w:rsidR="004D3FB2" w:rsidRPr="009F27AA" w:rsidRDefault="004D3FB2" w:rsidP="004D3FB2">
            <w:pPr>
              <w:pStyle w:val="Nospacingbeforeorafter"/>
              <w:spacing w:before="120" w:after="120"/>
              <w:rPr>
                <w:szCs w:val="20"/>
                <w:lang w:val="en-US"/>
              </w:rPr>
            </w:pPr>
            <w:r w:rsidRPr="009F27AA">
              <w:rPr>
                <w:b/>
                <w:szCs w:val="20"/>
                <w:lang w:val="en-US"/>
              </w:rPr>
              <w:t>[EVIDENCE 1] – Nauru Learning Village Concept Design Report (A&amp;L, 2012)</w:t>
            </w:r>
            <w:r w:rsidRPr="009F27AA">
              <w:rPr>
                <w:szCs w:val="20"/>
                <w:lang w:val="en-US"/>
              </w:rPr>
              <w:t xml:space="preserve"> – The document provides background of a “Footpath” plan developed by the Nauru Department of Education, for a Nauru Learning </w:t>
            </w:r>
            <w:r w:rsidR="003D39B3">
              <w:rPr>
                <w:szCs w:val="20"/>
                <w:lang w:val="en-US"/>
              </w:rPr>
              <w:t>Centre</w:t>
            </w:r>
            <w:r w:rsidRPr="009F27AA">
              <w:rPr>
                <w:szCs w:val="20"/>
                <w:lang w:val="en-US"/>
              </w:rPr>
              <w:t xml:space="preserve"> Complex incorporating the secondary school, facilities for TVET and the University of the South Pacific (USP), a common library and related services. The site of this complex was intended to be adjacent to the existing secondary school site, which was reconstructed in 2010. The second stage of the development was the TVET </w:t>
            </w:r>
            <w:r w:rsidR="003D39B3">
              <w:rPr>
                <w:szCs w:val="20"/>
                <w:lang w:val="en-US"/>
              </w:rPr>
              <w:t>Centre</w:t>
            </w:r>
            <w:r w:rsidRPr="009F27AA">
              <w:rPr>
                <w:szCs w:val="20"/>
                <w:lang w:val="en-US"/>
              </w:rPr>
              <w:t xml:space="preserve">, USP </w:t>
            </w:r>
            <w:r w:rsidR="003D39B3">
              <w:rPr>
                <w:szCs w:val="20"/>
                <w:lang w:val="en-US"/>
              </w:rPr>
              <w:t>Centre</w:t>
            </w:r>
            <w:r w:rsidRPr="009F27AA">
              <w:rPr>
                <w:szCs w:val="20"/>
                <w:lang w:val="en-US"/>
              </w:rPr>
              <w:t xml:space="preserve">, Communal Library and Community </w:t>
            </w:r>
            <w:r w:rsidR="003D39B3">
              <w:rPr>
                <w:szCs w:val="20"/>
                <w:lang w:val="en-US"/>
              </w:rPr>
              <w:t>Centre</w:t>
            </w:r>
            <w:r w:rsidRPr="009F27AA">
              <w:rPr>
                <w:szCs w:val="20"/>
                <w:lang w:val="en-US"/>
              </w:rPr>
              <w:t xml:space="preserve"> (consisting of a audio-visual lecture room with ICT and satellite set-up, connected to the library). The concept design further details the feasibility analysis of the proposed site, options considered with schematic designs developed and the consultation process that was undertaken to determine the recommended option. The recommended option was then further developed into a concept design.</w:t>
            </w:r>
          </w:p>
          <w:p w14:paraId="2FB33621" w14:textId="7D63E4AF" w:rsidR="004D3FB2" w:rsidRPr="009F27AA" w:rsidRDefault="004D3FB2" w:rsidP="004D3FB2">
            <w:pPr>
              <w:pStyle w:val="Nospacingbeforeorafter"/>
              <w:spacing w:before="120" w:after="120"/>
              <w:rPr>
                <w:szCs w:val="20"/>
                <w:lang w:val="en-US"/>
              </w:rPr>
            </w:pPr>
            <w:r w:rsidRPr="009F27AA">
              <w:rPr>
                <w:b/>
                <w:szCs w:val="20"/>
                <w:lang w:val="en-US"/>
              </w:rPr>
              <w:t xml:space="preserve">[EVIDENCE 2] – Construction of the Nauru Learning Village Phase 2 – Tender Assessment Report of Construction Tenders Received (A&amp;L, 2016). </w:t>
            </w:r>
            <w:r w:rsidRPr="009F27AA">
              <w:rPr>
                <w:szCs w:val="20"/>
                <w:lang w:val="en-US"/>
              </w:rPr>
              <w:t xml:space="preserve">The assessment report identifies that an additional option for the Learning Village was proposed by one of the qualifying tenderers, Canstruct. The Assessment Report notes that Canstruct offered an alternative tender using their Force 10 modular system (used for the processing </w:t>
            </w:r>
            <w:r w:rsidR="003D39B3">
              <w:rPr>
                <w:szCs w:val="20"/>
                <w:lang w:val="en-US"/>
              </w:rPr>
              <w:t>Centre</w:t>
            </w:r>
            <w:r w:rsidRPr="009F27AA">
              <w:rPr>
                <w:szCs w:val="20"/>
                <w:lang w:val="en-US"/>
              </w:rPr>
              <w:t>), which was 11% cheaper than their conforming tender, but notably higher cost than the other two bids received without taking account of the floor planning developed in consultation with stakeholders, disability access requirements and would likely encounter long term maintenance issues.</w:t>
            </w:r>
          </w:p>
          <w:p w14:paraId="09306BC7" w14:textId="30DD60C4" w:rsidR="004D3FB2" w:rsidRPr="009F27AA" w:rsidRDefault="004D3FB2" w:rsidP="004D3FB2">
            <w:pPr>
              <w:pStyle w:val="Nospacingbeforeorafter"/>
              <w:rPr>
                <w:b/>
                <w:szCs w:val="20"/>
                <w:lang w:val="en-US"/>
              </w:rPr>
            </w:pPr>
            <w:r w:rsidRPr="009F27AA">
              <w:rPr>
                <w:b/>
                <w:szCs w:val="20"/>
                <w:lang w:val="en-US"/>
              </w:rPr>
              <w:t>[EVIDENCE 3]</w:t>
            </w:r>
            <w:r w:rsidRPr="009F27AA">
              <w:rPr>
                <w:szCs w:val="20"/>
                <w:lang w:val="en-US"/>
              </w:rPr>
              <w:t xml:space="preserve"> – The parallel education review and informal discussions with USP indicated that the siting of the USP learning </w:t>
            </w:r>
            <w:r w:rsidR="003D39B3">
              <w:rPr>
                <w:szCs w:val="20"/>
                <w:lang w:val="en-US"/>
              </w:rPr>
              <w:t>Centre</w:t>
            </w:r>
            <w:r w:rsidRPr="009F27AA">
              <w:rPr>
                <w:szCs w:val="20"/>
                <w:lang w:val="en-US"/>
              </w:rPr>
              <w:t xml:space="preserve"> within the “learning village” area, which also contains Nauru Secondary School and the TVET </w:t>
            </w:r>
            <w:r w:rsidR="003D39B3">
              <w:rPr>
                <w:szCs w:val="20"/>
                <w:lang w:val="en-US"/>
              </w:rPr>
              <w:t>Centre</w:t>
            </w:r>
            <w:r w:rsidRPr="009F27AA">
              <w:rPr>
                <w:szCs w:val="20"/>
                <w:lang w:val="en-US"/>
              </w:rPr>
              <w:t>, was the main basis for the site selection and is generally a good concept for delivery of educational outcomes.</w:t>
            </w:r>
          </w:p>
        </w:tc>
        <w:tc>
          <w:tcPr>
            <w:tcW w:w="7979" w:type="dxa"/>
            <w:tcBorders>
              <w:left w:val="single" w:sz="6" w:space="0" w:color="E26E00"/>
            </w:tcBorders>
            <w:shd w:val="clear" w:color="auto" w:fill="auto"/>
          </w:tcPr>
          <w:p w14:paraId="21A37854" w14:textId="77777777" w:rsidR="004D3FB2" w:rsidRPr="009F27AA" w:rsidRDefault="004D3FB2" w:rsidP="004D3FB2">
            <w:pPr>
              <w:pStyle w:val="Nospacingbeforeorafter"/>
              <w:spacing w:before="120" w:after="120"/>
              <w:rPr>
                <w:szCs w:val="20"/>
              </w:rPr>
            </w:pPr>
            <w:r w:rsidRPr="009F27AA">
              <w:rPr>
                <w:szCs w:val="20"/>
              </w:rPr>
              <w:t>The location of the USP campus within the learning village appears to be well considered and an efficient use of resources. The procurement process also provided an additional option for the construction, which was considered to be less suitable and costlier.</w:t>
            </w:r>
          </w:p>
          <w:p w14:paraId="174BE97D" w14:textId="77777777" w:rsidR="004D3FB2" w:rsidRPr="009F27AA" w:rsidRDefault="004D3FB2" w:rsidP="004D3FB2">
            <w:pPr>
              <w:pStyle w:val="Nospacingbeforeorafter"/>
              <w:spacing w:before="120" w:after="120"/>
              <w:rPr>
                <w:szCs w:val="20"/>
                <w:lang w:val="en-US"/>
              </w:rPr>
            </w:pPr>
            <w:r w:rsidRPr="009F27AA">
              <w:rPr>
                <w:szCs w:val="20"/>
              </w:rPr>
              <w:t xml:space="preserve">The indication so far is that there is broad buy in from stakeholders on the recommended option and it is considered likely to be fit for purpose. </w:t>
            </w:r>
          </w:p>
        </w:tc>
      </w:tr>
      <w:tr w:rsidR="004D3FB2" w:rsidRPr="009F27AA" w14:paraId="0928D7CD" w14:textId="77777777" w:rsidTr="00473C45">
        <w:trPr>
          <w:trHeight w:val="419"/>
          <w:tblHeader/>
        </w:trPr>
        <w:tc>
          <w:tcPr>
            <w:tcW w:w="3437" w:type="dxa"/>
            <w:tcBorders>
              <w:right w:val="single" w:sz="6" w:space="0" w:color="E26E00"/>
            </w:tcBorders>
            <w:shd w:val="clear" w:color="auto" w:fill="auto"/>
          </w:tcPr>
          <w:p w14:paraId="4C44E05F" w14:textId="77777777" w:rsidR="004D3FB2" w:rsidRPr="009F27AA" w:rsidRDefault="004D3FB2" w:rsidP="004D3FB2">
            <w:pPr>
              <w:pStyle w:val="Nospacingbeforeorafter"/>
              <w:spacing w:before="120" w:after="120"/>
              <w:rPr>
                <w:b/>
                <w:szCs w:val="20"/>
              </w:rPr>
            </w:pPr>
            <w:r w:rsidRPr="009F27AA">
              <w:rPr>
                <w:szCs w:val="20"/>
                <w:lang w:val="en-US"/>
              </w:rPr>
              <w:t>Hospital (stage 1 and 2)</w:t>
            </w:r>
          </w:p>
        </w:tc>
        <w:tc>
          <w:tcPr>
            <w:tcW w:w="10664" w:type="dxa"/>
            <w:tcBorders>
              <w:left w:val="single" w:sz="6" w:space="0" w:color="E26E00"/>
              <w:right w:val="single" w:sz="6" w:space="0" w:color="E26E00"/>
            </w:tcBorders>
            <w:shd w:val="clear" w:color="auto" w:fill="auto"/>
          </w:tcPr>
          <w:p w14:paraId="096069D7" w14:textId="641E9E70" w:rsidR="004D3FB2" w:rsidRPr="009F27AA" w:rsidRDefault="004D3FB2" w:rsidP="00321802">
            <w:pPr>
              <w:pStyle w:val="Nospacingbeforeorafter"/>
              <w:spacing w:before="120" w:after="120"/>
              <w:rPr>
                <w:szCs w:val="20"/>
                <w:lang w:val="en-US"/>
              </w:rPr>
            </w:pPr>
            <w:r w:rsidRPr="009F27AA">
              <w:rPr>
                <w:szCs w:val="20"/>
                <w:lang w:val="en-US"/>
              </w:rPr>
              <w:t xml:space="preserve"> </w:t>
            </w:r>
            <w:r w:rsidRPr="009F27AA">
              <w:rPr>
                <w:b/>
                <w:szCs w:val="20"/>
                <w:lang w:val="en-US"/>
              </w:rPr>
              <w:t>[INTERVIEW 23]</w:t>
            </w:r>
            <w:r w:rsidRPr="009F27AA">
              <w:rPr>
                <w:szCs w:val="20"/>
                <w:lang w:val="en-US"/>
              </w:rPr>
              <w:t xml:space="preserve"> indicated that the process for determining the hospital design was based on a decision to repurpose a modular hospital structure that had been designed for </w:t>
            </w:r>
            <w:r w:rsidR="00B8065D">
              <w:rPr>
                <w:szCs w:val="20"/>
                <w:lang w:val="en-US"/>
              </w:rPr>
              <w:t>an alternat</w:t>
            </w:r>
            <w:r w:rsidR="00321802">
              <w:rPr>
                <w:szCs w:val="20"/>
                <w:lang w:val="en-US"/>
              </w:rPr>
              <w:t>iv</w:t>
            </w:r>
            <w:r w:rsidR="00B8065D">
              <w:rPr>
                <w:szCs w:val="20"/>
                <w:lang w:val="en-US"/>
              </w:rPr>
              <w:t xml:space="preserve">e </w:t>
            </w:r>
            <w:r w:rsidRPr="009F27AA">
              <w:rPr>
                <w:szCs w:val="20"/>
                <w:lang w:val="en-US"/>
              </w:rPr>
              <w:t xml:space="preserve">hospital site. </w:t>
            </w:r>
          </w:p>
        </w:tc>
        <w:tc>
          <w:tcPr>
            <w:tcW w:w="7979" w:type="dxa"/>
            <w:tcBorders>
              <w:left w:val="single" w:sz="6" w:space="0" w:color="E26E00"/>
            </w:tcBorders>
            <w:shd w:val="clear" w:color="auto" w:fill="auto"/>
          </w:tcPr>
          <w:p w14:paraId="52C921F7" w14:textId="728EA8E7" w:rsidR="004D3FB2" w:rsidRPr="009F27AA" w:rsidRDefault="000771B4" w:rsidP="00341914">
            <w:pPr>
              <w:pStyle w:val="Nospacingbeforeorafter"/>
              <w:spacing w:before="120" w:after="120"/>
              <w:rPr>
                <w:b/>
                <w:szCs w:val="20"/>
              </w:rPr>
            </w:pPr>
            <w:r>
              <w:rPr>
                <w:szCs w:val="20"/>
                <w:lang w:val="en-US"/>
              </w:rPr>
              <w:t>The experience highlights the need for good</w:t>
            </w:r>
            <w:r w:rsidR="004D3FB2" w:rsidRPr="009F27AA">
              <w:rPr>
                <w:szCs w:val="20"/>
                <w:lang w:val="en-US"/>
              </w:rPr>
              <w:t xml:space="preserve"> infrastructure planning, including stakeholder consultations and options analysis</w:t>
            </w:r>
            <w:r>
              <w:rPr>
                <w:szCs w:val="20"/>
                <w:lang w:val="en-US"/>
              </w:rPr>
              <w:t>.</w:t>
            </w:r>
          </w:p>
        </w:tc>
      </w:tr>
      <w:tr w:rsidR="0076498C" w:rsidRPr="009F27AA" w14:paraId="5E46FA87" w14:textId="77777777" w:rsidTr="00473C45">
        <w:trPr>
          <w:trHeight w:val="419"/>
          <w:tblHeader/>
        </w:trPr>
        <w:tc>
          <w:tcPr>
            <w:tcW w:w="3437" w:type="dxa"/>
            <w:tcBorders>
              <w:right w:val="single" w:sz="6" w:space="0" w:color="E26E00"/>
            </w:tcBorders>
            <w:shd w:val="clear" w:color="auto" w:fill="auto"/>
          </w:tcPr>
          <w:p w14:paraId="7EEB897E" w14:textId="77777777" w:rsidR="0076498C" w:rsidRPr="009F27AA" w:rsidRDefault="0076498C" w:rsidP="0076498C">
            <w:pPr>
              <w:pStyle w:val="Nospacingbeforeorafter"/>
              <w:spacing w:before="120" w:after="120"/>
              <w:rPr>
                <w:szCs w:val="20"/>
                <w:lang w:val="en-US"/>
              </w:rPr>
            </w:pPr>
            <w:r w:rsidRPr="009F27AA">
              <w:rPr>
                <w:szCs w:val="20"/>
                <w:lang w:val="en-US"/>
              </w:rPr>
              <w:t>Wellness clinics</w:t>
            </w:r>
          </w:p>
        </w:tc>
        <w:tc>
          <w:tcPr>
            <w:tcW w:w="10664" w:type="dxa"/>
            <w:tcBorders>
              <w:left w:val="single" w:sz="6" w:space="0" w:color="E26E00"/>
              <w:right w:val="single" w:sz="6" w:space="0" w:color="E26E00"/>
            </w:tcBorders>
            <w:shd w:val="clear" w:color="auto" w:fill="auto"/>
          </w:tcPr>
          <w:p w14:paraId="2D06A58E" w14:textId="77777777" w:rsidR="0076498C" w:rsidRPr="009F27AA" w:rsidRDefault="0076498C" w:rsidP="0076498C">
            <w:pPr>
              <w:pStyle w:val="Nospacingbeforeorafter"/>
              <w:spacing w:before="120" w:after="120"/>
              <w:rPr>
                <w:szCs w:val="20"/>
              </w:rPr>
            </w:pPr>
            <w:r w:rsidRPr="009F27AA">
              <w:rPr>
                <w:szCs w:val="20"/>
              </w:rPr>
              <w:t xml:space="preserve">DFAT indicated </w:t>
            </w:r>
            <w:r w:rsidRPr="009F27AA">
              <w:rPr>
                <w:b/>
                <w:szCs w:val="20"/>
              </w:rPr>
              <w:t>[INTERVIEW 1]</w:t>
            </w:r>
            <w:r w:rsidRPr="009F27AA">
              <w:rPr>
                <w:szCs w:val="20"/>
              </w:rPr>
              <w:t xml:space="preserve"> that the Wellness Clinics project was undertaken by GoN through a Direct Funding Agreement (DFA) with the Department of Health, and that they were not aware of any options analysis being undertaken. </w:t>
            </w:r>
          </w:p>
          <w:p w14:paraId="7309F8F2" w14:textId="77777777" w:rsidR="0076498C" w:rsidRPr="009F27AA" w:rsidRDefault="0076498C" w:rsidP="0076498C">
            <w:pPr>
              <w:pStyle w:val="Nospacingbeforeorafter"/>
              <w:spacing w:before="120" w:after="120"/>
              <w:rPr>
                <w:szCs w:val="20"/>
                <w:lang w:val="en-US"/>
              </w:rPr>
            </w:pPr>
            <w:r w:rsidRPr="009F27AA">
              <w:rPr>
                <w:szCs w:val="20"/>
                <w:lang w:val="en-US"/>
              </w:rPr>
              <w:t xml:space="preserve">Interviews </w:t>
            </w:r>
            <w:r w:rsidRPr="009F27AA">
              <w:rPr>
                <w:b/>
                <w:szCs w:val="20"/>
                <w:lang w:val="en-US"/>
              </w:rPr>
              <w:t>[INTERVIEWS 1, 9]</w:t>
            </w:r>
            <w:r w:rsidRPr="009F27AA">
              <w:rPr>
                <w:szCs w:val="20"/>
                <w:lang w:val="en-US"/>
              </w:rPr>
              <w:t xml:space="preserve"> have indicated that there were four community wellness clinics (shipping containers), of which three were funded by DFAT and one by GoN. Of the three funded by DFAT, one is currently in use (located near the police station), one has stopped being used due to lack of facilities for staff and patients (toilets, air-conditioning) and one was damaged in transit to Nauru. The latter is being repaired in New Zealand and will be installed at a later date. The GoN funded clinic is also no longer used, due to the container itself rusting in a short period of time from sea spray and lack of air-conditioning. </w:t>
            </w:r>
          </w:p>
        </w:tc>
        <w:tc>
          <w:tcPr>
            <w:tcW w:w="7979" w:type="dxa"/>
            <w:tcBorders>
              <w:left w:val="single" w:sz="6" w:space="0" w:color="E26E00"/>
            </w:tcBorders>
            <w:shd w:val="clear" w:color="auto" w:fill="auto"/>
          </w:tcPr>
          <w:p w14:paraId="60A05D3D" w14:textId="77777777" w:rsidR="0076498C" w:rsidRPr="009F27AA" w:rsidRDefault="0076498C" w:rsidP="0076498C">
            <w:pPr>
              <w:pStyle w:val="Nospacingbeforeorafter"/>
              <w:rPr>
                <w:szCs w:val="20"/>
              </w:rPr>
            </w:pPr>
            <w:r w:rsidRPr="009F27AA">
              <w:rPr>
                <w:szCs w:val="20"/>
              </w:rPr>
              <w:t>Given the significant rate of clinics that have become disused within a short time frame (two out of three clinics in-situ are no longer utilised), the options analysis for this project does not appear to be adequate to have determined the most efficient use of resources. Of the three funded by DFAT, one is in use, one is no longer used, and one is yet to be completed.</w:t>
            </w:r>
          </w:p>
          <w:p w14:paraId="0325DAC9" w14:textId="77777777" w:rsidR="0076498C" w:rsidRPr="009F27AA" w:rsidRDefault="0076498C" w:rsidP="0076498C">
            <w:pPr>
              <w:pStyle w:val="Nospacingbeforeorafter"/>
              <w:spacing w:before="120" w:after="120"/>
              <w:rPr>
                <w:szCs w:val="20"/>
                <w:lang w:val="en-US"/>
              </w:rPr>
            </w:pPr>
            <w:r w:rsidRPr="009F27AA">
              <w:rPr>
                <w:szCs w:val="20"/>
              </w:rPr>
              <w:t xml:space="preserve">DFAT have now identified options to improve management of the DFA approach, including outsourcing project supervision, design and construction works. This learning also needs to be applied to infrastructure investments delivered through the Departments of Health or Education. </w:t>
            </w:r>
          </w:p>
        </w:tc>
      </w:tr>
      <w:tr w:rsidR="0076498C" w:rsidRPr="009F27AA" w14:paraId="711DCE45" w14:textId="77777777" w:rsidTr="00473C45">
        <w:trPr>
          <w:trHeight w:val="419"/>
          <w:tblHeader/>
        </w:trPr>
        <w:tc>
          <w:tcPr>
            <w:tcW w:w="3437" w:type="dxa"/>
            <w:tcBorders>
              <w:bottom w:val="single" w:sz="6" w:space="0" w:color="E26E00"/>
              <w:right w:val="single" w:sz="6" w:space="0" w:color="E26E00"/>
            </w:tcBorders>
            <w:shd w:val="clear" w:color="auto" w:fill="auto"/>
          </w:tcPr>
          <w:p w14:paraId="6405FF02" w14:textId="77777777" w:rsidR="0076498C" w:rsidRPr="009F27AA" w:rsidRDefault="0076498C" w:rsidP="0076498C">
            <w:pPr>
              <w:pStyle w:val="Nospacingbeforeorafter"/>
              <w:spacing w:before="120" w:after="120"/>
              <w:rPr>
                <w:b/>
                <w:szCs w:val="20"/>
              </w:rPr>
            </w:pPr>
            <w:r w:rsidRPr="009F27AA">
              <w:rPr>
                <w:szCs w:val="20"/>
                <w:lang w:val="en-US"/>
              </w:rPr>
              <w:t>Nauru Electricity Supply and Sustainability Project</w:t>
            </w:r>
          </w:p>
        </w:tc>
        <w:tc>
          <w:tcPr>
            <w:tcW w:w="10664" w:type="dxa"/>
            <w:tcBorders>
              <w:left w:val="single" w:sz="6" w:space="0" w:color="E26E00"/>
              <w:bottom w:val="single" w:sz="6" w:space="0" w:color="E26E00"/>
              <w:right w:val="single" w:sz="6" w:space="0" w:color="E26E00"/>
            </w:tcBorders>
            <w:shd w:val="clear" w:color="auto" w:fill="auto"/>
          </w:tcPr>
          <w:p w14:paraId="5514EB22" w14:textId="77777777" w:rsidR="0076498C" w:rsidRPr="009F27AA" w:rsidRDefault="0076498C" w:rsidP="0076498C">
            <w:pPr>
              <w:pStyle w:val="Nospacingbeforeorafter"/>
              <w:spacing w:before="120" w:after="120"/>
              <w:rPr>
                <w:szCs w:val="20"/>
                <w:lang w:val="en-US"/>
              </w:rPr>
            </w:pPr>
            <w:r w:rsidRPr="009F27AA">
              <w:rPr>
                <w:szCs w:val="20"/>
                <w:lang w:val="en-US"/>
              </w:rPr>
              <w:t xml:space="preserve">The NUC </w:t>
            </w:r>
            <w:r w:rsidRPr="009F27AA">
              <w:rPr>
                <w:b/>
                <w:szCs w:val="20"/>
                <w:lang w:val="en-US"/>
              </w:rPr>
              <w:t xml:space="preserve">[INTERVIEW 11] </w:t>
            </w:r>
            <w:r w:rsidRPr="009F27AA">
              <w:rPr>
                <w:szCs w:val="20"/>
                <w:lang w:val="en-US"/>
              </w:rPr>
              <w:t xml:space="preserve">indicated that the medium speed diesel generators purchased were considered the optimal solution as they are the most fuel efficient to run and have a longer operating life than high speed generators. In addition, the new generators were considered necessary to be able to take existing older generators offline for maintenance and are expected to bridge the gap in power generators until solar energy can be introduced into the energy mix. </w:t>
            </w:r>
          </w:p>
          <w:p w14:paraId="1E8D5769" w14:textId="77777777" w:rsidR="0076498C" w:rsidRPr="009F27AA" w:rsidRDefault="0076498C" w:rsidP="0076498C">
            <w:pPr>
              <w:pStyle w:val="Nospacingbeforeorafter"/>
              <w:spacing w:before="120" w:after="120"/>
              <w:rPr>
                <w:szCs w:val="20"/>
                <w:lang w:val="en-US"/>
              </w:rPr>
            </w:pPr>
            <w:r w:rsidRPr="009F27AA">
              <w:rPr>
                <w:szCs w:val="20"/>
                <w:lang w:val="en-US"/>
              </w:rPr>
              <w:t xml:space="preserve">ADB </w:t>
            </w:r>
            <w:r w:rsidRPr="009F27AA">
              <w:rPr>
                <w:b/>
                <w:szCs w:val="20"/>
                <w:lang w:val="en-US"/>
              </w:rPr>
              <w:t>[INTERVIEW 2]</w:t>
            </w:r>
            <w:r w:rsidRPr="009F27AA">
              <w:rPr>
                <w:szCs w:val="20"/>
                <w:lang w:val="en-US"/>
              </w:rPr>
              <w:t xml:space="preserve"> indicated that the diesel generators were necessary to maintain base load power in Nauru cost effectively at this stage, whilst solar can be introduced to provide additional capacity.</w:t>
            </w:r>
          </w:p>
        </w:tc>
        <w:tc>
          <w:tcPr>
            <w:tcW w:w="7979" w:type="dxa"/>
            <w:tcBorders>
              <w:left w:val="single" w:sz="6" w:space="0" w:color="E26E00"/>
              <w:bottom w:val="single" w:sz="6" w:space="0" w:color="E26E00"/>
            </w:tcBorders>
            <w:shd w:val="clear" w:color="auto" w:fill="auto"/>
          </w:tcPr>
          <w:p w14:paraId="2F5F2BBD" w14:textId="77777777" w:rsidR="0076498C" w:rsidRPr="009F27AA" w:rsidRDefault="0076498C" w:rsidP="0076498C">
            <w:pPr>
              <w:pStyle w:val="Nospacingbeforeorafter"/>
              <w:spacing w:before="120" w:after="120"/>
              <w:rPr>
                <w:szCs w:val="20"/>
              </w:rPr>
            </w:pPr>
            <w:r w:rsidRPr="009F27AA">
              <w:rPr>
                <w:szCs w:val="20"/>
              </w:rPr>
              <w:t xml:space="preserve">Consideration of options to supply cost effective baseload power and plan for asset maintenance appears to be appropriate. </w:t>
            </w:r>
          </w:p>
        </w:tc>
      </w:tr>
      <w:tr w:rsidR="0076498C" w:rsidRPr="009F27AA" w14:paraId="6A242267" w14:textId="77777777" w:rsidTr="00473C45">
        <w:trPr>
          <w:trHeight w:val="419"/>
          <w:tblHeader/>
        </w:trPr>
        <w:tc>
          <w:tcPr>
            <w:tcW w:w="22080" w:type="dxa"/>
            <w:gridSpan w:val="3"/>
            <w:shd w:val="clear" w:color="auto" w:fill="FDE9D9" w:themeFill="accent6" w:themeFillTint="33"/>
          </w:tcPr>
          <w:p w14:paraId="1F7F1A64" w14:textId="77777777" w:rsidR="0076498C" w:rsidRPr="009F27AA" w:rsidRDefault="0076498C" w:rsidP="0076498C">
            <w:pPr>
              <w:pStyle w:val="Nospacingbeforeorafter"/>
              <w:spacing w:before="120" w:after="120"/>
              <w:rPr>
                <w:b/>
                <w:szCs w:val="20"/>
              </w:rPr>
            </w:pPr>
            <w:r>
              <w:rPr>
                <w:b/>
                <w:szCs w:val="20"/>
              </w:rPr>
              <w:t>ONGOING / UNDER CONSTRUCTION PROJECTS</w:t>
            </w:r>
          </w:p>
        </w:tc>
      </w:tr>
      <w:tr w:rsidR="0076498C" w:rsidRPr="009F27AA" w14:paraId="773484D4" w14:textId="77777777" w:rsidTr="00473C45">
        <w:trPr>
          <w:trHeight w:val="419"/>
          <w:tblHeader/>
        </w:trPr>
        <w:tc>
          <w:tcPr>
            <w:tcW w:w="3437" w:type="dxa"/>
            <w:tcBorders>
              <w:right w:val="single" w:sz="6" w:space="0" w:color="E26E00"/>
            </w:tcBorders>
            <w:shd w:val="clear" w:color="auto" w:fill="auto"/>
          </w:tcPr>
          <w:p w14:paraId="0748AC7A" w14:textId="77777777" w:rsidR="0076498C" w:rsidRPr="009F27AA" w:rsidRDefault="0076498C" w:rsidP="0076498C">
            <w:pPr>
              <w:pStyle w:val="Nospacingbeforeorafter"/>
              <w:spacing w:before="120" w:after="120"/>
              <w:rPr>
                <w:szCs w:val="20"/>
                <w:lang w:val="en-US"/>
              </w:rPr>
            </w:pPr>
            <w:r w:rsidRPr="009F27AA">
              <w:rPr>
                <w:szCs w:val="20"/>
                <w:lang w:val="en-US"/>
              </w:rPr>
              <w:t>Household water tanks</w:t>
            </w:r>
          </w:p>
        </w:tc>
        <w:tc>
          <w:tcPr>
            <w:tcW w:w="10664" w:type="dxa"/>
            <w:tcBorders>
              <w:left w:val="single" w:sz="6" w:space="0" w:color="E26E00"/>
              <w:right w:val="single" w:sz="6" w:space="0" w:color="E26E00"/>
            </w:tcBorders>
            <w:shd w:val="clear" w:color="auto" w:fill="auto"/>
          </w:tcPr>
          <w:p w14:paraId="0A0D7CBF" w14:textId="77777777" w:rsidR="0076498C" w:rsidRPr="009F27AA" w:rsidRDefault="0076498C" w:rsidP="0076498C">
            <w:pPr>
              <w:pStyle w:val="Nospacingbeforeorafter"/>
              <w:spacing w:before="120" w:after="120"/>
              <w:rPr>
                <w:szCs w:val="20"/>
                <w:lang w:val="en-US"/>
              </w:rPr>
            </w:pPr>
            <w:r w:rsidRPr="009F27AA">
              <w:rPr>
                <w:szCs w:val="20"/>
                <w:lang w:val="en-US"/>
              </w:rPr>
              <w:t xml:space="preserve">CIE indicated </w:t>
            </w:r>
            <w:r w:rsidRPr="009F27AA">
              <w:rPr>
                <w:b/>
                <w:szCs w:val="20"/>
                <w:lang w:val="en-US"/>
              </w:rPr>
              <w:t>[INTERVIEW 7]</w:t>
            </w:r>
            <w:r w:rsidRPr="009F27AA">
              <w:rPr>
                <w:szCs w:val="20"/>
                <w:lang w:val="en-US"/>
              </w:rPr>
              <w:t xml:space="preserve"> that the rationale for this project was the provision of water tanks to households due to Nauru’s extended droughts which are expected to worsen under climate change scenarios. Nauru has a reverse osmosis water treatment system in place, and water is delivered to household water tanks using water tankers. A number of houses at the time of the project conception didn’t have a water tank or their water tanks were broken, resulting in them not having access to fresh water. CIE proposed the project to deliver 200 household water tanks to vulnerable households to an Australian-funded Climate Adaptation Initiative. CIE indicated that the project concept was based on addressing the immediate needs of the vulnerable households to have access to fresh water. They indicated that they were not aware of plans for maintaining the tanks over time.</w:t>
            </w:r>
          </w:p>
        </w:tc>
        <w:tc>
          <w:tcPr>
            <w:tcW w:w="7979" w:type="dxa"/>
            <w:tcBorders>
              <w:left w:val="single" w:sz="6" w:space="0" w:color="E26E00"/>
            </w:tcBorders>
            <w:shd w:val="clear" w:color="auto" w:fill="auto"/>
          </w:tcPr>
          <w:p w14:paraId="4277563F" w14:textId="77777777" w:rsidR="0076498C" w:rsidRPr="009F27AA" w:rsidRDefault="0076498C" w:rsidP="0076498C">
            <w:pPr>
              <w:pStyle w:val="Nospacingbeforeorafter"/>
              <w:spacing w:before="120" w:after="120"/>
              <w:rPr>
                <w:szCs w:val="20"/>
              </w:rPr>
            </w:pPr>
            <w:r w:rsidRPr="009F27AA">
              <w:rPr>
                <w:szCs w:val="20"/>
              </w:rPr>
              <w:t xml:space="preserve">The project concept was developed by CIE in response to immediate needs and proposed for funding. It is unclear if options analysis was considered, however the water tanks approach is in keeping with the subsequently developed </w:t>
            </w:r>
            <w:r w:rsidRPr="009F27AA">
              <w:rPr>
                <w:szCs w:val="20"/>
                <w:lang w:val="en-US"/>
              </w:rPr>
              <w:t xml:space="preserve">Nauru Water and Sanitation Masterplan (GoN, 2017). Alternative solutions such as reticulated water supply were likely outside the budget window and would have been a slower process to deliver country wide, rather than targeting the vulnerable households as this project intended. However, sustainability appears not to have been considered given in some cases water tanks </w:t>
            </w:r>
            <w:r>
              <w:rPr>
                <w:szCs w:val="20"/>
                <w:lang w:val="en-US"/>
              </w:rPr>
              <w:t xml:space="preserve">will </w:t>
            </w:r>
            <w:r w:rsidRPr="009F27AA">
              <w:rPr>
                <w:szCs w:val="20"/>
                <w:lang w:val="en-US"/>
              </w:rPr>
              <w:t xml:space="preserve">replace existing broken tanks, indicating that ability to maintain the tanks may have been lacking. </w:t>
            </w:r>
          </w:p>
        </w:tc>
      </w:tr>
      <w:tr w:rsidR="0076498C" w:rsidRPr="009F27AA" w14:paraId="44F01AA4" w14:textId="77777777" w:rsidTr="00473C45">
        <w:trPr>
          <w:trHeight w:val="419"/>
          <w:tblHeader/>
        </w:trPr>
        <w:tc>
          <w:tcPr>
            <w:tcW w:w="3437" w:type="dxa"/>
            <w:tcBorders>
              <w:right w:val="single" w:sz="6" w:space="0" w:color="E26E00"/>
            </w:tcBorders>
            <w:shd w:val="clear" w:color="auto" w:fill="auto"/>
          </w:tcPr>
          <w:p w14:paraId="34D89FF8" w14:textId="77777777" w:rsidR="0076498C" w:rsidRPr="009F27AA" w:rsidRDefault="0076498C" w:rsidP="0076498C">
            <w:pPr>
              <w:pStyle w:val="Nospacingbeforeorafter"/>
              <w:spacing w:before="120" w:after="120"/>
              <w:rPr>
                <w:szCs w:val="20"/>
                <w:lang w:val="en-US"/>
              </w:rPr>
            </w:pPr>
            <w:r w:rsidRPr="009F27AA">
              <w:rPr>
                <w:szCs w:val="20"/>
                <w:lang w:val="en-US"/>
              </w:rPr>
              <w:lastRenderedPageBreak/>
              <w:t>Sports complex</w:t>
            </w:r>
          </w:p>
        </w:tc>
        <w:tc>
          <w:tcPr>
            <w:tcW w:w="10664" w:type="dxa"/>
            <w:tcBorders>
              <w:left w:val="single" w:sz="6" w:space="0" w:color="E26E00"/>
              <w:right w:val="single" w:sz="6" w:space="0" w:color="E26E00"/>
            </w:tcBorders>
            <w:shd w:val="clear" w:color="auto" w:fill="auto"/>
          </w:tcPr>
          <w:p w14:paraId="757DB6BF" w14:textId="77777777" w:rsidR="0076498C" w:rsidRPr="009F27AA" w:rsidRDefault="0076498C" w:rsidP="0076498C">
            <w:pPr>
              <w:pStyle w:val="Nospacingbeforeorafter"/>
              <w:spacing w:before="120" w:after="120"/>
              <w:rPr>
                <w:szCs w:val="20"/>
                <w:lang w:val="en-US"/>
              </w:rPr>
            </w:pPr>
            <w:r w:rsidRPr="009F27AA">
              <w:rPr>
                <w:b/>
                <w:szCs w:val="20"/>
                <w:lang w:val="en-US"/>
              </w:rPr>
              <w:t>[EVIDENCE 1] – Nauru Sports Complex Concept Design Report (A&amp;L, 2017).</w:t>
            </w:r>
            <w:r w:rsidRPr="009F27AA">
              <w:rPr>
                <w:szCs w:val="20"/>
                <w:lang w:val="en-US"/>
              </w:rPr>
              <w:t xml:space="preserve"> The report outlines options for the sports complex, including reuse of the existing steel structure and retaining the design in the original north-south orientation (option 1) or east-west orientation (option 2), or alternative east-west oriented designs using new steel frames (options 3a, b, c and d).  Option 3d is recommended as the most cost effective, and also meets the required timeframe for the construction. </w:t>
            </w:r>
          </w:p>
          <w:p w14:paraId="72D8AC6D" w14:textId="77777777" w:rsidR="0076498C" w:rsidRPr="009F27AA" w:rsidRDefault="0076498C" w:rsidP="0076498C">
            <w:pPr>
              <w:pStyle w:val="Nospacingbeforeorafter"/>
              <w:rPr>
                <w:szCs w:val="20"/>
                <w:lang w:val="en-US"/>
              </w:rPr>
            </w:pPr>
            <w:r w:rsidRPr="009F27AA">
              <w:rPr>
                <w:szCs w:val="20"/>
                <w:lang w:val="en-US"/>
              </w:rPr>
              <w:t xml:space="preserve">One interview </w:t>
            </w:r>
            <w:r w:rsidRPr="009F27AA">
              <w:rPr>
                <w:b/>
                <w:szCs w:val="20"/>
                <w:lang w:val="en-US"/>
              </w:rPr>
              <w:t>[INTERVIEW 8]</w:t>
            </w:r>
            <w:r w:rsidRPr="009F27AA">
              <w:rPr>
                <w:szCs w:val="20"/>
                <w:lang w:val="en-US"/>
              </w:rPr>
              <w:t xml:space="preserve"> raised concerns with the consultation process undertaken regarding the sports complex. They indicated that the concept designs were developed by A&amp;L without engaging a working group or getting feedback from GoN agencies. DFAT indicated that consultation with sport federations were organized through the High Commission and </w:t>
            </w:r>
            <w:r>
              <w:rPr>
                <w:szCs w:val="20"/>
                <w:lang w:val="en-US"/>
              </w:rPr>
              <w:t>GoN were involved and approved the concept design</w:t>
            </w:r>
            <w:r w:rsidRPr="009F27AA">
              <w:rPr>
                <w:szCs w:val="20"/>
                <w:lang w:val="en-US"/>
              </w:rPr>
              <w:t xml:space="preserve">. </w:t>
            </w:r>
            <w:r>
              <w:rPr>
                <w:szCs w:val="20"/>
                <w:lang w:val="en-US"/>
              </w:rPr>
              <w:t>A</w:t>
            </w:r>
            <w:r w:rsidRPr="009F27AA">
              <w:rPr>
                <w:szCs w:val="20"/>
                <w:lang w:val="en-US"/>
              </w:rPr>
              <w:t xml:space="preserve">ll seemed to agree that the final outcome was acceptable. </w:t>
            </w:r>
          </w:p>
          <w:p w14:paraId="7D5BD94A" w14:textId="77777777" w:rsidR="0076498C" w:rsidRPr="009F27AA" w:rsidRDefault="0076498C" w:rsidP="0076498C">
            <w:pPr>
              <w:pStyle w:val="Nospacingbeforeorafter"/>
              <w:spacing w:before="120" w:after="120"/>
              <w:rPr>
                <w:szCs w:val="20"/>
                <w:lang w:val="en-US"/>
              </w:rPr>
            </w:pPr>
            <w:r w:rsidRPr="009F27AA">
              <w:rPr>
                <w:b/>
                <w:szCs w:val="20"/>
                <w:lang w:val="en-US"/>
              </w:rPr>
              <w:t>[INTERVIEW 18]</w:t>
            </w:r>
            <w:r w:rsidRPr="009F27AA">
              <w:rPr>
                <w:szCs w:val="20"/>
                <w:lang w:val="en-US"/>
              </w:rPr>
              <w:t xml:space="preserve"> with the Department of Sports and PAD indicated that they felt the engagement on the design options was suitable and the recommended option would suit their needs. They expressed disappointment that only stage 1 of the design was funded, as they are concerned stage 2 funding is unlikely to eventuate in the future as sports are often the lowest priority for limited funds. </w:t>
            </w:r>
          </w:p>
        </w:tc>
        <w:tc>
          <w:tcPr>
            <w:tcW w:w="7979" w:type="dxa"/>
            <w:tcBorders>
              <w:left w:val="single" w:sz="6" w:space="0" w:color="E26E00"/>
            </w:tcBorders>
            <w:shd w:val="clear" w:color="auto" w:fill="auto"/>
          </w:tcPr>
          <w:p w14:paraId="47ABEA49" w14:textId="77777777" w:rsidR="0076498C" w:rsidRPr="009F27AA" w:rsidRDefault="0076498C" w:rsidP="0076498C">
            <w:pPr>
              <w:pStyle w:val="Nospacingbeforeorafter"/>
              <w:rPr>
                <w:szCs w:val="20"/>
                <w:highlight w:val="yellow"/>
                <w:lang w:val="en-US"/>
              </w:rPr>
            </w:pPr>
            <w:r w:rsidRPr="009F27AA">
              <w:rPr>
                <w:szCs w:val="20"/>
                <w:lang w:val="en-US"/>
              </w:rPr>
              <w:t xml:space="preserve">The options analysis was suitable to determine the most cost-effective design to deliver the user needs. </w:t>
            </w:r>
          </w:p>
          <w:p w14:paraId="2947DCD8" w14:textId="77777777" w:rsidR="0076498C" w:rsidRPr="009F27AA" w:rsidRDefault="0076498C" w:rsidP="0076498C">
            <w:pPr>
              <w:pStyle w:val="Nospacingbeforeorafter"/>
              <w:spacing w:before="120" w:after="120"/>
              <w:rPr>
                <w:b/>
                <w:szCs w:val="20"/>
              </w:rPr>
            </w:pPr>
          </w:p>
        </w:tc>
      </w:tr>
      <w:tr w:rsidR="0076498C" w:rsidRPr="009F27AA" w14:paraId="51A50601" w14:textId="77777777" w:rsidTr="00473C45">
        <w:trPr>
          <w:trHeight w:val="419"/>
          <w:tblHeader/>
        </w:trPr>
        <w:tc>
          <w:tcPr>
            <w:tcW w:w="22080" w:type="dxa"/>
            <w:gridSpan w:val="3"/>
            <w:shd w:val="clear" w:color="auto" w:fill="FDE9D9" w:themeFill="accent6" w:themeFillTint="33"/>
          </w:tcPr>
          <w:p w14:paraId="4A3AED0E" w14:textId="77777777" w:rsidR="0076498C" w:rsidRPr="009F27AA" w:rsidRDefault="0076498C" w:rsidP="0076498C">
            <w:pPr>
              <w:pStyle w:val="Nospacingbeforeorafter"/>
              <w:spacing w:before="120" w:after="120"/>
              <w:rPr>
                <w:b/>
                <w:szCs w:val="20"/>
                <w:lang w:val="en-US"/>
              </w:rPr>
            </w:pPr>
            <w:r w:rsidRPr="009F27AA">
              <w:rPr>
                <w:b/>
                <w:szCs w:val="20"/>
                <w:lang w:val="en-US"/>
              </w:rPr>
              <w:t>PLANNED PROJECTS</w:t>
            </w:r>
          </w:p>
        </w:tc>
      </w:tr>
      <w:tr w:rsidR="0076498C" w:rsidRPr="009F27AA" w14:paraId="505CF009" w14:textId="77777777" w:rsidTr="00473C45">
        <w:trPr>
          <w:trHeight w:val="419"/>
          <w:tblHeader/>
        </w:trPr>
        <w:tc>
          <w:tcPr>
            <w:tcW w:w="3437" w:type="dxa"/>
            <w:tcBorders>
              <w:right w:val="single" w:sz="6" w:space="0" w:color="E26E00"/>
            </w:tcBorders>
            <w:shd w:val="clear" w:color="auto" w:fill="auto"/>
          </w:tcPr>
          <w:p w14:paraId="42E43EFD" w14:textId="77777777" w:rsidR="0076498C" w:rsidRPr="009F27AA" w:rsidRDefault="0076498C" w:rsidP="0076498C">
            <w:pPr>
              <w:pStyle w:val="Nospacingbeforeorafter"/>
              <w:spacing w:before="120" w:after="120"/>
              <w:rPr>
                <w:szCs w:val="20"/>
                <w:lang w:val="en-US"/>
              </w:rPr>
            </w:pPr>
            <w:r w:rsidRPr="009F27AA">
              <w:rPr>
                <w:szCs w:val="20"/>
                <w:lang w:val="en-US"/>
              </w:rPr>
              <w:t>Port Redevelopment</w:t>
            </w:r>
          </w:p>
        </w:tc>
        <w:tc>
          <w:tcPr>
            <w:tcW w:w="10664" w:type="dxa"/>
            <w:tcBorders>
              <w:left w:val="single" w:sz="6" w:space="0" w:color="E26E00"/>
              <w:right w:val="single" w:sz="6" w:space="0" w:color="E26E00"/>
            </w:tcBorders>
            <w:shd w:val="clear" w:color="auto" w:fill="auto"/>
          </w:tcPr>
          <w:p w14:paraId="49513598" w14:textId="77777777" w:rsidR="0076498C" w:rsidRPr="009F27AA" w:rsidRDefault="0076498C" w:rsidP="0076498C">
            <w:pPr>
              <w:pStyle w:val="Nospacingbeforeorafter"/>
              <w:spacing w:before="120" w:after="120"/>
              <w:rPr>
                <w:szCs w:val="20"/>
                <w:lang w:val="en-US"/>
              </w:rPr>
            </w:pPr>
            <w:r w:rsidRPr="009F27AA">
              <w:rPr>
                <w:b/>
                <w:szCs w:val="20"/>
                <w:lang w:val="en-US"/>
              </w:rPr>
              <w:t>[EVIDENCE 1]</w:t>
            </w:r>
            <w:r w:rsidRPr="009F27AA">
              <w:rPr>
                <w:szCs w:val="20"/>
                <w:lang w:val="en-US"/>
              </w:rPr>
              <w:t xml:space="preserve"> - </w:t>
            </w:r>
            <w:r w:rsidRPr="009F27AA">
              <w:rPr>
                <w:b/>
                <w:szCs w:val="20"/>
                <w:lang w:val="en-US"/>
              </w:rPr>
              <w:t>Previous studies</w:t>
            </w:r>
            <w:r w:rsidRPr="009F27AA">
              <w:rPr>
                <w:szCs w:val="20"/>
                <w:lang w:val="en-US"/>
              </w:rPr>
              <w:t xml:space="preserve"> have been undertaken to explore options for improving the Port facilities, including by the Asian Development Bank (ADB, 2009), the Japanese International Corporation Agency (JICA, 2014), and the Pacific Regional Infrastructure Facility (PRIF, 2015). ADB performed two additional studies for the project in 2015-2017. Together, these studies explored 21 designs and were considered by ADB to have exhausted virtually every technically feasible option. The selected design has been assessed as being technically feasible, compliant with International Ship and Port Facility Security requirements and ensures climate resilience. It was also the least cost option. </w:t>
            </w:r>
          </w:p>
        </w:tc>
        <w:tc>
          <w:tcPr>
            <w:tcW w:w="7979" w:type="dxa"/>
            <w:tcBorders>
              <w:left w:val="single" w:sz="6" w:space="0" w:color="E26E00"/>
            </w:tcBorders>
            <w:shd w:val="clear" w:color="auto" w:fill="auto"/>
          </w:tcPr>
          <w:p w14:paraId="4B81DF36" w14:textId="77777777" w:rsidR="0076498C" w:rsidRPr="009F27AA" w:rsidRDefault="0076498C" w:rsidP="0076498C">
            <w:pPr>
              <w:pStyle w:val="Nospacingbeforeorafter"/>
              <w:spacing w:before="120" w:after="120"/>
              <w:rPr>
                <w:i/>
                <w:szCs w:val="20"/>
                <w:lang w:val="en-US"/>
              </w:rPr>
            </w:pPr>
            <w:r w:rsidRPr="009F27AA">
              <w:rPr>
                <w:szCs w:val="20"/>
                <w:lang w:val="en-US"/>
              </w:rPr>
              <w:t>21 options were extensively analyzed against a range of criteria, including technical feasibility, current and future climate conditions, economic and financial viability, environmental and social safeguards considerations, and cost benefit analysis of the proposed solution. The proposed option has been independently peer reviewed.</w:t>
            </w:r>
          </w:p>
        </w:tc>
      </w:tr>
      <w:tr w:rsidR="0076498C" w:rsidRPr="009F27AA" w14:paraId="515B7630" w14:textId="77777777" w:rsidTr="00473C45">
        <w:trPr>
          <w:trHeight w:val="419"/>
          <w:tblHeader/>
        </w:trPr>
        <w:tc>
          <w:tcPr>
            <w:tcW w:w="22080" w:type="dxa"/>
            <w:gridSpan w:val="3"/>
            <w:shd w:val="clear" w:color="auto" w:fill="FDE9D9" w:themeFill="accent6" w:themeFillTint="33"/>
          </w:tcPr>
          <w:p w14:paraId="187165CF" w14:textId="77777777" w:rsidR="0076498C" w:rsidRPr="009F27AA" w:rsidRDefault="0076498C" w:rsidP="0076498C">
            <w:pPr>
              <w:pStyle w:val="Nospacingbeforeorafter"/>
              <w:spacing w:before="120" w:after="120"/>
              <w:rPr>
                <w:b/>
                <w:szCs w:val="20"/>
                <w:lang w:val="en-US"/>
              </w:rPr>
            </w:pPr>
            <w:r w:rsidRPr="009F27AA">
              <w:rPr>
                <w:b/>
                <w:szCs w:val="20"/>
                <w:lang w:val="en-US"/>
              </w:rPr>
              <w:t>OPERATIONS AND MAINTENANCE</w:t>
            </w:r>
          </w:p>
        </w:tc>
      </w:tr>
      <w:tr w:rsidR="0076498C" w:rsidRPr="009F27AA" w14:paraId="4BE37B8A" w14:textId="77777777" w:rsidTr="00473C45">
        <w:trPr>
          <w:trHeight w:val="419"/>
          <w:tblHeader/>
        </w:trPr>
        <w:tc>
          <w:tcPr>
            <w:tcW w:w="3437" w:type="dxa"/>
            <w:tcBorders>
              <w:right w:val="single" w:sz="6" w:space="0" w:color="E26E00"/>
            </w:tcBorders>
            <w:shd w:val="clear" w:color="auto" w:fill="auto"/>
          </w:tcPr>
          <w:p w14:paraId="3CD1EDEC" w14:textId="77777777" w:rsidR="0076498C" w:rsidRPr="009F27AA" w:rsidRDefault="0076498C" w:rsidP="0076498C">
            <w:pPr>
              <w:pStyle w:val="Nospacingbeforeorafter"/>
              <w:spacing w:before="120" w:after="120"/>
              <w:rPr>
                <w:szCs w:val="20"/>
                <w:lang w:val="en-US"/>
              </w:rPr>
            </w:pPr>
            <w:r w:rsidRPr="009F27AA">
              <w:rPr>
                <w:szCs w:val="20"/>
                <w:lang w:val="en-US"/>
              </w:rPr>
              <w:t>NUC support (CEO – PACTAM)</w:t>
            </w:r>
          </w:p>
        </w:tc>
        <w:tc>
          <w:tcPr>
            <w:tcW w:w="10664" w:type="dxa"/>
            <w:tcBorders>
              <w:left w:val="single" w:sz="6" w:space="0" w:color="E26E00"/>
              <w:right w:val="single" w:sz="6" w:space="0" w:color="E26E00"/>
            </w:tcBorders>
            <w:shd w:val="clear" w:color="auto" w:fill="auto"/>
          </w:tcPr>
          <w:p w14:paraId="5CA15272" w14:textId="77777777" w:rsidR="0076498C" w:rsidRPr="009F27AA" w:rsidRDefault="0076498C" w:rsidP="0076498C">
            <w:pPr>
              <w:pStyle w:val="Tablebullet"/>
              <w:numPr>
                <w:ilvl w:val="0"/>
                <w:numId w:val="0"/>
              </w:numPr>
              <w:spacing w:before="60" w:after="60"/>
              <w:rPr>
                <w:i/>
                <w:szCs w:val="20"/>
              </w:rPr>
            </w:pPr>
            <w:r w:rsidRPr="009F27AA">
              <w:rPr>
                <w:i/>
                <w:szCs w:val="20"/>
              </w:rPr>
              <w:t xml:space="preserve">Not applicable – the Technical Assistance role has been in place for 5 years and the original options for consideration is prior to the report period. </w:t>
            </w:r>
          </w:p>
          <w:p w14:paraId="33E4C5D8" w14:textId="77777777" w:rsidR="0076498C" w:rsidRPr="009F27AA" w:rsidRDefault="0076498C" w:rsidP="0076498C">
            <w:pPr>
              <w:pStyle w:val="Tablebullet"/>
              <w:numPr>
                <w:ilvl w:val="0"/>
                <w:numId w:val="0"/>
              </w:numPr>
              <w:spacing w:before="60" w:after="60"/>
              <w:rPr>
                <w:szCs w:val="20"/>
              </w:rPr>
            </w:pPr>
            <w:r w:rsidRPr="009F27AA">
              <w:rPr>
                <w:szCs w:val="20"/>
              </w:rPr>
              <w:t xml:space="preserve">DFAT indicated </w:t>
            </w:r>
            <w:r w:rsidRPr="009F27AA">
              <w:rPr>
                <w:b/>
                <w:szCs w:val="20"/>
              </w:rPr>
              <w:t>[INTERVIEW 1]</w:t>
            </w:r>
            <w:r w:rsidRPr="009F27AA">
              <w:rPr>
                <w:szCs w:val="20"/>
              </w:rPr>
              <w:t xml:space="preserve"> that the NUC CEO has been highly efficient in terms of catalysing other investments, including the investments in diesel generators, housing, distribution lines and solar panels through donors including the ADB, DFAT, EU and NZ MFAT.  </w:t>
            </w:r>
          </w:p>
        </w:tc>
        <w:tc>
          <w:tcPr>
            <w:tcW w:w="7979" w:type="dxa"/>
            <w:tcBorders>
              <w:left w:val="single" w:sz="6" w:space="0" w:color="E26E00"/>
            </w:tcBorders>
            <w:shd w:val="clear" w:color="auto" w:fill="auto"/>
          </w:tcPr>
          <w:p w14:paraId="6A86AE8E" w14:textId="77777777" w:rsidR="0076498C" w:rsidRPr="009F27AA" w:rsidRDefault="0076498C" w:rsidP="0076498C">
            <w:pPr>
              <w:pStyle w:val="Nospacingbeforeorafter"/>
              <w:spacing w:before="120" w:after="120"/>
              <w:rPr>
                <w:szCs w:val="20"/>
                <w:lang w:val="en-US"/>
              </w:rPr>
            </w:pPr>
            <w:r w:rsidRPr="009F27AA">
              <w:rPr>
                <w:szCs w:val="20"/>
                <w:lang w:val="en-US"/>
              </w:rPr>
              <w:t>The TA support has been an efficient use of funds in that the strong gains in this area and engaged, long term advisor has proactively been able to attract support to the sector from a range of donors, all of which has contributed to gains in stability of electricity in Nauru.</w:t>
            </w:r>
          </w:p>
        </w:tc>
      </w:tr>
    </w:tbl>
    <w:p w14:paraId="710743EF" w14:textId="77777777" w:rsidR="00650A55" w:rsidRDefault="00650A55" w:rsidP="00A716D9">
      <w:pPr>
        <w:rPr>
          <w:lang w:eastAsia="en-AU"/>
        </w:rPr>
      </w:pPr>
    </w:p>
    <w:p w14:paraId="3EC609C2" w14:textId="77777777" w:rsidR="00650A55" w:rsidRDefault="00650A55">
      <w:pPr>
        <w:spacing w:before="0" w:after="0"/>
        <w:rPr>
          <w:lang w:eastAsia="en-AU"/>
        </w:rPr>
      </w:pPr>
      <w:r>
        <w:rPr>
          <w:lang w:eastAsia="en-AU"/>
        </w:rPr>
        <w:br w:type="page"/>
      </w:r>
    </w:p>
    <w:p w14:paraId="4E711A89" w14:textId="77777777" w:rsidR="00293AD0" w:rsidRDefault="00293AD0" w:rsidP="00A716D9">
      <w:pPr>
        <w:rPr>
          <w:lang w:eastAsia="en-AU"/>
        </w:rPr>
      </w:pPr>
    </w:p>
    <w:p w14:paraId="6413E969" w14:textId="77777777" w:rsidR="00293AD0" w:rsidRDefault="00293AD0" w:rsidP="00A716D9">
      <w:pPr>
        <w:rPr>
          <w:lang w:eastAsia="en-AU"/>
        </w:rPr>
      </w:pP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3437"/>
        <w:gridCol w:w="10664"/>
        <w:gridCol w:w="7979"/>
      </w:tblGrid>
      <w:tr w:rsidR="00337ED6" w:rsidRPr="009F27AA" w14:paraId="413568A7" w14:textId="77777777" w:rsidTr="00473C45">
        <w:trPr>
          <w:trHeight w:val="419"/>
          <w:tblHeader/>
        </w:trPr>
        <w:tc>
          <w:tcPr>
            <w:tcW w:w="22080" w:type="dxa"/>
            <w:gridSpan w:val="3"/>
            <w:tcBorders>
              <w:bottom w:val="single" w:sz="6" w:space="0" w:color="E26E00"/>
            </w:tcBorders>
            <w:shd w:val="clear" w:color="auto" w:fill="FABF8F" w:themeFill="accent6" w:themeFillTint="99"/>
          </w:tcPr>
          <w:p w14:paraId="6AEE53B5" w14:textId="77777777" w:rsidR="00337ED6" w:rsidRPr="009F27AA" w:rsidRDefault="00337ED6" w:rsidP="00473C45">
            <w:pPr>
              <w:pStyle w:val="Nospacingbeforeorafter"/>
              <w:spacing w:before="60" w:after="60"/>
              <w:rPr>
                <w:b/>
                <w:szCs w:val="20"/>
              </w:rPr>
            </w:pPr>
            <w:r w:rsidRPr="009F27AA">
              <w:rPr>
                <w:b/>
                <w:szCs w:val="20"/>
              </w:rPr>
              <w:t>Sub-question</w:t>
            </w:r>
          </w:p>
          <w:p w14:paraId="540E3C8A" w14:textId="77777777" w:rsidR="00337ED6" w:rsidRPr="009F27AA" w:rsidRDefault="00337ED6" w:rsidP="00A2387B">
            <w:pPr>
              <w:pStyle w:val="Nospacingbeforeorafter"/>
              <w:numPr>
                <w:ilvl w:val="0"/>
                <w:numId w:val="17"/>
              </w:numPr>
              <w:spacing w:before="60" w:after="60"/>
              <w:rPr>
                <w:b/>
                <w:szCs w:val="20"/>
              </w:rPr>
            </w:pPr>
            <w:r w:rsidRPr="009F27AA">
              <w:rPr>
                <w:rFonts w:eastAsia="Times"/>
                <w:szCs w:val="20"/>
              </w:rPr>
              <w:t>To what extent were DFAT’s investments managed to ensure delivery on time and within budget?</w:t>
            </w:r>
          </w:p>
        </w:tc>
      </w:tr>
      <w:tr w:rsidR="00337ED6" w:rsidRPr="009F27AA" w14:paraId="4AAF3DD3"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38FCA570" w14:textId="77777777" w:rsidR="00337ED6" w:rsidRPr="009F27AA" w:rsidRDefault="00337ED6" w:rsidP="00473C45">
            <w:pPr>
              <w:pStyle w:val="Nospacingbeforeorafter"/>
              <w:spacing w:before="80" w:beforeAutospacing="0" w:after="80" w:afterAutospacing="0"/>
              <w:rPr>
                <w:b/>
                <w:szCs w:val="20"/>
              </w:rPr>
            </w:pPr>
            <w:r w:rsidRPr="009F27AA">
              <w:rPr>
                <w:b/>
                <w:szCs w:val="20"/>
              </w:rPr>
              <w:t>Project</w:t>
            </w: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4F637A33" w14:textId="77777777" w:rsidR="00337ED6" w:rsidRPr="009F27AA" w:rsidRDefault="00337ED6" w:rsidP="00473C45">
            <w:pPr>
              <w:pStyle w:val="Nospacingbeforeorafter"/>
              <w:spacing w:before="80" w:beforeAutospacing="0" w:after="80" w:afterAutospacing="0"/>
              <w:rPr>
                <w:b/>
                <w:szCs w:val="20"/>
              </w:rPr>
            </w:pPr>
            <w:r w:rsidRPr="009F27AA">
              <w:rPr>
                <w:b/>
                <w:szCs w:val="20"/>
              </w:rPr>
              <w:t>Evidence</w:t>
            </w:r>
          </w:p>
        </w:tc>
        <w:tc>
          <w:tcPr>
            <w:tcW w:w="7979" w:type="dxa"/>
            <w:tcBorders>
              <w:left w:val="single" w:sz="6" w:space="0" w:color="E26E00"/>
              <w:bottom w:val="single" w:sz="6" w:space="0" w:color="E26E00"/>
            </w:tcBorders>
            <w:shd w:val="clear" w:color="auto" w:fill="FBD4B4" w:themeFill="accent6" w:themeFillTint="66"/>
          </w:tcPr>
          <w:p w14:paraId="3653DF6E" w14:textId="77777777" w:rsidR="00337ED6" w:rsidRPr="009F27AA" w:rsidRDefault="00337ED6" w:rsidP="00473C45">
            <w:pPr>
              <w:pStyle w:val="Nospacingbeforeorafter"/>
              <w:spacing w:before="80" w:beforeAutospacing="0" w:after="80" w:afterAutospacing="0"/>
              <w:rPr>
                <w:b/>
                <w:szCs w:val="20"/>
              </w:rPr>
            </w:pPr>
            <w:r w:rsidRPr="009F27AA">
              <w:rPr>
                <w:b/>
                <w:szCs w:val="20"/>
              </w:rPr>
              <w:t>Findings</w:t>
            </w:r>
          </w:p>
        </w:tc>
      </w:tr>
      <w:tr w:rsidR="00337ED6" w:rsidRPr="009F27AA" w14:paraId="0C276C3A" w14:textId="77777777" w:rsidTr="00473C45">
        <w:trPr>
          <w:trHeight w:val="419"/>
          <w:tblHeader/>
        </w:trPr>
        <w:tc>
          <w:tcPr>
            <w:tcW w:w="3437" w:type="dxa"/>
            <w:tcBorders>
              <w:bottom w:val="single" w:sz="6" w:space="0" w:color="E26E00"/>
              <w:right w:val="single" w:sz="6" w:space="0" w:color="E26E00"/>
            </w:tcBorders>
            <w:shd w:val="clear" w:color="auto" w:fill="FBD4B4" w:themeFill="accent6" w:themeFillTint="66"/>
          </w:tcPr>
          <w:p w14:paraId="3FE3B0B4" w14:textId="77777777" w:rsidR="00337ED6" w:rsidRPr="009F27AA" w:rsidRDefault="00337ED6" w:rsidP="00473C45">
            <w:pPr>
              <w:pStyle w:val="Nospacingbeforeorafter"/>
              <w:spacing w:before="80" w:beforeAutospacing="0" w:after="80" w:afterAutospacing="0"/>
              <w:rPr>
                <w:b/>
                <w:szCs w:val="20"/>
              </w:rPr>
            </w:pPr>
          </w:p>
        </w:tc>
        <w:tc>
          <w:tcPr>
            <w:tcW w:w="10664" w:type="dxa"/>
            <w:tcBorders>
              <w:left w:val="single" w:sz="6" w:space="0" w:color="E26E00"/>
              <w:bottom w:val="single" w:sz="6" w:space="0" w:color="E26E00"/>
              <w:right w:val="single" w:sz="6" w:space="0" w:color="E26E00"/>
            </w:tcBorders>
            <w:shd w:val="clear" w:color="auto" w:fill="FBD4B4" w:themeFill="accent6" w:themeFillTint="66"/>
          </w:tcPr>
          <w:p w14:paraId="1CFEB632" w14:textId="77777777" w:rsidR="00337ED6" w:rsidRPr="009F27AA" w:rsidRDefault="00337ED6" w:rsidP="00473C45">
            <w:pPr>
              <w:pStyle w:val="Nospacingbeforeorafter"/>
              <w:spacing w:before="80" w:beforeAutospacing="0" w:after="80" w:afterAutospacing="0"/>
              <w:rPr>
                <w:b/>
                <w:szCs w:val="20"/>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tc>
        <w:tc>
          <w:tcPr>
            <w:tcW w:w="7979" w:type="dxa"/>
            <w:tcBorders>
              <w:left w:val="single" w:sz="6" w:space="0" w:color="E26E00"/>
              <w:bottom w:val="single" w:sz="6" w:space="0" w:color="E26E00"/>
            </w:tcBorders>
            <w:shd w:val="clear" w:color="auto" w:fill="FBD4B4" w:themeFill="accent6" w:themeFillTint="66"/>
          </w:tcPr>
          <w:p w14:paraId="72A0569B" w14:textId="77777777" w:rsidR="00337ED6" w:rsidRPr="009F27AA" w:rsidRDefault="00337ED6" w:rsidP="00473C45">
            <w:pPr>
              <w:pStyle w:val="Nospacingbeforeorafter"/>
              <w:spacing w:before="80" w:beforeAutospacing="0" w:after="80" w:afterAutospacing="0"/>
              <w:rPr>
                <w:b/>
                <w:szCs w:val="20"/>
              </w:rPr>
            </w:pPr>
            <w:r w:rsidRPr="009F27AA">
              <w:rPr>
                <w:b/>
                <w:szCs w:val="20"/>
              </w:rPr>
              <w:t>Rating: Adequate (4)</w:t>
            </w:r>
          </w:p>
        </w:tc>
      </w:tr>
      <w:tr w:rsidR="00337ED6" w:rsidRPr="009F27AA" w14:paraId="586EEC88" w14:textId="77777777" w:rsidTr="00473C45">
        <w:trPr>
          <w:trHeight w:val="419"/>
          <w:tblHeader/>
        </w:trPr>
        <w:tc>
          <w:tcPr>
            <w:tcW w:w="22080" w:type="dxa"/>
            <w:gridSpan w:val="3"/>
            <w:tcBorders>
              <w:bottom w:val="single" w:sz="6" w:space="0" w:color="E26E00"/>
            </w:tcBorders>
            <w:shd w:val="clear" w:color="auto" w:fill="FDE9D9" w:themeFill="accent6" w:themeFillTint="33"/>
          </w:tcPr>
          <w:p w14:paraId="5F6FA08B" w14:textId="77777777" w:rsidR="00337ED6" w:rsidRPr="009F27AA" w:rsidRDefault="00337ED6" w:rsidP="00473C45">
            <w:pPr>
              <w:pStyle w:val="Nospacingbeforeorafter"/>
              <w:spacing w:before="120" w:after="120"/>
              <w:rPr>
                <w:b/>
                <w:szCs w:val="20"/>
              </w:rPr>
            </w:pPr>
            <w:r w:rsidRPr="009F27AA">
              <w:rPr>
                <w:b/>
                <w:szCs w:val="20"/>
              </w:rPr>
              <w:t>COMPLETED PROJECTS</w:t>
            </w:r>
          </w:p>
        </w:tc>
      </w:tr>
      <w:tr w:rsidR="00337ED6" w:rsidRPr="009F27AA" w14:paraId="5CC2669D" w14:textId="77777777" w:rsidTr="00473C45">
        <w:trPr>
          <w:trHeight w:val="419"/>
          <w:tblHeader/>
        </w:trPr>
        <w:tc>
          <w:tcPr>
            <w:tcW w:w="3437" w:type="dxa"/>
            <w:tcBorders>
              <w:right w:val="single" w:sz="6" w:space="0" w:color="E26E00"/>
            </w:tcBorders>
            <w:shd w:val="clear" w:color="auto" w:fill="auto"/>
          </w:tcPr>
          <w:p w14:paraId="3274F6CC" w14:textId="24653B5E" w:rsidR="00337ED6" w:rsidRPr="009F27AA" w:rsidRDefault="00337ED6" w:rsidP="00473C45">
            <w:pPr>
              <w:pStyle w:val="Nospacingbeforeorafter"/>
              <w:spacing w:before="120" w:after="120"/>
              <w:rPr>
                <w:b/>
                <w:szCs w:val="20"/>
              </w:rPr>
            </w:pPr>
            <w:r w:rsidRPr="009F27AA">
              <w:rPr>
                <w:szCs w:val="20"/>
                <w:lang w:val="en-US"/>
              </w:rPr>
              <w:t xml:space="preserve">TVET </w:t>
            </w:r>
            <w:r w:rsidR="003D39B3">
              <w:rPr>
                <w:szCs w:val="20"/>
                <w:lang w:val="en-US"/>
              </w:rPr>
              <w:t>Centre</w:t>
            </w:r>
          </w:p>
        </w:tc>
        <w:tc>
          <w:tcPr>
            <w:tcW w:w="10664" w:type="dxa"/>
            <w:tcBorders>
              <w:left w:val="single" w:sz="6" w:space="0" w:color="E26E00"/>
              <w:right w:val="single" w:sz="6" w:space="0" w:color="E26E00"/>
            </w:tcBorders>
            <w:shd w:val="clear" w:color="auto" w:fill="auto"/>
          </w:tcPr>
          <w:p w14:paraId="4C2CBE56" w14:textId="77777777" w:rsidR="00337ED6" w:rsidRPr="009F27AA" w:rsidRDefault="00337ED6" w:rsidP="00473C45">
            <w:pPr>
              <w:pStyle w:val="Tablebullet"/>
              <w:numPr>
                <w:ilvl w:val="0"/>
                <w:numId w:val="0"/>
              </w:numPr>
              <w:spacing w:before="60" w:after="60"/>
              <w:rPr>
                <w:i/>
                <w:szCs w:val="20"/>
                <w:lang w:val="en-US"/>
              </w:rPr>
            </w:pPr>
            <w:r w:rsidRPr="009F27AA">
              <w:rPr>
                <w:i/>
                <w:szCs w:val="20"/>
                <w:lang w:val="en-US"/>
              </w:rPr>
              <w:t>Not applicable</w:t>
            </w:r>
          </w:p>
        </w:tc>
        <w:tc>
          <w:tcPr>
            <w:tcW w:w="7979" w:type="dxa"/>
            <w:tcBorders>
              <w:left w:val="single" w:sz="6" w:space="0" w:color="E26E00"/>
            </w:tcBorders>
            <w:shd w:val="clear" w:color="auto" w:fill="auto"/>
          </w:tcPr>
          <w:p w14:paraId="6B8EB4FE" w14:textId="77777777" w:rsidR="00337ED6" w:rsidRPr="009F27AA" w:rsidRDefault="00337ED6" w:rsidP="00473C45">
            <w:pPr>
              <w:pStyle w:val="Nospacingbeforeorafter"/>
              <w:spacing w:before="120" w:after="120"/>
              <w:rPr>
                <w:b/>
                <w:szCs w:val="20"/>
              </w:rPr>
            </w:pPr>
            <w:r w:rsidRPr="009F27AA">
              <w:rPr>
                <w:i/>
                <w:szCs w:val="20"/>
                <w:lang w:val="en-US"/>
              </w:rPr>
              <w:t>Construction is out of the review period</w:t>
            </w:r>
          </w:p>
        </w:tc>
      </w:tr>
      <w:tr w:rsidR="00014750" w:rsidRPr="009F27AA" w14:paraId="108F7972" w14:textId="77777777" w:rsidTr="00473C45">
        <w:trPr>
          <w:trHeight w:val="419"/>
          <w:tblHeader/>
        </w:trPr>
        <w:tc>
          <w:tcPr>
            <w:tcW w:w="3437" w:type="dxa"/>
            <w:tcBorders>
              <w:right w:val="single" w:sz="6" w:space="0" w:color="E26E00"/>
            </w:tcBorders>
            <w:shd w:val="clear" w:color="auto" w:fill="auto"/>
          </w:tcPr>
          <w:p w14:paraId="28E77612" w14:textId="7300097E" w:rsidR="00014750" w:rsidRPr="009F27AA" w:rsidRDefault="00014750" w:rsidP="00014750">
            <w:pPr>
              <w:pStyle w:val="Nospacingbeforeorafter"/>
              <w:spacing w:before="120" w:after="120"/>
              <w:rPr>
                <w:szCs w:val="20"/>
                <w:lang w:val="en-US"/>
              </w:rPr>
            </w:pPr>
            <w:r>
              <w:rPr>
                <w:szCs w:val="20"/>
                <w:lang w:val="en-US"/>
              </w:rPr>
              <w:t xml:space="preserve">USP Learning </w:t>
            </w:r>
            <w:r w:rsidR="003D39B3">
              <w:rPr>
                <w:szCs w:val="20"/>
                <w:lang w:val="en-US"/>
              </w:rPr>
              <w:t>Centre</w:t>
            </w:r>
          </w:p>
        </w:tc>
        <w:tc>
          <w:tcPr>
            <w:tcW w:w="10664" w:type="dxa"/>
            <w:tcBorders>
              <w:left w:val="single" w:sz="6" w:space="0" w:color="E26E00"/>
              <w:right w:val="single" w:sz="6" w:space="0" w:color="E26E00"/>
            </w:tcBorders>
            <w:shd w:val="clear" w:color="auto" w:fill="auto"/>
          </w:tcPr>
          <w:p w14:paraId="52A94CA1" w14:textId="72243459" w:rsidR="00014750" w:rsidRPr="009F27AA" w:rsidRDefault="00014750" w:rsidP="00014750">
            <w:pPr>
              <w:pStyle w:val="Tablebullet"/>
              <w:numPr>
                <w:ilvl w:val="0"/>
                <w:numId w:val="0"/>
              </w:numPr>
              <w:spacing w:before="60" w:after="60"/>
              <w:rPr>
                <w:i/>
                <w:szCs w:val="20"/>
                <w:lang w:val="en-US"/>
              </w:rPr>
            </w:pPr>
            <w:r w:rsidRPr="009F27AA">
              <w:rPr>
                <w:b/>
                <w:szCs w:val="20"/>
                <w:lang w:val="en-US"/>
              </w:rPr>
              <w:t xml:space="preserve">[EVIDENCE 1] – Construction Report #7 for the Learning </w:t>
            </w:r>
            <w:r w:rsidR="003D39B3">
              <w:rPr>
                <w:b/>
                <w:szCs w:val="20"/>
                <w:lang w:val="en-US"/>
              </w:rPr>
              <w:t>Centre</w:t>
            </w:r>
            <w:r w:rsidRPr="009F27AA">
              <w:rPr>
                <w:b/>
                <w:szCs w:val="20"/>
                <w:lang w:val="en-US"/>
              </w:rPr>
              <w:t xml:space="preserve"> (A&amp;L, March 2017)</w:t>
            </w:r>
            <w:r w:rsidRPr="009F27AA">
              <w:rPr>
                <w:szCs w:val="20"/>
                <w:lang w:val="en-US"/>
              </w:rPr>
              <w:t xml:space="preserve"> indicates that the program was delayed by around 7 weeks at that point in time, with the delays largely caused by inclement weather, delays at the port and the desalination plant closure. </w:t>
            </w:r>
          </w:p>
        </w:tc>
        <w:tc>
          <w:tcPr>
            <w:tcW w:w="7979" w:type="dxa"/>
            <w:tcBorders>
              <w:left w:val="single" w:sz="6" w:space="0" w:color="E26E00"/>
            </w:tcBorders>
            <w:shd w:val="clear" w:color="auto" w:fill="auto"/>
          </w:tcPr>
          <w:p w14:paraId="43EDB041" w14:textId="77777777" w:rsidR="00014750" w:rsidRPr="009F27AA" w:rsidRDefault="00014750" w:rsidP="00014750">
            <w:pPr>
              <w:pStyle w:val="Nospacingbeforeorafter"/>
              <w:spacing w:before="120" w:after="120"/>
              <w:rPr>
                <w:i/>
                <w:szCs w:val="20"/>
                <w:lang w:val="en-US"/>
              </w:rPr>
            </w:pPr>
            <w:r w:rsidRPr="009F27AA">
              <w:rPr>
                <w:szCs w:val="20"/>
              </w:rPr>
              <w:t>Reasonable project delays and associated costs were encountered, due to logistical issues.</w:t>
            </w:r>
          </w:p>
        </w:tc>
      </w:tr>
      <w:tr w:rsidR="00014750" w:rsidRPr="009F27AA" w14:paraId="18677FD3" w14:textId="77777777" w:rsidTr="00473C45">
        <w:trPr>
          <w:trHeight w:val="419"/>
          <w:tblHeader/>
        </w:trPr>
        <w:tc>
          <w:tcPr>
            <w:tcW w:w="3437" w:type="dxa"/>
            <w:tcBorders>
              <w:right w:val="single" w:sz="6" w:space="0" w:color="E26E00"/>
            </w:tcBorders>
            <w:shd w:val="clear" w:color="auto" w:fill="auto"/>
          </w:tcPr>
          <w:p w14:paraId="6B32B6FE" w14:textId="77777777" w:rsidR="00014750" w:rsidRPr="009F27AA" w:rsidRDefault="00014750" w:rsidP="00014750">
            <w:pPr>
              <w:pStyle w:val="Nospacingbeforeorafter"/>
              <w:spacing w:before="120" w:after="120"/>
              <w:rPr>
                <w:b/>
                <w:szCs w:val="20"/>
              </w:rPr>
            </w:pPr>
            <w:r w:rsidRPr="009F27AA">
              <w:rPr>
                <w:szCs w:val="20"/>
                <w:lang w:val="en-US"/>
              </w:rPr>
              <w:t>Hospital (stage 1 and 2)</w:t>
            </w:r>
          </w:p>
        </w:tc>
        <w:tc>
          <w:tcPr>
            <w:tcW w:w="10664" w:type="dxa"/>
            <w:tcBorders>
              <w:left w:val="single" w:sz="6" w:space="0" w:color="E26E00"/>
              <w:right w:val="single" w:sz="6" w:space="0" w:color="E26E00"/>
            </w:tcBorders>
            <w:shd w:val="clear" w:color="auto" w:fill="auto"/>
          </w:tcPr>
          <w:p w14:paraId="13A33167" w14:textId="10B2951D" w:rsidR="00014750" w:rsidRPr="009F27AA" w:rsidRDefault="00014750" w:rsidP="00014750">
            <w:pPr>
              <w:pStyle w:val="Nospacingbeforeorafter"/>
              <w:spacing w:before="120" w:after="120"/>
              <w:rPr>
                <w:szCs w:val="20"/>
              </w:rPr>
            </w:pPr>
            <w:r w:rsidRPr="009F27AA">
              <w:rPr>
                <w:b/>
                <w:szCs w:val="20"/>
              </w:rPr>
              <w:t>[INTERVIEW 23] –</w:t>
            </w:r>
            <w:r w:rsidRPr="009F27AA">
              <w:rPr>
                <w:szCs w:val="20"/>
              </w:rPr>
              <w:t>components of the hospital that were already in Nauru at the port were re-purposed for the new RON hospital construction.</w:t>
            </w:r>
          </w:p>
          <w:p w14:paraId="76AAEB18" w14:textId="77777777" w:rsidR="00014750" w:rsidRPr="009F27AA" w:rsidRDefault="00014750" w:rsidP="00014750">
            <w:pPr>
              <w:pStyle w:val="Nospacingbeforeorafter"/>
              <w:spacing w:before="120" w:after="120"/>
              <w:rPr>
                <w:b/>
                <w:szCs w:val="20"/>
              </w:rPr>
            </w:pPr>
            <w:r w:rsidRPr="009F27AA">
              <w:rPr>
                <w:b/>
                <w:szCs w:val="20"/>
              </w:rPr>
              <w:t xml:space="preserve">[INTERVIEW 1] </w:t>
            </w:r>
            <w:r w:rsidRPr="009F27AA">
              <w:rPr>
                <w:szCs w:val="20"/>
              </w:rPr>
              <w:t>– DFAT indicated that this project was “relatively on time”.</w:t>
            </w:r>
            <w:r w:rsidRPr="009F27AA">
              <w:rPr>
                <w:b/>
                <w:szCs w:val="20"/>
              </w:rPr>
              <w:t xml:space="preserve"> </w:t>
            </w:r>
          </w:p>
        </w:tc>
        <w:tc>
          <w:tcPr>
            <w:tcW w:w="7979" w:type="dxa"/>
            <w:tcBorders>
              <w:left w:val="single" w:sz="6" w:space="0" w:color="E26E00"/>
            </w:tcBorders>
            <w:shd w:val="clear" w:color="auto" w:fill="auto"/>
          </w:tcPr>
          <w:p w14:paraId="1609FE25" w14:textId="250F92FB" w:rsidR="00014750" w:rsidRPr="009F27AA" w:rsidRDefault="00014750" w:rsidP="00341914">
            <w:pPr>
              <w:pStyle w:val="Nospacingbeforeorafter"/>
              <w:spacing w:before="120" w:after="120"/>
              <w:rPr>
                <w:szCs w:val="20"/>
              </w:rPr>
            </w:pPr>
            <w:r w:rsidRPr="009F27AA">
              <w:rPr>
                <w:szCs w:val="20"/>
              </w:rPr>
              <w:t xml:space="preserve">The construction was delivered fairly quickly, without following usual processes of stakeholder consultation and site-specific design. This process delivered a hospital in a short period of time, however </w:t>
            </w:r>
            <w:r w:rsidR="00F37BCD">
              <w:rPr>
                <w:szCs w:val="20"/>
              </w:rPr>
              <w:t>the process has resulted in ongoing issues that require further assessment and action</w:t>
            </w:r>
            <w:r w:rsidR="00CE72F5">
              <w:rPr>
                <w:szCs w:val="20"/>
              </w:rPr>
              <w:t>s</w:t>
            </w:r>
            <w:r w:rsidR="00F37BCD">
              <w:rPr>
                <w:szCs w:val="20"/>
              </w:rPr>
              <w:t>.</w:t>
            </w:r>
          </w:p>
        </w:tc>
      </w:tr>
      <w:tr w:rsidR="0076498C" w:rsidRPr="009F27AA" w14:paraId="0B792A77" w14:textId="77777777" w:rsidTr="00473C45">
        <w:trPr>
          <w:trHeight w:val="419"/>
          <w:tblHeader/>
        </w:trPr>
        <w:tc>
          <w:tcPr>
            <w:tcW w:w="3437" w:type="dxa"/>
            <w:tcBorders>
              <w:right w:val="single" w:sz="6" w:space="0" w:color="E26E00"/>
            </w:tcBorders>
            <w:shd w:val="clear" w:color="auto" w:fill="auto"/>
          </w:tcPr>
          <w:p w14:paraId="559F85D6" w14:textId="77777777" w:rsidR="0076498C" w:rsidRPr="009F27AA" w:rsidRDefault="0076498C" w:rsidP="0076498C">
            <w:pPr>
              <w:pStyle w:val="Nospacingbeforeorafter"/>
              <w:spacing w:before="120" w:after="120"/>
              <w:rPr>
                <w:szCs w:val="20"/>
                <w:lang w:val="en-US"/>
              </w:rPr>
            </w:pPr>
            <w:r w:rsidRPr="009F27AA">
              <w:rPr>
                <w:szCs w:val="20"/>
                <w:lang w:val="en-US"/>
              </w:rPr>
              <w:t>Wellness clinics</w:t>
            </w:r>
          </w:p>
        </w:tc>
        <w:tc>
          <w:tcPr>
            <w:tcW w:w="10664" w:type="dxa"/>
            <w:tcBorders>
              <w:left w:val="single" w:sz="6" w:space="0" w:color="E26E00"/>
              <w:right w:val="single" w:sz="6" w:space="0" w:color="E26E00"/>
            </w:tcBorders>
            <w:shd w:val="clear" w:color="auto" w:fill="auto"/>
          </w:tcPr>
          <w:p w14:paraId="63DE47D2" w14:textId="77777777" w:rsidR="0076498C" w:rsidRPr="009F27AA" w:rsidRDefault="0076498C" w:rsidP="0076498C">
            <w:pPr>
              <w:pStyle w:val="Nospacingbeforeorafter"/>
              <w:spacing w:before="120" w:after="120"/>
              <w:rPr>
                <w:b/>
                <w:szCs w:val="20"/>
              </w:rPr>
            </w:pPr>
            <w:r w:rsidRPr="009F27AA">
              <w:rPr>
                <w:b/>
                <w:szCs w:val="20"/>
              </w:rPr>
              <w:t xml:space="preserve">[INTERVIEW 1] – </w:t>
            </w:r>
            <w:r w:rsidRPr="009F27AA">
              <w:rPr>
                <w:szCs w:val="20"/>
              </w:rPr>
              <w:t xml:space="preserve">DFAT indicated that the project was implemented by GoN directly. The modular designs were assembled in New Zealand and delivered on site. One unit remains to be put in situ due to damage during shipping. </w:t>
            </w:r>
          </w:p>
        </w:tc>
        <w:tc>
          <w:tcPr>
            <w:tcW w:w="7979" w:type="dxa"/>
            <w:tcBorders>
              <w:left w:val="single" w:sz="6" w:space="0" w:color="E26E00"/>
            </w:tcBorders>
            <w:shd w:val="clear" w:color="auto" w:fill="auto"/>
          </w:tcPr>
          <w:p w14:paraId="61761E66" w14:textId="77777777" w:rsidR="0076498C" w:rsidRPr="009F27AA" w:rsidRDefault="0076498C" w:rsidP="0076498C">
            <w:pPr>
              <w:pStyle w:val="Nospacingbeforeorafter"/>
              <w:spacing w:before="120" w:after="120"/>
              <w:rPr>
                <w:szCs w:val="20"/>
              </w:rPr>
            </w:pPr>
            <w:r w:rsidRPr="009F27AA">
              <w:rPr>
                <w:szCs w:val="20"/>
              </w:rPr>
              <w:t xml:space="preserve">Delays in the project have incurred, as a result of damage caused during shipping. GoN were primarily responsible for the implementation. This model of delivery has a number of concerns. </w:t>
            </w:r>
          </w:p>
        </w:tc>
      </w:tr>
      <w:tr w:rsidR="0076498C" w:rsidRPr="009F27AA" w14:paraId="515199F7" w14:textId="77777777" w:rsidTr="00473C45">
        <w:trPr>
          <w:trHeight w:val="419"/>
          <w:tblHeader/>
        </w:trPr>
        <w:tc>
          <w:tcPr>
            <w:tcW w:w="3437" w:type="dxa"/>
            <w:tcBorders>
              <w:bottom w:val="single" w:sz="6" w:space="0" w:color="E26E00"/>
              <w:right w:val="single" w:sz="6" w:space="0" w:color="E26E00"/>
            </w:tcBorders>
            <w:shd w:val="clear" w:color="auto" w:fill="auto"/>
          </w:tcPr>
          <w:p w14:paraId="425ED0ED" w14:textId="77777777" w:rsidR="0076498C" w:rsidRPr="009F27AA" w:rsidRDefault="0076498C" w:rsidP="0076498C">
            <w:pPr>
              <w:pStyle w:val="Nospacingbeforeorafter"/>
              <w:spacing w:before="120" w:after="120"/>
              <w:rPr>
                <w:b/>
                <w:szCs w:val="20"/>
              </w:rPr>
            </w:pPr>
            <w:r w:rsidRPr="009F27AA">
              <w:rPr>
                <w:szCs w:val="20"/>
                <w:lang w:val="en-US"/>
              </w:rPr>
              <w:t>Nauru Electricity Supply and Sustainability Project</w:t>
            </w:r>
          </w:p>
        </w:tc>
        <w:tc>
          <w:tcPr>
            <w:tcW w:w="10664" w:type="dxa"/>
            <w:tcBorders>
              <w:left w:val="single" w:sz="6" w:space="0" w:color="E26E00"/>
              <w:bottom w:val="single" w:sz="6" w:space="0" w:color="E26E00"/>
              <w:right w:val="single" w:sz="6" w:space="0" w:color="E26E00"/>
            </w:tcBorders>
            <w:shd w:val="clear" w:color="auto" w:fill="auto"/>
          </w:tcPr>
          <w:p w14:paraId="4A81E8B1" w14:textId="77777777" w:rsidR="0076498C" w:rsidRPr="009F27AA" w:rsidRDefault="0076498C" w:rsidP="0076498C">
            <w:pPr>
              <w:pStyle w:val="Nospacingbeforeorafter"/>
              <w:spacing w:before="120" w:after="120"/>
              <w:rPr>
                <w:b/>
                <w:szCs w:val="20"/>
              </w:rPr>
            </w:pPr>
            <w:r w:rsidRPr="009F27AA">
              <w:rPr>
                <w:b/>
                <w:szCs w:val="20"/>
              </w:rPr>
              <w:t xml:space="preserve">[INTERVIEW 11] – </w:t>
            </w:r>
            <w:r w:rsidRPr="009F27AA">
              <w:rPr>
                <w:szCs w:val="20"/>
              </w:rPr>
              <w:t xml:space="preserve">NUC indicated that the implementation of the project to procure two new diesel generators encountered delays of approximately 4 months, due to logistical challenges and were “not serious”. </w:t>
            </w:r>
          </w:p>
        </w:tc>
        <w:tc>
          <w:tcPr>
            <w:tcW w:w="7979" w:type="dxa"/>
            <w:tcBorders>
              <w:left w:val="single" w:sz="6" w:space="0" w:color="E26E00"/>
              <w:bottom w:val="single" w:sz="6" w:space="0" w:color="E26E00"/>
            </w:tcBorders>
            <w:shd w:val="clear" w:color="auto" w:fill="auto"/>
          </w:tcPr>
          <w:p w14:paraId="74C8AAE9" w14:textId="77777777" w:rsidR="0076498C" w:rsidRPr="009F27AA" w:rsidRDefault="0076498C" w:rsidP="0076498C">
            <w:pPr>
              <w:pStyle w:val="Nospacingbeforeorafter"/>
              <w:spacing w:before="120" w:after="120"/>
              <w:rPr>
                <w:szCs w:val="20"/>
              </w:rPr>
            </w:pPr>
            <w:r w:rsidRPr="009F27AA">
              <w:rPr>
                <w:szCs w:val="20"/>
              </w:rPr>
              <w:t>Project delays were encountered, due to logistical issues.</w:t>
            </w:r>
          </w:p>
        </w:tc>
      </w:tr>
      <w:tr w:rsidR="0076498C" w:rsidRPr="009F27AA" w14:paraId="212B1BAE" w14:textId="77777777" w:rsidTr="00473C45">
        <w:trPr>
          <w:trHeight w:val="419"/>
          <w:tblHeader/>
        </w:trPr>
        <w:tc>
          <w:tcPr>
            <w:tcW w:w="22080" w:type="dxa"/>
            <w:gridSpan w:val="3"/>
            <w:shd w:val="clear" w:color="auto" w:fill="FDE9D9" w:themeFill="accent6" w:themeFillTint="33"/>
          </w:tcPr>
          <w:p w14:paraId="428C732B" w14:textId="77777777" w:rsidR="0076498C" w:rsidRPr="009F27AA" w:rsidRDefault="0076498C" w:rsidP="0076498C">
            <w:pPr>
              <w:pStyle w:val="Nospacingbeforeorafter"/>
              <w:spacing w:before="120" w:after="120"/>
              <w:rPr>
                <w:b/>
                <w:szCs w:val="20"/>
              </w:rPr>
            </w:pPr>
            <w:r>
              <w:rPr>
                <w:b/>
                <w:szCs w:val="20"/>
              </w:rPr>
              <w:t>ONGOING / UNDER CONSTRUCTION PROJECTS</w:t>
            </w:r>
          </w:p>
        </w:tc>
      </w:tr>
      <w:tr w:rsidR="0076498C" w:rsidRPr="009F27AA" w14:paraId="51F3556B" w14:textId="77777777" w:rsidTr="00473C45">
        <w:trPr>
          <w:trHeight w:val="419"/>
          <w:tblHeader/>
        </w:trPr>
        <w:tc>
          <w:tcPr>
            <w:tcW w:w="3437" w:type="dxa"/>
            <w:tcBorders>
              <w:right w:val="single" w:sz="6" w:space="0" w:color="E26E00"/>
            </w:tcBorders>
            <w:shd w:val="clear" w:color="auto" w:fill="auto"/>
          </w:tcPr>
          <w:p w14:paraId="0DD19AA3" w14:textId="77777777" w:rsidR="0076498C" w:rsidRPr="009F27AA" w:rsidRDefault="0076498C" w:rsidP="0076498C">
            <w:pPr>
              <w:pStyle w:val="Nospacingbeforeorafter"/>
              <w:spacing w:before="120" w:after="120"/>
              <w:rPr>
                <w:szCs w:val="20"/>
                <w:lang w:val="en-US"/>
              </w:rPr>
            </w:pPr>
            <w:r w:rsidRPr="009F27AA">
              <w:rPr>
                <w:szCs w:val="20"/>
                <w:lang w:val="en-US"/>
              </w:rPr>
              <w:t>Household water tanks</w:t>
            </w:r>
          </w:p>
        </w:tc>
        <w:tc>
          <w:tcPr>
            <w:tcW w:w="10664" w:type="dxa"/>
            <w:tcBorders>
              <w:left w:val="single" w:sz="6" w:space="0" w:color="E26E00"/>
              <w:right w:val="single" w:sz="6" w:space="0" w:color="E26E00"/>
            </w:tcBorders>
            <w:shd w:val="clear" w:color="auto" w:fill="auto"/>
          </w:tcPr>
          <w:p w14:paraId="3D260A13" w14:textId="77777777" w:rsidR="0076498C" w:rsidRPr="009F27AA" w:rsidRDefault="0076498C" w:rsidP="0076498C">
            <w:pPr>
              <w:pStyle w:val="Nospacingbeforeorafter"/>
              <w:spacing w:before="120" w:after="120"/>
              <w:rPr>
                <w:szCs w:val="20"/>
                <w:lang w:val="en-US"/>
              </w:rPr>
            </w:pPr>
            <w:r w:rsidRPr="009F27AA">
              <w:rPr>
                <w:b/>
                <w:szCs w:val="20"/>
                <w:lang w:val="en-US"/>
              </w:rPr>
              <w:t xml:space="preserve">[INTERVIEWS 1, 7] </w:t>
            </w:r>
            <w:r w:rsidRPr="009F27AA">
              <w:rPr>
                <w:szCs w:val="20"/>
                <w:lang w:val="en-US"/>
              </w:rPr>
              <w:t xml:space="preserve">indicated that there were a number of issues on this project, which caused significant delays in implementation, including the project being put on hold for a period of approximately 2 years. </w:t>
            </w:r>
          </w:p>
        </w:tc>
        <w:tc>
          <w:tcPr>
            <w:tcW w:w="7979" w:type="dxa"/>
            <w:tcBorders>
              <w:left w:val="single" w:sz="6" w:space="0" w:color="E26E00"/>
            </w:tcBorders>
            <w:shd w:val="clear" w:color="auto" w:fill="auto"/>
          </w:tcPr>
          <w:p w14:paraId="775D50D8" w14:textId="77777777" w:rsidR="0076498C" w:rsidRPr="009F27AA" w:rsidRDefault="0076498C" w:rsidP="0076498C">
            <w:pPr>
              <w:pStyle w:val="Nospacingbeforeorafter"/>
              <w:spacing w:before="120" w:after="120"/>
              <w:rPr>
                <w:szCs w:val="20"/>
              </w:rPr>
            </w:pPr>
            <w:r w:rsidRPr="009F27AA">
              <w:rPr>
                <w:szCs w:val="20"/>
              </w:rPr>
              <w:t>This project is significantly behind schedule, due to significant project implementation issues which have been appropriately addressed by DFAT and GoN.</w:t>
            </w:r>
          </w:p>
        </w:tc>
      </w:tr>
      <w:tr w:rsidR="0076498C" w:rsidRPr="009F27AA" w14:paraId="11FBB9EB" w14:textId="77777777" w:rsidTr="00473C45">
        <w:trPr>
          <w:trHeight w:val="419"/>
          <w:tblHeader/>
        </w:trPr>
        <w:tc>
          <w:tcPr>
            <w:tcW w:w="3437" w:type="dxa"/>
            <w:tcBorders>
              <w:right w:val="single" w:sz="6" w:space="0" w:color="E26E00"/>
            </w:tcBorders>
            <w:shd w:val="clear" w:color="auto" w:fill="auto"/>
          </w:tcPr>
          <w:p w14:paraId="7F20D9E3" w14:textId="77777777" w:rsidR="0076498C" w:rsidRPr="009F27AA" w:rsidRDefault="0076498C" w:rsidP="0076498C">
            <w:pPr>
              <w:pStyle w:val="Nospacingbeforeorafter"/>
              <w:spacing w:before="120" w:after="120"/>
              <w:rPr>
                <w:szCs w:val="20"/>
                <w:lang w:val="en-US"/>
              </w:rPr>
            </w:pPr>
            <w:r w:rsidRPr="009F27AA">
              <w:rPr>
                <w:szCs w:val="20"/>
                <w:lang w:val="en-US"/>
              </w:rPr>
              <w:t>Sports complex</w:t>
            </w:r>
          </w:p>
        </w:tc>
        <w:tc>
          <w:tcPr>
            <w:tcW w:w="10664" w:type="dxa"/>
            <w:tcBorders>
              <w:left w:val="single" w:sz="6" w:space="0" w:color="E26E00"/>
              <w:right w:val="single" w:sz="6" w:space="0" w:color="E26E00"/>
            </w:tcBorders>
            <w:shd w:val="clear" w:color="auto" w:fill="auto"/>
          </w:tcPr>
          <w:p w14:paraId="2A53C883" w14:textId="77777777" w:rsidR="0076498C" w:rsidRPr="009F27AA" w:rsidRDefault="0076498C" w:rsidP="0076498C">
            <w:pPr>
              <w:pStyle w:val="Nospacingbeforeorafter"/>
              <w:spacing w:before="120" w:after="120"/>
              <w:rPr>
                <w:i/>
                <w:szCs w:val="20"/>
                <w:lang w:val="en-US"/>
              </w:rPr>
            </w:pPr>
            <w:r w:rsidRPr="009F27AA">
              <w:rPr>
                <w:b/>
                <w:szCs w:val="20"/>
                <w:lang w:val="en-US"/>
              </w:rPr>
              <w:t>[INTERVIEW 1]</w:t>
            </w:r>
            <w:r w:rsidRPr="009F27AA">
              <w:rPr>
                <w:szCs w:val="20"/>
                <w:lang w:val="en-US"/>
              </w:rPr>
              <w:t xml:space="preserve"> indicated that the project delivery schedule for this is quite remarkable, given the hard deadline for construction to be completed prior to the Pacific Leaders Forum in September 2018. At the moment the project is delayed from the planned schedule by only 2 weeks, and are expecting to be able to make up for some of that time.</w:t>
            </w:r>
          </w:p>
        </w:tc>
        <w:tc>
          <w:tcPr>
            <w:tcW w:w="7979" w:type="dxa"/>
            <w:tcBorders>
              <w:left w:val="single" w:sz="6" w:space="0" w:color="E26E00"/>
            </w:tcBorders>
            <w:shd w:val="clear" w:color="auto" w:fill="auto"/>
          </w:tcPr>
          <w:p w14:paraId="6B40048E" w14:textId="77777777" w:rsidR="0076498C" w:rsidRPr="009F27AA" w:rsidRDefault="0076498C" w:rsidP="0076498C">
            <w:pPr>
              <w:pStyle w:val="Nospacingbeforeorafter"/>
              <w:spacing w:before="120" w:after="120"/>
              <w:rPr>
                <w:szCs w:val="20"/>
              </w:rPr>
            </w:pPr>
            <w:r w:rsidRPr="009F27AA">
              <w:rPr>
                <w:szCs w:val="20"/>
              </w:rPr>
              <w:t>This project has been delivered very efficiently, with fixed constraints, and the implementation is remarkably efficient.</w:t>
            </w:r>
          </w:p>
        </w:tc>
      </w:tr>
      <w:tr w:rsidR="0076498C" w:rsidRPr="009F27AA" w14:paraId="16FA88F4" w14:textId="77777777" w:rsidTr="00473C45">
        <w:trPr>
          <w:trHeight w:val="419"/>
          <w:tblHeader/>
        </w:trPr>
        <w:tc>
          <w:tcPr>
            <w:tcW w:w="22080" w:type="dxa"/>
            <w:gridSpan w:val="3"/>
            <w:shd w:val="clear" w:color="auto" w:fill="FDE9D9" w:themeFill="accent6" w:themeFillTint="33"/>
          </w:tcPr>
          <w:p w14:paraId="01182971" w14:textId="77777777" w:rsidR="0076498C" w:rsidRPr="009F27AA" w:rsidRDefault="0076498C" w:rsidP="0076498C">
            <w:pPr>
              <w:pStyle w:val="Nospacingbeforeorafter"/>
              <w:spacing w:before="120" w:after="120"/>
              <w:rPr>
                <w:b/>
                <w:szCs w:val="20"/>
                <w:lang w:val="en-US"/>
              </w:rPr>
            </w:pPr>
            <w:r w:rsidRPr="009F27AA">
              <w:rPr>
                <w:b/>
                <w:szCs w:val="20"/>
                <w:lang w:val="en-US"/>
              </w:rPr>
              <w:t>PLANNED PROJECTS</w:t>
            </w:r>
          </w:p>
        </w:tc>
      </w:tr>
      <w:tr w:rsidR="0076498C" w:rsidRPr="009F27AA" w14:paraId="28ECBF2E" w14:textId="77777777" w:rsidTr="00473C45">
        <w:trPr>
          <w:trHeight w:val="419"/>
          <w:tblHeader/>
        </w:trPr>
        <w:tc>
          <w:tcPr>
            <w:tcW w:w="3437" w:type="dxa"/>
            <w:tcBorders>
              <w:right w:val="single" w:sz="6" w:space="0" w:color="E26E00"/>
            </w:tcBorders>
            <w:shd w:val="clear" w:color="auto" w:fill="auto"/>
          </w:tcPr>
          <w:p w14:paraId="2464B543" w14:textId="77777777" w:rsidR="0076498C" w:rsidRPr="009F27AA" w:rsidRDefault="0076498C" w:rsidP="0076498C">
            <w:pPr>
              <w:pStyle w:val="Nospacingbeforeorafter"/>
              <w:spacing w:before="120" w:after="120"/>
              <w:rPr>
                <w:szCs w:val="20"/>
                <w:lang w:val="en-US"/>
              </w:rPr>
            </w:pPr>
            <w:r w:rsidRPr="009F27AA">
              <w:rPr>
                <w:szCs w:val="20"/>
                <w:lang w:val="en-US"/>
              </w:rPr>
              <w:t>Port Redevelopment</w:t>
            </w:r>
          </w:p>
        </w:tc>
        <w:tc>
          <w:tcPr>
            <w:tcW w:w="10664" w:type="dxa"/>
            <w:tcBorders>
              <w:left w:val="single" w:sz="6" w:space="0" w:color="E26E00"/>
              <w:right w:val="single" w:sz="6" w:space="0" w:color="E26E00"/>
            </w:tcBorders>
            <w:shd w:val="clear" w:color="auto" w:fill="auto"/>
          </w:tcPr>
          <w:p w14:paraId="468A884B" w14:textId="77777777" w:rsidR="0076498C" w:rsidRPr="009F27AA" w:rsidRDefault="0076498C" w:rsidP="0076498C">
            <w:pPr>
              <w:pStyle w:val="Nospacingbeforeorafter"/>
              <w:spacing w:before="120" w:after="120"/>
              <w:rPr>
                <w:i/>
                <w:szCs w:val="20"/>
                <w:lang w:val="en-US"/>
              </w:rPr>
            </w:pPr>
            <w:r w:rsidRPr="009F27AA">
              <w:rPr>
                <w:i/>
                <w:szCs w:val="20"/>
              </w:rPr>
              <w:t>Not applicable – the project is still at the planning stage.</w:t>
            </w:r>
          </w:p>
        </w:tc>
        <w:tc>
          <w:tcPr>
            <w:tcW w:w="7979" w:type="dxa"/>
            <w:tcBorders>
              <w:left w:val="single" w:sz="6" w:space="0" w:color="E26E00"/>
            </w:tcBorders>
            <w:shd w:val="clear" w:color="auto" w:fill="auto"/>
          </w:tcPr>
          <w:p w14:paraId="4B9B893D" w14:textId="77777777" w:rsidR="0076498C" w:rsidRPr="009F27AA" w:rsidRDefault="0076498C" w:rsidP="0076498C">
            <w:pPr>
              <w:pStyle w:val="Nospacingbeforeorafter"/>
              <w:spacing w:before="120" w:after="120"/>
              <w:rPr>
                <w:i/>
                <w:szCs w:val="20"/>
                <w:lang w:val="en-US"/>
              </w:rPr>
            </w:pPr>
            <w:r w:rsidRPr="009F27AA">
              <w:rPr>
                <w:i/>
                <w:szCs w:val="20"/>
              </w:rPr>
              <w:t>Not applicable – the project is still at the planning stage.</w:t>
            </w:r>
          </w:p>
        </w:tc>
      </w:tr>
      <w:tr w:rsidR="0076498C" w:rsidRPr="009F27AA" w14:paraId="48A98F73" w14:textId="77777777" w:rsidTr="00473C45">
        <w:trPr>
          <w:trHeight w:val="419"/>
          <w:tblHeader/>
        </w:trPr>
        <w:tc>
          <w:tcPr>
            <w:tcW w:w="22080" w:type="dxa"/>
            <w:gridSpan w:val="3"/>
            <w:shd w:val="clear" w:color="auto" w:fill="FDE9D9" w:themeFill="accent6" w:themeFillTint="33"/>
          </w:tcPr>
          <w:p w14:paraId="1D6F0F45" w14:textId="77777777" w:rsidR="0076498C" w:rsidRPr="009F27AA" w:rsidRDefault="0076498C" w:rsidP="0076498C">
            <w:pPr>
              <w:pStyle w:val="Nospacingbeforeorafter"/>
              <w:spacing w:before="120" w:after="120"/>
              <w:rPr>
                <w:b/>
                <w:szCs w:val="20"/>
                <w:lang w:val="en-US"/>
              </w:rPr>
            </w:pPr>
            <w:r w:rsidRPr="009F27AA">
              <w:rPr>
                <w:b/>
                <w:szCs w:val="20"/>
                <w:lang w:val="en-US"/>
              </w:rPr>
              <w:t>OPERATIONS AND MAINTENANCE</w:t>
            </w:r>
          </w:p>
        </w:tc>
      </w:tr>
      <w:tr w:rsidR="0076498C" w:rsidRPr="009F27AA" w14:paraId="533FCB5E" w14:textId="77777777" w:rsidTr="00473C45">
        <w:trPr>
          <w:trHeight w:val="419"/>
          <w:tblHeader/>
        </w:trPr>
        <w:tc>
          <w:tcPr>
            <w:tcW w:w="3437" w:type="dxa"/>
            <w:tcBorders>
              <w:right w:val="single" w:sz="6" w:space="0" w:color="E26E00"/>
            </w:tcBorders>
            <w:shd w:val="clear" w:color="auto" w:fill="auto"/>
          </w:tcPr>
          <w:p w14:paraId="2BF11043" w14:textId="77777777" w:rsidR="0076498C" w:rsidRPr="009F27AA" w:rsidRDefault="0076498C" w:rsidP="0076498C">
            <w:pPr>
              <w:pStyle w:val="Nospacingbeforeorafter"/>
              <w:spacing w:before="120" w:after="120"/>
              <w:rPr>
                <w:szCs w:val="20"/>
                <w:lang w:val="en-US"/>
              </w:rPr>
            </w:pPr>
            <w:r w:rsidRPr="009F27AA">
              <w:rPr>
                <w:szCs w:val="20"/>
                <w:lang w:val="en-US"/>
              </w:rPr>
              <w:t>NUC support (CEO – PACTAM)</w:t>
            </w:r>
          </w:p>
        </w:tc>
        <w:tc>
          <w:tcPr>
            <w:tcW w:w="10664" w:type="dxa"/>
            <w:tcBorders>
              <w:left w:val="single" w:sz="6" w:space="0" w:color="E26E00"/>
              <w:right w:val="single" w:sz="6" w:space="0" w:color="E26E00"/>
            </w:tcBorders>
            <w:shd w:val="clear" w:color="auto" w:fill="auto"/>
          </w:tcPr>
          <w:p w14:paraId="5A0999E1" w14:textId="77777777" w:rsidR="0076498C" w:rsidRPr="009F27AA" w:rsidRDefault="0076498C" w:rsidP="0076498C">
            <w:pPr>
              <w:pStyle w:val="Tablebullet"/>
              <w:numPr>
                <w:ilvl w:val="0"/>
                <w:numId w:val="0"/>
              </w:numPr>
              <w:spacing w:before="60" w:after="60"/>
              <w:rPr>
                <w:b/>
                <w:szCs w:val="20"/>
              </w:rPr>
            </w:pPr>
            <w:r w:rsidRPr="009F27AA">
              <w:rPr>
                <w:b/>
                <w:szCs w:val="20"/>
              </w:rPr>
              <w:t xml:space="preserve">[INTERVIEW 11] – </w:t>
            </w:r>
            <w:r w:rsidRPr="009F27AA">
              <w:rPr>
                <w:szCs w:val="20"/>
              </w:rPr>
              <w:t>The</w:t>
            </w:r>
            <w:r w:rsidRPr="009F27AA">
              <w:rPr>
                <w:b/>
                <w:szCs w:val="20"/>
              </w:rPr>
              <w:t xml:space="preserve"> </w:t>
            </w:r>
            <w:r w:rsidRPr="009F27AA">
              <w:rPr>
                <w:szCs w:val="20"/>
              </w:rPr>
              <w:t>NUC CEO outlined the goals for the NUC in 2014, to be achieved by 2020. At this stage, the expectation is that all of those goals will be delivered by 2019, with 80% of them already in place now.</w:t>
            </w:r>
          </w:p>
        </w:tc>
        <w:tc>
          <w:tcPr>
            <w:tcW w:w="7979" w:type="dxa"/>
            <w:tcBorders>
              <w:left w:val="single" w:sz="6" w:space="0" w:color="E26E00"/>
            </w:tcBorders>
            <w:shd w:val="clear" w:color="auto" w:fill="auto"/>
          </w:tcPr>
          <w:p w14:paraId="3D6127C7" w14:textId="77777777" w:rsidR="0076498C" w:rsidRPr="009F27AA" w:rsidRDefault="0076498C" w:rsidP="0076498C">
            <w:pPr>
              <w:pStyle w:val="Nospacingbeforeorafter"/>
              <w:spacing w:before="120" w:after="120"/>
              <w:rPr>
                <w:szCs w:val="20"/>
                <w:lang w:val="en-US"/>
              </w:rPr>
            </w:pPr>
            <w:r w:rsidRPr="009F27AA">
              <w:rPr>
                <w:szCs w:val="20"/>
                <w:lang w:val="en-US"/>
              </w:rPr>
              <w:t>This project has exceeded expectations in terms of efficiency, with clear goals established to be delivered by 2020 that are currently expected to be delivered by 2019.</w:t>
            </w:r>
          </w:p>
        </w:tc>
      </w:tr>
    </w:tbl>
    <w:p w14:paraId="5169B954" w14:textId="77777777" w:rsidR="00A6511B" w:rsidRDefault="00A6511B" w:rsidP="00A716D9">
      <w:pPr>
        <w:rPr>
          <w:lang w:eastAsia="en-AU"/>
        </w:rPr>
      </w:pPr>
    </w:p>
    <w:p w14:paraId="5FF79FBC" w14:textId="77777777" w:rsidR="00337ED6" w:rsidRDefault="00337ED6">
      <w:pPr>
        <w:spacing w:before="0" w:after="0"/>
        <w:rPr>
          <w:lang w:eastAsia="en-AU"/>
        </w:rPr>
      </w:pPr>
      <w:r>
        <w:rPr>
          <w:lang w:eastAsia="en-AU"/>
        </w:rPr>
        <w:br w:type="page"/>
      </w:r>
    </w:p>
    <w:tbl>
      <w:tblPr>
        <w:tblStyle w:val="TableGrid"/>
        <w:tblpPr w:leftFromText="181" w:rightFromText="181" w:vertAnchor="text" w:horzAnchor="margin" w:tblpX="-577" w:tblpY="1"/>
        <w:tblW w:w="22105"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14593"/>
        <w:gridCol w:w="7512"/>
      </w:tblGrid>
      <w:tr w:rsidR="00337ED6" w:rsidRPr="009F27AA" w14:paraId="45D80F2C" w14:textId="77777777" w:rsidTr="00473C45">
        <w:trPr>
          <w:trHeight w:val="419"/>
          <w:tblHeader/>
        </w:trPr>
        <w:tc>
          <w:tcPr>
            <w:tcW w:w="22105" w:type="dxa"/>
            <w:gridSpan w:val="2"/>
            <w:tcBorders>
              <w:bottom w:val="single" w:sz="6" w:space="0" w:color="E26E00"/>
            </w:tcBorders>
            <w:shd w:val="clear" w:color="auto" w:fill="FABF8F" w:themeFill="accent6" w:themeFillTint="99"/>
          </w:tcPr>
          <w:p w14:paraId="39B7CF6E" w14:textId="77777777" w:rsidR="00337ED6" w:rsidRPr="009F27AA" w:rsidRDefault="00337ED6" w:rsidP="00473C45">
            <w:pPr>
              <w:pStyle w:val="Nospacingbeforeorafter"/>
              <w:spacing w:before="60" w:after="60"/>
              <w:rPr>
                <w:b/>
                <w:szCs w:val="20"/>
              </w:rPr>
            </w:pPr>
            <w:r w:rsidRPr="009F27AA">
              <w:rPr>
                <w:b/>
                <w:szCs w:val="20"/>
              </w:rPr>
              <w:lastRenderedPageBreak/>
              <w:t>Sub-question</w:t>
            </w:r>
          </w:p>
          <w:p w14:paraId="5B9D8A86" w14:textId="77777777" w:rsidR="00337ED6" w:rsidRPr="009F27AA" w:rsidRDefault="00337ED6" w:rsidP="00A2387B">
            <w:pPr>
              <w:pStyle w:val="Nospacingbeforeorafter"/>
              <w:numPr>
                <w:ilvl w:val="0"/>
                <w:numId w:val="17"/>
              </w:numPr>
              <w:rPr>
                <w:b/>
                <w:szCs w:val="20"/>
              </w:rPr>
            </w:pPr>
            <w:r w:rsidRPr="009F27AA">
              <w:rPr>
                <w:rFonts w:eastAsia="Times"/>
                <w:szCs w:val="20"/>
              </w:rPr>
              <w:t>How have DFAT’s infrastructure investments harmonised with other donors, regional organizations and aligned with partner government systems?</w:t>
            </w:r>
          </w:p>
        </w:tc>
      </w:tr>
      <w:tr w:rsidR="00337ED6" w:rsidRPr="009F27AA" w14:paraId="1E8ED28D" w14:textId="77777777" w:rsidTr="00473C45">
        <w:trPr>
          <w:trHeight w:val="419"/>
        </w:trPr>
        <w:tc>
          <w:tcPr>
            <w:tcW w:w="14593" w:type="dxa"/>
            <w:tcBorders>
              <w:right w:val="single" w:sz="4" w:space="0" w:color="E26E00"/>
            </w:tcBorders>
            <w:shd w:val="clear" w:color="auto" w:fill="FABF8F" w:themeFill="accent6" w:themeFillTint="99"/>
          </w:tcPr>
          <w:p w14:paraId="0CCAD252" w14:textId="77777777" w:rsidR="00337ED6" w:rsidRPr="009F27AA" w:rsidRDefault="00337ED6" w:rsidP="00473C45">
            <w:pPr>
              <w:pStyle w:val="Nospacingbeforeorafter"/>
              <w:spacing w:before="60" w:after="60"/>
              <w:rPr>
                <w:b/>
                <w:szCs w:val="20"/>
              </w:rPr>
            </w:pPr>
            <w:r w:rsidRPr="009F27AA">
              <w:rPr>
                <w:b/>
                <w:szCs w:val="20"/>
              </w:rPr>
              <w:t xml:space="preserve">Evidence </w:t>
            </w:r>
          </w:p>
        </w:tc>
        <w:tc>
          <w:tcPr>
            <w:tcW w:w="7512" w:type="dxa"/>
            <w:tcBorders>
              <w:left w:val="single" w:sz="4" w:space="0" w:color="E26E00"/>
            </w:tcBorders>
            <w:shd w:val="clear" w:color="auto" w:fill="FABF8F" w:themeFill="accent6" w:themeFillTint="99"/>
          </w:tcPr>
          <w:p w14:paraId="5BF34444" w14:textId="77777777" w:rsidR="00337ED6" w:rsidRPr="009F27AA" w:rsidRDefault="00337ED6" w:rsidP="00473C45">
            <w:pPr>
              <w:pStyle w:val="Nospacingbeforeorafter"/>
              <w:spacing w:before="60" w:after="60"/>
              <w:rPr>
                <w:b/>
                <w:szCs w:val="20"/>
              </w:rPr>
            </w:pPr>
            <w:r w:rsidRPr="009F27AA">
              <w:rPr>
                <w:b/>
                <w:szCs w:val="20"/>
              </w:rPr>
              <w:t>Findings</w:t>
            </w:r>
          </w:p>
        </w:tc>
      </w:tr>
      <w:tr w:rsidR="00337ED6" w:rsidRPr="009F27AA" w14:paraId="3BDAC3C0" w14:textId="77777777" w:rsidTr="00473C45">
        <w:trPr>
          <w:trHeight w:val="419"/>
        </w:trPr>
        <w:tc>
          <w:tcPr>
            <w:tcW w:w="14593" w:type="dxa"/>
            <w:tcBorders>
              <w:right w:val="single" w:sz="4" w:space="0" w:color="E26E00"/>
            </w:tcBorders>
          </w:tcPr>
          <w:p w14:paraId="683029A3" w14:textId="77777777" w:rsidR="00337ED6" w:rsidRPr="009F27AA" w:rsidRDefault="00337ED6" w:rsidP="00473C45">
            <w:pPr>
              <w:rPr>
                <w:szCs w:val="20"/>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p w14:paraId="1ABA37D2"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 xml:space="preserve">An interview with the New Zealand High Commissioner and DFAT </w:t>
            </w:r>
            <w:r w:rsidRPr="009F27AA">
              <w:rPr>
                <w:b/>
                <w:szCs w:val="20"/>
                <w:lang w:val="en-US"/>
              </w:rPr>
              <w:t>[INTERVIEW 14]</w:t>
            </w:r>
            <w:r w:rsidRPr="009F27AA">
              <w:rPr>
                <w:szCs w:val="20"/>
                <w:lang w:val="en-US"/>
              </w:rPr>
              <w:t xml:space="preserve"> indicated that there have been previous attempts at collaboration between the two agencies, however this had been somewhat unsuccessful. It was suggested that this may have been partly due to a lack of presence in Nauru by New Zealand which limited communications.</w:t>
            </w:r>
          </w:p>
          <w:p w14:paraId="74FC3273"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 xml:space="preserve">The Asian Development Bank </w:t>
            </w:r>
            <w:r w:rsidRPr="009F27AA">
              <w:rPr>
                <w:b/>
                <w:szCs w:val="20"/>
                <w:lang w:val="en-US"/>
              </w:rPr>
              <w:t>[INTERVIEW 2]</w:t>
            </w:r>
            <w:r w:rsidRPr="009F27AA">
              <w:rPr>
                <w:szCs w:val="20"/>
                <w:lang w:val="en-US"/>
              </w:rPr>
              <w:t xml:space="preserve"> indicated that the approved funding commitments from DFAT, ADB and GON enabled the application for co-financing from the GCF to proceed for the port project. Australia’s involvement in getting the GCF funding through the approval process was instrumental, and it is possible that without high-level (Ministerial) Australian support the application likely would not have been successful. The interviewee also indicated that GCF funding will cap at a maximum of 50% of the total project budget, with the remainder needing to be matched by other development partners, and that a minimum project budget of USD10 million was necessary to justify the overhead of applying for GCF co-financing.</w:t>
            </w:r>
          </w:p>
          <w:p w14:paraId="0A286AB4"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 xml:space="preserve">DFAT indicated </w:t>
            </w:r>
            <w:r w:rsidRPr="009F27AA">
              <w:rPr>
                <w:b/>
                <w:szCs w:val="20"/>
                <w:lang w:val="en-US"/>
              </w:rPr>
              <w:t>[INTERVIEW 1]</w:t>
            </w:r>
            <w:r w:rsidRPr="009F27AA">
              <w:rPr>
                <w:szCs w:val="20"/>
                <w:lang w:val="en-US"/>
              </w:rPr>
              <w:t xml:space="preserve"> that there was a backup alternative donor (Taiwan) identified and engaged in preliminary discussions as a contingency in case funding sought from the GCF did not eventuate for the port redevelopment project.</w:t>
            </w:r>
          </w:p>
          <w:p w14:paraId="4B9237DB" w14:textId="77777777" w:rsidR="00337ED6" w:rsidRPr="009F27AA" w:rsidRDefault="00337ED6" w:rsidP="00473C45">
            <w:pPr>
              <w:pStyle w:val="Tablebullet"/>
              <w:numPr>
                <w:ilvl w:val="0"/>
                <w:numId w:val="0"/>
              </w:numPr>
              <w:spacing w:before="60" w:after="60"/>
              <w:rPr>
                <w:szCs w:val="20"/>
              </w:rPr>
            </w:pPr>
            <w:r w:rsidRPr="009F27AA">
              <w:rPr>
                <w:b/>
                <w:szCs w:val="20"/>
                <w:lang w:val="en-US"/>
              </w:rPr>
              <w:t>[EVIDENCE 1]</w:t>
            </w:r>
            <w:r w:rsidRPr="009F27AA">
              <w:rPr>
                <w:szCs w:val="20"/>
                <w:lang w:val="en-US"/>
              </w:rPr>
              <w:t xml:space="preserve"> </w:t>
            </w:r>
            <w:r w:rsidRPr="009F27AA">
              <w:rPr>
                <w:b/>
                <w:szCs w:val="20"/>
                <w:lang w:val="en-US"/>
              </w:rPr>
              <w:t>– Investment Design Summary (DFAT, 2018)</w:t>
            </w:r>
            <w:r w:rsidRPr="009F27AA">
              <w:rPr>
                <w:szCs w:val="20"/>
                <w:lang w:val="en-US"/>
              </w:rPr>
              <w:t xml:space="preserve"> indicates co-financing of the port redevelopment project with development partners as follows:</w:t>
            </w:r>
          </w:p>
          <w:tbl>
            <w:tblPr>
              <w:tblStyle w:val="TableGrid"/>
              <w:tblW w:w="0" w:type="auto"/>
              <w:tblInd w:w="453" w:type="dxa"/>
              <w:tblBorders>
                <w:insideH w:val="dotted" w:sz="4" w:space="0" w:color="E26E00"/>
                <w:insideV w:val="none" w:sz="0" w:space="0" w:color="auto"/>
              </w:tblBorders>
              <w:tblLayout w:type="fixed"/>
              <w:tblLook w:val="04A0" w:firstRow="1" w:lastRow="0" w:firstColumn="1" w:lastColumn="0" w:noHBand="0" w:noVBand="1"/>
            </w:tblPr>
            <w:tblGrid>
              <w:gridCol w:w="3735"/>
              <w:gridCol w:w="2190"/>
              <w:gridCol w:w="2344"/>
            </w:tblGrid>
            <w:tr w:rsidR="00337ED6" w:rsidRPr="009F27AA" w14:paraId="59ACD838" w14:textId="77777777" w:rsidTr="00473C45">
              <w:tc>
                <w:tcPr>
                  <w:tcW w:w="3735" w:type="dxa"/>
                </w:tcPr>
                <w:p w14:paraId="4375BCCD" w14:textId="77777777" w:rsidR="00337ED6" w:rsidRPr="009F27AA" w:rsidRDefault="00337ED6" w:rsidP="00F17D88">
                  <w:pPr>
                    <w:pStyle w:val="Tablebullet"/>
                    <w:framePr w:hSpace="181" w:wrap="around" w:vAnchor="text" w:hAnchor="margin" w:x="-577" w:y="1"/>
                    <w:numPr>
                      <w:ilvl w:val="0"/>
                      <w:numId w:val="0"/>
                    </w:numPr>
                    <w:spacing w:before="40" w:after="40"/>
                    <w:rPr>
                      <w:b/>
                      <w:szCs w:val="20"/>
                    </w:rPr>
                  </w:pPr>
                  <w:r w:rsidRPr="009F27AA">
                    <w:rPr>
                      <w:b/>
                      <w:szCs w:val="20"/>
                    </w:rPr>
                    <w:t>Source</w:t>
                  </w:r>
                </w:p>
              </w:tc>
              <w:tc>
                <w:tcPr>
                  <w:tcW w:w="2190" w:type="dxa"/>
                </w:tcPr>
                <w:p w14:paraId="16D8E210" w14:textId="77777777" w:rsidR="00337ED6" w:rsidRPr="009F27AA" w:rsidRDefault="00337ED6" w:rsidP="00F17D88">
                  <w:pPr>
                    <w:pStyle w:val="Tablebullet"/>
                    <w:framePr w:hSpace="181" w:wrap="around" w:vAnchor="text" w:hAnchor="margin" w:x="-577" w:y="1"/>
                    <w:numPr>
                      <w:ilvl w:val="0"/>
                      <w:numId w:val="0"/>
                    </w:numPr>
                    <w:spacing w:before="40" w:after="40"/>
                    <w:jc w:val="center"/>
                    <w:rPr>
                      <w:b/>
                      <w:szCs w:val="20"/>
                    </w:rPr>
                  </w:pPr>
                  <w:r w:rsidRPr="009F27AA">
                    <w:rPr>
                      <w:b/>
                      <w:szCs w:val="20"/>
                    </w:rPr>
                    <w:t>Amount (USD million)</w:t>
                  </w:r>
                </w:p>
              </w:tc>
              <w:tc>
                <w:tcPr>
                  <w:tcW w:w="2344" w:type="dxa"/>
                </w:tcPr>
                <w:p w14:paraId="19652E45" w14:textId="77777777" w:rsidR="00337ED6" w:rsidRPr="009F27AA" w:rsidRDefault="00337ED6" w:rsidP="00F17D88">
                  <w:pPr>
                    <w:pStyle w:val="Tablebullet"/>
                    <w:framePr w:hSpace="181" w:wrap="around" w:vAnchor="text" w:hAnchor="margin" w:x="-577" w:y="1"/>
                    <w:numPr>
                      <w:ilvl w:val="0"/>
                      <w:numId w:val="0"/>
                    </w:numPr>
                    <w:spacing w:before="40" w:after="40"/>
                    <w:jc w:val="center"/>
                    <w:rPr>
                      <w:b/>
                      <w:szCs w:val="20"/>
                    </w:rPr>
                  </w:pPr>
                  <w:r w:rsidRPr="009F27AA">
                    <w:rPr>
                      <w:b/>
                      <w:szCs w:val="20"/>
                    </w:rPr>
                    <w:t>Share of Total</w:t>
                  </w:r>
                </w:p>
              </w:tc>
            </w:tr>
            <w:tr w:rsidR="00337ED6" w:rsidRPr="009F27AA" w14:paraId="653F45C7" w14:textId="77777777" w:rsidTr="00473C45">
              <w:tc>
                <w:tcPr>
                  <w:tcW w:w="3735" w:type="dxa"/>
                </w:tcPr>
                <w:p w14:paraId="56EFBD4D" w14:textId="77777777" w:rsidR="00337ED6" w:rsidRPr="009F27AA" w:rsidRDefault="00337ED6" w:rsidP="00F17D88">
                  <w:pPr>
                    <w:pStyle w:val="Tablebullet"/>
                    <w:framePr w:hSpace="181" w:wrap="around" w:vAnchor="text" w:hAnchor="margin" w:x="-577" w:y="1"/>
                    <w:numPr>
                      <w:ilvl w:val="0"/>
                      <w:numId w:val="0"/>
                    </w:numPr>
                    <w:spacing w:before="40" w:after="40"/>
                    <w:rPr>
                      <w:szCs w:val="20"/>
                    </w:rPr>
                  </w:pPr>
                  <w:r w:rsidRPr="009F27AA">
                    <w:rPr>
                      <w:szCs w:val="20"/>
                    </w:rPr>
                    <w:t>Asian Development Bank (Approved)</w:t>
                  </w:r>
                </w:p>
              </w:tc>
              <w:tc>
                <w:tcPr>
                  <w:tcW w:w="2190" w:type="dxa"/>
                </w:tcPr>
                <w:p w14:paraId="463E0E76"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21.30</w:t>
                  </w:r>
                </w:p>
              </w:tc>
              <w:tc>
                <w:tcPr>
                  <w:tcW w:w="2344" w:type="dxa"/>
                </w:tcPr>
                <w:p w14:paraId="55BD9663"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26.76%</w:t>
                  </w:r>
                </w:p>
              </w:tc>
            </w:tr>
            <w:tr w:rsidR="00337ED6" w:rsidRPr="009F27AA" w14:paraId="6E23CBF4" w14:textId="77777777" w:rsidTr="00473C45">
              <w:tc>
                <w:tcPr>
                  <w:tcW w:w="3735" w:type="dxa"/>
                </w:tcPr>
                <w:p w14:paraId="4764E020" w14:textId="77777777" w:rsidR="00337ED6" w:rsidRPr="009F27AA" w:rsidRDefault="00337ED6" w:rsidP="00F17D88">
                  <w:pPr>
                    <w:pStyle w:val="Tablebullet"/>
                    <w:framePr w:hSpace="181" w:wrap="around" w:vAnchor="text" w:hAnchor="margin" w:x="-577" w:y="1"/>
                    <w:numPr>
                      <w:ilvl w:val="0"/>
                      <w:numId w:val="0"/>
                    </w:numPr>
                    <w:spacing w:before="40" w:after="40"/>
                    <w:rPr>
                      <w:szCs w:val="20"/>
                    </w:rPr>
                  </w:pPr>
                  <w:r w:rsidRPr="009F27AA">
                    <w:rPr>
                      <w:szCs w:val="20"/>
                    </w:rPr>
                    <w:t>Green Climate Fund (Approved)</w:t>
                  </w:r>
                </w:p>
              </w:tc>
              <w:tc>
                <w:tcPr>
                  <w:tcW w:w="2190" w:type="dxa"/>
                </w:tcPr>
                <w:p w14:paraId="03F6F6A2"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26.91</w:t>
                  </w:r>
                </w:p>
              </w:tc>
              <w:tc>
                <w:tcPr>
                  <w:tcW w:w="2344" w:type="dxa"/>
                </w:tcPr>
                <w:p w14:paraId="34605183"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33.81%</w:t>
                  </w:r>
                </w:p>
              </w:tc>
            </w:tr>
            <w:tr w:rsidR="00337ED6" w:rsidRPr="009F27AA" w14:paraId="18B955F0" w14:textId="77777777" w:rsidTr="00473C45">
              <w:tc>
                <w:tcPr>
                  <w:tcW w:w="3735" w:type="dxa"/>
                </w:tcPr>
                <w:p w14:paraId="6E5446C6" w14:textId="77777777" w:rsidR="00337ED6" w:rsidRPr="009F27AA" w:rsidRDefault="00337ED6" w:rsidP="00F17D88">
                  <w:pPr>
                    <w:pStyle w:val="Tablebullet"/>
                    <w:framePr w:hSpace="181" w:wrap="around" w:vAnchor="text" w:hAnchor="margin" w:x="-577" w:y="1"/>
                    <w:numPr>
                      <w:ilvl w:val="0"/>
                      <w:numId w:val="0"/>
                    </w:numPr>
                    <w:spacing w:before="40" w:after="40"/>
                    <w:rPr>
                      <w:szCs w:val="20"/>
                    </w:rPr>
                  </w:pPr>
                  <w:r w:rsidRPr="009F27AA">
                    <w:rPr>
                      <w:szCs w:val="20"/>
                    </w:rPr>
                    <w:t>Government of Nauru (Approved)</w:t>
                  </w:r>
                </w:p>
              </w:tc>
              <w:tc>
                <w:tcPr>
                  <w:tcW w:w="2190" w:type="dxa"/>
                </w:tcPr>
                <w:p w14:paraId="322C12F1"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17.30</w:t>
                  </w:r>
                </w:p>
              </w:tc>
              <w:tc>
                <w:tcPr>
                  <w:tcW w:w="2344" w:type="dxa"/>
                </w:tcPr>
                <w:p w14:paraId="5FDF6883"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21.74%</w:t>
                  </w:r>
                </w:p>
              </w:tc>
            </w:tr>
            <w:tr w:rsidR="00337ED6" w:rsidRPr="009F27AA" w14:paraId="33A569A5" w14:textId="77777777" w:rsidTr="00473C45">
              <w:tc>
                <w:tcPr>
                  <w:tcW w:w="3735" w:type="dxa"/>
                </w:tcPr>
                <w:p w14:paraId="1922A4B1" w14:textId="77777777" w:rsidR="00337ED6" w:rsidRPr="009F27AA" w:rsidRDefault="00337ED6" w:rsidP="00F17D88">
                  <w:pPr>
                    <w:pStyle w:val="Tablebullet"/>
                    <w:framePr w:hSpace="181" w:wrap="around" w:vAnchor="text" w:hAnchor="margin" w:x="-577" w:y="1"/>
                    <w:numPr>
                      <w:ilvl w:val="0"/>
                      <w:numId w:val="0"/>
                    </w:numPr>
                    <w:spacing w:before="40" w:after="40"/>
                    <w:rPr>
                      <w:szCs w:val="20"/>
                    </w:rPr>
                  </w:pPr>
                  <w:r w:rsidRPr="009F27AA">
                    <w:rPr>
                      <w:szCs w:val="20"/>
                    </w:rPr>
                    <w:t>Government of Australia (Approved)</w:t>
                  </w:r>
                </w:p>
              </w:tc>
              <w:tc>
                <w:tcPr>
                  <w:tcW w:w="2190" w:type="dxa"/>
                </w:tcPr>
                <w:p w14:paraId="6114DF3C"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14.08</w:t>
                  </w:r>
                </w:p>
              </w:tc>
              <w:tc>
                <w:tcPr>
                  <w:tcW w:w="2344" w:type="dxa"/>
                </w:tcPr>
                <w:p w14:paraId="78C4DED4" w14:textId="77777777" w:rsidR="00337ED6" w:rsidRPr="009F27AA" w:rsidRDefault="00337ED6" w:rsidP="00F17D88">
                  <w:pPr>
                    <w:pStyle w:val="Tablebullet"/>
                    <w:framePr w:hSpace="181" w:wrap="around" w:vAnchor="text" w:hAnchor="margin" w:x="-577" w:y="1"/>
                    <w:numPr>
                      <w:ilvl w:val="0"/>
                      <w:numId w:val="0"/>
                    </w:numPr>
                    <w:spacing w:before="40" w:after="40"/>
                    <w:jc w:val="center"/>
                    <w:rPr>
                      <w:szCs w:val="20"/>
                    </w:rPr>
                  </w:pPr>
                  <w:r w:rsidRPr="009F27AA">
                    <w:rPr>
                      <w:szCs w:val="20"/>
                    </w:rPr>
                    <w:t>17.69%</w:t>
                  </w:r>
                </w:p>
              </w:tc>
            </w:tr>
            <w:tr w:rsidR="00337ED6" w:rsidRPr="009F27AA" w14:paraId="16F114D1" w14:textId="77777777" w:rsidTr="00473C45">
              <w:tc>
                <w:tcPr>
                  <w:tcW w:w="3735" w:type="dxa"/>
                </w:tcPr>
                <w:p w14:paraId="6BD2B7E1" w14:textId="77777777" w:rsidR="00337ED6" w:rsidRPr="009F27AA" w:rsidRDefault="00337ED6" w:rsidP="00F17D88">
                  <w:pPr>
                    <w:pStyle w:val="Tablebullet"/>
                    <w:framePr w:hSpace="181" w:wrap="around" w:vAnchor="text" w:hAnchor="margin" w:x="-577" w:y="1"/>
                    <w:numPr>
                      <w:ilvl w:val="0"/>
                      <w:numId w:val="0"/>
                    </w:numPr>
                    <w:spacing w:before="40" w:after="40"/>
                    <w:rPr>
                      <w:b/>
                      <w:szCs w:val="20"/>
                    </w:rPr>
                  </w:pPr>
                  <w:r w:rsidRPr="009F27AA">
                    <w:rPr>
                      <w:b/>
                      <w:szCs w:val="20"/>
                    </w:rPr>
                    <w:t>Total</w:t>
                  </w:r>
                </w:p>
              </w:tc>
              <w:tc>
                <w:tcPr>
                  <w:tcW w:w="2190" w:type="dxa"/>
                </w:tcPr>
                <w:p w14:paraId="0DE523E2" w14:textId="77777777" w:rsidR="00337ED6" w:rsidRPr="009F27AA" w:rsidRDefault="00337ED6" w:rsidP="00F17D88">
                  <w:pPr>
                    <w:pStyle w:val="Tablebullet"/>
                    <w:framePr w:hSpace="181" w:wrap="around" w:vAnchor="text" w:hAnchor="margin" w:x="-577" w:y="1"/>
                    <w:numPr>
                      <w:ilvl w:val="0"/>
                      <w:numId w:val="0"/>
                    </w:numPr>
                    <w:spacing w:before="40" w:after="40"/>
                    <w:jc w:val="center"/>
                    <w:rPr>
                      <w:b/>
                      <w:szCs w:val="20"/>
                    </w:rPr>
                  </w:pPr>
                  <w:r w:rsidRPr="009F27AA">
                    <w:rPr>
                      <w:b/>
                      <w:szCs w:val="20"/>
                    </w:rPr>
                    <w:t>79.59</w:t>
                  </w:r>
                </w:p>
              </w:tc>
              <w:tc>
                <w:tcPr>
                  <w:tcW w:w="2344" w:type="dxa"/>
                </w:tcPr>
                <w:p w14:paraId="2A9E535E" w14:textId="77777777" w:rsidR="00337ED6" w:rsidRPr="009F27AA" w:rsidRDefault="00337ED6" w:rsidP="00F17D88">
                  <w:pPr>
                    <w:pStyle w:val="Tablebullet"/>
                    <w:framePr w:hSpace="181" w:wrap="around" w:vAnchor="text" w:hAnchor="margin" w:x="-577" w:y="1"/>
                    <w:numPr>
                      <w:ilvl w:val="0"/>
                      <w:numId w:val="0"/>
                    </w:numPr>
                    <w:spacing w:before="40" w:after="40"/>
                    <w:jc w:val="center"/>
                    <w:rPr>
                      <w:b/>
                      <w:szCs w:val="20"/>
                    </w:rPr>
                  </w:pPr>
                  <w:r w:rsidRPr="009F27AA">
                    <w:rPr>
                      <w:b/>
                      <w:szCs w:val="20"/>
                    </w:rPr>
                    <w:t>100%</w:t>
                  </w:r>
                </w:p>
              </w:tc>
            </w:tr>
          </w:tbl>
          <w:p w14:paraId="39B85D55"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 xml:space="preserve">DFAT </w:t>
            </w:r>
            <w:r w:rsidRPr="009F27AA">
              <w:rPr>
                <w:b/>
                <w:szCs w:val="20"/>
                <w:lang w:val="en-US"/>
              </w:rPr>
              <w:t>[INTERVIEW 1]</w:t>
            </w:r>
            <w:r w:rsidRPr="009F27AA">
              <w:rPr>
                <w:szCs w:val="20"/>
                <w:lang w:val="en-US"/>
              </w:rPr>
              <w:t xml:space="preserve"> seemed to be largely unaware of the Pacific Regional Infrastructure Facility (PRIF) as a mechanism for donor coordination related to infrastructure in the Pacific and how they operate and requested that the PRIF representative on mission in Nauru visit the High Commissioner for an introduction and to understand their role in country. </w:t>
            </w:r>
          </w:p>
          <w:p w14:paraId="70E163B0" w14:textId="77777777" w:rsidR="00337ED6" w:rsidRPr="009F27AA" w:rsidRDefault="00337ED6" w:rsidP="00473C45">
            <w:pPr>
              <w:pStyle w:val="Tablebullet"/>
              <w:numPr>
                <w:ilvl w:val="0"/>
                <w:numId w:val="0"/>
              </w:numPr>
              <w:spacing w:before="60" w:after="60"/>
              <w:rPr>
                <w:szCs w:val="20"/>
                <w:lang w:val="en-US"/>
              </w:rPr>
            </w:pPr>
            <w:r w:rsidRPr="009F27AA">
              <w:rPr>
                <w:b/>
                <w:szCs w:val="20"/>
                <w:lang w:val="en-US"/>
              </w:rPr>
              <w:t>[EVIDENCE 2]</w:t>
            </w:r>
            <w:r w:rsidRPr="009F27AA">
              <w:rPr>
                <w:szCs w:val="20"/>
                <w:lang w:val="en-US"/>
              </w:rPr>
              <w:t xml:space="preserve"> – </w:t>
            </w:r>
            <w:hyperlink r:id="rId20" w:history="1">
              <w:r w:rsidRPr="009F27AA">
                <w:rPr>
                  <w:rStyle w:val="Hyperlink"/>
                  <w:b/>
                  <w:szCs w:val="20"/>
                  <w:lang w:val="en-US"/>
                </w:rPr>
                <w:t>GoN Media Release</w:t>
              </w:r>
            </w:hyperlink>
            <w:r w:rsidRPr="009F27AA">
              <w:rPr>
                <w:b/>
                <w:szCs w:val="20"/>
                <w:lang w:val="en-US"/>
              </w:rPr>
              <w:t xml:space="preserve"> (GoN, January 2018)</w:t>
            </w:r>
            <w:r w:rsidRPr="009F27AA">
              <w:rPr>
                <w:szCs w:val="20"/>
                <w:lang w:val="en-US"/>
              </w:rPr>
              <w:t xml:space="preserve"> states that “The Nauru Electricity Supply Security and Sustainability Project, approved in 2014, was initially funded by a $2 million grant from ADB and a €2 million grant ($2.4 million) from the EU. It involved the installation of a new, efficient medium-speed 2.6-3 megawatt (MW) diesel generator and repairs to the powerhouse roof. The additional AU$6.4 million ($5 million) from the Government of Australia and the AU$4.1 million from the Government of Nauru helped fund the installation of the second new medium-speed 2.6-3.0 MW diesel generator which improved the efficiency, safety, and capacity of electricity supply in Nauru.”</w:t>
            </w:r>
          </w:p>
          <w:p w14:paraId="11BA40AA" w14:textId="77777777" w:rsidR="00337ED6" w:rsidRPr="009F27AA" w:rsidRDefault="00337ED6" w:rsidP="00473C45">
            <w:pPr>
              <w:pStyle w:val="Tablebullet"/>
              <w:numPr>
                <w:ilvl w:val="0"/>
                <w:numId w:val="0"/>
              </w:numPr>
              <w:spacing w:before="60" w:after="60"/>
              <w:rPr>
                <w:szCs w:val="20"/>
                <w:lang w:val="en-US"/>
              </w:rPr>
            </w:pPr>
          </w:p>
          <w:p w14:paraId="314F78A0" w14:textId="77777777" w:rsidR="00337ED6" w:rsidRPr="009F27AA" w:rsidRDefault="00337ED6" w:rsidP="00473C45">
            <w:pPr>
              <w:pStyle w:val="Tablebullet"/>
              <w:numPr>
                <w:ilvl w:val="0"/>
                <w:numId w:val="0"/>
              </w:numPr>
              <w:spacing w:before="60" w:after="60"/>
              <w:rPr>
                <w:szCs w:val="20"/>
                <w:lang w:val="en-US"/>
              </w:rPr>
            </w:pPr>
          </w:p>
          <w:p w14:paraId="50D354CF" w14:textId="77777777" w:rsidR="00337ED6" w:rsidRPr="009F27AA" w:rsidRDefault="00337ED6" w:rsidP="00473C45">
            <w:pPr>
              <w:pStyle w:val="Tablebullet"/>
              <w:numPr>
                <w:ilvl w:val="0"/>
                <w:numId w:val="0"/>
              </w:numPr>
              <w:spacing w:before="60" w:after="60"/>
              <w:rPr>
                <w:szCs w:val="20"/>
                <w:lang w:val="en-US"/>
              </w:rPr>
            </w:pPr>
          </w:p>
          <w:p w14:paraId="56697C5D" w14:textId="77777777" w:rsidR="00337ED6" w:rsidRPr="009F27AA" w:rsidRDefault="00337ED6" w:rsidP="00473C45">
            <w:pPr>
              <w:pStyle w:val="Tablebullet"/>
              <w:numPr>
                <w:ilvl w:val="0"/>
                <w:numId w:val="0"/>
              </w:numPr>
              <w:spacing w:before="60" w:after="60"/>
              <w:rPr>
                <w:szCs w:val="20"/>
                <w:lang w:val="en-US"/>
              </w:rPr>
            </w:pPr>
          </w:p>
        </w:tc>
        <w:tc>
          <w:tcPr>
            <w:tcW w:w="7512" w:type="dxa"/>
            <w:tcBorders>
              <w:left w:val="single" w:sz="4" w:space="0" w:color="E26E00"/>
            </w:tcBorders>
          </w:tcPr>
          <w:p w14:paraId="27D4DC98" w14:textId="77777777" w:rsidR="00337ED6" w:rsidRPr="009F27AA" w:rsidRDefault="00337ED6" w:rsidP="00473C45">
            <w:pPr>
              <w:pStyle w:val="Tablebullet"/>
              <w:numPr>
                <w:ilvl w:val="0"/>
                <w:numId w:val="0"/>
              </w:numPr>
              <w:spacing w:before="60" w:after="60"/>
              <w:rPr>
                <w:szCs w:val="20"/>
                <w:lang w:val="en-US"/>
              </w:rPr>
            </w:pPr>
            <w:r w:rsidRPr="009F27AA">
              <w:rPr>
                <w:b/>
                <w:szCs w:val="20"/>
              </w:rPr>
              <w:t>Rating: Adequate (4)</w:t>
            </w:r>
          </w:p>
          <w:p w14:paraId="2C1F80C5"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The following projects have been co-financed between DFAT and other development partners, and have been successful examples of collaborations:</w:t>
            </w:r>
          </w:p>
          <w:p w14:paraId="4F9BDF54" w14:textId="77777777" w:rsidR="00337ED6" w:rsidRPr="009F27AA" w:rsidRDefault="00337ED6" w:rsidP="00473C45">
            <w:pPr>
              <w:pStyle w:val="Tablebullet"/>
              <w:spacing w:before="60" w:after="60"/>
              <w:ind w:left="604" w:hanging="285"/>
              <w:rPr>
                <w:szCs w:val="20"/>
              </w:rPr>
            </w:pPr>
            <w:r w:rsidRPr="009F27AA">
              <w:rPr>
                <w:szCs w:val="20"/>
              </w:rPr>
              <w:t>Nauru Electricity Supply and Sustainability Project (co-financed with the Asian Development Bank and European Union)</w:t>
            </w:r>
          </w:p>
          <w:p w14:paraId="29D38A96" w14:textId="77777777" w:rsidR="00337ED6" w:rsidRPr="009F27AA" w:rsidRDefault="00337ED6" w:rsidP="00473C45">
            <w:pPr>
              <w:pStyle w:val="Tablebullet"/>
              <w:spacing w:before="60" w:after="60"/>
              <w:ind w:left="604" w:hanging="285"/>
              <w:rPr>
                <w:szCs w:val="20"/>
              </w:rPr>
            </w:pPr>
            <w:r w:rsidRPr="009F27AA">
              <w:rPr>
                <w:szCs w:val="20"/>
              </w:rPr>
              <w:t>Port redevelopment and Port Institutional Strengthening (co-financed with the Asian Development Bank, Government of Nauru and Green Climate Fund)</w:t>
            </w:r>
          </w:p>
          <w:p w14:paraId="337853A4"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The following projects have been implemented by DFAT directly:</w:t>
            </w:r>
          </w:p>
          <w:p w14:paraId="2A2D886E" w14:textId="5BEE5700" w:rsidR="00337ED6" w:rsidRPr="009F27AA" w:rsidRDefault="00337ED6" w:rsidP="00473C45">
            <w:pPr>
              <w:pStyle w:val="Tablebullet"/>
              <w:spacing w:before="60" w:after="60"/>
              <w:ind w:left="604" w:hanging="285"/>
              <w:rPr>
                <w:szCs w:val="20"/>
              </w:rPr>
            </w:pPr>
            <w:r w:rsidRPr="009F27AA">
              <w:rPr>
                <w:szCs w:val="20"/>
              </w:rPr>
              <w:t xml:space="preserve">Hospital (stage 1 and 2) </w:t>
            </w:r>
          </w:p>
          <w:p w14:paraId="2FD7B33D" w14:textId="77777777" w:rsidR="00337ED6" w:rsidRPr="009F27AA" w:rsidRDefault="00337ED6" w:rsidP="00473C45">
            <w:pPr>
              <w:pStyle w:val="Tablebullet"/>
              <w:spacing w:before="60" w:after="60"/>
              <w:ind w:left="604" w:hanging="285"/>
              <w:rPr>
                <w:szCs w:val="20"/>
              </w:rPr>
            </w:pPr>
            <w:r w:rsidRPr="009F27AA">
              <w:rPr>
                <w:szCs w:val="20"/>
              </w:rPr>
              <w:t>NUC CEO (through PACTAM program)</w:t>
            </w:r>
          </w:p>
          <w:p w14:paraId="0103E562"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The following projects have been delivered using government systems, with mixed results from which lessons have been learned:</w:t>
            </w:r>
          </w:p>
          <w:p w14:paraId="0D839940" w14:textId="4D8110A6" w:rsidR="00337ED6" w:rsidRPr="009F27AA" w:rsidRDefault="00337ED6" w:rsidP="00473C45">
            <w:pPr>
              <w:pStyle w:val="Tablebullet"/>
              <w:spacing w:before="60" w:after="60"/>
              <w:ind w:left="604" w:hanging="285"/>
              <w:rPr>
                <w:szCs w:val="20"/>
              </w:rPr>
            </w:pPr>
            <w:r w:rsidRPr="009F27AA">
              <w:rPr>
                <w:szCs w:val="20"/>
              </w:rPr>
              <w:t xml:space="preserve">TVET </w:t>
            </w:r>
            <w:r w:rsidR="003D39B3">
              <w:rPr>
                <w:szCs w:val="20"/>
              </w:rPr>
              <w:t>Centre</w:t>
            </w:r>
          </w:p>
          <w:p w14:paraId="0C9AEC05" w14:textId="4893F951" w:rsidR="00337ED6" w:rsidRPr="009F27AA" w:rsidRDefault="00337ED6" w:rsidP="00473C45">
            <w:pPr>
              <w:pStyle w:val="Tablebullet"/>
              <w:spacing w:before="60" w:after="60"/>
              <w:ind w:left="604" w:hanging="285"/>
              <w:rPr>
                <w:szCs w:val="20"/>
              </w:rPr>
            </w:pPr>
            <w:r w:rsidRPr="009F27AA">
              <w:rPr>
                <w:szCs w:val="20"/>
              </w:rPr>
              <w:t xml:space="preserve">USP Learning </w:t>
            </w:r>
            <w:r w:rsidR="003D39B3">
              <w:rPr>
                <w:szCs w:val="20"/>
              </w:rPr>
              <w:t>Centre</w:t>
            </w:r>
          </w:p>
          <w:p w14:paraId="2E5D2A89" w14:textId="77777777" w:rsidR="00337ED6" w:rsidRPr="009F27AA" w:rsidRDefault="00337ED6" w:rsidP="00473C45">
            <w:pPr>
              <w:pStyle w:val="Tablebullet"/>
              <w:spacing w:before="60" w:after="60"/>
              <w:ind w:left="604" w:hanging="285"/>
              <w:rPr>
                <w:szCs w:val="20"/>
              </w:rPr>
            </w:pPr>
            <w:r w:rsidRPr="009F27AA">
              <w:rPr>
                <w:szCs w:val="20"/>
              </w:rPr>
              <w:t>Wellness clinics</w:t>
            </w:r>
          </w:p>
          <w:p w14:paraId="47359A21" w14:textId="77777777" w:rsidR="00337ED6" w:rsidRPr="009F27AA" w:rsidRDefault="00337ED6" w:rsidP="00473C45">
            <w:pPr>
              <w:pStyle w:val="Tablebullet"/>
              <w:spacing w:before="60" w:after="60"/>
              <w:ind w:left="604" w:hanging="285"/>
              <w:rPr>
                <w:szCs w:val="20"/>
              </w:rPr>
            </w:pPr>
            <w:r w:rsidRPr="009F27AA">
              <w:rPr>
                <w:szCs w:val="20"/>
              </w:rPr>
              <w:t>Household water tanks</w:t>
            </w:r>
          </w:p>
          <w:p w14:paraId="6E66C9B3" w14:textId="77777777" w:rsidR="00337ED6" w:rsidRPr="009F27AA" w:rsidRDefault="00337ED6" w:rsidP="00473C45">
            <w:pPr>
              <w:pStyle w:val="Tablebullet"/>
              <w:spacing w:before="60" w:after="60"/>
              <w:ind w:left="604" w:hanging="285"/>
              <w:rPr>
                <w:szCs w:val="20"/>
              </w:rPr>
            </w:pPr>
            <w:r w:rsidRPr="009F27AA">
              <w:rPr>
                <w:szCs w:val="20"/>
              </w:rPr>
              <w:t>Sports complex</w:t>
            </w:r>
          </w:p>
          <w:p w14:paraId="7854DB26"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Opportunities for collaboration through regional platforms such as PRIF are not currently being leveraged.</w:t>
            </w:r>
          </w:p>
          <w:p w14:paraId="6A683C36" w14:textId="77777777" w:rsidR="00337ED6" w:rsidRPr="009F27AA" w:rsidRDefault="00337ED6" w:rsidP="00473C45">
            <w:pPr>
              <w:pStyle w:val="Tablebullet"/>
              <w:numPr>
                <w:ilvl w:val="0"/>
                <w:numId w:val="0"/>
              </w:numPr>
              <w:spacing w:before="60" w:after="60"/>
              <w:rPr>
                <w:szCs w:val="20"/>
                <w:lang w:val="en-US"/>
              </w:rPr>
            </w:pPr>
            <w:r w:rsidRPr="009F27AA">
              <w:rPr>
                <w:szCs w:val="20"/>
                <w:lang w:val="en-US"/>
              </w:rPr>
              <w:t xml:space="preserve">The port is a good example of Australian funds being leveraged by GCF contributions matching (and exceeding) Australia’s contributions, demonstrating good efficiency. </w:t>
            </w:r>
          </w:p>
        </w:tc>
      </w:tr>
    </w:tbl>
    <w:p w14:paraId="52947850" w14:textId="77777777" w:rsidR="00337ED6" w:rsidRDefault="00337ED6" w:rsidP="00A716D9">
      <w:pPr>
        <w:rPr>
          <w:lang w:eastAsia="en-AU"/>
        </w:rPr>
      </w:pPr>
    </w:p>
    <w:p w14:paraId="24D86D8E" w14:textId="77777777" w:rsidR="00337ED6" w:rsidRDefault="00337ED6">
      <w:pPr>
        <w:spacing w:before="0" w:after="0"/>
        <w:rPr>
          <w:lang w:eastAsia="en-AU"/>
        </w:rPr>
      </w:pPr>
      <w:r>
        <w:rPr>
          <w:lang w:eastAsia="en-AU"/>
        </w:rPr>
        <w:br w:type="page"/>
      </w: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4593"/>
        <w:gridCol w:w="5361"/>
      </w:tblGrid>
      <w:tr w:rsidR="009860C3" w:rsidRPr="009F27AA" w14:paraId="26133A77" w14:textId="77777777" w:rsidTr="00473C45">
        <w:trPr>
          <w:trHeight w:val="353"/>
        </w:trPr>
        <w:tc>
          <w:tcPr>
            <w:tcW w:w="2126" w:type="dxa"/>
            <w:shd w:val="clear" w:color="auto" w:fill="FABF8F" w:themeFill="accent6" w:themeFillTint="99"/>
          </w:tcPr>
          <w:p w14:paraId="1DEFA7EC" w14:textId="77777777" w:rsidR="009860C3" w:rsidRPr="009F27AA" w:rsidRDefault="009860C3" w:rsidP="00473C45">
            <w:pPr>
              <w:spacing w:before="60" w:after="100"/>
              <w:rPr>
                <w:b/>
                <w:szCs w:val="20"/>
              </w:rPr>
            </w:pPr>
            <w:r w:rsidRPr="009F27AA">
              <w:rPr>
                <w:b/>
                <w:szCs w:val="20"/>
              </w:rPr>
              <w:lastRenderedPageBreak/>
              <w:t xml:space="preserve">Key question </w:t>
            </w:r>
          </w:p>
        </w:tc>
        <w:tc>
          <w:tcPr>
            <w:tcW w:w="19954" w:type="dxa"/>
            <w:gridSpan w:val="2"/>
            <w:shd w:val="clear" w:color="auto" w:fill="FABF8F" w:themeFill="accent6" w:themeFillTint="99"/>
          </w:tcPr>
          <w:p w14:paraId="0E09B937" w14:textId="77777777" w:rsidR="009860C3" w:rsidRPr="009F27AA" w:rsidRDefault="009860C3" w:rsidP="00473C45">
            <w:pPr>
              <w:pStyle w:val="Nospacingbeforeorafter"/>
              <w:spacing w:before="60" w:after="60"/>
              <w:rPr>
                <w:b/>
                <w:szCs w:val="20"/>
              </w:rPr>
            </w:pPr>
            <w:r w:rsidRPr="009F27AA">
              <w:rPr>
                <w:b/>
                <w:szCs w:val="20"/>
              </w:rPr>
              <w:t xml:space="preserve">Overall finding: </w:t>
            </w:r>
          </w:p>
        </w:tc>
      </w:tr>
      <w:tr w:rsidR="009860C3" w:rsidRPr="009F27AA" w14:paraId="1652D6BE" w14:textId="77777777" w:rsidTr="00473C45">
        <w:trPr>
          <w:trHeight w:val="564"/>
        </w:trPr>
        <w:tc>
          <w:tcPr>
            <w:tcW w:w="2126" w:type="dxa"/>
            <w:shd w:val="clear" w:color="auto" w:fill="FBD4B4" w:themeFill="accent6" w:themeFillTint="66"/>
          </w:tcPr>
          <w:p w14:paraId="4AB6A5A5" w14:textId="77777777" w:rsidR="009860C3" w:rsidRPr="009F27AA" w:rsidRDefault="009860C3" w:rsidP="00A2387B">
            <w:pPr>
              <w:pStyle w:val="tabletext0"/>
              <w:numPr>
                <w:ilvl w:val="0"/>
                <w:numId w:val="12"/>
              </w:numPr>
              <w:tabs>
                <w:tab w:val="left" w:pos="250"/>
              </w:tabs>
              <w:ind w:left="22" w:right="45" w:hanging="22"/>
              <w:rPr>
                <w:b/>
                <w:szCs w:val="20"/>
              </w:rPr>
            </w:pPr>
            <w:r w:rsidRPr="009F27AA">
              <w:rPr>
                <w:rFonts w:eastAsia="Times" w:cs="Arial"/>
                <w:b/>
                <w:szCs w:val="20"/>
              </w:rPr>
              <w:t xml:space="preserve">What would the preferred structure of the program, performance expectations and monitoring and evaluation look like? </w:t>
            </w:r>
          </w:p>
        </w:tc>
        <w:tc>
          <w:tcPr>
            <w:tcW w:w="19954" w:type="dxa"/>
            <w:gridSpan w:val="2"/>
            <w:shd w:val="clear" w:color="auto" w:fill="FBD4B4" w:themeFill="accent6" w:themeFillTint="66"/>
          </w:tcPr>
          <w:p w14:paraId="5BFD908B" w14:textId="77777777" w:rsidR="009860C3" w:rsidRPr="009F27AA" w:rsidRDefault="00621525" w:rsidP="00473C45">
            <w:pPr>
              <w:pStyle w:val="Nospacingbeforeorafter"/>
              <w:spacing w:before="120" w:after="120"/>
              <w:rPr>
                <w:szCs w:val="20"/>
                <w:lang w:val="en-US"/>
              </w:rPr>
            </w:pPr>
            <w:r>
              <w:rPr>
                <w:b/>
                <w:bCs/>
                <w:szCs w:val="20"/>
                <w:lang w:eastAsia="en-AU"/>
              </w:rPr>
              <w:t>Government of Nauru to embed and implement a robust and strategic infrastructure framework for prioritisation and selection of investments.</w:t>
            </w:r>
            <w:r w:rsidRPr="009F27AA">
              <w:rPr>
                <w:b/>
                <w:szCs w:val="20"/>
                <w:lang w:val="en-US"/>
              </w:rPr>
              <w:t xml:space="preserve"> </w:t>
            </w:r>
            <w:r w:rsidR="009860C3" w:rsidRPr="009F27AA">
              <w:rPr>
                <w:szCs w:val="20"/>
                <w:lang w:val="en-US"/>
              </w:rPr>
              <w:t xml:space="preserve">The GoN has established the Nauru Infrastructure &amp; Asset Management Steering Committee (NIAMSC) to develop a Nauru Infrastructure Asset Management Framework (NIAMF) and National Infrastructure Investment and Management Strategy (NIIMS) to set the direction for infrastructure investments and asset management for the next 5 to 10 years. The Pacific Regional Infrastructure Facility (PRIF), of which DFAT is a partner and co-funder, are supporting this activity. </w:t>
            </w:r>
            <w:r w:rsidR="009860C3" w:rsidRPr="009F27AA">
              <w:rPr>
                <w:szCs w:val="20"/>
              </w:rPr>
              <w:t xml:space="preserve"> Given the critical importance of gains in this area, it would be in DFAT’s interest to support the program to enhance effectiveness of outcomes. </w:t>
            </w:r>
            <w:r w:rsidR="009860C3" w:rsidRPr="009F27AA">
              <w:rPr>
                <w:szCs w:val="20"/>
                <w:lang w:val="en-US"/>
              </w:rPr>
              <w:t>It is recommended that DFAT support GoN to:</w:t>
            </w:r>
          </w:p>
          <w:p w14:paraId="299F0A07" w14:textId="77777777" w:rsidR="00FD625E" w:rsidRPr="00FD625E" w:rsidRDefault="00FD625E" w:rsidP="00FD625E">
            <w:pPr>
              <w:pStyle w:val="Nospacingbeforeorafter"/>
              <w:numPr>
                <w:ilvl w:val="0"/>
                <w:numId w:val="32"/>
              </w:numPr>
              <w:rPr>
                <w:szCs w:val="20"/>
                <w:lang w:eastAsia="en-AU"/>
              </w:rPr>
            </w:pPr>
            <w:r>
              <w:rPr>
                <w:szCs w:val="20"/>
              </w:rPr>
              <w:t>Develop</w:t>
            </w:r>
            <w:r>
              <w:rPr>
                <w:szCs w:val="20"/>
                <w:lang w:eastAsia="en-AU"/>
              </w:rPr>
              <w:t xml:space="preserve"> an </w:t>
            </w:r>
            <w:r>
              <w:rPr>
                <w:b/>
                <w:bCs/>
                <w:szCs w:val="20"/>
                <w:lang w:eastAsia="en-AU"/>
              </w:rPr>
              <w:t>Infrastructure Strategy for DFAT</w:t>
            </w:r>
            <w:r>
              <w:rPr>
                <w:szCs w:val="20"/>
                <w:lang w:eastAsia="en-AU"/>
              </w:rPr>
              <w:t xml:space="preserve"> Nauru that aligns with the NIAMF and NIIMS, and support them as the platform to inform infrastructure investments through GoN budget allocations and requests for funding from DFAT and other development partners;</w:t>
            </w:r>
          </w:p>
          <w:p w14:paraId="555066BD" w14:textId="77777777" w:rsidR="00FD625E" w:rsidRPr="00FD625E" w:rsidRDefault="00FD625E" w:rsidP="00FD625E">
            <w:pPr>
              <w:pStyle w:val="Nospacingbeforeorafter"/>
              <w:numPr>
                <w:ilvl w:val="0"/>
                <w:numId w:val="32"/>
              </w:numPr>
              <w:spacing w:before="120"/>
              <w:ind w:left="714" w:hanging="357"/>
              <w:rPr>
                <w:szCs w:val="20"/>
                <w:lang w:eastAsia="en-AU"/>
              </w:rPr>
            </w:pPr>
            <w:r w:rsidRPr="00FD625E">
              <w:rPr>
                <w:szCs w:val="20"/>
              </w:rPr>
              <w:t>Analyse</w:t>
            </w:r>
            <w:r w:rsidRPr="00FD625E">
              <w:rPr>
                <w:b/>
                <w:bCs/>
                <w:szCs w:val="20"/>
                <w:lang w:eastAsia="en-AU"/>
              </w:rPr>
              <w:t xml:space="preserve"> lessons learned </w:t>
            </w:r>
            <w:r w:rsidRPr="00FD625E">
              <w:rPr>
                <w:szCs w:val="20"/>
                <w:lang w:eastAsia="en-AU"/>
              </w:rPr>
              <w:t xml:space="preserve">from the 2011 NEISIP activity delivered by PRIF, which was revised in 2013, to determine if any adjustments to the approach are needed and support </w:t>
            </w:r>
            <w:r w:rsidRPr="00FD625E">
              <w:rPr>
                <w:b/>
                <w:bCs/>
                <w:szCs w:val="20"/>
                <w:lang w:eastAsia="en-AU"/>
              </w:rPr>
              <w:t xml:space="preserve">a quality peer review </w:t>
            </w:r>
            <w:r w:rsidRPr="00FD625E">
              <w:rPr>
                <w:szCs w:val="20"/>
                <w:lang w:eastAsia="en-AU"/>
              </w:rPr>
              <w:t>of NIAMF, NIIMS and associated documents is undertaken (through PRIF, independently and including DFAT feedback) to ensure robust analysis;</w:t>
            </w:r>
          </w:p>
          <w:p w14:paraId="08824358" w14:textId="77777777" w:rsidR="00FD625E" w:rsidRDefault="00FD625E" w:rsidP="00FD625E">
            <w:pPr>
              <w:pStyle w:val="Nospacingbeforeorafter"/>
              <w:numPr>
                <w:ilvl w:val="0"/>
                <w:numId w:val="32"/>
              </w:numPr>
              <w:spacing w:before="120"/>
              <w:ind w:left="714" w:hanging="357"/>
              <w:rPr>
                <w:szCs w:val="20"/>
                <w:lang w:eastAsia="en-AU"/>
              </w:rPr>
            </w:pPr>
            <w:r w:rsidRPr="00FD625E">
              <w:rPr>
                <w:b/>
                <w:szCs w:val="20"/>
              </w:rPr>
              <w:t>Develop</w:t>
            </w:r>
            <w:r>
              <w:rPr>
                <w:b/>
                <w:bCs/>
                <w:szCs w:val="20"/>
                <w:lang w:eastAsia="en-AU"/>
              </w:rPr>
              <w:t xml:space="preserve"> the capacity of GoN </w:t>
            </w:r>
            <w:r>
              <w:rPr>
                <w:szCs w:val="20"/>
                <w:lang w:eastAsia="en-AU"/>
              </w:rPr>
              <w:t>to periodically update the NIAMF, NIIMS and associated documents to inform infrastructure project prioritization over time (such as through a long-term embedded PACTAM advisor); and</w:t>
            </w:r>
          </w:p>
          <w:p w14:paraId="085E42EA" w14:textId="77777777" w:rsidR="00FD625E" w:rsidRPr="009F27AA" w:rsidRDefault="00FD625E" w:rsidP="00FD625E">
            <w:pPr>
              <w:pStyle w:val="Nospacingbeforeorafter"/>
              <w:numPr>
                <w:ilvl w:val="0"/>
                <w:numId w:val="32"/>
              </w:numPr>
              <w:spacing w:before="120"/>
              <w:ind w:left="714" w:hanging="357"/>
              <w:rPr>
                <w:szCs w:val="20"/>
                <w:lang w:val="en-US"/>
              </w:rPr>
            </w:pPr>
            <w:r>
              <w:rPr>
                <w:b/>
                <w:bCs/>
                <w:szCs w:val="20"/>
                <w:lang w:eastAsia="en-AU"/>
              </w:rPr>
              <w:t xml:space="preserve">Coordinate and harmonize </w:t>
            </w:r>
            <w:r>
              <w:rPr>
                <w:szCs w:val="20"/>
                <w:lang w:eastAsia="en-AU"/>
              </w:rPr>
              <w:t>with development partners as a key part of the process of selecting infrastructure investments to ensure that the highest priority projects are supported and opportunities to leverage the strategic advantages of each development partner are identified, as well as opportunities to co-fund or otherwise collaborate to leverage available funds. The PRIF mechanism could be a platform to facilitate coordination across Nauru’s infrastructure investments.</w:t>
            </w:r>
          </w:p>
          <w:p w14:paraId="2339CA79" w14:textId="77777777" w:rsidR="009860C3" w:rsidRPr="009F27AA" w:rsidRDefault="009860C3" w:rsidP="00473C45">
            <w:pPr>
              <w:pStyle w:val="Nospacingbeforeorafter"/>
              <w:spacing w:before="80"/>
              <w:rPr>
                <w:szCs w:val="20"/>
                <w:lang w:val="en-US"/>
              </w:rPr>
            </w:pPr>
            <w:r w:rsidRPr="009F27AA">
              <w:rPr>
                <w:szCs w:val="20"/>
              </w:rPr>
              <w:t>Realistic expectations would be needed regarding the longevity of engagement and level of support needed to deliver sustained capacity, considering constraints such as the political economy and likely long-term lack of human resources typical of a micro-state. The recently established Ministry of Infrastructure Development would likely need embedded support to establish their role and ability to deliver necessary results.</w:t>
            </w:r>
          </w:p>
          <w:p w14:paraId="7B195806" w14:textId="77777777" w:rsidR="009860C3" w:rsidRPr="009F27AA" w:rsidRDefault="009860C3" w:rsidP="00473C45">
            <w:pPr>
              <w:pStyle w:val="Nospacingbeforeorafter"/>
              <w:spacing w:before="60" w:after="60"/>
              <w:rPr>
                <w:szCs w:val="20"/>
              </w:rPr>
            </w:pPr>
          </w:p>
        </w:tc>
      </w:tr>
      <w:tr w:rsidR="009860C3" w:rsidRPr="009F27AA" w14:paraId="3DEBE246" w14:textId="77777777" w:rsidTr="00473C45">
        <w:trPr>
          <w:trHeight w:val="419"/>
        </w:trPr>
        <w:tc>
          <w:tcPr>
            <w:tcW w:w="2126" w:type="dxa"/>
            <w:shd w:val="clear" w:color="auto" w:fill="FABF8F" w:themeFill="accent6" w:themeFillTint="99"/>
          </w:tcPr>
          <w:p w14:paraId="0304F48B" w14:textId="77777777" w:rsidR="009860C3" w:rsidRPr="009F27AA" w:rsidRDefault="009860C3" w:rsidP="00473C45">
            <w:pPr>
              <w:spacing w:before="60" w:after="60"/>
              <w:rPr>
                <w:b/>
                <w:szCs w:val="20"/>
              </w:rPr>
            </w:pPr>
            <w:r w:rsidRPr="009F27AA">
              <w:rPr>
                <w:b/>
                <w:szCs w:val="20"/>
              </w:rPr>
              <w:t xml:space="preserve">Sub-question </w:t>
            </w:r>
          </w:p>
        </w:tc>
        <w:tc>
          <w:tcPr>
            <w:tcW w:w="14593" w:type="dxa"/>
            <w:tcBorders>
              <w:right w:val="single" w:sz="4" w:space="0" w:color="E26E00"/>
            </w:tcBorders>
            <w:shd w:val="clear" w:color="auto" w:fill="FABF8F" w:themeFill="accent6" w:themeFillTint="99"/>
          </w:tcPr>
          <w:p w14:paraId="702630D7" w14:textId="77777777" w:rsidR="009860C3" w:rsidRPr="009F27AA" w:rsidRDefault="009860C3" w:rsidP="00473C45">
            <w:pPr>
              <w:pStyle w:val="Nospacingbeforeorafter"/>
              <w:spacing w:before="60" w:after="60"/>
              <w:rPr>
                <w:b/>
                <w:szCs w:val="20"/>
              </w:rPr>
            </w:pPr>
            <w:r w:rsidRPr="009F27AA">
              <w:rPr>
                <w:b/>
                <w:szCs w:val="20"/>
              </w:rPr>
              <w:t xml:space="preserve">Evidence </w:t>
            </w:r>
          </w:p>
        </w:tc>
        <w:tc>
          <w:tcPr>
            <w:tcW w:w="5361" w:type="dxa"/>
            <w:tcBorders>
              <w:left w:val="single" w:sz="4" w:space="0" w:color="E26E00"/>
            </w:tcBorders>
            <w:shd w:val="clear" w:color="auto" w:fill="FABF8F" w:themeFill="accent6" w:themeFillTint="99"/>
          </w:tcPr>
          <w:p w14:paraId="042C98BB" w14:textId="77777777" w:rsidR="009860C3" w:rsidRPr="009F27AA" w:rsidRDefault="009860C3" w:rsidP="00473C45">
            <w:pPr>
              <w:pStyle w:val="Nospacingbeforeorafter"/>
              <w:spacing w:before="60" w:after="60"/>
              <w:rPr>
                <w:b/>
                <w:szCs w:val="20"/>
              </w:rPr>
            </w:pPr>
            <w:r w:rsidRPr="009F27AA">
              <w:rPr>
                <w:b/>
                <w:szCs w:val="20"/>
              </w:rPr>
              <w:t>Findings</w:t>
            </w:r>
          </w:p>
        </w:tc>
      </w:tr>
      <w:tr w:rsidR="009860C3" w:rsidRPr="009F27AA" w14:paraId="1ACBB3E3" w14:textId="77777777" w:rsidTr="00473C45">
        <w:trPr>
          <w:trHeight w:val="419"/>
        </w:trPr>
        <w:tc>
          <w:tcPr>
            <w:tcW w:w="2126" w:type="dxa"/>
            <w:shd w:val="clear" w:color="auto" w:fill="FABF8F" w:themeFill="accent6" w:themeFillTint="99"/>
          </w:tcPr>
          <w:p w14:paraId="1D5474F1" w14:textId="77777777" w:rsidR="009860C3" w:rsidRPr="009F27AA" w:rsidRDefault="009860C3" w:rsidP="00473C45">
            <w:pPr>
              <w:spacing w:before="60" w:after="60"/>
              <w:rPr>
                <w:b/>
                <w:szCs w:val="20"/>
              </w:rPr>
            </w:pPr>
          </w:p>
        </w:tc>
        <w:tc>
          <w:tcPr>
            <w:tcW w:w="14593" w:type="dxa"/>
            <w:tcBorders>
              <w:right w:val="single" w:sz="4" w:space="0" w:color="E26E00"/>
            </w:tcBorders>
            <w:shd w:val="clear" w:color="auto" w:fill="FABF8F" w:themeFill="accent6" w:themeFillTint="99"/>
          </w:tcPr>
          <w:p w14:paraId="4C170F67" w14:textId="77777777" w:rsidR="009860C3" w:rsidRPr="009F27AA" w:rsidRDefault="009860C3" w:rsidP="00473C45">
            <w:pPr>
              <w:pStyle w:val="Nospacingbeforeorafter"/>
              <w:spacing w:before="60" w:after="60"/>
              <w:rPr>
                <w:b/>
                <w:szCs w:val="20"/>
              </w:rPr>
            </w:pPr>
            <w:r>
              <w:rPr>
                <w:b/>
                <w:szCs w:val="20"/>
              </w:rPr>
              <w:t xml:space="preserve">Strength of evidence: Moderate </w:t>
            </w:r>
            <w:r w:rsidRPr="009F27AA">
              <w:rPr>
                <w:i/>
                <w:szCs w:val="20"/>
                <w:lang w:val="en-US"/>
              </w:rPr>
              <w:t xml:space="preserve">(Based on </w:t>
            </w:r>
            <w:r>
              <w:rPr>
                <w:i/>
                <w:szCs w:val="20"/>
                <w:lang w:val="en-US"/>
              </w:rPr>
              <w:t>partner/GoN/GoA</w:t>
            </w:r>
            <w:r w:rsidRPr="009F27AA">
              <w:rPr>
                <w:i/>
                <w:szCs w:val="20"/>
                <w:lang w:val="en-US"/>
              </w:rPr>
              <w:t xml:space="preserve"> documents and primary interviews)</w:t>
            </w:r>
          </w:p>
        </w:tc>
        <w:tc>
          <w:tcPr>
            <w:tcW w:w="5361" w:type="dxa"/>
            <w:tcBorders>
              <w:left w:val="single" w:sz="4" w:space="0" w:color="E26E00"/>
            </w:tcBorders>
            <w:shd w:val="clear" w:color="auto" w:fill="FABF8F" w:themeFill="accent6" w:themeFillTint="99"/>
          </w:tcPr>
          <w:p w14:paraId="2BB6B1B2" w14:textId="77777777" w:rsidR="009860C3" w:rsidRPr="009F27AA" w:rsidRDefault="009860C3" w:rsidP="00473C45">
            <w:pPr>
              <w:pStyle w:val="Nospacingbeforeorafter"/>
              <w:spacing w:before="60" w:after="60"/>
              <w:rPr>
                <w:b/>
                <w:szCs w:val="20"/>
              </w:rPr>
            </w:pPr>
            <w:r>
              <w:rPr>
                <w:b/>
                <w:szCs w:val="20"/>
              </w:rPr>
              <w:t>Rating: Adequate (4)</w:t>
            </w:r>
          </w:p>
        </w:tc>
      </w:tr>
      <w:tr w:rsidR="009860C3" w:rsidRPr="009F27AA" w14:paraId="4F90C000" w14:textId="77777777" w:rsidTr="00473C45">
        <w:trPr>
          <w:trHeight w:val="419"/>
        </w:trPr>
        <w:tc>
          <w:tcPr>
            <w:tcW w:w="2126" w:type="dxa"/>
            <w:shd w:val="clear" w:color="auto" w:fill="FFFFFF" w:themeFill="background1"/>
          </w:tcPr>
          <w:p w14:paraId="13C0C41D" w14:textId="77777777" w:rsidR="009860C3" w:rsidRPr="009F27AA" w:rsidRDefault="009860C3" w:rsidP="00A2387B">
            <w:pPr>
              <w:numPr>
                <w:ilvl w:val="0"/>
                <w:numId w:val="13"/>
              </w:numPr>
              <w:spacing w:before="60" w:after="60"/>
              <w:ind w:left="309"/>
              <w:rPr>
                <w:rFonts w:eastAsia="Times"/>
                <w:szCs w:val="20"/>
              </w:rPr>
            </w:pPr>
            <w:r w:rsidRPr="009F27AA">
              <w:rPr>
                <w:rFonts w:eastAsia="Times"/>
                <w:szCs w:val="20"/>
              </w:rPr>
              <w:t>To what extent are the current reporting and M&amp;E arrangements suitable considering DFAT standards, particularly for the indoor sports complex, and Nauru port reform and redevelopment?</w:t>
            </w:r>
          </w:p>
        </w:tc>
        <w:tc>
          <w:tcPr>
            <w:tcW w:w="14593" w:type="dxa"/>
            <w:tcBorders>
              <w:right w:val="single" w:sz="4" w:space="0" w:color="E26E00"/>
            </w:tcBorders>
          </w:tcPr>
          <w:p w14:paraId="65304C4C" w14:textId="77777777" w:rsidR="009860C3" w:rsidRPr="009F27AA" w:rsidRDefault="009860C3" w:rsidP="00473C45">
            <w:pPr>
              <w:pStyle w:val="Tablebullet"/>
              <w:spacing w:before="60" w:after="60"/>
              <w:ind w:left="885" w:hanging="426"/>
              <w:rPr>
                <w:szCs w:val="20"/>
              </w:rPr>
            </w:pPr>
            <w:r w:rsidRPr="009F27AA">
              <w:rPr>
                <w:szCs w:val="20"/>
              </w:rPr>
              <w:t>There is no overarching ToC or M&amp;E framework for the Infrastructure and Essential Services Portfolio. [interview with DFAT]</w:t>
            </w:r>
          </w:p>
          <w:p w14:paraId="08EBEF8E" w14:textId="77777777" w:rsidR="009860C3" w:rsidRPr="009F27AA" w:rsidRDefault="009860C3" w:rsidP="00473C45">
            <w:pPr>
              <w:pStyle w:val="Tablebullet"/>
              <w:spacing w:before="60" w:after="60"/>
              <w:ind w:left="885" w:hanging="426"/>
              <w:rPr>
                <w:szCs w:val="20"/>
              </w:rPr>
            </w:pPr>
            <w:r w:rsidRPr="009F27AA">
              <w:rPr>
                <w:szCs w:val="20"/>
              </w:rPr>
              <w:t xml:space="preserve">In July 2017, DFAT-Nauru finalized a Performance Assessment Framework (PAF).  The PAF identified the following milestones for the 2016-17 and 2017-18 FY: </w:t>
            </w:r>
          </w:p>
          <w:tbl>
            <w:tblPr>
              <w:tblStyle w:val="TableGrid"/>
              <w:tblW w:w="12304" w:type="dxa"/>
              <w:tblInd w:w="1034" w:type="dxa"/>
              <w:tblLayout w:type="fixed"/>
              <w:tblLook w:val="04A0" w:firstRow="1" w:lastRow="0" w:firstColumn="1" w:lastColumn="0" w:noHBand="0" w:noVBand="1"/>
            </w:tblPr>
            <w:tblGrid>
              <w:gridCol w:w="3185"/>
              <w:gridCol w:w="5012"/>
              <w:gridCol w:w="4107"/>
            </w:tblGrid>
            <w:tr w:rsidR="009860C3" w:rsidRPr="009F27AA" w14:paraId="2F63BEAA" w14:textId="77777777" w:rsidTr="00473C45">
              <w:trPr>
                <w:trHeight w:val="194"/>
              </w:trPr>
              <w:tc>
                <w:tcPr>
                  <w:tcW w:w="12304" w:type="dxa"/>
                  <w:gridSpan w:val="3"/>
                </w:tcPr>
                <w:p w14:paraId="5E51DC4C" w14:textId="77777777" w:rsidR="009860C3" w:rsidRPr="009F27AA" w:rsidRDefault="009860C3" w:rsidP="00F17D88">
                  <w:pPr>
                    <w:framePr w:hSpace="181" w:wrap="around" w:vAnchor="text" w:hAnchor="margin" w:x="-577" w:y="1"/>
                    <w:spacing w:before="40" w:after="40"/>
                    <w:rPr>
                      <w:b/>
                      <w:color w:val="000000" w:themeColor="text1"/>
                      <w:szCs w:val="20"/>
                    </w:rPr>
                  </w:pPr>
                  <w:r w:rsidRPr="009F27AA">
                    <w:rPr>
                      <w:b/>
                      <w:color w:val="000000" w:themeColor="text1"/>
                      <w:szCs w:val="20"/>
                    </w:rPr>
                    <w:t>INVESTMENT IN NATION BUILDING INFRASTRUCTURE</w:t>
                  </w:r>
                </w:p>
                <w:p w14:paraId="057D34EB" w14:textId="77777777" w:rsidR="009860C3" w:rsidRPr="009F27AA" w:rsidRDefault="009860C3" w:rsidP="00F17D88">
                  <w:pPr>
                    <w:framePr w:hSpace="181" w:wrap="around" w:vAnchor="text" w:hAnchor="margin" w:x="-577" w:y="1"/>
                    <w:spacing w:before="40" w:after="40"/>
                    <w:rPr>
                      <w:b/>
                      <w:color w:val="C0504D" w:themeColor="accent2"/>
                      <w:szCs w:val="20"/>
                    </w:rPr>
                  </w:pPr>
                  <w:r w:rsidRPr="009F27AA">
                    <w:rPr>
                      <w:b/>
                      <w:color w:val="000000" w:themeColor="text1"/>
                      <w:szCs w:val="20"/>
                    </w:rPr>
                    <w:t>Objective 2.0: Construction and maintenance of economic infrastructure to support human development and foster commerce and trade</w:t>
                  </w:r>
                </w:p>
              </w:tc>
            </w:tr>
            <w:tr w:rsidR="009860C3" w:rsidRPr="009F27AA" w14:paraId="15131DA3" w14:textId="77777777" w:rsidTr="00473C45">
              <w:trPr>
                <w:trHeight w:val="95"/>
              </w:trPr>
              <w:tc>
                <w:tcPr>
                  <w:tcW w:w="3185" w:type="dxa"/>
                </w:tcPr>
                <w:p w14:paraId="20964871" w14:textId="77777777" w:rsidR="009860C3" w:rsidRPr="009F27AA" w:rsidRDefault="009860C3" w:rsidP="00F17D88">
                  <w:pPr>
                    <w:framePr w:hSpace="181" w:wrap="around" w:vAnchor="text" w:hAnchor="margin" w:x="-577" w:y="1"/>
                    <w:spacing w:before="40" w:after="40"/>
                    <w:ind w:left="458" w:hanging="458"/>
                    <w:rPr>
                      <w:b/>
                      <w:szCs w:val="20"/>
                    </w:rPr>
                  </w:pPr>
                  <w:r w:rsidRPr="009F27AA">
                    <w:rPr>
                      <w:b/>
                      <w:szCs w:val="20"/>
                    </w:rPr>
                    <w:t xml:space="preserve">Outcome 2.1   </w:t>
                  </w:r>
                </w:p>
                <w:p w14:paraId="4065D1DF" w14:textId="77777777" w:rsidR="009860C3" w:rsidRPr="009F27AA" w:rsidRDefault="009860C3" w:rsidP="00F17D88">
                  <w:pPr>
                    <w:framePr w:hSpace="181" w:wrap="around" w:vAnchor="text" w:hAnchor="margin" w:x="-577" w:y="1"/>
                    <w:spacing w:before="40" w:after="40"/>
                    <w:ind w:left="32"/>
                    <w:rPr>
                      <w:szCs w:val="20"/>
                    </w:rPr>
                  </w:pPr>
                  <w:r w:rsidRPr="009F27AA">
                    <w:rPr>
                      <w:szCs w:val="20"/>
                    </w:rPr>
                    <w:t xml:space="preserve">Improved reliability and cost effectiveness of power and water services and increased renewable energy </w:t>
                  </w:r>
                </w:p>
                <w:p w14:paraId="1D31220B" w14:textId="77777777" w:rsidR="009860C3" w:rsidRPr="009F27AA" w:rsidRDefault="009860C3" w:rsidP="00F17D88">
                  <w:pPr>
                    <w:framePr w:hSpace="181" w:wrap="around" w:vAnchor="text" w:hAnchor="margin" w:x="-577" w:y="1"/>
                    <w:spacing w:before="40" w:after="40"/>
                    <w:ind w:left="32"/>
                    <w:rPr>
                      <w:szCs w:val="20"/>
                    </w:rPr>
                  </w:pPr>
                </w:p>
              </w:tc>
              <w:tc>
                <w:tcPr>
                  <w:tcW w:w="5012" w:type="dxa"/>
                </w:tcPr>
                <w:p w14:paraId="00F3C529" w14:textId="77777777" w:rsidR="009860C3" w:rsidRPr="004900B4" w:rsidRDefault="009860C3" w:rsidP="00F17D88">
                  <w:pPr>
                    <w:framePr w:hSpace="181" w:wrap="around" w:vAnchor="text" w:hAnchor="margin" w:x="-577" w:y="1"/>
                    <w:spacing w:before="40" w:after="40"/>
                    <w:rPr>
                      <w:b/>
                      <w:szCs w:val="20"/>
                    </w:rPr>
                  </w:pPr>
                  <w:r w:rsidRPr="004900B4">
                    <w:rPr>
                      <w:b/>
                      <w:szCs w:val="20"/>
                    </w:rPr>
                    <w:t>Milestones for 2016-17:</w:t>
                  </w:r>
                </w:p>
                <w:p w14:paraId="22DF5C1C"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szCs w:val="20"/>
                    </w:rPr>
                  </w:pPr>
                  <w:r w:rsidRPr="004900B4">
                    <w:rPr>
                      <w:i/>
                      <w:color w:val="000000" w:themeColor="text1"/>
                      <w:szCs w:val="20"/>
                    </w:rPr>
                    <w:t>Electricity supply</w:t>
                  </w:r>
                  <w:r w:rsidRPr="004900B4">
                    <w:rPr>
                      <w:color w:val="000000" w:themeColor="text1"/>
                      <w:szCs w:val="20"/>
                    </w:rPr>
                    <w:t xml:space="preserve"> - purchase of 2 new diesel generators in partnership with NUC and ADB</w:t>
                  </w:r>
                </w:p>
                <w:p w14:paraId="6DDD6A13"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4900B4">
                    <w:rPr>
                      <w:i/>
                      <w:color w:val="000000" w:themeColor="text1"/>
                      <w:szCs w:val="20"/>
                    </w:rPr>
                    <w:t xml:space="preserve">NUC capacity </w:t>
                  </w:r>
                  <w:r w:rsidRPr="004900B4">
                    <w:rPr>
                      <w:color w:val="000000" w:themeColor="text1"/>
                      <w:szCs w:val="20"/>
                    </w:rPr>
                    <w:t>– implementation of system to improve corporate performance, individual performance, values, and leadership</w:t>
                  </w:r>
                </w:p>
                <w:p w14:paraId="623B4051"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szCs w:val="20"/>
                    </w:rPr>
                  </w:pPr>
                  <w:r w:rsidRPr="004900B4">
                    <w:rPr>
                      <w:i/>
                      <w:color w:val="000000" w:themeColor="text1"/>
                      <w:szCs w:val="20"/>
                    </w:rPr>
                    <w:t>Reporting and accountability</w:t>
                  </w:r>
                  <w:r w:rsidRPr="004900B4">
                    <w:rPr>
                      <w:color w:val="000000" w:themeColor="text1"/>
                      <w:szCs w:val="20"/>
                    </w:rPr>
                    <w:t xml:space="preserve"> - Annual Report for 2016 published</w:t>
                  </w:r>
                </w:p>
              </w:tc>
              <w:tc>
                <w:tcPr>
                  <w:tcW w:w="4107" w:type="dxa"/>
                </w:tcPr>
                <w:p w14:paraId="161F4AC1" w14:textId="77777777" w:rsidR="009860C3" w:rsidRPr="004900B4" w:rsidRDefault="009860C3" w:rsidP="00F17D88">
                  <w:pPr>
                    <w:framePr w:hSpace="181" w:wrap="around" w:vAnchor="text" w:hAnchor="margin" w:x="-577" w:y="1"/>
                    <w:spacing w:before="40" w:after="40"/>
                    <w:rPr>
                      <w:b/>
                      <w:szCs w:val="20"/>
                    </w:rPr>
                  </w:pPr>
                  <w:r w:rsidRPr="004900B4">
                    <w:rPr>
                      <w:b/>
                      <w:szCs w:val="20"/>
                    </w:rPr>
                    <w:t>Milestones for 2017-18:</w:t>
                  </w:r>
                </w:p>
                <w:p w14:paraId="49839419"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i/>
                      <w:color w:val="000000" w:themeColor="text1"/>
                      <w:szCs w:val="20"/>
                    </w:rPr>
                  </w:pPr>
                  <w:r w:rsidRPr="004900B4">
                    <w:rPr>
                      <w:i/>
                      <w:color w:val="000000" w:themeColor="text1"/>
                      <w:szCs w:val="20"/>
                    </w:rPr>
                    <w:t xml:space="preserve">Electricity supply – </w:t>
                  </w:r>
                  <w:r w:rsidRPr="004900B4">
                    <w:rPr>
                      <w:color w:val="000000" w:themeColor="text1"/>
                      <w:szCs w:val="20"/>
                    </w:rPr>
                    <w:t>delivery, installation and effective operation of 2 generators by NUC</w:t>
                  </w:r>
                </w:p>
                <w:p w14:paraId="57D54F95"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4900B4">
                    <w:rPr>
                      <w:i/>
                      <w:color w:val="000000" w:themeColor="text1"/>
                      <w:szCs w:val="20"/>
                    </w:rPr>
                    <w:t xml:space="preserve">NUC capacity - </w:t>
                  </w:r>
                  <w:r w:rsidRPr="004900B4">
                    <w:rPr>
                      <w:color w:val="000000" w:themeColor="text1"/>
                      <w:szCs w:val="20"/>
                    </w:rPr>
                    <w:t>implementation of system to improve corporate performance, individual performance, values, and leadership</w:t>
                  </w:r>
                </w:p>
                <w:p w14:paraId="2D5AF26D" w14:textId="77777777" w:rsidR="009860C3" w:rsidRPr="004900B4"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4900B4">
                    <w:rPr>
                      <w:i/>
                      <w:color w:val="000000" w:themeColor="text1"/>
                      <w:szCs w:val="20"/>
                    </w:rPr>
                    <w:t xml:space="preserve">Reporting and accountability </w:t>
                  </w:r>
                  <w:r w:rsidRPr="004900B4">
                    <w:rPr>
                      <w:color w:val="000000" w:themeColor="text1"/>
                      <w:szCs w:val="20"/>
                    </w:rPr>
                    <w:t>- Annual Report for 2017 published</w:t>
                  </w:r>
                </w:p>
              </w:tc>
            </w:tr>
            <w:tr w:rsidR="009860C3" w:rsidRPr="009F27AA" w14:paraId="31B764E1" w14:textId="77777777" w:rsidTr="00473C45">
              <w:trPr>
                <w:trHeight w:val="590"/>
              </w:trPr>
              <w:tc>
                <w:tcPr>
                  <w:tcW w:w="3185" w:type="dxa"/>
                </w:tcPr>
                <w:p w14:paraId="1964A81F" w14:textId="77777777" w:rsidR="009860C3" w:rsidRPr="009F27AA" w:rsidRDefault="009860C3" w:rsidP="00F17D88">
                  <w:pPr>
                    <w:framePr w:hSpace="181" w:wrap="around" w:vAnchor="text" w:hAnchor="margin" w:x="-577" w:y="1"/>
                    <w:spacing w:before="40" w:after="40"/>
                    <w:ind w:left="458" w:hanging="458"/>
                    <w:rPr>
                      <w:b/>
                      <w:szCs w:val="20"/>
                    </w:rPr>
                  </w:pPr>
                  <w:r w:rsidRPr="009F27AA">
                    <w:rPr>
                      <w:b/>
                      <w:szCs w:val="20"/>
                    </w:rPr>
                    <w:t>Outcome 2.2</w:t>
                  </w:r>
                </w:p>
                <w:p w14:paraId="45925FB0" w14:textId="77777777" w:rsidR="009860C3" w:rsidRPr="009F27AA" w:rsidRDefault="009860C3" w:rsidP="00F17D88">
                  <w:pPr>
                    <w:framePr w:hSpace="181" w:wrap="around" w:vAnchor="text" w:hAnchor="margin" w:x="-577" w:y="1"/>
                    <w:spacing w:before="40" w:after="40"/>
                    <w:ind w:left="32"/>
                    <w:rPr>
                      <w:szCs w:val="20"/>
                    </w:rPr>
                  </w:pPr>
                  <w:r w:rsidRPr="009F27AA">
                    <w:rPr>
                      <w:szCs w:val="20"/>
                    </w:rPr>
                    <w:t xml:space="preserve">Improved economic and social infrastructure for Nauru </w:t>
                  </w:r>
                </w:p>
                <w:p w14:paraId="1B6DC625" w14:textId="77777777" w:rsidR="009860C3" w:rsidRPr="009F27AA" w:rsidRDefault="009860C3" w:rsidP="00F17D88">
                  <w:pPr>
                    <w:framePr w:hSpace="181" w:wrap="around" w:vAnchor="text" w:hAnchor="margin" w:x="-577" w:y="1"/>
                    <w:spacing w:before="40" w:after="40"/>
                    <w:ind w:left="458" w:hanging="426"/>
                    <w:rPr>
                      <w:szCs w:val="20"/>
                    </w:rPr>
                  </w:pPr>
                </w:p>
              </w:tc>
              <w:tc>
                <w:tcPr>
                  <w:tcW w:w="5012" w:type="dxa"/>
                </w:tcPr>
                <w:p w14:paraId="5D573FCC" w14:textId="77777777" w:rsidR="009860C3" w:rsidRPr="009F27AA"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9F27AA">
                    <w:rPr>
                      <w:i/>
                      <w:color w:val="000000" w:themeColor="text1"/>
                      <w:szCs w:val="20"/>
                    </w:rPr>
                    <w:t>Port</w:t>
                  </w:r>
                  <w:r w:rsidRPr="009F27AA">
                    <w:rPr>
                      <w:color w:val="000000" w:themeColor="text1"/>
                      <w:szCs w:val="20"/>
                    </w:rPr>
                    <w:t xml:space="preserve"> </w:t>
                  </w:r>
                  <w:r w:rsidRPr="009F27AA">
                    <w:rPr>
                      <w:i/>
                      <w:color w:val="000000" w:themeColor="text1"/>
                      <w:szCs w:val="20"/>
                    </w:rPr>
                    <w:t>construction</w:t>
                  </w:r>
                  <w:r w:rsidRPr="009F27AA">
                    <w:rPr>
                      <w:color w:val="000000" w:themeColor="text1"/>
                      <w:szCs w:val="20"/>
                    </w:rPr>
                    <w:t xml:space="preserve"> – draft design produced for the ADB-led design process for the Nauru Port Reform and Redevelopment Project</w:t>
                  </w:r>
                </w:p>
                <w:p w14:paraId="77376473" w14:textId="77777777" w:rsidR="009860C3" w:rsidRPr="009F27AA"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9F27AA">
                    <w:rPr>
                      <w:i/>
                      <w:color w:val="000000" w:themeColor="text1"/>
                      <w:szCs w:val="20"/>
                    </w:rPr>
                    <w:t xml:space="preserve">Indoor Sports Facility </w:t>
                  </w:r>
                  <w:r w:rsidRPr="009F27AA">
                    <w:rPr>
                      <w:color w:val="000000" w:themeColor="text1"/>
                      <w:szCs w:val="20"/>
                    </w:rPr>
                    <w:t>– agreement with GoN on site and scope of works</w:t>
                  </w:r>
                </w:p>
                <w:p w14:paraId="23158CD6" w14:textId="77777777" w:rsidR="009860C3" w:rsidRPr="009F27AA" w:rsidRDefault="009860C3" w:rsidP="00F17D88">
                  <w:pPr>
                    <w:framePr w:hSpace="181" w:wrap="around" w:vAnchor="text" w:hAnchor="margin" w:x="-577" w:y="1"/>
                    <w:spacing w:before="40" w:after="40"/>
                    <w:rPr>
                      <w:color w:val="000000" w:themeColor="text1"/>
                      <w:szCs w:val="20"/>
                    </w:rPr>
                  </w:pPr>
                </w:p>
              </w:tc>
              <w:tc>
                <w:tcPr>
                  <w:tcW w:w="4107" w:type="dxa"/>
                </w:tcPr>
                <w:p w14:paraId="0CC8A75E" w14:textId="77777777" w:rsidR="009860C3" w:rsidRPr="009F27AA"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9F27AA">
                    <w:rPr>
                      <w:i/>
                      <w:color w:val="000000" w:themeColor="text1"/>
                      <w:szCs w:val="20"/>
                    </w:rPr>
                    <w:t>Port</w:t>
                  </w:r>
                  <w:r w:rsidRPr="009F27AA">
                    <w:rPr>
                      <w:color w:val="000000" w:themeColor="text1"/>
                      <w:szCs w:val="20"/>
                    </w:rPr>
                    <w:t xml:space="preserve"> </w:t>
                  </w:r>
                  <w:r w:rsidRPr="009F27AA">
                    <w:rPr>
                      <w:i/>
                      <w:color w:val="000000" w:themeColor="text1"/>
                      <w:szCs w:val="20"/>
                    </w:rPr>
                    <w:t>construction</w:t>
                  </w:r>
                  <w:r w:rsidRPr="009F27AA">
                    <w:rPr>
                      <w:color w:val="000000" w:themeColor="text1"/>
                      <w:szCs w:val="20"/>
                    </w:rPr>
                    <w:t xml:space="preserve"> - Nauru Port Reform and Redevelopment Project commenced; and funding proposals submitted to donors such as the Green Climate Fund (GCF) for financing for the ‘climate proofing’ increment of the project</w:t>
                  </w:r>
                </w:p>
                <w:p w14:paraId="08C9686A" w14:textId="77777777" w:rsidR="009860C3" w:rsidRPr="009F27AA" w:rsidRDefault="009860C3" w:rsidP="00F17D88">
                  <w:pPr>
                    <w:pStyle w:val="ListParagraph"/>
                    <w:framePr w:hSpace="181" w:wrap="around" w:vAnchor="text" w:hAnchor="margin" w:x="-577" w:y="1"/>
                    <w:numPr>
                      <w:ilvl w:val="0"/>
                      <w:numId w:val="33"/>
                    </w:numPr>
                    <w:spacing w:before="40" w:after="40"/>
                    <w:ind w:left="323" w:hanging="323"/>
                    <w:contextualSpacing w:val="0"/>
                    <w:rPr>
                      <w:color w:val="000000" w:themeColor="text1"/>
                      <w:szCs w:val="20"/>
                    </w:rPr>
                  </w:pPr>
                  <w:r w:rsidRPr="009F27AA">
                    <w:rPr>
                      <w:i/>
                      <w:color w:val="000000" w:themeColor="text1"/>
                      <w:szCs w:val="20"/>
                    </w:rPr>
                    <w:t xml:space="preserve">Indoor Sports Facility </w:t>
                  </w:r>
                  <w:r w:rsidRPr="009F27AA">
                    <w:rPr>
                      <w:color w:val="000000" w:themeColor="text1"/>
                      <w:szCs w:val="20"/>
                    </w:rPr>
                    <w:t>– design and construction commenced</w:t>
                  </w:r>
                </w:p>
              </w:tc>
            </w:tr>
          </w:tbl>
          <w:p w14:paraId="63A5D252" w14:textId="77777777" w:rsidR="009860C3" w:rsidRPr="004900B4" w:rsidRDefault="009860C3" w:rsidP="00473C45">
            <w:pPr>
              <w:pStyle w:val="Tablebullet"/>
              <w:spacing w:before="60" w:after="60"/>
              <w:ind w:left="885" w:hanging="426"/>
              <w:rPr>
                <w:szCs w:val="20"/>
              </w:rPr>
            </w:pPr>
            <w:r w:rsidRPr="004900B4">
              <w:rPr>
                <w:szCs w:val="20"/>
              </w:rPr>
              <w:t xml:space="preserve">Three milestones have been completed—purchase and installation of the 2 diesel generators, commence construction of the Indoor Sports Complex and strengthening of NUC capacity.  </w:t>
            </w:r>
          </w:p>
          <w:p w14:paraId="6B8271AC" w14:textId="77777777" w:rsidR="009860C3" w:rsidRPr="004900B4" w:rsidRDefault="009860C3" w:rsidP="00473C45">
            <w:pPr>
              <w:pStyle w:val="Tablebullet"/>
              <w:spacing w:before="60" w:after="60"/>
              <w:ind w:left="885" w:hanging="426"/>
              <w:rPr>
                <w:szCs w:val="20"/>
              </w:rPr>
            </w:pPr>
            <w:r w:rsidRPr="004900B4">
              <w:rPr>
                <w:szCs w:val="20"/>
              </w:rPr>
              <w:t>The final milestone, commencement of the port reform and redevelopment project, is expected to be completed this financial year</w:t>
            </w:r>
          </w:p>
          <w:p w14:paraId="064FC42E" w14:textId="77777777" w:rsidR="009860C3" w:rsidRPr="004900B4" w:rsidRDefault="009860C3" w:rsidP="00473C45">
            <w:pPr>
              <w:pStyle w:val="Tablebullet"/>
              <w:spacing w:before="60" w:after="60"/>
              <w:ind w:left="885" w:hanging="426"/>
              <w:rPr>
                <w:szCs w:val="20"/>
              </w:rPr>
            </w:pPr>
            <w:r w:rsidRPr="004900B4">
              <w:rPr>
                <w:szCs w:val="20"/>
              </w:rPr>
              <w:t xml:space="preserve">Each investment under the Infrastructure Portfolio uses its own progress sharing and reporting mechanism. </w:t>
            </w:r>
          </w:p>
          <w:p w14:paraId="3D25D361" w14:textId="77777777" w:rsidR="009860C3" w:rsidRDefault="009860C3" w:rsidP="00473C45">
            <w:pPr>
              <w:pStyle w:val="Tablebullet"/>
              <w:spacing w:before="60" w:after="60"/>
              <w:ind w:left="885" w:hanging="426"/>
              <w:rPr>
                <w:szCs w:val="20"/>
              </w:rPr>
            </w:pPr>
            <w:r w:rsidRPr="004900B4">
              <w:rPr>
                <w:szCs w:val="20"/>
              </w:rPr>
              <w:t xml:space="preserve">There are Project Site Meetings and Technical Working Group (TWGs) meetings for the Sports Complex and the Nauru Port Reform and Redevelopment initiative. </w:t>
            </w:r>
          </w:p>
          <w:p w14:paraId="6F2B12B1" w14:textId="77777777" w:rsidR="006F2C7A" w:rsidRPr="004900B4" w:rsidRDefault="006F2C7A" w:rsidP="00473C45">
            <w:pPr>
              <w:pStyle w:val="Tablebullet"/>
              <w:spacing w:before="60" w:after="60"/>
              <w:ind w:left="885" w:hanging="426"/>
              <w:rPr>
                <w:szCs w:val="20"/>
              </w:rPr>
            </w:pPr>
          </w:p>
          <w:p w14:paraId="62790410" w14:textId="77777777" w:rsidR="009860C3" w:rsidRPr="009F27AA" w:rsidRDefault="009860C3" w:rsidP="00473C45">
            <w:pPr>
              <w:pStyle w:val="Tablebullet"/>
              <w:numPr>
                <w:ilvl w:val="0"/>
                <w:numId w:val="0"/>
              </w:numPr>
              <w:spacing w:before="60" w:after="60"/>
              <w:rPr>
                <w:b/>
                <w:szCs w:val="20"/>
              </w:rPr>
            </w:pPr>
            <w:r w:rsidRPr="009F27AA">
              <w:rPr>
                <w:b/>
                <w:szCs w:val="20"/>
              </w:rPr>
              <w:t>Sports Complex:</w:t>
            </w:r>
          </w:p>
          <w:p w14:paraId="579DCC14" w14:textId="77777777" w:rsidR="009860C3" w:rsidRPr="009F27AA" w:rsidRDefault="009860C3" w:rsidP="00473C45">
            <w:pPr>
              <w:pStyle w:val="Tablebullet"/>
              <w:spacing w:before="60" w:after="60"/>
              <w:ind w:left="885" w:hanging="426"/>
              <w:rPr>
                <w:szCs w:val="20"/>
              </w:rPr>
            </w:pPr>
            <w:r w:rsidRPr="009F27AA">
              <w:rPr>
                <w:szCs w:val="20"/>
              </w:rPr>
              <w:t>DFAT, GoN representatives from Sports and PAD, the Program Managers - A&amp;L and Craig Construction conduct monthly site meetings</w:t>
            </w:r>
          </w:p>
          <w:p w14:paraId="5BAAF52E" w14:textId="77777777" w:rsidR="009860C3" w:rsidRPr="009F27AA" w:rsidRDefault="009860C3" w:rsidP="00473C45">
            <w:pPr>
              <w:pStyle w:val="Tablebullet"/>
              <w:spacing w:before="60" w:after="60"/>
              <w:ind w:left="885" w:hanging="426"/>
              <w:rPr>
                <w:szCs w:val="20"/>
              </w:rPr>
            </w:pPr>
            <w:r w:rsidRPr="009F27AA">
              <w:rPr>
                <w:szCs w:val="20"/>
              </w:rPr>
              <w:lastRenderedPageBreak/>
              <w:t xml:space="preserve">Technical Working Group (including all the above participants except A&amp;L) meetings are held once a month, usually right after the site visits. Detailed meetings minutes are kept, and any performance, scheduling delays or budget overruns are discussed during the meetings. Outstanding issues from previous TWG meetings are discussed and settled as appropriate. </w:t>
            </w:r>
          </w:p>
          <w:p w14:paraId="488CBE5A" w14:textId="77777777" w:rsidR="009860C3" w:rsidRPr="009F27AA" w:rsidRDefault="009860C3" w:rsidP="00473C45">
            <w:pPr>
              <w:pStyle w:val="Tablebullet"/>
              <w:spacing w:before="60" w:after="60"/>
              <w:ind w:left="885" w:hanging="426"/>
              <w:rPr>
                <w:szCs w:val="20"/>
              </w:rPr>
            </w:pPr>
            <w:r w:rsidRPr="009F27AA">
              <w:rPr>
                <w:szCs w:val="20"/>
              </w:rPr>
              <w:t xml:space="preserve">A&amp;L provide weekly progress reports to DFAT that include key updates on construction process, progress to program milestones, budget variations, etc. They also submit Construction Reports to DFAT. </w:t>
            </w:r>
          </w:p>
          <w:p w14:paraId="5A6F57F6" w14:textId="77777777" w:rsidR="009860C3" w:rsidRPr="009F27AA" w:rsidRDefault="009860C3" w:rsidP="00473C45">
            <w:pPr>
              <w:pStyle w:val="Tablebullet"/>
              <w:spacing w:before="60" w:after="60"/>
              <w:ind w:left="885" w:hanging="426"/>
              <w:rPr>
                <w:szCs w:val="20"/>
                <w:lang w:val="en-US"/>
              </w:rPr>
            </w:pPr>
            <w:r w:rsidRPr="009F27AA">
              <w:rPr>
                <w:szCs w:val="20"/>
              </w:rPr>
              <w:t>The Learning Village employs a similar mechanism to its monitoring</w:t>
            </w:r>
            <w:r w:rsidRPr="009F27AA">
              <w:rPr>
                <w:szCs w:val="20"/>
                <w:lang w:val="en-US"/>
              </w:rPr>
              <w:t xml:space="preserve"> and reporting of progress (outputs and outcomes)</w:t>
            </w:r>
          </w:p>
          <w:p w14:paraId="7C8E6D54" w14:textId="77777777" w:rsidR="009860C3" w:rsidRPr="009F27AA" w:rsidRDefault="009860C3" w:rsidP="00473C45">
            <w:pPr>
              <w:pStyle w:val="Tablebullet"/>
              <w:numPr>
                <w:ilvl w:val="0"/>
                <w:numId w:val="0"/>
              </w:numPr>
              <w:rPr>
                <w:b/>
                <w:szCs w:val="20"/>
              </w:rPr>
            </w:pPr>
            <w:r w:rsidRPr="009F27AA">
              <w:rPr>
                <w:b/>
                <w:szCs w:val="20"/>
              </w:rPr>
              <w:t>Nauru Port Reform and Redevelopment:</w:t>
            </w:r>
          </w:p>
          <w:p w14:paraId="7F051E1B" w14:textId="77777777" w:rsidR="009860C3" w:rsidRPr="009F27AA" w:rsidRDefault="009860C3" w:rsidP="00473C45">
            <w:pPr>
              <w:pStyle w:val="Tablebullet"/>
              <w:spacing w:before="60" w:after="60"/>
              <w:ind w:left="885" w:hanging="426"/>
              <w:rPr>
                <w:szCs w:val="20"/>
              </w:rPr>
            </w:pPr>
            <w:r w:rsidRPr="009F27AA">
              <w:rPr>
                <w:szCs w:val="20"/>
              </w:rPr>
              <w:t>There was a Steering Committee with the relevant GoN, ADB and DFAT stakeholders that was first formed and endorsed by Cabinet for the establishment of the Ports project.</w:t>
            </w:r>
          </w:p>
          <w:p w14:paraId="0260F5E9" w14:textId="77777777" w:rsidR="009860C3" w:rsidRPr="009F27AA" w:rsidRDefault="009860C3" w:rsidP="00473C45">
            <w:pPr>
              <w:pStyle w:val="Tablebullet"/>
              <w:spacing w:before="60" w:after="60"/>
              <w:ind w:left="885" w:hanging="426"/>
              <w:rPr>
                <w:szCs w:val="20"/>
              </w:rPr>
            </w:pPr>
            <w:r w:rsidRPr="009F27AA">
              <w:rPr>
                <w:szCs w:val="20"/>
              </w:rPr>
              <w:t xml:space="preserve">There have been ongoing teleconferences between the ports CEO and email discussions on procurement, probity, construction quality assurance, social and environmental safeguards, and project governance arrangements in relation to alignment with DFAT standards and guidelines. </w:t>
            </w:r>
          </w:p>
          <w:p w14:paraId="5CC6A81C" w14:textId="77777777" w:rsidR="009860C3" w:rsidRPr="009F27AA" w:rsidRDefault="009860C3" w:rsidP="00473C45">
            <w:pPr>
              <w:pStyle w:val="Tablebullet"/>
              <w:spacing w:before="60" w:after="60"/>
              <w:ind w:left="885" w:hanging="426"/>
              <w:rPr>
                <w:szCs w:val="20"/>
              </w:rPr>
            </w:pPr>
            <w:r w:rsidRPr="009F27AA">
              <w:rPr>
                <w:szCs w:val="20"/>
              </w:rPr>
              <w:t>At the time of the review it was communicated that a new PSC and PMU will be established for the construction phase.</w:t>
            </w:r>
          </w:p>
          <w:p w14:paraId="4C2C2A6B" w14:textId="77777777" w:rsidR="009860C3" w:rsidRPr="009F27AA" w:rsidRDefault="009860C3" w:rsidP="00473C45">
            <w:pPr>
              <w:pStyle w:val="Tablebullet"/>
              <w:numPr>
                <w:ilvl w:val="0"/>
                <w:numId w:val="0"/>
              </w:numPr>
              <w:rPr>
                <w:b/>
                <w:szCs w:val="20"/>
              </w:rPr>
            </w:pPr>
            <w:r w:rsidRPr="009F27AA">
              <w:rPr>
                <w:b/>
                <w:szCs w:val="20"/>
              </w:rPr>
              <w:t>NUC:</w:t>
            </w:r>
          </w:p>
          <w:p w14:paraId="55641918" w14:textId="77777777" w:rsidR="009860C3" w:rsidRPr="009F27AA" w:rsidRDefault="009860C3" w:rsidP="00473C45">
            <w:pPr>
              <w:pStyle w:val="Tablebullet"/>
              <w:spacing w:before="60" w:after="60"/>
              <w:ind w:left="885" w:hanging="426"/>
              <w:rPr>
                <w:szCs w:val="20"/>
              </w:rPr>
            </w:pPr>
            <w:r w:rsidRPr="009F27AA">
              <w:rPr>
                <w:szCs w:val="20"/>
              </w:rPr>
              <w:t>An annual report is published by NUC and six-monthly reports developed against NUC’s Annual Operating Plan</w:t>
            </w:r>
          </w:p>
          <w:p w14:paraId="7C239FD5" w14:textId="77777777" w:rsidR="009860C3" w:rsidRPr="009F27AA" w:rsidRDefault="009860C3" w:rsidP="00473C45">
            <w:pPr>
              <w:pStyle w:val="Tablebullet"/>
              <w:numPr>
                <w:ilvl w:val="0"/>
                <w:numId w:val="0"/>
              </w:numPr>
              <w:rPr>
                <w:b/>
                <w:szCs w:val="20"/>
              </w:rPr>
            </w:pPr>
            <w:r w:rsidRPr="009F27AA">
              <w:rPr>
                <w:b/>
                <w:szCs w:val="20"/>
              </w:rPr>
              <w:t>PACTAM:</w:t>
            </w:r>
          </w:p>
          <w:p w14:paraId="7DB7A0B7" w14:textId="77777777" w:rsidR="009860C3" w:rsidRPr="009F27AA" w:rsidRDefault="009860C3" w:rsidP="00473C45">
            <w:pPr>
              <w:pStyle w:val="Tablebullet"/>
              <w:spacing w:before="60" w:after="60"/>
              <w:ind w:left="885" w:hanging="426"/>
              <w:rPr>
                <w:szCs w:val="20"/>
              </w:rPr>
            </w:pPr>
            <w:r w:rsidRPr="009F27AA">
              <w:rPr>
                <w:szCs w:val="20"/>
              </w:rPr>
              <w:t>Scope Global undertake 6-monthly performance reviews of the CEO of the NUC against their individual performance objectives. Adviser performance reports are shared with DFAT</w:t>
            </w:r>
          </w:p>
        </w:tc>
        <w:tc>
          <w:tcPr>
            <w:tcW w:w="5361" w:type="dxa"/>
            <w:tcBorders>
              <w:left w:val="single" w:sz="4" w:space="0" w:color="E26E00"/>
            </w:tcBorders>
          </w:tcPr>
          <w:p w14:paraId="089D93E1" w14:textId="77777777" w:rsidR="009860C3" w:rsidRPr="009F27AA" w:rsidRDefault="009860C3" w:rsidP="00473C45">
            <w:pPr>
              <w:pStyle w:val="Tablebullet"/>
              <w:numPr>
                <w:ilvl w:val="0"/>
                <w:numId w:val="0"/>
              </w:numPr>
              <w:spacing w:before="60" w:after="60"/>
              <w:rPr>
                <w:b/>
                <w:szCs w:val="20"/>
                <w:lang w:val="en-US"/>
              </w:rPr>
            </w:pPr>
            <w:r w:rsidRPr="009F27AA">
              <w:rPr>
                <w:b/>
                <w:szCs w:val="20"/>
                <w:lang w:val="en-US"/>
              </w:rPr>
              <w:lastRenderedPageBreak/>
              <w:t>Individual projects:</w:t>
            </w:r>
          </w:p>
          <w:p w14:paraId="203EDAE8"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Current M&amp;E arrangements for individual projects, such as the </w:t>
            </w:r>
            <w:r w:rsidRPr="009F27AA">
              <w:rPr>
                <w:szCs w:val="20"/>
                <w:u w:val="single"/>
                <w:lang w:val="en-US"/>
              </w:rPr>
              <w:t>Indoor Sports Facility, Nauru Port Reform and Redevelopment, NUC and PACTAM</w:t>
            </w:r>
            <w:r w:rsidRPr="009F27AA">
              <w:rPr>
                <w:szCs w:val="20"/>
                <w:lang w:val="en-US"/>
              </w:rPr>
              <w:t xml:space="preserve">, are adequate and satisfy most of DFAT standards. Reporting against these discrete projects is reasonable and provides DFAT and GoN representatives with information on progress against project milestones, budget and timeline. Regular project site visits and meetings allow DFAT and GoN and the construction (Craig Construction) and project management companies (A&amp;L) to discuss and address issues as they come up. </w:t>
            </w:r>
          </w:p>
          <w:p w14:paraId="2660CAA7" w14:textId="77777777" w:rsidR="009860C3" w:rsidRPr="009F27AA" w:rsidRDefault="009860C3" w:rsidP="00473C45">
            <w:pPr>
              <w:pStyle w:val="Tablebullet"/>
              <w:numPr>
                <w:ilvl w:val="0"/>
                <w:numId w:val="0"/>
              </w:numPr>
              <w:spacing w:before="60" w:after="60"/>
              <w:rPr>
                <w:b/>
                <w:szCs w:val="20"/>
                <w:lang w:val="en-US"/>
              </w:rPr>
            </w:pPr>
            <w:r w:rsidRPr="009F27AA">
              <w:rPr>
                <w:b/>
                <w:szCs w:val="20"/>
                <w:lang w:val="en-US"/>
              </w:rPr>
              <w:t>Overall DFAT Portfolio:</w:t>
            </w:r>
          </w:p>
          <w:p w14:paraId="6A4B305F"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The absence of a strategic framework and an overarching theory of change for the Infrastructure portfolio </w:t>
            </w:r>
            <w:r>
              <w:rPr>
                <w:szCs w:val="20"/>
                <w:lang w:val="en-US"/>
              </w:rPr>
              <w:t xml:space="preserve">may be </w:t>
            </w:r>
            <w:r w:rsidRPr="009F27AA">
              <w:rPr>
                <w:szCs w:val="20"/>
                <w:lang w:val="en-US"/>
              </w:rPr>
              <w:t xml:space="preserve">limiting DFAT’s ability to make evidence-based decisions and to ascertain how individual investments are contributing to DFAT’s priorities and objectives in infrastructure in Nauru. A lack of documented information may affect DFAT’s ability to learn from lessons and incorporate that into future investment decisions. </w:t>
            </w:r>
          </w:p>
          <w:p w14:paraId="618BA632" w14:textId="77777777" w:rsidR="009860C3" w:rsidRDefault="009860C3" w:rsidP="00473C45">
            <w:pPr>
              <w:pStyle w:val="Tablebullet"/>
              <w:numPr>
                <w:ilvl w:val="0"/>
                <w:numId w:val="0"/>
              </w:numPr>
              <w:spacing w:before="100" w:after="100"/>
              <w:rPr>
                <w:szCs w:val="20"/>
                <w:lang w:val="en-US"/>
              </w:rPr>
            </w:pPr>
            <w:r w:rsidRPr="009F27AA">
              <w:rPr>
                <w:szCs w:val="20"/>
                <w:lang w:val="en-US"/>
              </w:rPr>
              <w:t>The PAF is a move in the right direction and should be linked to a robust strategic investment plan for infrastructure and essential services.</w:t>
            </w:r>
            <w:r>
              <w:rPr>
                <w:szCs w:val="20"/>
                <w:lang w:val="en-US"/>
              </w:rPr>
              <w:t xml:space="preserve"> </w:t>
            </w:r>
            <w:r w:rsidRPr="009F27AA">
              <w:rPr>
                <w:szCs w:val="20"/>
                <w:lang w:val="en-US"/>
              </w:rPr>
              <w:t xml:space="preserve">Data should be collected against the PAF to analyze and assess progress against the plan. </w:t>
            </w:r>
          </w:p>
          <w:p w14:paraId="4573A567" w14:textId="77777777" w:rsidR="009860C3" w:rsidRDefault="009860C3" w:rsidP="00473C45">
            <w:pPr>
              <w:pStyle w:val="Tablebullet"/>
              <w:numPr>
                <w:ilvl w:val="0"/>
                <w:numId w:val="0"/>
              </w:numPr>
              <w:spacing w:before="100" w:after="100"/>
              <w:rPr>
                <w:lang w:val="en-US"/>
              </w:rPr>
            </w:pPr>
            <w:r w:rsidRPr="006B029B">
              <w:rPr>
                <w:lang w:val="en-US"/>
              </w:rPr>
              <w:t xml:space="preserve">There is a need for a </w:t>
            </w:r>
            <w:r w:rsidRPr="006B029B">
              <w:t xml:space="preserve">nested M&amp;E structure that includes performance expectations for the overall sector (linked to the PAF as per the APPR process). Individual investments would then be linked to the PAF with their own set of performance expectations. It would not be </w:t>
            </w:r>
            <w:r>
              <w:t>overly</w:t>
            </w:r>
            <w:r w:rsidRPr="006B029B">
              <w:t xml:space="preserve"> complicated to include higher level outcomes and impacts, as this information can </w:t>
            </w:r>
            <w:r>
              <w:t>be</w:t>
            </w:r>
            <w:r w:rsidRPr="006B029B">
              <w:t xml:space="preserve"> collected considering the scale of Nauru</w:t>
            </w:r>
            <w:r>
              <w:t>.</w:t>
            </w:r>
          </w:p>
          <w:p w14:paraId="009D4713" w14:textId="77777777" w:rsidR="009860C3" w:rsidRPr="009F27AA" w:rsidRDefault="009860C3" w:rsidP="00473C45">
            <w:pPr>
              <w:pStyle w:val="Tablebullet"/>
              <w:numPr>
                <w:ilvl w:val="0"/>
                <w:numId w:val="0"/>
              </w:numPr>
              <w:spacing w:before="100" w:after="100"/>
              <w:rPr>
                <w:szCs w:val="20"/>
                <w:lang w:val="en-US"/>
              </w:rPr>
            </w:pPr>
          </w:p>
          <w:p w14:paraId="2CBC5189" w14:textId="77777777" w:rsidR="009860C3" w:rsidRPr="009F27AA" w:rsidRDefault="009860C3" w:rsidP="00473C45">
            <w:pPr>
              <w:pStyle w:val="Tablebullet"/>
              <w:numPr>
                <w:ilvl w:val="0"/>
                <w:numId w:val="0"/>
              </w:numPr>
              <w:spacing w:before="60" w:after="60"/>
              <w:rPr>
                <w:szCs w:val="20"/>
                <w:lang w:val="en-US"/>
              </w:rPr>
            </w:pPr>
          </w:p>
        </w:tc>
      </w:tr>
      <w:tr w:rsidR="009860C3" w:rsidRPr="009F27AA" w14:paraId="7F14BEFC" w14:textId="77777777" w:rsidTr="00473C45">
        <w:trPr>
          <w:trHeight w:val="419"/>
        </w:trPr>
        <w:tc>
          <w:tcPr>
            <w:tcW w:w="2126" w:type="dxa"/>
            <w:shd w:val="clear" w:color="auto" w:fill="FFFFFF" w:themeFill="background1"/>
          </w:tcPr>
          <w:p w14:paraId="7F228D0F" w14:textId="77777777" w:rsidR="009860C3" w:rsidRPr="009F27AA" w:rsidRDefault="009860C3" w:rsidP="00A2387B">
            <w:pPr>
              <w:numPr>
                <w:ilvl w:val="0"/>
                <w:numId w:val="13"/>
              </w:numPr>
              <w:spacing w:before="60" w:after="60"/>
              <w:ind w:left="309"/>
              <w:rPr>
                <w:rFonts w:eastAsia="Times"/>
                <w:szCs w:val="20"/>
              </w:rPr>
            </w:pPr>
            <w:r w:rsidRPr="009F27AA">
              <w:rPr>
                <w:rFonts w:eastAsia="Times"/>
                <w:szCs w:val="20"/>
              </w:rPr>
              <w:lastRenderedPageBreak/>
              <w:t>What would the recommended Theory of Change and M&amp;E Framework include for ongoing and future DFAT infrastructure investments?</w:t>
            </w:r>
          </w:p>
        </w:tc>
        <w:tc>
          <w:tcPr>
            <w:tcW w:w="14593" w:type="dxa"/>
            <w:tcBorders>
              <w:right w:val="single" w:sz="4" w:space="0" w:color="E26E00"/>
            </w:tcBorders>
          </w:tcPr>
          <w:p w14:paraId="6B8A84DD"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For ongoing DFAT infrastructure investments, it is recommended that DFAT continue to actively engage in the TWG and the Site meetings. </w:t>
            </w:r>
          </w:p>
        </w:tc>
        <w:tc>
          <w:tcPr>
            <w:tcW w:w="5361" w:type="dxa"/>
            <w:tcBorders>
              <w:left w:val="single" w:sz="4" w:space="0" w:color="E26E00"/>
            </w:tcBorders>
          </w:tcPr>
          <w:p w14:paraId="3C17FB69" w14:textId="77777777" w:rsidR="009860C3" w:rsidRPr="009F27AA" w:rsidRDefault="009860C3" w:rsidP="00473C45">
            <w:pPr>
              <w:pStyle w:val="Tablebullet"/>
              <w:numPr>
                <w:ilvl w:val="0"/>
                <w:numId w:val="0"/>
              </w:numPr>
              <w:spacing w:before="60" w:after="60"/>
              <w:rPr>
                <w:szCs w:val="20"/>
                <w:lang w:val="en-US"/>
              </w:rPr>
            </w:pPr>
          </w:p>
        </w:tc>
      </w:tr>
    </w:tbl>
    <w:p w14:paraId="59EFD390" w14:textId="77777777" w:rsidR="009860C3" w:rsidRDefault="009860C3" w:rsidP="00A716D9">
      <w:pPr>
        <w:rPr>
          <w:lang w:eastAsia="en-AU"/>
        </w:rPr>
      </w:pPr>
    </w:p>
    <w:p w14:paraId="60942BA1" w14:textId="77777777" w:rsidR="009860C3" w:rsidRDefault="009860C3">
      <w:pPr>
        <w:spacing w:before="0" w:after="0"/>
        <w:rPr>
          <w:lang w:eastAsia="en-AU"/>
        </w:rPr>
      </w:pPr>
      <w:r>
        <w:rPr>
          <w:lang w:eastAsia="en-AU"/>
        </w:rPr>
        <w:br w:type="page"/>
      </w:r>
    </w:p>
    <w:tbl>
      <w:tblPr>
        <w:tblStyle w:val="TableGrid"/>
        <w:tblpPr w:leftFromText="181" w:rightFromText="181" w:vertAnchor="text" w:horzAnchor="margin" w:tblpX="-577" w:tblpY="1"/>
        <w:tblW w:w="220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4593"/>
        <w:gridCol w:w="5361"/>
      </w:tblGrid>
      <w:tr w:rsidR="009860C3" w:rsidRPr="009F27AA" w14:paraId="0A2B1A32" w14:textId="77777777" w:rsidTr="00473C45">
        <w:trPr>
          <w:trHeight w:val="353"/>
        </w:trPr>
        <w:tc>
          <w:tcPr>
            <w:tcW w:w="2126" w:type="dxa"/>
            <w:shd w:val="clear" w:color="auto" w:fill="FABF8F" w:themeFill="accent6" w:themeFillTint="99"/>
          </w:tcPr>
          <w:p w14:paraId="2F5AA40B" w14:textId="77777777" w:rsidR="009860C3" w:rsidRPr="009F27AA" w:rsidRDefault="009860C3" w:rsidP="00473C45">
            <w:pPr>
              <w:spacing w:before="60" w:after="100"/>
              <w:rPr>
                <w:b/>
                <w:szCs w:val="20"/>
              </w:rPr>
            </w:pPr>
            <w:r w:rsidRPr="009F27AA">
              <w:rPr>
                <w:b/>
                <w:szCs w:val="20"/>
              </w:rPr>
              <w:lastRenderedPageBreak/>
              <w:t xml:space="preserve">Key question </w:t>
            </w:r>
          </w:p>
        </w:tc>
        <w:tc>
          <w:tcPr>
            <w:tcW w:w="19954" w:type="dxa"/>
            <w:gridSpan w:val="2"/>
            <w:shd w:val="clear" w:color="auto" w:fill="FABF8F" w:themeFill="accent6" w:themeFillTint="99"/>
          </w:tcPr>
          <w:p w14:paraId="43540AB2" w14:textId="77777777" w:rsidR="009860C3" w:rsidRPr="009F27AA" w:rsidRDefault="009860C3" w:rsidP="00473C45">
            <w:pPr>
              <w:pStyle w:val="Nospacingbeforeorafter"/>
              <w:spacing w:before="60" w:after="60"/>
              <w:rPr>
                <w:b/>
                <w:szCs w:val="20"/>
              </w:rPr>
            </w:pPr>
            <w:r w:rsidRPr="009F27AA">
              <w:rPr>
                <w:b/>
                <w:szCs w:val="20"/>
              </w:rPr>
              <w:t xml:space="preserve">Overall finding: </w:t>
            </w:r>
          </w:p>
        </w:tc>
      </w:tr>
      <w:tr w:rsidR="009860C3" w:rsidRPr="009F27AA" w14:paraId="69C84AAC" w14:textId="77777777" w:rsidTr="00473C45">
        <w:trPr>
          <w:trHeight w:val="564"/>
        </w:trPr>
        <w:tc>
          <w:tcPr>
            <w:tcW w:w="2126" w:type="dxa"/>
            <w:shd w:val="clear" w:color="auto" w:fill="FBD4B4" w:themeFill="accent6" w:themeFillTint="66"/>
          </w:tcPr>
          <w:p w14:paraId="3298A73D" w14:textId="77777777" w:rsidR="009860C3" w:rsidRPr="009F27AA" w:rsidRDefault="009860C3" w:rsidP="00A2387B">
            <w:pPr>
              <w:pStyle w:val="tabletext0"/>
              <w:numPr>
                <w:ilvl w:val="0"/>
                <w:numId w:val="12"/>
              </w:numPr>
              <w:tabs>
                <w:tab w:val="left" w:pos="250"/>
              </w:tabs>
              <w:ind w:left="22" w:right="45" w:hanging="22"/>
              <w:rPr>
                <w:b/>
                <w:szCs w:val="20"/>
              </w:rPr>
            </w:pPr>
            <w:r w:rsidRPr="009F27AA">
              <w:rPr>
                <w:rFonts w:eastAsia="Times" w:cs="Arial"/>
                <w:b/>
                <w:szCs w:val="20"/>
              </w:rPr>
              <w:t>To what extent have DFAT’s investments in infrastructure managed environmental and social impacts and identified opportunities for improvements in gender equality, disability inclusive development and climate change mitigation?</w:t>
            </w:r>
          </w:p>
        </w:tc>
        <w:tc>
          <w:tcPr>
            <w:tcW w:w="19954" w:type="dxa"/>
            <w:gridSpan w:val="2"/>
            <w:shd w:val="clear" w:color="auto" w:fill="FBD4B4" w:themeFill="accent6" w:themeFillTint="66"/>
          </w:tcPr>
          <w:p w14:paraId="2554960B" w14:textId="77777777" w:rsidR="009860C3" w:rsidRPr="009F27AA" w:rsidRDefault="009860C3" w:rsidP="00473C45">
            <w:pPr>
              <w:pStyle w:val="Nospacingbeforeorafter"/>
              <w:spacing w:before="60" w:after="60"/>
              <w:rPr>
                <w:szCs w:val="20"/>
              </w:rPr>
            </w:pPr>
            <w:r w:rsidRPr="009F27AA">
              <w:rPr>
                <w:szCs w:val="20"/>
              </w:rPr>
              <w:t xml:space="preserve">The opportunities for infrastructure projects to contribute to improvements in the areas of gender, disability inclusiveness and climate change have been clearly considered and applied in some projects. </w:t>
            </w:r>
          </w:p>
          <w:p w14:paraId="390CF764" w14:textId="77777777" w:rsidR="009860C3" w:rsidRPr="009F27AA" w:rsidRDefault="009860C3" w:rsidP="00473C45">
            <w:pPr>
              <w:pStyle w:val="Nospacingbeforeorafter"/>
              <w:spacing w:before="60" w:after="60"/>
              <w:rPr>
                <w:szCs w:val="20"/>
              </w:rPr>
            </w:pPr>
            <w:r w:rsidRPr="009F27AA">
              <w:rPr>
                <w:szCs w:val="20"/>
              </w:rPr>
              <w:t xml:space="preserve">In other cases, it is not as clear that the analysis has been undertaken, especially with regards to disability inclusiveness. </w:t>
            </w:r>
          </w:p>
          <w:p w14:paraId="417B9789" w14:textId="77777777" w:rsidR="009860C3" w:rsidRPr="009F27AA" w:rsidRDefault="009860C3" w:rsidP="00473C45">
            <w:pPr>
              <w:pStyle w:val="Nospacingbeforeorafter"/>
              <w:spacing w:before="60" w:after="60"/>
              <w:rPr>
                <w:szCs w:val="20"/>
              </w:rPr>
            </w:pPr>
            <w:r w:rsidRPr="009F27AA">
              <w:rPr>
                <w:szCs w:val="20"/>
              </w:rPr>
              <w:t xml:space="preserve">Gender considerations do appear to be systemically considered as part of DFAT project approvals, and the additional attention on infrastructure projects of a gender specialist will also assist to ensure that relevant gender considerations are applied going forward. </w:t>
            </w:r>
          </w:p>
          <w:p w14:paraId="3D71454D" w14:textId="77777777" w:rsidR="009860C3" w:rsidRPr="009F27AA" w:rsidRDefault="009860C3" w:rsidP="00473C45">
            <w:pPr>
              <w:pStyle w:val="Nospacingbeforeorafter"/>
              <w:spacing w:before="60" w:after="60"/>
              <w:rPr>
                <w:szCs w:val="20"/>
              </w:rPr>
            </w:pPr>
          </w:p>
          <w:p w14:paraId="3D7C6F58" w14:textId="77777777" w:rsidR="009860C3" w:rsidRPr="009F27AA" w:rsidRDefault="009860C3" w:rsidP="00473C45">
            <w:pPr>
              <w:pStyle w:val="Nospacingbeforeorafter"/>
              <w:spacing w:before="80"/>
              <w:rPr>
                <w:szCs w:val="20"/>
              </w:rPr>
            </w:pPr>
          </w:p>
        </w:tc>
      </w:tr>
      <w:tr w:rsidR="009860C3" w:rsidRPr="009F27AA" w14:paraId="3F93C566" w14:textId="77777777" w:rsidTr="00473C45">
        <w:trPr>
          <w:trHeight w:val="419"/>
        </w:trPr>
        <w:tc>
          <w:tcPr>
            <w:tcW w:w="2126" w:type="dxa"/>
            <w:shd w:val="clear" w:color="auto" w:fill="FABF8F" w:themeFill="accent6" w:themeFillTint="99"/>
          </w:tcPr>
          <w:p w14:paraId="43E5A22B" w14:textId="77777777" w:rsidR="009860C3" w:rsidRPr="009F27AA" w:rsidRDefault="009860C3" w:rsidP="00473C45">
            <w:pPr>
              <w:spacing w:before="60" w:after="60"/>
              <w:rPr>
                <w:b/>
                <w:szCs w:val="20"/>
              </w:rPr>
            </w:pPr>
            <w:r w:rsidRPr="009F27AA">
              <w:rPr>
                <w:b/>
                <w:szCs w:val="20"/>
              </w:rPr>
              <w:t xml:space="preserve">Sub-question </w:t>
            </w:r>
          </w:p>
        </w:tc>
        <w:tc>
          <w:tcPr>
            <w:tcW w:w="14593" w:type="dxa"/>
            <w:tcBorders>
              <w:right w:val="single" w:sz="4" w:space="0" w:color="E26E00"/>
            </w:tcBorders>
            <w:shd w:val="clear" w:color="auto" w:fill="FABF8F" w:themeFill="accent6" w:themeFillTint="99"/>
          </w:tcPr>
          <w:p w14:paraId="5B8B24DC" w14:textId="77777777" w:rsidR="009860C3" w:rsidRPr="009F27AA" w:rsidRDefault="009860C3" w:rsidP="00473C45">
            <w:pPr>
              <w:pStyle w:val="Nospacingbeforeorafter"/>
              <w:spacing w:before="60" w:after="60"/>
              <w:rPr>
                <w:b/>
                <w:szCs w:val="20"/>
              </w:rPr>
            </w:pPr>
            <w:r w:rsidRPr="009F27AA">
              <w:rPr>
                <w:b/>
                <w:szCs w:val="20"/>
              </w:rPr>
              <w:t xml:space="preserve">Evidence </w:t>
            </w:r>
          </w:p>
        </w:tc>
        <w:tc>
          <w:tcPr>
            <w:tcW w:w="5361" w:type="dxa"/>
            <w:tcBorders>
              <w:left w:val="single" w:sz="4" w:space="0" w:color="E26E00"/>
            </w:tcBorders>
            <w:shd w:val="clear" w:color="auto" w:fill="FABF8F" w:themeFill="accent6" w:themeFillTint="99"/>
          </w:tcPr>
          <w:p w14:paraId="0411F294" w14:textId="77777777" w:rsidR="009860C3" w:rsidRPr="009F27AA" w:rsidRDefault="009860C3" w:rsidP="00473C45">
            <w:pPr>
              <w:pStyle w:val="Nospacingbeforeorafter"/>
              <w:spacing w:before="60" w:after="60"/>
              <w:rPr>
                <w:b/>
                <w:szCs w:val="20"/>
              </w:rPr>
            </w:pPr>
            <w:r w:rsidRPr="009F27AA">
              <w:rPr>
                <w:b/>
                <w:szCs w:val="20"/>
              </w:rPr>
              <w:t>Findings</w:t>
            </w:r>
          </w:p>
        </w:tc>
      </w:tr>
      <w:tr w:rsidR="009860C3" w:rsidRPr="009F27AA" w14:paraId="1BF8AE30" w14:textId="77777777" w:rsidTr="00473C45">
        <w:trPr>
          <w:trHeight w:val="419"/>
        </w:trPr>
        <w:tc>
          <w:tcPr>
            <w:tcW w:w="2126" w:type="dxa"/>
            <w:shd w:val="clear" w:color="auto" w:fill="FFFFFF" w:themeFill="background1"/>
          </w:tcPr>
          <w:p w14:paraId="2308A549" w14:textId="77777777" w:rsidR="009860C3" w:rsidRPr="009F27AA" w:rsidRDefault="009860C3" w:rsidP="00A2387B">
            <w:pPr>
              <w:numPr>
                <w:ilvl w:val="0"/>
                <w:numId w:val="14"/>
              </w:numPr>
              <w:spacing w:before="60" w:after="60"/>
              <w:ind w:left="309"/>
              <w:rPr>
                <w:rFonts w:eastAsia="Times"/>
                <w:szCs w:val="20"/>
              </w:rPr>
            </w:pPr>
            <w:r w:rsidRPr="009F27AA">
              <w:rPr>
                <w:rFonts w:eastAsia="Times"/>
                <w:szCs w:val="20"/>
              </w:rPr>
              <w:t>To what extent have opportunities to improve gender equality been identified and appropriately managed with gender sensitive approaches integrated into design?</w:t>
            </w:r>
          </w:p>
        </w:tc>
        <w:tc>
          <w:tcPr>
            <w:tcW w:w="14593" w:type="dxa"/>
            <w:tcBorders>
              <w:right w:val="single" w:sz="4" w:space="0" w:color="E26E00"/>
            </w:tcBorders>
          </w:tcPr>
          <w:p w14:paraId="1DB9A316" w14:textId="77777777" w:rsidR="009860C3" w:rsidRPr="009F27AA" w:rsidRDefault="009860C3" w:rsidP="00473C45">
            <w:pPr>
              <w:pStyle w:val="Tablebullet"/>
              <w:numPr>
                <w:ilvl w:val="0"/>
                <w:numId w:val="0"/>
              </w:numPr>
              <w:spacing w:before="100" w:after="100"/>
              <w:rPr>
                <w:i/>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government documents and primary interviews)</w:t>
            </w:r>
          </w:p>
          <w:p w14:paraId="75B233FE"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[EVIDENCE 1] – Aid Quality Check (</w:t>
            </w:r>
            <w:r w:rsidRPr="009F27AA">
              <w:rPr>
                <w:b/>
                <w:szCs w:val="20"/>
              </w:rPr>
              <w:t xml:space="preserve">AQC) Gender Review for Infrastructure (DFAT, 2018). </w:t>
            </w:r>
            <w:r w:rsidRPr="009F27AA">
              <w:rPr>
                <w:szCs w:val="20"/>
              </w:rPr>
              <w:t>The</w:t>
            </w:r>
            <w:r w:rsidRPr="009F27AA">
              <w:rPr>
                <w:b/>
                <w:szCs w:val="20"/>
              </w:rPr>
              <w:t xml:space="preserve"> </w:t>
            </w:r>
            <w:r w:rsidRPr="009F27AA">
              <w:rPr>
                <w:szCs w:val="20"/>
              </w:rPr>
              <w:t xml:space="preserve">review looks at five of DFAT’s recent infrastructure investments, namely (i) support to the NUC; (ii) Nauru Learning Village; (iii) Nauru hospital redevelopment; (iv) indoor sporting complex; and (v) Port redevelopment. Of these initiatives, the review notes no information is available for the learning village or hospital redevelopment. The other three projects are assessed and recommendations for gender mainstreaming are outlined for each as well as more broadly for the sector. </w:t>
            </w:r>
          </w:p>
          <w:p w14:paraId="50818F88" w14:textId="77777777" w:rsidR="009860C3" w:rsidRPr="009F27AA" w:rsidRDefault="009860C3" w:rsidP="00473C45">
            <w:pPr>
              <w:pStyle w:val="Tablebullet"/>
              <w:numPr>
                <w:ilvl w:val="0"/>
                <w:numId w:val="0"/>
              </w:numPr>
              <w:spacing w:before="40" w:beforeAutospacing="0" w:after="80" w:afterAutospacing="0"/>
              <w:ind w:left="28"/>
              <w:rPr>
                <w:b/>
                <w:szCs w:val="20"/>
                <w:lang w:val="en-US"/>
              </w:rPr>
            </w:pPr>
            <w:r w:rsidRPr="009F27AA">
              <w:rPr>
                <w:b/>
                <w:szCs w:val="20"/>
                <w:lang w:val="en-US"/>
              </w:rPr>
              <w:t xml:space="preserve">[EVIDENCE 2] </w:t>
            </w:r>
            <w:r w:rsidRPr="009F27AA">
              <w:rPr>
                <w:szCs w:val="20"/>
                <w:lang w:val="en-US"/>
              </w:rPr>
              <w:t xml:space="preserve">– </w:t>
            </w:r>
            <w:r w:rsidRPr="009F27AA">
              <w:rPr>
                <w:b/>
                <w:szCs w:val="20"/>
                <w:lang w:val="en-US"/>
              </w:rPr>
              <w:t>The</w:t>
            </w:r>
            <w:r w:rsidRPr="009F27AA">
              <w:rPr>
                <w:szCs w:val="20"/>
                <w:lang w:val="en-US"/>
              </w:rPr>
              <w:t xml:space="preserve"> </w:t>
            </w:r>
            <w:r w:rsidRPr="009F27AA">
              <w:rPr>
                <w:b/>
                <w:szCs w:val="20"/>
                <w:lang w:val="en-US"/>
              </w:rPr>
              <w:t>Department of Sport [INTERVIEW 18]</w:t>
            </w:r>
            <w:r w:rsidRPr="009F27AA">
              <w:rPr>
                <w:szCs w:val="20"/>
                <w:lang w:val="en-US"/>
              </w:rPr>
              <w:t xml:space="preserve"> indicated that the DFAT process ensured that the sports complex design considered inclusiveness for women’s sports and an unsupervised playground at the back for children to use while parents were accessing the sports facility.</w:t>
            </w:r>
          </w:p>
          <w:p w14:paraId="156C42C7" w14:textId="77777777" w:rsidR="009860C3" w:rsidRPr="009F27AA" w:rsidRDefault="009860C3" w:rsidP="00473C45">
            <w:pPr>
              <w:pStyle w:val="Tablebullet"/>
              <w:numPr>
                <w:ilvl w:val="0"/>
                <w:numId w:val="0"/>
              </w:numPr>
              <w:spacing w:before="40" w:beforeAutospacing="0" w:after="80" w:afterAutospacing="0"/>
              <w:ind w:left="28"/>
              <w:rPr>
                <w:b/>
                <w:szCs w:val="20"/>
                <w:lang w:val="en-US"/>
              </w:rPr>
            </w:pPr>
            <w:r w:rsidRPr="009F27AA">
              <w:rPr>
                <w:b/>
                <w:szCs w:val="20"/>
                <w:lang w:val="en-US"/>
              </w:rPr>
              <w:t xml:space="preserve">[EVIDENCE 3] – Sports Complex Concept Design Report (A&amp;L, 2017) </w:t>
            </w:r>
            <w:r w:rsidRPr="009F27AA">
              <w:rPr>
                <w:szCs w:val="20"/>
                <w:lang w:val="en-US"/>
              </w:rPr>
              <w:t>the</w:t>
            </w:r>
            <w:r w:rsidRPr="009F27AA">
              <w:rPr>
                <w:b/>
                <w:szCs w:val="20"/>
                <w:lang w:val="en-US"/>
              </w:rPr>
              <w:t xml:space="preserve"> </w:t>
            </w:r>
            <w:r w:rsidRPr="009F27AA">
              <w:rPr>
                <w:szCs w:val="20"/>
                <w:lang w:val="en-US"/>
              </w:rPr>
              <w:t>report refers to stakeholder consultations, where “sports for all” is a clear message, noting “the opportunity to have an increased impact on the inclusion of all citizens of Nauru irrespective of gender, age, sporting profile or sporting prowess”. The report states “The need for gender equity raises issues not faced by general sports athletes i.e. the presence of children and child minding facilities. Non-professional sporting activities such as aerobics, yoga, gymnastics, tug-a-war and kids holiday activities; and the need for social interaction as part of the activity.”</w:t>
            </w:r>
          </w:p>
          <w:p w14:paraId="754A951F" w14:textId="77777777" w:rsidR="009860C3" w:rsidRPr="009F27AA" w:rsidRDefault="009860C3" w:rsidP="00473C45">
            <w:pPr>
              <w:pStyle w:val="Tablebullet"/>
              <w:numPr>
                <w:ilvl w:val="0"/>
                <w:numId w:val="0"/>
              </w:numPr>
              <w:spacing w:before="40" w:beforeAutospacing="0" w:after="80" w:afterAutospacing="0"/>
              <w:ind w:left="28"/>
              <w:rPr>
                <w:b/>
                <w:szCs w:val="20"/>
                <w:lang w:val="en-US"/>
              </w:rPr>
            </w:pPr>
            <w:r w:rsidRPr="009F27AA">
              <w:rPr>
                <w:b/>
                <w:szCs w:val="20"/>
                <w:lang w:val="en-US"/>
              </w:rPr>
              <w:t xml:space="preserve">[EVIDENCE 4] – Alexander &amp; Lloyd Architects [INTERVIEW 22] </w:t>
            </w:r>
            <w:r w:rsidRPr="009F27AA">
              <w:rPr>
                <w:szCs w:val="20"/>
                <w:lang w:val="en-US"/>
              </w:rPr>
              <w:t>presented the most recent designs that showed facilities included in the USP Learning Village included gender-segregated and accessible toilets, including baby change tables, on both levels of the USP facility. The library design includes a “kid’s corner”.</w:t>
            </w:r>
          </w:p>
          <w:p w14:paraId="4947B561"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5] - Department of Home Affairs (Women’s Affairs) [INTERVIEW 10] </w:t>
            </w:r>
            <w:r w:rsidRPr="009F27AA">
              <w:rPr>
                <w:szCs w:val="20"/>
                <w:lang w:val="en-US"/>
              </w:rPr>
              <w:t xml:space="preserve">- Mentioned the need for public toilets at various locations around Nauru, in part to provide women with safe toileting options in public areas. The port area was noted as being of relevance given use by the public of the harbor as a public swimming area. </w:t>
            </w:r>
          </w:p>
          <w:p w14:paraId="5F063276"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Pr>
                <w:b/>
                <w:szCs w:val="20"/>
                <w:lang w:val="en-US"/>
              </w:rPr>
              <w:t>6</w:t>
            </w:r>
            <w:r w:rsidRPr="009F27AA">
              <w:rPr>
                <w:b/>
                <w:szCs w:val="20"/>
                <w:lang w:val="en-US"/>
              </w:rPr>
              <w:t>] – Aid Quality Check (</w:t>
            </w:r>
            <w:r w:rsidRPr="009F27AA">
              <w:rPr>
                <w:b/>
                <w:szCs w:val="20"/>
              </w:rPr>
              <w:t xml:space="preserve">AQC) Gender Review for Infrastructure (DFAT, 2018). </w:t>
            </w:r>
            <w:r w:rsidRPr="009F27AA">
              <w:rPr>
                <w:szCs w:val="20"/>
                <w:lang w:val="en-US"/>
              </w:rPr>
              <w:t xml:space="preserve">The PSGA for the Port states: … “will provide separate and sanitary toilet facilities for men and women and changing rooms and lockers.” The AQC notes that “this was not included on the plan that was submitted”. The AQC also </w:t>
            </w:r>
            <w:r>
              <w:rPr>
                <w:szCs w:val="20"/>
                <w:lang w:val="en-US"/>
              </w:rPr>
              <w:t>outlines the policy for STI/HIV/AIDs training to be undertaken for construction workers and surrounding communities.</w:t>
            </w:r>
          </w:p>
          <w:p w14:paraId="0BCACC1C"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Pr>
                <w:b/>
                <w:szCs w:val="20"/>
                <w:lang w:val="en-US"/>
              </w:rPr>
              <w:t>7</w:t>
            </w:r>
            <w:r w:rsidRPr="009F27AA">
              <w:rPr>
                <w:b/>
                <w:szCs w:val="20"/>
                <w:lang w:val="en-US"/>
              </w:rPr>
              <w:t xml:space="preserve">] – Poverty, Social and Gender Assessment (PSGA) (ADB, 2017) </w:t>
            </w:r>
            <w:r w:rsidRPr="009F27AA">
              <w:rPr>
                <w:szCs w:val="20"/>
                <w:lang w:val="en-US"/>
              </w:rPr>
              <w:t xml:space="preserve">document prepared as part of the port redevelopment highlights potential impacts of the port development on women, including potential increase in prostitution, teenage pregnancies and HIV/AIDs during construction, and recommends approaches to mitigate these risks, notably a training and awareness raising program implemented before, during and after construction. The assessment also notes the potential benefits to women of the project, including lower consumer prices, reliable access to essential goods, and recruitment opportunities for skilled and unskilled labor with an emphasis on equal pay. </w:t>
            </w:r>
          </w:p>
          <w:p w14:paraId="7E050F95"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Pr>
                <w:b/>
                <w:szCs w:val="20"/>
                <w:lang w:val="en-US"/>
              </w:rPr>
              <w:t>8</w:t>
            </w:r>
            <w:r w:rsidRPr="009F27AA">
              <w:rPr>
                <w:b/>
                <w:szCs w:val="20"/>
                <w:lang w:val="en-US"/>
              </w:rPr>
              <w:t>] – Gender Action Plan (ADB, 2017)</w:t>
            </w:r>
            <w:r w:rsidRPr="009F27AA">
              <w:rPr>
                <w:szCs w:val="20"/>
                <w:lang w:val="en-US"/>
              </w:rPr>
              <w:t xml:space="preserve"> for the port indicates that “The GAP will be implemented by the International Supervision Consultant, Steering Committee and Project Management Unit. NPA will recruit one social safeguards officer, who will be supervised by one part-time International Social and Gender Specialist from the Steering Committee team. The Social and Gender Specialist will be responsible for incorporating the GAP into project planning and implementation including designing and implementing awareness workshops and establishment of gender-disaggregated indicators for project performance and monitoring. The SC/PMU will include reporting on progress of GAP activities in quarterly progress reports to ADB and the Government. Other training providers, NGOs may be hired to implement different GAP activities under the guidance of the SGS.”</w:t>
            </w:r>
          </w:p>
          <w:p w14:paraId="2333B6ED"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Pr>
                <w:b/>
                <w:szCs w:val="20"/>
                <w:lang w:val="en-US"/>
              </w:rPr>
              <w:t>9</w:t>
            </w:r>
            <w:r w:rsidRPr="009F27AA">
              <w:rPr>
                <w:b/>
                <w:szCs w:val="20"/>
                <w:lang w:val="en-US"/>
              </w:rPr>
              <w:t>] -The Port Authority</w:t>
            </w:r>
            <w:r w:rsidRPr="009F27AA">
              <w:rPr>
                <w:szCs w:val="20"/>
                <w:lang w:val="en-US"/>
              </w:rPr>
              <w:t xml:space="preserve"> </w:t>
            </w:r>
            <w:r w:rsidRPr="009F27AA">
              <w:rPr>
                <w:b/>
                <w:szCs w:val="20"/>
                <w:lang w:val="en-US"/>
              </w:rPr>
              <w:t>[INTERVIEW 6]</w:t>
            </w:r>
            <w:r w:rsidRPr="009F27AA">
              <w:rPr>
                <w:szCs w:val="20"/>
                <w:lang w:val="en-US"/>
              </w:rPr>
              <w:t xml:space="preserve"> management indicated that they are currently striving to increase participation of women in their work force to 20% (currently 4 women out of 60 workers). Further, they expressed the opinion that there were no real barriers for them to achieve higher women’s participation. </w:t>
            </w:r>
          </w:p>
        </w:tc>
        <w:tc>
          <w:tcPr>
            <w:tcW w:w="5361" w:type="dxa"/>
            <w:tcBorders>
              <w:left w:val="single" w:sz="4" w:space="0" w:color="E26E00"/>
            </w:tcBorders>
          </w:tcPr>
          <w:p w14:paraId="11FD55E0" w14:textId="77777777" w:rsidR="009860C3" w:rsidRPr="009F27AA" w:rsidRDefault="009860C3" w:rsidP="00473C45">
            <w:pPr>
              <w:pStyle w:val="Nospacingbeforeorafter"/>
              <w:spacing w:before="60" w:after="160"/>
              <w:rPr>
                <w:b/>
                <w:szCs w:val="20"/>
              </w:rPr>
            </w:pPr>
            <w:r w:rsidRPr="009F27AA">
              <w:rPr>
                <w:b/>
                <w:szCs w:val="20"/>
              </w:rPr>
              <w:t>Rating: Adequate (4)</w:t>
            </w:r>
          </w:p>
          <w:p w14:paraId="3ED4398F"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Gender considerations appear to be routinely assessed as part of the project approvals process for DFAT and have been demonstrably integrated into the sports complex, learning village and port designs </w:t>
            </w:r>
            <w:r w:rsidRPr="009F27AA">
              <w:rPr>
                <w:i/>
                <w:szCs w:val="20"/>
                <w:lang w:val="en-US"/>
              </w:rPr>
              <w:t>(see below for more detail on the port gender assessments)</w:t>
            </w:r>
            <w:r w:rsidRPr="009F27AA">
              <w:rPr>
                <w:szCs w:val="20"/>
                <w:lang w:val="en-US"/>
              </w:rPr>
              <w:t xml:space="preserve">. </w:t>
            </w:r>
          </w:p>
          <w:p w14:paraId="6EB0EBDA"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DFAT have invested resources into an independent gender advisor to review the infrastructure program and provide recommendations, which will serve to deepen the value of gender-based initiatives integrated into the infrastructure program. </w:t>
            </w:r>
          </w:p>
          <w:p w14:paraId="14550049" w14:textId="77777777" w:rsidR="009860C3" w:rsidRPr="009F27AA" w:rsidRDefault="009860C3" w:rsidP="00473C45">
            <w:pPr>
              <w:pStyle w:val="Tablebullet"/>
              <w:numPr>
                <w:ilvl w:val="0"/>
                <w:numId w:val="0"/>
              </w:numPr>
              <w:spacing w:before="60" w:after="60"/>
              <w:rPr>
                <w:szCs w:val="20"/>
                <w:lang w:val="en-US"/>
              </w:rPr>
            </w:pPr>
          </w:p>
        </w:tc>
      </w:tr>
      <w:tr w:rsidR="009860C3" w:rsidRPr="009F27AA" w14:paraId="0662368B" w14:textId="77777777" w:rsidTr="00473C45">
        <w:trPr>
          <w:trHeight w:val="419"/>
        </w:trPr>
        <w:tc>
          <w:tcPr>
            <w:tcW w:w="2126" w:type="dxa"/>
            <w:shd w:val="clear" w:color="auto" w:fill="FFFFFF" w:themeFill="background1"/>
          </w:tcPr>
          <w:p w14:paraId="2E3F2DB9" w14:textId="77777777" w:rsidR="009860C3" w:rsidRPr="009F27AA" w:rsidRDefault="009860C3" w:rsidP="00A2387B">
            <w:pPr>
              <w:numPr>
                <w:ilvl w:val="0"/>
                <w:numId w:val="14"/>
              </w:numPr>
              <w:spacing w:before="60" w:after="60"/>
              <w:ind w:left="309"/>
              <w:rPr>
                <w:rFonts w:eastAsia="Times"/>
                <w:szCs w:val="20"/>
              </w:rPr>
            </w:pPr>
            <w:r w:rsidRPr="009F27AA">
              <w:rPr>
                <w:rFonts w:eastAsia="Times"/>
                <w:szCs w:val="20"/>
              </w:rPr>
              <w:t>To what extent are opportunities to improve life for people living with disabilities been identified and appropriately managed as part of designs?</w:t>
            </w:r>
          </w:p>
        </w:tc>
        <w:tc>
          <w:tcPr>
            <w:tcW w:w="14593" w:type="dxa"/>
            <w:tcBorders>
              <w:right w:val="single" w:sz="4" w:space="0" w:color="E26E00"/>
            </w:tcBorders>
          </w:tcPr>
          <w:p w14:paraId="48C9D438" w14:textId="77777777" w:rsidR="009860C3" w:rsidRPr="009F27AA" w:rsidRDefault="009860C3" w:rsidP="00473C45">
            <w:pPr>
              <w:pStyle w:val="Tablebullet"/>
              <w:numPr>
                <w:ilvl w:val="0"/>
                <w:numId w:val="0"/>
              </w:numPr>
              <w:spacing w:before="60" w:after="60"/>
              <w:rPr>
                <w:i/>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p w14:paraId="01DF4329"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[EVIDENCE 1]</w:t>
            </w:r>
            <w:r w:rsidRPr="009F27AA">
              <w:rPr>
                <w:szCs w:val="20"/>
                <w:lang w:val="en-US"/>
              </w:rPr>
              <w:t xml:space="preserve"> – </w:t>
            </w:r>
            <w:r w:rsidRPr="009F27AA">
              <w:rPr>
                <w:b/>
                <w:szCs w:val="20"/>
                <w:lang w:val="en-US"/>
              </w:rPr>
              <w:t xml:space="preserve">Safeguards Due Diligence Report (Cardno, 2017) </w:t>
            </w:r>
            <w:r w:rsidRPr="009F27AA">
              <w:rPr>
                <w:szCs w:val="20"/>
                <w:lang w:val="en-US"/>
              </w:rPr>
              <w:t xml:space="preserve">states that “Comprehensive safeguards assessments covering environmental protection, children, </w:t>
            </w:r>
            <w:r w:rsidRPr="002E452B">
              <w:rPr>
                <w:szCs w:val="20"/>
                <w:lang w:val="en-US"/>
              </w:rPr>
              <w:t>vulnerable</w:t>
            </w:r>
            <w:r w:rsidRPr="009F27AA">
              <w:rPr>
                <w:szCs w:val="20"/>
                <w:lang w:val="en-US"/>
              </w:rPr>
              <w:t xml:space="preserve"> and disadvantaged groups and health and safety have been undertaken by ADB as part of the project design.”</w:t>
            </w:r>
          </w:p>
          <w:p w14:paraId="6D203510" w14:textId="74548B40"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2] – Concept Design for the Learning </w:t>
            </w:r>
            <w:r w:rsidR="003D39B3">
              <w:rPr>
                <w:b/>
                <w:szCs w:val="20"/>
                <w:lang w:val="en-US"/>
              </w:rPr>
              <w:t>Centre</w:t>
            </w:r>
            <w:r w:rsidRPr="009F27AA">
              <w:rPr>
                <w:szCs w:val="20"/>
                <w:lang w:val="en-US"/>
              </w:rPr>
              <w:t xml:space="preserve"> – the USP Learning </w:t>
            </w:r>
            <w:r w:rsidR="003D39B3">
              <w:rPr>
                <w:szCs w:val="20"/>
                <w:lang w:val="en-US"/>
              </w:rPr>
              <w:t>Centre</w:t>
            </w:r>
            <w:r w:rsidRPr="009F27AA">
              <w:rPr>
                <w:szCs w:val="20"/>
                <w:lang w:val="en-US"/>
              </w:rPr>
              <w:t xml:space="preserve"> has disability access ramps and accessible toilets to both levels of the building.</w:t>
            </w:r>
          </w:p>
          <w:p w14:paraId="07A0975C" w14:textId="598C9939"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[EVIDENCE 3]</w:t>
            </w:r>
            <w:r w:rsidRPr="009F27AA">
              <w:rPr>
                <w:szCs w:val="20"/>
                <w:lang w:val="en-US"/>
              </w:rPr>
              <w:t xml:space="preserve"> – Interview with the Department of Education </w:t>
            </w:r>
            <w:r w:rsidRPr="009F27AA">
              <w:rPr>
                <w:b/>
                <w:szCs w:val="20"/>
                <w:lang w:val="en-US"/>
              </w:rPr>
              <w:t xml:space="preserve">[INTEVIEW 12] </w:t>
            </w:r>
            <w:r w:rsidRPr="009F27AA">
              <w:rPr>
                <w:szCs w:val="20"/>
                <w:lang w:val="en-US"/>
              </w:rPr>
              <w:t xml:space="preserve">indicates that there are some issues relating to disability access at the Nauru Secondary School </w:t>
            </w:r>
            <w:r w:rsidRPr="002E452B">
              <w:rPr>
                <w:b/>
                <w:szCs w:val="20"/>
                <w:lang w:val="en-US"/>
              </w:rPr>
              <w:t>and</w:t>
            </w:r>
            <w:r w:rsidRPr="009F27AA">
              <w:rPr>
                <w:szCs w:val="20"/>
                <w:lang w:val="en-US"/>
              </w:rPr>
              <w:t xml:space="preserve"> TVET site, including lack of paving from the entry to the buildings (accessed over gravel), and also to the toilet facilities (there is one accessible toilet next to the TVET </w:t>
            </w:r>
            <w:r w:rsidR="003D39B3">
              <w:rPr>
                <w:szCs w:val="20"/>
                <w:lang w:val="en-US"/>
              </w:rPr>
              <w:t>Centre</w:t>
            </w:r>
            <w:r w:rsidRPr="009F27AA">
              <w:rPr>
                <w:szCs w:val="20"/>
                <w:lang w:val="en-US"/>
              </w:rPr>
              <w:t xml:space="preserve">, shared with the Secondary School). </w:t>
            </w:r>
          </w:p>
          <w:p w14:paraId="36DB683C" w14:textId="77777777" w:rsidR="009860C3" w:rsidRPr="009F27AA" w:rsidRDefault="009860C3" w:rsidP="00473C45">
            <w:pPr>
              <w:pStyle w:val="Tablebullet"/>
              <w:numPr>
                <w:ilvl w:val="0"/>
                <w:numId w:val="0"/>
              </w:numPr>
              <w:spacing w:before="40" w:beforeAutospacing="0" w:after="80" w:afterAutospacing="0"/>
              <w:ind w:left="28"/>
              <w:rPr>
                <w:b/>
                <w:szCs w:val="20"/>
                <w:lang w:val="en-US"/>
              </w:rPr>
            </w:pPr>
            <w:r w:rsidRPr="009F27AA">
              <w:rPr>
                <w:b/>
                <w:szCs w:val="20"/>
                <w:lang w:val="en-US"/>
              </w:rPr>
              <w:lastRenderedPageBreak/>
              <w:t xml:space="preserve">[EVIDENCE 4] – Concept Design for the Sports Complex </w:t>
            </w:r>
            <w:r w:rsidRPr="009F27AA">
              <w:rPr>
                <w:szCs w:val="20"/>
                <w:lang w:val="en-US"/>
              </w:rPr>
              <w:t>– the sports complex design includes a section on accessibility and inclusiveness development, which notes that the universal accessibility principles apply to the design allow access for those with disabilities, pregnant women, the elderly, children, etc. The report outlines guidelines for the design, such as vertical accessibility (ramps and stairs), horizontal accessibility (appropriate circulation space, door widths and operation, hand and grab rails), hazard minimization, visual accessibility and open spaces and recreational areas outside the building (including pathways, furniture, equipment and signage).</w:t>
            </w:r>
          </w:p>
        </w:tc>
        <w:tc>
          <w:tcPr>
            <w:tcW w:w="5361" w:type="dxa"/>
            <w:tcBorders>
              <w:left w:val="single" w:sz="4" w:space="0" w:color="E26E00"/>
            </w:tcBorders>
          </w:tcPr>
          <w:p w14:paraId="1A3A8809" w14:textId="77777777" w:rsidR="009860C3" w:rsidRPr="009F27AA" w:rsidRDefault="009860C3" w:rsidP="00473C45">
            <w:pPr>
              <w:pStyle w:val="Tablebullet"/>
              <w:numPr>
                <w:ilvl w:val="0"/>
                <w:numId w:val="0"/>
              </w:numPr>
              <w:spacing w:before="60" w:after="60"/>
              <w:rPr>
                <w:szCs w:val="20"/>
                <w:lang w:val="en-US"/>
              </w:rPr>
            </w:pPr>
            <w:r w:rsidRPr="009F27AA">
              <w:rPr>
                <w:b/>
                <w:szCs w:val="20"/>
              </w:rPr>
              <w:lastRenderedPageBreak/>
              <w:t>Rating: Less than Adequate (3)</w:t>
            </w:r>
          </w:p>
          <w:p w14:paraId="52818AA0" w14:textId="0A896059" w:rsidR="009860C3" w:rsidRPr="009F27AA" w:rsidRDefault="009860C3" w:rsidP="00473C45">
            <w:pPr>
              <w:pStyle w:val="Tablebullet"/>
              <w:numPr>
                <w:ilvl w:val="0"/>
                <w:numId w:val="0"/>
              </w:numPr>
              <w:spacing w:before="60" w:after="60"/>
              <w:rPr>
                <w:szCs w:val="20"/>
                <w:lang w:val="en-US"/>
              </w:rPr>
            </w:pPr>
            <w:r w:rsidRPr="009F27AA">
              <w:rPr>
                <w:szCs w:val="20"/>
                <w:lang w:val="en-US"/>
              </w:rPr>
              <w:t xml:space="preserve">It appears that disability access has been a consideration in some projects, including the sports complex and USP Learning </w:t>
            </w:r>
            <w:r w:rsidR="003D39B3">
              <w:rPr>
                <w:szCs w:val="20"/>
                <w:lang w:val="en-US"/>
              </w:rPr>
              <w:t>Centre</w:t>
            </w:r>
            <w:r w:rsidRPr="009F27AA">
              <w:rPr>
                <w:szCs w:val="20"/>
                <w:lang w:val="en-US"/>
              </w:rPr>
              <w:t xml:space="preserve">. However, in other cases, such as the Nauru Secondary School and TVET </w:t>
            </w:r>
            <w:r w:rsidR="003D39B3">
              <w:rPr>
                <w:szCs w:val="20"/>
                <w:lang w:val="en-US"/>
              </w:rPr>
              <w:t>Centre</w:t>
            </w:r>
            <w:r w:rsidRPr="009F27AA">
              <w:rPr>
                <w:szCs w:val="20"/>
                <w:lang w:val="en-US"/>
              </w:rPr>
              <w:t xml:space="preserve"> (which were constructed earlier), the application of this principles has not been applied to the same extent. </w:t>
            </w:r>
          </w:p>
          <w:p w14:paraId="4EAFEF4B"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lastRenderedPageBreak/>
              <w:t xml:space="preserve">The analysis regarding inclusive access to the port has not yet been sighted (it was requested from ADB). </w:t>
            </w:r>
          </w:p>
          <w:p w14:paraId="4E7C01E9" w14:textId="77777777" w:rsidR="009860C3" w:rsidRPr="009F27AA" w:rsidRDefault="009860C3" w:rsidP="00473C45">
            <w:pPr>
              <w:pStyle w:val="Tablebullet"/>
              <w:numPr>
                <w:ilvl w:val="0"/>
                <w:numId w:val="0"/>
              </w:numPr>
              <w:spacing w:before="60" w:after="60"/>
              <w:rPr>
                <w:szCs w:val="20"/>
                <w:lang w:val="en-US"/>
              </w:rPr>
            </w:pPr>
          </w:p>
        </w:tc>
      </w:tr>
      <w:tr w:rsidR="009860C3" w:rsidRPr="009F27AA" w14:paraId="39C5F92B" w14:textId="77777777" w:rsidTr="00473C45">
        <w:trPr>
          <w:trHeight w:val="419"/>
        </w:trPr>
        <w:tc>
          <w:tcPr>
            <w:tcW w:w="2126" w:type="dxa"/>
            <w:shd w:val="clear" w:color="auto" w:fill="FFFFFF" w:themeFill="background1"/>
          </w:tcPr>
          <w:p w14:paraId="00D31F62" w14:textId="77777777" w:rsidR="009860C3" w:rsidRPr="009F27AA" w:rsidRDefault="009860C3" w:rsidP="00A2387B">
            <w:pPr>
              <w:numPr>
                <w:ilvl w:val="0"/>
                <w:numId w:val="14"/>
              </w:numPr>
              <w:spacing w:before="60" w:after="60"/>
              <w:ind w:left="309"/>
              <w:rPr>
                <w:rFonts w:eastAsia="Times"/>
                <w:szCs w:val="20"/>
              </w:rPr>
            </w:pPr>
            <w:r w:rsidRPr="009F27AA">
              <w:rPr>
                <w:rFonts w:eastAsia="Times"/>
                <w:szCs w:val="20"/>
              </w:rPr>
              <w:lastRenderedPageBreak/>
              <w:t>To what extent have investments in infrastructure identified opportunities to contribute to climate change mitigation?</w:t>
            </w:r>
          </w:p>
        </w:tc>
        <w:tc>
          <w:tcPr>
            <w:tcW w:w="14593" w:type="dxa"/>
            <w:tcBorders>
              <w:right w:val="single" w:sz="4" w:space="0" w:color="E26E00"/>
            </w:tcBorders>
          </w:tcPr>
          <w:p w14:paraId="3E679E83" w14:textId="77777777" w:rsidR="009860C3" w:rsidRPr="009F27AA" w:rsidRDefault="009860C3" w:rsidP="00473C45">
            <w:pPr>
              <w:pStyle w:val="Tablebullet"/>
              <w:numPr>
                <w:ilvl w:val="0"/>
                <w:numId w:val="0"/>
              </w:numPr>
              <w:spacing w:before="60" w:after="60"/>
              <w:rPr>
                <w:i/>
                <w:szCs w:val="20"/>
                <w:lang w:val="en-US"/>
              </w:rPr>
            </w:pPr>
            <w:r w:rsidRPr="009F27AA">
              <w:rPr>
                <w:b/>
                <w:szCs w:val="20"/>
                <w:lang w:val="en-US"/>
              </w:rPr>
              <w:t>Strength of Evidence Rating</w:t>
            </w:r>
            <w:r w:rsidRPr="009F27AA">
              <w:rPr>
                <w:szCs w:val="20"/>
                <w:lang w:val="en-US"/>
              </w:rPr>
              <w:t xml:space="preserve">: </w:t>
            </w:r>
            <w:r w:rsidRPr="009F27AA">
              <w:rPr>
                <w:b/>
                <w:szCs w:val="20"/>
                <w:lang w:val="en-US"/>
              </w:rPr>
              <w:t xml:space="preserve">Moderate. </w:t>
            </w:r>
            <w:r w:rsidRPr="009F27AA">
              <w:rPr>
                <w:i/>
                <w:szCs w:val="20"/>
                <w:lang w:val="en-US"/>
              </w:rPr>
              <w:t>(Based on implementing agency reports and interviews with stakeholders)</w:t>
            </w:r>
          </w:p>
          <w:p w14:paraId="2838CC01" w14:textId="77777777" w:rsidR="001248A6" w:rsidRPr="009F27AA" w:rsidRDefault="001248A6" w:rsidP="001248A6">
            <w:pPr>
              <w:pStyle w:val="Tablebullet"/>
              <w:numPr>
                <w:ilvl w:val="0"/>
                <w:numId w:val="0"/>
              </w:numPr>
              <w:spacing w:before="40" w:beforeAutospacing="0" w:after="80" w:afterAutospacing="0"/>
              <w:ind w:left="28"/>
              <w:rPr>
                <w:szCs w:val="20"/>
                <w:lang w:val="en-US"/>
              </w:rPr>
            </w:pPr>
            <w:r>
              <w:rPr>
                <w:b/>
                <w:szCs w:val="20"/>
                <w:lang w:val="en-US"/>
              </w:rPr>
              <w:t xml:space="preserve">[EVIDENCE 1] – Final Feasibility Report (Cardno, 2017) – Port Project. </w:t>
            </w:r>
            <w:r w:rsidRPr="001248A6">
              <w:rPr>
                <w:szCs w:val="20"/>
                <w:lang w:val="en-US"/>
              </w:rPr>
              <w:t>The</w:t>
            </w:r>
            <w:r>
              <w:rPr>
                <w:b/>
                <w:szCs w:val="20"/>
                <w:lang w:val="en-US"/>
              </w:rPr>
              <w:t xml:space="preserve"> </w:t>
            </w:r>
            <w:r w:rsidRPr="001248A6">
              <w:rPr>
                <w:szCs w:val="20"/>
                <w:lang w:val="en-US"/>
              </w:rPr>
              <w:t>feasibility</w:t>
            </w:r>
            <w:r>
              <w:rPr>
                <w:szCs w:val="20"/>
                <w:lang w:val="en-US"/>
              </w:rPr>
              <w:t xml:space="preserve"> assessment quantifies the expected green house gas (GHG) emissions reductions from the new port as an estimated $8.6 million climate change benefit.</w:t>
            </w:r>
            <w:r>
              <w:t xml:space="preserve"> The value of reduced emissions was assessed based on estimated fuel use by pusher barges and berthed container and fuel vessels. </w:t>
            </w:r>
          </w:p>
          <w:p w14:paraId="25F6FB16" w14:textId="77777777" w:rsidR="009860C3" w:rsidRDefault="009860C3" w:rsidP="001248A6">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sidR="001248A6">
              <w:rPr>
                <w:b/>
                <w:szCs w:val="20"/>
                <w:lang w:val="en-US"/>
              </w:rPr>
              <w:t>2</w:t>
            </w:r>
            <w:r w:rsidRPr="009F27AA">
              <w:rPr>
                <w:b/>
                <w:szCs w:val="20"/>
                <w:lang w:val="en-US"/>
              </w:rPr>
              <w:t>] – Climate Risk and Vulnerability Assessment (Cardno, 2017) - Port Project.</w:t>
            </w:r>
            <w:r w:rsidRPr="009F27AA">
              <w:rPr>
                <w:szCs w:val="20"/>
                <w:lang w:val="en-US"/>
              </w:rPr>
              <w:t xml:space="preserve"> As per ADB’s requirements since 2014 for all investment projects to consider climate risk and incorporate adaptation measures, a Climate Risk and Vulnerability Assessment was undertaken. The assessment considered regional divers of climate, such as the South Pacific Convergence Zone (SPCZ), El Nino-Southern Oscillation (ENSO) and the West Pacific Monsoon. Existing climate conditions were assessed, as were four climate change projection scenarios (representative concentration pathways (RPC) 2.6, 4.5, 6.0 and 8.5). Factors evaluated include temperature, rainfall, drought, tropical cyclones, mean sea level, ocean currents, wind and wave climate, ocean acidity and tsunami. The relevant hazards were identified to be increased air temperatures, sea level rise (58cm by 2070 under RPC 8.5), changes in wind and wave climate resulting in potential increases in extreme wave heights, increase in both average annual rainfall and the intensity of extreme rainfall events, and ocean acidity. The risk assessment proposed climate resilient measures to be reflected in the port design, as well as opportunities for improved resilience and sustainability (design and other options, including drainage, materials selection, sustainability, asset management practices, emergency management and improving knowledge and understanding of the local climate). </w:t>
            </w:r>
          </w:p>
          <w:p w14:paraId="0F0B41BA"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sidR="001248A6">
              <w:rPr>
                <w:b/>
                <w:szCs w:val="20"/>
                <w:lang w:val="en-US"/>
              </w:rPr>
              <w:t>3</w:t>
            </w:r>
            <w:r w:rsidRPr="009F27AA">
              <w:rPr>
                <w:b/>
                <w:szCs w:val="20"/>
                <w:lang w:val="en-US"/>
              </w:rPr>
              <w:t>] – Interviews with the NUC and ADB [INTERVIEWS 2, 11]</w:t>
            </w:r>
            <w:r w:rsidRPr="009F27AA">
              <w:rPr>
                <w:szCs w:val="20"/>
                <w:lang w:val="en-US"/>
              </w:rPr>
              <w:t xml:space="preserve"> indicated that the provision of the new diesel generators would reduce carbon emissions as compared to continuing to run the existing, less efficient generators. The generators selected were medium speed, providing good fuel efficiency and a longer asset life span than high speed generators (which also burn more fuel). This approach also represented a cost saving in fuel and oil use. </w:t>
            </w:r>
          </w:p>
          <w:p w14:paraId="3DE54207"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sidR="001248A6">
              <w:rPr>
                <w:b/>
                <w:szCs w:val="20"/>
                <w:lang w:val="en-US"/>
              </w:rPr>
              <w:t>4</w:t>
            </w:r>
            <w:r w:rsidRPr="009F27AA">
              <w:rPr>
                <w:b/>
                <w:szCs w:val="20"/>
                <w:lang w:val="en-US"/>
              </w:rPr>
              <w:t>] – Concept Design Report for Nauru Sports Complex (A&amp;L, 2017)</w:t>
            </w:r>
            <w:r w:rsidRPr="009F27AA">
              <w:rPr>
                <w:szCs w:val="20"/>
                <w:lang w:val="en-US"/>
              </w:rPr>
              <w:t xml:space="preserve"> indicates that current and future weather and climatic conditions have been factored into the design, including building orientation to provide natural ventilation and shade, increased gutter, downpipe and drain sizes and wind resistance detailing and engineering design that accounts for heavier storms, rainfall events, and wind velocity. Other factors that have been considered include land tenure implications of the site selection, temperature and humidity and extreme sea level events, noting the site is located on the coast at an elevation of 5m above sea level.  </w:t>
            </w:r>
          </w:p>
          <w:p w14:paraId="1F22EEFF" w14:textId="3EB45B58"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sidR="001248A6">
              <w:rPr>
                <w:b/>
                <w:szCs w:val="20"/>
                <w:lang w:val="en-US"/>
              </w:rPr>
              <w:t>5</w:t>
            </w:r>
            <w:r w:rsidRPr="009F27AA">
              <w:rPr>
                <w:b/>
                <w:szCs w:val="20"/>
                <w:lang w:val="en-US"/>
              </w:rPr>
              <w:t xml:space="preserve">] – Concept Design Report for USP Learning </w:t>
            </w:r>
            <w:r w:rsidR="003D39B3">
              <w:rPr>
                <w:b/>
                <w:szCs w:val="20"/>
                <w:lang w:val="en-US"/>
              </w:rPr>
              <w:t>Centre</w:t>
            </w:r>
            <w:r w:rsidRPr="009F27AA">
              <w:rPr>
                <w:b/>
                <w:szCs w:val="20"/>
                <w:lang w:val="en-US"/>
              </w:rPr>
              <w:t xml:space="preserve"> – </w:t>
            </w:r>
            <w:r w:rsidRPr="009F27AA">
              <w:rPr>
                <w:szCs w:val="20"/>
                <w:lang w:val="en-US"/>
              </w:rPr>
              <w:t xml:space="preserve">This document includes a section that outline the future climate expectations and how the design has </w:t>
            </w:r>
            <w:r w:rsidRPr="002E452B">
              <w:rPr>
                <w:b/>
                <w:szCs w:val="20"/>
                <w:lang w:val="en-US"/>
              </w:rPr>
              <w:t>responded</w:t>
            </w:r>
            <w:r w:rsidRPr="009F27AA">
              <w:rPr>
                <w:szCs w:val="20"/>
                <w:lang w:val="en-US"/>
              </w:rPr>
              <w:t xml:space="preserve"> to be appropriate to the future conditions. </w:t>
            </w:r>
          </w:p>
          <w:p w14:paraId="1A37680F" w14:textId="77777777" w:rsidR="009860C3" w:rsidRPr="009F27AA" w:rsidRDefault="009860C3" w:rsidP="00473C45">
            <w:pPr>
              <w:pStyle w:val="Tablebullet"/>
              <w:numPr>
                <w:ilvl w:val="0"/>
                <w:numId w:val="0"/>
              </w:numPr>
              <w:spacing w:before="40" w:beforeAutospacing="0" w:after="80" w:afterAutospacing="0"/>
              <w:ind w:left="28"/>
              <w:rPr>
                <w:szCs w:val="20"/>
                <w:lang w:val="en-US"/>
              </w:rPr>
            </w:pPr>
            <w:r w:rsidRPr="009F27AA">
              <w:rPr>
                <w:b/>
                <w:szCs w:val="20"/>
                <w:lang w:val="en-US"/>
              </w:rPr>
              <w:t xml:space="preserve">[EVIDENCE </w:t>
            </w:r>
            <w:r w:rsidR="001248A6">
              <w:rPr>
                <w:b/>
                <w:szCs w:val="20"/>
                <w:lang w:val="en-US"/>
              </w:rPr>
              <w:t>6</w:t>
            </w:r>
            <w:r w:rsidRPr="009F27AA">
              <w:rPr>
                <w:b/>
                <w:szCs w:val="20"/>
                <w:lang w:val="en-US"/>
              </w:rPr>
              <w:t>] –</w:t>
            </w:r>
            <w:r w:rsidRPr="009F27AA">
              <w:rPr>
                <w:szCs w:val="20"/>
                <w:lang w:val="en-US"/>
              </w:rPr>
              <w:t xml:space="preserve"> </w:t>
            </w:r>
            <w:r w:rsidRPr="009F27AA">
              <w:rPr>
                <w:b/>
                <w:szCs w:val="20"/>
                <w:lang w:val="en-US"/>
              </w:rPr>
              <w:t xml:space="preserve">Interviews with CIE [INTERVIEW 7] </w:t>
            </w:r>
            <w:r w:rsidRPr="009F27AA">
              <w:rPr>
                <w:szCs w:val="20"/>
                <w:lang w:val="en-US"/>
              </w:rPr>
              <w:t>indicated that the water tanks project was supported as a climate change initiative, given the increased resilience at the household level that was anticipated to be delivered by this project.</w:t>
            </w:r>
          </w:p>
          <w:p w14:paraId="5A9FBC7F" w14:textId="77777777" w:rsidR="009860C3" w:rsidRPr="009F27AA" w:rsidRDefault="009860C3" w:rsidP="00473C45">
            <w:pPr>
              <w:pStyle w:val="Tablebullet"/>
              <w:numPr>
                <w:ilvl w:val="0"/>
                <w:numId w:val="0"/>
              </w:numPr>
              <w:spacing w:before="60" w:after="60"/>
              <w:ind w:left="1440" w:hanging="360"/>
              <w:rPr>
                <w:szCs w:val="20"/>
                <w:lang w:val="en-US"/>
              </w:rPr>
            </w:pPr>
          </w:p>
        </w:tc>
        <w:tc>
          <w:tcPr>
            <w:tcW w:w="5361" w:type="dxa"/>
            <w:tcBorders>
              <w:left w:val="single" w:sz="4" w:space="0" w:color="E26E00"/>
            </w:tcBorders>
          </w:tcPr>
          <w:p w14:paraId="3D0F450E" w14:textId="77777777" w:rsidR="009860C3" w:rsidRPr="009F27AA" w:rsidRDefault="009860C3" w:rsidP="00473C45">
            <w:pPr>
              <w:pStyle w:val="Tablebullet"/>
              <w:numPr>
                <w:ilvl w:val="0"/>
                <w:numId w:val="0"/>
              </w:numPr>
              <w:spacing w:before="60" w:after="60"/>
              <w:rPr>
                <w:b/>
                <w:szCs w:val="20"/>
              </w:rPr>
            </w:pPr>
            <w:r w:rsidRPr="009F27AA">
              <w:rPr>
                <w:b/>
                <w:szCs w:val="20"/>
              </w:rPr>
              <w:t>Rating: Adequate (4)</w:t>
            </w:r>
          </w:p>
          <w:p w14:paraId="0DD8F9AA"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The following projects have demonstrated climate change as a key consideration in project selection and design:</w:t>
            </w:r>
          </w:p>
          <w:p w14:paraId="57EE9E7C" w14:textId="77777777" w:rsidR="009860C3" w:rsidRPr="009F27AA" w:rsidRDefault="009860C3" w:rsidP="00473C45">
            <w:pPr>
              <w:pStyle w:val="Tablebullet"/>
              <w:spacing w:before="60" w:after="60"/>
              <w:ind w:left="604" w:hanging="285"/>
              <w:rPr>
                <w:szCs w:val="20"/>
              </w:rPr>
            </w:pPr>
            <w:r w:rsidRPr="009F27AA">
              <w:rPr>
                <w:szCs w:val="20"/>
              </w:rPr>
              <w:t>Nauru Electricity Supply and Sustainability Project (co-financed with the Asian Development Bank and European Union)</w:t>
            </w:r>
          </w:p>
          <w:p w14:paraId="7842EFEF" w14:textId="77777777" w:rsidR="009860C3" w:rsidRPr="009F27AA" w:rsidRDefault="009860C3" w:rsidP="00473C45">
            <w:pPr>
              <w:pStyle w:val="Tablebullet"/>
              <w:spacing w:before="60" w:after="60"/>
              <w:ind w:left="604" w:hanging="285"/>
              <w:rPr>
                <w:szCs w:val="20"/>
              </w:rPr>
            </w:pPr>
            <w:r w:rsidRPr="009F27AA">
              <w:rPr>
                <w:szCs w:val="20"/>
              </w:rPr>
              <w:t>Port redevelopment and Port Institutional Strengthening (co-financed with the Asian Development Bank, Government of Nauru and Green Climate Fund)</w:t>
            </w:r>
          </w:p>
          <w:p w14:paraId="3AFB8B73" w14:textId="77777777" w:rsidR="009860C3" w:rsidRPr="009F27AA" w:rsidRDefault="009860C3" w:rsidP="00473C45">
            <w:pPr>
              <w:pStyle w:val="Tablebullet"/>
              <w:spacing w:before="60" w:after="60"/>
              <w:ind w:left="604" w:hanging="285"/>
              <w:rPr>
                <w:szCs w:val="20"/>
              </w:rPr>
            </w:pPr>
            <w:r w:rsidRPr="009F27AA">
              <w:rPr>
                <w:szCs w:val="20"/>
              </w:rPr>
              <w:t>NUC CEO (through PACTAM program)</w:t>
            </w:r>
          </w:p>
          <w:p w14:paraId="5F219CB5"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The following projects have ensured climate change adaptation is considered in the design:</w:t>
            </w:r>
          </w:p>
          <w:p w14:paraId="2785B51B" w14:textId="69F44ECB" w:rsidR="009860C3" w:rsidRPr="009F27AA" w:rsidRDefault="009860C3" w:rsidP="00473C45">
            <w:pPr>
              <w:pStyle w:val="Tablebullet"/>
              <w:spacing w:before="60" w:after="60"/>
              <w:ind w:left="604" w:hanging="285"/>
              <w:rPr>
                <w:szCs w:val="20"/>
              </w:rPr>
            </w:pPr>
            <w:r w:rsidRPr="009F27AA">
              <w:rPr>
                <w:szCs w:val="20"/>
              </w:rPr>
              <w:t xml:space="preserve">USP Learning </w:t>
            </w:r>
            <w:r w:rsidR="003D39B3">
              <w:rPr>
                <w:szCs w:val="20"/>
              </w:rPr>
              <w:t>Centre</w:t>
            </w:r>
          </w:p>
          <w:p w14:paraId="4F818F1F" w14:textId="77777777" w:rsidR="009860C3" w:rsidRPr="009F27AA" w:rsidRDefault="009860C3" w:rsidP="00473C45">
            <w:pPr>
              <w:pStyle w:val="Tablebullet"/>
              <w:spacing w:before="60" w:after="60"/>
              <w:ind w:left="604" w:hanging="285"/>
              <w:rPr>
                <w:szCs w:val="20"/>
              </w:rPr>
            </w:pPr>
            <w:r w:rsidRPr="009F27AA">
              <w:rPr>
                <w:szCs w:val="20"/>
              </w:rPr>
              <w:t>Sports Complex</w:t>
            </w:r>
          </w:p>
          <w:p w14:paraId="385C6896" w14:textId="77777777" w:rsidR="009860C3" w:rsidRPr="009F27AA" w:rsidRDefault="009860C3" w:rsidP="00473C45">
            <w:pPr>
              <w:pStyle w:val="Tablebullet"/>
              <w:spacing w:before="60" w:after="60"/>
              <w:ind w:left="604" w:hanging="285"/>
              <w:rPr>
                <w:szCs w:val="20"/>
              </w:rPr>
            </w:pPr>
            <w:r w:rsidRPr="009F27AA">
              <w:rPr>
                <w:szCs w:val="20"/>
              </w:rPr>
              <w:t>Household water tanks</w:t>
            </w:r>
          </w:p>
          <w:p w14:paraId="4C25118B" w14:textId="77777777" w:rsidR="009860C3" w:rsidRPr="009F27AA" w:rsidRDefault="009860C3" w:rsidP="00473C45">
            <w:pPr>
              <w:pStyle w:val="Tablebullet"/>
              <w:numPr>
                <w:ilvl w:val="0"/>
                <w:numId w:val="0"/>
              </w:numPr>
              <w:spacing w:before="60" w:after="60"/>
              <w:rPr>
                <w:szCs w:val="20"/>
                <w:lang w:val="en-US"/>
              </w:rPr>
            </w:pPr>
            <w:r w:rsidRPr="009F27AA">
              <w:rPr>
                <w:szCs w:val="20"/>
                <w:lang w:val="en-US"/>
              </w:rPr>
              <w:t>It is not clear from evidence received to what extent climate change was considered as a cross-cutting issue relating to these projects:</w:t>
            </w:r>
          </w:p>
          <w:p w14:paraId="451ECD2C" w14:textId="77777777" w:rsidR="009860C3" w:rsidRPr="009F27AA" w:rsidRDefault="009860C3" w:rsidP="00473C45">
            <w:pPr>
              <w:pStyle w:val="Tablebullet"/>
              <w:spacing w:before="60" w:after="60"/>
              <w:ind w:left="604" w:hanging="285"/>
              <w:rPr>
                <w:szCs w:val="20"/>
              </w:rPr>
            </w:pPr>
            <w:r w:rsidRPr="009F27AA">
              <w:rPr>
                <w:szCs w:val="20"/>
              </w:rPr>
              <w:t>Wellness clinics</w:t>
            </w:r>
          </w:p>
          <w:p w14:paraId="49B1FC5B" w14:textId="35FDCF11" w:rsidR="009860C3" w:rsidRPr="009F27AA" w:rsidRDefault="009860C3" w:rsidP="00473C45">
            <w:pPr>
              <w:pStyle w:val="Tablebullet"/>
              <w:spacing w:before="60" w:after="60"/>
              <w:ind w:left="604" w:hanging="285"/>
              <w:rPr>
                <w:szCs w:val="20"/>
              </w:rPr>
            </w:pPr>
            <w:r w:rsidRPr="009F27AA">
              <w:rPr>
                <w:szCs w:val="20"/>
              </w:rPr>
              <w:t xml:space="preserve">TVET </w:t>
            </w:r>
            <w:r w:rsidR="003D39B3">
              <w:rPr>
                <w:szCs w:val="20"/>
              </w:rPr>
              <w:t>Centre</w:t>
            </w:r>
          </w:p>
          <w:p w14:paraId="4C2B1410" w14:textId="77777777" w:rsidR="009860C3" w:rsidRPr="009F27AA" w:rsidRDefault="009860C3" w:rsidP="00473C45">
            <w:pPr>
              <w:pStyle w:val="Tablebullet"/>
              <w:spacing w:before="60" w:after="60"/>
              <w:ind w:left="604" w:hanging="285"/>
              <w:rPr>
                <w:szCs w:val="20"/>
              </w:rPr>
            </w:pPr>
            <w:r w:rsidRPr="009F27AA">
              <w:rPr>
                <w:szCs w:val="20"/>
              </w:rPr>
              <w:t>Hospital (stage 1 and 2)</w:t>
            </w:r>
          </w:p>
          <w:p w14:paraId="2BAD7DF5" w14:textId="77777777" w:rsidR="009860C3" w:rsidRPr="009F27AA" w:rsidRDefault="009860C3" w:rsidP="00473C45">
            <w:pPr>
              <w:pStyle w:val="Tablebullet"/>
              <w:numPr>
                <w:ilvl w:val="0"/>
                <w:numId w:val="0"/>
              </w:numPr>
              <w:spacing w:before="60" w:after="60"/>
              <w:ind w:left="1440" w:hanging="360"/>
              <w:rPr>
                <w:szCs w:val="20"/>
                <w:lang w:val="en-US"/>
              </w:rPr>
            </w:pPr>
          </w:p>
        </w:tc>
      </w:tr>
    </w:tbl>
    <w:p w14:paraId="7AF4C64D" w14:textId="77777777" w:rsidR="00B20F89" w:rsidRDefault="00B20F89" w:rsidP="00A716D9">
      <w:pPr>
        <w:rPr>
          <w:lang w:eastAsia="en-AU"/>
        </w:rPr>
      </w:pPr>
    </w:p>
    <w:p w14:paraId="1B687674" w14:textId="77777777" w:rsidR="00B20F89" w:rsidRDefault="00B20F89" w:rsidP="00A716D9">
      <w:pPr>
        <w:rPr>
          <w:lang w:eastAsia="en-AU"/>
        </w:rPr>
      </w:pPr>
    </w:p>
    <w:p w14:paraId="11950AFF" w14:textId="77777777" w:rsidR="004B1C2F" w:rsidRDefault="004B1C2F" w:rsidP="004B1C2F">
      <w:pPr>
        <w:spacing w:before="0" w:after="0"/>
        <w:rPr>
          <w:lang w:eastAsia="en-AU"/>
        </w:rPr>
      </w:pPr>
    </w:p>
    <w:p w14:paraId="1DD39DB9" w14:textId="77777777" w:rsidR="00337ED6" w:rsidRDefault="00337ED6">
      <w:r>
        <w:br w:type="page"/>
      </w:r>
    </w:p>
    <w:p w14:paraId="5A5687D0" w14:textId="77777777" w:rsidR="00A6511B" w:rsidRDefault="00A6511B" w:rsidP="00370A0C">
      <w:pPr>
        <w:framePr w:h="14147" w:hRule="exact" w:wrap="auto" w:hAnchor="text"/>
        <w:spacing w:before="0" w:after="0"/>
        <w:rPr>
          <w:lang w:eastAsia="en-AU"/>
        </w:rPr>
        <w:sectPr w:rsidR="00A6511B" w:rsidSect="00650A55">
          <w:pgSz w:w="23811" w:h="16838" w:orient="landscape" w:code="8"/>
          <w:pgMar w:top="656" w:right="1440" w:bottom="851" w:left="1440" w:header="720" w:footer="510" w:gutter="0"/>
          <w:cols w:space="720"/>
          <w:docGrid w:linePitch="299"/>
        </w:sectPr>
      </w:pPr>
    </w:p>
    <w:p w14:paraId="44A52CF3" w14:textId="77777777" w:rsidR="00B20F89" w:rsidRDefault="00B20F89" w:rsidP="00B20F89">
      <w:pPr>
        <w:pStyle w:val="Heading1"/>
        <w:numPr>
          <w:ilvl w:val="0"/>
          <w:numId w:val="0"/>
        </w:numPr>
        <w:ind w:left="431" w:hanging="431"/>
      </w:pPr>
      <w:bookmarkStart w:id="48" w:name="_Ref516129308"/>
      <w:bookmarkStart w:id="49" w:name="_Toc518640225"/>
      <w:r>
        <w:lastRenderedPageBreak/>
        <w:t xml:space="preserve">Annex </w:t>
      </w:r>
      <w:r w:rsidR="00F23713">
        <w:t>C</w:t>
      </w:r>
      <w:r>
        <w:t xml:space="preserve"> – List of People </w:t>
      </w:r>
      <w:r w:rsidR="007E2992">
        <w:t>Interviewed</w:t>
      </w:r>
      <w:bookmarkEnd w:id="48"/>
      <w:bookmarkEnd w:id="49"/>
    </w:p>
    <w:tbl>
      <w:tblPr>
        <w:tblStyle w:val="TableGrid"/>
        <w:tblpPr w:leftFromText="181" w:rightFromText="181" w:vertAnchor="text" w:horzAnchor="page" w:tblpX="1260" w:tblpY="228"/>
        <w:tblW w:w="14715" w:type="dxa"/>
        <w:tblLook w:val="04A0" w:firstRow="1" w:lastRow="0" w:firstColumn="1" w:lastColumn="0" w:noHBand="0" w:noVBand="1"/>
      </w:tblPr>
      <w:tblGrid>
        <w:gridCol w:w="451"/>
        <w:gridCol w:w="2238"/>
        <w:gridCol w:w="3969"/>
        <w:gridCol w:w="5091"/>
        <w:gridCol w:w="2966"/>
      </w:tblGrid>
      <w:tr w:rsidR="00CC576A" w:rsidRPr="00CC576A" w14:paraId="32F0B70B" w14:textId="77777777" w:rsidTr="004D1C65">
        <w:trPr>
          <w:trHeight w:val="476"/>
        </w:trPr>
        <w:tc>
          <w:tcPr>
            <w:tcW w:w="451" w:type="dxa"/>
            <w:shd w:val="clear" w:color="auto" w:fill="FABF8F" w:themeFill="accent6" w:themeFillTint="99"/>
          </w:tcPr>
          <w:p w14:paraId="0FBA3FD2" w14:textId="77777777" w:rsidR="00CC576A" w:rsidRPr="00CC576A" w:rsidRDefault="00CC576A" w:rsidP="007310DC">
            <w:pPr>
              <w:spacing w:before="60" w:beforeAutospacing="0" w:after="60" w:afterAutospacing="0"/>
              <w:rPr>
                <w:b/>
                <w:szCs w:val="20"/>
                <w:lang w:val="en-US"/>
              </w:rPr>
            </w:pPr>
          </w:p>
        </w:tc>
        <w:tc>
          <w:tcPr>
            <w:tcW w:w="2238" w:type="dxa"/>
            <w:shd w:val="clear" w:color="auto" w:fill="FABF8F" w:themeFill="accent6" w:themeFillTint="99"/>
          </w:tcPr>
          <w:p w14:paraId="772F1116" w14:textId="77777777" w:rsidR="00CC576A" w:rsidRPr="00CC576A" w:rsidRDefault="00CC576A" w:rsidP="007310DC">
            <w:pPr>
              <w:spacing w:before="60" w:beforeAutospacing="0" w:after="60" w:afterAutospacing="0"/>
              <w:rPr>
                <w:b/>
                <w:szCs w:val="20"/>
                <w:lang w:val="en-US"/>
              </w:rPr>
            </w:pPr>
            <w:r w:rsidRPr="00CC576A">
              <w:rPr>
                <w:b/>
                <w:szCs w:val="20"/>
                <w:lang w:val="en-US"/>
              </w:rPr>
              <w:t xml:space="preserve">Interviewee </w:t>
            </w:r>
          </w:p>
        </w:tc>
        <w:tc>
          <w:tcPr>
            <w:tcW w:w="3969" w:type="dxa"/>
            <w:shd w:val="clear" w:color="auto" w:fill="FABF8F" w:themeFill="accent6" w:themeFillTint="99"/>
          </w:tcPr>
          <w:p w14:paraId="63AF62DD" w14:textId="77777777" w:rsidR="00CC576A" w:rsidRPr="00CC576A" w:rsidRDefault="00CC576A" w:rsidP="007310DC">
            <w:pPr>
              <w:spacing w:before="60" w:beforeAutospacing="0" w:after="60" w:afterAutospacing="0"/>
              <w:rPr>
                <w:b/>
                <w:szCs w:val="20"/>
                <w:lang w:val="en-US"/>
              </w:rPr>
            </w:pPr>
            <w:r w:rsidRPr="00CC576A">
              <w:rPr>
                <w:b/>
                <w:szCs w:val="20"/>
                <w:lang w:val="en-US"/>
              </w:rPr>
              <w:t xml:space="preserve">Role </w:t>
            </w:r>
          </w:p>
        </w:tc>
        <w:tc>
          <w:tcPr>
            <w:tcW w:w="5091" w:type="dxa"/>
            <w:shd w:val="clear" w:color="auto" w:fill="FABF8F" w:themeFill="accent6" w:themeFillTint="99"/>
          </w:tcPr>
          <w:p w14:paraId="5A70AB73" w14:textId="77777777" w:rsidR="00CC576A" w:rsidRPr="00CC576A" w:rsidRDefault="00CC576A" w:rsidP="007310DC">
            <w:pPr>
              <w:spacing w:before="60" w:after="60"/>
              <w:rPr>
                <w:b/>
                <w:szCs w:val="20"/>
                <w:lang w:val="en-US"/>
              </w:rPr>
            </w:pPr>
            <w:r w:rsidRPr="00CC576A">
              <w:rPr>
                <w:b/>
                <w:szCs w:val="20"/>
                <w:lang w:val="en-US"/>
              </w:rPr>
              <w:t>Organisation</w:t>
            </w:r>
          </w:p>
        </w:tc>
        <w:tc>
          <w:tcPr>
            <w:tcW w:w="2966" w:type="dxa"/>
            <w:shd w:val="clear" w:color="auto" w:fill="FABF8F" w:themeFill="accent6" w:themeFillTint="99"/>
          </w:tcPr>
          <w:p w14:paraId="2F6E3B96" w14:textId="77777777" w:rsidR="00CC576A" w:rsidRPr="00CC576A" w:rsidRDefault="00CC576A" w:rsidP="007310DC">
            <w:pPr>
              <w:spacing w:before="60" w:after="60"/>
              <w:rPr>
                <w:b/>
                <w:szCs w:val="20"/>
                <w:lang w:val="en-US"/>
              </w:rPr>
            </w:pPr>
            <w:r w:rsidRPr="00CC576A">
              <w:rPr>
                <w:b/>
                <w:szCs w:val="20"/>
                <w:lang w:val="en-US"/>
              </w:rPr>
              <w:t xml:space="preserve">Interviewer </w:t>
            </w:r>
          </w:p>
        </w:tc>
      </w:tr>
      <w:tr w:rsidR="001E6AAA" w:rsidRPr="00CC576A" w14:paraId="21E91238" w14:textId="77777777" w:rsidTr="004F0B78">
        <w:trPr>
          <w:trHeight w:val="211"/>
        </w:trPr>
        <w:tc>
          <w:tcPr>
            <w:tcW w:w="451" w:type="dxa"/>
            <w:vAlign w:val="center"/>
          </w:tcPr>
          <w:p w14:paraId="57AAFAC2" w14:textId="77777777" w:rsidR="001E6AAA" w:rsidRPr="00CC576A" w:rsidRDefault="001E6AAA" w:rsidP="001E6AAA">
            <w:pPr>
              <w:spacing w:before="100" w:after="100"/>
              <w:rPr>
                <w:rFonts w:cs="Calibri"/>
                <w:color w:val="000000"/>
                <w:szCs w:val="20"/>
              </w:rPr>
            </w:pPr>
            <w:r>
              <w:rPr>
                <w:rFonts w:cs="Calibri"/>
                <w:color w:val="000000"/>
                <w:szCs w:val="20"/>
              </w:rPr>
              <w:t>1</w:t>
            </w:r>
          </w:p>
        </w:tc>
        <w:tc>
          <w:tcPr>
            <w:tcW w:w="2238" w:type="dxa"/>
            <w:vAlign w:val="center"/>
          </w:tcPr>
          <w:p w14:paraId="5562D58B" w14:textId="77777777" w:rsidR="001E6AAA" w:rsidRPr="00CC576A" w:rsidRDefault="001E6AAA" w:rsidP="001E6AAA">
            <w:pPr>
              <w:spacing w:before="100" w:after="100"/>
              <w:rPr>
                <w:szCs w:val="20"/>
              </w:rPr>
            </w:pPr>
            <w:r>
              <w:rPr>
                <w:rFonts w:cs="Calibri"/>
                <w:color w:val="000000"/>
                <w:szCs w:val="20"/>
              </w:rPr>
              <w:t>Abraham Simpson</w:t>
            </w:r>
          </w:p>
        </w:tc>
        <w:tc>
          <w:tcPr>
            <w:tcW w:w="3969" w:type="dxa"/>
            <w:vAlign w:val="center"/>
          </w:tcPr>
          <w:p w14:paraId="4BA71302" w14:textId="77777777" w:rsidR="001E6AAA" w:rsidRPr="00CC576A" w:rsidRDefault="001E6AAA" w:rsidP="001E6AAA">
            <w:pPr>
              <w:spacing w:before="60" w:after="60"/>
              <w:rPr>
                <w:szCs w:val="20"/>
                <w:lang w:val="en-US"/>
              </w:rPr>
            </w:pPr>
            <w:r>
              <w:rPr>
                <w:rFonts w:cs="Calibri"/>
                <w:color w:val="000000"/>
                <w:szCs w:val="20"/>
              </w:rPr>
              <w:t>Chief Executive Officer (CEO)</w:t>
            </w:r>
          </w:p>
        </w:tc>
        <w:tc>
          <w:tcPr>
            <w:tcW w:w="5091" w:type="dxa"/>
            <w:vAlign w:val="center"/>
          </w:tcPr>
          <w:p w14:paraId="63910193" w14:textId="77777777" w:rsidR="001E6AAA" w:rsidRPr="00CC576A" w:rsidRDefault="001E6AAA" w:rsidP="001E6AAA">
            <w:pPr>
              <w:spacing w:before="60" w:after="60"/>
              <w:rPr>
                <w:szCs w:val="20"/>
                <w:lang w:val="en-US"/>
              </w:rPr>
            </w:pPr>
            <w:r>
              <w:rPr>
                <w:rFonts w:cs="Calibri"/>
                <w:color w:val="000000"/>
                <w:szCs w:val="20"/>
              </w:rPr>
              <w:t>Nauru Utilities Corporation</w:t>
            </w:r>
          </w:p>
        </w:tc>
        <w:tc>
          <w:tcPr>
            <w:tcW w:w="2966" w:type="dxa"/>
            <w:vAlign w:val="center"/>
          </w:tcPr>
          <w:p w14:paraId="4CF65A0A"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7C1004F6" w14:textId="77777777" w:rsidTr="004F0B78">
        <w:trPr>
          <w:trHeight w:val="211"/>
        </w:trPr>
        <w:tc>
          <w:tcPr>
            <w:tcW w:w="451" w:type="dxa"/>
            <w:vAlign w:val="center"/>
          </w:tcPr>
          <w:p w14:paraId="056CA6FE" w14:textId="77777777" w:rsidR="001E6AAA" w:rsidRPr="00CC576A" w:rsidRDefault="001E6AAA" w:rsidP="001E6AAA">
            <w:pPr>
              <w:rPr>
                <w:rFonts w:cs="Calibri"/>
                <w:color w:val="000000"/>
                <w:szCs w:val="20"/>
              </w:rPr>
            </w:pPr>
            <w:r>
              <w:rPr>
                <w:rFonts w:cs="Calibri"/>
                <w:color w:val="000000"/>
                <w:szCs w:val="20"/>
              </w:rPr>
              <w:t>2</w:t>
            </w:r>
          </w:p>
        </w:tc>
        <w:tc>
          <w:tcPr>
            <w:tcW w:w="2238" w:type="dxa"/>
            <w:vAlign w:val="center"/>
          </w:tcPr>
          <w:p w14:paraId="344F1E0A" w14:textId="77777777" w:rsidR="001E6AAA" w:rsidRPr="00CC576A" w:rsidRDefault="001E6AAA" w:rsidP="001E6AAA">
            <w:pPr>
              <w:rPr>
                <w:szCs w:val="20"/>
              </w:rPr>
            </w:pPr>
            <w:r>
              <w:rPr>
                <w:rFonts w:cs="Calibri"/>
                <w:color w:val="000000"/>
                <w:szCs w:val="20"/>
              </w:rPr>
              <w:t>Alina Amwano</w:t>
            </w:r>
          </w:p>
        </w:tc>
        <w:tc>
          <w:tcPr>
            <w:tcW w:w="3969" w:type="dxa"/>
            <w:vAlign w:val="center"/>
          </w:tcPr>
          <w:p w14:paraId="5A402F36" w14:textId="77777777" w:rsidR="001E6AAA" w:rsidRPr="00CC576A" w:rsidRDefault="001E6AAA" w:rsidP="001E6AAA">
            <w:pPr>
              <w:spacing w:before="60" w:after="60"/>
              <w:rPr>
                <w:szCs w:val="20"/>
                <w:lang w:val="en-US"/>
              </w:rPr>
            </w:pPr>
            <w:r>
              <w:rPr>
                <w:rFonts w:cs="Calibri"/>
                <w:color w:val="000000"/>
                <w:szCs w:val="20"/>
              </w:rPr>
              <w:t>Gender Focal point</w:t>
            </w:r>
          </w:p>
        </w:tc>
        <w:tc>
          <w:tcPr>
            <w:tcW w:w="5091" w:type="dxa"/>
            <w:vAlign w:val="center"/>
          </w:tcPr>
          <w:p w14:paraId="6B6012B1" w14:textId="77777777" w:rsidR="001E6AAA" w:rsidRPr="00CC576A" w:rsidRDefault="001E6AAA" w:rsidP="001E6AAA">
            <w:pPr>
              <w:spacing w:before="60" w:after="60"/>
              <w:rPr>
                <w:szCs w:val="20"/>
                <w:lang w:val="en-US"/>
              </w:rPr>
            </w:pPr>
            <w:r>
              <w:rPr>
                <w:rFonts w:cs="Calibri"/>
                <w:color w:val="000000"/>
                <w:szCs w:val="20"/>
              </w:rPr>
              <w:t>Department of Home Affairs</w:t>
            </w:r>
          </w:p>
        </w:tc>
        <w:tc>
          <w:tcPr>
            <w:tcW w:w="2966" w:type="dxa"/>
            <w:vAlign w:val="center"/>
          </w:tcPr>
          <w:p w14:paraId="5FB9F59A"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53118655" w14:textId="77777777" w:rsidTr="004F0B78">
        <w:trPr>
          <w:trHeight w:val="211"/>
        </w:trPr>
        <w:tc>
          <w:tcPr>
            <w:tcW w:w="451" w:type="dxa"/>
            <w:vAlign w:val="center"/>
          </w:tcPr>
          <w:p w14:paraId="0D9B406A" w14:textId="77777777" w:rsidR="001E6AAA" w:rsidRPr="00CC576A" w:rsidRDefault="001E6AAA" w:rsidP="001E6AAA">
            <w:pPr>
              <w:rPr>
                <w:rFonts w:cs="Calibri"/>
                <w:color w:val="000000"/>
                <w:szCs w:val="20"/>
              </w:rPr>
            </w:pPr>
            <w:r>
              <w:rPr>
                <w:rFonts w:cs="Calibri"/>
                <w:color w:val="000000"/>
                <w:szCs w:val="20"/>
              </w:rPr>
              <w:t>3</w:t>
            </w:r>
          </w:p>
        </w:tc>
        <w:tc>
          <w:tcPr>
            <w:tcW w:w="2238" w:type="dxa"/>
            <w:vAlign w:val="center"/>
          </w:tcPr>
          <w:p w14:paraId="1802DD7B" w14:textId="77777777" w:rsidR="001E6AAA" w:rsidRPr="00CC576A" w:rsidRDefault="001E6AAA" w:rsidP="001E6AAA">
            <w:pPr>
              <w:rPr>
                <w:szCs w:val="20"/>
              </w:rPr>
            </w:pPr>
            <w:r>
              <w:rPr>
                <w:rFonts w:cs="Calibri"/>
                <w:color w:val="000000"/>
                <w:szCs w:val="20"/>
              </w:rPr>
              <w:t>Angela Tierney</w:t>
            </w:r>
          </w:p>
        </w:tc>
        <w:tc>
          <w:tcPr>
            <w:tcW w:w="3969" w:type="dxa"/>
            <w:vAlign w:val="center"/>
          </w:tcPr>
          <w:p w14:paraId="40F76949" w14:textId="77777777" w:rsidR="001E6AAA" w:rsidRPr="00CC576A" w:rsidRDefault="001E6AAA" w:rsidP="001E6AAA">
            <w:pPr>
              <w:spacing w:before="60" w:after="60"/>
              <w:rPr>
                <w:szCs w:val="20"/>
                <w:lang w:val="en-US"/>
              </w:rPr>
            </w:pPr>
            <w:r>
              <w:rPr>
                <w:rFonts w:cs="Calibri"/>
                <w:color w:val="000000"/>
                <w:szCs w:val="20"/>
              </w:rPr>
              <w:t>High Commissioner</w:t>
            </w:r>
          </w:p>
        </w:tc>
        <w:tc>
          <w:tcPr>
            <w:tcW w:w="5091" w:type="dxa"/>
            <w:vAlign w:val="center"/>
          </w:tcPr>
          <w:p w14:paraId="6E8EF8CC" w14:textId="77777777" w:rsidR="001E6AAA" w:rsidRPr="00CC576A" w:rsidRDefault="001E6AAA" w:rsidP="001E6AAA">
            <w:pPr>
              <w:spacing w:before="60" w:after="60"/>
              <w:rPr>
                <w:szCs w:val="20"/>
                <w:lang w:val="en-US"/>
              </w:rPr>
            </w:pPr>
            <w:r>
              <w:rPr>
                <w:rFonts w:cs="Calibri"/>
                <w:color w:val="000000"/>
                <w:szCs w:val="20"/>
              </w:rPr>
              <w:t>Department of Foreign Affairs and Trade</w:t>
            </w:r>
          </w:p>
        </w:tc>
        <w:tc>
          <w:tcPr>
            <w:tcW w:w="2966" w:type="dxa"/>
            <w:vAlign w:val="center"/>
          </w:tcPr>
          <w:p w14:paraId="7DEB9DCC"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31004AB8" w14:textId="77777777" w:rsidTr="004F0B78">
        <w:trPr>
          <w:trHeight w:val="211"/>
        </w:trPr>
        <w:tc>
          <w:tcPr>
            <w:tcW w:w="451" w:type="dxa"/>
            <w:vAlign w:val="center"/>
          </w:tcPr>
          <w:p w14:paraId="625B4205" w14:textId="77777777" w:rsidR="001E6AAA" w:rsidRPr="00CC576A" w:rsidRDefault="001E6AAA" w:rsidP="001E6AAA">
            <w:pPr>
              <w:rPr>
                <w:rFonts w:cs="Calibri"/>
                <w:color w:val="000000"/>
                <w:szCs w:val="20"/>
              </w:rPr>
            </w:pPr>
            <w:r>
              <w:rPr>
                <w:rFonts w:cs="Calibri"/>
                <w:color w:val="000000"/>
                <w:szCs w:val="20"/>
              </w:rPr>
              <w:t>4</w:t>
            </w:r>
          </w:p>
        </w:tc>
        <w:tc>
          <w:tcPr>
            <w:tcW w:w="2238" w:type="dxa"/>
            <w:vAlign w:val="center"/>
          </w:tcPr>
          <w:p w14:paraId="62009D2B" w14:textId="77777777" w:rsidR="001E6AAA" w:rsidRPr="00CC576A" w:rsidRDefault="001E6AAA" w:rsidP="001E6AAA">
            <w:pPr>
              <w:rPr>
                <w:szCs w:val="20"/>
              </w:rPr>
            </w:pPr>
            <w:r>
              <w:rPr>
                <w:rFonts w:cs="Calibri"/>
                <w:color w:val="000000"/>
                <w:szCs w:val="20"/>
              </w:rPr>
              <w:t xml:space="preserve">Angus Hinton </w:t>
            </w:r>
          </w:p>
        </w:tc>
        <w:tc>
          <w:tcPr>
            <w:tcW w:w="3969" w:type="dxa"/>
            <w:vAlign w:val="center"/>
          </w:tcPr>
          <w:p w14:paraId="4C9A7547" w14:textId="77777777" w:rsidR="001E6AAA" w:rsidRPr="00CC576A" w:rsidRDefault="001E6AAA" w:rsidP="001E6AAA">
            <w:pPr>
              <w:spacing w:before="60" w:after="60"/>
              <w:rPr>
                <w:szCs w:val="20"/>
                <w:lang w:val="en-US"/>
              </w:rPr>
            </w:pPr>
            <w:r>
              <w:rPr>
                <w:rFonts w:cs="Calibri"/>
                <w:color w:val="000000"/>
                <w:szCs w:val="20"/>
              </w:rPr>
              <w:t>Second Secretary</w:t>
            </w:r>
          </w:p>
        </w:tc>
        <w:tc>
          <w:tcPr>
            <w:tcW w:w="5091" w:type="dxa"/>
            <w:vAlign w:val="center"/>
          </w:tcPr>
          <w:p w14:paraId="5C920BE5" w14:textId="77777777" w:rsidR="001E6AAA" w:rsidRPr="00CC576A" w:rsidRDefault="001E6AAA" w:rsidP="001E6AAA">
            <w:pPr>
              <w:spacing w:before="60" w:after="60"/>
              <w:rPr>
                <w:szCs w:val="20"/>
                <w:lang w:val="en-US"/>
              </w:rPr>
            </w:pPr>
            <w:r>
              <w:rPr>
                <w:rFonts w:cs="Calibri"/>
                <w:color w:val="000000"/>
                <w:szCs w:val="20"/>
              </w:rPr>
              <w:t>Department of Foreign Affairs and Trade</w:t>
            </w:r>
          </w:p>
        </w:tc>
        <w:tc>
          <w:tcPr>
            <w:tcW w:w="2966" w:type="dxa"/>
            <w:vAlign w:val="center"/>
          </w:tcPr>
          <w:p w14:paraId="69DF27A1"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51417A86" w14:textId="77777777" w:rsidTr="004F0B78">
        <w:trPr>
          <w:trHeight w:val="290"/>
        </w:trPr>
        <w:tc>
          <w:tcPr>
            <w:tcW w:w="451" w:type="dxa"/>
            <w:vAlign w:val="center"/>
          </w:tcPr>
          <w:p w14:paraId="733F38A7" w14:textId="77777777" w:rsidR="001E6AAA" w:rsidRPr="00CC576A" w:rsidRDefault="001E6AAA" w:rsidP="001E6AAA">
            <w:pPr>
              <w:rPr>
                <w:rFonts w:cs="Calibri"/>
                <w:color w:val="000000"/>
                <w:szCs w:val="20"/>
              </w:rPr>
            </w:pPr>
            <w:r>
              <w:rPr>
                <w:rFonts w:cs="Calibri"/>
                <w:color w:val="000000"/>
                <w:szCs w:val="20"/>
              </w:rPr>
              <w:t>5</w:t>
            </w:r>
          </w:p>
        </w:tc>
        <w:tc>
          <w:tcPr>
            <w:tcW w:w="2238" w:type="dxa"/>
            <w:vAlign w:val="center"/>
          </w:tcPr>
          <w:p w14:paraId="5B6D4744" w14:textId="77777777" w:rsidR="001E6AAA" w:rsidRPr="00CC576A" w:rsidRDefault="001E6AAA" w:rsidP="001E6AAA">
            <w:pPr>
              <w:rPr>
                <w:szCs w:val="20"/>
              </w:rPr>
            </w:pPr>
            <w:r>
              <w:rPr>
                <w:rFonts w:cs="Calibri"/>
                <w:color w:val="000000"/>
                <w:szCs w:val="20"/>
              </w:rPr>
              <w:t>Anton Jimwereiy</w:t>
            </w:r>
          </w:p>
        </w:tc>
        <w:tc>
          <w:tcPr>
            <w:tcW w:w="3969" w:type="dxa"/>
            <w:vAlign w:val="center"/>
          </w:tcPr>
          <w:p w14:paraId="0A53EB6D" w14:textId="77777777" w:rsidR="001E6AAA" w:rsidRPr="00CC576A" w:rsidRDefault="001E6AAA" w:rsidP="001E6AAA">
            <w:pPr>
              <w:spacing w:before="60" w:after="60"/>
              <w:rPr>
                <w:szCs w:val="20"/>
                <w:lang w:val="en-US"/>
              </w:rPr>
            </w:pPr>
            <w:r>
              <w:rPr>
                <w:rFonts w:cs="Calibri"/>
                <w:color w:val="000000"/>
                <w:szCs w:val="20"/>
              </w:rPr>
              <w:t>CEO (outgoing)</w:t>
            </w:r>
          </w:p>
        </w:tc>
        <w:tc>
          <w:tcPr>
            <w:tcW w:w="5091" w:type="dxa"/>
            <w:vAlign w:val="center"/>
          </w:tcPr>
          <w:p w14:paraId="507B6167" w14:textId="77777777" w:rsidR="001E6AAA" w:rsidRPr="00CC576A" w:rsidRDefault="001E6AAA" w:rsidP="001E6AAA">
            <w:pPr>
              <w:spacing w:before="60" w:after="60"/>
              <w:rPr>
                <w:szCs w:val="20"/>
                <w:lang w:val="en-US"/>
              </w:rPr>
            </w:pPr>
            <w:r>
              <w:rPr>
                <w:rFonts w:cs="Calibri"/>
                <w:color w:val="000000"/>
                <w:szCs w:val="20"/>
              </w:rPr>
              <w:t>Nauru Port Authority</w:t>
            </w:r>
          </w:p>
        </w:tc>
        <w:tc>
          <w:tcPr>
            <w:tcW w:w="2966" w:type="dxa"/>
            <w:vAlign w:val="center"/>
          </w:tcPr>
          <w:p w14:paraId="28549E16"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3238D4AA" w14:textId="77777777" w:rsidTr="004F0B78">
        <w:trPr>
          <w:trHeight w:val="290"/>
        </w:trPr>
        <w:tc>
          <w:tcPr>
            <w:tcW w:w="451" w:type="dxa"/>
            <w:vAlign w:val="center"/>
          </w:tcPr>
          <w:p w14:paraId="580639ED" w14:textId="77777777" w:rsidR="001E6AAA" w:rsidRPr="00CC576A" w:rsidRDefault="001E6AAA" w:rsidP="001E6AAA">
            <w:pPr>
              <w:rPr>
                <w:rFonts w:cs="Calibri"/>
                <w:color w:val="000000"/>
                <w:szCs w:val="20"/>
              </w:rPr>
            </w:pPr>
            <w:r>
              <w:rPr>
                <w:rFonts w:cs="Calibri"/>
                <w:color w:val="000000"/>
                <w:szCs w:val="20"/>
              </w:rPr>
              <w:t>6</w:t>
            </w:r>
          </w:p>
        </w:tc>
        <w:tc>
          <w:tcPr>
            <w:tcW w:w="2238" w:type="dxa"/>
            <w:vAlign w:val="center"/>
          </w:tcPr>
          <w:p w14:paraId="01E90B5F" w14:textId="5F70CB30" w:rsidR="001E6AAA" w:rsidRPr="00CC576A" w:rsidRDefault="007E4F23" w:rsidP="001E6AAA">
            <w:pPr>
              <w:rPr>
                <w:szCs w:val="20"/>
              </w:rPr>
            </w:pPr>
            <w:r>
              <w:rPr>
                <w:rFonts w:cs="Calibri"/>
                <w:color w:val="000000"/>
                <w:szCs w:val="20"/>
              </w:rPr>
              <w:t xml:space="preserve">Baydon </w:t>
            </w:r>
            <w:r w:rsidR="00B8065D">
              <w:rPr>
                <w:rFonts w:cs="Calibri"/>
                <w:color w:val="000000"/>
                <w:szCs w:val="20"/>
              </w:rPr>
              <w:t>Johnston</w:t>
            </w:r>
          </w:p>
        </w:tc>
        <w:tc>
          <w:tcPr>
            <w:tcW w:w="3969" w:type="dxa"/>
            <w:vAlign w:val="center"/>
          </w:tcPr>
          <w:p w14:paraId="6465FFEB" w14:textId="77777777" w:rsidR="001E6AAA" w:rsidRPr="00CC576A" w:rsidRDefault="001E6AAA" w:rsidP="001E6AAA">
            <w:pPr>
              <w:spacing w:before="60" w:after="60"/>
              <w:rPr>
                <w:szCs w:val="20"/>
                <w:lang w:val="en-US"/>
              </w:rPr>
            </w:pPr>
            <w:r>
              <w:rPr>
                <w:rFonts w:cs="Calibri"/>
                <w:color w:val="000000"/>
                <w:szCs w:val="20"/>
              </w:rPr>
              <w:t>CEO (incoming)</w:t>
            </w:r>
          </w:p>
        </w:tc>
        <w:tc>
          <w:tcPr>
            <w:tcW w:w="5091" w:type="dxa"/>
            <w:vAlign w:val="center"/>
          </w:tcPr>
          <w:p w14:paraId="3817D45C" w14:textId="77777777" w:rsidR="001E6AAA" w:rsidRPr="00CC576A" w:rsidRDefault="001E6AAA" w:rsidP="001E6AAA">
            <w:pPr>
              <w:spacing w:before="60" w:after="60"/>
              <w:rPr>
                <w:szCs w:val="20"/>
                <w:lang w:val="en-US"/>
              </w:rPr>
            </w:pPr>
            <w:r>
              <w:rPr>
                <w:rFonts w:cs="Calibri"/>
                <w:color w:val="000000"/>
                <w:szCs w:val="20"/>
              </w:rPr>
              <w:t>Nauru Port Authority</w:t>
            </w:r>
          </w:p>
        </w:tc>
        <w:tc>
          <w:tcPr>
            <w:tcW w:w="2966" w:type="dxa"/>
            <w:vAlign w:val="center"/>
          </w:tcPr>
          <w:p w14:paraId="053A8CD1"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3D40210C" w14:textId="77777777" w:rsidTr="004F0B78">
        <w:trPr>
          <w:trHeight w:val="290"/>
        </w:trPr>
        <w:tc>
          <w:tcPr>
            <w:tcW w:w="451" w:type="dxa"/>
            <w:vAlign w:val="center"/>
          </w:tcPr>
          <w:p w14:paraId="49435413" w14:textId="77777777" w:rsidR="001E6AAA" w:rsidRPr="00CC576A" w:rsidRDefault="001E6AAA" w:rsidP="001E6AAA">
            <w:pPr>
              <w:rPr>
                <w:rFonts w:cs="Calibri"/>
                <w:color w:val="000000"/>
                <w:szCs w:val="20"/>
              </w:rPr>
            </w:pPr>
            <w:r>
              <w:rPr>
                <w:rFonts w:cs="Calibri"/>
                <w:color w:val="000000"/>
                <w:szCs w:val="20"/>
              </w:rPr>
              <w:t>7</w:t>
            </w:r>
          </w:p>
        </w:tc>
        <w:tc>
          <w:tcPr>
            <w:tcW w:w="2238" w:type="dxa"/>
            <w:vAlign w:val="center"/>
          </w:tcPr>
          <w:p w14:paraId="36FD4055" w14:textId="77777777" w:rsidR="001E6AAA" w:rsidRPr="007B6B2E" w:rsidRDefault="001E6AAA" w:rsidP="001E6AAA">
            <w:pPr>
              <w:rPr>
                <w:szCs w:val="20"/>
                <w:highlight w:val="yellow"/>
              </w:rPr>
            </w:pPr>
            <w:r>
              <w:rPr>
                <w:rFonts w:cs="Calibri"/>
                <w:color w:val="000000"/>
                <w:szCs w:val="20"/>
              </w:rPr>
              <w:t>Bob Agigo</w:t>
            </w:r>
          </w:p>
        </w:tc>
        <w:tc>
          <w:tcPr>
            <w:tcW w:w="3969" w:type="dxa"/>
            <w:vAlign w:val="center"/>
          </w:tcPr>
          <w:p w14:paraId="2C99D825" w14:textId="77777777" w:rsidR="001E6AAA" w:rsidRPr="007B6B2E" w:rsidRDefault="001E6AAA" w:rsidP="001E6AAA">
            <w:pPr>
              <w:spacing w:before="60" w:after="60"/>
              <w:rPr>
                <w:szCs w:val="20"/>
                <w:highlight w:val="yellow"/>
                <w:lang w:val="en-US"/>
              </w:rPr>
            </w:pPr>
            <w:r>
              <w:rPr>
                <w:rFonts w:cs="Calibri"/>
                <w:color w:val="000000"/>
                <w:szCs w:val="20"/>
              </w:rPr>
              <w:t>Schools Infrastructure Manager</w:t>
            </w:r>
          </w:p>
        </w:tc>
        <w:tc>
          <w:tcPr>
            <w:tcW w:w="5091" w:type="dxa"/>
            <w:vAlign w:val="center"/>
          </w:tcPr>
          <w:p w14:paraId="2505C00F" w14:textId="77777777" w:rsidR="001E6AAA" w:rsidRPr="00CC576A" w:rsidRDefault="001E6AAA" w:rsidP="001E6AAA">
            <w:pPr>
              <w:spacing w:before="60" w:after="60"/>
              <w:rPr>
                <w:szCs w:val="20"/>
                <w:lang w:val="en-US"/>
              </w:rPr>
            </w:pPr>
            <w:r>
              <w:rPr>
                <w:rFonts w:cs="Calibri"/>
                <w:color w:val="000000"/>
                <w:szCs w:val="20"/>
              </w:rPr>
              <w:t>Department of Education</w:t>
            </w:r>
          </w:p>
        </w:tc>
        <w:tc>
          <w:tcPr>
            <w:tcW w:w="2966" w:type="dxa"/>
            <w:vAlign w:val="center"/>
          </w:tcPr>
          <w:p w14:paraId="68A5D743"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31F1998E" w14:textId="77777777" w:rsidTr="004F0B78">
        <w:trPr>
          <w:trHeight w:val="290"/>
        </w:trPr>
        <w:tc>
          <w:tcPr>
            <w:tcW w:w="451" w:type="dxa"/>
            <w:vAlign w:val="center"/>
          </w:tcPr>
          <w:p w14:paraId="60409EED" w14:textId="77777777" w:rsidR="001E6AAA" w:rsidRPr="00CC576A" w:rsidRDefault="001E6AAA" w:rsidP="001E6AAA">
            <w:pPr>
              <w:rPr>
                <w:rFonts w:cs="Calibri"/>
                <w:color w:val="000000"/>
                <w:szCs w:val="20"/>
              </w:rPr>
            </w:pPr>
            <w:r>
              <w:rPr>
                <w:rFonts w:cs="Calibri"/>
                <w:color w:val="000000"/>
                <w:szCs w:val="20"/>
              </w:rPr>
              <w:t>8</w:t>
            </w:r>
          </w:p>
        </w:tc>
        <w:tc>
          <w:tcPr>
            <w:tcW w:w="2238" w:type="dxa"/>
            <w:vAlign w:val="center"/>
          </w:tcPr>
          <w:p w14:paraId="2A1DD493" w14:textId="77777777" w:rsidR="001E6AAA" w:rsidRPr="007B6B2E" w:rsidRDefault="001E6AAA" w:rsidP="001E6AAA">
            <w:pPr>
              <w:rPr>
                <w:szCs w:val="20"/>
                <w:highlight w:val="yellow"/>
              </w:rPr>
            </w:pPr>
            <w:r>
              <w:rPr>
                <w:rFonts w:cs="Calibri"/>
                <w:color w:val="000000"/>
                <w:szCs w:val="20"/>
              </w:rPr>
              <w:t>Branessa Tsiode</w:t>
            </w:r>
          </w:p>
        </w:tc>
        <w:tc>
          <w:tcPr>
            <w:tcW w:w="3969" w:type="dxa"/>
            <w:vAlign w:val="center"/>
          </w:tcPr>
          <w:p w14:paraId="5570C326" w14:textId="77777777" w:rsidR="001E6AAA" w:rsidRPr="007B6B2E" w:rsidRDefault="001E6AAA" w:rsidP="001E6AAA">
            <w:pPr>
              <w:spacing w:before="60" w:after="60"/>
              <w:rPr>
                <w:szCs w:val="20"/>
                <w:highlight w:val="yellow"/>
                <w:lang w:val="en-US"/>
              </w:rPr>
            </w:pPr>
            <w:r>
              <w:rPr>
                <w:rFonts w:cs="Calibri"/>
                <w:color w:val="000000"/>
                <w:szCs w:val="20"/>
              </w:rPr>
              <w:t>Social Sector Planning</w:t>
            </w:r>
          </w:p>
        </w:tc>
        <w:tc>
          <w:tcPr>
            <w:tcW w:w="5091" w:type="dxa"/>
            <w:vAlign w:val="center"/>
          </w:tcPr>
          <w:p w14:paraId="61FB6809" w14:textId="77777777" w:rsidR="001E6AAA" w:rsidRPr="00CC576A" w:rsidRDefault="001E6AAA" w:rsidP="001E6AAA">
            <w:pPr>
              <w:spacing w:before="60" w:after="60"/>
              <w:rPr>
                <w:szCs w:val="20"/>
                <w:lang w:val="en-US"/>
              </w:rPr>
            </w:pPr>
            <w:r>
              <w:rPr>
                <w:rFonts w:cs="Calibri"/>
                <w:color w:val="000000"/>
                <w:szCs w:val="20"/>
              </w:rPr>
              <w:t>Planning and Aid Division, Department of Finance</w:t>
            </w:r>
          </w:p>
        </w:tc>
        <w:tc>
          <w:tcPr>
            <w:tcW w:w="2966" w:type="dxa"/>
            <w:vAlign w:val="center"/>
          </w:tcPr>
          <w:p w14:paraId="04D31C4E"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48DF8782" w14:textId="77777777" w:rsidTr="004F0B78">
        <w:trPr>
          <w:trHeight w:val="290"/>
        </w:trPr>
        <w:tc>
          <w:tcPr>
            <w:tcW w:w="451" w:type="dxa"/>
            <w:vAlign w:val="center"/>
          </w:tcPr>
          <w:p w14:paraId="1C9C9F6D" w14:textId="77777777" w:rsidR="001E6AAA" w:rsidRPr="00CC576A" w:rsidRDefault="001E6AAA" w:rsidP="001E6AAA">
            <w:pPr>
              <w:rPr>
                <w:rFonts w:cs="Calibri"/>
                <w:color w:val="000000"/>
                <w:szCs w:val="20"/>
              </w:rPr>
            </w:pPr>
            <w:r>
              <w:rPr>
                <w:rFonts w:cs="Calibri"/>
                <w:color w:val="000000"/>
                <w:szCs w:val="20"/>
              </w:rPr>
              <w:t>9</w:t>
            </w:r>
          </w:p>
        </w:tc>
        <w:tc>
          <w:tcPr>
            <w:tcW w:w="2238" w:type="dxa"/>
            <w:vAlign w:val="center"/>
          </w:tcPr>
          <w:p w14:paraId="3F9CCCF9" w14:textId="77777777" w:rsidR="001E6AAA" w:rsidRPr="007B6B2E" w:rsidRDefault="001E6AAA" w:rsidP="001E6AAA">
            <w:pPr>
              <w:rPr>
                <w:szCs w:val="20"/>
                <w:highlight w:val="yellow"/>
              </w:rPr>
            </w:pPr>
            <w:r>
              <w:rPr>
                <w:rFonts w:cs="Calibri"/>
                <w:color w:val="000000"/>
                <w:szCs w:val="20"/>
              </w:rPr>
              <w:t>Brenda Waidabu</w:t>
            </w:r>
          </w:p>
        </w:tc>
        <w:tc>
          <w:tcPr>
            <w:tcW w:w="3969" w:type="dxa"/>
            <w:vAlign w:val="center"/>
          </w:tcPr>
          <w:p w14:paraId="7D704505" w14:textId="77777777" w:rsidR="001E6AAA" w:rsidRPr="007B6B2E" w:rsidRDefault="001E6AAA" w:rsidP="001E6AAA">
            <w:pPr>
              <w:spacing w:before="60" w:after="60"/>
              <w:rPr>
                <w:szCs w:val="20"/>
                <w:highlight w:val="yellow"/>
                <w:lang w:val="en-US"/>
              </w:rPr>
            </w:pPr>
            <w:r>
              <w:rPr>
                <w:rFonts w:cs="Calibri"/>
                <w:color w:val="000000"/>
                <w:szCs w:val="20"/>
              </w:rPr>
              <w:t>Community Development Officer</w:t>
            </w:r>
          </w:p>
        </w:tc>
        <w:tc>
          <w:tcPr>
            <w:tcW w:w="5091" w:type="dxa"/>
            <w:vAlign w:val="center"/>
          </w:tcPr>
          <w:p w14:paraId="5714C57B" w14:textId="77777777" w:rsidR="001E6AAA" w:rsidRPr="00CC576A" w:rsidRDefault="001E6AAA" w:rsidP="001E6AAA">
            <w:pPr>
              <w:spacing w:before="60" w:after="60"/>
              <w:rPr>
                <w:szCs w:val="20"/>
                <w:lang w:val="en-US"/>
              </w:rPr>
            </w:pPr>
            <w:r>
              <w:rPr>
                <w:rFonts w:cs="Calibri"/>
                <w:color w:val="000000"/>
                <w:szCs w:val="20"/>
              </w:rPr>
              <w:t>Department of Sports</w:t>
            </w:r>
          </w:p>
        </w:tc>
        <w:tc>
          <w:tcPr>
            <w:tcW w:w="2966" w:type="dxa"/>
            <w:vAlign w:val="center"/>
          </w:tcPr>
          <w:p w14:paraId="52E8D27B"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2B68E0A1" w14:textId="77777777" w:rsidTr="004F0B78">
        <w:trPr>
          <w:trHeight w:val="290"/>
        </w:trPr>
        <w:tc>
          <w:tcPr>
            <w:tcW w:w="451" w:type="dxa"/>
            <w:vAlign w:val="center"/>
          </w:tcPr>
          <w:p w14:paraId="425E635D" w14:textId="77777777" w:rsidR="001E6AAA" w:rsidRPr="00CC576A" w:rsidRDefault="001E6AAA" w:rsidP="001E6AAA">
            <w:pPr>
              <w:rPr>
                <w:rFonts w:cs="Calibri"/>
                <w:color w:val="000000"/>
                <w:szCs w:val="20"/>
              </w:rPr>
            </w:pPr>
            <w:r>
              <w:rPr>
                <w:rFonts w:cs="Calibri"/>
                <w:color w:val="000000"/>
                <w:szCs w:val="20"/>
              </w:rPr>
              <w:t>10</w:t>
            </w:r>
          </w:p>
        </w:tc>
        <w:tc>
          <w:tcPr>
            <w:tcW w:w="2238" w:type="dxa"/>
            <w:vAlign w:val="center"/>
          </w:tcPr>
          <w:p w14:paraId="3A16B828" w14:textId="77777777" w:rsidR="001E6AAA" w:rsidRPr="007B6B2E" w:rsidRDefault="001E6AAA" w:rsidP="001E6AAA">
            <w:pPr>
              <w:rPr>
                <w:szCs w:val="20"/>
                <w:highlight w:val="yellow"/>
              </w:rPr>
            </w:pPr>
            <w:r>
              <w:rPr>
                <w:rFonts w:cs="Calibri"/>
                <w:color w:val="000000"/>
                <w:szCs w:val="20"/>
              </w:rPr>
              <w:t>Bryan Star</w:t>
            </w:r>
          </w:p>
        </w:tc>
        <w:tc>
          <w:tcPr>
            <w:tcW w:w="3969" w:type="dxa"/>
            <w:vAlign w:val="center"/>
          </w:tcPr>
          <w:p w14:paraId="14A3BA6A" w14:textId="77777777" w:rsidR="001E6AAA" w:rsidRPr="007B6B2E" w:rsidRDefault="001E6AAA" w:rsidP="001E6AAA">
            <w:pPr>
              <w:spacing w:before="60" w:after="60"/>
              <w:rPr>
                <w:szCs w:val="20"/>
                <w:highlight w:val="yellow"/>
              </w:rPr>
            </w:pPr>
            <w:r>
              <w:rPr>
                <w:rFonts w:cs="Calibri"/>
                <w:color w:val="000000"/>
                <w:szCs w:val="20"/>
              </w:rPr>
              <w:t xml:space="preserve">Director </w:t>
            </w:r>
          </w:p>
        </w:tc>
        <w:tc>
          <w:tcPr>
            <w:tcW w:w="5091" w:type="dxa"/>
            <w:vAlign w:val="center"/>
          </w:tcPr>
          <w:p w14:paraId="68332CDA" w14:textId="77777777" w:rsidR="001E6AAA" w:rsidRPr="00CC576A" w:rsidRDefault="001E6AAA" w:rsidP="001E6AAA">
            <w:pPr>
              <w:spacing w:before="60" w:after="60"/>
              <w:rPr>
                <w:szCs w:val="20"/>
                <w:lang w:val="en-US"/>
              </w:rPr>
            </w:pPr>
            <w:r>
              <w:rPr>
                <w:rFonts w:cs="Calibri"/>
                <w:color w:val="000000"/>
                <w:szCs w:val="20"/>
              </w:rPr>
              <w:t>Department of Commerce Industry and Environment</w:t>
            </w:r>
          </w:p>
        </w:tc>
        <w:tc>
          <w:tcPr>
            <w:tcW w:w="2966" w:type="dxa"/>
            <w:vAlign w:val="center"/>
          </w:tcPr>
          <w:p w14:paraId="0E4C97D1"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3A2BA282" w14:textId="77777777" w:rsidTr="004F0B78">
        <w:trPr>
          <w:trHeight w:val="290"/>
        </w:trPr>
        <w:tc>
          <w:tcPr>
            <w:tcW w:w="451" w:type="dxa"/>
            <w:vAlign w:val="center"/>
          </w:tcPr>
          <w:p w14:paraId="717E40B3" w14:textId="77777777" w:rsidR="001E6AAA" w:rsidRPr="00CC576A" w:rsidRDefault="001E6AAA" w:rsidP="001E6AAA">
            <w:pPr>
              <w:rPr>
                <w:rFonts w:cs="Calibri"/>
                <w:color w:val="000000"/>
                <w:szCs w:val="20"/>
              </w:rPr>
            </w:pPr>
            <w:r>
              <w:rPr>
                <w:rFonts w:cs="Calibri"/>
                <w:color w:val="000000"/>
                <w:szCs w:val="20"/>
              </w:rPr>
              <w:t>11</w:t>
            </w:r>
          </w:p>
        </w:tc>
        <w:tc>
          <w:tcPr>
            <w:tcW w:w="2238" w:type="dxa"/>
            <w:vAlign w:val="center"/>
          </w:tcPr>
          <w:p w14:paraId="1385066C" w14:textId="77777777" w:rsidR="001E6AAA" w:rsidRPr="007B6B2E" w:rsidRDefault="001E6AAA" w:rsidP="001E6AAA">
            <w:pPr>
              <w:rPr>
                <w:szCs w:val="20"/>
                <w:highlight w:val="yellow"/>
              </w:rPr>
            </w:pPr>
            <w:r>
              <w:rPr>
                <w:rFonts w:cs="Calibri"/>
                <w:color w:val="000000"/>
                <w:szCs w:val="20"/>
              </w:rPr>
              <w:t>Bunyan Seymour </w:t>
            </w:r>
          </w:p>
        </w:tc>
        <w:tc>
          <w:tcPr>
            <w:tcW w:w="3969" w:type="dxa"/>
            <w:vAlign w:val="center"/>
          </w:tcPr>
          <w:p w14:paraId="71540638" w14:textId="77777777" w:rsidR="001E6AAA" w:rsidRPr="007B6B2E" w:rsidRDefault="001E6AAA" w:rsidP="001E6AAA">
            <w:pPr>
              <w:spacing w:before="60" w:after="60"/>
              <w:rPr>
                <w:szCs w:val="20"/>
                <w:highlight w:val="yellow"/>
              </w:rPr>
            </w:pPr>
            <w:r>
              <w:rPr>
                <w:rFonts w:cs="Calibri"/>
                <w:color w:val="000000"/>
                <w:szCs w:val="20"/>
              </w:rPr>
              <w:t xml:space="preserve">Site Superintendent </w:t>
            </w:r>
          </w:p>
        </w:tc>
        <w:tc>
          <w:tcPr>
            <w:tcW w:w="5091" w:type="dxa"/>
            <w:vAlign w:val="center"/>
          </w:tcPr>
          <w:p w14:paraId="3F7F79E5" w14:textId="77777777" w:rsidR="001E6AAA" w:rsidRPr="00CC576A" w:rsidRDefault="001E6AAA" w:rsidP="001E6AAA">
            <w:pPr>
              <w:spacing w:before="60" w:after="60"/>
              <w:rPr>
                <w:szCs w:val="20"/>
                <w:lang w:val="en-US"/>
              </w:rPr>
            </w:pPr>
            <w:r>
              <w:rPr>
                <w:rFonts w:cs="Calibri"/>
                <w:color w:val="000000"/>
                <w:szCs w:val="20"/>
              </w:rPr>
              <w:t>Alexander &amp; Lloyd</w:t>
            </w:r>
          </w:p>
        </w:tc>
        <w:tc>
          <w:tcPr>
            <w:tcW w:w="2966" w:type="dxa"/>
            <w:vAlign w:val="center"/>
          </w:tcPr>
          <w:p w14:paraId="1874213B"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2E59D493" w14:textId="77777777" w:rsidTr="004F0B78">
        <w:trPr>
          <w:trHeight w:val="290"/>
        </w:trPr>
        <w:tc>
          <w:tcPr>
            <w:tcW w:w="451" w:type="dxa"/>
            <w:vAlign w:val="center"/>
          </w:tcPr>
          <w:p w14:paraId="37063968" w14:textId="77777777" w:rsidR="001E6AAA" w:rsidRPr="00CC576A" w:rsidRDefault="001E6AAA" w:rsidP="001E6AAA">
            <w:pPr>
              <w:rPr>
                <w:rFonts w:cs="Calibri"/>
                <w:color w:val="000000"/>
                <w:szCs w:val="20"/>
              </w:rPr>
            </w:pPr>
            <w:r>
              <w:rPr>
                <w:rFonts w:cs="Calibri"/>
                <w:color w:val="000000"/>
                <w:szCs w:val="20"/>
              </w:rPr>
              <w:t>12</w:t>
            </w:r>
          </w:p>
        </w:tc>
        <w:tc>
          <w:tcPr>
            <w:tcW w:w="2238" w:type="dxa"/>
            <w:vAlign w:val="center"/>
          </w:tcPr>
          <w:p w14:paraId="04D51F01" w14:textId="77777777" w:rsidR="001E6AAA" w:rsidRPr="007B6B2E" w:rsidRDefault="001E6AAA" w:rsidP="001E6AAA">
            <w:pPr>
              <w:rPr>
                <w:szCs w:val="20"/>
                <w:highlight w:val="yellow"/>
              </w:rPr>
            </w:pPr>
            <w:r>
              <w:rPr>
                <w:rFonts w:cs="Calibri"/>
                <w:color w:val="000000"/>
                <w:szCs w:val="20"/>
              </w:rPr>
              <w:t>Camilla Solomon</w:t>
            </w:r>
          </w:p>
        </w:tc>
        <w:tc>
          <w:tcPr>
            <w:tcW w:w="3969" w:type="dxa"/>
            <w:vAlign w:val="center"/>
          </w:tcPr>
          <w:p w14:paraId="7F132321" w14:textId="77777777" w:rsidR="001E6AAA" w:rsidRPr="007B6B2E" w:rsidRDefault="001E6AAA" w:rsidP="001E6AAA">
            <w:pPr>
              <w:spacing w:before="60" w:after="60"/>
              <w:rPr>
                <w:szCs w:val="20"/>
                <w:highlight w:val="yellow"/>
              </w:rPr>
            </w:pPr>
            <w:r>
              <w:rPr>
                <w:rFonts w:cs="Calibri"/>
                <w:color w:val="000000"/>
                <w:szCs w:val="20"/>
              </w:rPr>
              <w:t>Development Coordinator</w:t>
            </w:r>
          </w:p>
        </w:tc>
        <w:tc>
          <w:tcPr>
            <w:tcW w:w="5091" w:type="dxa"/>
            <w:vAlign w:val="center"/>
          </w:tcPr>
          <w:p w14:paraId="1C37AAEB" w14:textId="77777777" w:rsidR="001E6AAA" w:rsidRPr="00CC576A" w:rsidRDefault="001E6AAA" w:rsidP="001E6AAA">
            <w:pPr>
              <w:spacing w:before="60" w:after="60"/>
              <w:rPr>
                <w:szCs w:val="20"/>
                <w:lang w:val="en-US"/>
              </w:rPr>
            </w:pPr>
            <w:r>
              <w:rPr>
                <w:rFonts w:cs="Calibri"/>
                <w:color w:val="000000"/>
                <w:szCs w:val="20"/>
              </w:rPr>
              <w:t>Asian Development Bank</w:t>
            </w:r>
          </w:p>
        </w:tc>
        <w:tc>
          <w:tcPr>
            <w:tcW w:w="2966" w:type="dxa"/>
            <w:vAlign w:val="center"/>
          </w:tcPr>
          <w:p w14:paraId="1EA4ABA6"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2B4E8370" w14:textId="77777777" w:rsidTr="004F0B78">
        <w:trPr>
          <w:trHeight w:val="290"/>
        </w:trPr>
        <w:tc>
          <w:tcPr>
            <w:tcW w:w="451" w:type="dxa"/>
            <w:vAlign w:val="center"/>
          </w:tcPr>
          <w:p w14:paraId="473CDA01" w14:textId="77777777" w:rsidR="001E6AAA" w:rsidRPr="00CC576A" w:rsidRDefault="001E6AAA" w:rsidP="001E6AAA">
            <w:pPr>
              <w:rPr>
                <w:rFonts w:cs="Calibri"/>
                <w:color w:val="000000"/>
                <w:szCs w:val="20"/>
              </w:rPr>
            </w:pPr>
            <w:r>
              <w:rPr>
                <w:rFonts w:cs="Calibri"/>
                <w:color w:val="000000"/>
                <w:szCs w:val="20"/>
              </w:rPr>
              <w:t>13</w:t>
            </w:r>
          </w:p>
        </w:tc>
        <w:tc>
          <w:tcPr>
            <w:tcW w:w="2238" w:type="dxa"/>
            <w:vAlign w:val="center"/>
          </w:tcPr>
          <w:p w14:paraId="04842099" w14:textId="77777777" w:rsidR="001E6AAA" w:rsidRPr="00CC576A" w:rsidRDefault="001E6AAA" w:rsidP="001E6AAA">
            <w:pPr>
              <w:rPr>
                <w:szCs w:val="20"/>
              </w:rPr>
            </w:pPr>
            <w:r>
              <w:rPr>
                <w:rFonts w:cs="Calibri"/>
                <w:color w:val="000000"/>
                <w:szCs w:val="20"/>
              </w:rPr>
              <w:t>Cynthia Dekarube</w:t>
            </w:r>
          </w:p>
        </w:tc>
        <w:tc>
          <w:tcPr>
            <w:tcW w:w="3969" w:type="dxa"/>
            <w:vAlign w:val="center"/>
          </w:tcPr>
          <w:p w14:paraId="5BE344F4" w14:textId="77777777" w:rsidR="001E6AAA" w:rsidRPr="00CC576A" w:rsidRDefault="001E6AAA" w:rsidP="001E6AAA">
            <w:pPr>
              <w:spacing w:before="100" w:after="100"/>
              <w:rPr>
                <w:szCs w:val="20"/>
              </w:rPr>
            </w:pPr>
            <w:r>
              <w:rPr>
                <w:rFonts w:cs="Calibri"/>
                <w:color w:val="000000"/>
                <w:szCs w:val="20"/>
              </w:rPr>
              <w:t>Safe House Counsellor</w:t>
            </w:r>
          </w:p>
        </w:tc>
        <w:tc>
          <w:tcPr>
            <w:tcW w:w="5091" w:type="dxa"/>
            <w:vAlign w:val="center"/>
          </w:tcPr>
          <w:p w14:paraId="38D92766" w14:textId="77777777" w:rsidR="001E6AAA" w:rsidRPr="00CC576A" w:rsidRDefault="001E6AAA" w:rsidP="001E6AAA">
            <w:pPr>
              <w:spacing w:before="60" w:after="60"/>
              <w:rPr>
                <w:szCs w:val="20"/>
                <w:lang w:val="en-US"/>
              </w:rPr>
            </w:pPr>
            <w:r>
              <w:rPr>
                <w:rFonts w:cs="Calibri"/>
                <w:color w:val="000000"/>
                <w:szCs w:val="20"/>
              </w:rPr>
              <w:t>Department of Home Affairs</w:t>
            </w:r>
          </w:p>
        </w:tc>
        <w:tc>
          <w:tcPr>
            <w:tcW w:w="2966" w:type="dxa"/>
            <w:vAlign w:val="center"/>
          </w:tcPr>
          <w:p w14:paraId="7DC936F6"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37D92A21" w14:textId="77777777" w:rsidTr="004F0B78">
        <w:trPr>
          <w:trHeight w:val="290"/>
        </w:trPr>
        <w:tc>
          <w:tcPr>
            <w:tcW w:w="451" w:type="dxa"/>
            <w:vAlign w:val="center"/>
          </w:tcPr>
          <w:p w14:paraId="7E153421" w14:textId="77777777" w:rsidR="001E6AAA" w:rsidRPr="00CC576A" w:rsidRDefault="001E6AAA" w:rsidP="001E6AAA">
            <w:pPr>
              <w:rPr>
                <w:rFonts w:cs="Calibri"/>
                <w:color w:val="000000"/>
                <w:szCs w:val="20"/>
              </w:rPr>
            </w:pPr>
            <w:r>
              <w:rPr>
                <w:rFonts w:cs="Calibri"/>
                <w:color w:val="000000"/>
                <w:szCs w:val="20"/>
              </w:rPr>
              <w:t>14</w:t>
            </w:r>
          </w:p>
        </w:tc>
        <w:tc>
          <w:tcPr>
            <w:tcW w:w="2238" w:type="dxa"/>
            <w:vAlign w:val="center"/>
          </w:tcPr>
          <w:p w14:paraId="0E7DCB08" w14:textId="77777777" w:rsidR="001E6AAA" w:rsidRPr="00CC576A" w:rsidRDefault="001E6AAA" w:rsidP="001E6AAA">
            <w:pPr>
              <w:rPr>
                <w:szCs w:val="20"/>
              </w:rPr>
            </w:pPr>
            <w:r>
              <w:rPr>
                <w:rFonts w:cs="Calibri"/>
                <w:color w:val="000000"/>
                <w:szCs w:val="20"/>
              </w:rPr>
              <w:t>Darrina Kun</w:t>
            </w:r>
          </w:p>
        </w:tc>
        <w:tc>
          <w:tcPr>
            <w:tcW w:w="3969" w:type="dxa"/>
            <w:vAlign w:val="center"/>
          </w:tcPr>
          <w:p w14:paraId="0AE29AE5" w14:textId="77777777" w:rsidR="001E6AAA" w:rsidRPr="00CC576A" w:rsidRDefault="001E6AAA" w:rsidP="001E6AAA">
            <w:pPr>
              <w:spacing w:before="60" w:after="60"/>
              <w:rPr>
                <w:szCs w:val="20"/>
              </w:rPr>
            </w:pPr>
            <w:r>
              <w:rPr>
                <w:rFonts w:cs="Calibri"/>
                <w:color w:val="000000"/>
                <w:szCs w:val="20"/>
              </w:rPr>
              <w:t>Principal</w:t>
            </w:r>
          </w:p>
        </w:tc>
        <w:tc>
          <w:tcPr>
            <w:tcW w:w="5091" w:type="dxa"/>
            <w:vAlign w:val="center"/>
          </w:tcPr>
          <w:p w14:paraId="325D0461" w14:textId="77777777" w:rsidR="001E6AAA" w:rsidRPr="00CC576A" w:rsidRDefault="001E6AAA" w:rsidP="001E6AAA">
            <w:pPr>
              <w:spacing w:before="60" w:after="60"/>
              <w:rPr>
                <w:szCs w:val="20"/>
                <w:lang w:val="en-US"/>
              </w:rPr>
            </w:pPr>
            <w:r>
              <w:rPr>
                <w:rFonts w:cs="Calibri"/>
                <w:color w:val="000000"/>
                <w:szCs w:val="20"/>
              </w:rPr>
              <w:t>Nauru Secondary School</w:t>
            </w:r>
          </w:p>
        </w:tc>
        <w:tc>
          <w:tcPr>
            <w:tcW w:w="2966" w:type="dxa"/>
            <w:vAlign w:val="center"/>
          </w:tcPr>
          <w:p w14:paraId="357DD821"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6B7D72F8" w14:textId="77777777" w:rsidTr="004F0B78">
        <w:trPr>
          <w:trHeight w:val="290"/>
        </w:trPr>
        <w:tc>
          <w:tcPr>
            <w:tcW w:w="451" w:type="dxa"/>
            <w:vAlign w:val="center"/>
          </w:tcPr>
          <w:p w14:paraId="2131FA0C" w14:textId="77777777" w:rsidR="001E6AAA" w:rsidRPr="00CC576A" w:rsidRDefault="001E6AAA" w:rsidP="001E6AAA">
            <w:pPr>
              <w:rPr>
                <w:rFonts w:cs="Calibri"/>
                <w:color w:val="000000"/>
                <w:szCs w:val="20"/>
              </w:rPr>
            </w:pPr>
            <w:r>
              <w:rPr>
                <w:rFonts w:cs="Calibri"/>
                <w:color w:val="000000"/>
                <w:szCs w:val="20"/>
              </w:rPr>
              <w:t>15</w:t>
            </w:r>
          </w:p>
        </w:tc>
        <w:tc>
          <w:tcPr>
            <w:tcW w:w="2238" w:type="dxa"/>
            <w:vAlign w:val="center"/>
          </w:tcPr>
          <w:p w14:paraId="155271D5" w14:textId="77777777" w:rsidR="001E6AAA" w:rsidRPr="00CC576A" w:rsidRDefault="001E6AAA" w:rsidP="001E6AAA">
            <w:pPr>
              <w:rPr>
                <w:szCs w:val="20"/>
              </w:rPr>
            </w:pPr>
            <w:r>
              <w:rPr>
                <w:rFonts w:cs="Calibri"/>
                <w:color w:val="000000"/>
                <w:szCs w:val="20"/>
              </w:rPr>
              <w:t>Douge Daniel</w:t>
            </w:r>
          </w:p>
        </w:tc>
        <w:tc>
          <w:tcPr>
            <w:tcW w:w="3969" w:type="dxa"/>
            <w:vAlign w:val="center"/>
          </w:tcPr>
          <w:p w14:paraId="16E5B932" w14:textId="77777777" w:rsidR="001E6AAA" w:rsidRPr="00CC576A" w:rsidRDefault="001E6AAA" w:rsidP="001E6AAA">
            <w:pPr>
              <w:spacing w:before="60" w:after="60"/>
              <w:rPr>
                <w:szCs w:val="20"/>
              </w:rPr>
            </w:pPr>
            <w:r>
              <w:rPr>
                <w:rFonts w:cs="Calibri"/>
                <w:color w:val="000000"/>
                <w:szCs w:val="20"/>
              </w:rPr>
              <w:t>Sports Project Officer</w:t>
            </w:r>
          </w:p>
        </w:tc>
        <w:tc>
          <w:tcPr>
            <w:tcW w:w="5091" w:type="dxa"/>
            <w:vAlign w:val="center"/>
          </w:tcPr>
          <w:p w14:paraId="05FE6B37" w14:textId="77777777" w:rsidR="001E6AAA" w:rsidRPr="00CC576A" w:rsidRDefault="001E6AAA" w:rsidP="001E6AAA">
            <w:pPr>
              <w:spacing w:before="60" w:after="60"/>
              <w:rPr>
                <w:szCs w:val="20"/>
                <w:lang w:val="en-US"/>
              </w:rPr>
            </w:pPr>
            <w:r>
              <w:rPr>
                <w:rFonts w:cs="Calibri"/>
                <w:color w:val="000000"/>
                <w:szCs w:val="20"/>
              </w:rPr>
              <w:t>Department of Sports</w:t>
            </w:r>
          </w:p>
        </w:tc>
        <w:tc>
          <w:tcPr>
            <w:tcW w:w="2966" w:type="dxa"/>
            <w:vAlign w:val="center"/>
          </w:tcPr>
          <w:p w14:paraId="0C63CB5D"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396B4A9A" w14:textId="77777777" w:rsidTr="004F0B78">
        <w:trPr>
          <w:trHeight w:val="290"/>
        </w:trPr>
        <w:tc>
          <w:tcPr>
            <w:tcW w:w="451" w:type="dxa"/>
            <w:vAlign w:val="center"/>
          </w:tcPr>
          <w:p w14:paraId="46B0792C" w14:textId="77777777" w:rsidR="001E6AAA" w:rsidRPr="00CC576A" w:rsidRDefault="001E6AAA" w:rsidP="001E6AAA">
            <w:pPr>
              <w:rPr>
                <w:rFonts w:cs="Calibri"/>
                <w:color w:val="000000"/>
                <w:szCs w:val="20"/>
              </w:rPr>
            </w:pPr>
            <w:r>
              <w:rPr>
                <w:rFonts w:cs="Calibri"/>
                <w:color w:val="000000"/>
                <w:szCs w:val="20"/>
              </w:rPr>
              <w:t>16</w:t>
            </w:r>
          </w:p>
        </w:tc>
        <w:tc>
          <w:tcPr>
            <w:tcW w:w="2238" w:type="dxa"/>
            <w:vAlign w:val="center"/>
          </w:tcPr>
          <w:p w14:paraId="7B25682B" w14:textId="77777777" w:rsidR="001E6AAA" w:rsidRPr="00CC576A" w:rsidRDefault="001E6AAA" w:rsidP="001E6AAA">
            <w:pPr>
              <w:rPr>
                <w:szCs w:val="20"/>
              </w:rPr>
            </w:pPr>
            <w:r>
              <w:rPr>
                <w:rFonts w:cs="Calibri"/>
                <w:color w:val="000000"/>
                <w:szCs w:val="20"/>
              </w:rPr>
              <w:t>Dr Richard Leona</w:t>
            </w:r>
          </w:p>
        </w:tc>
        <w:tc>
          <w:tcPr>
            <w:tcW w:w="3969" w:type="dxa"/>
            <w:vAlign w:val="center"/>
          </w:tcPr>
          <w:p w14:paraId="651A3BFF" w14:textId="77777777" w:rsidR="001E6AAA" w:rsidRPr="00CC576A" w:rsidRDefault="001E6AAA" w:rsidP="001E6AAA">
            <w:pPr>
              <w:spacing w:before="60" w:after="60"/>
              <w:rPr>
                <w:szCs w:val="20"/>
              </w:rPr>
            </w:pPr>
            <w:r>
              <w:rPr>
                <w:rFonts w:cs="Calibri"/>
                <w:color w:val="000000"/>
                <w:szCs w:val="20"/>
              </w:rPr>
              <w:t>Director for Medical Services</w:t>
            </w:r>
          </w:p>
        </w:tc>
        <w:tc>
          <w:tcPr>
            <w:tcW w:w="5091" w:type="dxa"/>
            <w:vAlign w:val="center"/>
          </w:tcPr>
          <w:p w14:paraId="3A7C8193" w14:textId="77777777" w:rsidR="001E6AAA" w:rsidRPr="00CC576A" w:rsidRDefault="001E6AAA" w:rsidP="001E6AAA">
            <w:pPr>
              <w:spacing w:before="60" w:after="60"/>
              <w:rPr>
                <w:szCs w:val="20"/>
                <w:lang w:val="en-US"/>
              </w:rPr>
            </w:pPr>
            <w:r>
              <w:rPr>
                <w:rFonts w:cs="Calibri"/>
                <w:color w:val="000000"/>
                <w:szCs w:val="20"/>
              </w:rPr>
              <w:t>Republic of Nauru Hospital</w:t>
            </w:r>
          </w:p>
        </w:tc>
        <w:tc>
          <w:tcPr>
            <w:tcW w:w="2966" w:type="dxa"/>
            <w:vAlign w:val="center"/>
          </w:tcPr>
          <w:p w14:paraId="5583B95F"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037BE271" w14:textId="77777777" w:rsidTr="004F0B78">
        <w:trPr>
          <w:trHeight w:val="290"/>
        </w:trPr>
        <w:tc>
          <w:tcPr>
            <w:tcW w:w="451" w:type="dxa"/>
            <w:vAlign w:val="center"/>
          </w:tcPr>
          <w:p w14:paraId="6419CEA9" w14:textId="77777777" w:rsidR="001E6AAA" w:rsidRPr="00CC576A" w:rsidRDefault="001E6AAA" w:rsidP="001E6AAA">
            <w:pPr>
              <w:rPr>
                <w:rFonts w:cs="Calibri"/>
                <w:color w:val="000000"/>
                <w:szCs w:val="20"/>
              </w:rPr>
            </w:pPr>
            <w:r>
              <w:rPr>
                <w:rFonts w:cs="Calibri"/>
                <w:color w:val="000000"/>
                <w:szCs w:val="20"/>
              </w:rPr>
              <w:t>17</w:t>
            </w:r>
          </w:p>
        </w:tc>
        <w:tc>
          <w:tcPr>
            <w:tcW w:w="2238" w:type="dxa"/>
            <w:vAlign w:val="center"/>
          </w:tcPr>
          <w:p w14:paraId="4D1A05A1" w14:textId="77777777" w:rsidR="001E6AAA" w:rsidRPr="00CC576A" w:rsidRDefault="001E6AAA" w:rsidP="001E6AAA">
            <w:pPr>
              <w:rPr>
                <w:szCs w:val="20"/>
              </w:rPr>
            </w:pPr>
            <w:r>
              <w:rPr>
                <w:rFonts w:cs="Calibri"/>
                <w:color w:val="000000"/>
                <w:szCs w:val="20"/>
              </w:rPr>
              <w:t>George Plant</w:t>
            </w:r>
          </w:p>
        </w:tc>
        <w:tc>
          <w:tcPr>
            <w:tcW w:w="3969" w:type="dxa"/>
            <w:vAlign w:val="center"/>
          </w:tcPr>
          <w:p w14:paraId="7A56E254" w14:textId="77777777" w:rsidR="001E6AAA" w:rsidRPr="00CC576A" w:rsidRDefault="001E6AAA" w:rsidP="001E6AAA">
            <w:pPr>
              <w:spacing w:before="60" w:after="60"/>
              <w:rPr>
                <w:szCs w:val="20"/>
              </w:rPr>
            </w:pPr>
            <w:r>
              <w:rPr>
                <w:rFonts w:cs="Calibri"/>
                <w:color w:val="000000"/>
                <w:szCs w:val="20"/>
              </w:rPr>
              <w:t>Director for Treasury (PACTAM)</w:t>
            </w:r>
          </w:p>
        </w:tc>
        <w:tc>
          <w:tcPr>
            <w:tcW w:w="5091" w:type="dxa"/>
            <w:vAlign w:val="center"/>
          </w:tcPr>
          <w:p w14:paraId="72359F7B" w14:textId="77777777" w:rsidR="001E6AAA" w:rsidRPr="00CC576A" w:rsidRDefault="001E6AAA" w:rsidP="001E6AAA">
            <w:pPr>
              <w:spacing w:before="60" w:after="60"/>
              <w:rPr>
                <w:szCs w:val="20"/>
                <w:lang w:val="en-US"/>
              </w:rPr>
            </w:pPr>
            <w:r>
              <w:rPr>
                <w:rFonts w:cs="Calibri"/>
                <w:color w:val="000000"/>
                <w:szCs w:val="20"/>
              </w:rPr>
              <w:t>Department of Finance</w:t>
            </w:r>
          </w:p>
        </w:tc>
        <w:tc>
          <w:tcPr>
            <w:tcW w:w="2966" w:type="dxa"/>
            <w:vAlign w:val="center"/>
          </w:tcPr>
          <w:p w14:paraId="0E343257"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29901FB9" w14:textId="77777777" w:rsidTr="004F0B78">
        <w:trPr>
          <w:trHeight w:val="290"/>
        </w:trPr>
        <w:tc>
          <w:tcPr>
            <w:tcW w:w="451" w:type="dxa"/>
            <w:vAlign w:val="center"/>
          </w:tcPr>
          <w:p w14:paraId="42AAAA52" w14:textId="77777777" w:rsidR="001E6AAA" w:rsidRPr="00CC576A" w:rsidRDefault="001E6AAA" w:rsidP="001E6AAA">
            <w:pPr>
              <w:rPr>
                <w:rFonts w:cs="Calibri"/>
                <w:color w:val="000000"/>
                <w:szCs w:val="20"/>
              </w:rPr>
            </w:pPr>
            <w:r>
              <w:rPr>
                <w:rFonts w:cs="Calibri"/>
                <w:color w:val="000000"/>
                <w:szCs w:val="20"/>
              </w:rPr>
              <w:t>18</w:t>
            </w:r>
          </w:p>
        </w:tc>
        <w:tc>
          <w:tcPr>
            <w:tcW w:w="2238" w:type="dxa"/>
            <w:vAlign w:val="center"/>
          </w:tcPr>
          <w:p w14:paraId="2854D825" w14:textId="77777777" w:rsidR="001E6AAA" w:rsidRPr="00CC576A" w:rsidRDefault="001E6AAA" w:rsidP="001E6AAA">
            <w:pPr>
              <w:rPr>
                <w:szCs w:val="20"/>
              </w:rPr>
            </w:pPr>
            <w:r>
              <w:rPr>
                <w:rFonts w:cs="Calibri"/>
                <w:color w:val="000000"/>
                <w:szCs w:val="20"/>
              </w:rPr>
              <w:t>Henry Cocker</w:t>
            </w:r>
          </w:p>
        </w:tc>
        <w:tc>
          <w:tcPr>
            <w:tcW w:w="3969" w:type="dxa"/>
            <w:vAlign w:val="center"/>
          </w:tcPr>
          <w:p w14:paraId="59F4BA70" w14:textId="77777777" w:rsidR="001E6AAA" w:rsidRPr="00CC576A" w:rsidRDefault="001E6AAA" w:rsidP="001E6AAA">
            <w:pPr>
              <w:spacing w:before="60" w:after="60"/>
              <w:rPr>
                <w:szCs w:val="20"/>
              </w:rPr>
            </w:pPr>
            <w:r>
              <w:rPr>
                <w:rFonts w:cs="Calibri"/>
                <w:color w:val="000000"/>
                <w:szCs w:val="20"/>
              </w:rPr>
              <w:t>Deputy Secretary (PACTAM)</w:t>
            </w:r>
          </w:p>
        </w:tc>
        <w:tc>
          <w:tcPr>
            <w:tcW w:w="5091" w:type="dxa"/>
            <w:vAlign w:val="center"/>
          </w:tcPr>
          <w:p w14:paraId="1CA140F8" w14:textId="77777777" w:rsidR="001E6AAA" w:rsidRPr="00CC576A" w:rsidRDefault="001E6AAA" w:rsidP="001E6AAA">
            <w:pPr>
              <w:spacing w:before="60" w:after="60"/>
              <w:rPr>
                <w:szCs w:val="20"/>
                <w:lang w:val="en-US"/>
              </w:rPr>
            </w:pPr>
            <w:r>
              <w:rPr>
                <w:rFonts w:cs="Calibri"/>
                <w:color w:val="000000"/>
                <w:szCs w:val="20"/>
              </w:rPr>
              <w:t>Planning and Aid Division, Department of Finance</w:t>
            </w:r>
          </w:p>
        </w:tc>
        <w:tc>
          <w:tcPr>
            <w:tcW w:w="2966" w:type="dxa"/>
            <w:vAlign w:val="center"/>
          </w:tcPr>
          <w:p w14:paraId="71461B3E"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2450FAAD" w14:textId="77777777" w:rsidTr="004F0B78">
        <w:trPr>
          <w:trHeight w:val="290"/>
        </w:trPr>
        <w:tc>
          <w:tcPr>
            <w:tcW w:w="451" w:type="dxa"/>
            <w:vAlign w:val="center"/>
          </w:tcPr>
          <w:p w14:paraId="191DBBF9" w14:textId="77777777" w:rsidR="001E6AAA" w:rsidRPr="00CC576A" w:rsidRDefault="001E6AAA" w:rsidP="001E6AAA">
            <w:pPr>
              <w:rPr>
                <w:rFonts w:cs="Calibri"/>
                <w:color w:val="000000"/>
                <w:szCs w:val="20"/>
              </w:rPr>
            </w:pPr>
            <w:r>
              <w:rPr>
                <w:rFonts w:cs="Calibri"/>
                <w:color w:val="000000"/>
                <w:szCs w:val="20"/>
              </w:rPr>
              <w:t>19</w:t>
            </w:r>
          </w:p>
        </w:tc>
        <w:tc>
          <w:tcPr>
            <w:tcW w:w="2238" w:type="dxa"/>
            <w:vAlign w:val="center"/>
          </w:tcPr>
          <w:p w14:paraId="24C1090A" w14:textId="77777777" w:rsidR="001E6AAA" w:rsidRPr="00CC576A" w:rsidRDefault="001E6AAA" w:rsidP="001E6AAA">
            <w:pPr>
              <w:rPr>
                <w:szCs w:val="20"/>
              </w:rPr>
            </w:pPr>
            <w:r>
              <w:rPr>
                <w:rFonts w:cs="Calibri"/>
                <w:color w:val="000000"/>
                <w:szCs w:val="20"/>
              </w:rPr>
              <w:t>Isaac Aremwa</w:t>
            </w:r>
          </w:p>
        </w:tc>
        <w:tc>
          <w:tcPr>
            <w:tcW w:w="3969" w:type="dxa"/>
            <w:vAlign w:val="center"/>
          </w:tcPr>
          <w:p w14:paraId="1C848659" w14:textId="77777777" w:rsidR="001E6AAA" w:rsidRPr="00CC576A" w:rsidRDefault="001E6AAA" w:rsidP="001E6AAA">
            <w:pPr>
              <w:spacing w:before="60" w:after="60"/>
              <w:rPr>
                <w:szCs w:val="20"/>
              </w:rPr>
            </w:pPr>
            <w:r>
              <w:rPr>
                <w:rFonts w:cs="Calibri"/>
                <w:color w:val="000000"/>
                <w:szCs w:val="20"/>
              </w:rPr>
              <w:t>Board Chairman</w:t>
            </w:r>
          </w:p>
        </w:tc>
        <w:tc>
          <w:tcPr>
            <w:tcW w:w="5091" w:type="dxa"/>
            <w:vAlign w:val="center"/>
          </w:tcPr>
          <w:p w14:paraId="2322C346" w14:textId="77777777" w:rsidR="001E6AAA" w:rsidRPr="00CC576A" w:rsidRDefault="001E6AAA" w:rsidP="001E6AAA">
            <w:pPr>
              <w:spacing w:before="60" w:after="60"/>
              <w:rPr>
                <w:szCs w:val="20"/>
                <w:lang w:val="en-US"/>
              </w:rPr>
            </w:pPr>
            <w:r>
              <w:rPr>
                <w:rFonts w:cs="Calibri"/>
                <w:color w:val="000000"/>
                <w:szCs w:val="20"/>
              </w:rPr>
              <w:t>Nauru Port Authority</w:t>
            </w:r>
          </w:p>
        </w:tc>
        <w:tc>
          <w:tcPr>
            <w:tcW w:w="2966" w:type="dxa"/>
            <w:vAlign w:val="center"/>
          </w:tcPr>
          <w:p w14:paraId="07AA1E17" w14:textId="77777777" w:rsidR="001E6AAA" w:rsidRPr="00CC576A" w:rsidRDefault="001E6AAA" w:rsidP="001E6AAA">
            <w:pPr>
              <w:spacing w:before="60" w:after="60"/>
              <w:rPr>
                <w:szCs w:val="20"/>
                <w:lang w:val="en-US"/>
              </w:rPr>
            </w:pPr>
            <w:r>
              <w:rPr>
                <w:rFonts w:cs="Calibri"/>
                <w:color w:val="000000"/>
                <w:szCs w:val="20"/>
              </w:rPr>
              <w:t>Sonya, Rene</w:t>
            </w:r>
          </w:p>
        </w:tc>
      </w:tr>
      <w:tr w:rsidR="001E6AAA" w:rsidRPr="00CC576A" w14:paraId="59735CAD" w14:textId="77777777" w:rsidTr="004F0B78">
        <w:trPr>
          <w:trHeight w:val="290"/>
        </w:trPr>
        <w:tc>
          <w:tcPr>
            <w:tcW w:w="451" w:type="dxa"/>
            <w:vAlign w:val="center"/>
          </w:tcPr>
          <w:p w14:paraId="51AD79AA" w14:textId="77777777" w:rsidR="001E6AAA" w:rsidRPr="00CC576A" w:rsidRDefault="001E6AAA" w:rsidP="001E6AAA">
            <w:pPr>
              <w:rPr>
                <w:rFonts w:cs="Calibri"/>
                <w:color w:val="000000"/>
                <w:szCs w:val="20"/>
              </w:rPr>
            </w:pPr>
            <w:r>
              <w:rPr>
                <w:rFonts w:cs="Calibri"/>
                <w:color w:val="000000"/>
                <w:szCs w:val="20"/>
              </w:rPr>
              <w:t>20</w:t>
            </w:r>
          </w:p>
        </w:tc>
        <w:tc>
          <w:tcPr>
            <w:tcW w:w="2238" w:type="dxa"/>
            <w:vAlign w:val="center"/>
          </w:tcPr>
          <w:p w14:paraId="07215F27" w14:textId="77777777" w:rsidR="001E6AAA" w:rsidRPr="00CC576A" w:rsidRDefault="001E6AAA" w:rsidP="001E6AAA">
            <w:pPr>
              <w:rPr>
                <w:szCs w:val="20"/>
              </w:rPr>
            </w:pPr>
            <w:r>
              <w:rPr>
                <w:rFonts w:cs="Calibri"/>
                <w:color w:val="000000"/>
                <w:szCs w:val="20"/>
              </w:rPr>
              <w:t>James Roop</w:t>
            </w:r>
          </w:p>
        </w:tc>
        <w:tc>
          <w:tcPr>
            <w:tcW w:w="3969" w:type="dxa"/>
            <w:vAlign w:val="center"/>
          </w:tcPr>
          <w:p w14:paraId="264C2054" w14:textId="77777777" w:rsidR="001E6AAA" w:rsidRPr="00CC576A" w:rsidRDefault="001E6AAA" w:rsidP="001E6AAA">
            <w:pPr>
              <w:spacing w:before="60" w:after="60"/>
              <w:rPr>
                <w:szCs w:val="20"/>
              </w:rPr>
            </w:pPr>
            <w:r>
              <w:rPr>
                <w:rFonts w:cs="Calibri"/>
                <w:color w:val="000000"/>
                <w:szCs w:val="20"/>
              </w:rPr>
              <w:t>Climate Change Specialist</w:t>
            </w:r>
          </w:p>
        </w:tc>
        <w:tc>
          <w:tcPr>
            <w:tcW w:w="5091" w:type="dxa"/>
            <w:vAlign w:val="center"/>
          </w:tcPr>
          <w:p w14:paraId="51810317" w14:textId="77777777" w:rsidR="001E6AAA" w:rsidRPr="00CC576A" w:rsidRDefault="001E6AAA" w:rsidP="001E6AAA">
            <w:pPr>
              <w:spacing w:before="60" w:after="60"/>
              <w:rPr>
                <w:szCs w:val="20"/>
                <w:lang w:val="en-US"/>
              </w:rPr>
            </w:pPr>
            <w:r>
              <w:rPr>
                <w:rFonts w:cs="Calibri"/>
                <w:color w:val="000000"/>
                <w:szCs w:val="20"/>
              </w:rPr>
              <w:t>Asian Development Bank</w:t>
            </w:r>
          </w:p>
        </w:tc>
        <w:tc>
          <w:tcPr>
            <w:tcW w:w="2966" w:type="dxa"/>
            <w:vAlign w:val="center"/>
          </w:tcPr>
          <w:p w14:paraId="5D607B9F" w14:textId="77777777" w:rsidR="001E6AAA" w:rsidRPr="00CC576A" w:rsidRDefault="001E6AAA" w:rsidP="001E6AAA">
            <w:pPr>
              <w:spacing w:before="60" w:after="60"/>
              <w:rPr>
                <w:szCs w:val="20"/>
                <w:lang w:val="en-US"/>
              </w:rPr>
            </w:pPr>
            <w:r>
              <w:rPr>
                <w:rFonts w:cs="Calibri"/>
                <w:color w:val="000000"/>
                <w:szCs w:val="20"/>
              </w:rPr>
              <w:t>Sonya</w:t>
            </w:r>
          </w:p>
        </w:tc>
      </w:tr>
      <w:tr w:rsidR="001E6AAA" w:rsidRPr="00CC576A" w14:paraId="726AF370" w14:textId="77777777" w:rsidTr="004F0B78">
        <w:trPr>
          <w:trHeight w:val="290"/>
        </w:trPr>
        <w:tc>
          <w:tcPr>
            <w:tcW w:w="451" w:type="dxa"/>
            <w:vAlign w:val="center"/>
          </w:tcPr>
          <w:p w14:paraId="39B7317D" w14:textId="77777777" w:rsidR="001E6AAA" w:rsidRPr="00CC576A" w:rsidRDefault="001E6AAA" w:rsidP="001E6AAA">
            <w:pPr>
              <w:rPr>
                <w:rFonts w:cs="Calibri"/>
                <w:color w:val="000000"/>
                <w:szCs w:val="20"/>
              </w:rPr>
            </w:pPr>
            <w:r>
              <w:rPr>
                <w:rFonts w:cs="Calibri"/>
                <w:color w:val="000000"/>
                <w:szCs w:val="20"/>
              </w:rPr>
              <w:t>21</w:t>
            </w:r>
          </w:p>
        </w:tc>
        <w:tc>
          <w:tcPr>
            <w:tcW w:w="2238" w:type="dxa"/>
            <w:vAlign w:val="center"/>
          </w:tcPr>
          <w:p w14:paraId="43F25DAE" w14:textId="77777777" w:rsidR="001E6AAA" w:rsidRPr="00CC576A" w:rsidRDefault="001E6AAA" w:rsidP="001E6AAA">
            <w:pPr>
              <w:rPr>
                <w:szCs w:val="20"/>
              </w:rPr>
            </w:pPr>
            <w:r>
              <w:rPr>
                <w:rFonts w:cs="Calibri"/>
                <w:color w:val="000000"/>
                <w:szCs w:val="20"/>
              </w:rPr>
              <w:t>Jean Akubor</w:t>
            </w:r>
          </w:p>
        </w:tc>
        <w:tc>
          <w:tcPr>
            <w:tcW w:w="3969" w:type="dxa"/>
            <w:vAlign w:val="center"/>
          </w:tcPr>
          <w:p w14:paraId="4400AAD0" w14:textId="77777777" w:rsidR="001E6AAA" w:rsidRPr="00CC576A" w:rsidRDefault="001E6AAA" w:rsidP="001E6AAA">
            <w:pPr>
              <w:spacing w:before="60" w:after="60"/>
              <w:rPr>
                <w:szCs w:val="20"/>
              </w:rPr>
            </w:pPr>
            <w:r>
              <w:rPr>
                <w:rFonts w:cs="Calibri"/>
                <w:color w:val="000000"/>
                <w:szCs w:val="20"/>
              </w:rPr>
              <w:t>Youth Affairs</w:t>
            </w:r>
          </w:p>
        </w:tc>
        <w:tc>
          <w:tcPr>
            <w:tcW w:w="5091" w:type="dxa"/>
            <w:vAlign w:val="center"/>
          </w:tcPr>
          <w:p w14:paraId="68A5B5CB" w14:textId="77777777" w:rsidR="001E6AAA" w:rsidRPr="00CC576A" w:rsidRDefault="001E6AAA" w:rsidP="001E6AAA">
            <w:pPr>
              <w:spacing w:before="60" w:after="60"/>
              <w:rPr>
                <w:szCs w:val="20"/>
                <w:lang w:val="en-US"/>
              </w:rPr>
            </w:pPr>
            <w:r>
              <w:rPr>
                <w:rFonts w:cs="Calibri"/>
                <w:color w:val="000000"/>
                <w:szCs w:val="20"/>
              </w:rPr>
              <w:t>Department of Home Affairs</w:t>
            </w:r>
          </w:p>
        </w:tc>
        <w:tc>
          <w:tcPr>
            <w:tcW w:w="2966" w:type="dxa"/>
            <w:vAlign w:val="center"/>
          </w:tcPr>
          <w:p w14:paraId="383C0A7B"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13B4F915" w14:textId="77777777" w:rsidTr="004F0B78">
        <w:trPr>
          <w:trHeight w:val="290"/>
        </w:trPr>
        <w:tc>
          <w:tcPr>
            <w:tcW w:w="451" w:type="dxa"/>
            <w:vAlign w:val="center"/>
          </w:tcPr>
          <w:p w14:paraId="0C09F8F7" w14:textId="77777777" w:rsidR="001E6AAA" w:rsidRPr="00CC576A" w:rsidRDefault="001E6AAA" w:rsidP="001E6AAA">
            <w:pPr>
              <w:rPr>
                <w:rFonts w:cs="Calibri"/>
                <w:color w:val="000000"/>
                <w:szCs w:val="20"/>
              </w:rPr>
            </w:pPr>
            <w:r>
              <w:rPr>
                <w:rFonts w:cs="Calibri"/>
                <w:color w:val="000000"/>
                <w:szCs w:val="20"/>
              </w:rPr>
              <w:t>22</w:t>
            </w:r>
          </w:p>
        </w:tc>
        <w:tc>
          <w:tcPr>
            <w:tcW w:w="2238" w:type="dxa"/>
            <w:vAlign w:val="center"/>
          </w:tcPr>
          <w:p w14:paraId="75A0D725" w14:textId="77777777" w:rsidR="001E6AAA" w:rsidRPr="00CC576A" w:rsidRDefault="001E6AAA" w:rsidP="001E6AAA">
            <w:pPr>
              <w:rPr>
                <w:szCs w:val="20"/>
              </w:rPr>
            </w:pPr>
            <w:r>
              <w:rPr>
                <w:rFonts w:cs="Calibri"/>
                <w:color w:val="000000"/>
                <w:szCs w:val="20"/>
              </w:rPr>
              <w:t>John Tanang</w:t>
            </w:r>
          </w:p>
        </w:tc>
        <w:tc>
          <w:tcPr>
            <w:tcW w:w="3969" w:type="dxa"/>
            <w:vAlign w:val="center"/>
          </w:tcPr>
          <w:p w14:paraId="366AA838" w14:textId="77777777" w:rsidR="001E6AAA" w:rsidRPr="00CC576A" w:rsidRDefault="001E6AAA" w:rsidP="001E6AAA">
            <w:pPr>
              <w:spacing w:before="60" w:after="60"/>
              <w:rPr>
                <w:szCs w:val="20"/>
              </w:rPr>
            </w:pPr>
            <w:r>
              <w:rPr>
                <w:rFonts w:cs="Calibri"/>
                <w:color w:val="000000"/>
                <w:szCs w:val="20"/>
              </w:rPr>
              <w:t>Director for Sports</w:t>
            </w:r>
          </w:p>
        </w:tc>
        <w:tc>
          <w:tcPr>
            <w:tcW w:w="5091" w:type="dxa"/>
            <w:vAlign w:val="center"/>
          </w:tcPr>
          <w:p w14:paraId="34C436E6" w14:textId="77777777" w:rsidR="001E6AAA" w:rsidRPr="00CC576A" w:rsidRDefault="001E6AAA" w:rsidP="001E6AAA">
            <w:pPr>
              <w:spacing w:before="60" w:after="60"/>
              <w:rPr>
                <w:szCs w:val="20"/>
                <w:lang w:val="en-US"/>
              </w:rPr>
            </w:pPr>
            <w:r>
              <w:rPr>
                <w:rFonts w:cs="Calibri"/>
                <w:color w:val="000000"/>
                <w:szCs w:val="20"/>
              </w:rPr>
              <w:t>Department of Sports</w:t>
            </w:r>
          </w:p>
        </w:tc>
        <w:tc>
          <w:tcPr>
            <w:tcW w:w="2966" w:type="dxa"/>
            <w:vAlign w:val="center"/>
          </w:tcPr>
          <w:p w14:paraId="667AE520"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66027139" w14:textId="77777777" w:rsidTr="004F0B78">
        <w:trPr>
          <w:trHeight w:val="290"/>
        </w:trPr>
        <w:tc>
          <w:tcPr>
            <w:tcW w:w="451" w:type="dxa"/>
            <w:vAlign w:val="center"/>
          </w:tcPr>
          <w:p w14:paraId="20C46928" w14:textId="77777777" w:rsidR="001E6AAA" w:rsidRPr="00CC576A" w:rsidRDefault="001E6AAA" w:rsidP="001E6AAA">
            <w:pPr>
              <w:rPr>
                <w:rFonts w:cs="Calibri"/>
                <w:color w:val="000000"/>
                <w:szCs w:val="20"/>
              </w:rPr>
            </w:pPr>
            <w:r>
              <w:rPr>
                <w:rFonts w:cs="Calibri"/>
                <w:color w:val="000000"/>
                <w:szCs w:val="20"/>
              </w:rPr>
              <w:t>23</w:t>
            </w:r>
          </w:p>
        </w:tc>
        <w:tc>
          <w:tcPr>
            <w:tcW w:w="2238" w:type="dxa"/>
            <w:vAlign w:val="center"/>
          </w:tcPr>
          <w:p w14:paraId="2A02E4CC" w14:textId="77777777" w:rsidR="001E6AAA" w:rsidRPr="00CC576A" w:rsidRDefault="001E6AAA" w:rsidP="001E6AAA">
            <w:pPr>
              <w:rPr>
                <w:szCs w:val="20"/>
              </w:rPr>
            </w:pPr>
            <w:r>
              <w:rPr>
                <w:rFonts w:cs="Calibri"/>
                <w:color w:val="000000"/>
                <w:szCs w:val="20"/>
              </w:rPr>
              <w:t>Kathleen Cheong</w:t>
            </w:r>
          </w:p>
        </w:tc>
        <w:tc>
          <w:tcPr>
            <w:tcW w:w="3969" w:type="dxa"/>
            <w:vAlign w:val="center"/>
          </w:tcPr>
          <w:p w14:paraId="4C10219A" w14:textId="77777777" w:rsidR="001E6AAA" w:rsidRPr="00CC576A" w:rsidRDefault="001E6AAA" w:rsidP="001E6AAA">
            <w:pPr>
              <w:spacing w:before="60" w:after="60"/>
              <w:rPr>
                <w:szCs w:val="20"/>
              </w:rPr>
            </w:pPr>
            <w:r>
              <w:rPr>
                <w:rFonts w:cs="Calibri"/>
                <w:color w:val="000000"/>
                <w:szCs w:val="20"/>
              </w:rPr>
              <w:t>Associate</w:t>
            </w:r>
          </w:p>
        </w:tc>
        <w:tc>
          <w:tcPr>
            <w:tcW w:w="5091" w:type="dxa"/>
            <w:vAlign w:val="center"/>
          </w:tcPr>
          <w:p w14:paraId="21E5F354" w14:textId="77777777" w:rsidR="001E6AAA" w:rsidRPr="00CC576A" w:rsidRDefault="001E6AAA" w:rsidP="001E6AAA">
            <w:pPr>
              <w:spacing w:before="60" w:after="60"/>
              <w:rPr>
                <w:szCs w:val="20"/>
                <w:lang w:val="en-US"/>
              </w:rPr>
            </w:pPr>
            <w:r>
              <w:rPr>
                <w:rFonts w:cs="Calibri"/>
                <w:color w:val="000000"/>
                <w:szCs w:val="20"/>
              </w:rPr>
              <w:t>Alexander &amp; Lloyd</w:t>
            </w:r>
          </w:p>
        </w:tc>
        <w:tc>
          <w:tcPr>
            <w:tcW w:w="2966" w:type="dxa"/>
            <w:vAlign w:val="center"/>
          </w:tcPr>
          <w:p w14:paraId="0DB4A3F4" w14:textId="77777777" w:rsidR="001E6AAA" w:rsidRPr="00CC576A" w:rsidRDefault="001E6AAA" w:rsidP="001E6AAA">
            <w:pPr>
              <w:spacing w:before="60" w:after="60"/>
              <w:rPr>
                <w:szCs w:val="20"/>
                <w:lang w:val="en-US"/>
              </w:rPr>
            </w:pPr>
            <w:r>
              <w:rPr>
                <w:rFonts w:cs="Calibri"/>
                <w:color w:val="000000"/>
                <w:szCs w:val="20"/>
              </w:rPr>
              <w:t>Sonya</w:t>
            </w:r>
          </w:p>
        </w:tc>
      </w:tr>
      <w:tr w:rsidR="001E6AAA" w:rsidRPr="00CC576A" w14:paraId="0DFF39A9" w14:textId="77777777" w:rsidTr="004F0B78">
        <w:trPr>
          <w:trHeight w:val="290"/>
        </w:trPr>
        <w:tc>
          <w:tcPr>
            <w:tcW w:w="451" w:type="dxa"/>
            <w:vAlign w:val="center"/>
          </w:tcPr>
          <w:p w14:paraId="06BE90A5" w14:textId="77777777" w:rsidR="001E6AAA" w:rsidRPr="00CC576A" w:rsidRDefault="001E6AAA" w:rsidP="001E6AAA">
            <w:pPr>
              <w:rPr>
                <w:rFonts w:cs="Calibri"/>
                <w:color w:val="000000"/>
                <w:szCs w:val="20"/>
              </w:rPr>
            </w:pPr>
            <w:r>
              <w:rPr>
                <w:rFonts w:cs="Calibri"/>
                <w:color w:val="000000"/>
                <w:szCs w:val="20"/>
              </w:rPr>
              <w:t>24</w:t>
            </w:r>
          </w:p>
        </w:tc>
        <w:tc>
          <w:tcPr>
            <w:tcW w:w="2238" w:type="dxa"/>
            <w:vAlign w:val="center"/>
          </w:tcPr>
          <w:p w14:paraId="57BFC3DC" w14:textId="77777777" w:rsidR="001E6AAA" w:rsidRPr="00CC576A" w:rsidRDefault="001E6AAA" w:rsidP="001E6AAA">
            <w:pPr>
              <w:rPr>
                <w:szCs w:val="20"/>
              </w:rPr>
            </w:pPr>
            <w:r>
              <w:rPr>
                <w:rFonts w:cs="Calibri"/>
                <w:color w:val="000000"/>
                <w:szCs w:val="20"/>
              </w:rPr>
              <w:t>Krystalmaine Finch</w:t>
            </w:r>
          </w:p>
        </w:tc>
        <w:tc>
          <w:tcPr>
            <w:tcW w:w="3969" w:type="dxa"/>
            <w:vAlign w:val="center"/>
          </w:tcPr>
          <w:p w14:paraId="72C9B86B" w14:textId="77777777" w:rsidR="001E6AAA" w:rsidRPr="00CC576A" w:rsidRDefault="001E6AAA" w:rsidP="001E6AAA">
            <w:pPr>
              <w:spacing w:before="60" w:after="60"/>
              <w:rPr>
                <w:szCs w:val="20"/>
              </w:rPr>
            </w:pPr>
            <w:r>
              <w:rPr>
                <w:rFonts w:cs="Calibri"/>
                <w:color w:val="000000"/>
                <w:szCs w:val="20"/>
              </w:rPr>
              <w:t>Family &amp; Community Services</w:t>
            </w:r>
          </w:p>
        </w:tc>
        <w:tc>
          <w:tcPr>
            <w:tcW w:w="5091" w:type="dxa"/>
            <w:vAlign w:val="center"/>
          </w:tcPr>
          <w:p w14:paraId="3FB4D77C" w14:textId="77777777" w:rsidR="001E6AAA" w:rsidRPr="00CC576A" w:rsidRDefault="001E6AAA" w:rsidP="001E6AAA">
            <w:pPr>
              <w:spacing w:before="60" w:after="60"/>
              <w:rPr>
                <w:szCs w:val="20"/>
                <w:lang w:val="en-US"/>
              </w:rPr>
            </w:pPr>
            <w:r>
              <w:rPr>
                <w:rFonts w:cs="Calibri"/>
                <w:color w:val="000000"/>
                <w:szCs w:val="20"/>
              </w:rPr>
              <w:t>Department of Home Affairs</w:t>
            </w:r>
          </w:p>
        </w:tc>
        <w:tc>
          <w:tcPr>
            <w:tcW w:w="2966" w:type="dxa"/>
            <w:vAlign w:val="center"/>
          </w:tcPr>
          <w:p w14:paraId="17BB7835" w14:textId="77777777" w:rsidR="001E6AAA" w:rsidRPr="00CC576A" w:rsidRDefault="001E6AAA" w:rsidP="001E6AAA">
            <w:pPr>
              <w:spacing w:before="60" w:after="60"/>
              <w:rPr>
                <w:szCs w:val="20"/>
                <w:lang w:val="en-US"/>
              </w:rPr>
            </w:pPr>
            <w:r>
              <w:rPr>
                <w:rFonts w:cs="Calibri"/>
                <w:color w:val="000000"/>
                <w:szCs w:val="20"/>
              </w:rPr>
              <w:t>Sonya, Samiha, Rene, Helen</w:t>
            </w:r>
          </w:p>
        </w:tc>
      </w:tr>
      <w:tr w:rsidR="001E6AAA" w:rsidRPr="00CC576A" w14:paraId="4DB5C6AD" w14:textId="77777777" w:rsidTr="004F0B78">
        <w:trPr>
          <w:trHeight w:val="290"/>
        </w:trPr>
        <w:tc>
          <w:tcPr>
            <w:tcW w:w="451" w:type="dxa"/>
            <w:vAlign w:val="center"/>
          </w:tcPr>
          <w:p w14:paraId="0E9B2BE7" w14:textId="77777777" w:rsidR="001E6AAA" w:rsidRPr="00CC576A" w:rsidRDefault="001E6AAA" w:rsidP="001E6AAA">
            <w:pPr>
              <w:rPr>
                <w:rFonts w:cs="Calibri"/>
                <w:color w:val="000000"/>
                <w:szCs w:val="20"/>
              </w:rPr>
            </w:pPr>
            <w:r>
              <w:rPr>
                <w:rFonts w:cs="Calibri"/>
                <w:color w:val="000000"/>
                <w:szCs w:val="20"/>
              </w:rPr>
              <w:t>26</w:t>
            </w:r>
          </w:p>
        </w:tc>
        <w:tc>
          <w:tcPr>
            <w:tcW w:w="2238" w:type="dxa"/>
            <w:vAlign w:val="center"/>
          </w:tcPr>
          <w:p w14:paraId="71EFF051" w14:textId="77777777" w:rsidR="001E6AAA" w:rsidRPr="00CC576A" w:rsidRDefault="001E6AAA" w:rsidP="001E6AAA">
            <w:pPr>
              <w:rPr>
                <w:szCs w:val="20"/>
              </w:rPr>
            </w:pPr>
            <w:r>
              <w:rPr>
                <w:rFonts w:cs="Calibri"/>
                <w:color w:val="000000"/>
                <w:szCs w:val="20"/>
              </w:rPr>
              <w:t>Lesi Olsson</w:t>
            </w:r>
          </w:p>
        </w:tc>
        <w:tc>
          <w:tcPr>
            <w:tcW w:w="3969" w:type="dxa"/>
            <w:vAlign w:val="center"/>
          </w:tcPr>
          <w:p w14:paraId="1CE3447F" w14:textId="77777777" w:rsidR="001E6AAA" w:rsidRPr="00CC576A" w:rsidRDefault="001E6AAA" w:rsidP="001E6AAA">
            <w:pPr>
              <w:spacing w:before="60" w:after="60"/>
              <w:rPr>
                <w:szCs w:val="20"/>
              </w:rPr>
            </w:pPr>
            <w:r>
              <w:rPr>
                <w:rFonts w:cs="Calibri"/>
                <w:color w:val="000000"/>
                <w:szCs w:val="20"/>
              </w:rPr>
              <w:t>Secretary for Infrastructure</w:t>
            </w:r>
          </w:p>
        </w:tc>
        <w:tc>
          <w:tcPr>
            <w:tcW w:w="5091" w:type="dxa"/>
            <w:vAlign w:val="center"/>
          </w:tcPr>
          <w:p w14:paraId="55C7735C" w14:textId="77777777" w:rsidR="001E6AAA" w:rsidRPr="00CC576A" w:rsidRDefault="001E6AAA" w:rsidP="001E6AAA">
            <w:pPr>
              <w:spacing w:before="60" w:after="60"/>
              <w:rPr>
                <w:szCs w:val="20"/>
                <w:lang w:val="en-US"/>
              </w:rPr>
            </w:pPr>
            <w:r>
              <w:rPr>
                <w:rFonts w:cs="Calibri"/>
                <w:color w:val="000000"/>
                <w:szCs w:val="20"/>
              </w:rPr>
              <w:t>Department of Infrastructure Development</w:t>
            </w:r>
          </w:p>
        </w:tc>
        <w:tc>
          <w:tcPr>
            <w:tcW w:w="2966" w:type="dxa"/>
            <w:vAlign w:val="center"/>
          </w:tcPr>
          <w:p w14:paraId="5FA1653D"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395E500E" w14:textId="77777777" w:rsidTr="004F0B78">
        <w:trPr>
          <w:trHeight w:val="290"/>
        </w:trPr>
        <w:tc>
          <w:tcPr>
            <w:tcW w:w="451" w:type="dxa"/>
            <w:vAlign w:val="center"/>
          </w:tcPr>
          <w:p w14:paraId="5193BBCE" w14:textId="77777777" w:rsidR="001E6AAA" w:rsidRPr="00CC576A" w:rsidRDefault="001E6AAA" w:rsidP="001E6AAA">
            <w:pPr>
              <w:rPr>
                <w:rFonts w:cs="Calibri"/>
                <w:color w:val="000000"/>
                <w:szCs w:val="20"/>
              </w:rPr>
            </w:pPr>
            <w:r>
              <w:rPr>
                <w:rFonts w:cs="Calibri"/>
                <w:color w:val="000000"/>
                <w:szCs w:val="20"/>
              </w:rPr>
              <w:t>27</w:t>
            </w:r>
          </w:p>
        </w:tc>
        <w:tc>
          <w:tcPr>
            <w:tcW w:w="2238" w:type="dxa"/>
            <w:vAlign w:val="center"/>
          </w:tcPr>
          <w:p w14:paraId="2B98A953" w14:textId="77777777" w:rsidR="001E6AAA" w:rsidRPr="00CC576A" w:rsidRDefault="001E6AAA" w:rsidP="001E6AAA">
            <w:pPr>
              <w:rPr>
                <w:szCs w:val="20"/>
              </w:rPr>
            </w:pPr>
            <w:r>
              <w:rPr>
                <w:rFonts w:cs="Calibri"/>
                <w:color w:val="000000"/>
                <w:szCs w:val="20"/>
              </w:rPr>
              <w:t>Liluv Itsimaera</w:t>
            </w:r>
          </w:p>
        </w:tc>
        <w:tc>
          <w:tcPr>
            <w:tcW w:w="3969" w:type="dxa"/>
            <w:vAlign w:val="center"/>
          </w:tcPr>
          <w:p w14:paraId="1AA4A6AD" w14:textId="77777777" w:rsidR="001E6AAA" w:rsidRPr="00CC576A" w:rsidRDefault="001E6AAA" w:rsidP="001E6AAA">
            <w:pPr>
              <w:spacing w:before="60" w:after="60"/>
              <w:rPr>
                <w:szCs w:val="20"/>
              </w:rPr>
            </w:pPr>
            <w:r>
              <w:rPr>
                <w:rFonts w:cs="Calibri"/>
                <w:color w:val="000000"/>
                <w:szCs w:val="20"/>
              </w:rPr>
              <w:t>Senior Aid Officer</w:t>
            </w:r>
          </w:p>
        </w:tc>
        <w:tc>
          <w:tcPr>
            <w:tcW w:w="5091" w:type="dxa"/>
            <w:vAlign w:val="center"/>
          </w:tcPr>
          <w:p w14:paraId="399B064D" w14:textId="77777777" w:rsidR="001E6AAA" w:rsidRPr="00CC576A" w:rsidRDefault="001E6AAA" w:rsidP="001E6AAA">
            <w:pPr>
              <w:spacing w:before="60" w:after="60"/>
              <w:rPr>
                <w:szCs w:val="20"/>
                <w:lang w:val="en-US"/>
              </w:rPr>
            </w:pPr>
            <w:r>
              <w:rPr>
                <w:rFonts w:cs="Calibri"/>
                <w:color w:val="000000"/>
                <w:szCs w:val="20"/>
              </w:rPr>
              <w:t>Planning and Aid Division, Department of Finance</w:t>
            </w:r>
          </w:p>
        </w:tc>
        <w:tc>
          <w:tcPr>
            <w:tcW w:w="2966" w:type="dxa"/>
            <w:vAlign w:val="center"/>
          </w:tcPr>
          <w:p w14:paraId="0B4D8E72" w14:textId="77777777" w:rsidR="001E6AAA" w:rsidRPr="00CC576A" w:rsidRDefault="001E6AAA" w:rsidP="001E6AAA">
            <w:pPr>
              <w:spacing w:before="60" w:after="60"/>
              <w:rPr>
                <w:szCs w:val="20"/>
                <w:lang w:val="en-US"/>
              </w:rPr>
            </w:pPr>
            <w:r>
              <w:rPr>
                <w:rFonts w:cs="Calibri"/>
                <w:color w:val="000000"/>
                <w:szCs w:val="20"/>
              </w:rPr>
              <w:t>Sonya, Samiha, Rene</w:t>
            </w:r>
          </w:p>
        </w:tc>
      </w:tr>
      <w:tr w:rsidR="001E6AAA" w:rsidRPr="00CC576A" w14:paraId="44495A91" w14:textId="77777777" w:rsidTr="004F0B78">
        <w:trPr>
          <w:trHeight w:val="290"/>
        </w:trPr>
        <w:tc>
          <w:tcPr>
            <w:tcW w:w="451" w:type="dxa"/>
            <w:vAlign w:val="center"/>
          </w:tcPr>
          <w:p w14:paraId="7231FC1B" w14:textId="77777777" w:rsidR="001E6AAA" w:rsidRPr="00CC576A" w:rsidRDefault="001E6AAA" w:rsidP="001E6AAA">
            <w:pPr>
              <w:rPr>
                <w:rFonts w:cs="Calibri"/>
                <w:color w:val="000000"/>
                <w:szCs w:val="20"/>
              </w:rPr>
            </w:pPr>
            <w:r>
              <w:rPr>
                <w:rFonts w:cs="Calibri"/>
                <w:color w:val="000000"/>
                <w:szCs w:val="20"/>
              </w:rPr>
              <w:t>28</w:t>
            </w:r>
          </w:p>
        </w:tc>
        <w:tc>
          <w:tcPr>
            <w:tcW w:w="2238" w:type="dxa"/>
            <w:vAlign w:val="center"/>
          </w:tcPr>
          <w:p w14:paraId="02A17B8B" w14:textId="77777777" w:rsidR="001E6AAA" w:rsidRPr="00CC576A" w:rsidRDefault="001E6AAA" w:rsidP="001E6AAA">
            <w:pPr>
              <w:rPr>
                <w:szCs w:val="20"/>
              </w:rPr>
            </w:pPr>
            <w:r>
              <w:rPr>
                <w:rFonts w:cs="Calibri"/>
                <w:color w:val="000000"/>
                <w:szCs w:val="20"/>
              </w:rPr>
              <w:t>Lorena Estigarribia</w:t>
            </w:r>
          </w:p>
        </w:tc>
        <w:tc>
          <w:tcPr>
            <w:tcW w:w="3969" w:type="dxa"/>
            <w:vAlign w:val="center"/>
          </w:tcPr>
          <w:p w14:paraId="080D2DFC" w14:textId="77777777" w:rsidR="001E6AAA" w:rsidRPr="00CC576A" w:rsidRDefault="001E6AAA" w:rsidP="001E6AAA">
            <w:pPr>
              <w:spacing w:before="100" w:after="100"/>
              <w:rPr>
                <w:szCs w:val="20"/>
              </w:rPr>
            </w:pPr>
            <w:r>
              <w:rPr>
                <w:rFonts w:cs="Calibri"/>
                <w:color w:val="000000"/>
                <w:szCs w:val="20"/>
              </w:rPr>
              <w:t>Technical Manager</w:t>
            </w:r>
          </w:p>
        </w:tc>
        <w:tc>
          <w:tcPr>
            <w:tcW w:w="5091" w:type="dxa"/>
            <w:vAlign w:val="center"/>
          </w:tcPr>
          <w:p w14:paraId="7CA9CFA6" w14:textId="77777777" w:rsidR="001E6AAA" w:rsidRPr="00CC576A" w:rsidRDefault="001E6AAA" w:rsidP="001E6AAA">
            <w:pPr>
              <w:spacing w:before="100" w:after="100"/>
              <w:rPr>
                <w:szCs w:val="20"/>
                <w:lang w:val="en-US"/>
              </w:rPr>
            </w:pPr>
            <w:r>
              <w:rPr>
                <w:rFonts w:cs="Calibri"/>
                <w:color w:val="000000"/>
                <w:szCs w:val="20"/>
              </w:rPr>
              <w:t>Pacific Region Infrastructure Facility</w:t>
            </w:r>
          </w:p>
        </w:tc>
        <w:tc>
          <w:tcPr>
            <w:tcW w:w="2966" w:type="dxa"/>
            <w:vAlign w:val="center"/>
          </w:tcPr>
          <w:p w14:paraId="198FFF7F" w14:textId="77777777" w:rsidR="001E6AAA" w:rsidRPr="00CC576A" w:rsidRDefault="001E6AAA" w:rsidP="001E6AAA">
            <w:pPr>
              <w:spacing w:before="60" w:after="60"/>
              <w:rPr>
                <w:szCs w:val="20"/>
                <w:lang w:val="en-US"/>
              </w:rPr>
            </w:pPr>
            <w:r>
              <w:rPr>
                <w:rFonts w:cs="Calibri"/>
                <w:color w:val="000000"/>
                <w:szCs w:val="20"/>
              </w:rPr>
              <w:t>Sonya</w:t>
            </w:r>
          </w:p>
        </w:tc>
      </w:tr>
      <w:tr w:rsidR="0038640C" w:rsidRPr="00CC576A" w14:paraId="410D4D3D" w14:textId="77777777" w:rsidTr="004F0B78">
        <w:trPr>
          <w:trHeight w:val="290"/>
        </w:trPr>
        <w:tc>
          <w:tcPr>
            <w:tcW w:w="451" w:type="dxa"/>
            <w:vAlign w:val="center"/>
          </w:tcPr>
          <w:p w14:paraId="4D2445B1" w14:textId="77777777" w:rsidR="0038640C" w:rsidRPr="00CC576A" w:rsidRDefault="0038640C" w:rsidP="0038640C">
            <w:pPr>
              <w:rPr>
                <w:rFonts w:cs="Calibri"/>
                <w:color w:val="000000"/>
                <w:szCs w:val="20"/>
              </w:rPr>
            </w:pPr>
            <w:r>
              <w:rPr>
                <w:rFonts w:cs="Calibri"/>
                <w:color w:val="000000"/>
                <w:szCs w:val="20"/>
              </w:rPr>
              <w:t>29</w:t>
            </w:r>
          </w:p>
        </w:tc>
        <w:tc>
          <w:tcPr>
            <w:tcW w:w="2238" w:type="dxa"/>
            <w:vAlign w:val="center"/>
          </w:tcPr>
          <w:p w14:paraId="0392690D" w14:textId="77777777" w:rsidR="0038640C" w:rsidRPr="00CC576A" w:rsidRDefault="0038640C" w:rsidP="0038640C">
            <w:pPr>
              <w:rPr>
                <w:szCs w:val="20"/>
              </w:rPr>
            </w:pPr>
            <w:r>
              <w:rPr>
                <w:rFonts w:cs="Calibri"/>
                <w:color w:val="000000"/>
                <w:szCs w:val="20"/>
              </w:rPr>
              <w:t>Marita Agigo</w:t>
            </w:r>
          </w:p>
        </w:tc>
        <w:tc>
          <w:tcPr>
            <w:tcW w:w="3969" w:type="dxa"/>
            <w:vAlign w:val="center"/>
          </w:tcPr>
          <w:p w14:paraId="22D4D1B8" w14:textId="77777777" w:rsidR="0038640C" w:rsidRPr="00CC576A" w:rsidRDefault="00441261" w:rsidP="0038640C">
            <w:pPr>
              <w:spacing w:before="60" w:after="60"/>
              <w:rPr>
                <w:szCs w:val="20"/>
              </w:rPr>
            </w:pPr>
            <w:r w:rsidRPr="00441261">
              <w:rPr>
                <w:rFonts w:cs="Calibri"/>
                <w:color w:val="000000"/>
                <w:szCs w:val="20"/>
              </w:rPr>
              <w:t>DA?</w:t>
            </w:r>
            <w:r>
              <w:rPr>
                <w:rFonts w:cs="Calibri"/>
                <w:color w:val="FF0000"/>
                <w:szCs w:val="20"/>
              </w:rPr>
              <w:t xml:space="preserve"> </w:t>
            </w:r>
            <w:r w:rsidR="0038640C">
              <w:rPr>
                <w:rFonts w:cs="Calibri"/>
                <w:color w:val="000000"/>
                <w:szCs w:val="20"/>
              </w:rPr>
              <w:t>/ Director for Tourism</w:t>
            </w:r>
          </w:p>
        </w:tc>
        <w:tc>
          <w:tcPr>
            <w:tcW w:w="5091" w:type="dxa"/>
            <w:vAlign w:val="center"/>
          </w:tcPr>
          <w:p w14:paraId="597E49F2" w14:textId="77777777" w:rsidR="0038640C" w:rsidRPr="00CC576A" w:rsidRDefault="0038640C" w:rsidP="0038640C">
            <w:pPr>
              <w:spacing w:before="60" w:after="60"/>
              <w:rPr>
                <w:szCs w:val="20"/>
                <w:lang w:val="en-US"/>
              </w:rPr>
            </w:pPr>
            <w:r>
              <w:rPr>
                <w:rFonts w:cs="Calibri"/>
                <w:color w:val="000000"/>
                <w:szCs w:val="20"/>
              </w:rPr>
              <w:t>Department of Home Affairs</w:t>
            </w:r>
          </w:p>
        </w:tc>
        <w:tc>
          <w:tcPr>
            <w:tcW w:w="2966" w:type="dxa"/>
            <w:vAlign w:val="center"/>
          </w:tcPr>
          <w:p w14:paraId="5CE7BB67" w14:textId="77777777" w:rsidR="0038640C" w:rsidRPr="00CC576A" w:rsidRDefault="0038640C" w:rsidP="0038640C">
            <w:pPr>
              <w:spacing w:before="60" w:after="60"/>
              <w:rPr>
                <w:szCs w:val="20"/>
                <w:lang w:val="en-US"/>
              </w:rPr>
            </w:pPr>
            <w:r>
              <w:rPr>
                <w:rFonts w:cs="Calibri"/>
                <w:color w:val="000000"/>
                <w:szCs w:val="20"/>
              </w:rPr>
              <w:t>Sonya, Samiha, Rene, Helen</w:t>
            </w:r>
          </w:p>
        </w:tc>
      </w:tr>
      <w:tr w:rsidR="0038640C" w:rsidRPr="00CC576A" w14:paraId="34CF5D71" w14:textId="77777777" w:rsidTr="004F0B78">
        <w:trPr>
          <w:trHeight w:val="290"/>
        </w:trPr>
        <w:tc>
          <w:tcPr>
            <w:tcW w:w="451" w:type="dxa"/>
            <w:vAlign w:val="center"/>
          </w:tcPr>
          <w:p w14:paraId="3658E970" w14:textId="77777777" w:rsidR="0038640C" w:rsidRPr="00CC576A" w:rsidRDefault="0038640C" w:rsidP="0038640C">
            <w:pPr>
              <w:rPr>
                <w:rFonts w:cs="Calibri"/>
                <w:color w:val="000000"/>
                <w:szCs w:val="20"/>
              </w:rPr>
            </w:pPr>
            <w:r>
              <w:rPr>
                <w:rFonts w:cs="Calibri"/>
                <w:color w:val="000000"/>
                <w:szCs w:val="20"/>
              </w:rPr>
              <w:lastRenderedPageBreak/>
              <w:t>30</w:t>
            </w:r>
          </w:p>
        </w:tc>
        <w:tc>
          <w:tcPr>
            <w:tcW w:w="2238" w:type="dxa"/>
            <w:vAlign w:val="center"/>
          </w:tcPr>
          <w:p w14:paraId="0C004415" w14:textId="77777777" w:rsidR="0038640C" w:rsidRPr="00CC576A" w:rsidRDefault="0038640C" w:rsidP="0038640C">
            <w:pPr>
              <w:rPr>
                <w:rFonts w:cs="Calibri"/>
                <w:color w:val="000000"/>
                <w:szCs w:val="20"/>
              </w:rPr>
            </w:pPr>
            <w:r>
              <w:rPr>
                <w:rFonts w:cs="Calibri"/>
                <w:color w:val="000000"/>
                <w:szCs w:val="20"/>
              </w:rPr>
              <w:t>Michelangelo Dimapilis</w:t>
            </w:r>
          </w:p>
        </w:tc>
        <w:tc>
          <w:tcPr>
            <w:tcW w:w="3969" w:type="dxa"/>
            <w:vAlign w:val="center"/>
          </w:tcPr>
          <w:p w14:paraId="01409DAB" w14:textId="77777777" w:rsidR="0038640C" w:rsidRPr="00CC576A" w:rsidRDefault="0038640C" w:rsidP="0038640C">
            <w:pPr>
              <w:spacing w:before="60" w:after="60"/>
              <w:rPr>
                <w:rFonts w:cs="Calibri"/>
                <w:color w:val="000000"/>
                <w:szCs w:val="20"/>
              </w:rPr>
            </w:pPr>
            <w:r>
              <w:rPr>
                <w:rFonts w:cs="Calibri"/>
                <w:color w:val="000000"/>
                <w:szCs w:val="20"/>
              </w:rPr>
              <w:t>Secretary for Public Admin. and Operation</w:t>
            </w:r>
          </w:p>
        </w:tc>
        <w:tc>
          <w:tcPr>
            <w:tcW w:w="5091" w:type="dxa"/>
            <w:vAlign w:val="center"/>
          </w:tcPr>
          <w:p w14:paraId="26ED59E7" w14:textId="77777777" w:rsidR="0038640C" w:rsidRPr="00CC576A" w:rsidRDefault="0038640C" w:rsidP="0038640C">
            <w:pPr>
              <w:spacing w:before="60" w:after="60"/>
              <w:rPr>
                <w:rFonts w:cs="Calibri"/>
                <w:color w:val="000000"/>
                <w:szCs w:val="20"/>
              </w:rPr>
            </w:pPr>
            <w:r>
              <w:rPr>
                <w:rFonts w:cs="Calibri"/>
                <w:color w:val="000000"/>
                <w:szCs w:val="20"/>
              </w:rPr>
              <w:t xml:space="preserve">Office of the Chief Secretary </w:t>
            </w:r>
          </w:p>
        </w:tc>
        <w:tc>
          <w:tcPr>
            <w:tcW w:w="2966" w:type="dxa"/>
            <w:vAlign w:val="center"/>
          </w:tcPr>
          <w:p w14:paraId="7A9EAFE8" w14:textId="77777777" w:rsidR="0038640C" w:rsidRPr="00CC576A" w:rsidRDefault="0038640C" w:rsidP="0038640C">
            <w:pPr>
              <w:spacing w:before="60" w:after="60"/>
              <w:rPr>
                <w:rFonts w:cs="Calibri"/>
                <w:color w:val="000000"/>
                <w:szCs w:val="20"/>
              </w:rPr>
            </w:pPr>
            <w:r>
              <w:rPr>
                <w:rFonts w:cs="Calibri"/>
                <w:color w:val="000000"/>
                <w:szCs w:val="20"/>
              </w:rPr>
              <w:t>Sonya, Rene</w:t>
            </w:r>
          </w:p>
        </w:tc>
      </w:tr>
      <w:tr w:rsidR="0038640C" w:rsidRPr="00CC576A" w14:paraId="341E63FF" w14:textId="77777777" w:rsidTr="004F0B78">
        <w:trPr>
          <w:trHeight w:val="290"/>
        </w:trPr>
        <w:tc>
          <w:tcPr>
            <w:tcW w:w="451" w:type="dxa"/>
            <w:vAlign w:val="center"/>
          </w:tcPr>
          <w:p w14:paraId="1240878E" w14:textId="77777777" w:rsidR="0038640C" w:rsidRPr="00CC576A" w:rsidRDefault="0038640C" w:rsidP="0038640C">
            <w:pPr>
              <w:rPr>
                <w:rFonts w:cs="Calibri"/>
                <w:color w:val="000000"/>
                <w:szCs w:val="20"/>
              </w:rPr>
            </w:pPr>
            <w:r>
              <w:rPr>
                <w:rFonts w:cs="Calibri"/>
                <w:color w:val="000000"/>
                <w:szCs w:val="20"/>
              </w:rPr>
              <w:t>31</w:t>
            </w:r>
          </w:p>
        </w:tc>
        <w:tc>
          <w:tcPr>
            <w:tcW w:w="2238" w:type="dxa"/>
            <w:vAlign w:val="center"/>
          </w:tcPr>
          <w:p w14:paraId="509CFB59" w14:textId="77777777" w:rsidR="0038640C" w:rsidRPr="00CC576A" w:rsidRDefault="0038640C" w:rsidP="0038640C">
            <w:pPr>
              <w:rPr>
                <w:rFonts w:cs="Calibri"/>
                <w:color w:val="000000"/>
                <w:szCs w:val="20"/>
              </w:rPr>
            </w:pPr>
            <w:r>
              <w:rPr>
                <w:rFonts w:cs="Calibri"/>
                <w:color w:val="000000"/>
                <w:szCs w:val="20"/>
              </w:rPr>
              <w:t>Mohammed Ali</w:t>
            </w:r>
          </w:p>
        </w:tc>
        <w:tc>
          <w:tcPr>
            <w:tcW w:w="3969" w:type="dxa"/>
            <w:vAlign w:val="center"/>
          </w:tcPr>
          <w:p w14:paraId="316357FB" w14:textId="77777777" w:rsidR="0038640C" w:rsidRPr="00CC576A" w:rsidRDefault="0038640C" w:rsidP="0038640C">
            <w:pPr>
              <w:spacing w:before="60" w:after="60"/>
              <w:rPr>
                <w:rFonts w:cs="Calibri"/>
                <w:color w:val="000000"/>
                <w:szCs w:val="20"/>
              </w:rPr>
            </w:pPr>
            <w:r>
              <w:rPr>
                <w:rFonts w:cs="Calibri"/>
                <w:color w:val="000000"/>
                <w:szCs w:val="20"/>
              </w:rPr>
              <w:t>Utilities General Manager</w:t>
            </w:r>
          </w:p>
        </w:tc>
        <w:tc>
          <w:tcPr>
            <w:tcW w:w="5091" w:type="dxa"/>
            <w:vAlign w:val="center"/>
          </w:tcPr>
          <w:p w14:paraId="4B32F912" w14:textId="77777777" w:rsidR="0038640C" w:rsidRPr="00CC576A" w:rsidRDefault="0038640C" w:rsidP="0038640C">
            <w:pPr>
              <w:spacing w:before="60" w:after="60"/>
              <w:rPr>
                <w:rFonts w:cs="Calibri"/>
                <w:color w:val="000000"/>
                <w:szCs w:val="20"/>
              </w:rPr>
            </w:pPr>
            <w:r>
              <w:rPr>
                <w:rFonts w:cs="Calibri"/>
                <w:color w:val="000000"/>
                <w:szCs w:val="20"/>
              </w:rPr>
              <w:t>Nauru Utilities Corporation</w:t>
            </w:r>
          </w:p>
        </w:tc>
        <w:tc>
          <w:tcPr>
            <w:tcW w:w="2966" w:type="dxa"/>
            <w:vAlign w:val="center"/>
          </w:tcPr>
          <w:p w14:paraId="7D8A0CEA" w14:textId="77777777" w:rsidR="0038640C" w:rsidRPr="00CC576A" w:rsidRDefault="0038640C" w:rsidP="0038640C">
            <w:pPr>
              <w:spacing w:before="60" w:after="60"/>
              <w:rPr>
                <w:rFonts w:cs="Calibri"/>
                <w:color w:val="000000"/>
                <w:szCs w:val="20"/>
              </w:rPr>
            </w:pPr>
            <w:r>
              <w:rPr>
                <w:rFonts w:cs="Calibri"/>
                <w:color w:val="000000"/>
                <w:szCs w:val="20"/>
              </w:rPr>
              <w:t>Sonya, Rene</w:t>
            </w:r>
          </w:p>
        </w:tc>
      </w:tr>
      <w:tr w:rsidR="0038640C" w:rsidRPr="00CC576A" w14:paraId="1D9D3F86" w14:textId="77777777" w:rsidTr="004F0B78">
        <w:trPr>
          <w:trHeight w:val="290"/>
        </w:trPr>
        <w:tc>
          <w:tcPr>
            <w:tcW w:w="451" w:type="dxa"/>
            <w:vAlign w:val="center"/>
          </w:tcPr>
          <w:p w14:paraId="0CEEF233" w14:textId="77777777" w:rsidR="0038640C" w:rsidRPr="00CC576A" w:rsidRDefault="0038640C" w:rsidP="0038640C">
            <w:pPr>
              <w:rPr>
                <w:rFonts w:cs="Calibri"/>
                <w:color w:val="000000"/>
                <w:szCs w:val="20"/>
              </w:rPr>
            </w:pPr>
            <w:r>
              <w:rPr>
                <w:rFonts w:cs="Calibri"/>
                <w:color w:val="000000"/>
                <w:szCs w:val="20"/>
              </w:rPr>
              <w:t>32</w:t>
            </w:r>
          </w:p>
        </w:tc>
        <w:tc>
          <w:tcPr>
            <w:tcW w:w="2238" w:type="dxa"/>
            <w:vAlign w:val="center"/>
          </w:tcPr>
          <w:p w14:paraId="45CE49B8" w14:textId="77777777" w:rsidR="0038640C" w:rsidRPr="00CC576A" w:rsidRDefault="0038640C" w:rsidP="0038640C">
            <w:pPr>
              <w:rPr>
                <w:rFonts w:cs="Calibri"/>
                <w:color w:val="000000"/>
                <w:szCs w:val="20"/>
              </w:rPr>
            </w:pPr>
            <w:r>
              <w:rPr>
                <w:rFonts w:cs="Calibri"/>
                <w:color w:val="000000"/>
                <w:szCs w:val="20"/>
              </w:rPr>
              <w:t>Nicci Simmonds</w:t>
            </w:r>
          </w:p>
        </w:tc>
        <w:tc>
          <w:tcPr>
            <w:tcW w:w="3969" w:type="dxa"/>
            <w:vAlign w:val="center"/>
          </w:tcPr>
          <w:p w14:paraId="15EF04B8" w14:textId="77777777" w:rsidR="0038640C" w:rsidRPr="00CC576A" w:rsidRDefault="0038640C" w:rsidP="0038640C">
            <w:pPr>
              <w:spacing w:before="60" w:after="60"/>
              <w:rPr>
                <w:rFonts w:cs="Calibri"/>
                <w:color w:val="000000"/>
                <w:szCs w:val="20"/>
              </w:rPr>
            </w:pPr>
            <w:r>
              <w:rPr>
                <w:rFonts w:cs="Calibri"/>
                <w:color w:val="000000"/>
                <w:szCs w:val="20"/>
              </w:rPr>
              <w:t>New Zealand High Commissioner</w:t>
            </w:r>
          </w:p>
        </w:tc>
        <w:tc>
          <w:tcPr>
            <w:tcW w:w="5091" w:type="dxa"/>
            <w:vAlign w:val="center"/>
          </w:tcPr>
          <w:p w14:paraId="0D94B767" w14:textId="77777777" w:rsidR="0038640C" w:rsidRPr="00CC576A" w:rsidRDefault="0038640C" w:rsidP="0038640C">
            <w:pPr>
              <w:spacing w:before="60" w:after="60"/>
              <w:rPr>
                <w:rFonts w:cs="Calibri"/>
                <w:color w:val="000000"/>
                <w:szCs w:val="20"/>
              </w:rPr>
            </w:pPr>
            <w:r>
              <w:rPr>
                <w:rFonts w:cs="Calibri"/>
                <w:color w:val="000000"/>
                <w:szCs w:val="20"/>
              </w:rPr>
              <w:t>New Zealand Ministry of Foreign Affairs and Trade</w:t>
            </w:r>
          </w:p>
        </w:tc>
        <w:tc>
          <w:tcPr>
            <w:tcW w:w="2966" w:type="dxa"/>
            <w:vAlign w:val="center"/>
          </w:tcPr>
          <w:p w14:paraId="1D4C9282" w14:textId="77777777" w:rsidR="0038640C" w:rsidRPr="00CC576A" w:rsidRDefault="0038640C" w:rsidP="0038640C">
            <w:pPr>
              <w:spacing w:before="60" w:after="60"/>
              <w:rPr>
                <w:rFonts w:cs="Calibri"/>
                <w:color w:val="000000"/>
                <w:szCs w:val="20"/>
              </w:rPr>
            </w:pPr>
            <w:r>
              <w:rPr>
                <w:rFonts w:cs="Calibri"/>
                <w:color w:val="000000"/>
                <w:szCs w:val="20"/>
              </w:rPr>
              <w:t>Sonya, Samiha, Rene, Helen</w:t>
            </w:r>
          </w:p>
        </w:tc>
      </w:tr>
      <w:tr w:rsidR="0038640C" w:rsidRPr="00CC576A" w14:paraId="74241FE0" w14:textId="77777777" w:rsidTr="004F0B78">
        <w:trPr>
          <w:trHeight w:val="290"/>
        </w:trPr>
        <w:tc>
          <w:tcPr>
            <w:tcW w:w="451" w:type="dxa"/>
            <w:vAlign w:val="center"/>
          </w:tcPr>
          <w:p w14:paraId="349AB74B" w14:textId="77777777" w:rsidR="0038640C" w:rsidRPr="00CC576A" w:rsidRDefault="0038640C" w:rsidP="0038640C">
            <w:pPr>
              <w:rPr>
                <w:rFonts w:cs="Calibri"/>
                <w:color w:val="000000"/>
                <w:szCs w:val="20"/>
              </w:rPr>
            </w:pPr>
            <w:r>
              <w:rPr>
                <w:rFonts w:cs="Calibri"/>
                <w:color w:val="000000"/>
                <w:szCs w:val="20"/>
              </w:rPr>
              <w:t>33</w:t>
            </w:r>
          </w:p>
        </w:tc>
        <w:tc>
          <w:tcPr>
            <w:tcW w:w="2238" w:type="dxa"/>
            <w:vAlign w:val="center"/>
          </w:tcPr>
          <w:p w14:paraId="2E769A41" w14:textId="77777777" w:rsidR="0038640C" w:rsidRPr="00CC576A" w:rsidRDefault="0038640C" w:rsidP="0038640C">
            <w:pPr>
              <w:rPr>
                <w:rFonts w:cs="Calibri"/>
                <w:color w:val="000000"/>
                <w:szCs w:val="20"/>
              </w:rPr>
            </w:pPr>
            <w:r>
              <w:rPr>
                <w:rFonts w:cs="Calibri"/>
                <w:color w:val="000000"/>
                <w:szCs w:val="20"/>
              </w:rPr>
              <w:t>Peniasi Nakautonga</w:t>
            </w:r>
          </w:p>
        </w:tc>
        <w:tc>
          <w:tcPr>
            <w:tcW w:w="3969" w:type="dxa"/>
            <w:vAlign w:val="center"/>
          </w:tcPr>
          <w:p w14:paraId="17087992" w14:textId="77777777" w:rsidR="0038640C" w:rsidRPr="00CC576A" w:rsidRDefault="0038640C" w:rsidP="0038640C">
            <w:pPr>
              <w:spacing w:before="60" w:after="60"/>
              <w:rPr>
                <w:rFonts w:cs="Calibri"/>
                <w:color w:val="000000"/>
                <w:szCs w:val="20"/>
              </w:rPr>
            </w:pPr>
            <w:r>
              <w:rPr>
                <w:rFonts w:cs="Calibri"/>
                <w:color w:val="000000"/>
                <w:szCs w:val="20"/>
              </w:rPr>
              <w:t>Director for Lands and Survey</w:t>
            </w:r>
          </w:p>
        </w:tc>
        <w:tc>
          <w:tcPr>
            <w:tcW w:w="5091" w:type="dxa"/>
            <w:vAlign w:val="center"/>
          </w:tcPr>
          <w:p w14:paraId="3B2C943B" w14:textId="77777777" w:rsidR="0038640C" w:rsidRPr="00CC576A" w:rsidRDefault="0038640C" w:rsidP="0038640C">
            <w:pPr>
              <w:spacing w:before="60" w:after="60"/>
              <w:rPr>
                <w:rFonts w:cs="Calibri"/>
                <w:color w:val="000000"/>
                <w:szCs w:val="20"/>
              </w:rPr>
            </w:pPr>
            <w:r>
              <w:rPr>
                <w:rFonts w:cs="Calibri"/>
                <w:color w:val="000000"/>
                <w:szCs w:val="20"/>
              </w:rPr>
              <w:t>Department for Lands and Survey</w:t>
            </w:r>
          </w:p>
        </w:tc>
        <w:tc>
          <w:tcPr>
            <w:tcW w:w="2966" w:type="dxa"/>
            <w:vAlign w:val="center"/>
          </w:tcPr>
          <w:p w14:paraId="383F6C22"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r w:rsidR="0038640C" w:rsidRPr="00CC576A" w14:paraId="267DD4E6" w14:textId="77777777" w:rsidTr="004F0B78">
        <w:trPr>
          <w:trHeight w:val="290"/>
        </w:trPr>
        <w:tc>
          <w:tcPr>
            <w:tcW w:w="451" w:type="dxa"/>
            <w:vAlign w:val="center"/>
          </w:tcPr>
          <w:p w14:paraId="28E7D82D" w14:textId="77777777" w:rsidR="0038640C" w:rsidRPr="00CC576A" w:rsidRDefault="0038640C" w:rsidP="0038640C">
            <w:pPr>
              <w:rPr>
                <w:rFonts w:cs="Calibri"/>
                <w:color w:val="000000"/>
                <w:szCs w:val="20"/>
              </w:rPr>
            </w:pPr>
            <w:r>
              <w:rPr>
                <w:rFonts w:cs="Calibri"/>
                <w:color w:val="000000"/>
                <w:szCs w:val="20"/>
              </w:rPr>
              <w:t>34</w:t>
            </w:r>
          </w:p>
        </w:tc>
        <w:tc>
          <w:tcPr>
            <w:tcW w:w="2238" w:type="dxa"/>
            <w:vAlign w:val="center"/>
          </w:tcPr>
          <w:p w14:paraId="615CFD4E" w14:textId="77777777" w:rsidR="0038640C" w:rsidRPr="00CC576A" w:rsidRDefault="0038640C" w:rsidP="0038640C">
            <w:pPr>
              <w:rPr>
                <w:rFonts w:cs="Calibri"/>
                <w:color w:val="000000"/>
                <w:szCs w:val="20"/>
              </w:rPr>
            </w:pPr>
            <w:r>
              <w:rPr>
                <w:rFonts w:cs="Calibri"/>
                <w:color w:val="000000"/>
                <w:szCs w:val="20"/>
              </w:rPr>
              <w:t>Peter Jacob</w:t>
            </w:r>
          </w:p>
        </w:tc>
        <w:tc>
          <w:tcPr>
            <w:tcW w:w="3969" w:type="dxa"/>
            <w:vAlign w:val="center"/>
          </w:tcPr>
          <w:p w14:paraId="476E73B3" w14:textId="77777777" w:rsidR="0038640C" w:rsidRPr="00CC576A" w:rsidRDefault="0038640C" w:rsidP="0038640C">
            <w:pPr>
              <w:spacing w:before="60" w:after="60"/>
              <w:rPr>
                <w:rFonts w:cs="Calibri"/>
                <w:color w:val="000000"/>
                <w:szCs w:val="20"/>
              </w:rPr>
            </w:pPr>
            <w:r>
              <w:rPr>
                <w:rFonts w:cs="Calibri"/>
                <w:color w:val="000000"/>
                <w:szCs w:val="20"/>
              </w:rPr>
              <w:t>President’s Chief of Staff / Chairman</w:t>
            </w:r>
          </w:p>
        </w:tc>
        <w:tc>
          <w:tcPr>
            <w:tcW w:w="5091" w:type="dxa"/>
            <w:vAlign w:val="center"/>
          </w:tcPr>
          <w:p w14:paraId="7359761D" w14:textId="77777777" w:rsidR="0038640C" w:rsidRPr="00CC576A" w:rsidRDefault="0038640C" w:rsidP="0038640C">
            <w:pPr>
              <w:spacing w:before="60" w:after="60"/>
              <w:rPr>
                <w:rFonts w:cs="Calibri"/>
                <w:color w:val="000000"/>
                <w:szCs w:val="20"/>
              </w:rPr>
            </w:pPr>
            <w:r>
              <w:rPr>
                <w:rFonts w:cs="Calibri"/>
                <w:color w:val="000000"/>
                <w:szCs w:val="20"/>
              </w:rPr>
              <w:t>Nauru Rehabilitation Corporation</w:t>
            </w:r>
          </w:p>
        </w:tc>
        <w:tc>
          <w:tcPr>
            <w:tcW w:w="2966" w:type="dxa"/>
            <w:vAlign w:val="center"/>
          </w:tcPr>
          <w:p w14:paraId="4A151971"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r w:rsidR="0038640C" w:rsidRPr="00CC576A" w14:paraId="7823C0D8" w14:textId="77777777" w:rsidTr="004F0B78">
        <w:trPr>
          <w:trHeight w:val="290"/>
        </w:trPr>
        <w:tc>
          <w:tcPr>
            <w:tcW w:w="451" w:type="dxa"/>
            <w:vAlign w:val="center"/>
          </w:tcPr>
          <w:p w14:paraId="445D5505" w14:textId="77777777" w:rsidR="0038640C" w:rsidRPr="00CC576A" w:rsidRDefault="0038640C" w:rsidP="0038640C">
            <w:pPr>
              <w:rPr>
                <w:rFonts w:cs="Calibri"/>
                <w:color w:val="000000"/>
                <w:szCs w:val="20"/>
              </w:rPr>
            </w:pPr>
            <w:r>
              <w:rPr>
                <w:rFonts w:cs="Calibri"/>
                <w:color w:val="000000"/>
                <w:szCs w:val="20"/>
              </w:rPr>
              <w:t>35</w:t>
            </w:r>
          </w:p>
        </w:tc>
        <w:tc>
          <w:tcPr>
            <w:tcW w:w="2238" w:type="dxa"/>
            <w:vAlign w:val="center"/>
          </w:tcPr>
          <w:p w14:paraId="4B937602" w14:textId="77777777" w:rsidR="0038640C" w:rsidRPr="00CC576A" w:rsidRDefault="0038640C" w:rsidP="0038640C">
            <w:pPr>
              <w:rPr>
                <w:rFonts w:cs="Calibri"/>
                <w:color w:val="000000"/>
                <w:szCs w:val="20"/>
              </w:rPr>
            </w:pPr>
            <w:r>
              <w:rPr>
                <w:rFonts w:cs="Calibri"/>
                <w:color w:val="000000"/>
                <w:szCs w:val="20"/>
              </w:rPr>
              <w:t>Peter Kelly</w:t>
            </w:r>
          </w:p>
        </w:tc>
        <w:tc>
          <w:tcPr>
            <w:tcW w:w="3969" w:type="dxa"/>
            <w:vAlign w:val="center"/>
          </w:tcPr>
          <w:p w14:paraId="732318B8" w14:textId="77777777" w:rsidR="0038640C" w:rsidRPr="00CC576A" w:rsidRDefault="0038640C" w:rsidP="0038640C">
            <w:pPr>
              <w:spacing w:before="60" w:after="60"/>
              <w:rPr>
                <w:rFonts w:cs="Calibri"/>
                <w:color w:val="000000"/>
                <w:szCs w:val="20"/>
              </w:rPr>
            </w:pPr>
            <w:r>
              <w:rPr>
                <w:rFonts w:cs="Calibri"/>
                <w:color w:val="000000"/>
                <w:szCs w:val="20"/>
              </w:rPr>
              <w:t>Infrastructure Advisor</w:t>
            </w:r>
          </w:p>
        </w:tc>
        <w:tc>
          <w:tcPr>
            <w:tcW w:w="5091" w:type="dxa"/>
            <w:vAlign w:val="center"/>
          </w:tcPr>
          <w:p w14:paraId="24783D90" w14:textId="77777777" w:rsidR="0038640C" w:rsidRPr="00CC576A" w:rsidRDefault="0038640C" w:rsidP="0038640C">
            <w:pPr>
              <w:spacing w:before="60" w:after="60"/>
              <w:rPr>
                <w:rFonts w:cs="Calibri"/>
                <w:color w:val="000000"/>
                <w:szCs w:val="20"/>
              </w:rPr>
            </w:pPr>
            <w:r>
              <w:rPr>
                <w:rFonts w:cs="Calibri"/>
                <w:color w:val="000000"/>
                <w:szCs w:val="20"/>
              </w:rPr>
              <w:t>Department of Foreign Affairs and Trade</w:t>
            </w:r>
          </w:p>
        </w:tc>
        <w:tc>
          <w:tcPr>
            <w:tcW w:w="2966" w:type="dxa"/>
            <w:vAlign w:val="center"/>
          </w:tcPr>
          <w:p w14:paraId="33DE7463" w14:textId="77777777" w:rsidR="0038640C" w:rsidRPr="00CC576A" w:rsidRDefault="0038640C" w:rsidP="0038640C">
            <w:pPr>
              <w:spacing w:before="60" w:after="60"/>
              <w:rPr>
                <w:rFonts w:cs="Calibri"/>
                <w:color w:val="000000"/>
                <w:szCs w:val="20"/>
              </w:rPr>
            </w:pPr>
            <w:r>
              <w:rPr>
                <w:rFonts w:cs="Calibri"/>
                <w:color w:val="000000"/>
                <w:szCs w:val="20"/>
              </w:rPr>
              <w:t>Sonya</w:t>
            </w:r>
          </w:p>
        </w:tc>
      </w:tr>
      <w:tr w:rsidR="0038640C" w:rsidRPr="00CC576A" w14:paraId="188F07A8" w14:textId="77777777" w:rsidTr="004F0B78">
        <w:trPr>
          <w:trHeight w:val="290"/>
        </w:trPr>
        <w:tc>
          <w:tcPr>
            <w:tcW w:w="451" w:type="dxa"/>
            <w:vAlign w:val="center"/>
          </w:tcPr>
          <w:p w14:paraId="0EAA183B" w14:textId="77777777" w:rsidR="0038640C" w:rsidRPr="00CC576A" w:rsidRDefault="0038640C" w:rsidP="0038640C">
            <w:pPr>
              <w:rPr>
                <w:rFonts w:cs="Calibri"/>
                <w:color w:val="000000"/>
                <w:szCs w:val="20"/>
              </w:rPr>
            </w:pPr>
            <w:r>
              <w:rPr>
                <w:rFonts w:cs="Calibri"/>
                <w:color w:val="000000"/>
                <w:szCs w:val="20"/>
              </w:rPr>
              <w:t>36</w:t>
            </w:r>
          </w:p>
        </w:tc>
        <w:tc>
          <w:tcPr>
            <w:tcW w:w="2238" w:type="dxa"/>
            <w:vAlign w:val="center"/>
          </w:tcPr>
          <w:p w14:paraId="2E70495B" w14:textId="77777777" w:rsidR="0038640C" w:rsidRPr="00CC576A" w:rsidRDefault="0038640C" w:rsidP="0038640C">
            <w:pPr>
              <w:rPr>
                <w:rFonts w:cs="Calibri"/>
                <w:color w:val="000000"/>
                <w:szCs w:val="20"/>
              </w:rPr>
            </w:pPr>
            <w:r>
              <w:rPr>
                <w:rFonts w:cs="Calibri"/>
                <w:color w:val="000000"/>
                <w:szCs w:val="20"/>
              </w:rPr>
              <w:t>Philippe Bergeron</w:t>
            </w:r>
          </w:p>
        </w:tc>
        <w:tc>
          <w:tcPr>
            <w:tcW w:w="3969" w:type="dxa"/>
            <w:vAlign w:val="center"/>
          </w:tcPr>
          <w:p w14:paraId="24BAEB32" w14:textId="77777777" w:rsidR="0038640C" w:rsidRPr="00CC576A" w:rsidRDefault="0038640C" w:rsidP="0038640C">
            <w:pPr>
              <w:spacing w:before="60" w:after="60"/>
              <w:rPr>
                <w:rFonts w:cs="Calibri"/>
                <w:color w:val="000000"/>
                <w:szCs w:val="20"/>
              </w:rPr>
            </w:pPr>
            <w:r>
              <w:rPr>
                <w:rFonts w:cs="Calibri"/>
                <w:color w:val="000000"/>
                <w:szCs w:val="20"/>
              </w:rPr>
              <w:t>Consultant</w:t>
            </w:r>
          </w:p>
        </w:tc>
        <w:tc>
          <w:tcPr>
            <w:tcW w:w="5091" w:type="dxa"/>
            <w:vAlign w:val="center"/>
          </w:tcPr>
          <w:p w14:paraId="31DDAD6A" w14:textId="77777777" w:rsidR="0038640C" w:rsidRPr="00CC576A" w:rsidRDefault="0038640C" w:rsidP="0038640C">
            <w:pPr>
              <w:spacing w:before="60" w:after="60"/>
              <w:rPr>
                <w:rFonts w:cs="Calibri"/>
                <w:color w:val="000000"/>
                <w:szCs w:val="20"/>
              </w:rPr>
            </w:pPr>
            <w:r>
              <w:rPr>
                <w:rFonts w:cs="Calibri"/>
                <w:color w:val="000000"/>
                <w:szCs w:val="20"/>
              </w:rPr>
              <w:t>Pacific Region Infrastructure Facility</w:t>
            </w:r>
          </w:p>
        </w:tc>
        <w:tc>
          <w:tcPr>
            <w:tcW w:w="2966" w:type="dxa"/>
            <w:vAlign w:val="center"/>
          </w:tcPr>
          <w:p w14:paraId="20528397"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r w:rsidR="0038640C" w:rsidRPr="00CC576A" w14:paraId="6CC9CDEE" w14:textId="77777777" w:rsidTr="004F0B78">
        <w:trPr>
          <w:trHeight w:val="290"/>
        </w:trPr>
        <w:tc>
          <w:tcPr>
            <w:tcW w:w="451" w:type="dxa"/>
            <w:vAlign w:val="center"/>
          </w:tcPr>
          <w:p w14:paraId="42257CAA" w14:textId="77777777" w:rsidR="0038640C" w:rsidRPr="00CC576A" w:rsidRDefault="0038640C" w:rsidP="0038640C">
            <w:pPr>
              <w:rPr>
                <w:rFonts w:cs="Calibri"/>
                <w:color w:val="000000"/>
                <w:szCs w:val="20"/>
              </w:rPr>
            </w:pPr>
            <w:r>
              <w:rPr>
                <w:rFonts w:cs="Calibri"/>
                <w:color w:val="000000"/>
                <w:szCs w:val="20"/>
              </w:rPr>
              <w:t>37</w:t>
            </w:r>
          </w:p>
        </w:tc>
        <w:tc>
          <w:tcPr>
            <w:tcW w:w="2238" w:type="dxa"/>
            <w:vAlign w:val="center"/>
          </w:tcPr>
          <w:p w14:paraId="332C6E49" w14:textId="77777777" w:rsidR="0038640C" w:rsidRPr="00CC576A" w:rsidRDefault="0038640C" w:rsidP="0038640C">
            <w:pPr>
              <w:rPr>
                <w:rFonts w:cs="Calibri"/>
                <w:color w:val="000000"/>
                <w:szCs w:val="20"/>
              </w:rPr>
            </w:pPr>
            <w:r>
              <w:rPr>
                <w:rFonts w:cs="Calibri"/>
                <w:color w:val="000000"/>
                <w:szCs w:val="20"/>
              </w:rPr>
              <w:t>Rayong Itsimaera</w:t>
            </w:r>
          </w:p>
        </w:tc>
        <w:tc>
          <w:tcPr>
            <w:tcW w:w="3969" w:type="dxa"/>
            <w:vAlign w:val="center"/>
          </w:tcPr>
          <w:p w14:paraId="4A8FA8E8" w14:textId="77777777" w:rsidR="0038640C" w:rsidRPr="00CC576A" w:rsidRDefault="0038640C" w:rsidP="0038640C">
            <w:pPr>
              <w:spacing w:before="60" w:after="60"/>
              <w:rPr>
                <w:rFonts w:cs="Calibri"/>
                <w:color w:val="000000"/>
                <w:szCs w:val="20"/>
              </w:rPr>
            </w:pPr>
            <w:r>
              <w:rPr>
                <w:rFonts w:cs="Calibri"/>
                <w:color w:val="000000"/>
                <w:szCs w:val="20"/>
              </w:rPr>
              <w:t>Secretary for Health</w:t>
            </w:r>
          </w:p>
        </w:tc>
        <w:tc>
          <w:tcPr>
            <w:tcW w:w="5091" w:type="dxa"/>
            <w:vAlign w:val="center"/>
          </w:tcPr>
          <w:p w14:paraId="044FA394" w14:textId="77777777" w:rsidR="0038640C" w:rsidRPr="00CC576A" w:rsidRDefault="0038640C" w:rsidP="0038640C">
            <w:pPr>
              <w:spacing w:before="60" w:after="60"/>
              <w:rPr>
                <w:rFonts w:cs="Calibri"/>
                <w:color w:val="000000"/>
                <w:szCs w:val="20"/>
              </w:rPr>
            </w:pPr>
            <w:r>
              <w:rPr>
                <w:rFonts w:cs="Calibri"/>
                <w:color w:val="000000"/>
                <w:szCs w:val="20"/>
              </w:rPr>
              <w:t>Department of Health</w:t>
            </w:r>
          </w:p>
        </w:tc>
        <w:tc>
          <w:tcPr>
            <w:tcW w:w="2966" w:type="dxa"/>
            <w:vAlign w:val="center"/>
          </w:tcPr>
          <w:p w14:paraId="7E430954" w14:textId="77777777" w:rsidR="0038640C" w:rsidRPr="00CC576A" w:rsidRDefault="0038640C" w:rsidP="0038640C">
            <w:pPr>
              <w:spacing w:before="60" w:after="60"/>
              <w:rPr>
                <w:rFonts w:cs="Calibri"/>
                <w:color w:val="000000"/>
                <w:szCs w:val="20"/>
              </w:rPr>
            </w:pPr>
            <w:r>
              <w:rPr>
                <w:rFonts w:cs="Calibri"/>
                <w:color w:val="000000"/>
                <w:szCs w:val="20"/>
              </w:rPr>
              <w:t>Sonya, Rene</w:t>
            </w:r>
          </w:p>
        </w:tc>
      </w:tr>
      <w:tr w:rsidR="0038640C" w:rsidRPr="00CC576A" w14:paraId="6CC6DAF0" w14:textId="77777777" w:rsidTr="004F0B78">
        <w:trPr>
          <w:trHeight w:val="290"/>
        </w:trPr>
        <w:tc>
          <w:tcPr>
            <w:tcW w:w="451" w:type="dxa"/>
            <w:vAlign w:val="center"/>
          </w:tcPr>
          <w:p w14:paraId="14EE0B64" w14:textId="77777777" w:rsidR="0038640C" w:rsidRPr="00CC576A" w:rsidRDefault="0038640C" w:rsidP="0038640C">
            <w:pPr>
              <w:rPr>
                <w:rFonts w:cs="Calibri"/>
                <w:color w:val="000000"/>
                <w:szCs w:val="20"/>
              </w:rPr>
            </w:pPr>
            <w:r>
              <w:rPr>
                <w:rFonts w:cs="Calibri"/>
                <w:color w:val="000000"/>
                <w:szCs w:val="20"/>
              </w:rPr>
              <w:t>38</w:t>
            </w:r>
          </w:p>
        </w:tc>
        <w:tc>
          <w:tcPr>
            <w:tcW w:w="2238" w:type="dxa"/>
            <w:vAlign w:val="center"/>
          </w:tcPr>
          <w:p w14:paraId="0B37AC69" w14:textId="77777777" w:rsidR="0038640C" w:rsidRPr="00CC576A" w:rsidRDefault="0038640C" w:rsidP="0038640C">
            <w:pPr>
              <w:rPr>
                <w:rFonts w:cs="Calibri"/>
                <w:color w:val="000000"/>
                <w:szCs w:val="20"/>
              </w:rPr>
            </w:pPr>
            <w:r>
              <w:rPr>
                <w:rFonts w:cs="Calibri"/>
                <w:color w:val="000000"/>
                <w:szCs w:val="20"/>
              </w:rPr>
              <w:t>Reagan Moses</w:t>
            </w:r>
          </w:p>
        </w:tc>
        <w:tc>
          <w:tcPr>
            <w:tcW w:w="3969" w:type="dxa"/>
            <w:vAlign w:val="center"/>
          </w:tcPr>
          <w:p w14:paraId="71DDEAA5" w14:textId="77777777" w:rsidR="0038640C" w:rsidRPr="00CC576A" w:rsidRDefault="0038640C" w:rsidP="0038640C">
            <w:pPr>
              <w:spacing w:before="60" w:after="60"/>
              <w:rPr>
                <w:rFonts w:cs="Calibri"/>
                <w:color w:val="000000"/>
                <w:szCs w:val="20"/>
              </w:rPr>
            </w:pPr>
            <w:r>
              <w:rPr>
                <w:rFonts w:cs="Calibri"/>
                <w:color w:val="000000"/>
                <w:szCs w:val="20"/>
              </w:rPr>
              <w:t>Assistant Secretary</w:t>
            </w:r>
          </w:p>
        </w:tc>
        <w:tc>
          <w:tcPr>
            <w:tcW w:w="5091" w:type="dxa"/>
            <w:vAlign w:val="center"/>
          </w:tcPr>
          <w:p w14:paraId="697FA61D" w14:textId="77777777" w:rsidR="0038640C" w:rsidRPr="00CC576A" w:rsidRDefault="0038640C" w:rsidP="0038640C">
            <w:pPr>
              <w:spacing w:before="60" w:after="60"/>
              <w:rPr>
                <w:rFonts w:cs="Calibri"/>
                <w:color w:val="000000"/>
                <w:szCs w:val="20"/>
              </w:rPr>
            </w:pPr>
            <w:r>
              <w:rPr>
                <w:rFonts w:cs="Calibri"/>
                <w:color w:val="000000"/>
                <w:szCs w:val="20"/>
              </w:rPr>
              <w:t>Department of Commerce Industry and Environment</w:t>
            </w:r>
          </w:p>
        </w:tc>
        <w:tc>
          <w:tcPr>
            <w:tcW w:w="2966" w:type="dxa"/>
            <w:vAlign w:val="center"/>
          </w:tcPr>
          <w:p w14:paraId="61148F35"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r w:rsidR="0038640C" w:rsidRPr="00CC576A" w14:paraId="48FFCB4B" w14:textId="77777777" w:rsidTr="004F0B78">
        <w:trPr>
          <w:trHeight w:val="290"/>
        </w:trPr>
        <w:tc>
          <w:tcPr>
            <w:tcW w:w="451" w:type="dxa"/>
            <w:vAlign w:val="center"/>
          </w:tcPr>
          <w:p w14:paraId="23CA1E9A" w14:textId="77777777" w:rsidR="0038640C" w:rsidRPr="00CC576A" w:rsidRDefault="0038640C" w:rsidP="0038640C">
            <w:pPr>
              <w:rPr>
                <w:rFonts w:cs="Calibri"/>
                <w:color w:val="000000"/>
                <w:szCs w:val="20"/>
              </w:rPr>
            </w:pPr>
            <w:r>
              <w:rPr>
                <w:rFonts w:cs="Calibri"/>
                <w:color w:val="000000"/>
                <w:szCs w:val="20"/>
              </w:rPr>
              <w:t>39</w:t>
            </w:r>
          </w:p>
        </w:tc>
        <w:tc>
          <w:tcPr>
            <w:tcW w:w="2238" w:type="dxa"/>
            <w:vAlign w:val="center"/>
          </w:tcPr>
          <w:p w14:paraId="1C04C5B3" w14:textId="77777777" w:rsidR="0038640C" w:rsidRPr="00CC576A" w:rsidRDefault="0038640C" w:rsidP="0038640C">
            <w:pPr>
              <w:rPr>
                <w:rFonts w:cs="Calibri"/>
                <w:color w:val="000000"/>
                <w:szCs w:val="20"/>
              </w:rPr>
            </w:pPr>
            <w:r>
              <w:rPr>
                <w:rFonts w:cs="Calibri"/>
                <w:color w:val="000000"/>
                <w:szCs w:val="20"/>
              </w:rPr>
              <w:t>Rene Dube</w:t>
            </w:r>
          </w:p>
        </w:tc>
        <w:tc>
          <w:tcPr>
            <w:tcW w:w="3969" w:type="dxa"/>
            <w:vAlign w:val="center"/>
          </w:tcPr>
          <w:p w14:paraId="7E213000" w14:textId="77777777" w:rsidR="0038640C" w:rsidRPr="00CC576A" w:rsidRDefault="0038640C" w:rsidP="0038640C">
            <w:pPr>
              <w:spacing w:before="60" w:after="60"/>
              <w:rPr>
                <w:rFonts w:cs="Calibri"/>
                <w:color w:val="000000"/>
                <w:szCs w:val="20"/>
              </w:rPr>
            </w:pPr>
            <w:r>
              <w:rPr>
                <w:rFonts w:cs="Calibri"/>
                <w:color w:val="000000"/>
                <w:szCs w:val="20"/>
              </w:rPr>
              <w:t>Program Manager for Infrastructure and Health</w:t>
            </w:r>
          </w:p>
        </w:tc>
        <w:tc>
          <w:tcPr>
            <w:tcW w:w="5091" w:type="dxa"/>
            <w:vAlign w:val="center"/>
          </w:tcPr>
          <w:p w14:paraId="5A3B773F" w14:textId="77777777" w:rsidR="0038640C" w:rsidRPr="00CC576A" w:rsidRDefault="0038640C" w:rsidP="0038640C">
            <w:pPr>
              <w:spacing w:before="60" w:after="60"/>
              <w:rPr>
                <w:rFonts w:cs="Calibri"/>
                <w:color w:val="000000"/>
                <w:szCs w:val="20"/>
              </w:rPr>
            </w:pPr>
            <w:r>
              <w:rPr>
                <w:rFonts w:cs="Calibri"/>
                <w:color w:val="000000"/>
                <w:szCs w:val="20"/>
              </w:rPr>
              <w:t>Department of Foreign Affairs and Trade</w:t>
            </w:r>
          </w:p>
        </w:tc>
        <w:tc>
          <w:tcPr>
            <w:tcW w:w="2966" w:type="dxa"/>
            <w:vAlign w:val="center"/>
          </w:tcPr>
          <w:p w14:paraId="365A807B" w14:textId="77777777" w:rsidR="0038640C" w:rsidRPr="00CC576A" w:rsidRDefault="0038640C" w:rsidP="0038640C">
            <w:pPr>
              <w:spacing w:before="60" w:after="60"/>
              <w:rPr>
                <w:rFonts w:cs="Calibri"/>
                <w:color w:val="000000"/>
                <w:szCs w:val="20"/>
              </w:rPr>
            </w:pPr>
            <w:r>
              <w:rPr>
                <w:rFonts w:cs="Calibri"/>
                <w:color w:val="000000"/>
                <w:szCs w:val="20"/>
              </w:rPr>
              <w:t>Sonya, Samiha</w:t>
            </w:r>
          </w:p>
        </w:tc>
      </w:tr>
      <w:tr w:rsidR="0038640C" w:rsidRPr="00CC576A" w14:paraId="5F58431F" w14:textId="77777777" w:rsidTr="004F0B78">
        <w:trPr>
          <w:trHeight w:val="290"/>
        </w:trPr>
        <w:tc>
          <w:tcPr>
            <w:tcW w:w="451" w:type="dxa"/>
            <w:vAlign w:val="center"/>
          </w:tcPr>
          <w:p w14:paraId="1826E992" w14:textId="77777777" w:rsidR="0038640C" w:rsidRPr="00CC576A" w:rsidRDefault="0038640C" w:rsidP="0038640C">
            <w:pPr>
              <w:rPr>
                <w:rFonts w:cs="Calibri"/>
                <w:color w:val="000000"/>
                <w:szCs w:val="20"/>
              </w:rPr>
            </w:pPr>
            <w:r>
              <w:rPr>
                <w:rFonts w:cs="Calibri"/>
                <w:color w:val="000000"/>
                <w:szCs w:val="20"/>
              </w:rPr>
              <w:t>40</w:t>
            </w:r>
          </w:p>
        </w:tc>
        <w:tc>
          <w:tcPr>
            <w:tcW w:w="2238" w:type="dxa"/>
            <w:vAlign w:val="center"/>
          </w:tcPr>
          <w:p w14:paraId="27DB3A0B" w14:textId="77777777" w:rsidR="0038640C" w:rsidRPr="00CC576A" w:rsidRDefault="0038640C" w:rsidP="0038640C">
            <w:pPr>
              <w:rPr>
                <w:rFonts w:cs="Calibri"/>
                <w:color w:val="000000"/>
                <w:szCs w:val="20"/>
              </w:rPr>
            </w:pPr>
            <w:r>
              <w:rPr>
                <w:rFonts w:cs="Calibri"/>
                <w:color w:val="000000"/>
                <w:szCs w:val="20"/>
              </w:rPr>
              <w:t>Rhys Gwilliam</w:t>
            </w:r>
          </w:p>
        </w:tc>
        <w:tc>
          <w:tcPr>
            <w:tcW w:w="3969" w:type="dxa"/>
            <w:vAlign w:val="center"/>
          </w:tcPr>
          <w:p w14:paraId="204E6DB9" w14:textId="77777777" w:rsidR="0038640C" w:rsidRPr="00CC576A" w:rsidRDefault="0038640C" w:rsidP="0038640C">
            <w:pPr>
              <w:spacing w:before="60" w:after="60"/>
              <w:rPr>
                <w:rFonts w:cs="Calibri"/>
                <w:color w:val="000000"/>
                <w:szCs w:val="20"/>
              </w:rPr>
            </w:pPr>
            <w:r>
              <w:rPr>
                <w:rFonts w:cs="Calibri"/>
                <w:color w:val="000000"/>
                <w:szCs w:val="20"/>
              </w:rPr>
              <w:t>Consultant</w:t>
            </w:r>
          </w:p>
        </w:tc>
        <w:tc>
          <w:tcPr>
            <w:tcW w:w="5091" w:type="dxa"/>
            <w:vAlign w:val="center"/>
          </w:tcPr>
          <w:p w14:paraId="7BD40EBF" w14:textId="77777777" w:rsidR="0038640C" w:rsidRPr="00CC576A" w:rsidRDefault="0038640C" w:rsidP="0038640C">
            <w:pPr>
              <w:spacing w:before="60" w:after="60"/>
              <w:rPr>
                <w:rFonts w:cs="Calibri"/>
                <w:color w:val="000000"/>
                <w:szCs w:val="20"/>
              </w:rPr>
            </w:pPr>
            <w:r>
              <w:rPr>
                <w:rFonts w:cs="Calibri"/>
                <w:color w:val="000000"/>
                <w:szCs w:val="20"/>
              </w:rPr>
              <w:t>Alexander &amp; Lloyd</w:t>
            </w:r>
          </w:p>
        </w:tc>
        <w:tc>
          <w:tcPr>
            <w:tcW w:w="2966" w:type="dxa"/>
            <w:vAlign w:val="center"/>
          </w:tcPr>
          <w:p w14:paraId="1146AC9A" w14:textId="77777777" w:rsidR="0038640C" w:rsidRPr="00CC576A" w:rsidRDefault="0038640C" w:rsidP="0038640C">
            <w:pPr>
              <w:spacing w:before="60" w:after="60"/>
              <w:rPr>
                <w:rFonts w:cs="Calibri"/>
                <w:color w:val="000000"/>
                <w:szCs w:val="20"/>
              </w:rPr>
            </w:pPr>
            <w:r>
              <w:rPr>
                <w:rFonts w:cs="Calibri"/>
                <w:color w:val="000000"/>
                <w:szCs w:val="20"/>
              </w:rPr>
              <w:t>Sonya</w:t>
            </w:r>
          </w:p>
        </w:tc>
      </w:tr>
      <w:tr w:rsidR="0038640C" w:rsidRPr="00CC576A" w14:paraId="5D025D2C" w14:textId="77777777" w:rsidTr="004F0B78">
        <w:trPr>
          <w:trHeight w:val="290"/>
        </w:trPr>
        <w:tc>
          <w:tcPr>
            <w:tcW w:w="451" w:type="dxa"/>
            <w:vAlign w:val="center"/>
          </w:tcPr>
          <w:p w14:paraId="5813D86C" w14:textId="77777777" w:rsidR="0038640C" w:rsidRPr="00CC576A" w:rsidRDefault="0038640C" w:rsidP="0038640C">
            <w:pPr>
              <w:rPr>
                <w:rFonts w:cs="Calibri"/>
                <w:color w:val="000000"/>
                <w:szCs w:val="20"/>
              </w:rPr>
            </w:pPr>
            <w:r>
              <w:rPr>
                <w:rFonts w:cs="Calibri"/>
                <w:color w:val="000000"/>
                <w:szCs w:val="20"/>
              </w:rPr>
              <w:t>41</w:t>
            </w:r>
          </w:p>
        </w:tc>
        <w:tc>
          <w:tcPr>
            <w:tcW w:w="2238" w:type="dxa"/>
            <w:vAlign w:val="center"/>
          </w:tcPr>
          <w:p w14:paraId="0C62911D" w14:textId="77777777" w:rsidR="0038640C" w:rsidRPr="00CC576A" w:rsidRDefault="0038640C" w:rsidP="0038640C">
            <w:pPr>
              <w:rPr>
                <w:rFonts w:cs="Calibri"/>
                <w:color w:val="000000"/>
                <w:szCs w:val="20"/>
              </w:rPr>
            </w:pPr>
            <w:r>
              <w:rPr>
                <w:rFonts w:cs="Calibri"/>
                <w:color w:val="000000"/>
                <w:szCs w:val="20"/>
              </w:rPr>
              <w:t>Richard Lewis</w:t>
            </w:r>
          </w:p>
        </w:tc>
        <w:tc>
          <w:tcPr>
            <w:tcW w:w="3969" w:type="dxa"/>
            <w:vAlign w:val="center"/>
          </w:tcPr>
          <w:p w14:paraId="3C65ABE6" w14:textId="77777777" w:rsidR="0038640C" w:rsidRPr="00CC576A" w:rsidRDefault="0038640C" w:rsidP="0038640C">
            <w:pPr>
              <w:spacing w:before="60" w:after="60"/>
              <w:rPr>
                <w:rFonts w:cs="Calibri"/>
                <w:color w:val="000000"/>
                <w:szCs w:val="20"/>
              </w:rPr>
            </w:pPr>
            <w:r>
              <w:rPr>
                <w:rFonts w:cs="Calibri"/>
                <w:color w:val="000000"/>
                <w:szCs w:val="20"/>
              </w:rPr>
              <w:t>Vice Principal</w:t>
            </w:r>
          </w:p>
        </w:tc>
        <w:tc>
          <w:tcPr>
            <w:tcW w:w="5091" w:type="dxa"/>
            <w:vAlign w:val="center"/>
          </w:tcPr>
          <w:p w14:paraId="23807065" w14:textId="77777777" w:rsidR="0038640C" w:rsidRPr="00CC576A" w:rsidRDefault="0038640C" w:rsidP="0038640C">
            <w:pPr>
              <w:spacing w:before="60" w:after="60"/>
              <w:rPr>
                <w:rFonts w:cs="Calibri"/>
                <w:color w:val="000000"/>
                <w:szCs w:val="20"/>
              </w:rPr>
            </w:pPr>
            <w:r>
              <w:rPr>
                <w:rFonts w:cs="Calibri"/>
                <w:color w:val="000000"/>
                <w:szCs w:val="20"/>
              </w:rPr>
              <w:t>Nauru Secondary School</w:t>
            </w:r>
          </w:p>
        </w:tc>
        <w:tc>
          <w:tcPr>
            <w:tcW w:w="2966" w:type="dxa"/>
            <w:vAlign w:val="center"/>
          </w:tcPr>
          <w:p w14:paraId="1164A45E" w14:textId="77777777" w:rsidR="0038640C" w:rsidRPr="00CC576A" w:rsidRDefault="0038640C" w:rsidP="0038640C">
            <w:pPr>
              <w:spacing w:before="60" w:after="60"/>
              <w:rPr>
                <w:rFonts w:cs="Calibri"/>
                <w:color w:val="000000"/>
                <w:szCs w:val="20"/>
              </w:rPr>
            </w:pPr>
            <w:r>
              <w:rPr>
                <w:rFonts w:cs="Calibri"/>
                <w:color w:val="000000"/>
                <w:szCs w:val="20"/>
              </w:rPr>
              <w:t>Sonya, Samiha, Rene, Helen</w:t>
            </w:r>
          </w:p>
        </w:tc>
      </w:tr>
      <w:tr w:rsidR="0038640C" w:rsidRPr="00CC576A" w14:paraId="707CE80D" w14:textId="77777777" w:rsidTr="004F0B78">
        <w:trPr>
          <w:trHeight w:val="290"/>
        </w:trPr>
        <w:tc>
          <w:tcPr>
            <w:tcW w:w="451" w:type="dxa"/>
            <w:vAlign w:val="center"/>
          </w:tcPr>
          <w:p w14:paraId="3EBD5593" w14:textId="77777777" w:rsidR="0038640C" w:rsidRPr="00CC576A" w:rsidRDefault="0038640C" w:rsidP="0038640C">
            <w:pPr>
              <w:rPr>
                <w:rFonts w:cs="Calibri"/>
                <w:color w:val="000000"/>
                <w:szCs w:val="20"/>
              </w:rPr>
            </w:pPr>
            <w:r>
              <w:rPr>
                <w:rFonts w:cs="Calibri"/>
                <w:color w:val="000000"/>
                <w:szCs w:val="20"/>
              </w:rPr>
              <w:t>42</w:t>
            </w:r>
          </w:p>
        </w:tc>
        <w:tc>
          <w:tcPr>
            <w:tcW w:w="2238" w:type="dxa"/>
            <w:vAlign w:val="center"/>
          </w:tcPr>
          <w:p w14:paraId="0088B429" w14:textId="77777777" w:rsidR="0038640C" w:rsidRPr="00CC576A" w:rsidRDefault="0038640C" w:rsidP="0038640C">
            <w:pPr>
              <w:rPr>
                <w:rFonts w:cs="Calibri"/>
                <w:color w:val="000000"/>
                <w:szCs w:val="20"/>
              </w:rPr>
            </w:pPr>
            <w:r>
              <w:rPr>
                <w:rFonts w:cs="Calibri"/>
                <w:color w:val="000000"/>
                <w:szCs w:val="20"/>
              </w:rPr>
              <w:t>Samuel Grundler</w:t>
            </w:r>
          </w:p>
        </w:tc>
        <w:tc>
          <w:tcPr>
            <w:tcW w:w="3969" w:type="dxa"/>
            <w:vAlign w:val="center"/>
          </w:tcPr>
          <w:p w14:paraId="17742E83" w14:textId="77777777" w:rsidR="0038640C" w:rsidRPr="00CC576A" w:rsidRDefault="0038640C" w:rsidP="0038640C">
            <w:pPr>
              <w:spacing w:before="60" w:after="60"/>
              <w:rPr>
                <w:rFonts w:cs="Calibri"/>
                <w:color w:val="000000"/>
                <w:szCs w:val="20"/>
              </w:rPr>
            </w:pPr>
            <w:r>
              <w:rPr>
                <w:rFonts w:cs="Calibri"/>
                <w:color w:val="000000"/>
                <w:szCs w:val="20"/>
              </w:rPr>
              <w:t>Director for Aid</w:t>
            </w:r>
          </w:p>
        </w:tc>
        <w:tc>
          <w:tcPr>
            <w:tcW w:w="5091" w:type="dxa"/>
            <w:vAlign w:val="center"/>
          </w:tcPr>
          <w:p w14:paraId="5F29121C" w14:textId="77777777" w:rsidR="0038640C" w:rsidRPr="00CC576A" w:rsidRDefault="0038640C" w:rsidP="0038640C">
            <w:pPr>
              <w:spacing w:before="60" w:after="60"/>
              <w:rPr>
                <w:rFonts w:cs="Calibri"/>
                <w:color w:val="000000"/>
                <w:szCs w:val="20"/>
              </w:rPr>
            </w:pPr>
            <w:r>
              <w:rPr>
                <w:rFonts w:cs="Calibri"/>
                <w:color w:val="000000"/>
                <w:szCs w:val="20"/>
              </w:rPr>
              <w:t>Planning and Aid Division, Department of Finance</w:t>
            </w:r>
          </w:p>
        </w:tc>
        <w:tc>
          <w:tcPr>
            <w:tcW w:w="2966" w:type="dxa"/>
            <w:vAlign w:val="center"/>
          </w:tcPr>
          <w:p w14:paraId="45A89C31"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r w:rsidR="0038640C" w:rsidRPr="00CC576A" w14:paraId="0BA41689" w14:textId="77777777" w:rsidTr="004F0B78">
        <w:trPr>
          <w:trHeight w:val="290"/>
        </w:trPr>
        <w:tc>
          <w:tcPr>
            <w:tcW w:w="451" w:type="dxa"/>
            <w:vAlign w:val="center"/>
          </w:tcPr>
          <w:p w14:paraId="02DF3C47" w14:textId="77777777" w:rsidR="0038640C" w:rsidRPr="00CC576A" w:rsidRDefault="0038640C" w:rsidP="0038640C">
            <w:pPr>
              <w:rPr>
                <w:rFonts w:cs="Calibri"/>
                <w:color w:val="000000"/>
                <w:szCs w:val="20"/>
              </w:rPr>
            </w:pPr>
            <w:r>
              <w:rPr>
                <w:rFonts w:cs="Calibri"/>
                <w:color w:val="000000"/>
                <w:szCs w:val="20"/>
              </w:rPr>
              <w:t>43</w:t>
            </w:r>
          </w:p>
        </w:tc>
        <w:tc>
          <w:tcPr>
            <w:tcW w:w="2238" w:type="dxa"/>
            <w:vAlign w:val="center"/>
          </w:tcPr>
          <w:p w14:paraId="49182584" w14:textId="77777777" w:rsidR="0038640C" w:rsidRPr="00A82BF1" w:rsidRDefault="0038640C" w:rsidP="0038640C">
            <w:pPr>
              <w:rPr>
                <w:rFonts w:cs="Calibri"/>
                <w:color w:val="000000"/>
                <w:szCs w:val="20"/>
              </w:rPr>
            </w:pPr>
            <w:r w:rsidRPr="00A82BF1">
              <w:rPr>
                <w:rFonts w:cs="Calibri"/>
                <w:color w:val="000000"/>
                <w:szCs w:val="20"/>
              </w:rPr>
              <w:t>Taani Lasike</w:t>
            </w:r>
          </w:p>
        </w:tc>
        <w:tc>
          <w:tcPr>
            <w:tcW w:w="3969" w:type="dxa"/>
            <w:vAlign w:val="center"/>
          </w:tcPr>
          <w:p w14:paraId="3E641BDC" w14:textId="77777777" w:rsidR="0038640C" w:rsidRPr="00A82BF1" w:rsidRDefault="0038640C" w:rsidP="0038640C">
            <w:pPr>
              <w:spacing w:before="60" w:after="60"/>
              <w:rPr>
                <w:rFonts w:cs="Calibri"/>
                <w:color w:val="000000"/>
                <w:szCs w:val="20"/>
              </w:rPr>
            </w:pPr>
            <w:r w:rsidRPr="00A82BF1">
              <w:rPr>
                <w:rFonts w:cs="Calibri"/>
                <w:color w:val="000000"/>
                <w:szCs w:val="20"/>
              </w:rPr>
              <w:t>TBC</w:t>
            </w:r>
          </w:p>
        </w:tc>
        <w:tc>
          <w:tcPr>
            <w:tcW w:w="5091" w:type="dxa"/>
            <w:vAlign w:val="center"/>
          </w:tcPr>
          <w:p w14:paraId="218DAEC6" w14:textId="77777777" w:rsidR="0038640C" w:rsidRPr="00CC576A" w:rsidRDefault="0038640C" w:rsidP="0038640C">
            <w:pPr>
              <w:spacing w:before="60" w:after="60"/>
              <w:rPr>
                <w:rFonts w:cs="Calibri"/>
                <w:color w:val="000000"/>
                <w:szCs w:val="20"/>
              </w:rPr>
            </w:pPr>
            <w:r>
              <w:rPr>
                <w:rFonts w:cs="Calibri"/>
                <w:color w:val="000000"/>
                <w:szCs w:val="20"/>
              </w:rPr>
              <w:t>Craig Construction</w:t>
            </w:r>
          </w:p>
        </w:tc>
        <w:tc>
          <w:tcPr>
            <w:tcW w:w="2966" w:type="dxa"/>
            <w:vAlign w:val="center"/>
          </w:tcPr>
          <w:p w14:paraId="5376B254" w14:textId="77777777" w:rsidR="0038640C" w:rsidRPr="00CC576A" w:rsidRDefault="0038640C" w:rsidP="0038640C">
            <w:pPr>
              <w:spacing w:before="60" w:after="60"/>
              <w:rPr>
                <w:rFonts w:cs="Calibri"/>
                <w:color w:val="000000"/>
                <w:szCs w:val="20"/>
              </w:rPr>
            </w:pPr>
            <w:r>
              <w:rPr>
                <w:rFonts w:cs="Calibri"/>
                <w:color w:val="000000"/>
                <w:szCs w:val="20"/>
              </w:rPr>
              <w:t>Sonya, Rene</w:t>
            </w:r>
          </w:p>
        </w:tc>
      </w:tr>
      <w:tr w:rsidR="0038640C" w:rsidRPr="00CC576A" w14:paraId="54684341" w14:textId="77777777" w:rsidTr="004F0B78">
        <w:trPr>
          <w:trHeight w:val="290"/>
        </w:trPr>
        <w:tc>
          <w:tcPr>
            <w:tcW w:w="451" w:type="dxa"/>
            <w:vAlign w:val="center"/>
          </w:tcPr>
          <w:p w14:paraId="31014D54" w14:textId="77777777" w:rsidR="0038640C" w:rsidRPr="00CC576A" w:rsidRDefault="0038640C" w:rsidP="0038640C">
            <w:pPr>
              <w:rPr>
                <w:rFonts w:cs="Calibri"/>
                <w:color w:val="000000"/>
                <w:szCs w:val="20"/>
              </w:rPr>
            </w:pPr>
            <w:r>
              <w:rPr>
                <w:rFonts w:cs="Calibri"/>
                <w:color w:val="000000"/>
                <w:szCs w:val="20"/>
              </w:rPr>
              <w:t>44</w:t>
            </w:r>
          </w:p>
        </w:tc>
        <w:tc>
          <w:tcPr>
            <w:tcW w:w="2238" w:type="dxa"/>
            <w:vAlign w:val="center"/>
          </w:tcPr>
          <w:p w14:paraId="1A0054E7" w14:textId="77777777" w:rsidR="0038640C" w:rsidRPr="00A82BF1" w:rsidRDefault="0038640C" w:rsidP="0038640C">
            <w:pPr>
              <w:rPr>
                <w:rFonts w:cs="Calibri"/>
                <w:color w:val="000000"/>
                <w:szCs w:val="20"/>
              </w:rPr>
            </w:pPr>
            <w:r w:rsidRPr="00A82BF1">
              <w:rPr>
                <w:rFonts w:cs="Calibri"/>
                <w:color w:val="000000"/>
                <w:szCs w:val="20"/>
              </w:rPr>
              <w:t>Tara Detogia</w:t>
            </w:r>
          </w:p>
        </w:tc>
        <w:tc>
          <w:tcPr>
            <w:tcW w:w="3969" w:type="dxa"/>
            <w:vAlign w:val="center"/>
          </w:tcPr>
          <w:p w14:paraId="19C5DD0A" w14:textId="77777777" w:rsidR="0038640C" w:rsidRPr="00A82BF1" w:rsidRDefault="0038640C" w:rsidP="0038640C">
            <w:pPr>
              <w:spacing w:before="60" w:after="60"/>
              <w:rPr>
                <w:rFonts w:cs="Calibri"/>
                <w:color w:val="000000"/>
                <w:szCs w:val="20"/>
              </w:rPr>
            </w:pPr>
            <w:r w:rsidRPr="00A82BF1">
              <w:rPr>
                <w:rFonts w:cs="Calibri"/>
                <w:color w:val="000000"/>
                <w:szCs w:val="20"/>
              </w:rPr>
              <w:t>Development Officer</w:t>
            </w:r>
          </w:p>
        </w:tc>
        <w:tc>
          <w:tcPr>
            <w:tcW w:w="5091" w:type="dxa"/>
            <w:vAlign w:val="center"/>
          </w:tcPr>
          <w:p w14:paraId="56BD882C" w14:textId="77777777" w:rsidR="0038640C" w:rsidRPr="00CC576A" w:rsidRDefault="0038640C" w:rsidP="0038640C">
            <w:pPr>
              <w:spacing w:before="60" w:after="60"/>
              <w:rPr>
                <w:rFonts w:cs="Calibri"/>
                <w:color w:val="000000"/>
                <w:szCs w:val="20"/>
              </w:rPr>
            </w:pPr>
            <w:r>
              <w:rPr>
                <w:rFonts w:cs="Calibri"/>
                <w:color w:val="000000"/>
                <w:szCs w:val="20"/>
              </w:rPr>
              <w:t>Department of Home Affairs</w:t>
            </w:r>
          </w:p>
        </w:tc>
        <w:tc>
          <w:tcPr>
            <w:tcW w:w="2966" w:type="dxa"/>
            <w:vAlign w:val="center"/>
          </w:tcPr>
          <w:p w14:paraId="401DDB06" w14:textId="77777777" w:rsidR="0038640C" w:rsidRPr="00CC576A" w:rsidRDefault="0038640C" w:rsidP="0038640C">
            <w:pPr>
              <w:spacing w:before="60" w:after="60"/>
              <w:rPr>
                <w:rFonts w:cs="Calibri"/>
                <w:color w:val="000000"/>
                <w:szCs w:val="20"/>
              </w:rPr>
            </w:pPr>
            <w:r>
              <w:rPr>
                <w:rFonts w:cs="Calibri"/>
                <w:color w:val="000000"/>
                <w:szCs w:val="20"/>
              </w:rPr>
              <w:t>Sonya, Samiha, Rene, Helen</w:t>
            </w:r>
          </w:p>
        </w:tc>
      </w:tr>
      <w:tr w:rsidR="0038640C" w:rsidRPr="00CC576A" w14:paraId="3A8C17E8" w14:textId="77777777" w:rsidTr="004F0B78">
        <w:trPr>
          <w:trHeight w:val="290"/>
        </w:trPr>
        <w:tc>
          <w:tcPr>
            <w:tcW w:w="451" w:type="dxa"/>
            <w:vAlign w:val="center"/>
          </w:tcPr>
          <w:p w14:paraId="54EBE27C" w14:textId="77777777" w:rsidR="0038640C" w:rsidRPr="00CC576A" w:rsidRDefault="0038640C" w:rsidP="0038640C">
            <w:pPr>
              <w:rPr>
                <w:rFonts w:cs="Calibri"/>
                <w:color w:val="000000"/>
                <w:szCs w:val="20"/>
              </w:rPr>
            </w:pPr>
            <w:r>
              <w:rPr>
                <w:rFonts w:cs="Calibri"/>
                <w:color w:val="000000"/>
                <w:szCs w:val="20"/>
              </w:rPr>
              <w:t>50</w:t>
            </w:r>
          </w:p>
        </w:tc>
        <w:tc>
          <w:tcPr>
            <w:tcW w:w="2238" w:type="dxa"/>
            <w:vAlign w:val="center"/>
          </w:tcPr>
          <w:p w14:paraId="785C8164" w14:textId="77777777" w:rsidR="0038640C" w:rsidRPr="00CC576A" w:rsidRDefault="0038640C" w:rsidP="0038640C">
            <w:pPr>
              <w:rPr>
                <w:rFonts w:cs="Calibri"/>
                <w:color w:val="000000"/>
                <w:szCs w:val="20"/>
              </w:rPr>
            </w:pPr>
            <w:r>
              <w:rPr>
                <w:rFonts w:cs="Calibri"/>
                <w:color w:val="000000"/>
                <w:szCs w:val="20"/>
              </w:rPr>
              <w:t xml:space="preserve">Ted Jones  </w:t>
            </w:r>
          </w:p>
        </w:tc>
        <w:tc>
          <w:tcPr>
            <w:tcW w:w="3969" w:type="dxa"/>
            <w:vAlign w:val="center"/>
          </w:tcPr>
          <w:p w14:paraId="0FDCCB13" w14:textId="77777777" w:rsidR="0038640C" w:rsidRPr="00CC576A" w:rsidRDefault="0038640C" w:rsidP="0038640C">
            <w:pPr>
              <w:spacing w:before="60" w:after="60"/>
              <w:rPr>
                <w:rFonts w:cs="Calibri"/>
                <w:color w:val="000000"/>
                <w:szCs w:val="20"/>
              </w:rPr>
            </w:pPr>
            <w:r>
              <w:rPr>
                <w:rFonts w:cs="Calibri"/>
                <w:color w:val="000000"/>
                <w:szCs w:val="20"/>
              </w:rPr>
              <w:t>Hospital Operations Manager (PACTAM)</w:t>
            </w:r>
          </w:p>
        </w:tc>
        <w:tc>
          <w:tcPr>
            <w:tcW w:w="5091" w:type="dxa"/>
            <w:vAlign w:val="center"/>
          </w:tcPr>
          <w:p w14:paraId="24674131" w14:textId="77777777" w:rsidR="0038640C" w:rsidRPr="00CC576A" w:rsidRDefault="0038640C" w:rsidP="0038640C">
            <w:pPr>
              <w:spacing w:before="60" w:after="60"/>
              <w:rPr>
                <w:rFonts w:cs="Calibri"/>
                <w:color w:val="000000"/>
                <w:szCs w:val="20"/>
              </w:rPr>
            </w:pPr>
            <w:r>
              <w:rPr>
                <w:rFonts w:cs="Calibri"/>
                <w:color w:val="000000"/>
                <w:szCs w:val="20"/>
              </w:rPr>
              <w:t>Republic of Nauru Hospital</w:t>
            </w:r>
          </w:p>
        </w:tc>
        <w:tc>
          <w:tcPr>
            <w:tcW w:w="2966" w:type="dxa"/>
            <w:vAlign w:val="center"/>
          </w:tcPr>
          <w:p w14:paraId="283CAB80" w14:textId="77777777" w:rsidR="0038640C" w:rsidRPr="00CC576A" w:rsidRDefault="0038640C" w:rsidP="0038640C">
            <w:pPr>
              <w:spacing w:before="60" w:after="60"/>
              <w:rPr>
                <w:rFonts w:cs="Calibri"/>
                <w:color w:val="000000"/>
                <w:szCs w:val="20"/>
              </w:rPr>
            </w:pPr>
            <w:r>
              <w:rPr>
                <w:rFonts w:cs="Calibri"/>
                <w:color w:val="000000"/>
                <w:szCs w:val="20"/>
              </w:rPr>
              <w:t>Sonya, Rene</w:t>
            </w:r>
          </w:p>
        </w:tc>
      </w:tr>
      <w:tr w:rsidR="0038640C" w:rsidRPr="00CC576A" w14:paraId="7CF9EFEC" w14:textId="77777777" w:rsidTr="004F0B78">
        <w:trPr>
          <w:trHeight w:val="290"/>
        </w:trPr>
        <w:tc>
          <w:tcPr>
            <w:tcW w:w="451" w:type="dxa"/>
            <w:vAlign w:val="center"/>
          </w:tcPr>
          <w:p w14:paraId="2B7DE0EC" w14:textId="77777777" w:rsidR="0038640C" w:rsidRPr="00CC576A" w:rsidRDefault="0038640C" w:rsidP="0038640C">
            <w:pPr>
              <w:rPr>
                <w:rFonts w:cs="Calibri"/>
                <w:color w:val="000000"/>
                <w:szCs w:val="20"/>
              </w:rPr>
            </w:pPr>
            <w:r>
              <w:rPr>
                <w:rFonts w:cs="Calibri"/>
                <w:color w:val="000000"/>
                <w:szCs w:val="20"/>
              </w:rPr>
              <w:t>51</w:t>
            </w:r>
          </w:p>
        </w:tc>
        <w:tc>
          <w:tcPr>
            <w:tcW w:w="2238" w:type="dxa"/>
            <w:vAlign w:val="center"/>
          </w:tcPr>
          <w:p w14:paraId="172A75B5" w14:textId="77777777" w:rsidR="0038640C" w:rsidRPr="00CC576A" w:rsidRDefault="0038640C" w:rsidP="0038640C">
            <w:pPr>
              <w:rPr>
                <w:rFonts w:cs="Calibri"/>
                <w:color w:val="000000"/>
                <w:szCs w:val="20"/>
              </w:rPr>
            </w:pPr>
            <w:r>
              <w:rPr>
                <w:rFonts w:cs="Calibri"/>
                <w:color w:val="000000"/>
                <w:szCs w:val="20"/>
              </w:rPr>
              <w:t>Tim Dobell-Brown</w:t>
            </w:r>
          </w:p>
        </w:tc>
        <w:tc>
          <w:tcPr>
            <w:tcW w:w="3969" w:type="dxa"/>
            <w:vAlign w:val="center"/>
          </w:tcPr>
          <w:p w14:paraId="52F26E87" w14:textId="77777777" w:rsidR="0038640C" w:rsidRPr="00CC576A" w:rsidRDefault="0038640C" w:rsidP="0038640C">
            <w:pPr>
              <w:spacing w:before="60" w:after="60"/>
              <w:rPr>
                <w:rFonts w:cs="Calibri"/>
                <w:color w:val="000000"/>
                <w:szCs w:val="20"/>
              </w:rPr>
            </w:pPr>
            <w:r>
              <w:rPr>
                <w:rFonts w:cs="Calibri"/>
                <w:color w:val="000000"/>
                <w:szCs w:val="20"/>
              </w:rPr>
              <w:t>Director</w:t>
            </w:r>
          </w:p>
        </w:tc>
        <w:tc>
          <w:tcPr>
            <w:tcW w:w="5091" w:type="dxa"/>
            <w:vAlign w:val="center"/>
          </w:tcPr>
          <w:p w14:paraId="39871FB6" w14:textId="77777777" w:rsidR="0038640C" w:rsidRPr="00CC576A" w:rsidRDefault="0038640C" w:rsidP="0038640C">
            <w:pPr>
              <w:spacing w:before="60" w:after="60"/>
              <w:rPr>
                <w:rFonts w:cs="Calibri"/>
                <w:color w:val="000000"/>
                <w:szCs w:val="20"/>
              </w:rPr>
            </w:pPr>
            <w:r>
              <w:rPr>
                <w:rFonts w:cs="Calibri"/>
                <w:color w:val="000000"/>
                <w:szCs w:val="20"/>
              </w:rPr>
              <w:t>Alexander &amp; Lloyd</w:t>
            </w:r>
          </w:p>
        </w:tc>
        <w:tc>
          <w:tcPr>
            <w:tcW w:w="2966" w:type="dxa"/>
            <w:vAlign w:val="center"/>
          </w:tcPr>
          <w:p w14:paraId="0FD86DD3" w14:textId="77777777" w:rsidR="0038640C" w:rsidRPr="00CC576A" w:rsidRDefault="0038640C" w:rsidP="0038640C">
            <w:pPr>
              <w:spacing w:before="60" w:after="60"/>
              <w:rPr>
                <w:rFonts w:cs="Calibri"/>
                <w:color w:val="000000"/>
                <w:szCs w:val="20"/>
              </w:rPr>
            </w:pPr>
            <w:r>
              <w:rPr>
                <w:rFonts w:cs="Calibri"/>
                <w:color w:val="000000"/>
                <w:szCs w:val="20"/>
              </w:rPr>
              <w:t>Sonya</w:t>
            </w:r>
          </w:p>
        </w:tc>
      </w:tr>
      <w:tr w:rsidR="0038640C" w:rsidRPr="00CC576A" w14:paraId="35DC8718" w14:textId="77777777" w:rsidTr="004F0B78">
        <w:trPr>
          <w:trHeight w:val="290"/>
        </w:trPr>
        <w:tc>
          <w:tcPr>
            <w:tcW w:w="451" w:type="dxa"/>
            <w:vAlign w:val="center"/>
          </w:tcPr>
          <w:p w14:paraId="1B761A63" w14:textId="77777777" w:rsidR="0038640C" w:rsidRPr="00CC576A" w:rsidRDefault="0038640C" w:rsidP="0038640C">
            <w:pPr>
              <w:rPr>
                <w:rFonts w:cs="Calibri"/>
                <w:color w:val="000000"/>
                <w:szCs w:val="20"/>
              </w:rPr>
            </w:pPr>
            <w:r>
              <w:rPr>
                <w:rFonts w:cs="Calibri"/>
                <w:color w:val="000000"/>
                <w:szCs w:val="20"/>
              </w:rPr>
              <w:t>52</w:t>
            </w:r>
          </w:p>
        </w:tc>
        <w:tc>
          <w:tcPr>
            <w:tcW w:w="2238" w:type="dxa"/>
            <w:vAlign w:val="center"/>
          </w:tcPr>
          <w:p w14:paraId="1CDEFFF0" w14:textId="77777777" w:rsidR="0038640C" w:rsidRPr="00CC576A" w:rsidRDefault="0038640C" w:rsidP="0038640C">
            <w:pPr>
              <w:rPr>
                <w:rFonts w:cs="Calibri"/>
                <w:color w:val="000000"/>
                <w:szCs w:val="20"/>
              </w:rPr>
            </w:pPr>
            <w:r>
              <w:rPr>
                <w:rFonts w:cs="Calibri"/>
                <w:color w:val="000000"/>
                <w:szCs w:val="20"/>
              </w:rPr>
              <w:t>Vaiuli Amoe</w:t>
            </w:r>
          </w:p>
        </w:tc>
        <w:tc>
          <w:tcPr>
            <w:tcW w:w="3969" w:type="dxa"/>
            <w:vAlign w:val="center"/>
          </w:tcPr>
          <w:p w14:paraId="320D67F7" w14:textId="77777777" w:rsidR="0038640C" w:rsidRPr="00CC576A" w:rsidRDefault="0038640C" w:rsidP="0038640C">
            <w:pPr>
              <w:spacing w:before="60" w:after="60"/>
              <w:rPr>
                <w:rFonts w:cs="Calibri"/>
                <w:color w:val="000000"/>
                <w:szCs w:val="20"/>
              </w:rPr>
            </w:pPr>
            <w:r>
              <w:rPr>
                <w:rFonts w:cs="Calibri"/>
                <w:color w:val="000000"/>
                <w:szCs w:val="20"/>
              </w:rPr>
              <w:t>Clean &amp; Green Manager</w:t>
            </w:r>
          </w:p>
        </w:tc>
        <w:tc>
          <w:tcPr>
            <w:tcW w:w="5091" w:type="dxa"/>
            <w:vAlign w:val="center"/>
          </w:tcPr>
          <w:p w14:paraId="475A3709" w14:textId="77777777" w:rsidR="0038640C" w:rsidRPr="00CC576A" w:rsidRDefault="0038640C" w:rsidP="0038640C">
            <w:pPr>
              <w:spacing w:before="60" w:after="60"/>
              <w:rPr>
                <w:rFonts w:cs="Calibri"/>
                <w:color w:val="000000"/>
                <w:szCs w:val="20"/>
              </w:rPr>
            </w:pPr>
            <w:r>
              <w:rPr>
                <w:rFonts w:cs="Calibri"/>
                <w:color w:val="000000"/>
                <w:szCs w:val="20"/>
              </w:rPr>
              <w:t>Department of Home Affairs</w:t>
            </w:r>
          </w:p>
        </w:tc>
        <w:tc>
          <w:tcPr>
            <w:tcW w:w="2966" w:type="dxa"/>
            <w:vAlign w:val="center"/>
          </w:tcPr>
          <w:p w14:paraId="6AFE38F9" w14:textId="77777777" w:rsidR="0038640C" w:rsidRPr="00CC576A" w:rsidRDefault="0038640C" w:rsidP="0038640C">
            <w:pPr>
              <w:spacing w:before="60" w:after="60"/>
              <w:rPr>
                <w:rFonts w:cs="Calibri"/>
                <w:color w:val="000000"/>
                <w:szCs w:val="20"/>
              </w:rPr>
            </w:pPr>
            <w:r>
              <w:rPr>
                <w:rFonts w:cs="Calibri"/>
                <w:color w:val="000000"/>
                <w:szCs w:val="20"/>
              </w:rPr>
              <w:t>Sonya, Samiha, Rene, Helen</w:t>
            </w:r>
          </w:p>
        </w:tc>
      </w:tr>
      <w:tr w:rsidR="0038640C" w:rsidRPr="00CC576A" w14:paraId="674BCE75" w14:textId="77777777" w:rsidTr="004F0B78">
        <w:trPr>
          <w:trHeight w:val="290"/>
        </w:trPr>
        <w:tc>
          <w:tcPr>
            <w:tcW w:w="451" w:type="dxa"/>
            <w:vAlign w:val="center"/>
          </w:tcPr>
          <w:p w14:paraId="68376714" w14:textId="77777777" w:rsidR="0038640C" w:rsidRPr="00CC576A" w:rsidRDefault="0038640C" w:rsidP="0038640C">
            <w:pPr>
              <w:rPr>
                <w:rFonts w:cs="Calibri"/>
                <w:color w:val="000000"/>
                <w:szCs w:val="20"/>
              </w:rPr>
            </w:pPr>
            <w:r>
              <w:rPr>
                <w:rFonts w:cs="Calibri"/>
                <w:color w:val="000000"/>
                <w:szCs w:val="20"/>
              </w:rPr>
              <w:t>53</w:t>
            </w:r>
          </w:p>
        </w:tc>
        <w:tc>
          <w:tcPr>
            <w:tcW w:w="2238" w:type="dxa"/>
            <w:vAlign w:val="center"/>
          </w:tcPr>
          <w:p w14:paraId="307A4F6C" w14:textId="77777777" w:rsidR="0038640C" w:rsidRPr="00CC576A" w:rsidRDefault="0038640C" w:rsidP="0038640C">
            <w:pPr>
              <w:rPr>
                <w:rFonts w:cs="Calibri"/>
                <w:color w:val="000000"/>
                <w:szCs w:val="20"/>
              </w:rPr>
            </w:pPr>
            <w:r>
              <w:rPr>
                <w:rFonts w:cs="Calibri"/>
                <w:color w:val="000000"/>
                <w:szCs w:val="20"/>
              </w:rPr>
              <w:t>Victoria Scotty</w:t>
            </w:r>
          </w:p>
        </w:tc>
        <w:tc>
          <w:tcPr>
            <w:tcW w:w="3969" w:type="dxa"/>
            <w:vAlign w:val="center"/>
          </w:tcPr>
          <w:p w14:paraId="5F459DF3" w14:textId="77777777" w:rsidR="0038640C" w:rsidRPr="00CC576A" w:rsidRDefault="0038640C" w:rsidP="0038640C">
            <w:pPr>
              <w:spacing w:before="60" w:after="60"/>
              <w:rPr>
                <w:rFonts w:cs="Calibri"/>
                <w:color w:val="000000"/>
                <w:szCs w:val="20"/>
              </w:rPr>
            </w:pPr>
            <w:r>
              <w:rPr>
                <w:rFonts w:cs="Calibri"/>
                <w:color w:val="000000"/>
                <w:szCs w:val="20"/>
              </w:rPr>
              <w:t>Assistant Counsellor</w:t>
            </w:r>
          </w:p>
        </w:tc>
        <w:tc>
          <w:tcPr>
            <w:tcW w:w="5091" w:type="dxa"/>
            <w:vAlign w:val="center"/>
          </w:tcPr>
          <w:p w14:paraId="0CC96A91" w14:textId="77777777" w:rsidR="0038640C" w:rsidRPr="00CC576A" w:rsidRDefault="0038640C" w:rsidP="0038640C">
            <w:pPr>
              <w:spacing w:before="60" w:after="60"/>
              <w:rPr>
                <w:rFonts w:cs="Calibri"/>
                <w:color w:val="000000"/>
                <w:szCs w:val="20"/>
              </w:rPr>
            </w:pPr>
            <w:r>
              <w:rPr>
                <w:rFonts w:cs="Calibri"/>
                <w:color w:val="000000"/>
                <w:szCs w:val="20"/>
              </w:rPr>
              <w:t>Department of Home Affairs</w:t>
            </w:r>
          </w:p>
        </w:tc>
        <w:tc>
          <w:tcPr>
            <w:tcW w:w="2966" w:type="dxa"/>
            <w:vAlign w:val="center"/>
          </w:tcPr>
          <w:p w14:paraId="2609F6BF" w14:textId="77777777" w:rsidR="0038640C" w:rsidRPr="00CC576A" w:rsidRDefault="0038640C" w:rsidP="0038640C">
            <w:pPr>
              <w:spacing w:before="60" w:after="60"/>
              <w:rPr>
                <w:rFonts w:cs="Calibri"/>
                <w:color w:val="000000"/>
                <w:szCs w:val="20"/>
              </w:rPr>
            </w:pPr>
            <w:r>
              <w:rPr>
                <w:rFonts w:cs="Calibri"/>
                <w:color w:val="000000"/>
                <w:szCs w:val="20"/>
              </w:rPr>
              <w:t>Sonya, Samiha, Rene, Helen</w:t>
            </w:r>
          </w:p>
        </w:tc>
      </w:tr>
      <w:tr w:rsidR="0038640C" w:rsidRPr="00CC576A" w14:paraId="29C05AD7" w14:textId="77777777" w:rsidTr="004F0B78">
        <w:trPr>
          <w:trHeight w:val="290"/>
        </w:trPr>
        <w:tc>
          <w:tcPr>
            <w:tcW w:w="451" w:type="dxa"/>
            <w:vAlign w:val="center"/>
          </w:tcPr>
          <w:p w14:paraId="623C4CDF" w14:textId="77777777" w:rsidR="0038640C" w:rsidRPr="00CC576A" w:rsidRDefault="0038640C" w:rsidP="0038640C">
            <w:pPr>
              <w:rPr>
                <w:rFonts w:cs="Calibri"/>
                <w:color w:val="000000"/>
                <w:szCs w:val="20"/>
              </w:rPr>
            </w:pPr>
            <w:r>
              <w:rPr>
                <w:rFonts w:cs="Calibri"/>
                <w:color w:val="000000"/>
                <w:szCs w:val="20"/>
              </w:rPr>
              <w:t>54</w:t>
            </w:r>
          </w:p>
        </w:tc>
        <w:tc>
          <w:tcPr>
            <w:tcW w:w="2238" w:type="dxa"/>
            <w:vAlign w:val="center"/>
          </w:tcPr>
          <w:p w14:paraId="3E5DF635" w14:textId="77777777" w:rsidR="0038640C" w:rsidRPr="00CC576A" w:rsidRDefault="0038640C" w:rsidP="0038640C">
            <w:pPr>
              <w:rPr>
                <w:rFonts w:cs="Calibri"/>
                <w:color w:val="000000"/>
                <w:szCs w:val="20"/>
              </w:rPr>
            </w:pPr>
            <w:r>
              <w:rPr>
                <w:rFonts w:cs="Calibri"/>
                <w:color w:val="000000"/>
                <w:szCs w:val="20"/>
              </w:rPr>
              <w:t>Wes Tsitsi</w:t>
            </w:r>
          </w:p>
        </w:tc>
        <w:tc>
          <w:tcPr>
            <w:tcW w:w="3969" w:type="dxa"/>
            <w:vAlign w:val="center"/>
          </w:tcPr>
          <w:p w14:paraId="35BB1803" w14:textId="77777777" w:rsidR="0038640C" w:rsidRPr="00CC576A" w:rsidRDefault="0038640C" w:rsidP="0038640C">
            <w:pPr>
              <w:spacing w:before="60" w:after="60"/>
              <w:rPr>
                <w:rFonts w:cs="Calibri"/>
                <w:color w:val="000000"/>
                <w:szCs w:val="20"/>
              </w:rPr>
            </w:pPr>
            <w:r>
              <w:rPr>
                <w:rFonts w:cs="Calibri"/>
                <w:color w:val="000000"/>
                <w:szCs w:val="20"/>
              </w:rPr>
              <w:t>Secretary for Lands Management</w:t>
            </w:r>
          </w:p>
        </w:tc>
        <w:tc>
          <w:tcPr>
            <w:tcW w:w="5091" w:type="dxa"/>
            <w:vAlign w:val="center"/>
          </w:tcPr>
          <w:p w14:paraId="6594ECE0" w14:textId="77777777" w:rsidR="0038640C" w:rsidRPr="00CC576A" w:rsidRDefault="0038640C" w:rsidP="0038640C">
            <w:pPr>
              <w:spacing w:before="60" w:after="60"/>
              <w:rPr>
                <w:rFonts w:cs="Calibri"/>
                <w:color w:val="000000"/>
                <w:szCs w:val="20"/>
              </w:rPr>
            </w:pPr>
            <w:r>
              <w:rPr>
                <w:rFonts w:cs="Calibri"/>
                <w:color w:val="000000"/>
                <w:szCs w:val="20"/>
              </w:rPr>
              <w:t>Department for Lands and Survey</w:t>
            </w:r>
          </w:p>
        </w:tc>
        <w:tc>
          <w:tcPr>
            <w:tcW w:w="2966" w:type="dxa"/>
            <w:vAlign w:val="center"/>
          </w:tcPr>
          <w:p w14:paraId="1D5039A6" w14:textId="77777777" w:rsidR="0038640C" w:rsidRPr="00CC576A" w:rsidRDefault="0038640C" w:rsidP="0038640C">
            <w:pPr>
              <w:spacing w:before="60" w:after="60"/>
              <w:rPr>
                <w:rFonts w:cs="Calibri"/>
                <w:color w:val="000000"/>
                <w:szCs w:val="20"/>
              </w:rPr>
            </w:pPr>
            <w:r>
              <w:rPr>
                <w:rFonts w:cs="Calibri"/>
                <w:color w:val="000000"/>
                <w:szCs w:val="20"/>
              </w:rPr>
              <w:t>Sonya, Samiha, Rene</w:t>
            </w:r>
          </w:p>
        </w:tc>
      </w:tr>
    </w:tbl>
    <w:p w14:paraId="5369B329" w14:textId="77777777" w:rsidR="00CC576A" w:rsidRDefault="00CC576A" w:rsidP="00CC576A">
      <w:pPr>
        <w:rPr>
          <w:lang w:eastAsia="en-AU"/>
        </w:rPr>
      </w:pPr>
    </w:p>
    <w:p w14:paraId="190B098F" w14:textId="77777777" w:rsidR="00AA4AF8" w:rsidRDefault="00AA4AF8" w:rsidP="00CC576A">
      <w:pPr>
        <w:rPr>
          <w:lang w:eastAsia="en-AU"/>
        </w:rPr>
      </w:pPr>
    </w:p>
    <w:p w14:paraId="577A685F" w14:textId="77777777" w:rsidR="00AA4AF8" w:rsidRDefault="00AA4AF8" w:rsidP="00CC576A">
      <w:pPr>
        <w:rPr>
          <w:lang w:eastAsia="en-AU"/>
        </w:rPr>
        <w:sectPr w:rsidR="00AA4AF8" w:rsidSect="00FD2B82">
          <w:pgSz w:w="16839" w:h="11907" w:orient="landscape" w:code="9"/>
          <w:pgMar w:top="1080" w:right="1440" w:bottom="1080" w:left="1440" w:header="720" w:footer="510" w:gutter="0"/>
          <w:cols w:space="720"/>
          <w:docGrid w:linePitch="299"/>
        </w:sectPr>
      </w:pPr>
    </w:p>
    <w:p w14:paraId="0E02F1E9" w14:textId="77777777" w:rsidR="00AA4AF8" w:rsidRDefault="00AA4AF8" w:rsidP="00AA4AF8">
      <w:pPr>
        <w:pStyle w:val="Heading1"/>
        <w:numPr>
          <w:ilvl w:val="0"/>
          <w:numId w:val="0"/>
        </w:numPr>
        <w:ind w:left="431" w:hanging="431"/>
      </w:pPr>
      <w:bookmarkStart w:id="50" w:name="_Toc518640226"/>
      <w:bookmarkStart w:id="51" w:name="_Toc515577486"/>
      <w:r>
        <w:lastRenderedPageBreak/>
        <w:t>Annex D – Work plan and Timeframe</w:t>
      </w:r>
      <w:bookmarkEnd w:id="50"/>
    </w:p>
    <w:bookmarkEnd w:id="51"/>
    <w:p w14:paraId="2207329E" w14:textId="77777777" w:rsidR="00AA4AF8" w:rsidRPr="007A24C7" w:rsidRDefault="00AA4AF8" w:rsidP="00AA4AF8">
      <w:pPr>
        <w:jc w:val="both"/>
        <w:rPr>
          <w:lang w:eastAsia="en-AU"/>
        </w:rPr>
      </w:pPr>
      <w:r>
        <w:rPr>
          <w:lang w:eastAsia="en-AU"/>
        </w:rPr>
        <w:t xml:space="preserve">The infrastructure review is planned to commence in mid-May and will be completed by </w:t>
      </w:r>
      <w:r w:rsidR="002E3C2E">
        <w:rPr>
          <w:lang w:eastAsia="en-AU"/>
        </w:rPr>
        <w:t>June-July</w:t>
      </w:r>
      <w:r>
        <w:rPr>
          <w:lang w:eastAsia="en-AU"/>
        </w:rPr>
        <w:t xml:space="preserve">. The table below outlines the various activities to be undertaken as part of the review with tentative dates. The dates will be confirmed with the Infrastructure Sector Specialist. </w:t>
      </w:r>
    </w:p>
    <w:tbl>
      <w:tblPr>
        <w:tblStyle w:val="TableGrid"/>
        <w:tblW w:w="9498" w:type="dxa"/>
        <w:tblInd w:w="-5" w:type="dxa"/>
        <w:tblLayout w:type="fixed"/>
        <w:tblLook w:val="04A0" w:firstRow="1" w:lastRow="0" w:firstColumn="1" w:lastColumn="0" w:noHBand="0" w:noVBand="1"/>
      </w:tblPr>
      <w:tblGrid>
        <w:gridCol w:w="4395"/>
        <w:gridCol w:w="1275"/>
        <w:gridCol w:w="1331"/>
        <w:gridCol w:w="1256"/>
        <w:gridCol w:w="1241"/>
      </w:tblGrid>
      <w:tr w:rsidR="00AA4AF8" w14:paraId="00C57DB9" w14:textId="77777777" w:rsidTr="00033134">
        <w:trPr>
          <w:trHeight w:val="329"/>
          <w:tblHeader/>
        </w:trPr>
        <w:tc>
          <w:tcPr>
            <w:tcW w:w="4395" w:type="dxa"/>
            <w:shd w:val="clear" w:color="auto" w:fill="BFBFBF" w:themeFill="background1" w:themeFillShade="BF"/>
          </w:tcPr>
          <w:p w14:paraId="092D8901" w14:textId="77777777" w:rsidR="00AA4AF8" w:rsidRPr="0074635A" w:rsidRDefault="00AA4AF8" w:rsidP="00033134">
            <w:pPr>
              <w:pStyle w:val="Tabledarkheading"/>
              <w:jc w:val="center"/>
            </w:pPr>
            <w:r w:rsidRPr="0074635A">
              <w:t>Activity</w:t>
            </w:r>
          </w:p>
        </w:tc>
        <w:tc>
          <w:tcPr>
            <w:tcW w:w="1275" w:type="dxa"/>
            <w:shd w:val="clear" w:color="auto" w:fill="BFBFBF" w:themeFill="background1" w:themeFillShade="BF"/>
          </w:tcPr>
          <w:p w14:paraId="32EDA848" w14:textId="77777777" w:rsidR="00AA4AF8" w:rsidRPr="0074635A" w:rsidRDefault="00AA4AF8" w:rsidP="00033134">
            <w:pPr>
              <w:pStyle w:val="Tabledarkheading"/>
              <w:jc w:val="center"/>
            </w:pPr>
            <w:r>
              <w:t>Timing- TBC</w:t>
            </w:r>
          </w:p>
        </w:tc>
        <w:tc>
          <w:tcPr>
            <w:tcW w:w="1331" w:type="dxa"/>
            <w:shd w:val="clear" w:color="auto" w:fill="BFBFBF" w:themeFill="background1" w:themeFillShade="BF"/>
          </w:tcPr>
          <w:p w14:paraId="625D9F7B" w14:textId="77777777" w:rsidR="00AA4AF8" w:rsidRPr="0074635A" w:rsidRDefault="00AA4AF8" w:rsidP="00033134">
            <w:pPr>
              <w:pStyle w:val="Tabledarkheading"/>
              <w:jc w:val="center"/>
            </w:pPr>
            <w:r>
              <w:t>Byron</w:t>
            </w:r>
          </w:p>
        </w:tc>
        <w:tc>
          <w:tcPr>
            <w:tcW w:w="1256" w:type="dxa"/>
            <w:shd w:val="clear" w:color="auto" w:fill="BFBFBF" w:themeFill="background1" w:themeFillShade="BF"/>
          </w:tcPr>
          <w:p w14:paraId="3CBC1CE8" w14:textId="77777777" w:rsidR="00AA4AF8" w:rsidRPr="0074635A" w:rsidRDefault="00AA4AF8" w:rsidP="00033134">
            <w:pPr>
              <w:pStyle w:val="Tabledarkheading"/>
              <w:ind w:right="-94"/>
              <w:jc w:val="center"/>
            </w:pPr>
            <w:r>
              <w:t>Samiha</w:t>
            </w:r>
          </w:p>
        </w:tc>
        <w:tc>
          <w:tcPr>
            <w:tcW w:w="1241" w:type="dxa"/>
            <w:shd w:val="clear" w:color="auto" w:fill="BFBFBF" w:themeFill="background1" w:themeFillShade="BF"/>
          </w:tcPr>
          <w:p w14:paraId="17ADC75A" w14:textId="77777777" w:rsidR="00AA4AF8" w:rsidRDefault="00AA4AF8" w:rsidP="00033134">
            <w:pPr>
              <w:pStyle w:val="Tabledarkheading"/>
              <w:jc w:val="center"/>
            </w:pPr>
            <w:r>
              <w:t>Sonya</w:t>
            </w:r>
          </w:p>
        </w:tc>
      </w:tr>
      <w:tr w:rsidR="00AA4AF8" w14:paraId="540F6BEB" w14:textId="77777777" w:rsidTr="00033134">
        <w:trPr>
          <w:trHeight w:val="594"/>
        </w:trPr>
        <w:tc>
          <w:tcPr>
            <w:tcW w:w="4395" w:type="dxa"/>
          </w:tcPr>
          <w:p w14:paraId="3374D443" w14:textId="77777777" w:rsidR="00AA4AF8" w:rsidRDefault="00AA4AF8" w:rsidP="00033134">
            <w:pPr>
              <w:pStyle w:val="tabletext0"/>
            </w:pPr>
            <w:r>
              <w:t>DFAT identify and schedule meetings and interviews with key stakeholders for the Review Team. Undertake preliminary interviews by phone (including development partners and regional organizations).</w:t>
            </w:r>
          </w:p>
        </w:tc>
        <w:tc>
          <w:tcPr>
            <w:tcW w:w="1275" w:type="dxa"/>
          </w:tcPr>
          <w:p w14:paraId="23FFCEB5" w14:textId="77777777" w:rsidR="00AA4AF8" w:rsidRPr="00476F35" w:rsidRDefault="00AA4AF8" w:rsidP="00033134">
            <w:pPr>
              <w:pStyle w:val="tabletext0"/>
            </w:pPr>
            <w:r>
              <w:t>21 Mar – 21 Apr</w:t>
            </w:r>
          </w:p>
        </w:tc>
        <w:tc>
          <w:tcPr>
            <w:tcW w:w="1331" w:type="dxa"/>
          </w:tcPr>
          <w:p w14:paraId="27A9B5DB" w14:textId="77777777" w:rsidR="00AA4AF8" w:rsidRDefault="00AA4AF8" w:rsidP="00033134">
            <w:pPr>
              <w:pStyle w:val="tabletext0"/>
            </w:pPr>
          </w:p>
        </w:tc>
        <w:tc>
          <w:tcPr>
            <w:tcW w:w="1256" w:type="dxa"/>
          </w:tcPr>
          <w:p w14:paraId="34B26851" w14:textId="77777777" w:rsidR="00AA4AF8" w:rsidRDefault="00AA4AF8" w:rsidP="00033134">
            <w:pPr>
              <w:pStyle w:val="tabletext0"/>
            </w:pPr>
          </w:p>
        </w:tc>
        <w:tc>
          <w:tcPr>
            <w:tcW w:w="1241" w:type="dxa"/>
          </w:tcPr>
          <w:p w14:paraId="3B58ADC7" w14:textId="77777777" w:rsidR="00AA4AF8" w:rsidRDefault="00AA4AF8" w:rsidP="00033134">
            <w:pPr>
              <w:pStyle w:val="tabletext0"/>
            </w:pPr>
            <w:r>
              <w:t>2</w:t>
            </w:r>
          </w:p>
        </w:tc>
      </w:tr>
      <w:tr w:rsidR="00AA4AF8" w14:paraId="1EE58653" w14:textId="77777777" w:rsidTr="00033134">
        <w:trPr>
          <w:trHeight w:val="743"/>
        </w:trPr>
        <w:tc>
          <w:tcPr>
            <w:tcW w:w="4395" w:type="dxa"/>
          </w:tcPr>
          <w:p w14:paraId="6EABF694" w14:textId="77777777" w:rsidR="00AA4AF8" w:rsidRPr="0074635A" w:rsidRDefault="00AA4AF8" w:rsidP="00033134">
            <w:pPr>
              <w:pStyle w:val="tabletext0"/>
            </w:pPr>
            <w:r>
              <w:t>Desktop Review and finalization of the Review ToR- template for reports, final interview guides, evidence matrix, etc</w:t>
            </w:r>
          </w:p>
        </w:tc>
        <w:tc>
          <w:tcPr>
            <w:tcW w:w="1275" w:type="dxa"/>
          </w:tcPr>
          <w:p w14:paraId="561F6E4C" w14:textId="77777777" w:rsidR="00AA4AF8" w:rsidRPr="00476F35" w:rsidRDefault="00AA4AF8" w:rsidP="00033134">
            <w:pPr>
              <w:pStyle w:val="tabletext0"/>
            </w:pPr>
            <w:r>
              <w:t>21 Mar – 21 Apr</w:t>
            </w:r>
          </w:p>
        </w:tc>
        <w:tc>
          <w:tcPr>
            <w:tcW w:w="1331" w:type="dxa"/>
          </w:tcPr>
          <w:p w14:paraId="0ED72E0F" w14:textId="77777777" w:rsidR="00AA4AF8" w:rsidRPr="00476F35" w:rsidRDefault="00AA4AF8" w:rsidP="00033134">
            <w:pPr>
              <w:pStyle w:val="tabletext0"/>
            </w:pPr>
          </w:p>
        </w:tc>
        <w:tc>
          <w:tcPr>
            <w:tcW w:w="1256" w:type="dxa"/>
          </w:tcPr>
          <w:p w14:paraId="700E9DC2" w14:textId="77777777" w:rsidR="00AA4AF8" w:rsidRDefault="00AA4AF8" w:rsidP="00033134">
            <w:pPr>
              <w:pStyle w:val="tabletext0"/>
            </w:pPr>
          </w:p>
        </w:tc>
        <w:tc>
          <w:tcPr>
            <w:tcW w:w="1241" w:type="dxa"/>
          </w:tcPr>
          <w:p w14:paraId="7BC71109" w14:textId="77777777" w:rsidR="00AA4AF8" w:rsidRDefault="00AA4AF8" w:rsidP="00033134">
            <w:pPr>
              <w:pStyle w:val="tabletext0"/>
            </w:pPr>
            <w:r>
              <w:t>6</w:t>
            </w:r>
          </w:p>
        </w:tc>
      </w:tr>
      <w:tr w:rsidR="00AA4AF8" w14:paraId="166E1184" w14:textId="77777777" w:rsidTr="00033134">
        <w:trPr>
          <w:trHeight w:val="495"/>
        </w:trPr>
        <w:tc>
          <w:tcPr>
            <w:tcW w:w="4395" w:type="dxa"/>
          </w:tcPr>
          <w:p w14:paraId="665EE1F6" w14:textId="77777777" w:rsidR="00AA4AF8" w:rsidRDefault="00AA4AF8" w:rsidP="00033134">
            <w:pPr>
              <w:pStyle w:val="Tablebullet"/>
            </w:pPr>
            <w:r>
              <w:t xml:space="preserve">Infrastructure Mission: </w:t>
            </w:r>
          </w:p>
          <w:p w14:paraId="610F82F7" w14:textId="77777777" w:rsidR="00AA4AF8" w:rsidRDefault="00AA4AF8" w:rsidP="00033134">
            <w:pPr>
              <w:pStyle w:val="Tablebullet"/>
              <w:ind w:left="360"/>
            </w:pPr>
            <w:r>
              <w:t>Travel time to Nauru for Sector Specialist</w:t>
            </w:r>
          </w:p>
          <w:p w14:paraId="2B202D73" w14:textId="77777777" w:rsidR="00AA4AF8" w:rsidRDefault="00AA4AF8" w:rsidP="00033134">
            <w:pPr>
              <w:pStyle w:val="Tablebullet"/>
              <w:ind w:left="360"/>
            </w:pPr>
            <w:r>
              <w:t xml:space="preserve">Briefing with DFAT- includes an </w:t>
            </w:r>
            <w:r w:rsidRPr="00844B26">
              <w:t>in</w:t>
            </w:r>
            <w:r>
              <w:t>itiation meeting of the review team and</w:t>
            </w:r>
            <w:r w:rsidRPr="00844B26">
              <w:t xml:space="preserve"> </w:t>
            </w:r>
            <w:r>
              <w:t>DFAT</w:t>
            </w:r>
          </w:p>
          <w:p w14:paraId="0C7C67F4" w14:textId="77777777" w:rsidR="00AA4AF8" w:rsidRDefault="00AA4AF8" w:rsidP="00033134">
            <w:pPr>
              <w:pStyle w:val="Tablebullet"/>
              <w:ind w:left="360"/>
            </w:pPr>
            <w:r>
              <w:t>Conduct</w:t>
            </w:r>
            <w:r w:rsidRPr="00844B26">
              <w:t xml:space="preserve"> interviews with </w:t>
            </w:r>
            <w:r>
              <w:t xml:space="preserve">key </w:t>
            </w:r>
            <w:r w:rsidRPr="00844B26">
              <w:t xml:space="preserve">stakeholders </w:t>
            </w:r>
            <w:r>
              <w:t>in Nauru</w:t>
            </w:r>
          </w:p>
          <w:p w14:paraId="1BACA095" w14:textId="77777777" w:rsidR="00AA4AF8" w:rsidRDefault="00AA4AF8" w:rsidP="00033134">
            <w:pPr>
              <w:pStyle w:val="Tablebullet"/>
              <w:ind w:left="360"/>
            </w:pPr>
            <w:r>
              <w:t>Site visits to priority infrastructure investment sites</w:t>
            </w:r>
          </w:p>
          <w:p w14:paraId="48993CA9" w14:textId="77777777" w:rsidR="00AA4AF8" w:rsidRDefault="00AA4AF8" w:rsidP="00033134">
            <w:pPr>
              <w:pStyle w:val="Tablebullet"/>
              <w:ind w:left="360"/>
            </w:pPr>
            <w:r w:rsidRPr="00844B26">
              <w:t xml:space="preserve">Conduct </w:t>
            </w:r>
            <w:r>
              <w:t xml:space="preserve">any follow-up interviews and </w:t>
            </w:r>
            <w:r w:rsidRPr="00844B26">
              <w:t>preliminary analysis of</w:t>
            </w:r>
            <w:r>
              <w:t xml:space="preserve"> the interview results and data</w:t>
            </w:r>
          </w:p>
          <w:p w14:paraId="39B8F2A4" w14:textId="77777777" w:rsidR="00AA4AF8" w:rsidRPr="004856AC" w:rsidRDefault="00AA4AF8" w:rsidP="00033134">
            <w:pPr>
              <w:pStyle w:val="Tablebullet"/>
              <w:ind w:left="360"/>
            </w:pPr>
            <w:r w:rsidRPr="004856AC">
              <w:t>Internal de-brief with DFAT Post</w:t>
            </w:r>
            <w:r>
              <w:t xml:space="preserve"> (morning) and Preparation for the Findings Briefing (afternoon)</w:t>
            </w:r>
          </w:p>
          <w:p w14:paraId="07414FDA" w14:textId="77777777" w:rsidR="00AA4AF8" w:rsidRDefault="00AA4AF8" w:rsidP="00033134">
            <w:pPr>
              <w:pStyle w:val="Tablebullet"/>
              <w:ind w:left="360"/>
            </w:pPr>
            <w:r>
              <w:t>Conduct Preliminary Findings Briefing</w:t>
            </w:r>
            <w:r w:rsidRPr="00FD20E8">
              <w:t xml:space="preserve"> </w:t>
            </w:r>
            <w:r>
              <w:t xml:space="preserve">with DFAT and GoN </w:t>
            </w:r>
            <w:r w:rsidRPr="00FD20E8">
              <w:t xml:space="preserve"> to review the evidence</w:t>
            </w:r>
            <w:r>
              <w:t xml:space="preserve"> and co-develop the findings</w:t>
            </w:r>
          </w:p>
        </w:tc>
        <w:tc>
          <w:tcPr>
            <w:tcW w:w="1275" w:type="dxa"/>
          </w:tcPr>
          <w:p w14:paraId="6FA1229A" w14:textId="77777777" w:rsidR="00AA4AF8" w:rsidRPr="00476F35" w:rsidRDefault="00AA4AF8" w:rsidP="00033134">
            <w:pPr>
              <w:pStyle w:val="tabletext0"/>
            </w:pPr>
            <w:r>
              <w:t>21 Apr –4 May</w:t>
            </w:r>
          </w:p>
        </w:tc>
        <w:tc>
          <w:tcPr>
            <w:tcW w:w="1331" w:type="dxa"/>
          </w:tcPr>
          <w:p w14:paraId="13B967EE" w14:textId="77777777" w:rsidR="00AA4AF8" w:rsidRDefault="00AA4AF8" w:rsidP="00033134">
            <w:pPr>
              <w:pStyle w:val="tabletext0"/>
            </w:pPr>
            <w:r>
              <w:t>1</w:t>
            </w:r>
          </w:p>
        </w:tc>
        <w:tc>
          <w:tcPr>
            <w:tcW w:w="1256" w:type="dxa"/>
          </w:tcPr>
          <w:p w14:paraId="4AD4E436" w14:textId="77777777" w:rsidR="00AA4AF8" w:rsidRDefault="00AA4AF8" w:rsidP="00033134">
            <w:pPr>
              <w:pStyle w:val="tabletext0"/>
            </w:pPr>
            <w:r>
              <w:t>6</w:t>
            </w:r>
          </w:p>
        </w:tc>
        <w:tc>
          <w:tcPr>
            <w:tcW w:w="1241" w:type="dxa"/>
          </w:tcPr>
          <w:p w14:paraId="6443C1C8" w14:textId="77777777" w:rsidR="00AA4AF8" w:rsidRDefault="00AA4AF8" w:rsidP="00033134">
            <w:pPr>
              <w:pStyle w:val="tabletext0"/>
            </w:pPr>
            <w:r>
              <w:t>13</w:t>
            </w:r>
          </w:p>
        </w:tc>
      </w:tr>
      <w:tr w:rsidR="00AA4AF8" w14:paraId="16EE61C6" w14:textId="77777777" w:rsidTr="00033134">
        <w:trPr>
          <w:trHeight w:val="495"/>
        </w:trPr>
        <w:tc>
          <w:tcPr>
            <w:tcW w:w="4395" w:type="dxa"/>
          </w:tcPr>
          <w:p w14:paraId="17A2B219" w14:textId="77777777" w:rsidR="00AA4AF8" w:rsidRPr="00141D3B" w:rsidRDefault="00AA4AF8" w:rsidP="00033134">
            <w:pPr>
              <w:pStyle w:val="tabletext0"/>
            </w:pPr>
            <w:r w:rsidRPr="00F16203">
              <w:rPr>
                <w:lang w:eastAsia="en-AU"/>
              </w:rPr>
              <w:t xml:space="preserve">Travel from Nauru- </w:t>
            </w:r>
            <w:r>
              <w:t>M&amp;E</w:t>
            </w:r>
            <w:r w:rsidRPr="00F16203">
              <w:t xml:space="preserve"> and Sector Specialist</w:t>
            </w:r>
          </w:p>
        </w:tc>
        <w:tc>
          <w:tcPr>
            <w:tcW w:w="1275" w:type="dxa"/>
          </w:tcPr>
          <w:p w14:paraId="579724F3" w14:textId="77777777" w:rsidR="00AA4AF8" w:rsidRPr="00476F35" w:rsidRDefault="00AA4AF8" w:rsidP="00033134">
            <w:pPr>
              <w:pStyle w:val="tabletext0"/>
            </w:pPr>
            <w:r>
              <w:t>4 May</w:t>
            </w:r>
          </w:p>
        </w:tc>
        <w:tc>
          <w:tcPr>
            <w:tcW w:w="1331" w:type="dxa"/>
          </w:tcPr>
          <w:p w14:paraId="5C715D23" w14:textId="77777777" w:rsidR="00AA4AF8" w:rsidRDefault="00AA4AF8" w:rsidP="00033134">
            <w:pPr>
              <w:pStyle w:val="tabletext0"/>
            </w:pPr>
          </w:p>
        </w:tc>
        <w:tc>
          <w:tcPr>
            <w:tcW w:w="1256" w:type="dxa"/>
          </w:tcPr>
          <w:p w14:paraId="040EDFE9" w14:textId="77777777" w:rsidR="00AA4AF8" w:rsidRDefault="00AA4AF8" w:rsidP="00033134">
            <w:pPr>
              <w:pStyle w:val="tabletext0"/>
            </w:pPr>
            <w:r>
              <w:t>1</w:t>
            </w:r>
          </w:p>
        </w:tc>
        <w:tc>
          <w:tcPr>
            <w:tcW w:w="1241" w:type="dxa"/>
          </w:tcPr>
          <w:p w14:paraId="49B0991A" w14:textId="77777777" w:rsidR="00AA4AF8" w:rsidRDefault="00AA4AF8" w:rsidP="00033134">
            <w:pPr>
              <w:pStyle w:val="tabletext0"/>
            </w:pPr>
            <w:r>
              <w:t>2</w:t>
            </w:r>
          </w:p>
        </w:tc>
      </w:tr>
      <w:tr w:rsidR="00AA4AF8" w14:paraId="0E18AF54" w14:textId="77777777" w:rsidTr="00033134">
        <w:trPr>
          <w:trHeight w:val="393"/>
        </w:trPr>
        <w:tc>
          <w:tcPr>
            <w:tcW w:w="4395" w:type="dxa"/>
          </w:tcPr>
          <w:p w14:paraId="5229AEE9" w14:textId="77777777" w:rsidR="00AA4AF8" w:rsidRPr="00476F35" w:rsidRDefault="00AA4AF8" w:rsidP="00033134">
            <w:pPr>
              <w:pStyle w:val="tabletext0"/>
            </w:pPr>
            <w:r>
              <w:t>Further follow-up interviews via telecom (as needed) and Submit Draft Evidence Matrix and Infrastructure Review Report</w:t>
            </w:r>
          </w:p>
        </w:tc>
        <w:tc>
          <w:tcPr>
            <w:tcW w:w="1275" w:type="dxa"/>
          </w:tcPr>
          <w:p w14:paraId="24281383" w14:textId="77777777" w:rsidR="00AA4AF8" w:rsidRPr="00476F35" w:rsidRDefault="00AA4AF8" w:rsidP="00033134">
            <w:pPr>
              <w:pStyle w:val="tabletext0"/>
            </w:pPr>
            <w:r>
              <w:t>2 – 25 May</w:t>
            </w:r>
          </w:p>
        </w:tc>
        <w:tc>
          <w:tcPr>
            <w:tcW w:w="1331" w:type="dxa"/>
          </w:tcPr>
          <w:p w14:paraId="30814D86" w14:textId="77777777" w:rsidR="00AA4AF8" w:rsidRDefault="00AA4AF8" w:rsidP="009E085F">
            <w:pPr>
              <w:pStyle w:val="tabletext0"/>
              <w:spacing w:before="100" w:after="100"/>
            </w:pPr>
            <w:r>
              <w:t>1</w:t>
            </w:r>
          </w:p>
        </w:tc>
        <w:tc>
          <w:tcPr>
            <w:tcW w:w="1256" w:type="dxa"/>
          </w:tcPr>
          <w:p w14:paraId="6B87EBB6" w14:textId="77777777" w:rsidR="00AA4AF8" w:rsidRDefault="00AA4AF8" w:rsidP="00033134">
            <w:pPr>
              <w:pStyle w:val="tabletext0"/>
            </w:pPr>
            <w:r>
              <w:t>1</w:t>
            </w:r>
          </w:p>
        </w:tc>
        <w:tc>
          <w:tcPr>
            <w:tcW w:w="1241" w:type="dxa"/>
          </w:tcPr>
          <w:p w14:paraId="586AA3BF" w14:textId="77777777" w:rsidR="00AA4AF8" w:rsidRDefault="00AA4AF8" w:rsidP="00033134">
            <w:pPr>
              <w:pStyle w:val="tabletext0"/>
            </w:pPr>
            <w:r>
              <w:t>17</w:t>
            </w:r>
          </w:p>
        </w:tc>
      </w:tr>
      <w:tr w:rsidR="00AA4AF8" w14:paraId="1C945C0F" w14:textId="77777777" w:rsidTr="00033134">
        <w:trPr>
          <w:trHeight w:val="495"/>
        </w:trPr>
        <w:tc>
          <w:tcPr>
            <w:tcW w:w="4395" w:type="dxa"/>
          </w:tcPr>
          <w:p w14:paraId="640AF44B" w14:textId="77777777" w:rsidR="00AA4AF8" w:rsidRDefault="00AA4AF8" w:rsidP="00033134">
            <w:pPr>
              <w:pStyle w:val="tabletext0"/>
            </w:pPr>
            <w:r>
              <w:t xml:space="preserve">DFAT Feedback on Draft Infrastructure Report </w:t>
            </w:r>
          </w:p>
        </w:tc>
        <w:tc>
          <w:tcPr>
            <w:tcW w:w="1275" w:type="dxa"/>
          </w:tcPr>
          <w:p w14:paraId="134AC5BA" w14:textId="77777777" w:rsidR="00AA4AF8" w:rsidRDefault="00AA4AF8" w:rsidP="00033134">
            <w:pPr>
              <w:pStyle w:val="tabletext0"/>
            </w:pPr>
            <w:r>
              <w:t>29 May</w:t>
            </w:r>
          </w:p>
        </w:tc>
        <w:tc>
          <w:tcPr>
            <w:tcW w:w="1331" w:type="dxa"/>
          </w:tcPr>
          <w:p w14:paraId="36903A4D" w14:textId="77777777" w:rsidR="00AA4AF8" w:rsidRDefault="00AA4AF8" w:rsidP="00033134">
            <w:pPr>
              <w:pStyle w:val="tabletext0"/>
            </w:pPr>
          </w:p>
        </w:tc>
        <w:tc>
          <w:tcPr>
            <w:tcW w:w="1256" w:type="dxa"/>
          </w:tcPr>
          <w:p w14:paraId="56196B9F" w14:textId="77777777" w:rsidR="00AA4AF8" w:rsidRDefault="00AA4AF8" w:rsidP="00033134">
            <w:pPr>
              <w:pStyle w:val="tabletext0"/>
            </w:pPr>
          </w:p>
        </w:tc>
        <w:tc>
          <w:tcPr>
            <w:tcW w:w="1241" w:type="dxa"/>
          </w:tcPr>
          <w:p w14:paraId="28428FD3" w14:textId="77777777" w:rsidR="00AA4AF8" w:rsidRDefault="00AA4AF8" w:rsidP="00033134">
            <w:pPr>
              <w:pStyle w:val="tabletext0"/>
            </w:pPr>
          </w:p>
        </w:tc>
      </w:tr>
      <w:tr w:rsidR="00AA4AF8" w14:paraId="01DC442B" w14:textId="77777777" w:rsidTr="00033134">
        <w:trPr>
          <w:trHeight w:val="495"/>
        </w:trPr>
        <w:tc>
          <w:tcPr>
            <w:tcW w:w="4395" w:type="dxa"/>
          </w:tcPr>
          <w:p w14:paraId="029C6D17" w14:textId="77777777" w:rsidR="00AA4AF8" w:rsidRDefault="00AA4AF8" w:rsidP="00033134">
            <w:pPr>
              <w:pStyle w:val="tabletext0"/>
            </w:pPr>
            <w:r>
              <w:t>Submit Final Infrastructure Review Report</w:t>
            </w:r>
          </w:p>
        </w:tc>
        <w:tc>
          <w:tcPr>
            <w:tcW w:w="1275" w:type="dxa"/>
          </w:tcPr>
          <w:p w14:paraId="4611C354" w14:textId="77777777" w:rsidR="00AA4AF8" w:rsidRDefault="00AA4AF8" w:rsidP="00033134">
            <w:pPr>
              <w:pStyle w:val="tabletext0"/>
            </w:pPr>
            <w:r>
              <w:t>30 May – 1 June</w:t>
            </w:r>
          </w:p>
        </w:tc>
        <w:tc>
          <w:tcPr>
            <w:tcW w:w="1331" w:type="dxa"/>
          </w:tcPr>
          <w:p w14:paraId="327F3B4B" w14:textId="77777777" w:rsidR="00AA4AF8" w:rsidRDefault="00AA4AF8" w:rsidP="00033134">
            <w:pPr>
              <w:pStyle w:val="tabletext0"/>
            </w:pPr>
            <w:r>
              <w:t>0.25</w:t>
            </w:r>
          </w:p>
        </w:tc>
        <w:tc>
          <w:tcPr>
            <w:tcW w:w="1256" w:type="dxa"/>
          </w:tcPr>
          <w:p w14:paraId="56128B8E" w14:textId="77777777" w:rsidR="00AA4AF8" w:rsidRDefault="00AA4AF8" w:rsidP="00033134">
            <w:pPr>
              <w:pStyle w:val="tabletext0"/>
            </w:pPr>
            <w:r>
              <w:t>1</w:t>
            </w:r>
          </w:p>
        </w:tc>
        <w:tc>
          <w:tcPr>
            <w:tcW w:w="1241" w:type="dxa"/>
          </w:tcPr>
          <w:p w14:paraId="2080A23A" w14:textId="77777777" w:rsidR="00AA4AF8" w:rsidRDefault="00AA4AF8" w:rsidP="00033134">
            <w:pPr>
              <w:pStyle w:val="tabletext0"/>
            </w:pPr>
            <w:r>
              <w:t>3</w:t>
            </w:r>
          </w:p>
        </w:tc>
      </w:tr>
      <w:tr w:rsidR="00AA4AF8" w14:paraId="62C7AE07" w14:textId="77777777" w:rsidTr="00033134">
        <w:trPr>
          <w:trHeight w:val="728"/>
        </w:trPr>
        <w:tc>
          <w:tcPr>
            <w:tcW w:w="4395" w:type="dxa"/>
          </w:tcPr>
          <w:p w14:paraId="7A2FE8D4" w14:textId="77777777" w:rsidR="00AA4AF8" w:rsidRDefault="00AA4AF8" w:rsidP="00033134">
            <w:pPr>
              <w:pStyle w:val="tabletext0"/>
            </w:pPr>
            <w:r>
              <w:t xml:space="preserve">Follow-up input into any Theory of Change workshops, meetings, etc </w:t>
            </w:r>
          </w:p>
        </w:tc>
        <w:tc>
          <w:tcPr>
            <w:tcW w:w="1275" w:type="dxa"/>
          </w:tcPr>
          <w:p w14:paraId="1B040A9A" w14:textId="77777777" w:rsidR="00AA4AF8" w:rsidRPr="00A42723" w:rsidRDefault="00AA4AF8" w:rsidP="00033134">
            <w:pPr>
              <w:pStyle w:val="tabletext0"/>
            </w:pPr>
            <w:r>
              <w:t>June 2018</w:t>
            </w:r>
          </w:p>
        </w:tc>
        <w:tc>
          <w:tcPr>
            <w:tcW w:w="1331" w:type="dxa"/>
          </w:tcPr>
          <w:p w14:paraId="05176AA0" w14:textId="77777777" w:rsidR="00AA4AF8" w:rsidRDefault="00AA4AF8" w:rsidP="00033134">
            <w:pPr>
              <w:pStyle w:val="tabletext0"/>
            </w:pPr>
            <w:r>
              <w:t>1</w:t>
            </w:r>
          </w:p>
        </w:tc>
        <w:tc>
          <w:tcPr>
            <w:tcW w:w="1256" w:type="dxa"/>
          </w:tcPr>
          <w:p w14:paraId="6E6223D6" w14:textId="77777777" w:rsidR="00AA4AF8" w:rsidRDefault="00AA4AF8" w:rsidP="00033134">
            <w:pPr>
              <w:pStyle w:val="tabletext0"/>
            </w:pPr>
            <w:r>
              <w:t>1</w:t>
            </w:r>
          </w:p>
        </w:tc>
        <w:tc>
          <w:tcPr>
            <w:tcW w:w="1241" w:type="dxa"/>
          </w:tcPr>
          <w:p w14:paraId="4605ACEC" w14:textId="77777777" w:rsidR="00AA4AF8" w:rsidRDefault="00AA4AF8" w:rsidP="00033134">
            <w:pPr>
              <w:pStyle w:val="tabletext0"/>
            </w:pPr>
          </w:p>
        </w:tc>
      </w:tr>
    </w:tbl>
    <w:p w14:paraId="216C29A6" w14:textId="77777777" w:rsidR="00AA4AF8" w:rsidRPr="00D6100C" w:rsidRDefault="00AA4AF8" w:rsidP="00AA4AF8">
      <w:pPr>
        <w:tabs>
          <w:tab w:val="left" w:pos="1080"/>
        </w:tabs>
        <w:rPr>
          <w:lang w:eastAsia="en-AU"/>
        </w:rPr>
      </w:pPr>
    </w:p>
    <w:p w14:paraId="4D867662" w14:textId="77777777" w:rsidR="00AA4AF8" w:rsidRDefault="00AA4AF8" w:rsidP="00CC576A">
      <w:pPr>
        <w:rPr>
          <w:lang w:eastAsia="en-AU"/>
        </w:rPr>
      </w:pPr>
    </w:p>
    <w:p w14:paraId="3A786678" w14:textId="77777777" w:rsidR="009E085F" w:rsidRDefault="009E085F" w:rsidP="00CC576A">
      <w:pPr>
        <w:rPr>
          <w:lang w:eastAsia="en-AU"/>
        </w:rPr>
      </w:pPr>
    </w:p>
    <w:p w14:paraId="37FFCD68" w14:textId="77777777" w:rsidR="009E085F" w:rsidRDefault="009E085F" w:rsidP="00CC576A">
      <w:pPr>
        <w:rPr>
          <w:lang w:eastAsia="en-AU"/>
        </w:rPr>
        <w:sectPr w:rsidR="009E085F" w:rsidSect="00AA4AF8">
          <w:pgSz w:w="11907" w:h="16839" w:code="9"/>
          <w:pgMar w:top="1440" w:right="1080" w:bottom="1440" w:left="1080" w:header="720" w:footer="510" w:gutter="0"/>
          <w:cols w:space="720"/>
          <w:docGrid w:linePitch="299"/>
        </w:sectPr>
      </w:pPr>
    </w:p>
    <w:p w14:paraId="6B77D104" w14:textId="77777777" w:rsidR="009E085F" w:rsidRDefault="009E085F" w:rsidP="009E085F">
      <w:pPr>
        <w:pStyle w:val="Heading1"/>
        <w:numPr>
          <w:ilvl w:val="0"/>
          <w:numId w:val="0"/>
        </w:numPr>
        <w:ind w:left="431" w:hanging="431"/>
      </w:pPr>
      <w:bookmarkStart w:id="52" w:name="_Toc518640227"/>
      <w:bookmarkStart w:id="53" w:name="_Toc515577490"/>
      <w:r>
        <w:lastRenderedPageBreak/>
        <w:t>Annex D – Draft Interview Guide</w:t>
      </w:r>
      <w:bookmarkEnd w:id="52"/>
    </w:p>
    <w:bookmarkEnd w:id="53"/>
    <w:p w14:paraId="6E9A762B" w14:textId="77777777" w:rsidR="009E085F" w:rsidRDefault="009E085F" w:rsidP="009E085F">
      <w:pPr>
        <w:jc w:val="both"/>
      </w:pPr>
      <w:r>
        <w:t xml:space="preserve">Interviews are envisioned to be exploratory, covering a number of KRQ sub-questions. All interviews will be </w:t>
      </w:r>
      <w:r w:rsidRPr="008B723D">
        <w:t>semi-structured.</w:t>
      </w:r>
      <w:r>
        <w:t xml:space="preserve"> </w:t>
      </w:r>
    </w:p>
    <w:p w14:paraId="36B4493B" w14:textId="77777777" w:rsidR="009E085F" w:rsidRDefault="009E085F" w:rsidP="009E085F">
      <w:pPr>
        <w:pStyle w:val="Heading4"/>
        <w:jc w:val="both"/>
      </w:pPr>
      <w:r w:rsidRPr="00995765">
        <w:t xml:space="preserve">Background </w:t>
      </w:r>
    </w:p>
    <w:p w14:paraId="3D6A2EC8" w14:textId="77777777" w:rsidR="009E085F" w:rsidRDefault="009E085F" w:rsidP="009E085F">
      <w:pPr>
        <w:jc w:val="both"/>
      </w:pPr>
      <w:r>
        <w:t>The purpose of the interview is to ask you to draw on your experience and perspectives about DFAT’s support to the infrastructure and essential services sector in Nauru</w:t>
      </w:r>
      <w:r w:rsidRPr="00231167">
        <w:t>.  The information you provide</w:t>
      </w:r>
      <w:r>
        <w:t xml:space="preserve"> will be used to develop a report providing DFAT </w:t>
      </w:r>
      <w:r>
        <w:rPr>
          <w:lang w:eastAsia="en-AU"/>
        </w:rPr>
        <w:t>with</w:t>
      </w:r>
      <w:r w:rsidRPr="009D6AE9">
        <w:rPr>
          <w:lang w:eastAsia="en-AU"/>
        </w:rPr>
        <w:t xml:space="preserve"> a broader understanding of the </w:t>
      </w:r>
      <w:r>
        <w:rPr>
          <w:lang w:eastAsia="en-AU"/>
        </w:rPr>
        <w:t>public</w:t>
      </w:r>
      <w:r w:rsidRPr="009D6AE9">
        <w:rPr>
          <w:lang w:eastAsia="en-AU"/>
        </w:rPr>
        <w:t xml:space="preserve"> sector,</w:t>
      </w:r>
      <w:r>
        <w:rPr>
          <w:lang w:eastAsia="en-AU"/>
        </w:rPr>
        <w:t xml:space="preserve"> appropriateness of its existing assistance and future strategic direction for public sector investments. This report </w:t>
      </w:r>
      <w:r>
        <w:t xml:space="preserve">will be shared with the Australian Department of Foreign Affairs and Trade.  </w:t>
      </w:r>
    </w:p>
    <w:p w14:paraId="2D917A09" w14:textId="77777777" w:rsidR="009E085F" w:rsidRDefault="009E085F" w:rsidP="009E085F">
      <w:pPr>
        <w:jc w:val="both"/>
      </w:pPr>
      <w:r>
        <w:t>While you will not be identified by name in the report, identification may be possible by reason of the small number of interviewees we will be contacting. If there are any comments you would not like to be associated with please let me know so that I can ensure confidentiality. Is it okay if I record the interview? This interview is expected to take about 60 minutes. Are you happy to proceed?</w:t>
      </w:r>
    </w:p>
    <w:p w14:paraId="41037AC5" w14:textId="77777777" w:rsidR="009E085F" w:rsidRPr="006D3FF6" w:rsidRDefault="009E085F" w:rsidP="009E085F">
      <w:pPr>
        <w:pStyle w:val="Heading4"/>
        <w:jc w:val="both"/>
        <w:rPr>
          <w:rFonts w:eastAsiaTheme="majorEastAsia"/>
        </w:rPr>
      </w:pPr>
      <w:r w:rsidRPr="006D3FF6">
        <w:rPr>
          <w:rFonts w:eastAsiaTheme="majorEastAsia"/>
        </w:rPr>
        <w:t>Contact Details</w:t>
      </w:r>
    </w:p>
    <w:tbl>
      <w:tblPr>
        <w:tblStyle w:val="TableGrid1"/>
        <w:tblW w:w="0" w:type="auto"/>
        <w:tblLook w:val="04A0" w:firstRow="1" w:lastRow="0" w:firstColumn="1" w:lastColumn="0" w:noHBand="0" w:noVBand="1"/>
      </w:tblPr>
      <w:tblGrid>
        <w:gridCol w:w="3091"/>
        <w:gridCol w:w="5926"/>
      </w:tblGrid>
      <w:tr w:rsidR="009E085F" w:rsidRPr="006D3FF6" w14:paraId="1A2D792B" w14:textId="77777777" w:rsidTr="00033134">
        <w:tc>
          <w:tcPr>
            <w:tcW w:w="3091" w:type="dxa"/>
          </w:tcPr>
          <w:p w14:paraId="3D89A6B1" w14:textId="77777777" w:rsidR="009E085F" w:rsidRPr="006D3FF6" w:rsidRDefault="009E085F" w:rsidP="00033134">
            <w:pPr>
              <w:pStyle w:val="tabletext0"/>
              <w:jc w:val="both"/>
            </w:pPr>
            <w:r>
              <w:t>Name of interviewee</w:t>
            </w:r>
            <w:r w:rsidRPr="006D3FF6">
              <w:t xml:space="preserve"> </w:t>
            </w:r>
          </w:p>
        </w:tc>
        <w:tc>
          <w:tcPr>
            <w:tcW w:w="5926" w:type="dxa"/>
          </w:tcPr>
          <w:p w14:paraId="64CCA6F2" w14:textId="77777777" w:rsidR="009E085F" w:rsidRPr="006D3FF6" w:rsidRDefault="009E085F" w:rsidP="00033134">
            <w:pPr>
              <w:pStyle w:val="tabletext0"/>
              <w:jc w:val="both"/>
            </w:pPr>
          </w:p>
        </w:tc>
      </w:tr>
      <w:tr w:rsidR="009E085F" w:rsidRPr="006D3FF6" w14:paraId="7FAE32A9" w14:textId="77777777" w:rsidTr="00033134">
        <w:tc>
          <w:tcPr>
            <w:tcW w:w="3091" w:type="dxa"/>
          </w:tcPr>
          <w:p w14:paraId="5D8E25A2" w14:textId="77777777" w:rsidR="009E085F" w:rsidRPr="006D3FF6" w:rsidRDefault="009E085F" w:rsidP="00033134">
            <w:pPr>
              <w:pStyle w:val="tabletext0"/>
              <w:jc w:val="both"/>
            </w:pPr>
            <w:r>
              <w:t>Name of organization</w:t>
            </w:r>
          </w:p>
        </w:tc>
        <w:tc>
          <w:tcPr>
            <w:tcW w:w="5926" w:type="dxa"/>
          </w:tcPr>
          <w:p w14:paraId="3146AED7" w14:textId="77777777" w:rsidR="009E085F" w:rsidRPr="006D3FF6" w:rsidRDefault="009E085F" w:rsidP="00033134">
            <w:pPr>
              <w:pStyle w:val="tabletext0"/>
              <w:jc w:val="both"/>
            </w:pPr>
          </w:p>
        </w:tc>
      </w:tr>
      <w:tr w:rsidR="009E085F" w:rsidRPr="006D3FF6" w14:paraId="789C797B" w14:textId="77777777" w:rsidTr="00033134">
        <w:tc>
          <w:tcPr>
            <w:tcW w:w="3091" w:type="dxa"/>
          </w:tcPr>
          <w:p w14:paraId="58DA8550" w14:textId="77777777" w:rsidR="009E085F" w:rsidRPr="006D3FF6" w:rsidRDefault="009E085F" w:rsidP="00033134">
            <w:pPr>
              <w:pStyle w:val="tabletext0"/>
              <w:jc w:val="both"/>
            </w:pPr>
            <w:r w:rsidRPr="006D3FF6">
              <w:t xml:space="preserve">Date </w:t>
            </w:r>
          </w:p>
        </w:tc>
        <w:tc>
          <w:tcPr>
            <w:tcW w:w="5926" w:type="dxa"/>
          </w:tcPr>
          <w:p w14:paraId="52393B15" w14:textId="77777777" w:rsidR="009E085F" w:rsidRPr="006D3FF6" w:rsidRDefault="009E085F" w:rsidP="00033134">
            <w:pPr>
              <w:pStyle w:val="tabletext0"/>
              <w:jc w:val="both"/>
            </w:pPr>
          </w:p>
        </w:tc>
      </w:tr>
    </w:tbl>
    <w:p w14:paraId="25ED5042" w14:textId="77777777" w:rsidR="009E085F" w:rsidRDefault="009E085F" w:rsidP="009E085F">
      <w:pPr>
        <w:pStyle w:val="Heading4"/>
        <w:jc w:val="both"/>
      </w:pPr>
      <w:bookmarkStart w:id="54" w:name="_Hlk509911991"/>
      <w:r>
        <w:t>Introduction</w:t>
      </w:r>
    </w:p>
    <w:p w14:paraId="1C2CAF19" w14:textId="77777777" w:rsidR="009E085F" w:rsidRDefault="009E085F" w:rsidP="00F5286F">
      <w:pPr>
        <w:pStyle w:val="Bullet1normal"/>
        <w:numPr>
          <w:ilvl w:val="0"/>
          <w:numId w:val="40"/>
        </w:numPr>
        <w:jc w:val="both"/>
      </w:pPr>
      <w:r>
        <w:t>Please tell me about your role and involvement in the public sector in Nauru, including:</w:t>
      </w:r>
    </w:p>
    <w:p w14:paraId="7946119E" w14:textId="77777777" w:rsidR="009E085F" w:rsidRDefault="009E085F" w:rsidP="00F5286F">
      <w:pPr>
        <w:pStyle w:val="Bullet1normal"/>
        <w:numPr>
          <w:ilvl w:val="0"/>
          <w:numId w:val="41"/>
        </w:numPr>
        <w:tabs>
          <w:tab w:val="clear" w:pos="1440"/>
        </w:tabs>
        <w:ind w:left="1701" w:hanging="425"/>
        <w:jc w:val="both"/>
      </w:pPr>
      <w:r>
        <w:t>your current position</w:t>
      </w:r>
    </w:p>
    <w:p w14:paraId="101EDBCE" w14:textId="77777777" w:rsidR="009E085F" w:rsidRDefault="009E085F" w:rsidP="00F5286F">
      <w:pPr>
        <w:pStyle w:val="Bullet1normal"/>
        <w:numPr>
          <w:ilvl w:val="0"/>
          <w:numId w:val="41"/>
        </w:numPr>
        <w:tabs>
          <w:tab w:val="clear" w:pos="1440"/>
        </w:tabs>
        <w:ind w:left="1701" w:hanging="425"/>
        <w:jc w:val="both"/>
      </w:pPr>
      <w:r>
        <w:t xml:space="preserve">the length of your term </w:t>
      </w:r>
    </w:p>
    <w:p w14:paraId="0AE315A0" w14:textId="77777777" w:rsidR="009E085F" w:rsidRDefault="009E085F" w:rsidP="00F5286F">
      <w:pPr>
        <w:pStyle w:val="Bullet1normal"/>
        <w:numPr>
          <w:ilvl w:val="0"/>
          <w:numId w:val="40"/>
        </w:numPr>
        <w:jc w:val="both"/>
      </w:pPr>
      <w:r>
        <w:t xml:space="preserve">To your knowledge, what developments and reforms have occurred in the infrastructure and utilities sector in Nauru since 2014 up until now? </w:t>
      </w:r>
    </w:p>
    <w:p w14:paraId="44C15FE9" w14:textId="77777777" w:rsidR="009E085F" w:rsidRDefault="009E085F" w:rsidP="00F5286F">
      <w:pPr>
        <w:pStyle w:val="Bullet1normal"/>
        <w:numPr>
          <w:ilvl w:val="0"/>
          <w:numId w:val="40"/>
        </w:numPr>
        <w:jc w:val="both"/>
      </w:pPr>
      <w:r>
        <w:t xml:space="preserve">Why are these developments/reforms important for Nauru? </w:t>
      </w:r>
    </w:p>
    <w:p w14:paraId="49893DBE" w14:textId="77777777" w:rsidR="009E085F" w:rsidRDefault="009E085F" w:rsidP="00F5286F">
      <w:pPr>
        <w:pStyle w:val="Bullet1normal"/>
        <w:numPr>
          <w:ilvl w:val="0"/>
          <w:numId w:val="40"/>
        </w:numPr>
        <w:jc w:val="both"/>
      </w:pPr>
      <w:r>
        <w:t xml:space="preserve">What support did DFAT provide to influence these changes? </w:t>
      </w:r>
    </w:p>
    <w:p w14:paraId="31128288" w14:textId="77777777" w:rsidR="009E085F" w:rsidRDefault="009E085F" w:rsidP="00F5286F">
      <w:pPr>
        <w:pStyle w:val="Bullet1normal"/>
        <w:numPr>
          <w:ilvl w:val="0"/>
          <w:numId w:val="40"/>
        </w:numPr>
        <w:jc w:val="both"/>
      </w:pPr>
      <w:r>
        <w:t>Should DFAT continue to support these initiatives? Why?</w:t>
      </w:r>
    </w:p>
    <w:p w14:paraId="2E267373" w14:textId="77777777" w:rsidR="009E085F" w:rsidRDefault="009E085F" w:rsidP="00F5286F">
      <w:pPr>
        <w:pStyle w:val="Bullet1normal"/>
        <w:numPr>
          <w:ilvl w:val="0"/>
          <w:numId w:val="40"/>
        </w:numPr>
        <w:jc w:val="both"/>
      </w:pPr>
      <w:r>
        <w:t>Should DFAT support any other alternative activities in infrastructure/utilities? Why?</w:t>
      </w:r>
    </w:p>
    <w:p w14:paraId="1427C6AA" w14:textId="77777777" w:rsidR="009E085F" w:rsidRDefault="009E085F" w:rsidP="00F5286F">
      <w:pPr>
        <w:pStyle w:val="Bullet1normal"/>
        <w:numPr>
          <w:ilvl w:val="0"/>
          <w:numId w:val="40"/>
        </w:numPr>
        <w:jc w:val="both"/>
      </w:pPr>
      <w:r>
        <w:t xml:space="preserve">For selected projects, were suitable alternatives considered to achieve the outcomes? </w:t>
      </w:r>
    </w:p>
    <w:p w14:paraId="54FD30F6" w14:textId="77777777" w:rsidR="009E085F" w:rsidRDefault="009E085F" w:rsidP="00F5286F">
      <w:pPr>
        <w:pStyle w:val="Bullet1normal"/>
        <w:numPr>
          <w:ilvl w:val="0"/>
          <w:numId w:val="40"/>
        </w:numPr>
        <w:jc w:val="both"/>
      </w:pPr>
      <w:r>
        <w:t>If DFAT didn’t provide assistance through inline personnel (CEO NUC), what would’ve been the impact for NUC in terms of utilities reforms and outcomes?</w:t>
      </w:r>
    </w:p>
    <w:p w14:paraId="104C38F8" w14:textId="77777777" w:rsidR="009E085F" w:rsidRDefault="009E085F" w:rsidP="00F5286F">
      <w:pPr>
        <w:pStyle w:val="Bullet1normal"/>
        <w:numPr>
          <w:ilvl w:val="0"/>
          <w:numId w:val="40"/>
        </w:numPr>
        <w:jc w:val="both"/>
      </w:pPr>
      <w:r>
        <w:t>Were activities completed on time and within budget?</w:t>
      </w:r>
    </w:p>
    <w:p w14:paraId="57322F46" w14:textId="77777777" w:rsidR="009E085F" w:rsidRDefault="009E085F" w:rsidP="00F5286F">
      <w:pPr>
        <w:pStyle w:val="Bullet1normal"/>
        <w:numPr>
          <w:ilvl w:val="0"/>
          <w:numId w:val="40"/>
        </w:numPr>
        <w:jc w:val="both"/>
      </w:pPr>
      <w:r w:rsidRPr="001C7BAF">
        <w:t>Has the CEO NUC been effective? Did they provide capacity building for NUC employees?</w:t>
      </w:r>
    </w:p>
    <w:p w14:paraId="3B4C7E93" w14:textId="77777777" w:rsidR="009E085F" w:rsidRDefault="009E085F" w:rsidP="00F5286F">
      <w:pPr>
        <w:pStyle w:val="Bullet1normal"/>
        <w:numPr>
          <w:ilvl w:val="0"/>
          <w:numId w:val="40"/>
        </w:numPr>
        <w:jc w:val="both"/>
      </w:pPr>
      <w:r>
        <w:t xml:space="preserve">Is DFAT investment generally harmonised with other donors and aligned with GoN systems? </w:t>
      </w:r>
    </w:p>
    <w:p w14:paraId="00A0A7B2" w14:textId="77777777" w:rsidR="009E085F" w:rsidRDefault="009E085F" w:rsidP="00F5286F">
      <w:pPr>
        <w:pStyle w:val="Bullet1normal"/>
        <w:numPr>
          <w:ilvl w:val="0"/>
          <w:numId w:val="40"/>
        </w:numPr>
        <w:jc w:val="both"/>
      </w:pPr>
      <w:r w:rsidRPr="002C1626">
        <w:t xml:space="preserve">To what extent have DFAT’s investments provided opportunities to promote private sector development and innovation? </w:t>
      </w:r>
    </w:p>
    <w:p w14:paraId="2E4E066C" w14:textId="77777777" w:rsidR="009E085F" w:rsidRDefault="009E085F" w:rsidP="009E085F">
      <w:pPr>
        <w:pStyle w:val="Bullet1normal"/>
        <w:numPr>
          <w:ilvl w:val="0"/>
          <w:numId w:val="0"/>
        </w:numPr>
        <w:ind w:left="1080"/>
        <w:jc w:val="both"/>
      </w:pPr>
      <w:r>
        <w:t>______________________________________</w:t>
      </w:r>
    </w:p>
    <w:p w14:paraId="02591DE7" w14:textId="77777777" w:rsidR="009E085F" w:rsidRPr="003F769D" w:rsidRDefault="009E085F" w:rsidP="009E085F">
      <w:pPr>
        <w:pStyle w:val="Tablebullet"/>
        <w:ind w:left="720"/>
        <w:rPr>
          <w:i/>
        </w:rPr>
      </w:pPr>
      <w:r w:rsidRPr="003F769D">
        <w:rPr>
          <w:i/>
        </w:rPr>
        <w:lastRenderedPageBreak/>
        <w:t xml:space="preserve">Questions </w:t>
      </w:r>
      <w:r>
        <w:rPr>
          <w:i/>
        </w:rPr>
        <w:t xml:space="preserve">13 – 16 </w:t>
      </w:r>
      <w:r w:rsidRPr="003F769D">
        <w:rPr>
          <w:i/>
        </w:rPr>
        <w:t>are applicable to this list of projects:</w:t>
      </w:r>
    </w:p>
    <w:p w14:paraId="2FDCDC88" w14:textId="77777777" w:rsidR="009E085F" w:rsidRDefault="009E085F" w:rsidP="00F5286F">
      <w:pPr>
        <w:pStyle w:val="Tablebullet"/>
        <w:numPr>
          <w:ilvl w:val="1"/>
          <w:numId w:val="42"/>
        </w:numPr>
      </w:pPr>
      <w:r w:rsidRPr="00A377E3">
        <w:t>Learning Village</w:t>
      </w:r>
    </w:p>
    <w:p w14:paraId="470512AE" w14:textId="77777777" w:rsidR="009E085F" w:rsidRDefault="009E085F" w:rsidP="00F5286F">
      <w:pPr>
        <w:pStyle w:val="Tablebullet"/>
        <w:numPr>
          <w:ilvl w:val="1"/>
          <w:numId w:val="42"/>
        </w:numPr>
      </w:pPr>
      <w:r w:rsidRPr="00A377E3">
        <w:t>Household Water Tanks Project</w:t>
      </w:r>
    </w:p>
    <w:p w14:paraId="28AA7810" w14:textId="77777777" w:rsidR="009E085F" w:rsidRDefault="009E085F" w:rsidP="00F5286F">
      <w:pPr>
        <w:pStyle w:val="Tablebullet"/>
        <w:numPr>
          <w:ilvl w:val="1"/>
          <w:numId w:val="42"/>
        </w:numPr>
      </w:pPr>
      <w:r w:rsidRPr="00A377E3">
        <w:t xml:space="preserve">Nauru Electricity Supply and Sustainability </w:t>
      </w:r>
    </w:p>
    <w:p w14:paraId="2ECCCDB0" w14:textId="77777777" w:rsidR="009E085F" w:rsidRDefault="009E085F" w:rsidP="00F5286F">
      <w:pPr>
        <w:pStyle w:val="Tablebullet"/>
        <w:numPr>
          <w:ilvl w:val="1"/>
          <w:numId w:val="42"/>
        </w:numPr>
      </w:pPr>
      <w:r w:rsidRPr="00A377E3">
        <w:t>Indoor Sports Facility</w:t>
      </w:r>
    </w:p>
    <w:p w14:paraId="01FBA48B" w14:textId="77777777" w:rsidR="009E085F" w:rsidRDefault="009E085F" w:rsidP="00F5286F">
      <w:pPr>
        <w:pStyle w:val="Tablebullet"/>
        <w:numPr>
          <w:ilvl w:val="1"/>
          <w:numId w:val="42"/>
        </w:numPr>
      </w:pPr>
      <w:r w:rsidRPr="00A377E3">
        <w:t>Port Reform and Institutional Strengthening</w:t>
      </w:r>
      <w:r>
        <w:t xml:space="preserve"> </w:t>
      </w:r>
      <w:r w:rsidRPr="00A377E3">
        <w:t>Project</w:t>
      </w:r>
    </w:p>
    <w:p w14:paraId="2DE4268A" w14:textId="77777777" w:rsidR="009E085F" w:rsidRDefault="009E085F" w:rsidP="00F5286F">
      <w:pPr>
        <w:pStyle w:val="Tablebullet"/>
        <w:numPr>
          <w:ilvl w:val="1"/>
          <w:numId w:val="42"/>
        </w:numPr>
      </w:pPr>
      <w:r w:rsidRPr="00A377E3">
        <w:t xml:space="preserve">RON Hospital Redevelopment </w:t>
      </w:r>
    </w:p>
    <w:p w14:paraId="24A73EE6" w14:textId="77777777" w:rsidR="009E085F" w:rsidRDefault="009E085F" w:rsidP="00F5286F">
      <w:pPr>
        <w:pStyle w:val="Tablebullet"/>
        <w:numPr>
          <w:ilvl w:val="1"/>
          <w:numId w:val="42"/>
        </w:numPr>
      </w:pPr>
      <w:r w:rsidRPr="00A377E3">
        <w:t xml:space="preserve">Hospital Masterplan Review </w:t>
      </w:r>
    </w:p>
    <w:p w14:paraId="3F24C1F7" w14:textId="77777777" w:rsidR="009E085F" w:rsidRDefault="009E085F" w:rsidP="00F5286F">
      <w:pPr>
        <w:pStyle w:val="Tablebullet"/>
        <w:numPr>
          <w:ilvl w:val="1"/>
          <w:numId w:val="42"/>
        </w:numPr>
      </w:pPr>
      <w:r w:rsidRPr="00A377E3">
        <w:t>Concept designs for Nurses Quarters (Phase 3 prep)</w:t>
      </w:r>
    </w:p>
    <w:p w14:paraId="0031F45B" w14:textId="77777777" w:rsidR="009E085F" w:rsidRDefault="009E085F" w:rsidP="009E085F">
      <w:pPr>
        <w:pStyle w:val="Tablebullet"/>
        <w:ind w:left="1080"/>
      </w:pPr>
    </w:p>
    <w:p w14:paraId="1777EF73" w14:textId="77777777" w:rsidR="009E085F" w:rsidRDefault="009E085F" w:rsidP="00F5286F">
      <w:pPr>
        <w:pStyle w:val="Bullet1normal"/>
        <w:numPr>
          <w:ilvl w:val="0"/>
          <w:numId w:val="40"/>
        </w:numPr>
        <w:jc w:val="both"/>
      </w:pPr>
      <w:r>
        <w:t xml:space="preserve">Have the designs for these </w:t>
      </w:r>
      <w:r w:rsidRPr="006B4684">
        <w:t xml:space="preserve">infrastructure </w:t>
      </w:r>
      <w:r>
        <w:t xml:space="preserve">projects been “fit for purpose” to achieve their goals? </w:t>
      </w:r>
    </w:p>
    <w:p w14:paraId="6F29BE95" w14:textId="77777777" w:rsidR="009E085F" w:rsidRDefault="009E085F" w:rsidP="00F5286F">
      <w:pPr>
        <w:pStyle w:val="Bullet1normal"/>
        <w:numPr>
          <w:ilvl w:val="0"/>
          <w:numId w:val="40"/>
        </w:numPr>
        <w:jc w:val="both"/>
      </w:pPr>
      <w:r>
        <w:t xml:space="preserve">Will they continue to do so </w:t>
      </w:r>
      <w:r w:rsidRPr="002472F4">
        <w:t>over time in a changing climate</w:t>
      </w:r>
      <w:r>
        <w:t xml:space="preserve"> (sea level rise, increased intensity and frequency of storms, changed rainfall patterns, increased temperature ranges)</w:t>
      </w:r>
      <w:r w:rsidRPr="002472F4">
        <w:t>?</w:t>
      </w:r>
      <w:r w:rsidRPr="006B4684">
        <w:t xml:space="preserve"> </w:t>
      </w:r>
    </w:p>
    <w:p w14:paraId="2F813DFE" w14:textId="77777777" w:rsidR="009E085F" w:rsidRDefault="009E085F" w:rsidP="00F5286F">
      <w:pPr>
        <w:pStyle w:val="Bullet1normal"/>
        <w:numPr>
          <w:ilvl w:val="0"/>
          <w:numId w:val="40"/>
        </w:numPr>
        <w:jc w:val="both"/>
      </w:pPr>
      <w:r>
        <w:t>Have ESIA reports been prepared for these projects and suitably reviewed for quality?</w:t>
      </w:r>
    </w:p>
    <w:p w14:paraId="0C33F97E" w14:textId="77777777" w:rsidR="009E085F" w:rsidRDefault="009E085F" w:rsidP="00F5286F">
      <w:pPr>
        <w:pStyle w:val="Bullet1normal"/>
        <w:numPr>
          <w:ilvl w:val="0"/>
          <w:numId w:val="40"/>
        </w:numPr>
        <w:jc w:val="both"/>
      </w:pPr>
      <w:r>
        <w:t xml:space="preserve">Have these project designs assessed opportunities for </w:t>
      </w:r>
      <w:r w:rsidRPr="00E23366">
        <w:t>improvements in gender equality, disability inclusive development and climate change mitigation?</w:t>
      </w:r>
    </w:p>
    <w:p w14:paraId="40F6FD70" w14:textId="77777777" w:rsidR="009E085F" w:rsidRDefault="009E085F" w:rsidP="009E085F">
      <w:pPr>
        <w:pStyle w:val="Bullet1normal"/>
        <w:numPr>
          <w:ilvl w:val="0"/>
          <w:numId w:val="0"/>
        </w:numPr>
        <w:ind w:left="1080"/>
        <w:jc w:val="both"/>
      </w:pPr>
      <w:r>
        <w:t>___________________________________________</w:t>
      </w:r>
    </w:p>
    <w:p w14:paraId="5E658109" w14:textId="77777777" w:rsidR="009E085F" w:rsidRDefault="009E085F" w:rsidP="009E085F">
      <w:pPr>
        <w:pStyle w:val="Bullet1normal"/>
        <w:numPr>
          <w:ilvl w:val="0"/>
          <w:numId w:val="0"/>
        </w:numPr>
        <w:ind w:left="720"/>
        <w:jc w:val="both"/>
        <w:rPr>
          <w:i/>
        </w:rPr>
      </w:pPr>
      <w:r w:rsidRPr="003F769D">
        <w:rPr>
          <w:i/>
        </w:rPr>
        <w:t>Questions 1</w:t>
      </w:r>
      <w:r>
        <w:rPr>
          <w:i/>
        </w:rPr>
        <w:t>7</w:t>
      </w:r>
      <w:r w:rsidRPr="003F769D">
        <w:rPr>
          <w:i/>
        </w:rPr>
        <w:t xml:space="preserve"> </w:t>
      </w:r>
      <w:r>
        <w:rPr>
          <w:i/>
        </w:rPr>
        <w:t xml:space="preserve">– 21 is </w:t>
      </w:r>
      <w:r w:rsidRPr="003F769D">
        <w:rPr>
          <w:i/>
        </w:rPr>
        <w:t>applicable to this list of projects:</w:t>
      </w:r>
    </w:p>
    <w:p w14:paraId="77141DD1" w14:textId="77777777" w:rsidR="009E085F" w:rsidRPr="003F769D" w:rsidRDefault="009E085F" w:rsidP="00F5286F">
      <w:pPr>
        <w:pStyle w:val="Tablebullet"/>
        <w:numPr>
          <w:ilvl w:val="0"/>
          <w:numId w:val="43"/>
        </w:numPr>
      </w:pPr>
      <w:r w:rsidRPr="00EB2442">
        <w:t>Learning</w:t>
      </w:r>
      <w:r w:rsidRPr="003F769D">
        <w:t xml:space="preserve"> Village </w:t>
      </w:r>
    </w:p>
    <w:p w14:paraId="59C8DC2D" w14:textId="77777777" w:rsidR="009E085F" w:rsidRDefault="009E085F" w:rsidP="00F5286F">
      <w:pPr>
        <w:pStyle w:val="Tablebullet"/>
        <w:numPr>
          <w:ilvl w:val="0"/>
          <w:numId w:val="43"/>
        </w:numPr>
      </w:pPr>
      <w:r w:rsidRPr="003F769D">
        <w:t xml:space="preserve">Household Water Tanks Project </w:t>
      </w:r>
    </w:p>
    <w:p w14:paraId="09B390EE" w14:textId="77777777" w:rsidR="009E085F" w:rsidRPr="003F769D" w:rsidRDefault="009E085F" w:rsidP="00F5286F">
      <w:pPr>
        <w:pStyle w:val="Tablebullet"/>
        <w:numPr>
          <w:ilvl w:val="0"/>
          <w:numId w:val="43"/>
        </w:numPr>
      </w:pPr>
      <w:r w:rsidRPr="003F769D">
        <w:t>Nauru Electricity Supply and Sustainability Project</w:t>
      </w:r>
    </w:p>
    <w:p w14:paraId="48CBA120" w14:textId="77777777" w:rsidR="009E085F" w:rsidRPr="003F769D" w:rsidRDefault="009E085F" w:rsidP="00F5286F">
      <w:pPr>
        <w:pStyle w:val="Tablebullet"/>
        <w:numPr>
          <w:ilvl w:val="0"/>
          <w:numId w:val="43"/>
        </w:numPr>
      </w:pPr>
      <w:r w:rsidRPr="003F769D">
        <w:t>Indoor Sports Facility</w:t>
      </w:r>
    </w:p>
    <w:p w14:paraId="46F117F9" w14:textId="77777777" w:rsidR="009E085F" w:rsidRDefault="009E085F" w:rsidP="00F5286F">
      <w:pPr>
        <w:pStyle w:val="Tablebullet"/>
        <w:numPr>
          <w:ilvl w:val="0"/>
          <w:numId w:val="43"/>
        </w:numPr>
      </w:pPr>
      <w:r w:rsidRPr="003F769D">
        <w:t>Basketball Court Refurbishment (Epon Keramen)</w:t>
      </w:r>
    </w:p>
    <w:p w14:paraId="2A319302" w14:textId="77777777" w:rsidR="009E085F" w:rsidRPr="003F769D" w:rsidRDefault="009E085F" w:rsidP="00F5286F">
      <w:pPr>
        <w:pStyle w:val="Tablebullet"/>
        <w:numPr>
          <w:ilvl w:val="0"/>
          <w:numId w:val="43"/>
        </w:numPr>
      </w:pPr>
      <w:r w:rsidRPr="003F769D">
        <w:t>Port Reform and Institutional Strengthening</w:t>
      </w:r>
    </w:p>
    <w:p w14:paraId="4AE18E9D" w14:textId="77777777" w:rsidR="009E085F" w:rsidRDefault="009E085F" w:rsidP="00F5286F">
      <w:pPr>
        <w:pStyle w:val="Tablebullet"/>
        <w:numPr>
          <w:ilvl w:val="0"/>
          <w:numId w:val="43"/>
        </w:numPr>
      </w:pPr>
      <w:r w:rsidRPr="003F769D">
        <w:t>RON Hospital Redevelopment</w:t>
      </w:r>
    </w:p>
    <w:p w14:paraId="4A290389" w14:textId="77777777" w:rsidR="009E085F" w:rsidRPr="003F769D" w:rsidRDefault="009E085F" w:rsidP="00F5286F">
      <w:pPr>
        <w:pStyle w:val="Tablebullet"/>
        <w:numPr>
          <w:ilvl w:val="0"/>
          <w:numId w:val="43"/>
        </w:numPr>
      </w:pPr>
      <w:r w:rsidRPr="003F769D">
        <w:t>Hospital Masterplan Review</w:t>
      </w:r>
    </w:p>
    <w:p w14:paraId="22798B31" w14:textId="77777777" w:rsidR="009E085F" w:rsidRPr="003F769D" w:rsidRDefault="009E085F" w:rsidP="00F5286F">
      <w:pPr>
        <w:pStyle w:val="Tablebullet"/>
        <w:numPr>
          <w:ilvl w:val="0"/>
          <w:numId w:val="43"/>
        </w:numPr>
      </w:pPr>
      <w:r w:rsidRPr="003F769D">
        <w:t xml:space="preserve">PACTAM - NUC CEO / Institutional Reform </w:t>
      </w:r>
    </w:p>
    <w:p w14:paraId="2BDDAA46" w14:textId="77777777" w:rsidR="009E085F" w:rsidRPr="003F769D" w:rsidRDefault="009E085F" w:rsidP="00F5286F">
      <w:pPr>
        <w:pStyle w:val="Tablebullet"/>
        <w:numPr>
          <w:ilvl w:val="0"/>
          <w:numId w:val="43"/>
        </w:numPr>
      </w:pPr>
      <w:r w:rsidRPr="003F769D">
        <w:t>Concept designs for Nurses Quarters (Phase 3 prep)</w:t>
      </w:r>
    </w:p>
    <w:p w14:paraId="71DA003D" w14:textId="77777777" w:rsidR="009E085F" w:rsidRDefault="009E085F" w:rsidP="00F5286F">
      <w:pPr>
        <w:pStyle w:val="Bullet1normal"/>
        <w:numPr>
          <w:ilvl w:val="0"/>
          <w:numId w:val="40"/>
        </w:numPr>
        <w:jc w:val="both"/>
      </w:pPr>
      <w:r>
        <w:t>Has the project design or implemented assessed needed institutional strengthening and capacity building to maintain the asset over time, or identified the project to be worthwhile even if it will not be maintained?</w:t>
      </w:r>
    </w:p>
    <w:p w14:paraId="534828EF" w14:textId="77777777" w:rsidR="009E085F" w:rsidRDefault="009E085F" w:rsidP="00F5286F">
      <w:pPr>
        <w:pStyle w:val="Bullet1normal"/>
        <w:numPr>
          <w:ilvl w:val="0"/>
          <w:numId w:val="40"/>
        </w:numPr>
        <w:jc w:val="both"/>
      </w:pPr>
      <w:r>
        <w:t xml:space="preserve">Have efforts been made to clearly identify who will manage daily operations of the asset (e.g. cleaning, ensuring utilities are connected, managing bookings of facilities, managing rubbish disposal, etc)? </w:t>
      </w:r>
    </w:p>
    <w:p w14:paraId="12572D92" w14:textId="77777777" w:rsidR="009E085F" w:rsidRDefault="009E085F" w:rsidP="00F5286F">
      <w:pPr>
        <w:pStyle w:val="Bullet1normal"/>
        <w:numPr>
          <w:ilvl w:val="0"/>
          <w:numId w:val="40"/>
        </w:numPr>
        <w:jc w:val="both"/>
      </w:pPr>
      <w:r>
        <w:t xml:space="preserve">Is it clear whose responsibility (department) it is (or will be) to maintain the asset? </w:t>
      </w:r>
    </w:p>
    <w:p w14:paraId="357BFE3A" w14:textId="77777777" w:rsidR="009E085F" w:rsidRDefault="009E085F" w:rsidP="00F5286F">
      <w:pPr>
        <w:pStyle w:val="Bullet1normal"/>
        <w:numPr>
          <w:ilvl w:val="0"/>
          <w:numId w:val="40"/>
        </w:numPr>
        <w:jc w:val="both"/>
      </w:pPr>
      <w:r>
        <w:t>Does that department have allocated budget and resources (personnel, vehicles, safety equipment) necessary to be able to inspect and maintain assets?</w:t>
      </w:r>
    </w:p>
    <w:p w14:paraId="70D4B5C8" w14:textId="77777777" w:rsidR="009E085F" w:rsidRDefault="009E085F" w:rsidP="00F5286F">
      <w:pPr>
        <w:pStyle w:val="Bullet1normal"/>
        <w:numPr>
          <w:ilvl w:val="0"/>
          <w:numId w:val="40"/>
        </w:numPr>
        <w:jc w:val="both"/>
      </w:pPr>
      <w:r>
        <w:t>Is there a mechanism in place for defects or maintenance issues to be reported, tracked and resolved?</w:t>
      </w:r>
    </w:p>
    <w:p w14:paraId="2B4EBB22" w14:textId="77777777" w:rsidR="009E085F" w:rsidRDefault="009E085F" w:rsidP="009E085F">
      <w:pPr>
        <w:pStyle w:val="Bullet1normal"/>
        <w:numPr>
          <w:ilvl w:val="0"/>
          <w:numId w:val="0"/>
        </w:numPr>
        <w:ind w:left="1080"/>
        <w:jc w:val="both"/>
      </w:pPr>
      <w:r>
        <w:t>__________________________________________________</w:t>
      </w:r>
    </w:p>
    <w:p w14:paraId="066DDC66" w14:textId="77777777" w:rsidR="009E085F" w:rsidRDefault="009E085F" w:rsidP="00F5286F">
      <w:pPr>
        <w:pStyle w:val="Bullet1normal"/>
        <w:numPr>
          <w:ilvl w:val="0"/>
          <w:numId w:val="40"/>
        </w:numPr>
        <w:jc w:val="both"/>
      </w:pPr>
      <w:r>
        <w:t>What is the current M&amp;E and review structure for the Nauru Sports Complex and the Nauru Ports Reform Project? Is it the most appropriate mechanism to measure progress?</w:t>
      </w:r>
    </w:p>
    <w:p w14:paraId="3FACEEC0" w14:textId="77777777" w:rsidR="009E085F" w:rsidRDefault="009E085F" w:rsidP="00F5286F">
      <w:pPr>
        <w:pStyle w:val="Bullet1normal"/>
        <w:numPr>
          <w:ilvl w:val="0"/>
          <w:numId w:val="40"/>
        </w:numPr>
        <w:jc w:val="both"/>
      </w:pPr>
      <w:r>
        <w:t>How can progress against the overall Nauru Infrastructure and Services investment by DFAT be measured?</w:t>
      </w:r>
    </w:p>
    <w:p w14:paraId="68501058" w14:textId="77777777" w:rsidR="009E085F" w:rsidRDefault="009E085F" w:rsidP="009E085F">
      <w:pPr>
        <w:pStyle w:val="Bullet1normal"/>
        <w:numPr>
          <w:ilvl w:val="0"/>
          <w:numId w:val="0"/>
        </w:numPr>
        <w:ind w:left="1080" w:hanging="360"/>
        <w:jc w:val="both"/>
      </w:pPr>
      <w:r>
        <w:t>Finally, are there any other closing comments you would like to make?</w:t>
      </w:r>
    </w:p>
    <w:p w14:paraId="628FDC94" w14:textId="77777777" w:rsidR="009E085F" w:rsidRDefault="009E085F" w:rsidP="009E085F">
      <w:pPr>
        <w:pStyle w:val="Heading1"/>
        <w:numPr>
          <w:ilvl w:val="0"/>
          <w:numId w:val="0"/>
        </w:numPr>
        <w:ind w:left="431" w:hanging="431"/>
      </w:pPr>
      <w:bookmarkStart w:id="55" w:name="_Ref516082636"/>
      <w:bookmarkStart w:id="56" w:name="_Ref516082640"/>
      <w:bookmarkStart w:id="57" w:name="_Ref516082643"/>
      <w:bookmarkStart w:id="58" w:name="_Toc518640228"/>
      <w:bookmarkStart w:id="59" w:name="_Toc515577491"/>
      <w:bookmarkEnd w:id="54"/>
      <w:r>
        <w:lastRenderedPageBreak/>
        <w:t>Annex E – Strength of Evidence Rubric</w:t>
      </w:r>
      <w:bookmarkEnd w:id="55"/>
      <w:bookmarkEnd w:id="56"/>
      <w:bookmarkEnd w:id="57"/>
      <w:r w:rsidR="00A276EB">
        <w:t xml:space="preserve"> &amp; Rating Scale</w:t>
      </w:r>
      <w:bookmarkEnd w:id="58"/>
    </w:p>
    <w:tbl>
      <w:tblPr>
        <w:tblStyle w:val="TableGrid"/>
        <w:tblW w:w="0" w:type="auto"/>
        <w:tblLook w:val="04A0" w:firstRow="1" w:lastRow="0" w:firstColumn="1" w:lastColumn="0" w:noHBand="0" w:noVBand="1"/>
      </w:tblPr>
      <w:tblGrid>
        <w:gridCol w:w="2246"/>
        <w:gridCol w:w="6771"/>
      </w:tblGrid>
      <w:tr w:rsidR="009E085F" w14:paraId="58CACC25" w14:textId="77777777" w:rsidTr="00033134">
        <w:trPr>
          <w:trHeight w:val="425"/>
        </w:trPr>
        <w:tc>
          <w:tcPr>
            <w:tcW w:w="2246" w:type="dxa"/>
          </w:tcPr>
          <w:bookmarkEnd w:id="59"/>
          <w:p w14:paraId="440E0716" w14:textId="77777777" w:rsidR="009E085F" w:rsidRDefault="009E085F" w:rsidP="009E085F">
            <w:pPr>
              <w:spacing w:before="100" w:after="100"/>
              <w:rPr>
                <w:b/>
              </w:rPr>
            </w:pPr>
            <w:r w:rsidRPr="00550E18">
              <w:rPr>
                <w:b/>
                <w:bCs/>
                <w:color w:val="000000" w:themeColor="text1"/>
              </w:rPr>
              <w:t>Evidence</w:t>
            </w:r>
          </w:p>
        </w:tc>
        <w:tc>
          <w:tcPr>
            <w:tcW w:w="6771" w:type="dxa"/>
          </w:tcPr>
          <w:p w14:paraId="6932B15B" w14:textId="77777777" w:rsidR="009E085F" w:rsidRDefault="009E085F" w:rsidP="00033134">
            <w:pPr>
              <w:rPr>
                <w:b/>
              </w:rPr>
            </w:pPr>
            <w:r w:rsidRPr="00550E18">
              <w:rPr>
                <w:b/>
                <w:bCs/>
                <w:color w:val="000000" w:themeColor="text1"/>
              </w:rPr>
              <w:t>Definition</w:t>
            </w:r>
          </w:p>
        </w:tc>
      </w:tr>
      <w:tr w:rsidR="009E085F" w14:paraId="3BBACA6A" w14:textId="77777777" w:rsidTr="00033134">
        <w:trPr>
          <w:trHeight w:val="454"/>
        </w:trPr>
        <w:tc>
          <w:tcPr>
            <w:tcW w:w="2246" w:type="dxa"/>
          </w:tcPr>
          <w:p w14:paraId="77068A58" w14:textId="77777777" w:rsidR="009E085F" w:rsidRDefault="009E085F" w:rsidP="00033134">
            <w:pPr>
              <w:rPr>
                <w:b/>
              </w:rPr>
            </w:pPr>
            <w:r>
              <w:rPr>
                <w:color w:val="000000" w:themeColor="text1"/>
              </w:rPr>
              <w:t>Weak</w:t>
            </w:r>
          </w:p>
        </w:tc>
        <w:tc>
          <w:tcPr>
            <w:tcW w:w="6771" w:type="dxa"/>
          </w:tcPr>
          <w:p w14:paraId="50F6492E" w14:textId="77777777" w:rsidR="009E085F" w:rsidRDefault="009E085F" w:rsidP="00033134">
            <w:pPr>
              <w:spacing w:line="252" w:lineRule="auto"/>
              <w:rPr>
                <w:color w:val="000000" w:themeColor="text1"/>
              </w:rPr>
            </w:pPr>
            <w:r>
              <w:rPr>
                <w:color w:val="000000" w:themeColor="text1"/>
              </w:rPr>
              <w:t>Includes non-validated assertions, personal opinions and anecdotes. Weak evidence is not sufficient to rate an investment criterion satisfactory.</w:t>
            </w:r>
          </w:p>
          <w:p w14:paraId="13624341" w14:textId="77777777" w:rsidR="009E085F" w:rsidRPr="00C40878" w:rsidRDefault="009E085F" w:rsidP="00033134">
            <w:pPr>
              <w:spacing w:line="252" w:lineRule="auto"/>
              <w:rPr>
                <w:color w:val="000000" w:themeColor="text1"/>
              </w:rPr>
            </w:pPr>
          </w:p>
        </w:tc>
      </w:tr>
      <w:tr w:rsidR="009E085F" w14:paraId="0E2CFEEB" w14:textId="77777777" w:rsidTr="00033134">
        <w:trPr>
          <w:trHeight w:val="454"/>
        </w:trPr>
        <w:tc>
          <w:tcPr>
            <w:tcW w:w="2246" w:type="dxa"/>
          </w:tcPr>
          <w:p w14:paraId="07F40806" w14:textId="77777777" w:rsidR="009E085F" w:rsidRPr="00550E18" w:rsidRDefault="009E085F" w:rsidP="00033134">
            <w:pPr>
              <w:rPr>
                <w:color w:val="000000" w:themeColor="text1"/>
              </w:rPr>
            </w:pPr>
            <w:r>
              <w:rPr>
                <w:color w:val="000000" w:themeColor="text1"/>
              </w:rPr>
              <w:t>Moderate</w:t>
            </w:r>
          </w:p>
        </w:tc>
        <w:tc>
          <w:tcPr>
            <w:tcW w:w="6771" w:type="dxa"/>
          </w:tcPr>
          <w:p w14:paraId="37E4748B" w14:textId="77777777" w:rsidR="009E085F" w:rsidRDefault="009E085F" w:rsidP="00033134">
            <w:pPr>
              <w:spacing w:line="252" w:lineRule="auto"/>
              <w:rPr>
                <w:color w:val="000000" w:themeColor="text1"/>
              </w:rPr>
            </w:pPr>
            <w:r>
              <w:rPr>
                <w:color w:val="000000" w:themeColor="text1"/>
              </w:rPr>
              <w:t>Evidence derived from a more limited range of sources such as implementing agency reports, records of monitoring visits or records of discussions with partners and other stakeholders.</w:t>
            </w:r>
          </w:p>
          <w:p w14:paraId="5257D256" w14:textId="77777777" w:rsidR="009E085F" w:rsidRDefault="009E085F" w:rsidP="00033134">
            <w:pPr>
              <w:spacing w:line="252" w:lineRule="auto"/>
              <w:rPr>
                <w:color w:val="000000" w:themeColor="text1"/>
              </w:rPr>
            </w:pPr>
          </w:p>
        </w:tc>
      </w:tr>
      <w:tr w:rsidR="009E085F" w14:paraId="3567A0E9" w14:textId="77777777" w:rsidTr="00033134">
        <w:trPr>
          <w:trHeight w:val="425"/>
        </w:trPr>
        <w:tc>
          <w:tcPr>
            <w:tcW w:w="2246" w:type="dxa"/>
          </w:tcPr>
          <w:p w14:paraId="6F3C3065" w14:textId="77777777" w:rsidR="009E085F" w:rsidRPr="00550E18" w:rsidRDefault="009E085F" w:rsidP="00033134">
            <w:pPr>
              <w:spacing w:before="100" w:after="100" w:line="252" w:lineRule="auto"/>
              <w:rPr>
                <w:color w:val="000000" w:themeColor="text1"/>
              </w:rPr>
            </w:pPr>
            <w:r>
              <w:rPr>
                <w:color w:val="000000" w:themeColor="text1"/>
              </w:rPr>
              <w:t>Strong</w:t>
            </w:r>
          </w:p>
        </w:tc>
        <w:tc>
          <w:tcPr>
            <w:tcW w:w="6771" w:type="dxa"/>
          </w:tcPr>
          <w:p w14:paraId="73198747" w14:textId="77777777" w:rsidR="009E085F" w:rsidRPr="00156AEB" w:rsidRDefault="009E085F" w:rsidP="00033134">
            <w:pPr>
              <w:spacing w:before="100" w:after="100" w:line="252" w:lineRule="auto"/>
              <w:rPr>
                <w:color w:val="000000" w:themeColor="text1"/>
              </w:rPr>
            </w:pPr>
            <w:r>
              <w:rPr>
                <w:color w:val="000000" w:themeColor="text1"/>
              </w:rPr>
              <w:t xml:space="preserve">Evidence derived from multiple reliable sources independent reviews/evaluations, quality assured monitoring data, implementing agency reports validated by monitoring trips, and independent research conducted in the sector. </w:t>
            </w:r>
          </w:p>
        </w:tc>
      </w:tr>
    </w:tbl>
    <w:p w14:paraId="6394D6B2" w14:textId="77777777" w:rsidR="00A276EB" w:rsidRPr="00C94923" w:rsidRDefault="00A276EB" w:rsidP="00A276EB">
      <w:pPr>
        <w:rPr>
          <w:rFonts w:eastAsia="Times New Roman" w:cs="Calibri"/>
          <w:b/>
          <w:bCs/>
          <w:color w:val="000000"/>
          <w:sz w:val="20"/>
          <w:szCs w:val="20"/>
          <w:lang w:eastAsia="en-AU"/>
        </w:rPr>
      </w:pPr>
      <w:r w:rsidRPr="00C94923">
        <w:rPr>
          <w:rFonts w:eastAsia="Times New Roman" w:cs="Calibri"/>
          <w:b/>
          <w:bCs/>
          <w:color w:val="000000"/>
          <w:sz w:val="20"/>
          <w:szCs w:val="20"/>
          <w:lang w:eastAsia="en-AU"/>
        </w:rPr>
        <w:t>Rating Scale:</w:t>
      </w:r>
    </w:p>
    <w:tbl>
      <w:tblPr>
        <w:tblpPr w:leftFromText="180" w:rightFromText="180" w:vertAnchor="page" w:horzAnchor="margin" w:tblpY="6781"/>
        <w:tblW w:w="4253" w:type="dxa"/>
        <w:tblLook w:val="04A0" w:firstRow="1" w:lastRow="0" w:firstColumn="1" w:lastColumn="0" w:noHBand="0" w:noVBand="1"/>
      </w:tblPr>
      <w:tblGrid>
        <w:gridCol w:w="2268"/>
        <w:gridCol w:w="1985"/>
      </w:tblGrid>
      <w:tr w:rsidR="00A276EB" w:rsidRPr="00542893" w14:paraId="5DF0ECB6" w14:textId="77777777" w:rsidTr="00D24BE5">
        <w:trPr>
          <w:trHeight w:val="270"/>
        </w:trPr>
        <w:tc>
          <w:tcPr>
            <w:tcW w:w="226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FFD5283" w14:textId="77777777" w:rsidR="00A276EB" w:rsidRPr="00542893" w:rsidRDefault="00A276EB" w:rsidP="00D24BE5">
            <w:pPr>
              <w:spacing w:before="0" w:after="0" w:line="240" w:lineRule="auto"/>
              <w:rPr>
                <w:rFonts w:eastAsia="Times New Roman" w:cs="Calibri"/>
                <w:b/>
                <w:bCs/>
                <w:color w:val="000000"/>
                <w:sz w:val="20"/>
                <w:szCs w:val="20"/>
                <w:lang w:eastAsia="en-AU"/>
              </w:rPr>
            </w:pPr>
            <w:r w:rsidRPr="00542893">
              <w:rPr>
                <w:rFonts w:eastAsia="Times New Roman" w:cs="Calibri"/>
                <w:b/>
                <w:bCs/>
                <w:color w:val="000000"/>
                <w:sz w:val="20"/>
                <w:szCs w:val="20"/>
                <w:lang w:eastAsia="en-AU"/>
              </w:rPr>
              <w:t>Rating</w:t>
            </w:r>
          </w:p>
        </w:tc>
        <w:tc>
          <w:tcPr>
            <w:tcW w:w="1985" w:type="dxa"/>
            <w:tcBorders>
              <w:top w:val="single" w:sz="4" w:space="0" w:color="auto"/>
              <w:left w:val="nil"/>
              <w:bottom w:val="single" w:sz="4" w:space="0" w:color="auto"/>
              <w:right w:val="single" w:sz="4" w:space="0" w:color="auto"/>
            </w:tcBorders>
            <w:shd w:val="clear" w:color="000000" w:fill="F8CBAD"/>
            <w:vAlign w:val="center"/>
            <w:hideMark/>
          </w:tcPr>
          <w:p w14:paraId="1453625B" w14:textId="77777777" w:rsidR="00A276EB" w:rsidRPr="00542893" w:rsidRDefault="00A276EB" w:rsidP="00D24BE5">
            <w:pPr>
              <w:spacing w:before="0" w:after="0" w:line="240" w:lineRule="auto"/>
              <w:jc w:val="center"/>
              <w:rPr>
                <w:rFonts w:eastAsia="Times New Roman" w:cs="Calibri"/>
                <w:b/>
                <w:bCs/>
                <w:color w:val="000000"/>
                <w:sz w:val="20"/>
                <w:szCs w:val="20"/>
                <w:lang w:eastAsia="en-AU"/>
              </w:rPr>
            </w:pPr>
            <w:r w:rsidRPr="00542893">
              <w:rPr>
                <w:rFonts w:eastAsia="Times New Roman" w:cs="Calibri"/>
                <w:b/>
                <w:bCs/>
                <w:color w:val="000000"/>
                <w:sz w:val="20"/>
                <w:szCs w:val="20"/>
                <w:lang w:eastAsia="en-AU"/>
              </w:rPr>
              <w:t>Score</w:t>
            </w:r>
          </w:p>
        </w:tc>
      </w:tr>
      <w:tr w:rsidR="00A276EB" w:rsidRPr="00542893" w14:paraId="6C83FC15"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EB5F009"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Very Good</w:t>
            </w:r>
          </w:p>
        </w:tc>
        <w:tc>
          <w:tcPr>
            <w:tcW w:w="1985" w:type="dxa"/>
            <w:tcBorders>
              <w:top w:val="nil"/>
              <w:left w:val="nil"/>
              <w:bottom w:val="single" w:sz="4" w:space="0" w:color="auto"/>
              <w:right w:val="single" w:sz="4" w:space="0" w:color="auto"/>
            </w:tcBorders>
            <w:shd w:val="clear" w:color="auto" w:fill="auto"/>
            <w:vAlign w:val="center"/>
            <w:hideMark/>
          </w:tcPr>
          <w:p w14:paraId="24C67505" w14:textId="77777777" w:rsidR="00A276EB" w:rsidRPr="00542893" w:rsidRDefault="00A276EB" w:rsidP="00D24BE5">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6</w:t>
            </w:r>
          </w:p>
        </w:tc>
      </w:tr>
      <w:tr w:rsidR="00A276EB" w:rsidRPr="00542893" w14:paraId="4072EDE5"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E6AA578"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Good</w:t>
            </w:r>
          </w:p>
        </w:tc>
        <w:tc>
          <w:tcPr>
            <w:tcW w:w="1985" w:type="dxa"/>
            <w:tcBorders>
              <w:top w:val="nil"/>
              <w:left w:val="nil"/>
              <w:bottom w:val="single" w:sz="4" w:space="0" w:color="auto"/>
              <w:right w:val="single" w:sz="4" w:space="0" w:color="auto"/>
            </w:tcBorders>
            <w:shd w:val="clear" w:color="auto" w:fill="auto"/>
            <w:vAlign w:val="center"/>
            <w:hideMark/>
          </w:tcPr>
          <w:p w14:paraId="7C5ABF89" w14:textId="77777777" w:rsidR="00A276EB" w:rsidRPr="00542893" w:rsidRDefault="00A276EB" w:rsidP="00D24BE5">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5</w:t>
            </w:r>
          </w:p>
        </w:tc>
      </w:tr>
      <w:tr w:rsidR="00A276EB" w:rsidRPr="00542893" w14:paraId="14666628"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41D3F3D"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Adequate</w:t>
            </w:r>
          </w:p>
        </w:tc>
        <w:tc>
          <w:tcPr>
            <w:tcW w:w="1985" w:type="dxa"/>
            <w:tcBorders>
              <w:top w:val="nil"/>
              <w:left w:val="nil"/>
              <w:bottom w:val="single" w:sz="4" w:space="0" w:color="auto"/>
              <w:right w:val="single" w:sz="4" w:space="0" w:color="auto"/>
            </w:tcBorders>
            <w:shd w:val="clear" w:color="auto" w:fill="auto"/>
            <w:vAlign w:val="center"/>
            <w:hideMark/>
          </w:tcPr>
          <w:p w14:paraId="410FC0DB" w14:textId="77777777" w:rsidR="00A276EB" w:rsidRPr="00542893" w:rsidRDefault="00A276EB" w:rsidP="00D24BE5">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4</w:t>
            </w:r>
          </w:p>
        </w:tc>
      </w:tr>
      <w:tr w:rsidR="00A276EB" w:rsidRPr="00542893" w14:paraId="26491667"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769C2C8"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Less than Adequate</w:t>
            </w:r>
          </w:p>
        </w:tc>
        <w:tc>
          <w:tcPr>
            <w:tcW w:w="1985" w:type="dxa"/>
            <w:tcBorders>
              <w:top w:val="nil"/>
              <w:left w:val="nil"/>
              <w:bottom w:val="single" w:sz="4" w:space="0" w:color="auto"/>
              <w:right w:val="single" w:sz="4" w:space="0" w:color="auto"/>
            </w:tcBorders>
            <w:shd w:val="clear" w:color="auto" w:fill="auto"/>
            <w:vAlign w:val="center"/>
            <w:hideMark/>
          </w:tcPr>
          <w:p w14:paraId="6F62399C" w14:textId="77777777" w:rsidR="00A276EB" w:rsidRPr="00542893" w:rsidRDefault="00A276EB" w:rsidP="00D24BE5">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3</w:t>
            </w:r>
          </w:p>
        </w:tc>
      </w:tr>
      <w:tr w:rsidR="00A276EB" w:rsidRPr="00542893" w14:paraId="29F4AE2D"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ED234A"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Poor</w:t>
            </w:r>
          </w:p>
        </w:tc>
        <w:tc>
          <w:tcPr>
            <w:tcW w:w="1985" w:type="dxa"/>
            <w:tcBorders>
              <w:top w:val="nil"/>
              <w:left w:val="nil"/>
              <w:bottom w:val="single" w:sz="4" w:space="0" w:color="auto"/>
              <w:right w:val="single" w:sz="4" w:space="0" w:color="auto"/>
            </w:tcBorders>
            <w:shd w:val="clear" w:color="auto" w:fill="auto"/>
            <w:vAlign w:val="center"/>
            <w:hideMark/>
          </w:tcPr>
          <w:p w14:paraId="106FBEBA" w14:textId="77777777" w:rsidR="00A276EB" w:rsidRPr="00542893" w:rsidRDefault="00A276EB" w:rsidP="00D24BE5">
            <w:pPr>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2</w:t>
            </w:r>
          </w:p>
        </w:tc>
      </w:tr>
      <w:tr w:rsidR="00A276EB" w:rsidRPr="00542893" w14:paraId="1679F204" w14:textId="77777777" w:rsidTr="00D24BE5">
        <w:trPr>
          <w:trHeight w:val="27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ACACE90" w14:textId="77777777" w:rsidR="00A276EB" w:rsidRPr="00542893" w:rsidRDefault="00A276EB" w:rsidP="00D24BE5">
            <w:pPr>
              <w:spacing w:before="0" w:after="0" w:line="240" w:lineRule="auto"/>
              <w:rPr>
                <w:rFonts w:eastAsia="Times New Roman" w:cs="Calibri"/>
                <w:color w:val="000000"/>
                <w:sz w:val="20"/>
                <w:szCs w:val="20"/>
                <w:lang w:eastAsia="en-AU"/>
              </w:rPr>
            </w:pPr>
            <w:r w:rsidRPr="00542893">
              <w:rPr>
                <w:rFonts w:eastAsia="Times New Roman" w:cs="Calibri"/>
                <w:color w:val="000000"/>
                <w:sz w:val="20"/>
                <w:szCs w:val="20"/>
                <w:lang w:eastAsia="en-AU"/>
              </w:rPr>
              <w:t>Very Poor</w:t>
            </w:r>
          </w:p>
        </w:tc>
        <w:tc>
          <w:tcPr>
            <w:tcW w:w="1985" w:type="dxa"/>
            <w:tcBorders>
              <w:top w:val="nil"/>
              <w:left w:val="nil"/>
              <w:bottom w:val="single" w:sz="4" w:space="0" w:color="auto"/>
              <w:right w:val="single" w:sz="4" w:space="0" w:color="auto"/>
            </w:tcBorders>
            <w:shd w:val="clear" w:color="auto" w:fill="auto"/>
            <w:vAlign w:val="center"/>
            <w:hideMark/>
          </w:tcPr>
          <w:p w14:paraId="41633877" w14:textId="77777777" w:rsidR="00A276EB" w:rsidRPr="00542893" w:rsidRDefault="00A276EB" w:rsidP="00D24BE5">
            <w:pPr>
              <w:keepNext/>
              <w:spacing w:before="0" w:after="0" w:line="240" w:lineRule="auto"/>
              <w:jc w:val="center"/>
              <w:rPr>
                <w:rFonts w:eastAsia="Times New Roman" w:cs="Calibri"/>
                <w:color w:val="000000"/>
                <w:sz w:val="20"/>
                <w:szCs w:val="20"/>
                <w:lang w:eastAsia="en-AU"/>
              </w:rPr>
            </w:pPr>
            <w:r w:rsidRPr="00542893">
              <w:rPr>
                <w:rFonts w:eastAsia="Times New Roman" w:cs="Calibri"/>
                <w:color w:val="000000"/>
                <w:sz w:val="20"/>
                <w:szCs w:val="20"/>
                <w:lang w:eastAsia="en-AU"/>
              </w:rPr>
              <w:t>1</w:t>
            </w:r>
          </w:p>
        </w:tc>
      </w:tr>
    </w:tbl>
    <w:p w14:paraId="5F46538D" w14:textId="77777777" w:rsidR="00A276EB" w:rsidRPr="00DB355E" w:rsidRDefault="00A276EB" w:rsidP="00A276EB"/>
    <w:p w14:paraId="280028BB" w14:textId="77777777" w:rsidR="00A276EB" w:rsidRPr="00DB355E" w:rsidRDefault="00A276EB" w:rsidP="00A276EB"/>
    <w:p w14:paraId="292765FA" w14:textId="77777777" w:rsidR="00A276EB" w:rsidRPr="00DB355E" w:rsidRDefault="00A276EB" w:rsidP="00A276EB"/>
    <w:p w14:paraId="677FEBB4" w14:textId="77777777" w:rsidR="00A276EB" w:rsidRPr="00DB355E" w:rsidRDefault="00A276EB" w:rsidP="00A276EB"/>
    <w:p w14:paraId="318247F6" w14:textId="77777777" w:rsidR="009E085F" w:rsidRDefault="009E085F" w:rsidP="009E085F">
      <w:pPr>
        <w:sectPr w:rsidR="009E085F" w:rsidSect="008B05AA">
          <w:footerReference w:type="default" r:id="rId21"/>
          <w:pgSz w:w="11907" w:h="16839" w:code="9"/>
          <w:pgMar w:top="1440" w:right="1440" w:bottom="1276" w:left="1440" w:header="720" w:footer="397" w:gutter="0"/>
          <w:cols w:space="720"/>
          <w:docGrid w:linePitch="299"/>
        </w:sectPr>
      </w:pPr>
    </w:p>
    <w:p w14:paraId="6E0F6D99" w14:textId="77777777" w:rsidR="009E085F" w:rsidRDefault="009E085F" w:rsidP="009E085F">
      <w:pPr>
        <w:pStyle w:val="Heading1"/>
        <w:numPr>
          <w:ilvl w:val="0"/>
          <w:numId w:val="0"/>
        </w:numPr>
      </w:pPr>
      <w:bookmarkStart w:id="60" w:name="_Toc518640229"/>
      <w:bookmarkStart w:id="61" w:name="_Toc515577492"/>
      <w:r>
        <w:lastRenderedPageBreak/>
        <w:t>Annex F – KRQs and Performance Rubric</w:t>
      </w:r>
      <w:bookmarkEnd w:id="60"/>
    </w:p>
    <w:tbl>
      <w:tblPr>
        <w:tblStyle w:val="TableGrid"/>
        <w:tblW w:w="14516" w:type="dxa"/>
        <w:tblLook w:val="04A0" w:firstRow="1" w:lastRow="0" w:firstColumn="1" w:lastColumn="0" w:noHBand="0" w:noVBand="1"/>
      </w:tblPr>
      <w:tblGrid>
        <w:gridCol w:w="3250"/>
        <w:gridCol w:w="4670"/>
        <w:gridCol w:w="1550"/>
        <w:gridCol w:w="1677"/>
        <w:gridCol w:w="3369"/>
      </w:tblGrid>
      <w:tr w:rsidR="009E085F" w14:paraId="128E1019" w14:textId="77777777" w:rsidTr="009E085F">
        <w:trPr>
          <w:trHeight w:val="263"/>
        </w:trPr>
        <w:tc>
          <w:tcPr>
            <w:tcW w:w="3250" w:type="dxa"/>
            <w:shd w:val="clear" w:color="auto" w:fill="FABF8F" w:themeFill="accent6" w:themeFillTint="99"/>
          </w:tcPr>
          <w:bookmarkEnd w:id="61"/>
          <w:p w14:paraId="60EC807D" w14:textId="77777777" w:rsidR="009E085F" w:rsidRPr="00107F3B" w:rsidRDefault="009E085F" w:rsidP="009E085F">
            <w:pPr>
              <w:pStyle w:val="Tabledarkheading"/>
              <w:spacing w:before="100" w:after="100"/>
            </w:pPr>
            <w:r>
              <w:t xml:space="preserve">KRQ </w:t>
            </w:r>
          </w:p>
        </w:tc>
        <w:tc>
          <w:tcPr>
            <w:tcW w:w="4670" w:type="dxa"/>
            <w:shd w:val="clear" w:color="auto" w:fill="FABF8F" w:themeFill="accent6" w:themeFillTint="99"/>
          </w:tcPr>
          <w:p w14:paraId="6C0A29A1" w14:textId="77777777" w:rsidR="009E085F" w:rsidRDefault="009E085F" w:rsidP="00033134">
            <w:pPr>
              <w:pStyle w:val="Tabledarkheading"/>
              <w:rPr>
                <w:lang w:val="en-US"/>
              </w:rPr>
            </w:pPr>
            <w:r>
              <w:rPr>
                <w:lang w:val="en-US"/>
              </w:rPr>
              <w:t xml:space="preserve">Sub-question </w:t>
            </w:r>
          </w:p>
        </w:tc>
        <w:tc>
          <w:tcPr>
            <w:tcW w:w="1550" w:type="dxa"/>
            <w:shd w:val="clear" w:color="auto" w:fill="FABF8F" w:themeFill="accent6" w:themeFillTint="99"/>
          </w:tcPr>
          <w:p w14:paraId="5CEBE6BE" w14:textId="77777777" w:rsidR="009E085F" w:rsidRDefault="009E085F" w:rsidP="00033134">
            <w:pPr>
              <w:pStyle w:val="Tabledarkheading"/>
              <w:rPr>
                <w:lang w:val="en-US"/>
              </w:rPr>
            </w:pPr>
            <w:r>
              <w:rPr>
                <w:lang w:val="en-US"/>
              </w:rPr>
              <w:t>Methods</w:t>
            </w:r>
          </w:p>
        </w:tc>
        <w:tc>
          <w:tcPr>
            <w:tcW w:w="1677" w:type="dxa"/>
            <w:shd w:val="clear" w:color="auto" w:fill="FABF8F" w:themeFill="accent6" w:themeFillTint="99"/>
          </w:tcPr>
          <w:p w14:paraId="60FFFE88" w14:textId="77777777" w:rsidR="009E085F" w:rsidRDefault="009E085F" w:rsidP="00033134">
            <w:pPr>
              <w:pStyle w:val="Tabledarkheading"/>
              <w:rPr>
                <w:lang w:val="en-US"/>
              </w:rPr>
            </w:pPr>
            <w:r>
              <w:rPr>
                <w:lang w:val="en-US"/>
              </w:rPr>
              <w:t>Data sources</w:t>
            </w:r>
          </w:p>
        </w:tc>
        <w:tc>
          <w:tcPr>
            <w:tcW w:w="3369" w:type="dxa"/>
            <w:shd w:val="clear" w:color="auto" w:fill="FABF8F" w:themeFill="accent6" w:themeFillTint="99"/>
          </w:tcPr>
          <w:p w14:paraId="57D49CBE" w14:textId="77777777" w:rsidR="009E085F" w:rsidRDefault="009E085F" w:rsidP="00033134">
            <w:pPr>
              <w:pStyle w:val="Tabledarkheading"/>
              <w:rPr>
                <w:lang w:val="en-US"/>
              </w:rPr>
            </w:pPr>
            <w:r>
              <w:rPr>
                <w:lang w:val="en-US"/>
              </w:rPr>
              <w:t>Performance Rubric</w:t>
            </w:r>
          </w:p>
        </w:tc>
      </w:tr>
      <w:tr w:rsidR="009E085F" w14:paraId="73BBA305" w14:textId="77777777" w:rsidTr="009E085F">
        <w:trPr>
          <w:trHeight w:val="665"/>
        </w:trPr>
        <w:tc>
          <w:tcPr>
            <w:tcW w:w="3250" w:type="dxa"/>
            <w:vMerge w:val="restart"/>
          </w:tcPr>
          <w:p w14:paraId="6F0C5836" w14:textId="77777777" w:rsidR="009E085F" w:rsidRDefault="009E085F" w:rsidP="00033134">
            <w:pPr>
              <w:spacing w:before="0" w:after="0" w:line="200" w:lineRule="exact"/>
              <w:rPr>
                <w:rFonts w:cs="Arial"/>
                <w:b/>
                <w:bCs/>
              </w:rPr>
            </w:pPr>
            <w:r>
              <w:rPr>
                <w:rFonts w:cs="Arial"/>
                <w:b/>
                <w:bCs/>
              </w:rPr>
              <w:t>Relevance-</w:t>
            </w:r>
            <w:r w:rsidRPr="006B093E">
              <w:rPr>
                <w:rFonts w:cs="Arial"/>
                <w:b/>
                <w:bCs/>
              </w:rPr>
              <w:t xml:space="preserve"> </w:t>
            </w:r>
          </w:p>
          <w:p w14:paraId="47A0F43F" w14:textId="77777777" w:rsidR="009E085F" w:rsidRDefault="009E085F" w:rsidP="00033134">
            <w:pPr>
              <w:spacing w:before="0" w:after="0" w:line="200" w:lineRule="exact"/>
              <w:rPr>
                <w:rFonts w:cs="Arial"/>
                <w:bCs/>
              </w:rPr>
            </w:pPr>
            <w:r w:rsidRPr="00665834">
              <w:rPr>
                <w:rFonts w:cs="Arial"/>
                <w:bCs/>
              </w:rPr>
              <w:t>Given the</w:t>
            </w:r>
            <w:r>
              <w:rPr>
                <w:rFonts w:cs="Arial"/>
                <w:bCs/>
              </w:rPr>
              <w:t xml:space="preserve"> objectives of DFAT and the GoN</w:t>
            </w:r>
            <w:r w:rsidRPr="00665834">
              <w:rPr>
                <w:rFonts w:cs="Arial"/>
                <w:bCs/>
              </w:rPr>
              <w:t xml:space="preserve"> in the </w:t>
            </w:r>
            <w:r>
              <w:rPr>
                <w:rFonts w:cs="Arial"/>
                <w:bCs/>
              </w:rPr>
              <w:t>infrastructure and essential services sector</w:t>
            </w:r>
            <w:r w:rsidRPr="00665834">
              <w:rPr>
                <w:rFonts w:cs="Arial"/>
                <w:bCs/>
              </w:rPr>
              <w:t>, to what extent are existing initiatives relevant</w:t>
            </w:r>
            <w:r>
              <w:rPr>
                <w:rFonts w:cs="Arial"/>
                <w:bCs/>
              </w:rPr>
              <w:t>?</w:t>
            </w:r>
          </w:p>
          <w:p w14:paraId="04C6ECA2" w14:textId="77777777" w:rsidR="009E085F" w:rsidRPr="000A210A" w:rsidRDefault="009E085F" w:rsidP="00033134">
            <w:pPr>
              <w:pStyle w:val="tabletext0"/>
              <w:rPr>
                <w:b/>
              </w:rPr>
            </w:pPr>
          </w:p>
        </w:tc>
        <w:tc>
          <w:tcPr>
            <w:tcW w:w="4670" w:type="dxa"/>
          </w:tcPr>
          <w:p w14:paraId="5E70AADD" w14:textId="77777777" w:rsidR="009E085F" w:rsidRPr="00E75C5F" w:rsidRDefault="009E085F" w:rsidP="00033134">
            <w:pPr>
              <w:pStyle w:val="tabletext0"/>
              <w:spacing w:before="60" w:after="60"/>
              <w:rPr>
                <w:rFonts w:eastAsia="Times"/>
              </w:rPr>
            </w:pPr>
            <w:r w:rsidRPr="00E75C5F">
              <w:rPr>
                <w:rFonts w:eastAsia="Times"/>
              </w:rPr>
              <w:t xml:space="preserve">To what extent does Australia’s contribution support GoN’s objectives in infrastructure and essential services? </w:t>
            </w:r>
          </w:p>
          <w:p w14:paraId="2357B9FA" w14:textId="77777777" w:rsidR="009E085F" w:rsidRPr="000A210A" w:rsidRDefault="009E085F" w:rsidP="00033134">
            <w:pPr>
              <w:pStyle w:val="tabletext0"/>
              <w:spacing w:before="100" w:after="100"/>
              <w:rPr>
                <w:rFonts w:eastAsia="Times"/>
              </w:rPr>
            </w:pPr>
          </w:p>
        </w:tc>
        <w:tc>
          <w:tcPr>
            <w:tcW w:w="1550" w:type="dxa"/>
          </w:tcPr>
          <w:p w14:paraId="77866F8D" w14:textId="77777777" w:rsidR="009E085F" w:rsidRDefault="009E085F" w:rsidP="00033134">
            <w:pPr>
              <w:pStyle w:val="tabletext0"/>
            </w:pPr>
            <w:r>
              <w:t>Desktop review and key informant interviews</w:t>
            </w:r>
          </w:p>
        </w:tc>
        <w:tc>
          <w:tcPr>
            <w:tcW w:w="1677" w:type="dxa"/>
          </w:tcPr>
          <w:p w14:paraId="7B727C37" w14:textId="77777777" w:rsidR="009E085F" w:rsidRDefault="009E085F" w:rsidP="00033134">
            <w:pPr>
              <w:pStyle w:val="tabletext0"/>
            </w:pPr>
            <w:r>
              <w:t>AIP, APPR, AQC 2015-17, NSDS, other GoN documents; key informants</w:t>
            </w:r>
          </w:p>
        </w:tc>
        <w:tc>
          <w:tcPr>
            <w:tcW w:w="3369" w:type="dxa"/>
            <w:vMerge w:val="restart"/>
          </w:tcPr>
          <w:p w14:paraId="72143DE4" w14:textId="77777777" w:rsidR="009E085F" w:rsidRDefault="009E085F" w:rsidP="00033134">
            <w:pPr>
              <w:spacing w:before="0" w:beforeAutospacing="0" w:after="0" w:afterAutospacing="0"/>
              <w:jc w:val="both"/>
            </w:pPr>
            <w:r w:rsidRPr="002058C3">
              <w:rPr>
                <w:b/>
                <w:lang w:val="en-US"/>
              </w:rPr>
              <w:t xml:space="preserve">Good, Very Good </w:t>
            </w:r>
            <w:r>
              <w:rPr>
                <w:b/>
                <w:lang w:val="en-US"/>
              </w:rPr>
              <w:t xml:space="preserve">(rating: </w:t>
            </w:r>
            <w:r w:rsidRPr="002058C3">
              <w:rPr>
                <w:b/>
                <w:lang w:val="en-US"/>
              </w:rPr>
              <w:t>5-6</w:t>
            </w:r>
            <w:r>
              <w:rPr>
                <w:b/>
                <w:lang w:val="en-US"/>
              </w:rPr>
              <w:t xml:space="preserve">)- </w:t>
            </w:r>
            <w:r>
              <w:t xml:space="preserve">The investment is highly relevant to Australia’s national interests, to the development context and Nauru’s priorities. </w:t>
            </w:r>
          </w:p>
          <w:p w14:paraId="0D975409" w14:textId="77777777" w:rsidR="009E085F" w:rsidRDefault="009E085F" w:rsidP="00033134">
            <w:pPr>
              <w:pStyle w:val="Tablebullet"/>
            </w:pPr>
            <w:r>
              <w:t>The investment’s outcomes are closely aligned with the objectives of the Nauru Aid Investment Plan and/or the NSDS.</w:t>
            </w:r>
          </w:p>
          <w:p w14:paraId="017F88A8" w14:textId="77777777" w:rsidR="009E085F" w:rsidRDefault="009E085F" w:rsidP="00033134">
            <w:pPr>
              <w:pStyle w:val="Tablebullet"/>
            </w:pPr>
            <w:r>
              <w:t xml:space="preserve">The investment has demonstrated a high degree of flexibility in adapting to any changes in the development context in Nauru, Australian Government or partner priorities. </w:t>
            </w:r>
          </w:p>
          <w:p w14:paraId="14AA4F07" w14:textId="77777777" w:rsidR="009E085F" w:rsidRDefault="009E085F" w:rsidP="00033134">
            <w:pPr>
              <w:pStyle w:val="tabletext0"/>
            </w:pPr>
            <w:r w:rsidRPr="007F4700">
              <w:rPr>
                <w:b/>
              </w:rPr>
              <w:t>Adequate</w:t>
            </w:r>
            <w:r>
              <w:rPr>
                <w:b/>
              </w:rPr>
              <w:t xml:space="preserve"> (rating: 4)- </w:t>
            </w:r>
            <w:r>
              <w:t xml:space="preserve">The investment is largely relevant to Australia’s national interests, to the development context and partner priorities and does not fail in any major area. </w:t>
            </w:r>
          </w:p>
          <w:p w14:paraId="64A689A5" w14:textId="77777777" w:rsidR="009E085F" w:rsidRDefault="009E085F" w:rsidP="00033134">
            <w:pPr>
              <w:pStyle w:val="Tablebullet"/>
            </w:pPr>
            <w:r>
              <w:t xml:space="preserve">The investment’s outcomes are generally aligned </w:t>
            </w:r>
            <w:r>
              <w:lastRenderedPageBreak/>
              <w:t xml:space="preserve">with the objectives of the Nauru Aid Investment Plan and/or the NSDS. </w:t>
            </w:r>
          </w:p>
          <w:p w14:paraId="63FB7CEE" w14:textId="77777777" w:rsidR="009E085F" w:rsidRDefault="009E085F" w:rsidP="00033134">
            <w:pPr>
              <w:pStyle w:val="Tablebullet"/>
            </w:pPr>
            <w:r>
              <w:t xml:space="preserve">The investment has demonstrated satisfactory flexibility in adapting to any changes in the development context in Nauru, Australian Government or partner priorities. </w:t>
            </w:r>
          </w:p>
          <w:p w14:paraId="41F4B3E4" w14:textId="77777777" w:rsidR="009E085F" w:rsidRPr="000620B1" w:rsidRDefault="009E085F" w:rsidP="00033134">
            <w:pPr>
              <w:pStyle w:val="tabletext0"/>
              <w:rPr>
                <w:b/>
              </w:rPr>
            </w:pPr>
            <w:r>
              <w:rPr>
                <w:b/>
              </w:rPr>
              <w:t xml:space="preserve">Less than Adequate (rating: 3)- </w:t>
            </w:r>
            <w:r>
              <w:t xml:space="preserve">The investment is poorly aligned with Australia’s national interests, and/or the development context and partner priorities. </w:t>
            </w:r>
          </w:p>
          <w:p w14:paraId="63A60E36" w14:textId="77777777" w:rsidR="009E085F" w:rsidRPr="000620B1" w:rsidRDefault="009E085F" w:rsidP="00033134">
            <w:pPr>
              <w:pStyle w:val="Tablebullet"/>
            </w:pPr>
            <w:r w:rsidRPr="000620B1">
              <w:t xml:space="preserve">The investment’s outcomes are not aligned with the objectives of the </w:t>
            </w:r>
            <w:r>
              <w:t xml:space="preserve">Nauru </w:t>
            </w:r>
            <w:r w:rsidRPr="000620B1">
              <w:t>AIP and</w:t>
            </w:r>
            <w:r>
              <w:t>/or the NSDS</w:t>
            </w:r>
            <w:r w:rsidRPr="000620B1">
              <w:t xml:space="preserve"> in at least one major area. </w:t>
            </w:r>
          </w:p>
          <w:p w14:paraId="747C2C65" w14:textId="77777777" w:rsidR="009E085F" w:rsidRPr="000620B1" w:rsidRDefault="009E085F" w:rsidP="00033134">
            <w:pPr>
              <w:pStyle w:val="Tablebullet"/>
            </w:pPr>
            <w:r w:rsidRPr="000620B1">
              <w:t>The investment has not shown adequate flexibility to adapt to changes in the development context</w:t>
            </w:r>
            <w:r>
              <w:t xml:space="preserve"> in Nauru</w:t>
            </w:r>
            <w:r w:rsidRPr="000620B1">
              <w:t xml:space="preserve">, Australian Government or partner priorities. </w:t>
            </w:r>
          </w:p>
          <w:p w14:paraId="5AC0056B" w14:textId="77777777" w:rsidR="009E085F" w:rsidRDefault="009E085F" w:rsidP="00033134">
            <w:pPr>
              <w:pStyle w:val="tabletext0"/>
            </w:pPr>
            <w:r>
              <w:rPr>
                <w:b/>
              </w:rPr>
              <w:lastRenderedPageBreak/>
              <w:t xml:space="preserve">Poor, Very Poor (rating: 1-2)- </w:t>
            </w:r>
            <w:r>
              <w:t xml:space="preserve">The investment is not aligned with Australia’s national interests, and/or not relevant to the development context and partner priorities. </w:t>
            </w:r>
          </w:p>
          <w:p w14:paraId="139CB4E9" w14:textId="77777777" w:rsidR="009E085F" w:rsidRDefault="009E085F" w:rsidP="00033134">
            <w:pPr>
              <w:pStyle w:val="Tablebullet"/>
            </w:pPr>
            <w:r>
              <w:t xml:space="preserve">The investment’s outcomes are not aligned with the objectives of the Nauru AIP and/or the NSDS in several/all major areas. </w:t>
            </w:r>
          </w:p>
          <w:p w14:paraId="7DD51CB7" w14:textId="77777777" w:rsidR="009E085F" w:rsidRPr="004B57CD" w:rsidRDefault="009E085F" w:rsidP="00033134">
            <w:pPr>
              <w:pStyle w:val="Tablebullet"/>
            </w:pPr>
            <w:r>
              <w:t xml:space="preserve">The investment is not able to adapt in response to changes in development context in Nauru, Australian Government or partner priorities. </w:t>
            </w:r>
          </w:p>
        </w:tc>
      </w:tr>
      <w:tr w:rsidR="009E085F" w14:paraId="4E21D5E2" w14:textId="77777777" w:rsidTr="009E085F">
        <w:trPr>
          <w:trHeight w:val="167"/>
        </w:trPr>
        <w:tc>
          <w:tcPr>
            <w:tcW w:w="3250" w:type="dxa"/>
            <w:vMerge/>
          </w:tcPr>
          <w:p w14:paraId="0069F17A" w14:textId="77777777" w:rsidR="009E085F" w:rsidRPr="000A210A" w:rsidRDefault="009E085F" w:rsidP="00033134">
            <w:pPr>
              <w:pStyle w:val="tabletext0"/>
              <w:rPr>
                <w:b/>
              </w:rPr>
            </w:pPr>
          </w:p>
        </w:tc>
        <w:tc>
          <w:tcPr>
            <w:tcW w:w="4670" w:type="dxa"/>
          </w:tcPr>
          <w:p w14:paraId="7B619621" w14:textId="77777777" w:rsidR="009E085F" w:rsidRPr="00E75C5F" w:rsidRDefault="009E085F" w:rsidP="00033134">
            <w:pPr>
              <w:pStyle w:val="tabletext0"/>
              <w:spacing w:before="60" w:after="60"/>
              <w:rPr>
                <w:rFonts w:eastAsia="Times"/>
              </w:rPr>
            </w:pPr>
            <w:r w:rsidRPr="00E75C5F">
              <w:rPr>
                <w:rFonts w:eastAsia="Times"/>
              </w:rPr>
              <w:t xml:space="preserve">How is investing in infrastructure and essential services in Nauru in Australia’s national interest? </w:t>
            </w:r>
          </w:p>
          <w:p w14:paraId="69C974C3" w14:textId="77777777" w:rsidR="009E085F" w:rsidRPr="000A210A" w:rsidRDefault="009E085F" w:rsidP="00033134">
            <w:pPr>
              <w:pStyle w:val="tabletext0"/>
              <w:spacing w:before="60" w:after="60"/>
              <w:rPr>
                <w:rFonts w:eastAsia="Times"/>
              </w:rPr>
            </w:pPr>
          </w:p>
        </w:tc>
        <w:tc>
          <w:tcPr>
            <w:tcW w:w="1550" w:type="dxa"/>
          </w:tcPr>
          <w:p w14:paraId="70913FF8" w14:textId="77777777" w:rsidR="009E085F" w:rsidRDefault="009E085F" w:rsidP="00033134">
            <w:pPr>
              <w:pStyle w:val="tabletext0"/>
            </w:pPr>
            <w:r>
              <w:t>Desktop review and key informant interviews</w:t>
            </w:r>
          </w:p>
        </w:tc>
        <w:tc>
          <w:tcPr>
            <w:tcW w:w="1677" w:type="dxa"/>
          </w:tcPr>
          <w:p w14:paraId="0F4FF2DA" w14:textId="77777777" w:rsidR="009E085F" w:rsidRDefault="009E085F" w:rsidP="00033134">
            <w:pPr>
              <w:pStyle w:val="tabletext0"/>
            </w:pPr>
            <w:r>
              <w:t>AIP, APPR, AQC 2015-17, NSDS, other GoN documents; key informants</w:t>
            </w:r>
          </w:p>
        </w:tc>
        <w:tc>
          <w:tcPr>
            <w:tcW w:w="3369" w:type="dxa"/>
            <w:vMerge/>
          </w:tcPr>
          <w:p w14:paraId="09243C16" w14:textId="77777777" w:rsidR="009E085F" w:rsidRDefault="009E085F" w:rsidP="00033134">
            <w:pPr>
              <w:spacing w:before="0" w:beforeAutospacing="0" w:after="0" w:afterAutospacing="0"/>
              <w:jc w:val="both"/>
              <w:rPr>
                <w:lang w:val="en-US"/>
              </w:rPr>
            </w:pPr>
          </w:p>
        </w:tc>
      </w:tr>
      <w:tr w:rsidR="009E085F" w14:paraId="2A7EB8DE" w14:textId="77777777" w:rsidTr="009E085F">
        <w:trPr>
          <w:trHeight w:val="167"/>
        </w:trPr>
        <w:tc>
          <w:tcPr>
            <w:tcW w:w="3250" w:type="dxa"/>
            <w:vMerge/>
          </w:tcPr>
          <w:p w14:paraId="03171A4B" w14:textId="77777777" w:rsidR="009E085F" w:rsidRPr="000A210A" w:rsidRDefault="009E085F" w:rsidP="00033134">
            <w:pPr>
              <w:pStyle w:val="tabletext0"/>
              <w:rPr>
                <w:b/>
              </w:rPr>
            </w:pPr>
          </w:p>
        </w:tc>
        <w:tc>
          <w:tcPr>
            <w:tcW w:w="4670" w:type="dxa"/>
          </w:tcPr>
          <w:p w14:paraId="285864E6" w14:textId="77777777" w:rsidR="009E085F" w:rsidRPr="000A210A" w:rsidRDefault="009E085F" w:rsidP="00656BE0">
            <w:pPr>
              <w:pStyle w:val="tabletext0"/>
              <w:spacing w:before="100" w:after="100"/>
              <w:rPr>
                <w:rFonts w:eastAsia="Times"/>
              </w:rPr>
            </w:pPr>
            <w:r w:rsidRPr="00E75C5F">
              <w:rPr>
                <w:rFonts w:eastAsia="Times"/>
              </w:rPr>
              <w:t>What areas of infrastructure/services would be most strategic for DFAT to support and why?</w:t>
            </w:r>
          </w:p>
        </w:tc>
        <w:tc>
          <w:tcPr>
            <w:tcW w:w="1550" w:type="dxa"/>
          </w:tcPr>
          <w:p w14:paraId="62238121" w14:textId="77777777" w:rsidR="009E085F" w:rsidRDefault="009E085F" w:rsidP="00033134">
            <w:pPr>
              <w:pStyle w:val="tabletext0"/>
            </w:pPr>
            <w:r>
              <w:t>Desktop review and key informant interviews</w:t>
            </w:r>
          </w:p>
        </w:tc>
        <w:tc>
          <w:tcPr>
            <w:tcW w:w="1677" w:type="dxa"/>
          </w:tcPr>
          <w:p w14:paraId="071DBAF7" w14:textId="77777777" w:rsidR="009E085F" w:rsidRDefault="009E085F" w:rsidP="00033134">
            <w:pPr>
              <w:pStyle w:val="tabletext0"/>
            </w:pPr>
            <w:r>
              <w:t>AIP, APPR, AQC 2015-17,NSDS, other GoN documents; key informants</w:t>
            </w:r>
          </w:p>
        </w:tc>
        <w:tc>
          <w:tcPr>
            <w:tcW w:w="3369" w:type="dxa"/>
            <w:vMerge/>
          </w:tcPr>
          <w:p w14:paraId="1A9A3F65" w14:textId="77777777" w:rsidR="009E085F" w:rsidRDefault="009E085F" w:rsidP="00033134">
            <w:pPr>
              <w:spacing w:before="0" w:after="0"/>
              <w:jc w:val="both"/>
              <w:rPr>
                <w:lang w:val="en-US"/>
              </w:rPr>
            </w:pPr>
          </w:p>
        </w:tc>
      </w:tr>
      <w:tr w:rsidR="009E085F" w14:paraId="5C6C6EE2" w14:textId="77777777" w:rsidTr="009E085F">
        <w:trPr>
          <w:trHeight w:val="531"/>
        </w:trPr>
        <w:tc>
          <w:tcPr>
            <w:tcW w:w="3250" w:type="dxa"/>
            <w:vMerge w:val="restart"/>
          </w:tcPr>
          <w:p w14:paraId="5A86F8CF" w14:textId="77777777" w:rsidR="009E085F" w:rsidRPr="000A210A" w:rsidRDefault="009E085F" w:rsidP="00033134">
            <w:pPr>
              <w:pStyle w:val="tabletext0"/>
              <w:rPr>
                <w:rFonts w:eastAsia="Times"/>
                <w:b/>
              </w:rPr>
            </w:pPr>
            <w:r>
              <w:rPr>
                <w:rFonts w:eastAsia="Times"/>
                <w:b/>
              </w:rPr>
              <w:lastRenderedPageBreak/>
              <w:t xml:space="preserve">Effectiveness- </w:t>
            </w:r>
          </w:p>
          <w:p w14:paraId="07040714" w14:textId="77777777" w:rsidR="009E085F" w:rsidRDefault="009E085F" w:rsidP="00033134">
            <w:pPr>
              <w:spacing w:before="0" w:after="0" w:line="200" w:lineRule="exact"/>
            </w:pPr>
            <w:r>
              <w:t>To what extent has DFAT’s support provided essential infrastructure and reform of the utilities sector?</w:t>
            </w:r>
          </w:p>
          <w:p w14:paraId="409030A1" w14:textId="77777777" w:rsidR="009E085F" w:rsidRPr="007D5385" w:rsidRDefault="009E085F" w:rsidP="00033134">
            <w:pPr>
              <w:spacing w:before="0" w:after="0" w:line="200" w:lineRule="exact"/>
              <w:jc w:val="both"/>
              <w:rPr>
                <w:b/>
              </w:rPr>
            </w:pPr>
          </w:p>
          <w:p w14:paraId="76A66A53" w14:textId="77777777" w:rsidR="009E085F" w:rsidRPr="000A210A" w:rsidRDefault="009E085F" w:rsidP="00033134">
            <w:pPr>
              <w:pStyle w:val="tabletext0"/>
              <w:rPr>
                <w:rFonts w:eastAsia="Times"/>
                <w:b/>
              </w:rPr>
            </w:pPr>
          </w:p>
          <w:p w14:paraId="6949EA2F" w14:textId="77777777" w:rsidR="009E085F" w:rsidRPr="00667D0F" w:rsidRDefault="009E085F" w:rsidP="00033134">
            <w:pPr>
              <w:pStyle w:val="tabletext0"/>
              <w:ind w:left="720"/>
              <w:rPr>
                <w:rFonts w:eastAsia="Times"/>
                <w:b/>
              </w:rPr>
            </w:pPr>
          </w:p>
        </w:tc>
        <w:tc>
          <w:tcPr>
            <w:tcW w:w="4670" w:type="dxa"/>
          </w:tcPr>
          <w:p w14:paraId="53AA0CFA" w14:textId="77777777" w:rsidR="009E085F" w:rsidRPr="006B4684" w:rsidRDefault="009E085F" w:rsidP="00033134">
            <w:pPr>
              <w:pStyle w:val="tabletext0"/>
              <w:spacing w:before="60" w:after="60"/>
            </w:pPr>
            <w:r w:rsidRPr="006B4684">
              <w:t xml:space="preserve">To what extent have DFAT’s investments delivered physical infrastructure that is </w:t>
            </w:r>
            <w:r>
              <w:t xml:space="preserve">fit for purpose now and </w:t>
            </w:r>
            <w:r w:rsidRPr="002472F4">
              <w:t>over time in a changing climate?</w:t>
            </w:r>
            <w:r w:rsidRPr="006B4684">
              <w:t xml:space="preserve"> </w:t>
            </w:r>
          </w:p>
          <w:p w14:paraId="3DC0AEFC" w14:textId="77777777" w:rsidR="009E085F" w:rsidRPr="00C17BDB" w:rsidRDefault="009E085F" w:rsidP="00033134">
            <w:pPr>
              <w:pStyle w:val="tabletext0"/>
              <w:spacing w:before="60" w:after="60"/>
            </w:pPr>
          </w:p>
        </w:tc>
        <w:tc>
          <w:tcPr>
            <w:tcW w:w="1550" w:type="dxa"/>
          </w:tcPr>
          <w:p w14:paraId="2405BD0F" w14:textId="77777777" w:rsidR="009E085F" w:rsidRDefault="009E085F" w:rsidP="00033134">
            <w:pPr>
              <w:pStyle w:val="tabletext0"/>
            </w:pPr>
            <w:r>
              <w:t>Desktop review and key informant interviews</w:t>
            </w:r>
          </w:p>
        </w:tc>
        <w:tc>
          <w:tcPr>
            <w:tcW w:w="1677" w:type="dxa"/>
          </w:tcPr>
          <w:p w14:paraId="0B32B52E" w14:textId="77777777" w:rsidR="009E085F" w:rsidRDefault="009E085F" w:rsidP="00033134">
            <w:pPr>
              <w:pStyle w:val="tabletext0"/>
            </w:pPr>
          </w:p>
        </w:tc>
        <w:tc>
          <w:tcPr>
            <w:tcW w:w="3369" w:type="dxa"/>
            <w:vMerge w:val="restart"/>
          </w:tcPr>
          <w:p w14:paraId="335D5930" w14:textId="77777777" w:rsidR="009E085F" w:rsidRDefault="009E085F" w:rsidP="00033134">
            <w:pPr>
              <w:pStyle w:val="tabletext0"/>
            </w:pPr>
            <w:r w:rsidRPr="00CB10E9">
              <w:rPr>
                <w:rFonts w:eastAsia="Times"/>
                <w:b/>
              </w:rPr>
              <w:t>Good, Very Good (rating: 5-6)-</w:t>
            </w:r>
            <w:r>
              <w:rPr>
                <w:b/>
              </w:rPr>
              <w:t xml:space="preserve"> </w:t>
            </w:r>
            <w:r>
              <w:t xml:space="preserve">The investment has fully achieved the outputs and targets expected at this point in time and is on track to achieve the expected final outcomes. </w:t>
            </w:r>
          </w:p>
          <w:p w14:paraId="1F33581D" w14:textId="77777777" w:rsidR="009E085F" w:rsidRDefault="009E085F" w:rsidP="00033134">
            <w:pPr>
              <w:pStyle w:val="tabletext0"/>
              <w:rPr>
                <w:sz w:val="18"/>
                <w:szCs w:val="18"/>
              </w:rPr>
            </w:pPr>
            <w:r w:rsidRPr="007F4700">
              <w:rPr>
                <w:b/>
              </w:rPr>
              <w:t>Adequate</w:t>
            </w:r>
            <w:r>
              <w:rPr>
                <w:b/>
              </w:rPr>
              <w:t xml:space="preserve"> (rating: 4)- </w:t>
            </w:r>
            <w:r w:rsidRPr="00E94A15">
              <w:t>The investment has achieved the major outputs and targets expected at this point in time and is largely on track to achieve the expected final outcomes.</w:t>
            </w:r>
            <w:r>
              <w:rPr>
                <w:sz w:val="18"/>
                <w:szCs w:val="18"/>
              </w:rPr>
              <w:t xml:space="preserve"> </w:t>
            </w:r>
          </w:p>
          <w:p w14:paraId="0FC80391" w14:textId="77777777" w:rsidR="009E085F" w:rsidRPr="00552D70" w:rsidRDefault="009E085F" w:rsidP="00033134">
            <w:pPr>
              <w:pStyle w:val="tabletext0"/>
            </w:pPr>
            <w:r>
              <w:rPr>
                <w:b/>
              </w:rPr>
              <w:t xml:space="preserve">Less than Adequate (rating: 3)- </w:t>
            </w:r>
            <w:r>
              <w:t xml:space="preserve">The investment has not sufficiently achieved the outputs and targets </w:t>
            </w:r>
            <w:r>
              <w:lastRenderedPageBreak/>
              <w:t xml:space="preserve">expected at this point in time and is not on track to achieve the expected final outcomes. </w:t>
            </w:r>
          </w:p>
          <w:p w14:paraId="073D798B" w14:textId="77777777" w:rsidR="009E085F" w:rsidRDefault="009E085F" w:rsidP="00033134">
            <w:pPr>
              <w:pStyle w:val="tabletext0"/>
            </w:pPr>
            <w:r>
              <w:rPr>
                <w:b/>
              </w:rPr>
              <w:t xml:space="preserve">Poor, Very Poor (rating: 1-2)- </w:t>
            </w:r>
            <w:r>
              <w:t xml:space="preserve">The investment has not achieved the outputs and targets expected at this point in time and it will not achieve the expected final outcomes. </w:t>
            </w:r>
          </w:p>
        </w:tc>
      </w:tr>
      <w:tr w:rsidR="009E085F" w14:paraId="2764474A" w14:textId="77777777" w:rsidTr="009E085F">
        <w:trPr>
          <w:trHeight w:val="346"/>
        </w:trPr>
        <w:tc>
          <w:tcPr>
            <w:tcW w:w="3250" w:type="dxa"/>
            <w:vMerge/>
          </w:tcPr>
          <w:p w14:paraId="46E6C671" w14:textId="77777777" w:rsidR="009E085F" w:rsidRPr="00667D0F" w:rsidRDefault="009E085F" w:rsidP="00F5286F">
            <w:pPr>
              <w:pStyle w:val="tabletext0"/>
              <w:numPr>
                <w:ilvl w:val="0"/>
                <w:numId w:val="39"/>
              </w:numPr>
              <w:rPr>
                <w:rFonts w:eastAsia="Times"/>
                <w:b/>
              </w:rPr>
            </w:pPr>
          </w:p>
        </w:tc>
        <w:tc>
          <w:tcPr>
            <w:tcW w:w="4670" w:type="dxa"/>
          </w:tcPr>
          <w:p w14:paraId="1E57BDEF" w14:textId="77777777" w:rsidR="009E085F" w:rsidRDefault="009E085F" w:rsidP="00033134">
            <w:pPr>
              <w:pStyle w:val="tabletext0"/>
              <w:spacing w:before="60" w:after="60"/>
            </w:pPr>
            <w:r w:rsidRPr="00E23366">
              <w:t xml:space="preserve">To what extent have DFAT’s investments in infrastructure managed environmental and social impacts and identified opportunities for improvements in gender equality, disability inclusive development and climate change mitigation? </w:t>
            </w:r>
          </w:p>
          <w:p w14:paraId="271E4E58" w14:textId="77777777" w:rsidR="009E085F" w:rsidRPr="00A32BE0" w:rsidRDefault="009E085F" w:rsidP="00033134">
            <w:pPr>
              <w:pStyle w:val="tabletext0"/>
              <w:spacing w:before="60" w:after="60"/>
            </w:pPr>
          </w:p>
        </w:tc>
        <w:tc>
          <w:tcPr>
            <w:tcW w:w="1550" w:type="dxa"/>
          </w:tcPr>
          <w:p w14:paraId="50B05B9C" w14:textId="77777777" w:rsidR="009E085F" w:rsidRDefault="009E085F" w:rsidP="00033134">
            <w:pPr>
              <w:pStyle w:val="tabletext0"/>
            </w:pPr>
            <w:r>
              <w:t>Desktop review and key informant interviews</w:t>
            </w:r>
          </w:p>
        </w:tc>
        <w:tc>
          <w:tcPr>
            <w:tcW w:w="1677" w:type="dxa"/>
          </w:tcPr>
          <w:p w14:paraId="18B7611E" w14:textId="77777777" w:rsidR="009E085F" w:rsidRDefault="009E085F" w:rsidP="00033134">
            <w:pPr>
              <w:pStyle w:val="tabletext0"/>
            </w:pPr>
          </w:p>
        </w:tc>
        <w:tc>
          <w:tcPr>
            <w:tcW w:w="3369" w:type="dxa"/>
            <w:vMerge/>
          </w:tcPr>
          <w:p w14:paraId="4E156F86" w14:textId="77777777" w:rsidR="009E085F" w:rsidRDefault="009E085F" w:rsidP="00033134">
            <w:pPr>
              <w:spacing w:before="0" w:beforeAutospacing="0" w:after="0" w:afterAutospacing="0"/>
              <w:jc w:val="both"/>
              <w:rPr>
                <w:lang w:val="en-US"/>
              </w:rPr>
            </w:pPr>
          </w:p>
        </w:tc>
      </w:tr>
      <w:tr w:rsidR="009E085F" w14:paraId="7376B404" w14:textId="77777777" w:rsidTr="009E085F">
        <w:trPr>
          <w:trHeight w:val="346"/>
        </w:trPr>
        <w:tc>
          <w:tcPr>
            <w:tcW w:w="3250" w:type="dxa"/>
            <w:vMerge/>
          </w:tcPr>
          <w:p w14:paraId="4D0FB308" w14:textId="77777777" w:rsidR="009E085F" w:rsidRPr="00667D0F" w:rsidRDefault="009E085F" w:rsidP="00033134">
            <w:pPr>
              <w:pStyle w:val="tabletext0"/>
              <w:ind w:left="720"/>
              <w:rPr>
                <w:rFonts w:eastAsia="Times"/>
                <w:b/>
              </w:rPr>
            </w:pPr>
          </w:p>
        </w:tc>
        <w:tc>
          <w:tcPr>
            <w:tcW w:w="4670" w:type="dxa"/>
          </w:tcPr>
          <w:p w14:paraId="6E5408E1" w14:textId="77777777" w:rsidR="009E085F" w:rsidRDefault="009E085F" w:rsidP="00033134">
            <w:pPr>
              <w:pStyle w:val="tabletext0"/>
              <w:spacing w:before="60" w:after="60"/>
            </w:pPr>
            <w:r w:rsidRPr="006B4684">
              <w:t>To what extent have DFAT’s investments ensured that infrastructure assets</w:t>
            </w:r>
            <w:r>
              <w:t xml:space="preserve"> and utilities</w:t>
            </w:r>
            <w:r w:rsidRPr="006B4684">
              <w:t xml:space="preserve"> </w:t>
            </w:r>
            <w:r>
              <w:t xml:space="preserve">are </w:t>
            </w:r>
            <w:r w:rsidRPr="006B4684">
              <w:t>sustainably operated</w:t>
            </w:r>
            <w:r>
              <w:t>, managed</w:t>
            </w:r>
            <w:r w:rsidRPr="006B4684">
              <w:t xml:space="preserve"> and maintained?</w:t>
            </w:r>
          </w:p>
        </w:tc>
        <w:tc>
          <w:tcPr>
            <w:tcW w:w="1550" w:type="dxa"/>
          </w:tcPr>
          <w:p w14:paraId="28E58AD0" w14:textId="77777777" w:rsidR="009E085F" w:rsidRDefault="009E085F" w:rsidP="00033134">
            <w:pPr>
              <w:pStyle w:val="tabletext0"/>
            </w:pPr>
            <w:r>
              <w:t xml:space="preserve">Desktop review and key </w:t>
            </w:r>
            <w:r>
              <w:lastRenderedPageBreak/>
              <w:t>informant interviews</w:t>
            </w:r>
          </w:p>
        </w:tc>
        <w:tc>
          <w:tcPr>
            <w:tcW w:w="1677" w:type="dxa"/>
          </w:tcPr>
          <w:p w14:paraId="090B16C5" w14:textId="77777777" w:rsidR="009E085F" w:rsidRDefault="009E085F" w:rsidP="00033134">
            <w:pPr>
              <w:pStyle w:val="tabletext0"/>
            </w:pPr>
          </w:p>
        </w:tc>
        <w:tc>
          <w:tcPr>
            <w:tcW w:w="3369" w:type="dxa"/>
            <w:vMerge/>
          </w:tcPr>
          <w:p w14:paraId="097548CE" w14:textId="77777777" w:rsidR="009E085F" w:rsidRDefault="009E085F" w:rsidP="00033134">
            <w:pPr>
              <w:spacing w:before="0" w:after="0"/>
              <w:jc w:val="both"/>
              <w:rPr>
                <w:lang w:val="en-US"/>
              </w:rPr>
            </w:pPr>
          </w:p>
        </w:tc>
      </w:tr>
      <w:tr w:rsidR="009E085F" w14:paraId="299F404D" w14:textId="77777777" w:rsidTr="009E085F">
        <w:trPr>
          <w:trHeight w:val="527"/>
        </w:trPr>
        <w:tc>
          <w:tcPr>
            <w:tcW w:w="3250" w:type="dxa"/>
            <w:vMerge w:val="restart"/>
          </w:tcPr>
          <w:p w14:paraId="2BE4EB99" w14:textId="77777777" w:rsidR="009E085F" w:rsidRDefault="009E085F" w:rsidP="00033134">
            <w:pPr>
              <w:pStyle w:val="tabletext0"/>
              <w:rPr>
                <w:rFonts w:eastAsia="Times"/>
                <w:b/>
              </w:rPr>
            </w:pPr>
            <w:r>
              <w:rPr>
                <w:rFonts w:eastAsia="Times"/>
                <w:b/>
              </w:rPr>
              <w:t xml:space="preserve">Efficiency- </w:t>
            </w:r>
          </w:p>
          <w:p w14:paraId="082F2706" w14:textId="77777777" w:rsidR="009E085F" w:rsidRDefault="009E085F" w:rsidP="00033134">
            <w:pPr>
              <w:spacing w:before="0" w:after="0" w:line="200" w:lineRule="exact"/>
            </w:pPr>
            <w:r>
              <w:t xml:space="preserve">To what extent has the investment efficiently used Australia’s contributions in terms of time and resources to achieve the desired outcomes? </w:t>
            </w:r>
          </w:p>
          <w:p w14:paraId="13F8CDE0" w14:textId="77777777" w:rsidR="009E085F" w:rsidRPr="00203316" w:rsidRDefault="009E085F" w:rsidP="00033134">
            <w:pPr>
              <w:pStyle w:val="tabletext0"/>
              <w:rPr>
                <w:rFonts w:eastAsia="Times"/>
                <w:b/>
              </w:rPr>
            </w:pPr>
          </w:p>
        </w:tc>
        <w:tc>
          <w:tcPr>
            <w:tcW w:w="4670" w:type="dxa"/>
          </w:tcPr>
          <w:p w14:paraId="4AFEC2CC" w14:textId="77777777" w:rsidR="009E085F" w:rsidRPr="00E62E32" w:rsidRDefault="009E085F" w:rsidP="00033134">
            <w:pPr>
              <w:pStyle w:val="tabletext0"/>
              <w:spacing w:before="60" w:after="60"/>
            </w:pPr>
            <w:r w:rsidRPr="00C60369">
              <w:t xml:space="preserve">To what extent has DFAT </w:t>
            </w:r>
            <w:r>
              <w:t xml:space="preserve">selected </w:t>
            </w:r>
            <w:r w:rsidRPr="00C60369">
              <w:t xml:space="preserve">infrastructure projects </w:t>
            </w:r>
            <w:r>
              <w:t xml:space="preserve">that efficiently deliver the agreed outcomes, after </w:t>
            </w:r>
            <w:r w:rsidRPr="00C60369">
              <w:t>consider</w:t>
            </w:r>
            <w:r>
              <w:t>ing</w:t>
            </w:r>
            <w:r w:rsidRPr="00C60369">
              <w:t xml:space="preserve"> suitable alternatives?</w:t>
            </w:r>
          </w:p>
        </w:tc>
        <w:tc>
          <w:tcPr>
            <w:tcW w:w="1550" w:type="dxa"/>
          </w:tcPr>
          <w:p w14:paraId="2A83DD55" w14:textId="77777777" w:rsidR="009E085F" w:rsidRDefault="009E085F" w:rsidP="00033134">
            <w:pPr>
              <w:pStyle w:val="tabletext0"/>
            </w:pPr>
            <w:r>
              <w:t>Desktop review and key informant interviews</w:t>
            </w:r>
          </w:p>
        </w:tc>
        <w:tc>
          <w:tcPr>
            <w:tcW w:w="1677" w:type="dxa"/>
          </w:tcPr>
          <w:p w14:paraId="1FCEDBD3" w14:textId="77777777" w:rsidR="009E085F" w:rsidRDefault="009E085F" w:rsidP="00033134">
            <w:pPr>
              <w:pStyle w:val="tabletext0"/>
            </w:pPr>
          </w:p>
        </w:tc>
        <w:tc>
          <w:tcPr>
            <w:tcW w:w="3369" w:type="dxa"/>
            <w:vMerge w:val="restart"/>
          </w:tcPr>
          <w:p w14:paraId="5DD3EE3D" w14:textId="77777777" w:rsidR="009E085F" w:rsidRDefault="009E085F" w:rsidP="00033134">
            <w:pPr>
              <w:pStyle w:val="tabletext0"/>
            </w:pPr>
            <w:r w:rsidRPr="00CB10E9">
              <w:rPr>
                <w:rFonts w:eastAsia="Times"/>
                <w:b/>
              </w:rPr>
              <w:t>Good, Very Good (rating: 5-6)-</w:t>
            </w:r>
            <w:r>
              <w:rPr>
                <w:b/>
              </w:rPr>
              <w:t xml:space="preserve"> </w:t>
            </w:r>
            <w:r>
              <w:t xml:space="preserve">The investment maximises outcomes from available time and resources. </w:t>
            </w:r>
          </w:p>
          <w:p w14:paraId="26678A08" w14:textId="77777777" w:rsidR="009E085F" w:rsidRDefault="009E085F" w:rsidP="00033134">
            <w:pPr>
              <w:pStyle w:val="Tablebullet"/>
            </w:pPr>
            <w:r>
              <w:t xml:space="preserve">The investment is within budget and funds are being expended as planned. </w:t>
            </w:r>
          </w:p>
          <w:p w14:paraId="6D270FA6" w14:textId="77777777" w:rsidR="009E085F" w:rsidRDefault="009E085F" w:rsidP="00033134">
            <w:pPr>
              <w:pStyle w:val="Tablebullet"/>
            </w:pPr>
            <w:r>
              <w:t xml:space="preserve">The investment is well harmonised with the work of other donors and closely aligned with partner government systems. </w:t>
            </w:r>
          </w:p>
          <w:p w14:paraId="0E903CBB" w14:textId="77777777" w:rsidR="009E085F" w:rsidRDefault="009E085F" w:rsidP="00033134">
            <w:pPr>
              <w:pStyle w:val="tabletext0"/>
            </w:pPr>
            <w:r w:rsidRPr="007F4700">
              <w:rPr>
                <w:b/>
              </w:rPr>
              <w:t>Adequate</w:t>
            </w:r>
            <w:r>
              <w:rPr>
                <w:b/>
              </w:rPr>
              <w:t xml:space="preserve"> (rating: 4)- </w:t>
            </w:r>
            <w:r>
              <w:t xml:space="preserve">The investment generally makes appropriate use of time and resources in all major areas. </w:t>
            </w:r>
          </w:p>
          <w:p w14:paraId="4E769B4A" w14:textId="77777777" w:rsidR="009E085F" w:rsidRDefault="009E085F" w:rsidP="00033134">
            <w:pPr>
              <w:pStyle w:val="Tablebullet"/>
            </w:pPr>
            <w:r>
              <w:t xml:space="preserve">The investment is within budget and funds are being expended as planned. </w:t>
            </w:r>
          </w:p>
          <w:p w14:paraId="3730390E" w14:textId="77777777" w:rsidR="009E085F" w:rsidRDefault="009E085F" w:rsidP="00033134">
            <w:pPr>
              <w:pStyle w:val="Tablebullet"/>
            </w:pPr>
            <w:r>
              <w:t xml:space="preserve">The investment is well harmonised with the work of </w:t>
            </w:r>
            <w:r>
              <w:lastRenderedPageBreak/>
              <w:t xml:space="preserve">other donors and closely aligned with partner government systems. </w:t>
            </w:r>
          </w:p>
          <w:p w14:paraId="50099963" w14:textId="77777777" w:rsidR="009E085F" w:rsidRDefault="009E085F" w:rsidP="00033134">
            <w:pPr>
              <w:pStyle w:val="tabletext0"/>
            </w:pPr>
            <w:r>
              <w:rPr>
                <w:b/>
              </w:rPr>
              <w:t xml:space="preserve">Less than Adequate (rating: 3)- </w:t>
            </w:r>
            <w:r>
              <w:t xml:space="preserve">The investment is not making appropriate use of time and resources in at least one major area. </w:t>
            </w:r>
          </w:p>
          <w:p w14:paraId="1B4E59DC" w14:textId="77777777" w:rsidR="009E085F" w:rsidRDefault="009E085F" w:rsidP="00033134">
            <w:pPr>
              <w:pStyle w:val="Tablebullet"/>
            </w:pPr>
            <w:r>
              <w:t xml:space="preserve">The investment has deviated from the budget, planned expenditure or timelines and this is beyond tolerance limits. </w:t>
            </w:r>
          </w:p>
          <w:p w14:paraId="27DA202B" w14:textId="77777777" w:rsidR="009E085F" w:rsidRDefault="009E085F" w:rsidP="00033134">
            <w:pPr>
              <w:pStyle w:val="Tablebullet"/>
            </w:pPr>
            <w:r>
              <w:t xml:space="preserve">Harmonisation with other donors and alignment with partner government systems is weak and creating some notable inefficiencies. </w:t>
            </w:r>
          </w:p>
          <w:p w14:paraId="7610E3E4" w14:textId="77777777" w:rsidR="009E085F" w:rsidRDefault="009E085F" w:rsidP="00033134">
            <w:pPr>
              <w:pStyle w:val="tabletext0"/>
            </w:pPr>
            <w:r>
              <w:rPr>
                <w:b/>
              </w:rPr>
              <w:t xml:space="preserve">Poor, Very Poor (rating: 1-2)- </w:t>
            </w:r>
            <w:r>
              <w:t xml:space="preserve">The investment is not making appropriate use of time and resources in several/all major areas. </w:t>
            </w:r>
          </w:p>
          <w:p w14:paraId="01038C9B" w14:textId="77777777" w:rsidR="009E085F" w:rsidRDefault="009E085F" w:rsidP="00033134">
            <w:pPr>
              <w:pStyle w:val="Tablebullet"/>
            </w:pPr>
            <w:r w:rsidRPr="006A51DA">
              <w:rPr>
                <w:rStyle w:val="TablebulletChar"/>
              </w:rPr>
              <w:t>The investment has deviated significantly from the budget, planned</w:t>
            </w:r>
            <w:r>
              <w:t xml:space="preserve"> expenditure or timelines and this is well beyond tolerance limits. </w:t>
            </w:r>
          </w:p>
          <w:p w14:paraId="0035C3A5" w14:textId="77777777" w:rsidR="009E085F" w:rsidRPr="006A51DA" w:rsidRDefault="009E085F" w:rsidP="00033134">
            <w:pPr>
              <w:pStyle w:val="Tablebullet"/>
            </w:pPr>
            <w:r>
              <w:lastRenderedPageBreak/>
              <w:t xml:space="preserve">The investment is poorly harmonised/aligned with donors and partner government systems and creating some major inefficiencies. </w:t>
            </w:r>
          </w:p>
        </w:tc>
      </w:tr>
      <w:tr w:rsidR="009E085F" w14:paraId="77B899C3" w14:textId="77777777" w:rsidTr="009E085F">
        <w:trPr>
          <w:trHeight w:val="527"/>
        </w:trPr>
        <w:tc>
          <w:tcPr>
            <w:tcW w:w="3250" w:type="dxa"/>
            <w:vMerge/>
          </w:tcPr>
          <w:p w14:paraId="5D728127" w14:textId="77777777" w:rsidR="009E085F" w:rsidRDefault="009E085F" w:rsidP="00033134">
            <w:pPr>
              <w:pStyle w:val="tabletext0"/>
              <w:rPr>
                <w:rFonts w:eastAsia="Times"/>
                <w:b/>
              </w:rPr>
            </w:pPr>
          </w:p>
        </w:tc>
        <w:tc>
          <w:tcPr>
            <w:tcW w:w="4670" w:type="dxa"/>
          </w:tcPr>
          <w:p w14:paraId="0CD1ABEF" w14:textId="77777777" w:rsidR="009E085F" w:rsidRPr="00C60369" w:rsidRDefault="009E085F" w:rsidP="00033134">
            <w:pPr>
              <w:pStyle w:val="tabletext0"/>
              <w:spacing w:before="60" w:after="60"/>
            </w:pPr>
            <w:r w:rsidRPr="00000277">
              <w:t>To what extent were DFAT’s investments managed to ensure delivery on time and within budget?</w:t>
            </w:r>
          </w:p>
        </w:tc>
        <w:tc>
          <w:tcPr>
            <w:tcW w:w="1550" w:type="dxa"/>
          </w:tcPr>
          <w:p w14:paraId="62BD9F7A" w14:textId="77777777" w:rsidR="009E085F" w:rsidRDefault="009E085F" w:rsidP="00033134">
            <w:pPr>
              <w:pStyle w:val="tabletext0"/>
            </w:pPr>
            <w:r>
              <w:t>Desktop review and key informant interviews</w:t>
            </w:r>
          </w:p>
        </w:tc>
        <w:tc>
          <w:tcPr>
            <w:tcW w:w="1677" w:type="dxa"/>
          </w:tcPr>
          <w:p w14:paraId="1F9BF93E" w14:textId="77777777" w:rsidR="009E085F" w:rsidRDefault="009E085F" w:rsidP="00033134">
            <w:pPr>
              <w:pStyle w:val="tabletext0"/>
            </w:pPr>
          </w:p>
        </w:tc>
        <w:tc>
          <w:tcPr>
            <w:tcW w:w="3369" w:type="dxa"/>
            <w:vMerge/>
          </w:tcPr>
          <w:p w14:paraId="3DB584E8" w14:textId="77777777" w:rsidR="009E085F" w:rsidRPr="00CB10E9" w:rsidRDefault="009E085F" w:rsidP="00033134">
            <w:pPr>
              <w:pStyle w:val="tabletext0"/>
              <w:rPr>
                <w:rFonts w:eastAsia="Times"/>
                <w:b/>
              </w:rPr>
            </w:pPr>
          </w:p>
        </w:tc>
      </w:tr>
      <w:tr w:rsidR="009E085F" w14:paraId="7F3E5D3A" w14:textId="77777777" w:rsidTr="009E085F">
        <w:trPr>
          <w:trHeight w:val="821"/>
        </w:trPr>
        <w:tc>
          <w:tcPr>
            <w:tcW w:w="3250" w:type="dxa"/>
            <w:vMerge/>
          </w:tcPr>
          <w:p w14:paraId="7FEFB3BD" w14:textId="77777777" w:rsidR="009E085F" w:rsidRDefault="009E085F" w:rsidP="00033134">
            <w:pPr>
              <w:pStyle w:val="tabletext0"/>
              <w:rPr>
                <w:rFonts w:eastAsia="Times" w:cs="Arial"/>
                <w:b/>
              </w:rPr>
            </w:pPr>
          </w:p>
        </w:tc>
        <w:tc>
          <w:tcPr>
            <w:tcW w:w="4670" w:type="dxa"/>
          </w:tcPr>
          <w:p w14:paraId="29CF5B10" w14:textId="77777777" w:rsidR="009E085F" w:rsidRPr="00E62E32" w:rsidRDefault="009E085F" w:rsidP="00033134">
            <w:pPr>
              <w:pStyle w:val="tabletext0"/>
              <w:spacing w:before="60" w:after="60"/>
            </w:pPr>
            <w:r>
              <w:t>How has DFAT education investments harmonised with other donors and aligned with partner government systems?</w:t>
            </w:r>
          </w:p>
        </w:tc>
        <w:tc>
          <w:tcPr>
            <w:tcW w:w="1550" w:type="dxa"/>
          </w:tcPr>
          <w:p w14:paraId="12E542F7" w14:textId="77777777" w:rsidR="009E085F" w:rsidRDefault="009E085F" w:rsidP="00033134">
            <w:pPr>
              <w:pStyle w:val="tabletext0"/>
            </w:pPr>
            <w:r>
              <w:t>Desktop review and key informant interviews</w:t>
            </w:r>
          </w:p>
        </w:tc>
        <w:tc>
          <w:tcPr>
            <w:tcW w:w="1677" w:type="dxa"/>
          </w:tcPr>
          <w:p w14:paraId="0046C285" w14:textId="77777777" w:rsidR="009E085F" w:rsidRDefault="009E085F" w:rsidP="00033134">
            <w:pPr>
              <w:pStyle w:val="tabletext0"/>
            </w:pPr>
          </w:p>
        </w:tc>
        <w:tc>
          <w:tcPr>
            <w:tcW w:w="3369" w:type="dxa"/>
            <w:vMerge/>
          </w:tcPr>
          <w:p w14:paraId="35A1120D" w14:textId="77777777" w:rsidR="009E085F" w:rsidRDefault="009E085F" w:rsidP="00033134">
            <w:pPr>
              <w:spacing w:before="0" w:beforeAutospacing="0" w:after="0" w:afterAutospacing="0"/>
              <w:jc w:val="both"/>
              <w:rPr>
                <w:lang w:val="en-US"/>
              </w:rPr>
            </w:pPr>
          </w:p>
        </w:tc>
      </w:tr>
      <w:tr w:rsidR="009E085F" w14:paraId="062A8B35" w14:textId="77777777" w:rsidTr="009E085F">
        <w:trPr>
          <w:trHeight w:val="821"/>
        </w:trPr>
        <w:tc>
          <w:tcPr>
            <w:tcW w:w="3250" w:type="dxa"/>
            <w:vMerge w:val="restart"/>
          </w:tcPr>
          <w:p w14:paraId="168B86DD" w14:textId="77777777" w:rsidR="009E085F" w:rsidRDefault="009E085F" w:rsidP="00033134">
            <w:pPr>
              <w:pStyle w:val="tabletext0"/>
              <w:rPr>
                <w:rFonts w:eastAsia="Times"/>
                <w:b/>
              </w:rPr>
            </w:pPr>
            <w:r>
              <w:rPr>
                <w:rFonts w:eastAsia="Times"/>
                <w:b/>
              </w:rPr>
              <w:lastRenderedPageBreak/>
              <w:t>Monitoring and Evaluation-</w:t>
            </w:r>
          </w:p>
          <w:p w14:paraId="01C18B74" w14:textId="77777777" w:rsidR="009E085F" w:rsidRPr="004D3944" w:rsidRDefault="009E085F" w:rsidP="00033134">
            <w:pPr>
              <w:pStyle w:val="Tablebullet"/>
            </w:pPr>
            <w:r>
              <w:t xml:space="preserve">What would the preferred structure of the program, performance expectations and monitoring and evaluation look like? </w:t>
            </w:r>
          </w:p>
        </w:tc>
        <w:tc>
          <w:tcPr>
            <w:tcW w:w="4670" w:type="dxa"/>
          </w:tcPr>
          <w:p w14:paraId="790F9955" w14:textId="77777777" w:rsidR="009E085F" w:rsidRPr="005D0DA0" w:rsidRDefault="009E085F" w:rsidP="00033134">
            <w:pPr>
              <w:pStyle w:val="tabletext0"/>
              <w:spacing w:before="60" w:after="60"/>
            </w:pPr>
            <w:r>
              <w:t xml:space="preserve">To what extent are the current reporting and M&amp;E arrangements suitable considering DFAT standards, particularly for the indoor sports complex and Nauru port reform and redevelopment? </w:t>
            </w:r>
          </w:p>
        </w:tc>
        <w:tc>
          <w:tcPr>
            <w:tcW w:w="1550" w:type="dxa"/>
          </w:tcPr>
          <w:p w14:paraId="667A5AEC" w14:textId="77777777" w:rsidR="009E085F" w:rsidRDefault="009E085F" w:rsidP="00033134">
            <w:pPr>
              <w:pStyle w:val="tabletext0"/>
            </w:pPr>
            <w:r>
              <w:t>Desktop review and key informant interviews</w:t>
            </w:r>
          </w:p>
        </w:tc>
        <w:tc>
          <w:tcPr>
            <w:tcW w:w="1677" w:type="dxa"/>
          </w:tcPr>
          <w:p w14:paraId="7EFF090A" w14:textId="77777777" w:rsidR="009E085F" w:rsidRDefault="009E085F" w:rsidP="00033134">
            <w:pPr>
              <w:pStyle w:val="tabletext0"/>
            </w:pPr>
          </w:p>
        </w:tc>
        <w:tc>
          <w:tcPr>
            <w:tcW w:w="3369" w:type="dxa"/>
            <w:vMerge w:val="restart"/>
          </w:tcPr>
          <w:p w14:paraId="190AC7C3" w14:textId="77777777" w:rsidR="009E085F" w:rsidRDefault="009E085F" w:rsidP="00033134">
            <w:pPr>
              <w:spacing w:before="0" w:beforeAutospacing="0" w:after="0" w:afterAutospacing="0"/>
              <w:jc w:val="both"/>
              <w:rPr>
                <w:b/>
              </w:rPr>
            </w:pPr>
            <w:r>
              <w:rPr>
                <w:b/>
              </w:rPr>
              <w:t>Good, Very Good (rating: 5-6)</w:t>
            </w:r>
          </w:p>
          <w:p w14:paraId="4D9E3285" w14:textId="77777777" w:rsidR="009E085F" w:rsidRDefault="009E085F" w:rsidP="00033134">
            <w:pPr>
              <w:spacing w:before="0" w:beforeAutospacing="0" w:after="0" w:afterAutospacing="0"/>
              <w:jc w:val="both"/>
              <w:rPr>
                <w:b/>
              </w:rPr>
            </w:pPr>
            <w:r w:rsidRPr="007F4700">
              <w:rPr>
                <w:b/>
              </w:rPr>
              <w:t>Adequate</w:t>
            </w:r>
            <w:r>
              <w:rPr>
                <w:b/>
              </w:rPr>
              <w:t xml:space="preserve"> (rating: 4)</w:t>
            </w:r>
          </w:p>
          <w:p w14:paraId="4904F860" w14:textId="77777777" w:rsidR="009E085F" w:rsidRDefault="009E085F" w:rsidP="00033134">
            <w:pPr>
              <w:spacing w:before="0" w:beforeAutospacing="0" w:after="0" w:afterAutospacing="0"/>
              <w:jc w:val="both"/>
              <w:rPr>
                <w:b/>
              </w:rPr>
            </w:pPr>
            <w:r>
              <w:rPr>
                <w:b/>
              </w:rPr>
              <w:t>Less than Adequate (rating: 3)</w:t>
            </w:r>
          </w:p>
          <w:p w14:paraId="5EB94F78" w14:textId="77777777" w:rsidR="009E085F" w:rsidRDefault="009E085F" w:rsidP="00033134">
            <w:pPr>
              <w:spacing w:before="0" w:beforeAutospacing="0" w:after="0" w:afterAutospacing="0"/>
              <w:jc w:val="both"/>
              <w:rPr>
                <w:lang w:val="en-US"/>
              </w:rPr>
            </w:pPr>
            <w:r>
              <w:rPr>
                <w:b/>
              </w:rPr>
              <w:t>Poor, Very Poor (rating: 1-2)</w:t>
            </w:r>
          </w:p>
        </w:tc>
      </w:tr>
      <w:tr w:rsidR="009E085F" w14:paraId="62C5BAB0" w14:textId="77777777" w:rsidTr="009E085F">
        <w:trPr>
          <w:trHeight w:val="821"/>
        </w:trPr>
        <w:tc>
          <w:tcPr>
            <w:tcW w:w="3250" w:type="dxa"/>
            <w:vMerge/>
          </w:tcPr>
          <w:p w14:paraId="292B3736" w14:textId="77777777" w:rsidR="009E085F" w:rsidRDefault="009E085F" w:rsidP="00033134">
            <w:pPr>
              <w:pStyle w:val="tabletext0"/>
              <w:rPr>
                <w:rFonts w:eastAsia="Times" w:cs="Arial"/>
                <w:b/>
              </w:rPr>
            </w:pPr>
          </w:p>
        </w:tc>
        <w:tc>
          <w:tcPr>
            <w:tcW w:w="4670" w:type="dxa"/>
          </w:tcPr>
          <w:p w14:paraId="79F1ECFA" w14:textId="77777777" w:rsidR="009E085F" w:rsidRPr="00A028B5" w:rsidRDefault="009E085F" w:rsidP="00033134">
            <w:pPr>
              <w:pStyle w:val="tabletext0"/>
              <w:spacing w:before="60" w:after="60"/>
            </w:pPr>
            <w:r w:rsidRPr="00C01D86">
              <w:t>What would the recommended</w:t>
            </w:r>
            <w:r>
              <w:t xml:space="preserve"> Theory of Change and M&amp;E Framework include </w:t>
            </w:r>
            <w:r w:rsidRPr="00C01D86">
              <w:t xml:space="preserve">for future DFAT </w:t>
            </w:r>
            <w:r>
              <w:t>infrastructure investments?</w:t>
            </w:r>
          </w:p>
        </w:tc>
        <w:tc>
          <w:tcPr>
            <w:tcW w:w="1550" w:type="dxa"/>
          </w:tcPr>
          <w:p w14:paraId="511D3545" w14:textId="77777777" w:rsidR="009E085F" w:rsidRDefault="009E085F" w:rsidP="00033134">
            <w:pPr>
              <w:spacing w:before="0" w:beforeAutospacing="0" w:after="0" w:afterAutospacing="0"/>
              <w:rPr>
                <w:lang w:val="en-US"/>
              </w:rPr>
            </w:pPr>
            <w:r>
              <w:t>Infrastructure Review Report, desktop review and key informant interviews</w:t>
            </w:r>
          </w:p>
        </w:tc>
        <w:tc>
          <w:tcPr>
            <w:tcW w:w="1677" w:type="dxa"/>
          </w:tcPr>
          <w:p w14:paraId="68917B0B" w14:textId="77777777" w:rsidR="009E085F" w:rsidRDefault="009E085F" w:rsidP="00033134">
            <w:pPr>
              <w:pStyle w:val="tabletext0"/>
            </w:pPr>
          </w:p>
        </w:tc>
        <w:tc>
          <w:tcPr>
            <w:tcW w:w="3369" w:type="dxa"/>
            <w:vMerge/>
          </w:tcPr>
          <w:p w14:paraId="302A532D" w14:textId="77777777" w:rsidR="009E085F" w:rsidRDefault="009E085F" w:rsidP="00033134">
            <w:pPr>
              <w:spacing w:before="0" w:beforeAutospacing="0" w:after="0" w:afterAutospacing="0"/>
              <w:jc w:val="both"/>
              <w:rPr>
                <w:lang w:val="en-US"/>
              </w:rPr>
            </w:pPr>
          </w:p>
        </w:tc>
      </w:tr>
    </w:tbl>
    <w:p w14:paraId="5697EDDE" w14:textId="77777777" w:rsidR="009E085F" w:rsidRPr="00714480" w:rsidRDefault="009E085F" w:rsidP="009E085F">
      <w:pPr>
        <w:rPr>
          <w:lang w:eastAsia="en-AU"/>
        </w:rPr>
      </w:pPr>
    </w:p>
    <w:p w14:paraId="1D8D4820" w14:textId="77777777" w:rsidR="009E085F" w:rsidRDefault="009E085F" w:rsidP="00CC576A">
      <w:pPr>
        <w:rPr>
          <w:lang w:eastAsia="en-AU"/>
        </w:rPr>
      </w:pPr>
    </w:p>
    <w:sectPr w:rsidR="009E085F" w:rsidSect="00033134">
      <w:pgSz w:w="16839" w:h="11907" w:orient="landscape" w:code="9"/>
      <w:pgMar w:top="1440" w:right="1440" w:bottom="1276" w:left="1440"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A61D" w14:textId="77777777" w:rsidR="00321802" w:rsidRDefault="00321802" w:rsidP="00653972">
      <w:pPr>
        <w:spacing w:before="0" w:after="0" w:line="240" w:lineRule="auto"/>
      </w:pPr>
      <w:r>
        <w:separator/>
      </w:r>
    </w:p>
  </w:endnote>
  <w:endnote w:type="continuationSeparator" w:id="0">
    <w:p w14:paraId="7E0DEB61" w14:textId="77777777" w:rsidR="00321802" w:rsidRDefault="00321802" w:rsidP="00653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B08A" w14:textId="77777777" w:rsidR="00F17D88" w:rsidRDefault="00F17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A752" w14:textId="77777777" w:rsidR="00321802" w:rsidRDefault="00321802">
    <w:pPr>
      <w:pStyle w:val="Footer"/>
    </w:pPr>
    <w:r>
      <w:rPr>
        <w:noProof/>
        <w:lang w:eastAsia="en-AU"/>
      </w:rPr>
      <w:drawing>
        <wp:anchor distT="0" distB="0" distL="114300" distR="114300" simplePos="0" relativeHeight="251659264" behindDoc="1" locked="0" layoutInCell="1" allowOverlap="1" wp14:anchorId="3058FE60" wp14:editId="61238902">
          <wp:simplePos x="0" y="0"/>
          <wp:positionH relativeFrom="page">
            <wp:posOffset>-63500</wp:posOffset>
          </wp:positionH>
          <wp:positionV relativeFrom="page">
            <wp:posOffset>6378575</wp:posOffset>
          </wp:positionV>
          <wp:extent cx="7683500" cy="4351655"/>
          <wp:effectExtent l="0" t="0" r="0" b="0"/>
          <wp:wrapNone/>
          <wp:docPr id="4" name="Picture 4" descr="CH_MELBOURNE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_MELBOURNE_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435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4DA3" w14:textId="77777777" w:rsidR="00F17D88" w:rsidRDefault="00F17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67B7" w14:textId="54D23691" w:rsidR="00321802" w:rsidRPr="00423DB9" w:rsidRDefault="00F17D88" w:rsidP="00DE1071">
    <w:pPr>
      <w:pStyle w:val="Footer"/>
      <w:tabs>
        <w:tab w:val="right" w:pos="9270"/>
      </w:tabs>
      <w:rPr>
        <w:sz w:val="16"/>
        <w:szCs w:val="16"/>
      </w:rPr>
    </w:pPr>
    <w:sdt>
      <w:sdtPr>
        <w:rPr>
          <w:sz w:val="16"/>
          <w:szCs w:val="16"/>
        </w:rPr>
        <w:id w:val="490379518"/>
        <w:docPartObj>
          <w:docPartGallery w:val="Page Numbers (Bottom of Page)"/>
          <w:docPartUnique/>
        </w:docPartObj>
      </w:sdtPr>
      <w:sdtEndPr>
        <w:rPr>
          <w:noProof/>
        </w:rPr>
      </w:sdtEndPr>
      <w:sdtContent>
        <w:r w:rsidR="00321802">
          <w:rPr>
            <w:color w:val="E26E00"/>
            <w:sz w:val="16"/>
            <w:szCs w:val="16"/>
          </w:rPr>
          <w:t>Design. Evaluate. Evolve</w:t>
        </w:r>
        <w:r w:rsidR="00321802">
          <w:tab/>
        </w:r>
        <w:r w:rsidR="00321802">
          <w:tab/>
        </w:r>
        <w:r w:rsidR="00321802">
          <w:rPr>
            <w:rFonts w:cs="FranklinGothic-Medium"/>
            <w:color w:val="000101"/>
            <w:sz w:val="16"/>
            <w:szCs w:val="16"/>
          </w:rPr>
          <w:t xml:space="preserve">Clear Horizon </w:t>
        </w:r>
        <w:r w:rsidR="00321802" w:rsidRPr="00423DB9">
          <w:rPr>
            <w:rFonts w:cs="FranklinGothic-Medium"/>
            <w:color w:val="000101"/>
            <w:sz w:val="16"/>
            <w:szCs w:val="16"/>
          </w:rPr>
          <w:t xml:space="preserve">/ </w:t>
        </w:r>
        <w:r w:rsidR="00321802" w:rsidRPr="00423DB9">
          <w:rPr>
            <w:sz w:val="16"/>
            <w:szCs w:val="16"/>
          </w:rPr>
          <w:fldChar w:fldCharType="begin"/>
        </w:r>
        <w:r w:rsidR="00321802" w:rsidRPr="00423DB9">
          <w:rPr>
            <w:sz w:val="16"/>
            <w:szCs w:val="16"/>
          </w:rPr>
          <w:instrText xml:space="preserve"> PAGE   \* MERGEFORMAT </w:instrText>
        </w:r>
        <w:r w:rsidR="00321802" w:rsidRPr="00423DB9">
          <w:rPr>
            <w:sz w:val="16"/>
            <w:szCs w:val="16"/>
          </w:rPr>
          <w:fldChar w:fldCharType="separate"/>
        </w:r>
        <w:r>
          <w:rPr>
            <w:noProof/>
            <w:sz w:val="16"/>
            <w:szCs w:val="16"/>
          </w:rPr>
          <w:t>42</w:t>
        </w:r>
        <w:r w:rsidR="00321802" w:rsidRPr="00423DB9">
          <w:rPr>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9B45" w14:textId="77777777" w:rsidR="00321802" w:rsidRPr="00FF46E4" w:rsidRDefault="00321802" w:rsidP="004A4B51">
    <w:pPr>
      <w:pStyle w:val="Footerstyle"/>
      <w:rPr>
        <w:rFonts w:ascii="Franklin Gothic Medium" w:hAnsi="Franklin Gothic Medium" w:cs="FranklinGothic-Medium"/>
        <w:sz w:val="10"/>
        <w:szCs w:val="16"/>
      </w:rPr>
    </w:pPr>
  </w:p>
  <w:p w14:paraId="1F73811B" w14:textId="78CDC128" w:rsidR="00321802" w:rsidRPr="00423DB9" w:rsidRDefault="00321802" w:rsidP="00033134">
    <w:pPr>
      <w:pStyle w:val="Footer"/>
      <w:tabs>
        <w:tab w:val="right" w:pos="9270"/>
      </w:tabs>
      <w:rPr>
        <w:sz w:val="16"/>
        <w:szCs w:val="16"/>
      </w:rPr>
    </w:pPr>
    <w:r w:rsidRPr="00FF46E4">
      <w:rPr>
        <w:rFonts w:ascii="Franklin Gothic Medium" w:hAnsi="Franklin Gothic Medium"/>
        <w:color w:val="E26E00"/>
        <w:sz w:val="16"/>
      </w:rPr>
      <w:t>Design. Evaluate. Evolve</w:t>
    </w:r>
    <w:r>
      <w:t xml:space="preserve">                         </w:t>
    </w:r>
    <w:r w:rsidRPr="00423DB9">
      <w:rPr>
        <w:sz w:val="16"/>
        <w:szCs w:val="16"/>
      </w:rPr>
      <w:t xml:space="preserve">                                                                                    </w:t>
    </w:r>
    <w:r w:rsidRPr="00423DB9">
      <w:rPr>
        <w:sz w:val="16"/>
        <w:szCs w:val="16"/>
      </w:rPr>
      <w:tab/>
    </w:r>
    <w:r w:rsidRPr="00423DB9">
      <w:rPr>
        <w:rFonts w:cs="FranklinGothic-Medium"/>
        <w:color w:val="000101"/>
        <w:sz w:val="16"/>
        <w:szCs w:val="16"/>
      </w:rPr>
      <w:t xml:space="preserve">Clear Horizon  / </w:t>
    </w:r>
    <w:r w:rsidRPr="00423DB9">
      <w:rPr>
        <w:sz w:val="16"/>
        <w:szCs w:val="16"/>
      </w:rPr>
      <w:fldChar w:fldCharType="begin"/>
    </w:r>
    <w:r w:rsidRPr="00423DB9">
      <w:rPr>
        <w:sz w:val="16"/>
        <w:szCs w:val="16"/>
      </w:rPr>
      <w:instrText xml:space="preserve"> PAGE   \* MERGEFORMAT </w:instrText>
    </w:r>
    <w:r w:rsidRPr="00423DB9">
      <w:rPr>
        <w:sz w:val="16"/>
        <w:szCs w:val="16"/>
      </w:rPr>
      <w:fldChar w:fldCharType="separate"/>
    </w:r>
    <w:r w:rsidR="00F17D88">
      <w:rPr>
        <w:noProof/>
        <w:sz w:val="16"/>
        <w:szCs w:val="16"/>
      </w:rPr>
      <w:t>51</w:t>
    </w:r>
    <w:r w:rsidRPr="00423DB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38E3" w14:textId="77777777" w:rsidR="00321802" w:rsidRDefault="00321802" w:rsidP="00653972">
      <w:pPr>
        <w:spacing w:before="0" w:after="0" w:line="240" w:lineRule="auto"/>
      </w:pPr>
      <w:r>
        <w:separator/>
      </w:r>
    </w:p>
  </w:footnote>
  <w:footnote w:type="continuationSeparator" w:id="0">
    <w:p w14:paraId="398C8497" w14:textId="77777777" w:rsidR="00321802" w:rsidRDefault="00321802" w:rsidP="00653972">
      <w:pPr>
        <w:spacing w:before="0" w:after="0" w:line="240" w:lineRule="auto"/>
      </w:pPr>
      <w:r>
        <w:continuationSeparator/>
      </w:r>
    </w:p>
  </w:footnote>
  <w:footnote w:id="1">
    <w:p w14:paraId="2B4BED4A" w14:textId="77777777" w:rsidR="00321802" w:rsidRDefault="00321802" w:rsidP="00EE487B">
      <w:pPr>
        <w:pStyle w:val="FootnoteText"/>
      </w:pPr>
      <w:r>
        <w:rPr>
          <w:rStyle w:val="FootnoteReference"/>
        </w:rPr>
        <w:footnoteRef/>
      </w:r>
      <w:r>
        <w:t xml:space="preserve"> National Sustainable Development Strategy 2005-2025 (GoN, 2009)</w:t>
      </w:r>
    </w:p>
  </w:footnote>
  <w:footnote w:id="2">
    <w:p w14:paraId="1ADB0860" w14:textId="77777777" w:rsidR="00321802" w:rsidRDefault="00321802" w:rsidP="004658EF">
      <w:pPr>
        <w:pStyle w:val="FootnoteText"/>
      </w:pPr>
      <w:r>
        <w:rPr>
          <w:rStyle w:val="FootnoteReference"/>
        </w:rPr>
        <w:footnoteRef/>
      </w:r>
      <w:r>
        <w:t xml:space="preserve"> ADB Nauru Country Operations Business Plan 2017-2019 (ADB, 2016)</w:t>
      </w:r>
    </w:p>
  </w:footnote>
  <w:footnote w:id="3">
    <w:p w14:paraId="5FDD1235" w14:textId="77777777" w:rsidR="00321802" w:rsidRDefault="00321802">
      <w:pPr>
        <w:pStyle w:val="FootnoteText"/>
      </w:pPr>
      <w:r>
        <w:rPr>
          <w:rStyle w:val="FootnoteReference"/>
        </w:rPr>
        <w:footnoteRef/>
      </w:r>
      <w:r>
        <w:t xml:space="preserve"> GoN European Community Country Strategy Paper and National Indicative Programming 2008 – 2013 (EU, 2007)</w:t>
      </w:r>
      <w:r>
        <w:br/>
      </w:r>
    </w:p>
  </w:footnote>
  <w:footnote w:id="4">
    <w:p w14:paraId="3F105219" w14:textId="77777777" w:rsidR="00321802" w:rsidRDefault="00321802" w:rsidP="002F0B38"/>
  </w:footnote>
  <w:footnote w:id="5">
    <w:p w14:paraId="702A5090" w14:textId="77777777" w:rsidR="00321802" w:rsidRDefault="00321802">
      <w:pPr>
        <w:pStyle w:val="FootnoteText"/>
      </w:pPr>
      <w:r>
        <w:rPr>
          <w:rStyle w:val="FootnoteReference"/>
        </w:rPr>
        <w:footnoteRef/>
      </w:r>
      <w:r>
        <w:t xml:space="preserve"> </w:t>
      </w:r>
      <w:r w:rsidRPr="006967E0">
        <w:rPr>
          <w:lang w:eastAsia="en-AU"/>
        </w:rPr>
        <w:t>https://www.fpwhitepaper.gov.au/foreign-policy-white-paper</w:t>
      </w:r>
    </w:p>
  </w:footnote>
  <w:footnote w:id="6">
    <w:p w14:paraId="22618918" w14:textId="77777777" w:rsidR="00321802" w:rsidRPr="00846A83" w:rsidRDefault="00321802" w:rsidP="009E791E">
      <w:pPr>
        <w:pStyle w:val="FootnoteText"/>
      </w:pPr>
      <w:r w:rsidRPr="00846A83">
        <w:rPr>
          <w:rStyle w:val="FootnoteReference"/>
        </w:rPr>
        <w:footnoteRef/>
      </w:r>
      <w:r w:rsidRPr="00846A83">
        <w:t xml:space="preserve"> </w:t>
      </w:r>
      <w:r w:rsidRPr="00846A83">
        <w:rPr>
          <w:lang w:eastAsia="en-AU"/>
        </w:rPr>
        <w:t>The effectiveness of the projects over time is subject to the recommendations being actioned to ensure that gains are sustained. This includes (i) systemic support for asset maintenance across GoN’s infrastructure; (ii) suitable resourcing within DFAT, and (iii) continuation of the NUC CEO.</w:t>
      </w:r>
    </w:p>
  </w:footnote>
  <w:footnote w:id="7">
    <w:p w14:paraId="12D51D09" w14:textId="77777777" w:rsidR="00321802" w:rsidRDefault="00321802" w:rsidP="009E791E">
      <w:pPr>
        <w:pStyle w:val="FootnoteText"/>
      </w:pPr>
      <w:r>
        <w:rPr>
          <w:rStyle w:val="FootnoteReference"/>
        </w:rPr>
        <w:footnoteRef/>
      </w:r>
      <w:r>
        <w:t xml:space="preserve"> </w:t>
      </w:r>
      <w:r w:rsidRPr="003E5752">
        <w:rPr>
          <w:sz w:val="18"/>
          <w:lang w:val="en-US"/>
        </w:rPr>
        <w:t>Independent Review Report</w:t>
      </w:r>
      <w:r>
        <w:rPr>
          <w:sz w:val="18"/>
          <w:lang w:val="en-US"/>
        </w:rPr>
        <w:t xml:space="preserve">, </w:t>
      </w:r>
      <w:r w:rsidRPr="003E5752">
        <w:rPr>
          <w:sz w:val="18"/>
          <w:lang w:val="en-US"/>
        </w:rPr>
        <w:t>Program Monitoring and Advisory Group</w:t>
      </w:r>
      <w:r>
        <w:rPr>
          <w:sz w:val="18"/>
          <w:lang w:val="en-US"/>
        </w:rPr>
        <w:t xml:space="preserve"> (PMAG)</w:t>
      </w:r>
      <w:r w:rsidRPr="003E5752">
        <w:rPr>
          <w:sz w:val="18"/>
          <w:lang w:val="en-US"/>
        </w:rPr>
        <w:t>, 2014</w:t>
      </w:r>
    </w:p>
  </w:footnote>
  <w:footnote w:id="8">
    <w:p w14:paraId="14C7A868" w14:textId="77777777" w:rsidR="00321802" w:rsidRPr="00B53EB9" w:rsidRDefault="00321802" w:rsidP="009E791E">
      <w:pPr>
        <w:pStyle w:val="FootnoteText"/>
      </w:pPr>
      <w:r w:rsidRPr="00B53EB9">
        <w:rPr>
          <w:rStyle w:val="FootnoteReference"/>
        </w:rPr>
        <w:footnoteRef/>
      </w:r>
      <w:r w:rsidRPr="00B53EB9">
        <w:t xml:space="preserve"> </w:t>
      </w:r>
      <w:r w:rsidRPr="00B53EB9">
        <w:rPr>
          <w:lang w:val="en-US"/>
        </w:rPr>
        <w:t>Concept Design Report (A&amp;L, 2017)</w:t>
      </w:r>
    </w:p>
  </w:footnote>
  <w:footnote w:id="9">
    <w:p w14:paraId="4A9451DB" w14:textId="77777777" w:rsidR="00321802" w:rsidRDefault="00321802" w:rsidP="009E791E">
      <w:pPr>
        <w:pStyle w:val="FootnoteText"/>
      </w:pPr>
      <w:r>
        <w:rPr>
          <w:rStyle w:val="FootnoteReference"/>
        </w:rPr>
        <w:footnoteRef/>
      </w:r>
      <w:r>
        <w:t xml:space="preserve"> NUC Presentation (Abraham Simpson, 2018) and further anecdotally confirmed by informal survey. </w:t>
      </w:r>
    </w:p>
  </w:footnote>
  <w:footnote w:id="10">
    <w:p w14:paraId="3715219D" w14:textId="77777777" w:rsidR="00321802" w:rsidRDefault="00321802" w:rsidP="009E791E">
      <w:pPr>
        <w:pStyle w:val="FootnoteText"/>
      </w:pPr>
      <w:r>
        <w:rPr>
          <w:rStyle w:val="FootnoteReference"/>
        </w:rPr>
        <w:footnoteRef/>
      </w:r>
      <w:r>
        <w:t xml:space="preserve"> </w:t>
      </w:r>
      <w:r w:rsidRPr="00532073">
        <w:rPr>
          <w:lang w:val="en-US"/>
        </w:rPr>
        <w:t>Concept Design Report for Nauru Sports Complex (A&amp;L, 2017)</w:t>
      </w:r>
    </w:p>
  </w:footnote>
  <w:footnote w:id="11">
    <w:p w14:paraId="40B762D2" w14:textId="77777777" w:rsidR="00321802" w:rsidRDefault="00321802" w:rsidP="00870A71">
      <w:pPr>
        <w:pStyle w:val="FootnoteText"/>
      </w:pPr>
      <w:r>
        <w:rPr>
          <w:rStyle w:val="FootnoteReference"/>
        </w:rPr>
        <w:footnoteRef/>
      </w:r>
      <w:r>
        <w:t xml:space="preserve"> </w:t>
      </w:r>
      <w:r w:rsidRPr="003E5752">
        <w:rPr>
          <w:sz w:val="18"/>
          <w:lang w:val="en-US"/>
        </w:rPr>
        <w:t>Independent Review Report</w:t>
      </w:r>
      <w:r>
        <w:rPr>
          <w:sz w:val="18"/>
          <w:lang w:val="en-US"/>
        </w:rPr>
        <w:t xml:space="preserve">, </w:t>
      </w:r>
      <w:r w:rsidRPr="003E5752">
        <w:rPr>
          <w:sz w:val="18"/>
          <w:lang w:val="en-US"/>
        </w:rPr>
        <w:t>Program Monitoring and Advisory Group</w:t>
      </w:r>
      <w:r>
        <w:rPr>
          <w:sz w:val="18"/>
          <w:lang w:val="en-US"/>
        </w:rPr>
        <w:t xml:space="preserve"> (PMAG)</w:t>
      </w:r>
      <w:r w:rsidRPr="003E5752">
        <w:rPr>
          <w:sz w:val="18"/>
          <w:lang w:val="en-US"/>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7B7D" w14:textId="77777777" w:rsidR="00F17D88" w:rsidRDefault="00F17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CA19" w14:textId="77777777" w:rsidR="00F17D88" w:rsidRDefault="00F17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BA5C" w14:textId="77777777" w:rsidR="00F17D88" w:rsidRDefault="00F17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657"/>
    <w:multiLevelType w:val="multilevel"/>
    <w:tmpl w:val="F15E3244"/>
    <w:lvl w:ilvl="0">
      <w:start w:val="1"/>
      <w:numFmt w:val="decimal"/>
      <w:pStyle w:val="Heading1"/>
      <w:lvlText w:val="%1"/>
      <w:lvlJc w:val="left"/>
      <w:pPr>
        <w:ind w:left="432" w:hanging="432"/>
      </w:pPr>
      <w:rPr>
        <w:rFonts w:hint="default"/>
        <w:b/>
        <w:i w:val="0"/>
        <w:color w:val="E26E00"/>
        <w:sz w:val="36"/>
      </w:rPr>
    </w:lvl>
    <w:lvl w:ilvl="1">
      <w:start w:val="1"/>
      <w:numFmt w:val="decimal"/>
      <w:pStyle w:val="Heading2"/>
      <w:lvlText w:val="%1.%2"/>
      <w:lvlJc w:val="left"/>
      <w:pPr>
        <w:ind w:left="4687"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D66ECB"/>
    <w:multiLevelType w:val="hybridMultilevel"/>
    <w:tmpl w:val="C74E9542"/>
    <w:lvl w:ilvl="0" w:tplc="ECC8494E">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44E7D"/>
    <w:multiLevelType w:val="hybridMultilevel"/>
    <w:tmpl w:val="0F9EA35A"/>
    <w:lvl w:ilvl="0" w:tplc="8466D670">
      <w:start w:val="1"/>
      <w:numFmt w:val="bullet"/>
      <w:lvlText w:val=""/>
      <w:lvlJc w:val="left"/>
      <w:pPr>
        <w:ind w:left="720" w:hanging="360"/>
      </w:pPr>
      <w:rPr>
        <w:rFonts w:ascii="Symbol" w:hAnsi="Symbol" w:hint="default"/>
        <w:color w:val="F79646" w:themeColor="accent6"/>
      </w:rPr>
    </w:lvl>
    <w:lvl w:ilvl="1" w:tplc="249CCB4A">
      <w:numFmt w:val="bullet"/>
      <w:lvlText w:val="-"/>
      <w:lvlJc w:val="left"/>
      <w:pPr>
        <w:ind w:left="1440" w:hanging="360"/>
      </w:pPr>
      <w:rPr>
        <w:rFonts w:ascii="Franklin Gothic Book" w:eastAsiaTheme="minorEastAsia"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90BFA"/>
    <w:multiLevelType w:val="hybridMultilevel"/>
    <w:tmpl w:val="6A98B662"/>
    <w:lvl w:ilvl="0" w:tplc="DABA9958">
      <w:start w:val="1"/>
      <w:numFmt w:val="lowerRoman"/>
      <w:lvlText w:val="%1"/>
      <w:lvlJc w:val="left"/>
      <w:pPr>
        <w:ind w:left="1800" w:hanging="360"/>
      </w:pPr>
      <w:rPr>
        <w:rFonts w:hint="default"/>
        <w:color w:val="E26E00"/>
        <w:sz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25F06F5"/>
    <w:multiLevelType w:val="hybridMultilevel"/>
    <w:tmpl w:val="3B3CD624"/>
    <w:lvl w:ilvl="0" w:tplc="DABA9958">
      <w:start w:val="1"/>
      <w:numFmt w:val="lowerRoman"/>
      <w:lvlText w:val="%1"/>
      <w:lvlJc w:val="left"/>
      <w:pPr>
        <w:ind w:left="720" w:hanging="360"/>
      </w:pPr>
      <w:rPr>
        <w:rFonts w:hint="default"/>
        <w:color w:val="E26E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736FB"/>
    <w:multiLevelType w:val="hybridMultilevel"/>
    <w:tmpl w:val="7F0A0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C412DA"/>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7F42D45"/>
    <w:multiLevelType w:val="hybridMultilevel"/>
    <w:tmpl w:val="BAC257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5C3DA7"/>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221BEA"/>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92D54"/>
    <w:multiLevelType w:val="hybridMultilevel"/>
    <w:tmpl w:val="3B3CD624"/>
    <w:lvl w:ilvl="0" w:tplc="DABA9958">
      <w:start w:val="1"/>
      <w:numFmt w:val="lowerRoman"/>
      <w:lvlText w:val="%1"/>
      <w:lvlJc w:val="left"/>
      <w:pPr>
        <w:ind w:left="720" w:hanging="360"/>
      </w:pPr>
      <w:rPr>
        <w:rFonts w:hint="default"/>
        <w:color w:val="E26E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66AB6"/>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4F17DE"/>
    <w:multiLevelType w:val="hybridMultilevel"/>
    <w:tmpl w:val="8CD0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8708E"/>
    <w:multiLevelType w:val="hybridMultilevel"/>
    <w:tmpl w:val="3B7EB91C"/>
    <w:lvl w:ilvl="0" w:tplc="028AB602">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FCD16CF"/>
    <w:multiLevelType w:val="hybridMultilevel"/>
    <w:tmpl w:val="4ACE1786"/>
    <w:lvl w:ilvl="0" w:tplc="0BFCFD2A">
      <w:start w:val="1"/>
      <w:numFmt w:val="lowerLetter"/>
      <w:lvlText w:val="3%1"/>
      <w:lvlJc w:val="left"/>
      <w:pPr>
        <w:ind w:left="720" w:hanging="360"/>
      </w:pPr>
      <w:rPr>
        <w:rFonts w:hint="default"/>
        <w:b w:val="0"/>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D3116"/>
    <w:multiLevelType w:val="hybridMultilevel"/>
    <w:tmpl w:val="A71C7572"/>
    <w:lvl w:ilvl="0" w:tplc="0409000F">
      <w:start w:val="1"/>
      <w:numFmt w:val="decimal"/>
      <w:lvlText w:val="%1."/>
      <w:lvlJc w:val="left"/>
      <w:pPr>
        <w:ind w:left="1080" w:hanging="360"/>
      </w:pPr>
    </w:lvl>
    <w:lvl w:ilvl="1" w:tplc="1C9CE598">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9C2ED9"/>
    <w:multiLevelType w:val="multilevel"/>
    <w:tmpl w:val="D14AB926"/>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3B31602"/>
    <w:multiLevelType w:val="hybridMultilevel"/>
    <w:tmpl w:val="FD80E502"/>
    <w:lvl w:ilvl="0" w:tplc="0C09000F">
      <w:start w:val="1"/>
      <w:numFmt w:val="decimal"/>
      <w:lvlText w:val="%1."/>
      <w:lvlJc w:val="left"/>
      <w:pPr>
        <w:ind w:left="1080" w:hanging="360"/>
      </w:pPr>
      <w:rPr>
        <w:rFonts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3DC36C7"/>
    <w:multiLevelType w:val="hybridMultilevel"/>
    <w:tmpl w:val="5D2AA392"/>
    <w:lvl w:ilvl="0" w:tplc="C28ADFA2">
      <w:start w:val="1"/>
      <w:numFmt w:val="decimal"/>
      <w:lvlText w:val="%1"/>
      <w:lvlJc w:val="left"/>
      <w:pPr>
        <w:ind w:left="1080" w:hanging="720"/>
      </w:pPr>
      <w:rPr>
        <w:rFonts w:hint="default"/>
        <w:color w:val="E26E00"/>
        <w:sz w:val="18"/>
      </w:rPr>
    </w:lvl>
    <w:lvl w:ilvl="1" w:tplc="4D4230D6">
      <w:start w:val="1"/>
      <w:numFmt w:val="lowerLetter"/>
      <w:lvlText w:val="%2"/>
      <w:lvlJc w:val="left"/>
      <w:pPr>
        <w:ind w:left="1440" w:hanging="360"/>
      </w:pPr>
      <w:rPr>
        <w:rFonts w:hint="default"/>
        <w:color w:val="E26E00"/>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30353"/>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4BA0249"/>
    <w:multiLevelType w:val="multilevel"/>
    <w:tmpl w:val="C7EE8FB0"/>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1" w15:restartNumberingAfterBreak="0">
    <w:nsid w:val="35DB57B7"/>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B21C25"/>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6BA3F7E"/>
    <w:multiLevelType w:val="hybridMultilevel"/>
    <w:tmpl w:val="5DEEECE0"/>
    <w:lvl w:ilvl="0" w:tplc="97E47134">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8903C9"/>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AF473C0"/>
    <w:multiLevelType w:val="hybridMultilevel"/>
    <w:tmpl w:val="68E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FED"/>
    <w:multiLevelType w:val="hybridMultilevel"/>
    <w:tmpl w:val="A7700C5A"/>
    <w:lvl w:ilvl="0" w:tplc="833ADD5A">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ED1A03"/>
    <w:multiLevelType w:val="hybridMultilevel"/>
    <w:tmpl w:val="17649FA6"/>
    <w:lvl w:ilvl="0" w:tplc="AD6476CA">
      <w:start w:val="1"/>
      <w:numFmt w:val="bullet"/>
      <w:pStyle w:val="Bullet2subbullet"/>
      <w:lvlText w:val="-"/>
      <w:lvlJc w:val="left"/>
      <w:pPr>
        <w:ind w:left="2157" w:hanging="360"/>
      </w:pPr>
      <w:rPr>
        <w:rFonts w:ascii="Courier New" w:hAnsi="Courier New"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28" w15:restartNumberingAfterBreak="0">
    <w:nsid w:val="43525651"/>
    <w:multiLevelType w:val="hybridMultilevel"/>
    <w:tmpl w:val="B4B63BC0"/>
    <w:lvl w:ilvl="0" w:tplc="4D4230D6">
      <w:start w:val="1"/>
      <w:numFmt w:val="lowerLetter"/>
      <w:lvlText w:val="%1"/>
      <w:lvlJc w:val="left"/>
      <w:pPr>
        <w:ind w:left="720" w:hanging="360"/>
      </w:pPr>
      <w:rPr>
        <w:rFonts w:hint="default"/>
        <w:color w:val="E26E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5F50B8"/>
    <w:multiLevelType w:val="hybridMultilevel"/>
    <w:tmpl w:val="2D14C8D0"/>
    <w:lvl w:ilvl="0" w:tplc="266EAE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8657F9"/>
    <w:multiLevelType w:val="hybridMultilevel"/>
    <w:tmpl w:val="76C4DE38"/>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1" w15:restartNumberingAfterBreak="0">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83D42"/>
    <w:multiLevelType w:val="hybridMultilevel"/>
    <w:tmpl w:val="C25CED90"/>
    <w:lvl w:ilvl="0" w:tplc="68644078">
      <w:start w:val="1"/>
      <w:numFmt w:val="lowerLetter"/>
      <w:lvlText w:val="4%1"/>
      <w:lvlJc w:val="left"/>
      <w:pPr>
        <w:ind w:left="720" w:hanging="360"/>
      </w:pPr>
      <w:rPr>
        <w:rFonts w:hint="default"/>
        <w:b w:val="0"/>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B20CD2"/>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5E04957"/>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7256000"/>
    <w:multiLevelType w:val="hybridMultilevel"/>
    <w:tmpl w:val="69C04646"/>
    <w:lvl w:ilvl="0" w:tplc="60B6C186">
      <w:start w:val="1"/>
      <w:numFmt w:val="bullet"/>
      <w:pStyle w:val="bullets"/>
      <w:lvlText w:val=""/>
      <w:lvlJc w:val="left"/>
      <w:pPr>
        <w:ind w:left="720" w:hanging="360"/>
      </w:pPr>
      <w:rPr>
        <w:rFonts w:ascii="Symbol" w:hAnsi="Symbol" w:hint="default"/>
        <w:color w:val="548DD4" w:themeColor="text2" w:themeTint="99"/>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962E40"/>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B884C3B"/>
    <w:multiLevelType w:val="hybridMultilevel"/>
    <w:tmpl w:val="575841E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5C8A5B1A"/>
    <w:multiLevelType w:val="hybridMultilevel"/>
    <w:tmpl w:val="68F6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451C06"/>
    <w:multiLevelType w:val="hybridMultilevel"/>
    <w:tmpl w:val="8EFAA39E"/>
    <w:lvl w:ilvl="0" w:tplc="0C09000F">
      <w:start w:val="1"/>
      <w:numFmt w:val="decimal"/>
      <w:lvlText w:val="%1."/>
      <w:lvlJc w:val="left"/>
      <w:pPr>
        <w:ind w:left="1080" w:hanging="360"/>
      </w:pPr>
      <w:rPr>
        <w:rFonts w:hint="default"/>
        <w:color w:val="E26E00"/>
        <w:sz w:val="18"/>
      </w:rPr>
    </w:lvl>
    <w:lvl w:ilvl="1" w:tplc="DABA9958">
      <w:start w:val="1"/>
      <w:numFmt w:val="lowerRoman"/>
      <w:lvlText w:val="%2"/>
      <w:lvlJc w:val="left"/>
      <w:pPr>
        <w:ind w:left="1800" w:hanging="360"/>
      </w:pPr>
      <w:rPr>
        <w:rFonts w:hint="default"/>
        <w:color w:val="E26E00"/>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5DA322B"/>
    <w:multiLevelType w:val="hybridMultilevel"/>
    <w:tmpl w:val="6608B016"/>
    <w:lvl w:ilvl="0" w:tplc="EFF06EA2">
      <w:start w:val="1"/>
      <w:numFmt w:val="bullet"/>
      <w:pStyle w:val="Bullet1normal"/>
      <w:lvlText w:val=""/>
      <w:lvlJc w:val="left"/>
      <w:pPr>
        <w:ind w:left="1080" w:hanging="360"/>
      </w:pPr>
      <w:rPr>
        <w:rFonts w:ascii="Symbol" w:hAnsi="Symbol" w:hint="default"/>
        <w:color w:val="E26E00"/>
        <w:sz w:val="18"/>
      </w:rPr>
    </w:lvl>
    <w:lvl w:ilvl="1" w:tplc="C28ADFA2">
      <w:start w:val="1"/>
      <w:numFmt w:val="decimal"/>
      <w:lvlText w:val="%2"/>
      <w:lvlJc w:val="left"/>
      <w:pPr>
        <w:ind w:left="1800" w:hanging="360"/>
      </w:pPr>
      <w:rPr>
        <w:rFonts w:hint="default"/>
        <w:color w:val="E26E00"/>
        <w:sz w:val="18"/>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C356A59"/>
    <w:multiLevelType w:val="hybridMultilevel"/>
    <w:tmpl w:val="B4B63BC0"/>
    <w:lvl w:ilvl="0" w:tplc="4D4230D6">
      <w:start w:val="1"/>
      <w:numFmt w:val="lowerLetter"/>
      <w:lvlText w:val="%1"/>
      <w:lvlJc w:val="left"/>
      <w:pPr>
        <w:ind w:left="720" w:hanging="360"/>
      </w:pPr>
      <w:rPr>
        <w:rFonts w:hint="default"/>
        <w:color w:val="E26E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2E560B"/>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0832907"/>
    <w:multiLevelType w:val="hybridMultilevel"/>
    <w:tmpl w:val="DCFE762A"/>
    <w:lvl w:ilvl="0" w:tplc="C28ADFA2">
      <w:start w:val="1"/>
      <w:numFmt w:val="decimal"/>
      <w:lvlText w:val="%1"/>
      <w:lvlJc w:val="left"/>
      <w:pPr>
        <w:ind w:left="1080" w:hanging="720"/>
      </w:pPr>
      <w:rPr>
        <w:rFonts w:hint="default"/>
        <w:color w:val="E26E00"/>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FB1EDE"/>
    <w:multiLevelType w:val="hybridMultilevel"/>
    <w:tmpl w:val="3B3CD624"/>
    <w:lvl w:ilvl="0" w:tplc="DABA9958">
      <w:start w:val="1"/>
      <w:numFmt w:val="lowerRoman"/>
      <w:lvlText w:val="%1"/>
      <w:lvlJc w:val="left"/>
      <w:pPr>
        <w:ind w:left="720" w:hanging="360"/>
      </w:pPr>
      <w:rPr>
        <w:rFonts w:hint="default"/>
        <w:color w:val="E26E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017A0E"/>
    <w:multiLevelType w:val="hybridMultilevel"/>
    <w:tmpl w:val="DCEE400C"/>
    <w:lvl w:ilvl="0" w:tplc="80AA93AA">
      <w:start w:val="1"/>
      <w:numFmt w:val="decimal"/>
      <w:pStyle w:val="Numberedlist"/>
      <w:lvlText w:val="%1."/>
      <w:lvlJc w:val="left"/>
      <w:pPr>
        <w:ind w:left="1080" w:hanging="360"/>
      </w:pPr>
      <w:rPr>
        <w:rFonts w:hint="default"/>
        <w:color w:val="E36C0A"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7123F6F"/>
    <w:multiLevelType w:val="hybridMultilevel"/>
    <w:tmpl w:val="6F404438"/>
    <w:lvl w:ilvl="0" w:tplc="C28ADFA2">
      <w:start w:val="1"/>
      <w:numFmt w:val="decimal"/>
      <w:lvlText w:val="%1"/>
      <w:lvlJc w:val="left"/>
      <w:pPr>
        <w:ind w:left="1080" w:hanging="720"/>
      </w:pPr>
      <w:rPr>
        <w:rFonts w:hint="default"/>
        <w:color w:val="E26E00"/>
        <w:sz w:val="18"/>
      </w:rPr>
    </w:lvl>
    <w:lvl w:ilvl="1" w:tplc="4D4230D6">
      <w:start w:val="1"/>
      <w:numFmt w:val="lowerLetter"/>
      <w:lvlText w:val="%2"/>
      <w:lvlJc w:val="left"/>
      <w:pPr>
        <w:ind w:left="1440" w:hanging="360"/>
      </w:pPr>
      <w:rPr>
        <w:rFonts w:hint="default"/>
        <w:color w:val="E26E00"/>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977CFD"/>
    <w:multiLevelType w:val="hybridMultilevel"/>
    <w:tmpl w:val="0590BBE2"/>
    <w:lvl w:ilvl="0" w:tplc="4D4230D6">
      <w:start w:val="1"/>
      <w:numFmt w:val="lowerLetter"/>
      <w:lvlText w:val="%1"/>
      <w:lvlJc w:val="left"/>
      <w:pPr>
        <w:ind w:left="1440" w:hanging="360"/>
      </w:pPr>
      <w:rPr>
        <w:rFonts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C8B34A7"/>
    <w:multiLevelType w:val="hybridMultilevel"/>
    <w:tmpl w:val="BAC257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CA64B2B"/>
    <w:multiLevelType w:val="hybridMultilevel"/>
    <w:tmpl w:val="F8382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6"/>
  </w:num>
  <w:num w:numId="3">
    <w:abstractNumId w:val="41"/>
  </w:num>
  <w:num w:numId="4">
    <w:abstractNumId w:val="34"/>
  </w:num>
  <w:num w:numId="5">
    <w:abstractNumId w:val="46"/>
  </w:num>
  <w:num w:numId="6">
    <w:abstractNumId w:val="13"/>
  </w:num>
  <w:num w:numId="7">
    <w:abstractNumId w:val="27"/>
  </w:num>
  <w:num w:numId="8">
    <w:abstractNumId w:val="31"/>
  </w:num>
  <w:num w:numId="9">
    <w:abstractNumId w:val="26"/>
  </w:num>
  <w:num w:numId="10">
    <w:abstractNumId w:val="0"/>
  </w:num>
  <w:num w:numId="11">
    <w:abstractNumId w:val="15"/>
  </w:num>
  <w:num w:numId="12">
    <w:abstractNumId w:val="1"/>
  </w:num>
  <w:num w:numId="13">
    <w:abstractNumId w:val="49"/>
  </w:num>
  <w:num w:numId="14">
    <w:abstractNumId w:val="7"/>
  </w:num>
  <w:num w:numId="15">
    <w:abstractNumId w:val="12"/>
  </w:num>
  <w:num w:numId="16">
    <w:abstractNumId w:val="14"/>
  </w:num>
  <w:num w:numId="17">
    <w:abstractNumId w:val="32"/>
  </w:num>
  <w:num w:numId="18">
    <w:abstractNumId w:val="45"/>
  </w:num>
  <w:num w:numId="19">
    <w:abstractNumId w:val="38"/>
  </w:num>
  <w:num w:numId="20">
    <w:abstractNumId w:val="39"/>
  </w:num>
  <w:num w:numId="21">
    <w:abstractNumId w:val="50"/>
  </w:num>
  <w:num w:numId="22">
    <w:abstractNumId w:val="28"/>
  </w:num>
  <w:num w:numId="23">
    <w:abstractNumId w:val="42"/>
  </w:num>
  <w:num w:numId="24">
    <w:abstractNumId w:val="2"/>
  </w:num>
  <w:num w:numId="25">
    <w:abstractNumId w:val="29"/>
  </w:num>
  <w:num w:numId="26">
    <w:abstractNumId w:val="8"/>
  </w:num>
  <w:num w:numId="27">
    <w:abstractNumId w:val="37"/>
  </w:num>
  <w:num w:numId="28">
    <w:abstractNumId w:val="22"/>
  </w:num>
  <w:num w:numId="29">
    <w:abstractNumId w:val="9"/>
  </w:num>
  <w:num w:numId="30">
    <w:abstractNumId w:val="21"/>
  </w:num>
  <w:num w:numId="31">
    <w:abstractNumId w:val="30"/>
  </w:num>
  <w:num w:numId="32">
    <w:abstractNumId w:val="10"/>
  </w:num>
  <w:num w:numId="33">
    <w:abstractNumId w:val="25"/>
  </w:num>
  <w:num w:numId="34">
    <w:abstractNumId w:val="44"/>
  </w:num>
  <w:num w:numId="35">
    <w:abstractNumId w:val="4"/>
  </w:num>
  <w:num w:numId="36">
    <w:abstractNumId w:val="23"/>
  </w:num>
  <w:num w:numId="37">
    <w:abstractNumId w:val="47"/>
  </w:num>
  <w:num w:numId="38">
    <w:abstractNumId w:val="18"/>
  </w:num>
  <w:num w:numId="39">
    <w:abstractNumId w:val="5"/>
  </w:num>
  <w:num w:numId="40">
    <w:abstractNumId w:val="17"/>
  </w:num>
  <w:num w:numId="41">
    <w:abstractNumId w:val="20"/>
  </w:num>
  <w:num w:numId="42">
    <w:abstractNumId w:val="40"/>
  </w:num>
  <w:num w:numId="43">
    <w:abstractNumId w:val="3"/>
  </w:num>
  <w:num w:numId="44">
    <w:abstractNumId w:val="48"/>
  </w:num>
  <w:num w:numId="45">
    <w:abstractNumId w:val="11"/>
  </w:num>
  <w:num w:numId="46">
    <w:abstractNumId w:val="19"/>
  </w:num>
  <w:num w:numId="47">
    <w:abstractNumId w:val="33"/>
  </w:num>
  <w:num w:numId="48">
    <w:abstractNumId w:val="35"/>
  </w:num>
  <w:num w:numId="49">
    <w:abstractNumId w:val="43"/>
  </w:num>
  <w:num w:numId="50">
    <w:abstractNumId w:val="6"/>
  </w:num>
  <w:num w:numId="51">
    <w:abstractNumId w:val="24"/>
  </w:num>
  <w:num w:numId="52">
    <w:abstractNumId w:val="13"/>
  </w:num>
  <w:num w:numId="53">
    <w:abstractNumId w:val="13"/>
  </w:num>
  <w:num w:numId="54">
    <w:abstractNumId w:val="13"/>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3"/>
    <w:rsid w:val="0000053F"/>
    <w:rsid w:val="00000A18"/>
    <w:rsid w:val="00000B34"/>
    <w:rsid w:val="00000EA2"/>
    <w:rsid w:val="00001129"/>
    <w:rsid w:val="0000204B"/>
    <w:rsid w:val="000021CC"/>
    <w:rsid w:val="00002334"/>
    <w:rsid w:val="00002981"/>
    <w:rsid w:val="000031DA"/>
    <w:rsid w:val="000034F0"/>
    <w:rsid w:val="000036CE"/>
    <w:rsid w:val="00003A4D"/>
    <w:rsid w:val="000048E0"/>
    <w:rsid w:val="00004A40"/>
    <w:rsid w:val="00004AC7"/>
    <w:rsid w:val="00005963"/>
    <w:rsid w:val="00005DCE"/>
    <w:rsid w:val="00005FC9"/>
    <w:rsid w:val="000061D4"/>
    <w:rsid w:val="00006B04"/>
    <w:rsid w:val="00006DB9"/>
    <w:rsid w:val="00006EE3"/>
    <w:rsid w:val="00007167"/>
    <w:rsid w:val="000074BC"/>
    <w:rsid w:val="0001071A"/>
    <w:rsid w:val="00010780"/>
    <w:rsid w:val="00010AF4"/>
    <w:rsid w:val="0001113B"/>
    <w:rsid w:val="00011ED2"/>
    <w:rsid w:val="00011EEA"/>
    <w:rsid w:val="000125B4"/>
    <w:rsid w:val="000128A1"/>
    <w:rsid w:val="00012F9A"/>
    <w:rsid w:val="00013CEE"/>
    <w:rsid w:val="00013F9B"/>
    <w:rsid w:val="00014152"/>
    <w:rsid w:val="000142A2"/>
    <w:rsid w:val="00014401"/>
    <w:rsid w:val="0001448A"/>
    <w:rsid w:val="000145F5"/>
    <w:rsid w:val="00014661"/>
    <w:rsid w:val="00014750"/>
    <w:rsid w:val="00014BFE"/>
    <w:rsid w:val="00014C3B"/>
    <w:rsid w:val="000150CC"/>
    <w:rsid w:val="0001523F"/>
    <w:rsid w:val="00015CD3"/>
    <w:rsid w:val="000161AF"/>
    <w:rsid w:val="0001685F"/>
    <w:rsid w:val="00016B12"/>
    <w:rsid w:val="00016CE6"/>
    <w:rsid w:val="00017350"/>
    <w:rsid w:val="00017394"/>
    <w:rsid w:val="0001756D"/>
    <w:rsid w:val="000204FA"/>
    <w:rsid w:val="0002100A"/>
    <w:rsid w:val="00021940"/>
    <w:rsid w:val="00021B9B"/>
    <w:rsid w:val="00021BCA"/>
    <w:rsid w:val="00021C5B"/>
    <w:rsid w:val="00022908"/>
    <w:rsid w:val="00022E83"/>
    <w:rsid w:val="000233B0"/>
    <w:rsid w:val="00023565"/>
    <w:rsid w:val="000237F1"/>
    <w:rsid w:val="00023A2D"/>
    <w:rsid w:val="00023A5E"/>
    <w:rsid w:val="00023B09"/>
    <w:rsid w:val="00023C95"/>
    <w:rsid w:val="000246D6"/>
    <w:rsid w:val="000249DA"/>
    <w:rsid w:val="00024A75"/>
    <w:rsid w:val="00024AE9"/>
    <w:rsid w:val="00024DF1"/>
    <w:rsid w:val="0002577E"/>
    <w:rsid w:val="000273C0"/>
    <w:rsid w:val="00027B02"/>
    <w:rsid w:val="00027F90"/>
    <w:rsid w:val="00030218"/>
    <w:rsid w:val="000304C4"/>
    <w:rsid w:val="00030858"/>
    <w:rsid w:val="00030960"/>
    <w:rsid w:val="00030A51"/>
    <w:rsid w:val="00030C1E"/>
    <w:rsid w:val="00030DEF"/>
    <w:rsid w:val="00030ED3"/>
    <w:rsid w:val="000311AF"/>
    <w:rsid w:val="0003140B"/>
    <w:rsid w:val="000319B8"/>
    <w:rsid w:val="000319E1"/>
    <w:rsid w:val="00031DD4"/>
    <w:rsid w:val="00031E2E"/>
    <w:rsid w:val="00031E64"/>
    <w:rsid w:val="000321DC"/>
    <w:rsid w:val="0003247A"/>
    <w:rsid w:val="00032896"/>
    <w:rsid w:val="00032BFB"/>
    <w:rsid w:val="00033134"/>
    <w:rsid w:val="000331BE"/>
    <w:rsid w:val="00033968"/>
    <w:rsid w:val="00033E5D"/>
    <w:rsid w:val="00034247"/>
    <w:rsid w:val="000342F2"/>
    <w:rsid w:val="00034759"/>
    <w:rsid w:val="00034C22"/>
    <w:rsid w:val="00034DAE"/>
    <w:rsid w:val="00034E63"/>
    <w:rsid w:val="0003537C"/>
    <w:rsid w:val="000357D9"/>
    <w:rsid w:val="00035A76"/>
    <w:rsid w:val="00036077"/>
    <w:rsid w:val="00036A2C"/>
    <w:rsid w:val="00036E32"/>
    <w:rsid w:val="00037534"/>
    <w:rsid w:val="000378CF"/>
    <w:rsid w:val="00037AED"/>
    <w:rsid w:val="00037BAB"/>
    <w:rsid w:val="0004052F"/>
    <w:rsid w:val="00040B82"/>
    <w:rsid w:val="0004102E"/>
    <w:rsid w:val="000413A5"/>
    <w:rsid w:val="000414C2"/>
    <w:rsid w:val="00041995"/>
    <w:rsid w:val="00041A2E"/>
    <w:rsid w:val="00041C6E"/>
    <w:rsid w:val="00041DDF"/>
    <w:rsid w:val="00041F8F"/>
    <w:rsid w:val="00042357"/>
    <w:rsid w:val="00042436"/>
    <w:rsid w:val="0004279A"/>
    <w:rsid w:val="0004282F"/>
    <w:rsid w:val="00042BC1"/>
    <w:rsid w:val="00042BEF"/>
    <w:rsid w:val="000431B8"/>
    <w:rsid w:val="000435B8"/>
    <w:rsid w:val="000438ED"/>
    <w:rsid w:val="00043E56"/>
    <w:rsid w:val="00043F72"/>
    <w:rsid w:val="00044633"/>
    <w:rsid w:val="000446C2"/>
    <w:rsid w:val="000448F8"/>
    <w:rsid w:val="00044D06"/>
    <w:rsid w:val="00044D93"/>
    <w:rsid w:val="00045462"/>
    <w:rsid w:val="0004563A"/>
    <w:rsid w:val="000457CC"/>
    <w:rsid w:val="00045FFB"/>
    <w:rsid w:val="00046376"/>
    <w:rsid w:val="00046384"/>
    <w:rsid w:val="00046CE0"/>
    <w:rsid w:val="00046E43"/>
    <w:rsid w:val="00046FB6"/>
    <w:rsid w:val="00046FD0"/>
    <w:rsid w:val="00047717"/>
    <w:rsid w:val="0005026F"/>
    <w:rsid w:val="00050C46"/>
    <w:rsid w:val="00050E5D"/>
    <w:rsid w:val="00051056"/>
    <w:rsid w:val="000518B2"/>
    <w:rsid w:val="00051908"/>
    <w:rsid w:val="000519F4"/>
    <w:rsid w:val="00051F34"/>
    <w:rsid w:val="000521AA"/>
    <w:rsid w:val="000526D9"/>
    <w:rsid w:val="000528E0"/>
    <w:rsid w:val="00052943"/>
    <w:rsid w:val="00053049"/>
    <w:rsid w:val="00053A45"/>
    <w:rsid w:val="00054033"/>
    <w:rsid w:val="000541C1"/>
    <w:rsid w:val="0005423B"/>
    <w:rsid w:val="00054BD0"/>
    <w:rsid w:val="000552C2"/>
    <w:rsid w:val="00056A51"/>
    <w:rsid w:val="00057035"/>
    <w:rsid w:val="00057162"/>
    <w:rsid w:val="000575FD"/>
    <w:rsid w:val="0005781B"/>
    <w:rsid w:val="000602C4"/>
    <w:rsid w:val="00060335"/>
    <w:rsid w:val="000605D6"/>
    <w:rsid w:val="00060864"/>
    <w:rsid w:val="00060AC4"/>
    <w:rsid w:val="00060ED4"/>
    <w:rsid w:val="00061AA6"/>
    <w:rsid w:val="00061F4D"/>
    <w:rsid w:val="00061FD7"/>
    <w:rsid w:val="00062F92"/>
    <w:rsid w:val="00063487"/>
    <w:rsid w:val="00063F9E"/>
    <w:rsid w:val="00064131"/>
    <w:rsid w:val="00064487"/>
    <w:rsid w:val="00064AA8"/>
    <w:rsid w:val="00064EF2"/>
    <w:rsid w:val="00064F43"/>
    <w:rsid w:val="000668D4"/>
    <w:rsid w:val="000670C9"/>
    <w:rsid w:val="000670D4"/>
    <w:rsid w:val="0006755E"/>
    <w:rsid w:val="00067BBC"/>
    <w:rsid w:val="00070046"/>
    <w:rsid w:val="00070090"/>
    <w:rsid w:val="000700E2"/>
    <w:rsid w:val="00070127"/>
    <w:rsid w:val="0007115E"/>
    <w:rsid w:val="00071355"/>
    <w:rsid w:val="00071696"/>
    <w:rsid w:val="00071AA6"/>
    <w:rsid w:val="00071BC4"/>
    <w:rsid w:val="00071DAD"/>
    <w:rsid w:val="0007202D"/>
    <w:rsid w:val="000720A2"/>
    <w:rsid w:val="000722A7"/>
    <w:rsid w:val="0007321F"/>
    <w:rsid w:val="00073274"/>
    <w:rsid w:val="00073322"/>
    <w:rsid w:val="00073952"/>
    <w:rsid w:val="000739B8"/>
    <w:rsid w:val="00073CA6"/>
    <w:rsid w:val="0007435E"/>
    <w:rsid w:val="00074548"/>
    <w:rsid w:val="00074856"/>
    <w:rsid w:val="00074963"/>
    <w:rsid w:val="00074E5A"/>
    <w:rsid w:val="00074F6E"/>
    <w:rsid w:val="00075096"/>
    <w:rsid w:val="000756B8"/>
    <w:rsid w:val="00075763"/>
    <w:rsid w:val="000757A3"/>
    <w:rsid w:val="000765E1"/>
    <w:rsid w:val="000766F5"/>
    <w:rsid w:val="0007672B"/>
    <w:rsid w:val="000768E4"/>
    <w:rsid w:val="00076FE3"/>
    <w:rsid w:val="000771B4"/>
    <w:rsid w:val="00077294"/>
    <w:rsid w:val="000774CD"/>
    <w:rsid w:val="00077723"/>
    <w:rsid w:val="00080083"/>
    <w:rsid w:val="0008011D"/>
    <w:rsid w:val="00080303"/>
    <w:rsid w:val="0008031A"/>
    <w:rsid w:val="00080636"/>
    <w:rsid w:val="00081501"/>
    <w:rsid w:val="0008166B"/>
    <w:rsid w:val="00081BB8"/>
    <w:rsid w:val="00082C04"/>
    <w:rsid w:val="00082C75"/>
    <w:rsid w:val="00082CA1"/>
    <w:rsid w:val="00083771"/>
    <w:rsid w:val="00083A6C"/>
    <w:rsid w:val="00083B40"/>
    <w:rsid w:val="00083BFE"/>
    <w:rsid w:val="00084515"/>
    <w:rsid w:val="0008473F"/>
    <w:rsid w:val="00085768"/>
    <w:rsid w:val="000857CE"/>
    <w:rsid w:val="0008647E"/>
    <w:rsid w:val="00086863"/>
    <w:rsid w:val="000869A3"/>
    <w:rsid w:val="00086E20"/>
    <w:rsid w:val="00086E47"/>
    <w:rsid w:val="00087263"/>
    <w:rsid w:val="000874C5"/>
    <w:rsid w:val="00087505"/>
    <w:rsid w:val="00087515"/>
    <w:rsid w:val="000878A2"/>
    <w:rsid w:val="00087941"/>
    <w:rsid w:val="00087BFA"/>
    <w:rsid w:val="00087D16"/>
    <w:rsid w:val="000903BF"/>
    <w:rsid w:val="000906A7"/>
    <w:rsid w:val="000907D0"/>
    <w:rsid w:val="00090CE7"/>
    <w:rsid w:val="0009158D"/>
    <w:rsid w:val="000917B1"/>
    <w:rsid w:val="00091C9D"/>
    <w:rsid w:val="00092079"/>
    <w:rsid w:val="000926A9"/>
    <w:rsid w:val="0009283D"/>
    <w:rsid w:val="00092CA0"/>
    <w:rsid w:val="000932A8"/>
    <w:rsid w:val="00093666"/>
    <w:rsid w:val="0009370A"/>
    <w:rsid w:val="00093A2F"/>
    <w:rsid w:val="00093DC0"/>
    <w:rsid w:val="00094A64"/>
    <w:rsid w:val="00095FA6"/>
    <w:rsid w:val="000964FB"/>
    <w:rsid w:val="000966D4"/>
    <w:rsid w:val="0009676F"/>
    <w:rsid w:val="00096802"/>
    <w:rsid w:val="0009681F"/>
    <w:rsid w:val="00096B6C"/>
    <w:rsid w:val="00096CA4"/>
    <w:rsid w:val="000975F1"/>
    <w:rsid w:val="000979E5"/>
    <w:rsid w:val="00097E99"/>
    <w:rsid w:val="000A026E"/>
    <w:rsid w:val="000A0450"/>
    <w:rsid w:val="000A060F"/>
    <w:rsid w:val="000A11FF"/>
    <w:rsid w:val="000A128F"/>
    <w:rsid w:val="000A167B"/>
    <w:rsid w:val="000A194A"/>
    <w:rsid w:val="000A1ABC"/>
    <w:rsid w:val="000A1EB0"/>
    <w:rsid w:val="000A1F16"/>
    <w:rsid w:val="000A2324"/>
    <w:rsid w:val="000A2891"/>
    <w:rsid w:val="000A3631"/>
    <w:rsid w:val="000A415F"/>
    <w:rsid w:val="000A416B"/>
    <w:rsid w:val="000A4223"/>
    <w:rsid w:val="000A45BD"/>
    <w:rsid w:val="000A508C"/>
    <w:rsid w:val="000A59D2"/>
    <w:rsid w:val="000A671E"/>
    <w:rsid w:val="000A6823"/>
    <w:rsid w:val="000A6EFB"/>
    <w:rsid w:val="000A7D33"/>
    <w:rsid w:val="000A7F05"/>
    <w:rsid w:val="000B0172"/>
    <w:rsid w:val="000B0271"/>
    <w:rsid w:val="000B0357"/>
    <w:rsid w:val="000B0796"/>
    <w:rsid w:val="000B0F74"/>
    <w:rsid w:val="000B1E91"/>
    <w:rsid w:val="000B1FB5"/>
    <w:rsid w:val="000B20AB"/>
    <w:rsid w:val="000B259F"/>
    <w:rsid w:val="000B2991"/>
    <w:rsid w:val="000B3707"/>
    <w:rsid w:val="000B37C4"/>
    <w:rsid w:val="000B4BB8"/>
    <w:rsid w:val="000B4C2B"/>
    <w:rsid w:val="000B4D1E"/>
    <w:rsid w:val="000B5007"/>
    <w:rsid w:val="000B54E4"/>
    <w:rsid w:val="000B556B"/>
    <w:rsid w:val="000B5994"/>
    <w:rsid w:val="000B5DAC"/>
    <w:rsid w:val="000B61AE"/>
    <w:rsid w:val="000B61E4"/>
    <w:rsid w:val="000B6961"/>
    <w:rsid w:val="000B7774"/>
    <w:rsid w:val="000B77CD"/>
    <w:rsid w:val="000B7A60"/>
    <w:rsid w:val="000B7BA6"/>
    <w:rsid w:val="000B7F4D"/>
    <w:rsid w:val="000C0181"/>
    <w:rsid w:val="000C04C0"/>
    <w:rsid w:val="000C05B7"/>
    <w:rsid w:val="000C0618"/>
    <w:rsid w:val="000C0DA9"/>
    <w:rsid w:val="000C0DD1"/>
    <w:rsid w:val="000C1048"/>
    <w:rsid w:val="000C137D"/>
    <w:rsid w:val="000C1AF9"/>
    <w:rsid w:val="000C1F22"/>
    <w:rsid w:val="000C23C4"/>
    <w:rsid w:val="000C2857"/>
    <w:rsid w:val="000C2CAD"/>
    <w:rsid w:val="000C2EFD"/>
    <w:rsid w:val="000C34DA"/>
    <w:rsid w:val="000C3601"/>
    <w:rsid w:val="000C3CBA"/>
    <w:rsid w:val="000C3FF8"/>
    <w:rsid w:val="000C49E3"/>
    <w:rsid w:val="000C6B46"/>
    <w:rsid w:val="000C6C0F"/>
    <w:rsid w:val="000C6C17"/>
    <w:rsid w:val="000C6F68"/>
    <w:rsid w:val="000C744A"/>
    <w:rsid w:val="000C7499"/>
    <w:rsid w:val="000C78C3"/>
    <w:rsid w:val="000D0BCD"/>
    <w:rsid w:val="000D0F0E"/>
    <w:rsid w:val="000D1079"/>
    <w:rsid w:val="000D23F8"/>
    <w:rsid w:val="000D2AB6"/>
    <w:rsid w:val="000D2E16"/>
    <w:rsid w:val="000D32FC"/>
    <w:rsid w:val="000D39A1"/>
    <w:rsid w:val="000D41AA"/>
    <w:rsid w:val="000D4D04"/>
    <w:rsid w:val="000D4F51"/>
    <w:rsid w:val="000D4F66"/>
    <w:rsid w:val="000D4FAF"/>
    <w:rsid w:val="000D50D5"/>
    <w:rsid w:val="000D50DF"/>
    <w:rsid w:val="000D54CD"/>
    <w:rsid w:val="000D5663"/>
    <w:rsid w:val="000D57C4"/>
    <w:rsid w:val="000D57D1"/>
    <w:rsid w:val="000D59EB"/>
    <w:rsid w:val="000D5A04"/>
    <w:rsid w:val="000D62CF"/>
    <w:rsid w:val="000D6787"/>
    <w:rsid w:val="000D6FF7"/>
    <w:rsid w:val="000D7137"/>
    <w:rsid w:val="000D770B"/>
    <w:rsid w:val="000D7766"/>
    <w:rsid w:val="000E0147"/>
    <w:rsid w:val="000E0251"/>
    <w:rsid w:val="000E03B6"/>
    <w:rsid w:val="000E0717"/>
    <w:rsid w:val="000E0822"/>
    <w:rsid w:val="000E08DC"/>
    <w:rsid w:val="000E1B3D"/>
    <w:rsid w:val="000E22B4"/>
    <w:rsid w:val="000E22CF"/>
    <w:rsid w:val="000E2B47"/>
    <w:rsid w:val="000E2E7D"/>
    <w:rsid w:val="000E36B7"/>
    <w:rsid w:val="000E3797"/>
    <w:rsid w:val="000E389C"/>
    <w:rsid w:val="000E3D7F"/>
    <w:rsid w:val="000E3DFC"/>
    <w:rsid w:val="000E5B44"/>
    <w:rsid w:val="000E5B68"/>
    <w:rsid w:val="000E5D7D"/>
    <w:rsid w:val="000E5EAD"/>
    <w:rsid w:val="000E7130"/>
    <w:rsid w:val="000E7435"/>
    <w:rsid w:val="000E7835"/>
    <w:rsid w:val="000E7F79"/>
    <w:rsid w:val="000F0AF6"/>
    <w:rsid w:val="000F0D36"/>
    <w:rsid w:val="000F0F2B"/>
    <w:rsid w:val="000F0F36"/>
    <w:rsid w:val="000F1AE4"/>
    <w:rsid w:val="000F1C05"/>
    <w:rsid w:val="000F1E1A"/>
    <w:rsid w:val="000F1FB0"/>
    <w:rsid w:val="000F2016"/>
    <w:rsid w:val="000F219B"/>
    <w:rsid w:val="000F2554"/>
    <w:rsid w:val="000F2AD7"/>
    <w:rsid w:val="000F2DBB"/>
    <w:rsid w:val="000F329F"/>
    <w:rsid w:val="000F33F0"/>
    <w:rsid w:val="000F3874"/>
    <w:rsid w:val="000F3A15"/>
    <w:rsid w:val="000F3C1C"/>
    <w:rsid w:val="000F441E"/>
    <w:rsid w:val="000F4928"/>
    <w:rsid w:val="000F50EC"/>
    <w:rsid w:val="000F6093"/>
    <w:rsid w:val="000F6478"/>
    <w:rsid w:val="000F6AC8"/>
    <w:rsid w:val="000F6D17"/>
    <w:rsid w:val="000F6F31"/>
    <w:rsid w:val="000F70D6"/>
    <w:rsid w:val="000F7EAF"/>
    <w:rsid w:val="001000A2"/>
    <w:rsid w:val="0010039D"/>
    <w:rsid w:val="00100718"/>
    <w:rsid w:val="001015F3"/>
    <w:rsid w:val="0010204D"/>
    <w:rsid w:val="001021C3"/>
    <w:rsid w:val="0010226F"/>
    <w:rsid w:val="00102401"/>
    <w:rsid w:val="00102A1E"/>
    <w:rsid w:val="00102B42"/>
    <w:rsid w:val="00102B67"/>
    <w:rsid w:val="00102B77"/>
    <w:rsid w:val="0010327C"/>
    <w:rsid w:val="00103374"/>
    <w:rsid w:val="0010340B"/>
    <w:rsid w:val="00103E40"/>
    <w:rsid w:val="00103F7B"/>
    <w:rsid w:val="00104131"/>
    <w:rsid w:val="00104D02"/>
    <w:rsid w:val="00104E3F"/>
    <w:rsid w:val="00105050"/>
    <w:rsid w:val="00105177"/>
    <w:rsid w:val="001052B7"/>
    <w:rsid w:val="001055CD"/>
    <w:rsid w:val="00105774"/>
    <w:rsid w:val="0010579E"/>
    <w:rsid w:val="0010584B"/>
    <w:rsid w:val="001058C3"/>
    <w:rsid w:val="00105D28"/>
    <w:rsid w:val="00105E1B"/>
    <w:rsid w:val="0010674A"/>
    <w:rsid w:val="001067E5"/>
    <w:rsid w:val="00106BDB"/>
    <w:rsid w:val="00106CEF"/>
    <w:rsid w:val="00107091"/>
    <w:rsid w:val="00107706"/>
    <w:rsid w:val="00110061"/>
    <w:rsid w:val="0011088D"/>
    <w:rsid w:val="00110CE0"/>
    <w:rsid w:val="00110DB2"/>
    <w:rsid w:val="001113FA"/>
    <w:rsid w:val="00111D12"/>
    <w:rsid w:val="001121D8"/>
    <w:rsid w:val="001122FF"/>
    <w:rsid w:val="00112445"/>
    <w:rsid w:val="001127BC"/>
    <w:rsid w:val="00112B3E"/>
    <w:rsid w:val="00112B58"/>
    <w:rsid w:val="00112CB8"/>
    <w:rsid w:val="0011306B"/>
    <w:rsid w:val="001131FB"/>
    <w:rsid w:val="0011367F"/>
    <w:rsid w:val="0011404E"/>
    <w:rsid w:val="001142E5"/>
    <w:rsid w:val="00114569"/>
    <w:rsid w:val="00114BA9"/>
    <w:rsid w:val="00115035"/>
    <w:rsid w:val="00115382"/>
    <w:rsid w:val="00115475"/>
    <w:rsid w:val="00116045"/>
    <w:rsid w:val="00116FB7"/>
    <w:rsid w:val="00117603"/>
    <w:rsid w:val="00117F69"/>
    <w:rsid w:val="00120151"/>
    <w:rsid w:val="001201F0"/>
    <w:rsid w:val="00120918"/>
    <w:rsid w:val="00120EB9"/>
    <w:rsid w:val="0012118B"/>
    <w:rsid w:val="0012118F"/>
    <w:rsid w:val="001211FC"/>
    <w:rsid w:val="0012170A"/>
    <w:rsid w:val="001218A7"/>
    <w:rsid w:val="00121DD2"/>
    <w:rsid w:val="00121F38"/>
    <w:rsid w:val="001221AC"/>
    <w:rsid w:val="00122D6C"/>
    <w:rsid w:val="00123BB9"/>
    <w:rsid w:val="00123E4D"/>
    <w:rsid w:val="00124012"/>
    <w:rsid w:val="00124254"/>
    <w:rsid w:val="00124393"/>
    <w:rsid w:val="001248A6"/>
    <w:rsid w:val="00124AAC"/>
    <w:rsid w:val="00124D4C"/>
    <w:rsid w:val="00124EA0"/>
    <w:rsid w:val="00124FD0"/>
    <w:rsid w:val="0012527C"/>
    <w:rsid w:val="001257F5"/>
    <w:rsid w:val="00125D38"/>
    <w:rsid w:val="0012645C"/>
    <w:rsid w:val="00126D6D"/>
    <w:rsid w:val="00127039"/>
    <w:rsid w:val="001308C4"/>
    <w:rsid w:val="001308E8"/>
    <w:rsid w:val="00130AA4"/>
    <w:rsid w:val="00130D27"/>
    <w:rsid w:val="00130F62"/>
    <w:rsid w:val="001315D0"/>
    <w:rsid w:val="001316CA"/>
    <w:rsid w:val="0013288E"/>
    <w:rsid w:val="00132917"/>
    <w:rsid w:val="00132B22"/>
    <w:rsid w:val="0013309D"/>
    <w:rsid w:val="001341CE"/>
    <w:rsid w:val="00134231"/>
    <w:rsid w:val="00134335"/>
    <w:rsid w:val="00134AD9"/>
    <w:rsid w:val="00134C85"/>
    <w:rsid w:val="00135308"/>
    <w:rsid w:val="00135C66"/>
    <w:rsid w:val="001361F4"/>
    <w:rsid w:val="00136402"/>
    <w:rsid w:val="001368F3"/>
    <w:rsid w:val="00136FC5"/>
    <w:rsid w:val="0013736C"/>
    <w:rsid w:val="001374AD"/>
    <w:rsid w:val="00137B91"/>
    <w:rsid w:val="00137CB6"/>
    <w:rsid w:val="00137EA8"/>
    <w:rsid w:val="00137F84"/>
    <w:rsid w:val="001403DE"/>
    <w:rsid w:val="00140545"/>
    <w:rsid w:val="00140588"/>
    <w:rsid w:val="001406B2"/>
    <w:rsid w:val="0014097D"/>
    <w:rsid w:val="00140C64"/>
    <w:rsid w:val="00140D61"/>
    <w:rsid w:val="00140DA4"/>
    <w:rsid w:val="00140E57"/>
    <w:rsid w:val="00141125"/>
    <w:rsid w:val="001417B8"/>
    <w:rsid w:val="00141C9F"/>
    <w:rsid w:val="001425C9"/>
    <w:rsid w:val="00142BDA"/>
    <w:rsid w:val="00143642"/>
    <w:rsid w:val="00143765"/>
    <w:rsid w:val="00143BDB"/>
    <w:rsid w:val="001446F9"/>
    <w:rsid w:val="00144D0A"/>
    <w:rsid w:val="00145348"/>
    <w:rsid w:val="001453FB"/>
    <w:rsid w:val="00145D16"/>
    <w:rsid w:val="00145FF2"/>
    <w:rsid w:val="001464DF"/>
    <w:rsid w:val="0014679C"/>
    <w:rsid w:val="00146D39"/>
    <w:rsid w:val="00146E09"/>
    <w:rsid w:val="00146E3D"/>
    <w:rsid w:val="00147C29"/>
    <w:rsid w:val="00150296"/>
    <w:rsid w:val="0015040B"/>
    <w:rsid w:val="0015064E"/>
    <w:rsid w:val="0015069E"/>
    <w:rsid w:val="001508B5"/>
    <w:rsid w:val="001509DC"/>
    <w:rsid w:val="001516B9"/>
    <w:rsid w:val="00151DE7"/>
    <w:rsid w:val="00152618"/>
    <w:rsid w:val="00152AF4"/>
    <w:rsid w:val="00152C52"/>
    <w:rsid w:val="0015358B"/>
    <w:rsid w:val="001545D6"/>
    <w:rsid w:val="00154D4D"/>
    <w:rsid w:val="00155442"/>
    <w:rsid w:val="001558BE"/>
    <w:rsid w:val="00155E04"/>
    <w:rsid w:val="00155E81"/>
    <w:rsid w:val="001564EA"/>
    <w:rsid w:val="0015661F"/>
    <w:rsid w:val="001567B5"/>
    <w:rsid w:val="00156DE5"/>
    <w:rsid w:val="001573C5"/>
    <w:rsid w:val="00157550"/>
    <w:rsid w:val="00157761"/>
    <w:rsid w:val="0015796A"/>
    <w:rsid w:val="00157983"/>
    <w:rsid w:val="00157BF5"/>
    <w:rsid w:val="00157D9F"/>
    <w:rsid w:val="001613BB"/>
    <w:rsid w:val="00161B5B"/>
    <w:rsid w:val="001621F4"/>
    <w:rsid w:val="001623A7"/>
    <w:rsid w:val="001624E4"/>
    <w:rsid w:val="00162733"/>
    <w:rsid w:val="00162FD9"/>
    <w:rsid w:val="00163287"/>
    <w:rsid w:val="00163590"/>
    <w:rsid w:val="00163816"/>
    <w:rsid w:val="00164403"/>
    <w:rsid w:val="0016465C"/>
    <w:rsid w:val="001648CA"/>
    <w:rsid w:val="00164A50"/>
    <w:rsid w:val="00164E5A"/>
    <w:rsid w:val="00164EE9"/>
    <w:rsid w:val="00165311"/>
    <w:rsid w:val="001661FD"/>
    <w:rsid w:val="001666A8"/>
    <w:rsid w:val="001676C0"/>
    <w:rsid w:val="00170941"/>
    <w:rsid w:val="00170E2B"/>
    <w:rsid w:val="001712B6"/>
    <w:rsid w:val="001717B5"/>
    <w:rsid w:val="00171841"/>
    <w:rsid w:val="00171EFE"/>
    <w:rsid w:val="001730A0"/>
    <w:rsid w:val="0017315A"/>
    <w:rsid w:val="00173402"/>
    <w:rsid w:val="001736F1"/>
    <w:rsid w:val="00173994"/>
    <w:rsid w:val="00173A5D"/>
    <w:rsid w:val="00174292"/>
    <w:rsid w:val="00174334"/>
    <w:rsid w:val="00174621"/>
    <w:rsid w:val="00174759"/>
    <w:rsid w:val="00174BF5"/>
    <w:rsid w:val="00175127"/>
    <w:rsid w:val="0017521D"/>
    <w:rsid w:val="00175315"/>
    <w:rsid w:val="00175874"/>
    <w:rsid w:val="001759AC"/>
    <w:rsid w:val="00175BFE"/>
    <w:rsid w:val="00175FE6"/>
    <w:rsid w:val="00176075"/>
    <w:rsid w:val="00176717"/>
    <w:rsid w:val="00176B11"/>
    <w:rsid w:val="00176D8A"/>
    <w:rsid w:val="00177342"/>
    <w:rsid w:val="0017785B"/>
    <w:rsid w:val="001802C4"/>
    <w:rsid w:val="00180BF9"/>
    <w:rsid w:val="00180E70"/>
    <w:rsid w:val="00181431"/>
    <w:rsid w:val="001816B7"/>
    <w:rsid w:val="00181853"/>
    <w:rsid w:val="00181C5F"/>
    <w:rsid w:val="00181C84"/>
    <w:rsid w:val="001821B6"/>
    <w:rsid w:val="001823E4"/>
    <w:rsid w:val="001826D4"/>
    <w:rsid w:val="00183F5A"/>
    <w:rsid w:val="00184402"/>
    <w:rsid w:val="00184914"/>
    <w:rsid w:val="00184C3F"/>
    <w:rsid w:val="001850B4"/>
    <w:rsid w:val="0018519F"/>
    <w:rsid w:val="0018542E"/>
    <w:rsid w:val="00185755"/>
    <w:rsid w:val="00185861"/>
    <w:rsid w:val="001864A4"/>
    <w:rsid w:val="00186896"/>
    <w:rsid w:val="00186D8B"/>
    <w:rsid w:val="0018735F"/>
    <w:rsid w:val="00187E42"/>
    <w:rsid w:val="001900F2"/>
    <w:rsid w:val="001901A2"/>
    <w:rsid w:val="001904EE"/>
    <w:rsid w:val="0019052D"/>
    <w:rsid w:val="001905BF"/>
    <w:rsid w:val="00190A13"/>
    <w:rsid w:val="001913DC"/>
    <w:rsid w:val="00191425"/>
    <w:rsid w:val="00191DA8"/>
    <w:rsid w:val="00192011"/>
    <w:rsid w:val="001924DD"/>
    <w:rsid w:val="00192745"/>
    <w:rsid w:val="0019289E"/>
    <w:rsid w:val="001931D5"/>
    <w:rsid w:val="001935C1"/>
    <w:rsid w:val="00193A41"/>
    <w:rsid w:val="0019439F"/>
    <w:rsid w:val="00194F37"/>
    <w:rsid w:val="00195622"/>
    <w:rsid w:val="0019649D"/>
    <w:rsid w:val="00196618"/>
    <w:rsid w:val="0019662D"/>
    <w:rsid w:val="00196A2D"/>
    <w:rsid w:val="00196BBD"/>
    <w:rsid w:val="00196E6B"/>
    <w:rsid w:val="00196E7A"/>
    <w:rsid w:val="0019705E"/>
    <w:rsid w:val="00197B4A"/>
    <w:rsid w:val="001A011D"/>
    <w:rsid w:val="001A07C5"/>
    <w:rsid w:val="001A0F4B"/>
    <w:rsid w:val="001A10DF"/>
    <w:rsid w:val="001A14DC"/>
    <w:rsid w:val="001A1C0B"/>
    <w:rsid w:val="001A229A"/>
    <w:rsid w:val="001A23B7"/>
    <w:rsid w:val="001A23CC"/>
    <w:rsid w:val="001A27CD"/>
    <w:rsid w:val="001A2C40"/>
    <w:rsid w:val="001A304C"/>
    <w:rsid w:val="001A391B"/>
    <w:rsid w:val="001A3C23"/>
    <w:rsid w:val="001A4055"/>
    <w:rsid w:val="001A417F"/>
    <w:rsid w:val="001A4248"/>
    <w:rsid w:val="001A4320"/>
    <w:rsid w:val="001A4941"/>
    <w:rsid w:val="001A4CAF"/>
    <w:rsid w:val="001A4EFD"/>
    <w:rsid w:val="001A541E"/>
    <w:rsid w:val="001A5859"/>
    <w:rsid w:val="001A5CC0"/>
    <w:rsid w:val="001A5E68"/>
    <w:rsid w:val="001A63EF"/>
    <w:rsid w:val="001A74E3"/>
    <w:rsid w:val="001A7508"/>
    <w:rsid w:val="001A7FBB"/>
    <w:rsid w:val="001B026E"/>
    <w:rsid w:val="001B0B65"/>
    <w:rsid w:val="001B1026"/>
    <w:rsid w:val="001B172E"/>
    <w:rsid w:val="001B17E8"/>
    <w:rsid w:val="001B19F4"/>
    <w:rsid w:val="001B1A89"/>
    <w:rsid w:val="001B23D7"/>
    <w:rsid w:val="001B240F"/>
    <w:rsid w:val="001B26CE"/>
    <w:rsid w:val="001B29B5"/>
    <w:rsid w:val="001B2C44"/>
    <w:rsid w:val="001B324C"/>
    <w:rsid w:val="001B3287"/>
    <w:rsid w:val="001B378D"/>
    <w:rsid w:val="001B3B4E"/>
    <w:rsid w:val="001B3C1D"/>
    <w:rsid w:val="001B3C9A"/>
    <w:rsid w:val="001B3E37"/>
    <w:rsid w:val="001B3FCC"/>
    <w:rsid w:val="001B4580"/>
    <w:rsid w:val="001B45E2"/>
    <w:rsid w:val="001B475C"/>
    <w:rsid w:val="001B5647"/>
    <w:rsid w:val="001B622D"/>
    <w:rsid w:val="001B67E1"/>
    <w:rsid w:val="001B7D0A"/>
    <w:rsid w:val="001C0142"/>
    <w:rsid w:val="001C115A"/>
    <w:rsid w:val="001C1233"/>
    <w:rsid w:val="001C13DD"/>
    <w:rsid w:val="001C15BD"/>
    <w:rsid w:val="001C1C91"/>
    <w:rsid w:val="001C1CE9"/>
    <w:rsid w:val="001C250C"/>
    <w:rsid w:val="001C25FB"/>
    <w:rsid w:val="001C2646"/>
    <w:rsid w:val="001C2740"/>
    <w:rsid w:val="001C2E01"/>
    <w:rsid w:val="001C2E8A"/>
    <w:rsid w:val="001C32A6"/>
    <w:rsid w:val="001C3527"/>
    <w:rsid w:val="001C3F82"/>
    <w:rsid w:val="001C44D4"/>
    <w:rsid w:val="001C4529"/>
    <w:rsid w:val="001C55B7"/>
    <w:rsid w:val="001C55D6"/>
    <w:rsid w:val="001C5B46"/>
    <w:rsid w:val="001C5E38"/>
    <w:rsid w:val="001C5F19"/>
    <w:rsid w:val="001C6140"/>
    <w:rsid w:val="001C6336"/>
    <w:rsid w:val="001C6599"/>
    <w:rsid w:val="001C669A"/>
    <w:rsid w:val="001C69F4"/>
    <w:rsid w:val="001C6DAE"/>
    <w:rsid w:val="001C6F22"/>
    <w:rsid w:val="001C74F5"/>
    <w:rsid w:val="001C7A71"/>
    <w:rsid w:val="001D028A"/>
    <w:rsid w:val="001D044D"/>
    <w:rsid w:val="001D09DF"/>
    <w:rsid w:val="001D0A7B"/>
    <w:rsid w:val="001D0F21"/>
    <w:rsid w:val="001D12C8"/>
    <w:rsid w:val="001D1664"/>
    <w:rsid w:val="001D1922"/>
    <w:rsid w:val="001D1C75"/>
    <w:rsid w:val="001D1E76"/>
    <w:rsid w:val="001D1EB8"/>
    <w:rsid w:val="001D24CA"/>
    <w:rsid w:val="001D2649"/>
    <w:rsid w:val="001D2F15"/>
    <w:rsid w:val="001D303C"/>
    <w:rsid w:val="001D3150"/>
    <w:rsid w:val="001D35AD"/>
    <w:rsid w:val="001D399C"/>
    <w:rsid w:val="001D3D90"/>
    <w:rsid w:val="001D3DAC"/>
    <w:rsid w:val="001D410E"/>
    <w:rsid w:val="001D4380"/>
    <w:rsid w:val="001D4608"/>
    <w:rsid w:val="001D4833"/>
    <w:rsid w:val="001D519E"/>
    <w:rsid w:val="001D5E8C"/>
    <w:rsid w:val="001D6159"/>
    <w:rsid w:val="001D6270"/>
    <w:rsid w:val="001D742C"/>
    <w:rsid w:val="001D7BF3"/>
    <w:rsid w:val="001E00BB"/>
    <w:rsid w:val="001E039A"/>
    <w:rsid w:val="001E0970"/>
    <w:rsid w:val="001E0BFD"/>
    <w:rsid w:val="001E0C69"/>
    <w:rsid w:val="001E1576"/>
    <w:rsid w:val="001E16A1"/>
    <w:rsid w:val="001E205B"/>
    <w:rsid w:val="001E28B8"/>
    <w:rsid w:val="001E33AB"/>
    <w:rsid w:val="001E3622"/>
    <w:rsid w:val="001E3887"/>
    <w:rsid w:val="001E39C0"/>
    <w:rsid w:val="001E3DF9"/>
    <w:rsid w:val="001E4298"/>
    <w:rsid w:val="001E4717"/>
    <w:rsid w:val="001E4B69"/>
    <w:rsid w:val="001E4E00"/>
    <w:rsid w:val="001E52DC"/>
    <w:rsid w:val="001E5347"/>
    <w:rsid w:val="001E53C0"/>
    <w:rsid w:val="001E5627"/>
    <w:rsid w:val="001E582D"/>
    <w:rsid w:val="001E6128"/>
    <w:rsid w:val="001E6700"/>
    <w:rsid w:val="001E698D"/>
    <w:rsid w:val="001E6AAA"/>
    <w:rsid w:val="001E6F1D"/>
    <w:rsid w:val="001E725B"/>
    <w:rsid w:val="001E76DC"/>
    <w:rsid w:val="001E7863"/>
    <w:rsid w:val="001E7B3C"/>
    <w:rsid w:val="001E7C8F"/>
    <w:rsid w:val="001E7E78"/>
    <w:rsid w:val="001F083F"/>
    <w:rsid w:val="001F11C7"/>
    <w:rsid w:val="001F16A4"/>
    <w:rsid w:val="001F1BB0"/>
    <w:rsid w:val="001F2331"/>
    <w:rsid w:val="001F2672"/>
    <w:rsid w:val="001F26E4"/>
    <w:rsid w:val="001F293D"/>
    <w:rsid w:val="001F2F7A"/>
    <w:rsid w:val="001F3063"/>
    <w:rsid w:val="001F321D"/>
    <w:rsid w:val="001F34BC"/>
    <w:rsid w:val="001F37CB"/>
    <w:rsid w:val="001F3BBC"/>
    <w:rsid w:val="001F3F13"/>
    <w:rsid w:val="001F45EA"/>
    <w:rsid w:val="001F4CA7"/>
    <w:rsid w:val="001F50AB"/>
    <w:rsid w:val="001F54BE"/>
    <w:rsid w:val="001F6168"/>
    <w:rsid w:val="001F6AC2"/>
    <w:rsid w:val="001F6AF7"/>
    <w:rsid w:val="001F70F8"/>
    <w:rsid w:val="001F7BD0"/>
    <w:rsid w:val="001F7CB3"/>
    <w:rsid w:val="001F7D8E"/>
    <w:rsid w:val="0020009F"/>
    <w:rsid w:val="00200137"/>
    <w:rsid w:val="00200218"/>
    <w:rsid w:val="002009FD"/>
    <w:rsid w:val="00200B65"/>
    <w:rsid w:val="00200DC8"/>
    <w:rsid w:val="00200FFC"/>
    <w:rsid w:val="0020116C"/>
    <w:rsid w:val="0020153E"/>
    <w:rsid w:val="002019FD"/>
    <w:rsid w:val="00202827"/>
    <w:rsid w:val="00202ADE"/>
    <w:rsid w:val="002030B4"/>
    <w:rsid w:val="0020332A"/>
    <w:rsid w:val="002036CE"/>
    <w:rsid w:val="00203A8D"/>
    <w:rsid w:val="00203CA2"/>
    <w:rsid w:val="00203F43"/>
    <w:rsid w:val="002040FD"/>
    <w:rsid w:val="0020418E"/>
    <w:rsid w:val="00204593"/>
    <w:rsid w:val="002046DA"/>
    <w:rsid w:val="002053F4"/>
    <w:rsid w:val="00205518"/>
    <w:rsid w:val="00205A0C"/>
    <w:rsid w:val="00205AC0"/>
    <w:rsid w:val="00205D53"/>
    <w:rsid w:val="002065FE"/>
    <w:rsid w:val="002066AB"/>
    <w:rsid w:val="00206A4C"/>
    <w:rsid w:val="00207292"/>
    <w:rsid w:val="0020754A"/>
    <w:rsid w:val="002075A4"/>
    <w:rsid w:val="00207B4C"/>
    <w:rsid w:val="00207F62"/>
    <w:rsid w:val="0021006F"/>
    <w:rsid w:val="00210073"/>
    <w:rsid w:val="002106E8"/>
    <w:rsid w:val="002108FA"/>
    <w:rsid w:val="00210BD7"/>
    <w:rsid w:val="00211362"/>
    <w:rsid w:val="00211620"/>
    <w:rsid w:val="00211C29"/>
    <w:rsid w:val="00211C4F"/>
    <w:rsid w:val="00211EC3"/>
    <w:rsid w:val="00211F2A"/>
    <w:rsid w:val="00212245"/>
    <w:rsid w:val="0021297D"/>
    <w:rsid w:val="002129B0"/>
    <w:rsid w:val="00213B5C"/>
    <w:rsid w:val="00213DC7"/>
    <w:rsid w:val="0021405B"/>
    <w:rsid w:val="00214A04"/>
    <w:rsid w:val="00214A10"/>
    <w:rsid w:val="00214B37"/>
    <w:rsid w:val="00214E6B"/>
    <w:rsid w:val="00214F8B"/>
    <w:rsid w:val="00215875"/>
    <w:rsid w:val="00215BA0"/>
    <w:rsid w:val="00215C9F"/>
    <w:rsid w:val="00216722"/>
    <w:rsid w:val="00216B2E"/>
    <w:rsid w:val="0021707F"/>
    <w:rsid w:val="00217366"/>
    <w:rsid w:val="0022077A"/>
    <w:rsid w:val="002207E8"/>
    <w:rsid w:val="002209BB"/>
    <w:rsid w:val="00220A46"/>
    <w:rsid w:val="00220A74"/>
    <w:rsid w:val="0022152E"/>
    <w:rsid w:val="00221540"/>
    <w:rsid w:val="002218D8"/>
    <w:rsid w:val="0022197D"/>
    <w:rsid w:val="00221A08"/>
    <w:rsid w:val="00221D16"/>
    <w:rsid w:val="0022229C"/>
    <w:rsid w:val="002224C5"/>
    <w:rsid w:val="00222904"/>
    <w:rsid w:val="00222CD0"/>
    <w:rsid w:val="0022381D"/>
    <w:rsid w:val="00223F8D"/>
    <w:rsid w:val="00224285"/>
    <w:rsid w:val="002245A5"/>
    <w:rsid w:val="00224782"/>
    <w:rsid w:val="00224C24"/>
    <w:rsid w:val="00224D58"/>
    <w:rsid w:val="00224FB9"/>
    <w:rsid w:val="00225AF0"/>
    <w:rsid w:val="00225C8B"/>
    <w:rsid w:val="002260AF"/>
    <w:rsid w:val="002260D5"/>
    <w:rsid w:val="0022679E"/>
    <w:rsid w:val="00226874"/>
    <w:rsid w:val="00226956"/>
    <w:rsid w:val="00226DED"/>
    <w:rsid w:val="00226DFC"/>
    <w:rsid w:val="00226E1E"/>
    <w:rsid w:val="00227027"/>
    <w:rsid w:val="00227116"/>
    <w:rsid w:val="0022720A"/>
    <w:rsid w:val="0022730F"/>
    <w:rsid w:val="00230119"/>
    <w:rsid w:val="00230F1F"/>
    <w:rsid w:val="0023155F"/>
    <w:rsid w:val="00231869"/>
    <w:rsid w:val="002320A2"/>
    <w:rsid w:val="00233195"/>
    <w:rsid w:val="00233306"/>
    <w:rsid w:val="002334B1"/>
    <w:rsid w:val="00233643"/>
    <w:rsid w:val="002339D8"/>
    <w:rsid w:val="002339EE"/>
    <w:rsid w:val="00233A13"/>
    <w:rsid w:val="00233A76"/>
    <w:rsid w:val="00233E0B"/>
    <w:rsid w:val="00233FF3"/>
    <w:rsid w:val="00234D38"/>
    <w:rsid w:val="00235085"/>
    <w:rsid w:val="00235126"/>
    <w:rsid w:val="00235175"/>
    <w:rsid w:val="002351C4"/>
    <w:rsid w:val="002358CD"/>
    <w:rsid w:val="00236220"/>
    <w:rsid w:val="002364E0"/>
    <w:rsid w:val="0023721E"/>
    <w:rsid w:val="00237952"/>
    <w:rsid w:val="00237B3D"/>
    <w:rsid w:val="00237E80"/>
    <w:rsid w:val="00237EC6"/>
    <w:rsid w:val="00240589"/>
    <w:rsid w:val="002411B9"/>
    <w:rsid w:val="002413DA"/>
    <w:rsid w:val="00241B3E"/>
    <w:rsid w:val="00241F9B"/>
    <w:rsid w:val="0024223B"/>
    <w:rsid w:val="00242B57"/>
    <w:rsid w:val="00242CBB"/>
    <w:rsid w:val="00242DC6"/>
    <w:rsid w:val="00243166"/>
    <w:rsid w:val="002432E6"/>
    <w:rsid w:val="0024414D"/>
    <w:rsid w:val="00244271"/>
    <w:rsid w:val="002448DE"/>
    <w:rsid w:val="00244C53"/>
    <w:rsid w:val="002459C9"/>
    <w:rsid w:val="00245B3C"/>
    <w:rsid w:val="00245B5A"/>
    <w:rsid w:val="00245DA5"/>
    <w:rsid w:val="00246684"/>
    <w:rsid w:val="00246702"/>
    <w:rsid w:val="00246A42"/>
    <w:rsid w:val="00246E28"/>
    <w:rsid w:val="00246EBD"/>
    <w:rsid w:val="00246F0D"/>
    <w:rsid w:val="00247E44"/>
    <w:rsid w:val="00247F19"/>
    <w:rsid w:val="002501A7"/>
    <w:rsid w:val="002501F7"/>
    <w:rsid w:val="0025045E"/>
    <w:rsid w:val="002507F2"/>
    <w:rsid w:val="00251264"/>
    <w:rsid w:val="002515D6"/>
    <w:rsid w:val="00251CC4"/>
    <w:rsid w:val="00251D38"/>
    <w:rsid w:val="00251D74"/>
    <w:rsid w:val="002521CA"/>
    <w:rsid w:val="00252883"/>
    <w:rsid w:val="00252D06"/>
    <w:rsid w:val="00252F4C"/>
    <w:rsid w:val="00255698"/>
    <w:rsid w:val="00255953"/>
    <w:rsid w:val="00255A15"/>
    <w:rsid w:val="00255D6C"/>
    <w:rsid w:val="002566A3"/>
    <w:rsid w:val="00256E40"/>
    <w:rsid w:val="00257138"/>
    <w:rsid w:val="00257359"/>
    <w:rsid w:val="0025751D"/>
    <w:rsid w:val="00257631"/>
    <w:rsid w:val="002576E2"/>
    <w:rsid w:val="0025791F"/>
    <w:rsid w:val="00260722"/>
    <w:rsid w:val="00260EDB"/>
    <w:rsid w:val="00260EF5"/>
    <w:rsid w:val="002612C5"/>
    <w:rsid w:val="00261FD6"/>
    <w:rsid w:val="002620D3"/>
    <w:rsid w:val="00262239"/>
    <w:rsid w:val="00262247"/>
    <w:rsid w:val="002624AA"/>
    <w:rsid w:val="002624C3"/>
    <w:rsid w:val="0026262B"/>
    <w:rsid w:val="00262742"/>
    <w:rsid w:val="00262D64"/>
    <w:rsid w:val="00262F7C"/>
    <w:rsid w:val="00263334"/>
    <w:rsid w:val="00263B18"/>
    <w:rsid w:val="0026424F"/>
    <w:rsid w:val="002645C3"/>
    <w:rsid w:val="002646C6"/>
    <w:rsid w:val="00264A99"/>
    <w:rsid w:val="00264AAD"/>
    <w:rsid w:val="00264BE3"/>
    <w:rsid w:val="00264F2F"/>
    <w:rsid w:val="00264FD9"/>
    <w:rsid w:val="00265771"/>
    <w:rsid w:val="00265D4E"/>
    <w:rsid w:val="00266041"/>
    <w:rsid w:val="002666B6"/>
    <w:rsid w:val="002666B8"/>
    <w:rsid w:val="00266828"/>
    <w:rsid w:val="00266939"/>
    <w:rsid w:val="0026693F"/>
    <w:rsid w:val="00266A33"/>
    <w:rsid w:val="00266C52"/>
    <w:rsid w:val="00266F1C"/>
    <w:rsid w:val="002671A4"/>
    <w:rsid w:val="00267626"/>
    <w:rsid w:val="002676D3"/>
    <w:rsid w:val="0026781F"/>
    <w:rsid w:val="002703AE"/>
    <w:rsid w:val="002704D0"/>
    <w:rsid w:val="00270503"/>
    <w:rsid w:val="002707FC"/>
    <w:rsid w:val="00270B16"/>
    <w:rsid w:val="00270CCB"/>
    <w:rsid w:val="002711ED"/>
    <w:rsid w:val="00271740"/>
    <w:rsid w:val="00272516"/>
    <w:rsid w:val="002728B3"/>
    <w:rsid w:val="00272A46"/>
    <w:rsid w:val="00272CFB"/>
    <w:rsid w:val="002730C4"/>
    <w:rsid w:val="00273BEB"/>
    <w:rsid w:val="00274338"/>
    <w:rsid w:val="002744A2"/>
    <w:rsid w:val="00274FBD"/>
    <w:rsid w:val="002755B5"/>
    <w:rsid w:val="002759A1"/>
    <w:rsid w:val="00275ACF"/>
    <w:rsid w:val="00275F49"/>
    <w:rsid w:val="002762A2"/>
    <w:rsid w:val="00276606"/>
    <w:rsid w:val="00276CF6"/>
    <w:rsid w:val="00276F55"/>
    <w:rsid w:val="002778BA"/>
    <w:rsid w:val="002778D1"/>
    <w:rsid w:val="002778F5"/>
    <w:rsid w:val="00277A24"/>
    <w:rsid w:val="00277B0E"/>
    <w:rsid w:val="00277C1C"/>
    <w:rsid w:val="00277E0E"/>
    <w:rsid w:val="00280232"/>
    <w:rsid w:val="00281036"/>
    <w:rsid w:val="00281569"/>
    <w:rsid w:val="0028169A"/>
    <w:rsid w:val="002816A2"/>
    <w:rsid w:val="002816C4"/>
    <w:rsid w:val="00281A1D"/>
    <w:rsid w:val="00281DBE"/>
    <w:rsid w:val="002822D2"/>
    <w:rsid w:val="0028264C"/>
    <w:rsid w:val="002828C7"/>
    <w:rsid w:val="0028324C"/>
    <w:rsid w:val="00283534"/>
    <w:rsid w:val="002835C3"/>
    <w:rsid w:val="0028422F"/>
    <w:rsid w:val="002842C3"/>
    <w:rsid w:val="00284374"/>
    <w:rsid w:val="0028464A"/>
    <w:rsid w:val="002846EE"/>
    <w:rsid w:val="00284B1C"/>
    <w:rsid w:val="002853BC"/>
    <w:rsid w:val="00285712"/>
    <w:rsid w:val="00285758"/>
    <w:rsid w:val="00285AB3"/>
    <w:rsid w:val="00285C04"/>
    <w:rsid w:val="00287589"/>
    <w:rsid w:val="00287DCD"/>
    <w:rsid w:val="002900A6"/>
    <w:rsid w:val="00290185"/>
    <w:rsid w:val="002903C8"/>
    <w:rsid w:val="00290595"/>
    <w:rsid w:val="00291535"/>
    <w:rsid w:val="0029178F"/>
    <w:rsid w:val="00292CCB"/>
    <w:rsid w:val="00292D5A"/>
    <w:rsid w:val="00292E1A"/>
    <w:rsid w:val="00292FD4"/>
    <w:rsid w:val="00293ABA"/>
    <w:rsid w:val="00293AD0"/>
    <w:rsid w:val="002940CD"/>
    <w:rsid w:val="00294869"/>
    <w:rsid w:val="00294EF7"/>
    <w:rsid w:val="002950C8"/>
    <w:rsid w:val="002950F4"/>
    <w:rsid w:val="00295625"/>
    <w:rsid w:val="0029568D"/>
    <w:rsid w:val="00295C24"/>
    <w:rsid w:val="00296655"/>
    <w:rsid w:val="00296CAA"/>
    <w:rsid w:val="00296E4F"/>
    <w:rsid w:val="0029702F"/>
    <w:rsid w:val="0029780A"/>
    <w:rsid w:val="00297FE5"/>
    <w:rsid w:val="002A036A"/>
    <w:rsid w:val="002A069C"/>
    <w:rsid w:val="002A0783"/>
    <w:rsid w:val="002A0D06"/>
    <w:rsid w:val="002A0D96"/>
    <w:rsid w:val="002A0F9C"/>
    <w:rsid w:val="002A111F"/>
    <w:rsid w:val="002A129A"/>
    <w:rsid w:val="002A1C0B"/>
    <w:rsid w:val="002A1D9D"/>
    <w:rsid w:val="002A1E49"/>
    <w:rsid w:val="002A1FBE"/>
    <w:rsid w:val="002A29D0"/>
    <w:rsid w:val="002A2B4E"/>
    <w:rsid w:val="002A2CE4"/>
    <w:rsid w:val="002A3420"/>
    <w:rsid w:val="002A3523"/>
    <w:rsid w:val="002A4821"/>
    <w:rsid w:val="002A4AF4"/>
    <w:rsid w:val="002A5562"/>
    <w:rsid w:val="002A5A32"/>
    <w:rsid w:val="002A5AFF"/>
    <w:rsid w:val="002A5F58"/>
    <w:rsid w:val="002A618D"/>
    <w:rsid w:val="002A61CD"/>
    <w:rsid w:val="002A66CA"/>
    <w:rsid w:val="002A70CD"/>
    <w:rsid w:val="002A741F"/>
    <w:rsid w:val="002A7A7B"/>
    <w:rsid w:val="002A7BA7"/>
    <w:rsid w:val="002A7E17"/>
    <w:rsid w:val="002B018B"/>
    <w:rsid w:val="002B044F"/>
    <w:rsid w:val="002B04FB"/>
    <w:rsid w:val="002B050D"/>
    <w:rsid w:val="002B0E85"/>
    <w:rsid w:val="002B174E"/>
    <w:rsid w:val="002B1C3D"/>
    <w:rsid w:val="002B1DEB"/>
    <w:rsid w:val="002B2503"/>
    <w:rsid w:val="002B27B0"/>
    <w:rsid w:val="002B28B6"/>
    <w:rsid w:val="002B2A13"/>
    <w:rsid w:val="002B2B11"/>
    <w:rsid w:val="002B2D14"/>
    <w:rsid w:val="002B2DE1"/>
    <w:rsid w:val="002B2DFD"/>
    <w:rsid w:val="002B31BE"/>
    <w:rsid w:val="002B3B73"/>
    <w:rsid w:val="002B3BE4"/>
    <w:rsid w:val="002B3D2A"/>
    <w:rsid w:val="002B428E"/>
    <w:rsid w:val="002B4435"/>
    <w:rsid w:val="002B44B2"/>
    <w:rsid w:val="002B4637"/>
    <w:rsid w:val="002B49A7"/>
    <w:rsid w:val="002B4AEE"/>
    <w:rsid w:val="002B4F9C"/>
    <w:rsid w:val="002B50BE"/>
    <w:rsid w:val="002B573F"/>
    <w:rsid w:val="002B6375"/>
    <w:rsid w:val="002B6572"/>
    <w:rsid w:val="002B6836"/>
    <w:rsid w:val="002B69E2"/>
    <w:rsid w:val="002B6A48"/>
    <w:rsid w:val="002B6AD2"/>
    <w:rsid w:val="002B71A4"/>
    <w:rsid w:val="002B7BE0"/>
    <w:rsid w:val="002C025F"/>
    <w:rsid w:val="002C066B"/>
    <w:rsid w:val="002C0982"/>
    <w:rsid w:val="002C0E77"/>
    <w:rsid w:val="002C1541"/>
    <w:rsid w:val="002C1602"/>
    <w:rsid w:val="002C1F55"/>
    <w:rsid w:val="002C24BD"/>
    <w:rsid w:val="002C27F4"/>
    <w:rsid w:val="002C29F5"/>
    <w:rsid w:val="002C2DD4"/>
    <w:rsid w:val="002C2EEB"/>
    <w:rsid w:val="002C2F8E"/>
    <w:rsid w:val="002C3103"/>
    <w:rsid w:val="002C3153"/>
    <w:rsid w:val="002C35F8"/>
    <w:rsid w:val="002C3DAA"/>
    <w:rsid w:val="002C4238"/>
    <w:rsid w:val="002C456C"/>
    <w:rsid w:val="002C525C"/>
    <w:rsid w:val="002C53DC"/>
    <w:rsid w:val="002C5772"/>
    <w:rsid w:val="002C580F"/>
    <w:rsid w:val="002C6179"/>
    <w:rsid w:val="002C635C"/>
    <w:rsid w:val="002C6747"/>
    <w:rsid w:val="002C6804"/>
    <w:rsid w:val="002C6D7B"/>
    <w:rsid w:val="002C722E"/>
    <w:rsid w:val="002C7890"/>
    <w:rsid w:val="002C7A4C"/>
    <w:rsid w:val="002C7CF4"/>
    <w:rsid w:val="002D0B52"/>
    <w:rsid w:val="002D140A"/>
    <w:rsid w:val="002D1AAD"/>
    <w:rsid w:val="002D1CDB"/>
    <w:rsid w:val="002D232E"/>
    <w:rsid w:val="002D27D5"/>
    <w:rsid w:val="002D2A33"/>
    <w:rsid w:val="002D3494"/>
    <w:rsid w:val="002D3F6D"/>
    <w:rsid w:val="002D58F9"/>
    <w:rsid w:val="002D5D33"/>
    <w:rsid w:val="002D6071"/>
    <w:rsid w:val="002D6073"/>
    <w:rsid w:val="002D6800"/>
    <w:rsid w:val="002D6846"/>
    <w:rsid w:val="002D6AEE"/>
    <w:rsid w:val="002D6F3A"/>
    <w:rsid w:val="002D704C"/>
    <w:rsid w:val="002D706B"/>
    <w:rsid w:val="002D74F2"/>
    <w:rsid w:val="002D7C5E"/>
    <w:rsid w:val="002D7FCC"/>
    <w:rsid w:val="002E01ED"/>
    <w:rsid w:val="002E0316"/>
    <w:rsid w:val="002E075B"/>
    <w:rsid w:val="002E0B52"/>
    <w:rsid w:val="002E0EE6"/>
    <w:rsid w:val="002E13D6"/>
    <w:rsid w:val="002E1C46"/>
    <w:rsid w:val="002E1D0C"/>
    <w:rsid w:val="002E26F8"/>
    <w:rsid w:val="002E2BED"/>
    <w:rsid w:val="002E2EFF"/>
    <w:rsid w:val="002E2FAF"/>
    <w:rsid w:val="002E3212"/>
    <w:rsid w:val="002E321A"/>
    <w:rsid w:val="002E3479"/>
    <w:rsid w:val="002E368E"/>
    <w:rsid w:val="002E37BF"/>
    <w:rsid w:val="002E3B40"/>
    <w:rsid w:val="002E3C2E"/>
    <w:rsid w:val="002E407B"/>
    <w:rsid w:val="002E4420"/>
    <w:rsid w:val="002E479F"/>
    <w:rsid w:val="002E4C10"/>
    <w:rsid w:val="002E4E87"/>
    <w:rsid w:val="002E4E9E"/>
    <w:rsid w:val="002E4F33"/>
    <w:rsid w:val="002E56F6"/>
    <w:rsid w:val="002E5862"/>
    <w:rsid w:val="002E6109"/>
    <w:rsid w:val="002E6217"/>
    <w:rsid w:val="002E64DF"/>
    <w:rsid w:val="002E6609"/>
    <w:rsid w:val="002E6690"/>
    <w:rsid w:val="002E6DAA"/>
    <w:rsid w:val="002E72E8"/>
    <w:rsid w:val="002E7373"/>
    <w:rsid w:val="002E74F3"/>
    <w:rsid w:val="002E7594"/>
    <w:rsid w:val="002F01E4"/>
    <w:rsid w:val="002F0499"/>
    <w:rsid w:val="002F07F8"/>
    <w:rsid w:val="002F085C"/>
    <w:rsid w:val="002F0982"/>
    <w:rsid w:val="002F0B38"/>
    <w:rsid w:val="002F0B58"/>
    <w:rsid w:val="002F0F68"/>
    <w:rsid w:val="002F0F91"/>
    <w:rsid w:val="002F0FE1"/>
    <w:rsid w:val="002F1230"/>
    <w:rsid w:val="002F12C1"/>
    <w:rsid w:val="002F13B3"/>
    <w:rsid w:val="002F159B"/>
    <w:rsid w:val="002F1602"/>
    <w:rsid w:val="002F16FB"/>
    <w:rsid w:val="002F2199"/>
    <w:rsid w:val="002F260A"/>
    <w:rsid w:val="002F2803"/>
    <w:rsid w:val="002F2839"/>
    <w:rsid w:val="002F299A"/>
    <w:rsid w:val="002F2BB5"/>
    <w:rsid w:val="002F316D"/>
    <w:rsid w:val="002F3376"/>
    <w:rsid w:val="002F33C7"/>
    <w:rsid w:val="002F36AD"/>
    <w:rsid w:val="002F3997"/>
    <w:rsid w:val="002F4345"/>
    <w:rsid w:val="002F4A24"/>
    <w:rsid w:val="002F4B46"/>
    <w:rsid w:val="002F57C6"/>
    <w:rsid w:val="002F5857"/>
    <w:rsid w:val="002F5967"/>
    <w:rsid w:val="002F5D2C"/>
    <w:rsid w:val="002F5E9A"/>
    <w:rsid w:val="002F691C"/>
    <w:rsid w:val="002F7F17"/>
    <w:rsid w:val="0030098E"/>
    <w:rsid w:val="00300EAE"/>
    <w:rsid w:val="00301076"/>
    <w:rsid w:val="0030128A"/>
    <w:rsid w:val="0030163B"/>
    <w:rsid w:val="003016EF"/>
    <w:rsid w:val="003028C0"/>
    <w:rsid w:val="003028F9"/>
    <w:rsid w:val="00302957"/>
    <w:rsid w:val="0030298C"/>
    <w:rsid w:val="00302D20"/>
    <w:rsid w:val="00302F40"/>
    <w:rsid w:val="0030395D"/>
    <w:rsid w:val="00303B9D"/>
    <w:rsid w:val="00303E8D"/>
    <w:rsid w:val="00304F67"/>
    <w:rsid w:val="0030550E"/>
    <w:rsid w:val="0030590D"/>
    <w:rsid w:val="00305E22"/>
    <w:rsid w:val="00306334"/>
    <w:rsid w:val="003066EE"/>
    <w:rsid w:val="00306951"/>
    <w:rsid w:val="00306F28"/>
    <w:rsid w:val="00307091"/>
    <w:rsid w:val="003071F6"/>
    <w:rsid w:val="00307460"/>
    <w:rsid w:val="00307B6B"/>
    <w:rsid w:val="00307D85"/>
    <w:rsid w:val="00307E61"/>
    <w:rsid w:val="00307F7D"/>
    <w:rsid w:val="00310855"/>
    <w:rsid w:val="00310DC1"/>
    <w:rsid w:val="0031109B"/>
    <w:rsid w:val="003117B0"/>
    <w:rsid w:val="00311BDD"/>
    <w:rsid w:val="00312346"/>
    <w:rsid w:val="0031236E"/>
    <w:rsid w:val="00312767"/>
    <w:rsid w:val="00312B66"/>
    <w:rsid w:val="00312B95"/>
    <w:rsid w:val="003130D2"/>
    <w:rsid w:val="003135DD"/>
    <w:rsid w:val="0031387A"/>
    <w:rsid w:val="00314463"/>
    <w:rsid w:val="00314F19"/>
    <w:rsid w:val="00314FF6"/>
    <w:rsid w:val="00315161"/>
    <w:rsid w:val="003153BE"/>
    <w:rsid w:val="003153C4"/>
    <w:rsid w:val="003154A0"/>
    <w:rsid w:val="00315A8B"/>
    <w:rsid w:val="00315B1B"/>
    <w:rsid w:val="00315B5E"/>
    <w:rsid w:val="00315CA1"/>
    <w:rsid w:val="00315DA5"/>
    <w:rsid w:val="00315E04"/>
    <w:rsid w:val="00315F20"/>
    <w:rsid w:val="003162A4"/>
    <w:rsid w:val="003162D4"/>
    <w:rsid w:val="0031630B"/>
    <w:rsid w:val="003167B1"/>
    <w:rsid w:val="003167C2"/>
    <w:rsid w:val="00316E2E"/>
    <w:rsid w:val="00317C90"/>
    <w:rsid w:val="00317D46"/>
    <w:rsid w:val="00320694"/>
    <w:rsid w:val="00321450"/>
    <w:rsid w:val="00321802"/>
    <w:rsid w:val="003219BC"/>
    <w:rsid w:val="00321A26"/>
    <w:rsid w:val="00321DE6"/>
    <w:rsid w:val="00322429"/>
    <w:rsid w:val="00322700"/>
    <w:rsid w:val="00322A22"/>
    <w:rsid w:val="00323024"/>
    <w:rsid w:val="003235A0"/>
    <w:rsid w:val="00323654"/>
    <w:rsid w:val="003237D4"/>
    <w:rsid w:val="00323EC6"/>
    <w:rsid w:val="00324033"/>
    <w:rsid w:val="0032453B"/>
    <w:rsid w:val="00324662"/>
    <w:rsid w:val="00324CFA"/>
    <w:rsid w:val="0032507B"/>
    <w:rsid w:val="0032507F"/>
    <w:rsid w:val="00325B00"/>
    <w:rsid w:val="00325E0B"/>
    <w:rsid w:val="003261CD"/>
    <w:rsid w:val="0032638A"/>
    <w:rsid w:val="00326435"/>
    <w:rsid w:val="00326A7A"/>
    <w:rsid w:val="00326C79"/>
    <w:rsid w:val="00326D9F"/>
    <w:rsid w:val="003272B8"/>
    <w:rsid w:val="00327818"/>
    <w:rsid w:val="00327D08"/>
    <w:rsid w:val="00327FE5"/>
    <w:rsid w:val="0033000F"/>
    <w:rsid w:val="003300FE"/>
    <w:rsid w:val="00330369"/>
    <w:rsid w:val="003308B3"/>
    <w:rsid w:val="003309C6"/>
    <w:rsid w:val="00330B8E"/>
    <w:rsid w:val="00330BC6"/>
    <w:rsid w:val="00330D69"/>
    <w:rsid w:val="00330F89"/>
    <w:rsid w:val="00331206"/>
    <w:rsid w:val="00331593"/>
    <w:rsid w:val="0033159C"/>
    <w:rsid w:val="00331F9C"/>
    <w:rsid w:val="003327DC"/>
    <w:rsid w:val="00332862"/>
    <w:rsid w:val="00332B23"/>
    <w:rsid w:val="00332BAC"/>
    <w:rsid w:val="00332DF4"/>
    <w:rsid w:val="003333F6"/>
    <w:rsid w:val="003337DF"/>
    <w:rsid w:val="003344E1"/>
    <w:rsid w:val="003354F2"/>
    <w:rsid w:val="003357FC"/>
    <w:rsid w:val="00335DA9"/>
    <w:rsid w:val="00335E7A"/>
    <w:rsid w:val="00336381"/>
    <w:rsid w:val="00336AB8"/>
    <w:rsid w:val="00336D61"/>
    <w:rsid w:val="00337227"/>
    <w:rsid w:val="00337477"/>
    <w:rsid w:val="00337A86"/>
    <w:rsid w:val="00337C09"/>
    <w:rsid w:val="00337DED"/>
    <w:rsid w:val="00337ED6"/>
    <w:rsid w:val="00340328"/>
    <w:rsid w:val="0034068A"/>
    <w:rsid w:val="00340A40"/>
    <w:rsid w:val="00340E93"/>
    <w:rsid w:val="00341914"/>
    <w:rsid w:val="00341CBA"/>
    <w:rsid w:val="00341F18"/>
    <w:rsid w:val="0034211C"/>
    <w:rsid w:val="00342122"/>
    <w:rsid w:val="00342379"/>
    <w:rsid w:val="00342A49"/>
    <w:rsid w:val="00342EFD"/>
    <w:rsid w:val="00343684"/>
    <w:rsid w:val="003437C4"/>
    <w:rsid w:val="00343F04"/>
    <w:rsid w:val="0034432D"/>
    <w:rsid w:val="00344B58"/>
    <w:rsid w:val="00344ED1"/>
    <w:rsid w:val="00344F30"/>
    <w:rsid w:val="0034508D"/>
    <w:rsid w:val="00345105"/>
    <w:rsid w:val="00345B61"/>
    <w:rsid w:val="00345B79"/>
    <w:rsid w:val="00346623"/>
    <w:rsid w:val="003466A7"/>
    <w:rsid w:val="0034683E"/>
    <w:rsid w:val="003468DF"/>
    <w:rsid w:val="0034695A"/>
    <w:rsid w:val="003471FC"/>
    <w:rsid w:val="003473BC"/>
    <w:rsid w:val="0034742E"/>
    <w:rsid w:val="003476FB"/>
    <w:rsid w:val="00347717"/>
    <w:rsid w:val="00347C40"/>
    <w:rsid w:val="00347C93"/>
    <w:rsid w:val="003505C8"/>
    <w:rsid w:val="00350A6E"/>
    <w:rsid w:val="0035105A"/>
    <w:rsid w:val="0035112F"/>
    <w:rsid w:val="00351701"/>
    <w:rsid w:val="0035175E"/>
    <w:rsid w:val="00351786"/>
    <w:rsid w:val="00351CB1"/>
    <w:rsid w:val="00351D6F"/>
    <w:rsid w:val="00352F73"/>
    <w:rsid w:val="003533FD"/>
    <w:rsid w:val="00353624"/>
    <w:rsid w:val="00353780"/>
    <w:rsid w:val="00353833"/>
    <w:rsid w:val="00353CCC"/>
    <w:rsid w:val="00353DA8"/>
    <w:rsid w:val="00353EA4"/>
    <w:rsid w:val="00354A9E"/>
    <w:rsid w:val="00354F37"/>
    <w:rsid w:val="00355247"/>
    <w:rsid w:val="00355C2C"/>
    <w:rsid w:val="00355FD0"/>
    <w:rsid w:val="0035656E"/>
    <w:rsid w:val="00356E72"/>
    <w:rsid w:val="003570E6"/>
    <w:rsid w:val="00357285"/>
    <w:rsid w:val="003572F6"/>
    <w:rsid w:val="003574BC"/>
    <w:rsid w:val="0035750B"/>
    <w:rsid w:val="003576E1"/>
    <w:rsid w:val="003578D2"/>
    <w:rsid w:val="00357E27"/>
    <w:rsid w:val="00360172"/>
    <w:rsid w:val="00360529"/>
    <w:rsid w:val="00360A31"/>
    <w:rsid w:val="00360B94"/>
    <w:rsid w:val="00360FB6"/>
    <w:rsid w:val="0036164B"/>
    <w:rsid w:val="00361803"/>
    <w:rsid w:val="003618DD"/>
    <w:rsid w:val="00361F2A"/>
    <w:rsid w:val="0036290D"/>
    <w:rsid w:val="00362EA1"/>
    <w:rsid w:val="003635CB"/>
    <w:rsid w:val="0036398A"/>
    <w:rsid w:val="0036398E"/>
    <w:rsid w:val="00363DB9"/>
    <w:rsid w:val="00363F3F"/>
    <w:rsid w:val="0036456D"/>
    <w:rsid w:val="00364DD4"/>
    <w:rsid w:val="00364ECA"/>
    <w:rsid w:val="00365057"/>
    <w:rsid w:val="00366184"/>
    <w:rsid w:val="003661F6"/>
    <w:rsid w:val="00366488"/>
    <w:rsid w:val="003664E1"/>
    <w:rsid w:val="003668B7"/>
    <w:rsid w:val="00367D0A"/>
    <w:rsid w:val="003707F9"/>
    <w:rsid w:val="00370A0C"/>
    <w:rsid w:val="00370EF6"/>
    <w:rsid w:val="00370FD7"/>
    <w:rsid w:val="0037117A"/>
    <w:rsid w:val="00371936"/>
    <w:rsid w:val="00371A2C"/>
    <w:rsid w:val="00371D29"/>
    <w:rsid w:val="00372177"/>
    <w:rsid w:val="0037258B"/>
    <w:rsid w:val="0037268B"/>
    <w:rsid w:val="003726B7"/>
    <w:rsid w:val="003732E3"/>
    <w:rsid w:val="00373693"/>
    <w:rsid w:val="00373AC6"/>
    <w:rsid w:val="00374042"/>
    <w:rsid w:val="00374106"/>
    <w:rsid w:val="00374233"/>
    <w:rsid w:val="0037430E"/>
    <w:rsid w:val="003743E3"/>
    <w:rsid w:val="0037467B"/>
    <w:rsid w:val="00374856"/>
    <w:rsid w:val="00374960"/>
    <w:rsid w:val="0037520C"/>
    <w:rsid w:val="00375699"/>
    <w:rsid w:val="00375B43"/>
    <w:rsid w:val="0037629B"/>
    <w:rsid w:val="0037647F"/>
    <w:rsid w:val="003767D1"/>
    <w:rsid w:val="00376F08"/>
    <w:rsid w:val="003776C7"/>
    <w:rsid w:val="00377884"/>
    <w:rsid w:val="003802B9"/>
    <w:rsid w:val="0038077B"/>
    <w:rsid w:val="003809DA"/>
    <w:rsid w:val="00380B86"/>
    <w:rsid w:val="00381061"/>
    <w:rsid w:val="00381387"/>
    <w:rsid w:val="003815FA"/>
    <w:rsid w:val="003818F1"/>
    <w:rsid w:val="00381BF9"/>
    <w:rsid w:val="00381E4A"/>
    <w:rsid w:val="00382109"/>
    <w:rsid w:val="003829AA"/>
    <w:rsid w:val="00382DCA"/>
    <w:rsid w:val="003832A9"/>
    <w:rsid w:val="00383591"/>
    <w:rsid w:val="00383673"/>
    <w:rsid w:val="00383724"/>
    <w:rsid w:val="00383C5E"/>
    <w:rsid w:val="00383D56"/>
    <w:rsid w:val="00383F82"/>
    <w:rsid w:val="0038440B"/>
    <w:rsid w:val="003848AB"/>
    <w:rsid w:val="00384C50"/>
    <w:rsid w:val="00385708"/>
    <w:rsid w:val="003858B6"/>
    <w:rsid w:val="00386147"/>
    <w:rsid w:val="0038640C"/>
    <w:rsid w:val="00386837"/>
    <w:rsid w:val="00386F6A"/>
    <w:rsid w:val="00386FBD"/>
    <w:rsid w:val="00390060"/>
    <w:rsid w:val="00390F81"/>
    <w:rsid w:val="00391421"/>
    <w:rsid w:val="003916CB"/>
    <w:rsid w:val="00391F57"/>
    <w:rsid w:val="00392321"/>
    <w:rsid w:val="00392328"/>
    <w:rsid w:val="0039275A"/>
    <w:rsid w:val="0039280A"/>
    <w:rsid w:val="00392A2E"/>
    <w:rsid w:val="00393018"/>
    <w:rsid w:val="0039346A"/>
    <w:rsid w:val="0039363B"/>
    <w:rsid w:val="00393CA2"/>
    <w:rsid w:val="00393F4D"/>
    <w:rsid w:val="003942AA"/>
    <w:rsid w:val="00394515"/>
    <w:rsid w:val="003952F3"/>
    <w:rsid w:val="00395403"/>
    <w:rsid w:val="00395409"/>
    <w:rsid w:val="00395760"/>
    <w:rsid w:val="00395EBD"/>
    <w:rsid w:val="00395FF4"/>
    <w:rsid w:val="003962F3"/>
    <w:rsid w:val="003967F3"/>
    <w:rsid w:val="00396FAF"/>
    <w:rsid w:val="003975FC"/>
    <w:rsid w:val="003978A1"/>
    <w:rsid w:val="00397990"/>
    <w:rsid w:val="00397DF5"/>
    <w:rsid w:val="00397E9B"/>
    <w:rsid w:val="003A0D9F"/>
    <w:rsid w:val="003A1272"/>
    <w:rsid w:val="003A17A2"/>
    <w:rsid w:val="003A1C02"/>
    <w:rsid w:val="003A1CB5"/>
    <w:rsid w:val="003A1ECA"/>
    <w:rsid w:val="003A1EE2"/>
    <w:rsid w:val="003A2003"/>
    <w:rsid w:val="003A2198"/>
    <w:rsid w:val="003A2602"/>
    <w:rsid w:val="003A26E8"/>
    <w:rsid w:val="003A277B"/>
    <w:rsid w:val="003A307C"/>
    <w:rsid w:val="003A34FF"/>
    <w:rsid w:val="003A388E"/>
    <w:rsid w:val="003A3ED2"/>
    <w:rsid w:val="003A3F75"/>
    <w:rsid w:val="003A4145"/>
    <w:rsid w:val="003A41BA"/>
    <w:rsid w:val="003A4687"/>
    <w:rsid w:val="003A4796"/>
    <w:rsid w:val="003A492E"/>
    <w:rsid w:val="003A4C24"/>
    <w:rsid w:val="003A507A"/>
    <w:rsid w:val="003A5208"/>
    <w:rsid w:val="003A5E54"/>
    <w:rsid w:val="003A5EBD"/>
    <w:rsid w:val="003A60E0"/>
    <w:rsid w:val="003A654A"/>
    <w:rsid w:val="003A6663"/>
    <w:rsid w:val="003A66DC"/>
    <w:rsid w:val="003A68D6"/>
    <w:rsid w:val="003A69A8"/>
    <w:rsid w:val="003A7561"/>
    <w:rsid w:val="003A7602"/>
    <w:rsid w:val="003A7752"/>
    <w:rsid w:val="003A78C4"/>
    <w:rsid w:val="003B00C5"/>
    <w:rsid w:val="003B0218"/>
    <w:rsid w:val="003B0399"/>
    <w:rsid w:val="003B09A8"/>
    <w:rsid w:val="003B0E65"/>
    <w:rsid w:val="003B13A4"/>
    <w:rsid w:val="003B1D52"/>
    <w:rsid w:val="003B242E"/>
    <w:rsid w:val="003B2638"/>
    <w:rsid w:val="003B2A19"/>
    <w:rsid w:val="003B2B12"/>
    <w:rsid w:val="003B2E51"/>
    <w:rsid w:val="003B2F5F"/>
    <w:rsid w:val="003B3A74"/>
    <w:rsid w:val="003B3FCB"/>
    <w:rsid w:val="003B4070"/>
    <w:rsid w:val="003B417D"/>
    <w:rsid w:val="003B4874"/>
    <w:rsid w:val="003B4CBA"/>
    <w:rsid w:val="003B5D5A"/>
    <w:rsid w:val="003B5F03"/>
    <w:rsid w:val="003B6209"/>
    <w:rsid w:val="003B629D"/>
    <w:rsid w:val="003B65C7"/>
    <w:rsid w:val="003B747C"/>
    <w:rsid w:val="003B7CB9"/>
    <w:rsid w:val="003B7CF4"/>
    <w:rsid w:val="003B7DA0"/>
    <w:rsid w:val="003B7FC5"/>
    <w:rsid w:val="003C031F"/>
    <w:rsid w:val="003C053E"/>
    <w:rsid w:val="003C0656"/>
    <w:rsid w:val="003C088C"/>
    <w:rsid w:val="003C0A93"/>
    <w:rsid w:val="003C0C30"/>
    <w:rsid w:val="003C0D0E"/>
    <w:rsid w:val="003C0DEF"/>
    <w:rsid w:val="003C11FD"/>
    <w:rsid w:val="003C1697"/>
    <w:rsid w:val="003C17DB"/>
    <w:rsid w:val="003C1BB9"/>
    <w:rsid w:val="003C1F44"/>
    <w:rsid w:val="003C20AB"/>
    <w:rsid w:val="003C20C3"/>
    <w:rsid w:val="003C21A0"/>
    <w:rsid w:val="003C22A4"/>
    <w:rsid w:val="003C2817"/>
    <w:rsid w:val="003C2DCA"/>
    <w:rsid w:val="003C312A"/>
    <w:rsid w:val="003C35C5"/>
    <w:rsid w:val="003C3EB3"/>
    <w:rsid w:val="003C429E"/>
    <w:rsid w:val="003C4A14"/>
    <w:rsid w:val="003C4ACC"/>
    <w:rsid w:val="003C4BC6"/>
    <w:rsid w:val="003C4E59"/>
    <w:rsid w:val="003C548B"/>
    <w:rsid w:val="003C554C"/>
    <w:rsid w:val="003C5B99"/>
    <w:rsid w:val="003C5C94"/>
    <w:rsid w:val="003C5D4F"/>
    <w:rsid w:val="003C5E6F"/>
    <w:rsid w:val="003C668F"/>
    <w:rsid w:val="003C672C"/>
    <w:rsid w:val="003C6A22"/>
    <w:rsid w:val="003C6F75"/>
    <w:rsid w:val="003C7149"/>
    <w:rsid w:val="003C790C"/>
    <w:rsid w:val="003C7DF1"/>
    <w:rsid w:val="003D0241"/>
    <w:rsid w:val="003D032F"/>
    <w:rsid w:val="003D0360"/>
    <w:rsid w:val="003D0C16"/>
    <w:rsid w:val="003D12D4"/>
    <w:rsid w:val="003D19AF"/>
    <w:rsid w:val="003D1CC0"/>
    <w:rsid w:val="003D1E94"/>
    <w:rsid w:val="003D1F5B"/>
    <w:rsid w:val="003D20CA"/>
    <w:rsid w:val="003D22F5"/>
    <w:rsid w:val="003D278A"/>
    <w:rsid w:val="003D2B33"/>
    <w:rsid w:val="003D2D10"/>
    <w:rsid w:val="003D3647"/>
    <w:rsid w:val="003D39B3"/>
    <w:rsid w:val="003D3FDE"/>
    <w:rsid w:val="003D424D"/>
    <w:rsid w:val="003D47A3"/>
    <w:rsid w:val="003D47CD"/>
    <w:rsid w:val="003D50C9"/>
    <w:rsid w:val="003D5682"/>
    <w:rsid w:val="003D59BE"/>
    <w:rsid w:val="003D5AF5"/>
    <w:rsid w:val="003D5BA1"/>
    <w:rsid w:val="003D6B63"/>
    <w:rsid w:val="003D6C00"/>
    <w:rsid w:val="003D6CAF"/>
    <w:rsid w:val="003D6E67"/>
    <w:rsid w:val="003E0161"/>
    <w:rsid w:val="003E019F"/>
    <w:rsid w:val="003E0B73"/>
    <w:rsid w:val="003E113E"/>
    <w:rsid w:val="003E1281"/>
    <w:rsid w:val="003E193D"/>
    <w:rsid w:val="003E2A05"/>
    <w:rsid w:val="003E2B77"/>
    <w:rsid w:val="003E2F72"/>
    <w:rsid w:val="003E39CA"/>
    <w:rsid w:val="003E3C53"/>
    <w:rsid w:val="003E3DC8"/>
    <w:rsid w:val="003E3E6E"/>
    <w:rsid w:val="003E4092"/>
    <w:rsid w:val="003E41A1"/>
    <w:rsid w:val="003E46D3"/>
    <w:rsid w:val="003E4A38"/>
    <w:rsid w:val="003E4A7A"/>
    <w:rsid w:val="003E4C10"/>
    <w:rsid w:val="003E4C39"/>
    <w:rsid w:val="003E4E6F"/>
    <w:rsid w:val="003E522C"/>
    <w:rsid w:val="003E5438"/>
    <w:rsid w:val="003E5752"/>
    <w:rsid w:val="003E5E45"/>
    <w:rsid w:val="003E610F"/>
    <w:rsid w:val="003E61CE"/>
    <w:rsid w:val="003E6562"/>
    <w:rsid w:val="003E6638"/>
    <w:rsid w:val="003E6746"/>
    <w:rsid w:val="003E68C7"/>
    <w:rsid w:val="003E68F9"/>
    <w:rsid w:val="003E68FB"/>
    <w:rsid w:val="003E6A12"/>
    <w:rsid w:val="003E7359"/>
    <w:rsid w:val="003E78E4"/>
    <w:rsid w:val="003E7BB6"/>
    <w:rsid w:val="003E7E31"/>
    <w:rsid w:val="003F0136"/>
    <w:rsid w:val="003F0200"/>
    <w:rsid w:val="003F02B1"/>
    <w:rsid w:val="003F0885"/>
    <w:rsid w:val="003F0FBC"/>
    <w:rsid w:val="003F12F2"/>
    <w:rsid w:val="003F1589"/>
    <w:rsid w:val="003F28E4"/>
    <w:rsid w:val="003F2C14"/>
    <w:rsid w:val="003F2E82"/>
    <w:rsid w:val="003F3726"/>
    <w:rsid w:val="003F37A0"/>
    <w:rsid w:val="003F3852"/>
    <w:rsid w:val="003F3AA3"/>
    <w:rsid w:val="003F4C07"/>
    <w:rsid w:val="003F4E8B"/>
    <w:rsid w:val="003F4F4C"/>
    <w:rsid w:val="003F51E0"/>
    <w:rsid w:val="003F5215"/>
    <w:rsid w:val="003F553F"/>
    <w:rsid w:val="003F55D3"/>
    <w:rsid w:val="003F57B0"/>
    <w:rsid w:val="003F59EF"/>
    <w:rsid w:val="003F5BBA"/>
    <w:rsid w:val="003F5E43"/>
    <w:rsid w:val="003F6266"/>
    <w:rsid w:val="003F6827"/>
    <w:rsid w:val="003F7473"/>
    <w:rsid w:val="004002B9"/>
    <w:rsid w:val="00400375"/>
    <w:rsid w:val="00400C30"/>
    <w:rsid w:val="004011CD"/>
    <w:rsid w:val="00401641"/>
    <w:rsid w:val="00401DFA"/>
    <w:rsid w:val="00402587"/>
    <w:rsid w:val="00402685"/>
    <w:rsid w:val="00402861"/>
    <w:rsid w:val="004029AB"/>
    <w:rsid w:val="00402A41"/>
    <w:rsid w:val="00402E1A"/>
    <w:rsid w:val="00402EEE"/>
    <w:rsid w:val="004032BE"/>
    <w:rsid w:val="004034A6"/>
    <w:rsid w:val="0040354F"/>
    <w:rsid w:val="00403719"/>
    <w:rsid w:val="00403A70"/>
    <w:rsid w:val="00403F8E"/>
    <w:rsid w:val="0040433C"/>
    <w:rsid w:val="004043F9"/>
    <w:rsid w:val="004044DB"/>
    <w:rsid w:val="0040475B"/>
    <w:rsid w:val="00404802"/>
    <w:rsid w:val="00404CD4"/>
    <w:rsid w:val="00404F78"/>
    <w:rsid w:val="0040517C"/>
    <w:rsid w:val="004052E1"/>
    <w:rsid w:val="00405B80"/>
    <w:rsid w:val="00406AE1"/>
    <w:rsid w:val="00406BED"/>
    <w:rsid w:val="0040771A"/>
    <w:rsid w:val="0040775F"/>
    <w:rsid w:val="004078C2"/>
    <w:rsid w:val="0040793B"/>
    <w:rsid w:val="00407DC3"/>
    <w:rsid w:val="00407E1B"/>
    <w:rsid w:val="0041031D"/>
    <w:rsid w:val="00410AAF"/>
    <w:rsid w:val="00410B82"/>
    <w:rsid w:val="00410CD4"/>
    <w:rsid w:val="004115A7"/>
    <w:rsid w:val="00411791"/>
    <w:rsid w:val="00411B23"/>
    <w:rsid w:val="00411CD0"/>
    <w:rsid w:val="00411ECE"/>
    <w:rsid w:val="00411F55"/>
    <w:rsid w:val="00411FE2"/>
    <w:rsid w:val="00412C51"/>
    <w:rsid w:val="00412F0C"/>
    <w:rsid w:val="00413085"/>
    <w:rsid w:val="004130F7"/>
    <w:rsid w:val="004134F8"/>
    <w:rsid w:val="00413822"/>
    <w:rsid w:val="004147D4"/>
    <w:rsid w:val="00414842"/>
    <w:rsid w:val="004148DE"/>
    <w:rsid w:val="004150D0"/>
    <w:rsid w:val="0041549E"/>
    <w:rsid w:val="00415610"/>
    <w:rsid w:val="0041587D"/>
    <w:rsid w:val="00415C22"/>
    <w:rsid w:val="00415C47"/>
    <w:rsid w:val="004161CF"/>
    <w:rsid w:val="00416206"/>
    <w:rsid w:val="004166F0"/>
    <w:rsid w:val="004167E6"/>
    <w:rsid w:val="00417991"/>
    <w:rsid w:val="00417C27"/>
    <w:rsid w:val="00420251"/>
    <w:rsid w:val="004202EC"/>
    <w:rsid w:val="00420935"/>
    <w:rsid w:val="00422138"/>
    <w:rsid w:val="004225A9"/>
    <w:rsid w:val="00422718"/>
    <w:rsid w:val="004227B6"/>
    <w:rsid w:val="00422F12"/>
    <w:rsid w:val="00422F9F"/>
    <w:rsid w:val="00423298"/>
    <w:rsid w:val="00423305"/>
    <w:rsid w:val="0042344B"/>
    <w:rsid w:val="00423974"/>
    <w:rsid w:val="00423BF6"/>
    <w:rsid w:val="00423DB9"/>
    <w:rsid w:val="00424147"/>
    <w:rsid w:val="00424290"/>
    <w:rsid w:val="00424405"/>
    <w:rsid w:val="004244EB"/>
    <w:rsid w:val="0042479F"/>
    <w:rsid w:val="004253CC"/>
    <w:rsid w:val="00425AE1"/>
    <w:rsid w:val="00426532"/>
    <w:rsid w:val="0042684D"/>
    <w:rsid w:val="00426B5D"/>
    <w:rsid w:val="004273DD"/>
    <w:rsid w:val="00427EBD"/>
    <w:rsid w:val="004303B6"/>
    <w:rsid w:val="00430D65"/>
    <w:rsid w:val="00431080"/>
    <w:rsid w:val="004314E8"/>
    <w:rsid w:val="00431590"/>
    <w:rsid w:val="00431AFC"/>
    <w:rsid w:val="00432024"/>
    <w:rsid w:val="004332EC"/>
    <w:rsid w:val="0043336B"/>
    <w:rsid w:val="00433E11"/>
    <w:rsid w:val="0043495F"/>
    <w:rsid w:val="00434A6D"/>
    <w:rsid w:val="00434B33"/>
    <w:rsid w:val="00435B18"/>
    <w:rsid w:val="00437604"/>
    <w:rsid w:val="004379A6"/>
    <w:rsid w:val="00437D52"/>
    <w:rsid w:val="00440250"/>
    <w:rsid w:val="00440767"/>
    <w:rsid w:val="004407EA"/>
    <w:rsid w:val="00440822"/>
    <w:rsid w:val="004409C4"/>
    <w:rsid w:val="00440A44"/>
    <w:rsid w:val="00440B2E"/>
    <w:rsid w:val="00440E9D"/>
    <w:rsid w:val="00441261"/>
    <w:rsid w:val="004416AE"/>
    <w:rsid w:val="00441927"/>
    <w:rsid w:val="00441B33"/>
    <w:rsid w:val="004427F0"/>
    <w:rsid w:val="00442A6A"/>
    <w:rsid w:val="00442E91"/>
    <w:rsid w:val="004436D9"/>
    <w:rsid w:val="00444012"/>
    <w:rsid w:val="004443C5"/>
    <w:rsid w:val="00444913"/>
    <w:rsid w:val="00444A82"/>
    <w:rsid w:val="00445505"/>
    <w:rsid w:val="004457C2"/>
    <w:rsid w:val="00445891"/>
    <w:rsid w:val="004458E4"/>
    <w:rsid w:val="00445A95"/>
    <w:rsid w:val="00445FA4"/>
    <w:rsid w:val="00446408"/>
    <w:rsid w:val="00446437"/>
    <w:rsid w:val="004468C5"/>
    <w:rsid w:val="00446EB8"/>
    <w:rsid w:val="00446EBE"/>
    <w:rsid w:val="00446F16"/>
    <w:rsid w:val="00447302"/>
    <w:rsid w:val="00450226"/>
    <w:rsid w:val="00450966"/>
    <w:rsid w:val="004511F1"/>
    <w:rsid w:val="00451DAF"/>
    <w:rsid w:val="004530CD"/>
    <w:rsid w:val="004533BF"/>
    <w:rsid w:val="00453754"/>
    <w:rsid w:val="00453918"/>
    <w:rsid w:val="0045428B"/>
    <w:rsid w:val="004546A9"/>
    <w:rsid w:val="00454A65"/>
    <w:rsid w:val="00454B29"/>
    <w:rsid w:val="00454D2D"/>
    <w:rsid w:val="004550EF"/>
    <w:rsid w:val="0045585C"/>
    <w:rsid w:val="00455BC7"/>
    <w:rsid w:val="004561C8"/>
    <w:rsid w:val="00456CBC"/>
    <w:rsid w:val="00456E71"/>
    <w:rsid w:val="00457167"/>
    <w:rsid w:val="00457E75"/>
    <w:rsid w:val="004601E0"/>
    <w:rsid w:val="0046028B"/>
    <w:rsid w:val="00460353"/>
    <w:rsid w:val="0046073C"/>
    <w:rsid w:val="00460D97"/>
    <w:rsid w:val="00460EA1"/>
    <w:rsid w:val="00461070"/>
    <w:rsid w:val="0046129E"/>
    <w:rsid w:val="00461AA1"/>
    <w:rsid w:val="00461C92"/>
    <w:rsid w:val="00462030"/>
    <w:rsid w:val="004623CF"/>
    <w:rsid w:val="004624AA"/>
    <w:rsid w:val="00463073"/>
    <w:rsid w:val="00463C3F"/>
    <w:rsid w:val="00463CBB"/>
    <w:rsid w:val="00463FC8"/>
    <w:rsid w:val="00464616"/>
    <w:rsid w:val="004648CD"/>
    <w:rsid w:val="00464AF5"/>
    <w:rsid w:val="00464B3C"/>
    <w:rsid w:val="00464F42"/>
    <w:rsid w:val="0046503C"/>
    <w:rsid w:val="00465177"/>
    <w:rsid w:val="00465510"/>
    <w:rsid w:val="004658EF"/>
    <w:rsid w:val="004659BA"/>
    <w:rsid w:val="0046614F"/>
    <w:rsid w:val="00466180"/>
    <w:rsid w:val="0046671E"/>
    <w:rsid w:val="0046738B"/>
    <w:rsid w:val="00467427"/>
    <w:rsid w:val="00467D3B"/>
    <w:rsid w:val="00467E9E"/>
    <w:rsid w:val="004700C0"/>
    <w:rsid w:val="00470507"/>
    <w:rsid w:val="00470768"/>
    <w:rsid w:val="00470BE9"/>
    <w:rsid w:val="00471036"/>
    <w:rsid w:val="00471384"/>
    <w:rsid w:val="00471468"/>
    <w:rsid w:val="0047152F"/>
    <w:rsid w:val="00471962"/>
    <w:rsid w:val="00471D36"/>
    <w:rsid w:val="004722AD"/>
    <w:rsid w:val="00472401"/>
    <w:rsid w:val="00472645"/>
    <w:rsid w:val="00472A2E"/>
    <w:rsid w:val="00472B4E"/>
    <w:rsid w:val="00472C0B"/>
    <w:rsid w:val="00472C98"/>
    <w:rsid w:val="0047345A"/>
    <w:rsid w:val="00473620"/>
    <w:rsid w:val="00473C45"/>
    <w:rsid w:val="00473FCC"/>
    <w:rsid w:val="004742D6"/>
    <w:rsid w:val="00474760"/>
    <w:rsid w:val="00474974"/>
    <w:rsid w:val="00475786"/>
    <w:rsid w:val="0047653D"/>
    <w:rsid w:val="00476F8B"/>
    <w:rsid w:val="00477112"/>
    <w:rsid w:val="00477511"/>
    <w:rsid w:val="00477934"/>
    <w:rsid w:val="00477E16"/>
    <w:rsid w:val="004800A4"/>
    <w:rsid w:val="004806D4"/>
    <w:rsid w:val="004807F0"/>
    <w:rsid w:val="00480DE9"/>
    <w:rsid w:val="00480DFD"/>
    <w:rsid w:val="0048144E"/>
    <w:rsid w:val="004814E2"/>
    <w:rsid w:val="00481651"/>
    <w:rsid w:val="00481759"/>
    <w:rsid w:val="00481EC5"/>
    <w:rsid w:val="0048248D"/>
    <w:rsid w:val="004826FF"/>
    <w:rsid w:val="00482738"/>
    <w:rsid w:val="0048277D"/>
    <w:rsid w:val="004829FE"/>
    <w:rsid w:val="00482D13"/>
    <w:rsid w:val="0048312D"/>
    <w:rsid w:val="00484C11"/>
    <w:rsid w:val="00484C29"/>
    <w:rsid w:val="00486805"/>
    <w:rsid w:val="00486833"/>
    <w:rsid w:val="00486FD9"/>
    <w:rsid w:val="00486FE1"/>
    <w:rsid w:val="0048720A"/>
    <w:rsid w:val="0048739D"/>
    <w:rsid w:val="00487E3B"/>
    <w:rsid w:val="00490091"/>
    <w:rsid w:val="00490BC5"/>
    <w:rsid w:val="00490DE1"/>
    <w:rsid w:val="00490EC8"/>
    <w:rsid w:val="00491655"/>
    <w:rsid w:val="004918B4"/>
    <w:rsid w:val="00491D65"/>
    <w:rsid w:val="00491D97"/>
    <w:rsid w:val="00491F8E"/>
    <w:rsid w:val="004920DB"/>
    <w:rsid w:val="00492139"/>
    <w:rsid w:val="004921F5"/>
    <w:rsid w:val="0049240E"/>
    <w:rsid w:val="0049244F"/>
    <w:rsid w:val="004924ED"/>
    <w:rsid w:val="0049293C"/>
    <w:rsid w:val="00492D8D"/>
    <w:rsid w:val="0049313F"/>
    <w:rsid w:val="004938D4"/>
    <w:rsid w:val="00493A63"/>
    <w:rsid w:val="00493F7B"/>
    <w:rsid w:val="00494126"/>
    <w:rsid w:val="004946F3"/>
    <w:rsid w:val="00494B61"/>
    <w:rsid w:val="00495628"/>
    <w:rsid w:val="00496012"/>
    <w:rsid w:val="00496047"/>
    <w:rsid w:val="004970D7"/>
    <w:rsid w:val="0049761B"/>
    <w:rsid w:val="004977DB"/>
    <w:rsid w:val="00497C73"/>
    <w:rsid w:val="004A00DA"/>
    <w:rsid w:val="004A0E9F"/>
    <w:rsid w:val="004A10ED"/>
    <w:rsid w:val="004A1437"/>
    <w:rsid w:val="004A1451"/>
    <w:rsid w:val="004A17FE"/>
    <w:rsid w:val="004A18D0"/>
    <w:rsid w:val="004A1B07"/>
    <w:rsid w:val="004A1F2B"/>
    <w:rsid w:val="004A21A8"/>
    <w:rsid w:val="004A2830"/>
    <w:rsid w:val="004A30A8"/>
    <w:rsid w:val="004A38AA"/>
    <w:rsid w:val="004A3C43"/>
    <w:rsid w:val="004A4083"/>
    <w:rsid w:val="004A42A4"/>
    <w:rsid w:val="004A433B"/>
    <w:rsid w:val="004A4B51"/>
    <w:rsid w:val="004A4CF4"/>
    <w:rsid w:val="004A4E6C"/>
    <w:rsid w:val="004A5473"/>
    <w:rsid w:val="004A5590"/>
    <w:rsid w:val="004A5C00"/>
    <w:rsid w:val="004A5F66"/>
    <w:rsid w:val="004A6897"/>
    <w:rsid w:val="004A7647"/>
    <w:rsid w:val="004A79BD"/>
    <w:rsid w:val="004A7E5E"/>
    <w:rsid w:val="004B01CD"/>
    <w:rsid w:val="004B039E"/>
    <w:rsid w:val="004B06C4"/>
    <w:rsid w:val="004B0961"/>
    <w:rsid w:val="004B0CEC"/>
    <w:rsid w:val="004B0DE5"/>
    <w:rsid w:val="004B0F44"/>
    <w:rsid w:val="004B1598"/>
    <w:rsid w:val="004B1664"/>
    <w:rsid w:val="004B1C2F"/>
    <w:rsid w:val="004B1EC9"/>
    <w:rsid w:val="004B293E"/>
    <w:rsid w:val="004B3065"/>
    <w:rsid w:val="004B30B5"/>
    <w:rsid w:val="004B32E7"/>
    <w:rsid w:val="004B36E8"/>
    <w:rsid w:val="004B3A2D"/>
    <w:rsid w:val="004B40BC"/>
    <w:rsid w:val="004B41F6"/>
    <w:rsid w:val="004B42DE"/>
    <w:rsid w:val="004B4885"/>
    <w:rsid w:val="004B490F"/>
    <w:rsid w:val="004B4A5F"/>
    <w:rsid w:val="004B4AF3"/>
    <w:rsid w:val="004B4C09"/>
    <w:rsid w:val="004B5729"/>
    <w:rsid w:val="004B57E6"/>
    <w:rsid w:val="004B6249"/>
    <w:rsid w:val="004B6423"/>
    <w:rsid w:val="004B69D6"/>
    <w:rsid w:val="004B70BD"/>
    <w:rsid w:val="004B72D0"/>
    <w:rsid w:val="004B7566"/>
    <w:rsid w:val="004B7C33"/>
    <w:rsid w:val="004B7D29"/>
    <w:rsid w:val="004C0218"/>
    <w:rsid w:val="004C059A"/>
    <w:rsid w:val="004C0ACC"/>
    <w:rsid w:val="004C0FCB"/>
    <w:rsid w:val="004C1019"/>
    <w:rsid w:val="004C12AB"/>
    <w:rsid w:val="004C12B7"/>
    <w:rsid w:val="004C17E3"/>
    <w:rsid w:val="004C1E4C"/>
    <w:rsid w:val="004C3C08"/>
    <w:rsid w:val="004C4513"/>
    <w:rsid w:val="004C4712"/>
    <w:rsid w:val="004C4A5D"/>
    <w:rsid w:val="004C4E81"/>
    <w:rsid w:val="004C5891"/>
    <w:rsid w:val="004C6435"/>
    <w:rsid w:val="004C676D"/>
    <w:rsid w:val="004C67E6"/>
    <w:rsid w:val="004C6BA5"/>
    <w:rsid w:val="004C7296"/>
    <w:rsid w:val="004C7515"/>
    <w:rsid w:val="004C7552"/>
    <w:rsid w:val="004D0047"/>
    <w:rsid w:val="004D0116"/>
    <w:rsid w:val="004D01A8"/>
    <w:rsid w:val="004D0599"/>
    <w:rsid w:val="004D1143"/>
    <w:rsid w:val="004D15FA"/>
    <w:rsid w:val="004D17C9"/>
    <w:rsid w:val="004D1C65"/>
    <w:rsid w:val="004D1D4E"/>
    <w:rsid w:val="004D1F43"/>
    <w:rsid w:val="004D2122"/>
    <w:rsid w:val="004D2219"/>
    <w:rsid w:val="004D2F7C"/>
    <w:rsid w:val="004D3165"/>
    <w:rsid w:val="004D31FD"/>
    <w:rsid w:val="004D3277"/>
    <w:rsid w:val="004D3324"/>
    <w:rsid w:val="004D3501"/>
    <w:rsid w:val="004D3596"/>
    <w:rsid w:val="004D3993"/>
    <w:rsid w:val="004D3E5B"/>
    <w:rsid w:val="004D3F75"/>
    <w:rsid w:val="004D3FB2"/>
    <w:rsid w:val="004D4629"/>
    <w:rsid w:val="004D467F"/>
    <w:rsid w:val="004D4B09"/>
    <w:rsid w:val="004D4C8D"/>
    <w:rsid w:val="004D5094"/>
    <w:rsid w:val="004D5123"/>
    <w:rsid w:val="004D5601"/>
    <w:rsid w:val="004D6443"/>
    <w:rsid w:val="004D65A8"/>
    <w:rsid w:val="004D67A2"/>
    <w:rsid w:val="004D6834"/>
    <w:rsid w:val="004D70D3"/>
    <w:rsid w:val="004D7754"/>
    <w:rsid w:val="004D7A38"/>
    <w:rsid w:val="004E075F"/>
    <w:rsid w:val="004E0A5C"/>
    <w:rsid w:val="004E1160"/>
    <w:rsid w:val="004E16C9"/>
    <w:rsid w:val="004E178E"/>
    <w:rsid w:val="004E17E4"/>
    <w:rsid w:val="004E1EF8"/>
    <w:rsid w:val="004E1FF7"/>
    <w:rsid w:val="004E2216"/>
    <w:rsid w:val="004E2465"/>
    <w:rsid w:val="004E2BB3"/>
    <w:rsid w:val="004E3484"/>
    <w:rsid w:val="004E3636"/>
    <w:rsid w:val="004E3E9E"/>
    <w:rsid w:val="004E3FD2"/>
    <w:rsid w:val="004E4117"/>
    <w:rsid w:val="004E411E"/>
    <w:rsid w:val="004E4A2A"/>
    <w:rsid w:val="004E4E59"/>
    <w:rsid w:val="004E51C1"/>
    <w:rsid w:val="004E5273"/>
    <w:rsid w:val="004E5922"/>
    <w:rsid w:val="004E5EF6"/>
    <w:rsid w:val="004E6476"/>
    <w:rsid w:val="004E667F"/>
    <w:rsid w:val="004E68B4"/>
    <w:rsid w:val="004E778A"/>
    <w:rsid w:val="004F0279"/>
    <w:rsid w:val="004F03AF"/>
    <w:rsid w:val="004F0820"/>
    <w:rsid w:val="004F0B78"/>
    <w:rsid w:val="004F1015"/>
    <w:rsid w:val="004F172D"/>
    <w:rsid w:val="004F1BBC"/>
    <w:rsid w:val="004F24BB"/>
    <w:rsid w:val="004F2786"/>
    <w:rsid w:val="004F2C75"/>
    <w:rsid w:val="004F2FDA"/>
    <w:rsid w:val="004F32FC"/>
    <w:rsid w:val="004F3708"/>
    <w:rsid w:val="004F3782"/>
    <w:rsid w:val="004F3B5F"/>
    <w:rsid w:val="004F3E2D"/>
    <w:rsid w:val="004F4143"/>
    <w:rsid w:val="004F442D"/>
    <w:rsid w:val="004F480C"/>
    <w:rsid w:val="004F4E2D"/>
    <w:rsid w:val="004F538E"/>
    <w:rsid w:val="004F561F"/>
    <w:rsid w:val="004F5CA0"/>
    <w:rsid w:val="004F60FE"/>
    <w:rsid w:val="004F6139"/>
    <w:rsid w:val="004F671F"/>
    <w:rsid w:val="004F690E"/>
    <w:rsid w:val="004F6A10"/>
    <w:rsid w:val="004F70EB"/>
    <w:rsid w:val="004F711C"/>
    <w:rsid w:val="004F713E"/>
    <w:rsid w:val="005001EC"/>
    <w:rsid w:val="0050024E"/>
    <w:rsid w:val="00500B8D"/>
    <w:rsid w:val="00500BC8"/>
    <w:rsid w:val="00500E51"/>
    <w:rsid w:val="00501501"/>
    <w:rsid w:val="00501EF2"/>
    <w:rsid w:val="00501F9E"/>
    <w:rsid w:val="005022A5"/>
    <w:rsid w:val="00502928"/>
    <w:rsid w:val="0050295E"/>
    <w:rsid w:val="0050321E"/>
    <w:rsid w:val="00503433"/>
    <w:rsid w:val="00503442"/>
    <w:rsid w:val="0050376E"/>
    <w:rsid w:val="00503776"/>
    <w:rsid w:val="00503DFE"/>
    <w:rsid w:val="00503FB5"/>
    <w:rsid w:val="00504200"/>
    <w:rsid w:val="0050434E"/>
    <w:rsid w:val="005048C2"/>
    <w:rsid w:val="00504979"/>
    <w:rsid w:val="00505DE1"/>
    <w:rsid w:val="00506443"/>
    <w:rsid w:val="00506577"/>
    <w:rsid w:val="005075CF"/>
    <w:rsid w:val="0051017C"/>
    <w:rsid w:val="00510A01"/>
    <w:rsid w:val="00510A06"/>
    <w:rsid w:val="00511075"/>
    <w:rsid w:val="00511786"/>
    <w:rsid w:val="00511A9D"/>
    <w:rsid w:val="00511B4D"/>
    <w:rsid w:val="00511D5F"/>
    <w:rsid w:val="00512734"/>
    <w:rsid w:val="0051284C"/>
    <w:rsid w:val="00512A87"/>
    <w:rsid w:val="0051331C"/>
    <w:rsid w:val="005133F6"/>
    <w:rsid w:val="00513406"/>
    <w:rsid w:val="0051350A"/>
    <w:rsid w:val="005136F7"/>
    <w:rsid w:val="00513802"/>
    <w:rsid w:val="00513AA4"/>
    <w:rsid w:val="00513FB0"/>
    <w:rsid w:val="00514520"/>
    <w:rsid w:val="005149AC"/>
    <w:rsid w:val="00514B06"/>
    <w:rsid w:val="00514EAA"/>
    <w:rsid w:val="00515B4C"/>
    <w:rsid w:val="00515DC3"/>
    <w:rsid w:val="00515E6F"/>
    <w:rsid w:val="005164FB"/>
    <w:rsid w:val="00516510"/>
    <w:rsid w:val="00516F9F"/>
    <w:rsid w:val="00517A0F"/>
    <w:rsid w:val="00517EB1"/>
    <w:rsid w:val="00520155"/>
    <w:rsid w:val="00520238"/>
    <w:rsid w:val="00520641"/>
    <w:rsid w:val="005206BB"/>
    <w:rsid w:val="00520A4B"/>
    <w:rsid w:val="00521576"/>
    <w:rsid w:val="0052168F"/>
    <w:rsid w:val="00521B67"/>
    <w:rsid w:val="00521F90"/>
    <w:rsid w:val="005223BA"/>
    <w:rsid w:val="00522640"/>
    <w:rsid w:val="005227E0"/>
    <w:rsid w:val="00523119"/>
    <w:rsid w:val="005233BB"/>
    <w:rsid w:val="00523786"/>
    <w:rsid w:val="0052391A"/>
    <w:rsid w:val="00523981"/>
    <w:rsid w:val="00523E21"/>
    <w:rsid w:val="005253FF"/>
    <w:rsid w:val="0052566F"/>
    <w:rsid w:val="00525E89"/>
    <w:rsid w:val="00526188"/>
    <w:rsid w:val="0052626B"/>
    <w:rsid w:val="005267D7"/>
    <w:rsid w:val="00526B77"/>
    <w:rsid w:val="00527044"/>
    <w:rsid w:val="00527B8D"/>
    <w:rsid w:val="00527DCD"/>
    <w:rsid w:val="00527F29"/>
    <w:rsid w:val="005304A4"/>
    <w:rsid w:val="00530921"/>
    <w:rsid w:val="00530AB7"/>
    <w:rsid w:val="00530AC9"/>
    <w:rsid w:val="00530FDC"/>
    <w:rsid w:val="005313DB"/>
    <w:rsid w:val="005318AD"/>
    <w:rsid w:val="005325EB"/>
    <w:rsid w:val="005329B0"/>
    <w:rsid w:val="00532F3F"/>
    <w:rsid w:val="00534782"/>
    <w:rsid w:val="00534E0A"/>
    <w:rsid w:val="00535680"/>
    <w:rsid w:val="00536A5A"/>
    <w:rsid w:val="00536B15"/>
    <w:rsid w:val="00536CDB"/>
    <w:rsid w:val="00536FB7"/>
    <w:rsid w:val="005370A7"/>
    <w:rsid w:val="005372E1"/>
    <w:rsid w:val="0053761A"/>
    <w:rsid w:val="00537667"/>
    <w:rsid w:val="00537DAA"/>
    <w:rsid w:val="0054018A"/>
    <w:rsid w:val="00540D20"/>
    <w:rsid w:val="00541008"/>
    <w:rsid w:val="00541489"/>
    <w:rsid w:val="00541A4E"/>
    <w:rsid w:val="00541A69"/>
    <w:rsid w:val="00541B0D"/>
    <w:rsid w:val="00541E68"/>
    <w:rsid w:val="0054202E"/>
    <w:rsid w:val="00542616"/>
    <w:rsid w:val="00542893"/>
    <w:rsid w:val="00543284"/>
    <w:rsid w:val="005432D7"/>
    <w:rsid w:val="005439B0"/>
    <w:rsid w:val="00543D05"/>
    <w:rsid w:val="00544067"/>
    <w:rsid w:val="00544315"/>
    <w:rsid w:val="005443C7"/>
    <w:rsid w:val="005444A4"/>
    <w:rsid w:val="00544A01"/>
    <w:rsid w:val="00544E9D"/>
    <w:rsid w:val="00544ED5"/>
    <w:rsid w:val="0054506A"/>
    <w:rsid w:val="005453EB"/>
    <w:rsid w:val="00545880"/>
    <w:rsid w:val="0054604E"/>
    <w:rsid w:val="00546446"/>
    <w:rsid w:val="00546902"/>
    <w:rsid w:val="00546E20"/>
    <w:rsid w:val="0054733F"/>
    <w:rsid w:val="00547E32"/>
    <w:rsid w:val="00550D2C"/>
    <w:rsid w:val="00551239"/>
    <w:rsid w:val="00551A9D"/>
    <w:rsid w:val="0055267A"/>
    <w:rsid w:val="005529E8"/>
    <w:rsid w:val="00552BBF"/>
    <w:rsid w:val="00553631"/>
    <w:rsid w:val="00553817"/>
    <w:rsid w:val="00553C12"/>
    <w:rsid w:val="00553CDA"/>
    <w:rsid w:val="00553E6A"/>
    <w:rsid w:val="00553E84"/>
    <w:rsid w:val="00553F2D"/>
    <w:rsid w:val="00554028"/>
    <w:rsid w:val="005549D5"/>
    <w:rsid w:val="0055511B"/>
    <w:rsid w:val="00555D78"/>
    <w:rsid w:val="0055606A"/>
    <w:rsid w:val="00556A0E"/>
    <w:rsid w:val="00556A22"/>
    <w:rsid w:val="005574FA"/>
    <w:rsid w:val="005575FB"/>
    <w:rsid w:val="00560249"/>
    <w:rsid w:val="00560562"/>
    <w:rsid w:val="005609AF"/>
    <w:rsid w:val="00560CE0"/>
    <w:rsid w:val="00560EB1"/>
    <w:rsid w:val="00560F11"/>
    <w:rsid w:val="00561525"/>
    <w:rsid w:val="005617DB"/>
    <w:rsid w:val="00561BDC"/>
    <w:rsid w:val="00562119"/>
    <w:rsid w:val="0056253A"/>
    <w:rsid w:val="005626B6"/>
    <w:rsid w:val="00562EE5"/>
    <w:rsid w:val="005630B5"/>
    <w:rsid w:val="0056315F"/>
    <w:rsid w:val="00563CEF"/>
    <w:rsid w:val="00564279"/>
    <w:rsid w:val="0056481F"/>
    <w:rsid w:val="00564FF7"/>
    <w:rsid w:val="00565709"/>
    <w:rsid w:val="005659AF"/>
    <w:rsid w:val="00566EED"/>
    <w:rsid w:val="005679A7"/>
    <w:rsid w:val="00567BF0"/>
    <w:rsid w:val="00567FA2"/>
    <w:rsid w:val="0057086F"/>
    <w:rsid w:val="00570E61"/>
    <w:rsid w:val="005711F5"/>
    <w:rsid w:val="00571208"/>
    <w:rsid w:val="00571B7A"/>
    <w:rsid w:val="00572B38"/>
    <w:rsid w:val="00573526"/>
    <w:rsid w:val="00573C6E"/>
    <w:rsid w:val="005742CD"/>
    <w:rsid w:val="00574B7C"/>
    <w:rsid w:val="00575D89"/>
    <w:rsid w:val="0057703B"/>
    <w:rsid w:val="005772A5"/>
    <w:rsid w:val="005776EB"/>
    <w:rsid w:val="00577F74"/>
    <w:rsid w:val="00580345"/>
    <w:rsid w:val="00580513"/>
    <w:rsid w:val="0058054E"/>
    <w:rsid w:val="00580709"/>
    <w:rsid w:val="00580A42"/>
    <w:rsid w:val="00580BDB"/>
    <w:rsid w:val="00580C01"/>
    <w:rsid w:val="00580EAD"/>
    <w:rsid w:val="005814BE"/>
    <w:rsid w:val="00581500"/>
    <w:rsid w:val="00581594"/>
    <w:rsid w:val="005815F6"/>
    <w:rsid w:val="00581B58"/>
    <w:rsid w:val="0058217D"/>
    <w:rsid w:val="005829F0"/>
    <w:rsid w:val="00582B43"/>
    <w:rsid w:val="00582E9F"/>
    <w:rsid w:val="0058308E"/>
    <w:rsid w:val="005835EA"/>
    <w:rsid w:val="00583FB1"/>
    <w:rsid w:val="0058495C"/>
    <w:rsid w:val="00584BD8"/>
    <w:rsid w:val="0058510D"/>
    <w:rsid w:val="00585221"/>
    <w:rsid w:val="00585727"/>
    <w:rsid w:val="005857EB"/>
    <w:rsid w:val="005859E8"/>
    <w:rsid w:val="00585C3A"/>
    <w:rsid w:val="0058621E"/>
    <w:rsid w:val="005868F6"/>
    <w:rsid w:val="005872D2"/>
    <w:rsid w:val="00587893"/>
    <w:rsid w:val="00587D55"/>
    <w:rsid w:val="00590051"/>
    <w:rsid w:val="0059006A"/>
    <w:rsid w:val="0059023D"/>
    <w:rsid w:val="005909AA"/>
    <w:rsid w:val="00590C43"/>
    <w:rsid w:val="00590CA6"/>
    <w:rsid w:val="00590FDD"/>
    <w:rsid w:val="005918A8"/>
    <w:rsid w:val="00591DA2"/>
    <w:rsid w:val="00592026"/>
    <w:rsid w:val="005920DD"/>
    <w:rsid w:val="00592478"/>
    <w:rsid w:val="00592863"/>
    <w:rsid w:val="005931D8"/>
    <w:rsid w:val="00593921"/>
    <w:rsid w:val="0059418B"/>
    <w:rsid w:val="00594191"/>
    <w:rsid w:val="0059453E"/>
    <w:rsid w:val="00594A07"/>
    <w:rsid w:val="00594D12"/>
    <w:rsid w:val="00595284"/>
    <w:rsid w:val="005953A6"/>
    <w:rsid w:val="00595443"/>
    <w:rsid w:val="00595AA1"/>
    <w:rsid w:val="00595E53"/>
    <w:rsid w:val="00596619"/>
    <w:rsid w:val="00596647"/>
    <w:rsid w:val="00596EBD"/>
    <w:rsid w:val="005971EF"/>
    <w:rsid w:val="0059740A"/>
    <w:rsid w:val="0059744B"/>
    <w:rsid w:val="00597455"/>
    <w:rsid w:val="00597DD2"/>
    <w:rsid w:val="00597EE9"/>
    <w:rsid w:val="005A00B5"/>
    <w:rsid w:val="005A04BE"/>
    <w:rsid w:val="005A04FB"/>
    <w:rsid w:val="005A1004"/>
    <w:rsid w:val="005A1372"/>
    <w:rsid w:val="005A19F8"/>
    <w:rsid w:val="005A1C62"/>
    <w:rsid w:val="005A2584"/>
    <w:rsid w:val="005A2B42"/>
    <w:rsid w:val="005A2DEF"/>
    <w:rsid w:val="005A3341"/>
    <w:rsid w:val="005A338F"/>
    <w:rsid w:val="005A3541"/>
    <w:rsid w:val="005A41D3"/>
    <w:rsid w:val="005A4B2C"/>
    <w:rsid w:val="005A4B3C"/>
    <w:rsid w:val="005A5919"/>
    <w:rsid w:val="005A5EC2"/>
    <w:rsid w:val="005A62D0"/>
    <w:rsid w:val="005A64CC"/>
    <w:rsid w:val="005A660F"/>
    <w:rsid w:val="005A667C"/>
    <w:rsid w:val="005A6E46"/>
    <w:rsid w:val="005A70D1"/>
    <w:rsid w:val="005A7138"/>
    <w:rsid w:val="005A73E7"/>
    <w:rsid w:val="005A76B2"/>
    <w:rsid w:val="005B0089"/>
    <w:rsid w:val="005B0187"/>
    <w:rsid w:val="005B0633"/>
    <w:rsid w:val="005B075E"/>
    <w:rsid w:val="005B19FB"/>
    <w:rsid w:val="005B1F77"/>
    <w:rsid w:val="005B2AC2"/>
    <w:rsid w:val="005B2C42"/>
    <w:rsid w:val="005B2CCB"/>
    <w:rsid w:val="005B2F17"/>
    <w:rsid w:val="005B3336"/>
    <w:rsid w:val="005B3388"/>
    <w:rsid w:val="005B39CE"/>
    <w:rsid w:val="005B456D"/>
    <w:rsid w:val="005B49F3"/>
    <w:rsid w:val="005B4B69"/>
    <w:rsid w:val="005B4C70"/>
    <w:rsid w:val="005B56FD"/>
    <w:rsid w:val="005B5CA0"/>
    <w:rsid w:val="005B68B6"/>
    <w:rsid w:val="005B71D3"/>
    <w:rsid w:val="005B72DC"/>
    <w:rsid w:val="005B7829"/>
    <w:rsid w:val="005C0D92"/>
    <w:rsid w:val="005C0DA9"/>
    <w:rsid w:val="005C0F66"/>
    <w:rsid w:val="005C1073"/>
    <w:rsid w:val="005C1473"/>
    <w:rsid w:val="005C1604"/>
    <w:rsid w:val="005C1706"/>
    <w:rsid w:val="005C21F0"/>
    <w:rsid w:val="005C24EB"/>
    <w:rsid w:val="005C2715"/>
    <w:rsid w:val="005C290D"/>
    <w:rsid w:val="005C2A16"/>
    <w:rsid w:val="005C2D7E"/>
    <w:rsid w:val="005C2E23"/>
    <w:rsid w:val="005C3724"/>
    <w:rsid w:val="005C3A51"/>
    <w:rsid w:val="005C3F0B"/>
    <w:rsid w:val="005C47C0"/>
    <w:rsid w:val="005C4A05"/>
    <w:rsid w:val="005C4B80"/>
    <w:rsid w:val="005C4C38"/>
    <w:rsid w:val="005C5028"/>
    <w:rsid w:val="005C55E0"/>
    <w:rsid w:val="005C583E"/>
    <w:rsid w:val="005C5A12"/>
    <w:rsid w:val="005C5D46"/>
    <w:rsid w:val="005C5DCD"/>
    <w:rsid w:val="005C5E33"/>
    <w:rsid w:val="005C65A4"/>
    <w:rsid w:val="005C6866"/>
    <w:rsid w:val="005C69B5"/>
    <w:rsid w:val="005C6EF7"/>
    <w:rsid w:val="005C6F06"/>
    <w:rsid w:val="005C73A8"/>
    <w:rsid w:val="005C756C"/>
    <w:rsid w:val="005D0207"/>
    <w:rsid w:val="005D0378"/>
    <w:rsid w:val="005D08EB"/>
    <w:rsid w:val="005D0F8C"/>
    <w:rsid w:val="005D175F"/>
    <w:rsid w:val="005D1B67"/>
    <w:rsid w:val="005D2A36"/>
    <w:rsid w:val="005D3A66"/>
    <w:rsid w:val="005D3B9C"/>
    <w:rsid w:val="005D42B2"/>
    <w:rsid w:val="005D47A7"/>
    <w:rsid w:val="005D4DBC"/>
    <w:rsid w:val="005D4FD5"/>
    <w:rsid w:val="005D52D3"/>
    <w:rsid w:val="005D5A6F"/>
    <w:rsid w:val="005D5E5D"/>
    <w:rsid w:val="005D62B8"/>
    <w:rsid w:val="005D660D"/>
    <w:rsid w:val="005D68A0"/>
    <w:rsid w:val="005D6F10"/>
    <w:rsid w:val="005D7B86"/>
    <w:rsid w:val="005E03D1"/>
    <w:rsid w:val="005E1303"/>
    <w:rsid w:val="005E14DF"/>
    <w:rsid w:val="005E18B5"/>
    <w:rsid w:val="005E29DE"/>
    <w:rsid w:val="005E2DA3"/>
    <w:rsid w:val="005E2EA4"/>
    <w:rsid w:val="005E343C"/>
    <w:rsid w:val="005E3D46"/>
    <w:rsid w:val="005E402C"/>
    <w:rsid w:val="005E41DD"/>
    <w:rsid w:val="005E42D7"/>
    <w:rsid w:val="005E469C"/>
    <w:rsid w:val="005E4E49"/>
    <w:rsid w:val="005E506E"/>
    <w:rsid w:val="005E5453"/>
    <w:rsid w:val="005E5C74"/>
    <w:rsid w:val="005E5E6A"/>
    <w:rsid w:val="005E5ED1"/>
    <w:rsid w:val="005E61A3"/>
    <w:rsid w:val="005E6D82"/>
    <w:rsid w:val="005E6F16"/>
    <w:rsid w:val="005E6FDA"/>
    <w:rsid w:val="005E7C33"/>
    <w:rsid w:val="005F0095"/>
    <w:rsid w:val="005F00DB"/>
    <w:rsid w:val="005F01B4"/>
    <w:rsid w:val="005F02D6"/>
    <w:rsid w:val="005F0418"/>
    <w:rsid w:val="005F0B15"/>
    <w:rsid w:val="005F1103"/>
    <w:rsid w:val="005F1737"/>
    <w:rsid w:val="005F1DA9"/>
    <w:rsid w:val="005F22B7"/>
    <w:rsid w:val="005F233C"/>
    <w:rsid w:val="005F26D2"/>
    <w:rsid w:val="005F2838"/>
    <w:rsid w:val="005F335B"/>
    <w:rsid w:val="005F3D34"/>
    <w:rsid w:val="005F3E2B"/>
    <w:rsid w:val="005F3F3B"/>
    <w:rsid w:val="005F43A3"/>
    <w:rsid w:val="005F4859"/>
    <w:rsid w:val="005F497E"/>
    <w:rsid w:val="005F4EA3"/>
    <w:rsid w:val="005F5218"/>
    <w:rsid w:val="005F530E"/>
    <w:rsid w:val="005F589F"/>
    <w:rsid w:val="005F59D6"/>
    <w:rsid w:val="005F5A36"/>
    <w:rsid w:val="005F5BDC"/>
    <w:rsid w:val="005F65E6"/>
    <w:rsid w:val="005F69C2"/>
    <w:rsid w:val="005F7367"/>
    <w:rsid w:val="005F737D"/>
    <w:rsid w:val="005F7A12"/>
    <w:rsid w:val="005F7CCA"/>
    <w:rsid w:val="005F7CF7"/>
    <w:rsid w:val="005F7ED3"/>
    <w:rsid w:val="0060013E"/>
    <w:rsid w:val="006006DC"/>
    <w:rsid w:val="00600A07"/>
    <w:rsid w:val="00600DED"/>
    <w:rsid w:val="00600EB8"/>
    <w:rsid w:val="006011E2"/>
    <w:rsid w:val="00601312"/>
    <w:rsid w:val="00601678"/>
    <w:rsid w:val="00601828"/>
    <w:rsid w:val="00601AB2"/>
    <w:rsid w:val="00601AFC"/>
    <w:rsid w:val="00602022"/>
    <w:rsid w:val="00602577"/>
    <w:rsid w:val="00602A35"/>
    <w:rsid w:val="00602FDE"/>
    <w:rsid w:val="00603040"/>
    <w:rsid w:val="0060347A"/>
    <w:rsid w:val="00603B50"/>
    <w:rsid w:val="0060454B"/>
    <w:rsid w:val="00604997"/>
    <w:rsid w:val="006049CD"/>
    <w:rsid w:val="00604C5A"/>
    <w:rsid w:val="00604E2D"/>
    <w:rsid w:val="00605722"/>
    <w:rsid w:val="006059D1"/>
    <w:rsid w:val="00605B38"/>
    <w:rsid w:val="00605E5F"/>
    <w:rsid w:val="00606295"/>
    <w:rsid w:val="00606355"/>
    <w:rsid w:val="00607316"/>
    <w:rsid w:val="00607641"/>
    <w:rsid w:val="00607679"/>
    <w:rsid w:val="006078A3"/>
    <w:rsid w:val="00607969"/>
    <w:rsid w:val="00607E5A"/>
    <w:rsid w:val="00610D8D"/>
    <w:rsid w:val="006111C2"/>
    <w:rsid w:val="00611412"/>
    <w:rsid w:val="006115F0"/>
    <w:rsid w:val="00611989"/>
    <w:rsid w:val="00611A4A"/>
    <w:rsid w:val="00611DE1"/>
    <w:rsid w:val="00611F3C"/>
    <w:rsid w:val="00611F62"/>
    <w:rsid w:val="00612012"/>
    <w:rsid w:val="0061235A"/>
    <w:rsid w:val="0061248E"/>
    <w:rsid w:val="006138C4"/>
    <w:rsid w:val="006139B9"/>
    <w:rsid w:val="00613BAB"/>
    <w:rsid w:val="00613D05"/>
    <w:rsid w:val="00613DAD"/>
    <w:rsid w:val="00613F1D"/>
    <w:rsid w:val="00614291"/>
    <w:rsid w:val="0061474F"/>
    <w:rsid w:val="00614EAD"/>
    <w:rsid w:val="0061549E"/>
    <w:rsid w:val="00615712"/>
    <w:rsid w:val="0061571E"/>
    <w:rsid w:val="00615B40"/>
    <w:rsid w:val="00615C3D"/>
    <w:rsid w:val="00615D9F"/>
    <w:rsid w:val="00616519"/>
    <w:rsid w:val="00616822"/>
    <w:rsid w:val="0061784E"/>
    <w:rsid w:val="0062035A"/>
    <w:rsid w:val="006213CC"/>
    <w:rsid w:val="00621525"/>
    <w:rsid w:val="00621609"/>
    <w:rsid w:val="0062196D"/>
    <w:rsid w:val="00621A5A"/>
    <w:rsid w:val="00621A9E"/>
    <w:rsid w:val="00622191"/>
    <w:rsid w:val="00622635"/>
    <w:rsid w:val="00622EE6"/>
    <w:rsid w:val="006234F1"/>
    <w:rsid w:val="00623656"/>
    <w:rsid w:val="00623B0D"/>
    <w:rsid w:val="00623CAA"/>
    <w:rsid w:val="00623DA3"/>
    <w:rsid w:val="00624450"/>
    <w:rsid w:val="00624746"/>
    <w:rsid w:val="00624795"/>
    <w:rsid w:val="00625217"/>
    <w:rsid w:val="00625267"/>
    <w:rsid w:val="0062545A"/>
    <w:rsid w:val="00625A6B"/>
    <w:rsid w:val="00625F7B"/>
    <w:rsid w:val="00626043"/>
    <w:rsid w:val="0062632F"/>
    <w:rsid w:val="00626374"/>
    <w:rsid w:val="00626776"/>
    <w:rsid w:val="0062685F"/>
    <w:rsid w:val="00626F47"/>
    <w:rsid w:val="0062750E"/>
    <w:rsid w:val="00627A10"/>
    <w:rsid w:val="006300EF"/>
    <w:rsid w:val="00630176"/>
    <w:rsid w:val="006303A9"/>
    <w:rsid w:val="0063055E"/>
    <w:rsid w:val="00630C97"/>
    <w:rsid w:val="00630D34"/>
    <w:rsid w:val="00631205"/>
    <w:rsid w:val="00631381"/>
    <w:rsid w:val="006324F2"/>
    <w:rsid w:val="006331BD"/>
    <w:rsid w:val="006337CF"/>
    <w:rsid w:val="0063411C"/>
    <w:rsid w:val="00634650"/>
    <w:rsid w:val="006347FA"/>
    <w:rsid w:val="006349D0"/>
    <w:rsid w:val="00634E1C"/>
    <w:rsid w:val="00635268"/>
    <w:rsid w:val="0063545F"/>
    <w:rsid w:val="00635E2D"/>
    <w:rsid w:val="0063694E"/>
    <w:rsid w:val="00636A12"/>
    <w:rsid w:val="00636F00"/>
    <w:rsid w:val="0063765B"/>
    <w:rsid w:val="0063781B"/>
    <w:rsid w:val="00637CDC"/>
    <w:rsid w:val="00637F86"/>
    <w:rsid w:val="00640316"/>
    <w:rsid w:val="00640607"/>
    <w:rsid w:val="00640C4E"/>
    <w:rsid w:val="00640FAF"/>
    <w:rsid w:val="00641706"/>
    <w:rsid w:val="00641DBF"/>
    <w:rsid w:val="00642BDC"/>
    <w:rsid w:val="00642EBD"/>
    <w:rsid w:val="00642F04"/>
    <w:rsid w:val="00643C50"/>
    <w:rsid w:val="00643F60"/>
    <w:rsid w:val="0064402C"/>
    <w:rsid w:val="0064430B"/>
    <w:rsid w:val="00644A0E"/>
    <w:rsid w:val="00644CED"/>
    <w:rsid w:val="00644DEC"/>
    <w:rsid w:val="00645068"/>
    <w:rsid w:val="00646385"/>
    <w:rsid w:val="00646640"/>
    <w:rsid w:val="006469EA"/>
    <w:rsid w:val="00647F2D"/>
    <w:rsid w:val="0065011D"/>
    <w:rsid w:val="0065022B"/>
    <w:rsid w:val="00650A55"/>
    <w:rsid w:val="00650C54"/>
    <w:rsid w:val="00651236"/>
    <w:rsid w:val="00651F3C"/>
    <w:rsid w:val="006527F4"/>
    <w:rsid w:val="006529BB"/>
    <w:rsid w:val="006529D4"/>
    <w:rsid w:val="00652B76"/>
    <w:rsid w:val="00653225"/>
    <w:rsid w:val="006532F6"/>
    <w:rsid w:val="00653328"/>
    <w:rsid w:val="00653972"/>
    <w:rsid w:val="00653B01"/>
    <w:rsid w:val="0065435B"/>
    <w:rsid w:val="00654F74"/>
    <w:rsid w:val="00655462"/>
    <w:rsid w:val="00655551"/>
    <w:rsid w:val="006559D2"/>
    <w:rsid w:val="00655F91"/>
    <w:rsid w:val="0065626E"/>
    <w:rsid w:val="00656720"/>
    <w:rsid w:val="00656A03"/>
    <w:rsid w:val="00656BE0"/>
    <w:rsid w:val="00656EBD"/>
    <w:rsid w:val="0065722D"/>
    <w:rsid w:val="0066063C"/>
    <w:rsid w:val="00661285"/>
    <w:rsid w:val="006612D8"/>
    <w:rsid w:val="00661572"/>
    <w:rsid w:val="0066217B"/>
    <w:rsid w:val="00662350"/>
    <w:rsid w:val="00662A45"/>
    <w:rsid w:val="00662F75"/>
    <w:rsid w:val="0066353A"/>
    <w:rsid w:val="0066393E"/>
    <w:rsid w:val="006640DB"/>
    <w:rsid w:val="006643EB"/>
    <w:rsid w:val="006646DA"/>
    <w:rsid w:val="006649BF"/>
    <w:rsid w:val="006650AF"/>
    <w:rsid w:val="00665125"/>
    <w:rsid w:val="006651C1"/>
    <w:rsid w:val="0066544C"/>
    <w:rsid w:val="006658DB"/>
    <w:rsid w:val="006659A4"/>
    <w:rsid w:val="00665C9E"/>
    <w:rsid w:val="00665F2D"/>
    <w:rsid w:val="00666259"/>
    <w:rsid w:val="006664AE"/>
    <w:rsid w:val="00666609"/>
    <w:rsid w:val="00666D06"/>
    <w:rsid w:val="00666D4C"/>
    <w:rsid w:val="00666F48"/>
    <w:rsid w:val="006677B6"/>
    <w:rsid w:val="006678E9"/>
    <w:rsid w:val="00667BCD"/>
    <w:rsid w:val="0067031E"/>
    <w:rsid w:val="006708A6"/>
    <w:rsid w:val="006709B0"/>
    <w:rsid w:val="00670B15"/>
    <w:rsid w:val="00671605"/>
    <w:rsid w:val="00671CFB"/>
    <w:rsid w:val="00671DB2"/>
    <w:rsid w:val="00672908"/>
    <w:rsid w:val="006730CA"/>
    <w:rsid w:val="00673397"/>
    <w:rsid w:val="006737B0"/>
    <w:rsid w:val="00673E69"/>
    <w:rsid w:val="00674DD8"/>
    <w:rsid w:val="00675494"/>
    <w:rsid w:val="00675730"/>
    <w:rsid w:val="00675B72"/>
    <w:rsid w:val="00676920"/>
    <w:rsid w:val="006770BD"/>
    <w:rsid w:val="00677277"/>
    <w:rsid w:val="006772B5"/>
    <w:rsid w:val="006772DD"/>
    <w:rsid w:val="0067736F"/>
    <w:rsid w:val="006776CF"/>
    <w:rsid w:val="006801C1"/>
    <w:rsid w:val="00680CAE"/>
    <w:rsid w:val="00680F64"/>
    <w:rsid w:val="00681264"/>
    <w:rsid w:val="006812B1"/>
    <w:rsid w:val="0068139B"/>
    <w:rsid w:val="006813D3"/>
    <w:rsid w:val="00681463"/>
    <w:rsid w:val="006815FD"/>
    <w:rsid w:val="0068163D"/>
    <w:rsid w:val="00682303"/>
    <w:rsid w:val="00682F8E"/>
    <w:rsid w:val="00683043"/>
    <w:rsid w:val="006837B4"/>
    <w:rsid w:val="00683F8F"/>
    <w:rsid w:val="00684479"/>
    <w:rsid w:val="00684DAC"/>
    <w:rsid w:val="00684E42"/>
    <w:rsid w:val="0068555F"/>
    <w:rsid w:val="0068585A"/>
    <w:rsid w:val="006862F2"/>
    <w:rsid w:val="00686C82"/>
    <w:rsid w:val="006871F9"/>
    <w:rsid w:val="00687236"/>
    <w:rsid w:val="00687469"/>
    <w:rsid w:val="0068753C"/>
    <w:rsid w:val="006877FE"/>
    <w:rsid w:val="00687DEF"/>
    <w:rsid w:val="00690661"/>
    <w:rsid w:val="00690DB6"/>
    <w:rsid w:val="006911D5"/>
    <w:rsid w:val="00691499"/>
    <w:rsid w:val="00691626"/>
    <w:rsid w:val="006916AB"/>
    <w:rsid w:val="0069198B"/>
    <w:rsid w:val="00691AB0"/>
    <w:rsid w:val="00691D9F"/>
    <w:rsid w:val="006920DD"/>
    <w:rsid w:val="00692AE2"/>
    <w:rsid w:val="00692BB2"/>
    <w:rsid w:val="00692D77"/>
    <w:rsid w:val="00692FCE"/>
    <w:rsid w:val="006935E8"/>
    <w:rsid w:val="00693619"/>
    <w:rsid w:val="00694044"/>
    <w:rsid w:val="0069430E"/>
    <w:rsid w:val="00694363"/>
    <w:rsid w:val="006947E6"/>
    <w:rsid w:val="00694BF0"/>
    <w:rsid w:val="00694FAA"/>
    <w:rsid w:val="0069531C"/>
    <w:rsid w:val="00695589"/>
    <w:rsid w:val="006958D3"/>
    <w:rsid w:val="00695A16"/>
    <w:rsid w:val="00695F29"/>
    <w:rsid w:val="00695F91"/>
    <w:rsid w:val="00695FA4"/>
    <w:rsid w:val="006967E0"/>
    <w:rsid w:val="00696873"/>
    <w:rsid w:val="006968EB"/>
    <w:rsid w:val="00697050"/>
    <w:rsid w:val="00697644"/>
    <w:rsid w:val="00697E6B"/>
    <w:rsid w:val="006A06DF"/>
    <w:rsid w:val="006A1908"/>
    <w:rsid w:val="006A1A6D"/>
    <w:rsid w:val="006A1A95"/>
    <w:rsid w:val="006A1F60"/>
    <w:rsid w:val="006A2217"/>
    <w:rsid w:val="006A22BF"/>
    <w:rsid w:val="006A22CE"/>
    <w:rsid w:val="006A2545"/>
    <w:rsid w:val="006A25A6"/>
    <w:rsid w:val="006A2ED0"/>
    <w:rsid w:val="006A30E4"/>
    <w:rsid w:val="006A3199"/>
    <w:rsid w:val="006A338A"/>
    <w:rsid w:val="006A33D2"/>
    <w:rsid w:val="006A3CDF"/>
    <w:rsid w:val="006A3FD4"/>
    <w:rsid w:val="006A5F94"/>
    <w:rsid w:val="006A5FB1"/>
    <w:rsid w:val="006A63D6"/>
    <w:rsid w:val="006A684E"/>
    <w:rsid w:val="006A6EEB"/>
    <w:rsid w:val="006A7A34"/>
    <w:rsid w:val="006A7CD9"/>
    <w:rsid w:val="006A7E39"/>
    <w:rsid w:val="006A7E6B"/>
    <w:rsid w:val="006B0474"/>
    <w:rsid w:val="006B08F0"/>
    <w:rsid w:val="006B0C56"/>
    <w:rsid w:val="006B0E3B"/>
    <w:rsid w:val="006B1024"/>
    <w:rsid w:val="006B1816"/>
    <w:rsid w:val="006B1AA9"/>
    <w:rsid w:val="006B1ACA"/>
    <w:rsid w:val="006B1B8B"/>
    <w:rsid w:val="006B1F0D"/>
    <w:rsid w:val="006B23BA"/>
    <w:rsid w:val="006B2574"/>
    <w:rsid w:val="006B28FD"/>
    <w:rsid w:val="006B3226"/>
    <w:rsid w:val="006B32DA"/>
    <w:rsid w:val="006B3508"/>
    <w:rsid w:val="006B362D"/>
    <w:rsid w:val="006B45B6"/>
    <w:rsid w:val="006B46A5"/>
    <w:rsid w:val="006B46FD"/>
    <w:rsid w:val="006B4960"/>
    <w:rsid w:val="006B4B0E"/>
    <w:rsid w:val="006B4D3D"/>
    <w:rsid w:val="006B4E1C"/>
    <w:rsid w:val="006B5137"/>
    <w:rsid w:val="006B51C5"/>
    <w:rsid w:val="006B522B"/>
    <w:rsid w:val="006B5370"/>
    <w:rsid w:val="006B5A94"/>
    <w:rsid w:val="006B71B2"/>
    <w:rsid w:val="006B7574"/>
    <w:rsid w:val="006B770C"/>
    <w:rsid w:val="006B7B8E"/>
    <w:rsid w:val="006C0F6B"/>
    <w:rsid w:val="006C105D"/>
    <w:rsid w:val="006C1230"/>
    <w:rsid w:val="006C1490"/>
    <w:rsid w:val="006C1632"/>
    <w:rsid w:val="006C1BB8"/>
    <w:rsid w:val="006C1D9F"/>
    <w:rsid w:val="006C3385"/>
    <w:rsid w:val="006C3686"/>
    <w:rsid w:val="006C37C6"/>
    <w:rsid w:val="006C39D3"/>
    <w:rsid w:val="006C3B32"/>
    <w:rsid w:val="006C3FF7"/>
    <w:rsid w:val="006C4031"/>
    <w:rsid w:val="006C46BB"/>
    <w:rsid w:val="006C4A6D"/>
    <w:rsid w:val="006C53CD"/>
    <w:rsid w:val="006C5537"/>
    <w:rsid w:val="006C5755"/>
    <w:rsid w:val="006C59DE"/>
    <w:rsid w:val="006C5F4C"/>
    <w:rsid w:val="006C604D"/>
    <w:rsid w:val="006C622F"/>
    <w:rsid w:val="006C62DA"/>
    <w:rsid w:val="006C62E3"/>
    <w:rsid w:val="006C69F8"/>
    <w:rsid w:val="006C6DEB"/>
    <w:rsid w:val="006C6FCE"/>
    <w:rsid w:val="006C74C5"/>
    <w:rsid w:val="006D0126"/>
    <w:rsid w:val="006D04C0"/>
    <w:rsid w:val="006D08B4"/>
    <w:rsid w:val="006D1120"/>
    <w:rsid w:val="006D1286"/>
    <w:rsid w:val="006D1D60"/>
    <w:rsid w:val="006D217E"/>
    <w:rsid w:val="006D218D"/>
    <w:rsid w:val="006D21FE"/>
    <w:rsid w:val="006D2283"/>
    <w:rsid w:val="006D2501"/>
    <w:rsid w:val="006D2EA9"/>
    <w:rsid w:val="006D37C5"/>
    <w:rsid w:val="006D3A39"/>
    <w:rsid w:val="006D3B72"/>
    <w:rsid w:val="006D3D8B"/>
    <w:rsid w:val="006D3DFF"/>
    <w:rsid w:val="006D4618"/>
    <w:rsid w:val="006D47AC"/>
    <w:rsid w:val="006D48EB"/>
    <w:rsid w:val="006D50A8"/>
    <w:rsid w:val="006D5143"/>
    <w:rsid w:val="006D515B"/>
    <w:rsid w:val="006D51F7"/>
    <w:rsid w:val="006D5CBC"/>
    <w:rsid w:val="006D63BE"/>
    <w:rsid w:val="006D68A4"/>
    <w:rsid w:val="006D6CE1"/>
    <w:rsid w:val="006D710C"/>
    <w:rsid w:val="006D7188"/>
    <w:rsid w:val="006D7E67"/>
    <w:rsid w:val="006E011C"/>
    <w:rsid w:val="006E02D9"/>
    <w:rsid w:val="006E04CB"/>
    <w:rsid w:val="006E0706"/>
    <w:rsid w:val="006E08A3"/>
    <w:rsid w:val="006E0913"/>
    <w:rsid w:val="006E0F8E"/>
    <w:rsid w:val="006E0FDF"/>
    <w:rsid w:val="006E1211"/>
    <w:rsid w:val="006E14E0"/>
    <w:rsid w:val="006E1C46"/>
    <w:rsid w:val="006E253E"/>
    <w:rsid w:val="006E32C2"/>
    <w:rsid w:val="006E3402"/>
    <w:rsid w:val="006E382B"/>
    <w:rsid w:val="006E3989"/>
    <w:rsid w:val="006E3FBC"/>
    <w:rsid w:val="006E401D"/>
    <w:rsid w:val="006E44DB"/>
    <w:rsid w:val="006E466B"/>
    <w:rsid w:val="006E4A9A"/>
    <w:rsid w:val="006E524A"/>
    <w:rsid w:val="006E552F"/>
    <w:rsid w:val="006E565C"/>
    <w:rsid w:val="006E606F"/>
    <w:rsid w:val="006E6185"/>
    <w:rsid w:val="006E635C"/>
    <w:rsid w:val="006E6986"/>
    <w:rsid w:val="006E7504"/>
    <w:rsid w:val="006E78F3"/>
    <w:rsid w:val="006F064A"/>
    <w:rsid w:val="006F0D50"/>
    <w:rsid w:val="006F0F37"/>
    <w:rsid w:val="006F15BC"/>
    <w:rsid w:val="006F2122"/>
    <w:rsid w:val="006F217E"/>
    <w:rsid w:val="006F22FC"/>
    <w:rsid w:val="006F24FF"/>
    <w:rsid w:val="006F25CC"/>
    <w:rsid w:val="006F2C7A"/>
    <w:rsid w:val="006F32D9"/>
    <w:rsid w:val="006F3365"/>
    <w:rsid w:val="006F34B0"/>
    <w:rsid w:val="006F3D11"/>
    <w:rsid w:val="006F4377"/>
    <w:rsid w:val="006F4FD3"/>
    <w:rsid w:val="006F57D6"/>
    <w:rsid w:val="006F5A48"/>
    <w:rsid w:val="006F5B8A"/>
    <w:rsid w:val="006F695E"/>
    <w:rsid w:val="006F69EE"/>
    <w:rsid w:val="006F767F"/>
    <w:rsid w:val="006F77C0"/>
    <w:rsid w:val="006F7C4E"/>
    <w:rsid w:val="006F7FD6"/>
    <w:rsid w:val="007004B4"/>
    <w:rsid w:val="00700AA9"/>
    <w:rsid w:val="00700C7D"/>
    <w:rsid w:val="00700F4A"/>
    <w:rsid w:val="00700F96"/>
    <w:rsid w:val="0070193D"/>
    <w:rsid w:val="007019D1"/>
    <w:rsid w:val="00702504"/>
    <w:rsid w:val="00702673"/>
    <w:rsid w:val="007027CB"/>
    <w:rsid w:val="00702CE5"/>
    <w:rsid w:val="0070333B"/>
    <w:rsid w:val="0070343A"/>
    <w:rsid w:val="00703A87"/>
    <w:rsid w:val="00704495"/>
    <w:rsid w:val="00704D9F"/>
    <w:rsid w:val="00705331"/>
    <w:rsid w:val="00705860"/>
    <w:rsid w:val="00705BE1"/>
    <w:rsid w:val="00706138"/>
    <w:rsid w:val="00706872"/>
    <w:rsid w:val="0070698A"/>
    <w:rsid w:val="00706D4B"/>
    <w:rsid w:val="00706E53"/>
    <w:rsid w:val="00707265"/>
    <w:rsid w:val="00707A4C"/>
    <w:rsid w:val="00707BDE"/>
    <w:rsid w:val="00710726"/>
    <w:rsid w:val="00710EE8"/>
    <w:rsid w:val="00711119"/>
    <w:rsid w:val="0071130E"/>
    <w:rsid w:val="00711543"/>
    <w:rsid w:val="007116AA"/>
    <w:rsid w:val="007118C1"/>
    <w:rsid w:val="00711C65"/>
    <w:rsid w:val="00711CE7"/>
    <w:rsid w:val="007129E5"/>
    <w:rsid w:val="00712ED6"/>
    <w:rsid w:val="00713047"/>
    <w:rsid w:val="007136F6"/>
    <w:rsid w:val="00714427"/>
    <w:rsid w:val="00714597"/>
    <w:rsid w:val="00714CF5"/>
    <w:rsid w:val="00714E8B"/>
    <w:rsid w:val="007157F4"/>
    <w:rsid w:val="00715BD1"/>
    <w:rsid w:val="0071610E"/>
    <w:rsid w:val="00716363"/>
    <w:rsid w:val="007166C5"/>
    <w:rsid w:val="00716859"/>
    <w:rsid w:val="007201CB"/>
    <w:rsid w:val="00720B77"/>
    <w:rsid w:val="00720C21"/>
    <w:rsid w:val="00721475"/>
    <w:rsid w:val="007214C4"/>
    <w:rsid w:val="00721AF3"/>
    <w:rsid w:val="00721C21"/>
    <w:rsid w:val="00721D7A"/>
    <w:rsid w:val="00721D9E"/>
    <w:rsid w:val="00721DB7"/>
    <w:rsid w:val="0072331E"/>
    <w:rsid w:val="007234CE"/>
    <w:rsid w:val="007245A3"/>
    <w:rsid w:val="0072481F"/>
    <w:rsid w:val="007248B2"/>
    <w:rsid w:val="00724C44"/>
    <w:rsid w:val="00724CF3"/>
    <w:rsid w:val="007250F0"/>
    <w:rsid w:val="0072527C"/>
    <w:rsid w:val="007254BD"/>
    <w:rsid w:val="0072574A"/>
    <w:rsid w:val="00725AFE"/>
    <w:rsid w:val="00725C61"/>
    <w:rsid w:val="0072648E"/>
    <w:rsid w:val="007264C4"/>
    <w:rsid w:val="00726899"/>
    <w:rsid w:val="00726B1C"/>
    <w:rsid w:val="00726E01"/>
    <w:rsid w:val="00726F5C"/>
    <w:rsid w:val="00727020"/>
    <w:rsid w:val="0072703C"/>
    <w:rsid w:val="007273C3"/>
    <w:rsid w:val="007275F0"/>
    <w:rsid w:val="00727E45"/>
    <w:rsid w:val="00727E65"/>
    <w:rsid w:val="007302F4"/>
    <w:rsid w:val="00730733"/>
    <w:rsid w:val="00730777"/>
    <w:rsid w:val="00730AA8"/>
    <w:rsid w:val="00730C5F"/>
    <w:rsid w:val="00730E2A"/>
    <w:rsid w:val="00730FED"/>
    <w:rsid w:val="007310DC"/>
    <w:rsid w:val="00731133"/>
    <w:rsid w:val="00731CF6"/>
    <w:rsid w:val="00732116"/>
    <w:rsid w:val="00732259"/>
    <w:rsid w:val="007323D4"/>
    <w:rsid w:val="007324CE"/>
    <w:rsid w:val="0073253A"/>
    <w:rsid w:val="007326D4"/>
    <w:rsid w:val="00732D18"/>
    <w:rsid w:val="0073341D"/>
    <w:rsid w:val="00733955"/>
    <w:rsid w:val="0073395B"/>
    <w:rsid w:val="007346D9"/>
    <w:rsid w:val="007346F5"/>
    <w:rsid w:val="00734BDE"/>
    <w:rsid w:val="007355E7"/>
    <w:rsid w:val="00735930"/>
    <w:rsid w:val="00735E15"/>
    <w:rsid w:val="00735E3C"/>
    <w:rsid w:val="007366A5"/>
    <w:rsid w:val="00736C06"/>
    <w:rsid w:val="0073711F"/>
    <w:rsid w:val="00737370"/>
    <w:rsid w:val="00737802"/>
    <w:rsid w:val="00737BE9"/>
    <w:rsid w:val="00737D7A"/>
    <w:rsid w:val="00737FAE"/>
    <w:rsid w:val="0074009E"/>
    <w:rsid w:val="00740FF2"/>
    <w:rsid w:val="007416A5"/>
    <w:rsid w:val="007419B4"/>
    <w:rsid w:val="00741A63"/>
    <w:rsid w:val="00741D7D"/>
    <w:rsid w:val="00741DB1"/>
    <w:rsid w:val="0074232B"/>
    <w:rsid w:val="0074297E"/>
    <w:rsid w:val="00742A3B"/>
    <w:rsid w:val="00742ABA"/>
    <w:rsid w:val="00742BC3"/>
    <w:rsid w:val="00742D4D"/>
    <w:rsid w:val="00742D66"/>
    <w:rsid w:val="00742F3E"/>
    <w:rsid w:val="0074308D"/>
    <w:rsid w:val="007433D4"/>
    <w:rsid w:val="00743796"/>
    <w:rsid w:val="00743A3E"/>
    <w:rsid w:val="00743E06"/>
    <w:rsid w:val="00743FB9"/>
    <w:rsid w:val="007443F6"/>
    <w:rsid w:val="00744633"/>
    <w:rsid w:val="00744F7D"/>
    <w:rsid w:val="00744F98"/>
    <w:rsid w:val="007450B3"/>
    <w:rsid w:val="00745887"/>
    <w:rsid w:val="00746032"/>
    <w:rsid w:val="00746AE5"/>
    <w:rsid w:val="00746F6A"/>
    <w:rsid w:val="007470E3"/>
    <w:rsid w:val="0074739C"/>
    <w:rsid w:val="0074746E"/>
    <w:rsid w:val="007501B5"/>
    <w:rsid w:val="007509EC"/>
    <w:rsid w:val="00751B03"/>
    <w:rsid w:val="00752410"/>
    <w:rsid w:val="007524C3"/>
    <w:rsid w:val="007532CE"/>
    <w:rsid w:val="00753367"/>
    <w:rsid w:val="00753542"/>
    <w:rsid w:val="007538B0"/>
    <w:rsid w:val="00753F10"/>
    <w:rsid w:val="007543FC"/>
    <w:rsid w:val="00754ECC"/>
    <w:rsid w:val="0075529F"/>
    <w:rsid w:val="00755539"/>
    <w:rsid w:val="00755886"/>
    <w:rsid w:val="0075611C"/>
    <w:rsid w:val="007565D3"/>
    <w:rsid w:val="007571E2"/>
    <w:rsid w:val="00757875"/>
    <w:rsid w:val="00757EA8"/>
    <w:rsid w:val="00757F2E"/>
    <w:rsid w:val="0076050D"/>
    <w:rsid w:val="00760567"/>
    <w:rsid w:val="00760598"/>
    <w:rsid w:val="007607AF"/>
    <w:rsid w:val="00760C32"/>
    <w:rsid w:val="00760E39"/>
    <w:rsid w:val="00760F7C"/>
    <w:rsid w:val="00761023"/>
    <w:rsid w:val="0076109E"/>
    <w:rsid w:val="00761662"/>
    <w:rsid w:val="00761C90"/>
    <w:rsid w:val="00761F3B"/>
    <w:rsid w:val="00761F9F"/>
    <w:rsid w:val="00762418"/>
    <w:rsid w:val="00762A6D"/>
    <w:rsid w:val="00762B71"/>
    <w:rsid w:val="00762C22"/>
    <w:rsid w:val="00762EBE"/>
    <w:rsid w:val="007634BA"/>
    <w:rsid w:val="007643B9"/>
    <w:rsid w:val="007645FF"/>
    <w:rsid w:val="0076498C"/>
    <w:rsid w:val="00765403"/>
    <w:rsid w:val="00765782"/>
    <w:rsid w:val="00765E13"/>
    <w:rsid w:val="00766076"/>
    <w:rsid w:val="0076612F"/>
    <w:rsid w:val="00766B50"/>
    <w:rsid w:val="007673CF"/>
    <w:rsid w:val="00767529"/>
    <w:rsid w:val="0076768D"/>
    <w:rsid w:val="00767A2C"/>
    <w:rsid w:val="00767D6A"/>
    <w:rsid w:val="007706FF"/>
    <w:rsid w:val="007707BD"/>
    <w:rsid w:val="00770A36"/>
    <w:rsid w:val="00770D69"/>
    <w:rsid w:val="00770F74"/>
    <w:rsid w:val="00771129"/>
    <w:rsid w:val="00771195"/>
    <w:rsid w:val="007711A1"/>
    <w:rsid w:val="007713EC"/>
    <w:rsid w:val="00771485"/>
    <w:rsid w:val="0077155B"/>
    <w:rsid w:val="00771967"/>
    <w:rsid w:val="007719B0"/>
    <w:rsid w:val="00771A35"/>
    <w:rsid w:val="0077229B"/>
    <w:rsid w:val="00772517"/>
    <w:rsid w:val="007728F9"/>
    <w:rsid w:val="00772A48"/>
    <w:rsid w:val="007732F3"/>
    <w:rsid w:val="007732F4"/>
    <w:rsid w:val="0077363F"/>
    <w:rsid w:val="00773943"/>
    <w:rsid w:val="00773C2D"/>
    <w:rsid w:val="0077489D"/>
    <w:rsid w:val="007752B0"/>
    <w:rsid w:val="0077593A"/>
    <w:rsid w:val="00775A91"/>
    <w:rsid w:val="00775C79"/>
    <w:rsid w:val="00775F7D"/>
    <w:rsid w:val="00776483"/>
    <w:rsid w:val="00776E25"/>
    <w:rsid w:val="00776ED8"/>
    <w:rsid w:val="00777094"/>
    <w:rsid w:val="00777124"/>
    <w:rsid w:val="00780010"/>
    <w:rsid w:val="007801B3"/>
    <w:rsid w:val="00780276"/>
    <w:rsid w:val="00781479"/>
    <w:rsid w:val="007814E5"/>
    <w:rsid w:val="0078164D"/>
    <w:rsid w:val="00781688"/>
    <w:rsid w:val="00781903"/>
    <w:rsid w:val="00782034"/>
    <w:rsid w:val="007820F0"/>
    <w:rsid w:val="00782738"/>
    <w:rsid w:val="00782774"/>
    <w:rsid w:val="00782A6D"/>
    <w:rsid w:val="00782B29"/>
    <w:rsid w:val="0078308C"/>
    <w:rsid w:val="0078377A"/>
    <w:rsid w:val="00783821"/>
    <w:rsid w:val="00783D9C"/>
    <w:rsid w:val="00784C94"/>
    <w:rsid w:val="00784FF1"/>
    <w:rsid w:val="0078505A"/>
    <w:rsid w:val="007852B7"/>
    <w:rsid w:val="007854AE"/>
    <w:rsid w:val="00786243"/>
    <w:rsid w:val="00786DEF"/>
    <w:rsid w:val="007874C5"/>
    <w:rsid w:val="007874F3"/>
    <w:rsid w:val="00787AE0"/>
    <w:rsid w:val="00787CC4"/>
    <w:rsid w:val="00787E49"/>
    <w:rsid w:val="0079032D"/>
    <w:rsid w:val="00790754"/>
    <w:rsid w:val="00790A5F"/>
    <w:rsid w:val="007912F3"/>
    <w:rsid w:val="00791446"/>
    <w:rsid w:val="0079165F"/>
    <w:rsid w:val="007921B2"/>
    <w:rsid w:val="0079234B"/>
    <w:rsid w:val="00792AC0"/>
    <w:rsid w:val="007934FC"/>
    <w:rsid w:val="00793C45"/>
    <w:rsid w:val="00793D8E"/>
    <w:rsid w:val="00793F3E"/>
    <w:rsid w:val="007942E2"/>
    <w:rsid w:val="007943D8"/>
    <w:rsid w:val="00794403"/>
    <w:rsid w:val="00794555"/>
    <w:rsid w:val="007947A2"/>
    <w:rsid w:val="00794880"/>
    <w:rsid w:val="0079520D"/>
    <w:rsid w:val="007957EA"/>
    <w:rsid w:val="0079599B"/>
    <w:rsid w:val="00795D56"/>
    <w:rsid w:val="00795DD8"/>
    <w:rsid w:val="00796191"/>
    <w:rsid w:val="007962C1"/>
    <w:rsid w:val="007963B3"/>
    <w:rsid w:val="00796B58"/>
    <w:rsid w:val="00796BB1"/>
    <w:rsid w:val="00796BDD"/>
    <w:rsid w:val="00796F4F"/>
    <w:rsid w:val="00796FA0"/>
    <w:rsid w:val="00797062"/>
    <w:rsid w:val="00797B6B"/>
    <w:rsid w:val="007A02C8"/>
    <w:rsid w:val="007A037C"/>
    <w:rsid w:val="007A06D7"/>
    <w:rsid w:val="007A0BA3"/>
    <w:rsid w:val="007A0CBC"/>
    <w:rsid w:val="007A0E53"/>
    <w:rsid w:val="007A0F6A"/>
    <w:rsid w:val="007A10BC"/>
    <w:rsid w:val="007A13E5"/>
    <w:rsid w:val="007A155A"/>
    <w:rsid w:val="007A15C0"/>
    <w:rsid w:val="007A1AA1"/>
    <w:rsid w:val="007A1BD1"/>
    <w:rsid w:val="007A1CDC"/>
    <w:rsid w:val="007A2DEE"/>
    <w:rsid w:val="007A304C"/>
    <w:rsid w:val="007A32A9"/>
    <w:rsid w:val="007A34CB"/>
    <w:rsid w:val="007A3950"/>
    <w:rsid w:val="007A3BC3"/>
    <w:rsid w:val="007A3DCF"/>
    <w:rsid w:val="007A3EC4"/>
    <w:rsid w:val="007A3F3B"/>
    <w:rsid w:val="007A400C"/>
    <w:rsid w:val="007A41AF"/>
    <w:rsid w:val="007A4214"/>
    <w:rsid w:val="007A44CF"/>
    <w:rsid w:val="007A450A"/>
    <w:rsid w:val="007A490F"/>
    <w:rsid w:val="007A4915"/>
    <w:rsid w:val="007A4D6F"/>
    <w:rsid w:val="007A4E27"/>
    <w:rsid w:val="007A560C"/>
    <w:rsid w:val="007A5684"/>
    <w:rsid w:val="007A5A90"/>
    <w:rsid w:val="007A664D"/>
    <w:rsid w:val="007A6C86"/>
    <w:rsid w:val="007A728E"/>
    <w:rsid w:val="007A784A"/>
    <w:rsid w:val="007A7AD4"/>
    <w:rsid w:val="007A7F56"/>
    <w:rsid w:val="007A7F97"/>
    <w:rsid w:val="007B03F7"/>
    <w:rsid w:val="007B041F"/>
    <w:rsid w:val="007B09D4"/>
    <w:rsid w:val="007B0F56"/>
    <w:rsid w:val="007B0F7B"/>
    <w:rsid w:val="007B17A8"/>
    <w:rsid w:val="007B1955"/>
    <w:rsid w:val="007B207F"/>
    <w:rsid w:val="007B20E8"/>
    <w:rsid w:val="007B2D56"/>
    <w:rsid w:val="007B351F"/>
    <w:rsid w:val="007B3BCC"/>
    <w:rsid w:val="007B40D4"/>
    <w:rsid w:val="007B430C"/>
    <w:rsid w:val="007B4CA4"/>
    <w:rsid w:val="007B4DAF"/>
    <w:rsid w:val="007B5181"/>
    <w:rsid w:val="007B575F"/>
    <w:rsid w:val="007B5888"/>
    <w:rsid w:val="007B59E3"/>
    <w:rsid w:val="007B62F7"/>
    <w:rsid w:val="007B6317"/>
    <w:rsid w:val="007B682D"/>
    <w:rsid w:val="007B6B2E"/>
    <w:rsid w:val="007B6B9D"/>
    <w:rsid w:val="007B6FC4"/>
    <w:rsid w:val="007B71FF"/>
    <w:rsid w:val="007B7AFB"/>
    <w:rsid w:val="007B7D3F"/>
    <w:rsid w:val="007C0877"/>
    <w:rsid w:val="007C0A40"/>
    <w:rsid w:val="007C11C7"/>
    <w:rsid w:val="007C1E07"/>
    <w:rsid w:val="007C1F22"/>
    <w:rsid w:val="007C219C"/>
    <w:rsid w:val="007C24E8"/>
    <w:rsid w:val="007C3301"/>
    <w:rsid w:val="007C3376"/>
    <w:rsid w:val="007C390A"/>
    <w:rsid w:val="007C39E0"/>
    <w:rsid w:val="007C3D38"/>
    <w:rsid w:val="007C3F64"/>
    <w:rsid w:val="007C46F4"/>
    <w:rsid w:val="007C4C2A"/>
    <w:rsid w:val="007C4E28"/>
    <w:rsid w:val="007C51DA"/>
    <w:rsid w:val="007C7141"/>
    <w:rsid w:val="007C7460"/>
    <w:rsid w:val="007C75D9"/>
    <w:rsid w:val="007C79DE"/>
    <w:rsid w:val="007D03C7"/>
    <w:rsid w:val="007D0800"/>
    <w:rsid w:val="007D110C"/>
    <w:rsid w:val="007D14FA"/>
    <w:rsid w:val="007D1C08"/>
    <w:rsid w:val="007D1F17"/>
    <w:rsid w:val="007D225B"/>
    <w:rsid w:val="007D2593"/>
    <w:rsid w:val="007D2A92"/>
    <w:rsid w:val="007D2DA9"/>
    <w:rsid w:val="007D34AF"/>
    <w:rsid w:val="007D37CE"/>
    <w:rsid w:val="007D38F3"/>
    <w:rsid w:val="007D3B6D"/>
    <w:rsid w:val="007D497B"/>
    <w:rsid w:val="007D540E"/>
    <w:rsid w:val="007D6974"/>
    <w:rsid w:val="007D6EC2"/>
    <w:rsid w:val="007D6FE3"/>
    <w:rsid w:val="007D7907"/>
    <w:rsid w:val="007D79A4"/>
    <w:rsid w:val="007D7E08"/>
    <w:rsid w:val="007E0A6F"/>
    <w:rsid w:val="007E0F8F"/>
    <w:rsid w:val="007E1AF7"/>
    <w:rsid w:val="007E1BC9"/>
    <w:rsid w:val="007E2122"/>
    <w:rsid w:val="007E2992"/>
    <w:rsid w:val="007E2FAB"/>
    <w:rsid w:val="007E364B"/>
    <w:rsid w:val="007E3681"/>
    <w:rsid w:val="007E37A7"/>
    <w:rsid w:val="007E3DDC"/>
    <w:rsid w:val="007E3EBF"/>
    <w:rsid w:val="007E41A8"/>
    <w:rsid w:val="007E4BE4"/>
    <w:rsid w:val="007E4F23"/>
    <w:rsid w:val="007E5589"/>
    <w:rsid w:val="007E5630"/>
    <w:rsid w:val="007E569B"/>
    <w:rsid w:val="007E5D02"/>
    <w:rsid w:val="007E709A"/>
    <w:rsid w:val="007E7270"/>
    <w:rsid w:val="007E748E"/>
    <w:rsid w:val="007E7666"/>
    <w:rsid w:val="007E789E"/>
    <w:rsid w:val="007E7D39"/>
    <w:rsid w:val="007E7E29"/>
    <w:rsid w:val="007F01D5"/>
    <w:rsid w:val="007F02A3"/>
    <w:rsid w:val="007F04E0"/>
    <w:rsid w:val="007F0839"/>
    <w:rsid w:val="007F0B2F"/>
    <w:rsid w:val="007F0D8A"/>
    <w:rsid w:val="007F0E1F"/>
    <w:rsid w:val="007F107F"/>
    <w:rsid w:val="007F11F9"/>
    <w:rsid w:val="007F16D2"/>
    <w:rsid w:val="007F17C2"/>
    <w:rsid w:val="007F1A8C"/>
    <w:rsid w:val="007F2943"/>
    <w:rsid w:val="007F2FD2"/>
    <w:rsid w:val="007F365A"/>
    <w:rsid w:val="007F36A4"/>
    <w:rsid w:val="007F3B50"/>
    <w:rsid w:val="007F468C"/>
    <w:rsid w:val="007F46F0"/>
    <w:rsid w:val="007F4DA1"/>
    <w:rsid w:val="007F52C7"/>
    <w:rsid w:val="007F56A5"/>
    <w:rsid w:val="007F5879"/>
    <w:rsid w:val="007F5B84"/>
    <w:rsid w:val="007F605E"/>
    <w:rsid w:val="007F61E3"/>
    <w:rsid w:val="007F63E4"/>
    <w:rsid w:val="007F67E8"/>
    <w:rsid w:val="007F6959"/>
    <w:rsid w:val="007F6AC2"/>
    <w:rsid w:val="007F6BFA"/>
    <w:rsid w:val="007F6E7E"/>
    <w:rsid w:val="007F7412"/>
    <w:rsid w:val="007F7B35"/>
    <w:rsid w:val="00800321"/>
    <w:rsid w:val="008004BF"/>
    <w:rsid w:val="00800640"/>
    <w:rsid w:val="00800B36"/>
    <w:rsid w:val="00800FE6"/>
    <w:rsid w:val="0080115D"/>
    <w:rsid w:val="00801377"/>
    <w:rsid w:val="00801EB9"/>
    <w:rsid w:val="00802066"/>
    <w:rsid w:val="008020F3"/>
    <w:rsid w:val="00802126"/>
    <w:rsid w:val="008023CB"/>
    <w:rsid w:val="00802C78"/>
    <w:rsid w:val="00802D5F"/>
    <w:rsid w:val="00803232"/>
    <w:rsid w:val="0080327B"/>
    <w:rsid w:val="008037EE"/>
    <w:rsid w:val="00803C29"/>
    <w:rsid w:val="0080418B"/>
    <w:rsid w:val="00804332"/>
    <w:rsid w:val="00804344"/>
    <w:rsid w:val="00804989"/>
    <w:rsid w:val="00804AA6"/>
    <w:rsid w:val="00804C67"/>
    <w:rsid w:val="00805507"/>
    <w:rsid w:val="00805BFF"/>
    <w:rsid w:val="00805D76"/>
    <w:rsid w:val="0080613D"/>
    <w:rsid w:val="008061AE"/>
    <w:rsid w:val="0080635C"/>
    <w:rsid w:val="00806DA5"/>
    <w:rsid w:val="0080733F"/>
    <w:rsid w:val="00810296"/>
    <w:rsid w:val="00810B01"/>
    <w:rsid w:val="0081100E"/>
    <w:rsid w:val="00811051"/>
    <w:rsid w:val="008113A9"/>
    <w:rsid w:val="008114F5"/>
    <w:rsid w:val="0081153A"/>
    <w:rsid w:val="0081157D"/>
    <w:rsid w:val="008119DB"/>
    <w:rsid w:val="00811C8D"/>
    <w:rsid w:val="00812053"/>
    <w:rsid w:val="008120B7"/>
    <w:rsid w:val="008129F5"/>
    <w:rsid w:val="00812D6C"/>
    <w:rsid w:val="008137E4"/>
    <w:rsid w:val="00813807"/>
    <w:rsid w:val="00813A30"/>
    <w:rsid w:val="00814079"/>
    <w:rsid w:val="00814998"/>
    <w:rsid w:val="00814E87"/>
    <w:rsid w:val="00814F1B"/>
    <w:rsid w:val="0081505E"/>
    <w:rsid w:val="008150E3"/>
    <w:rsid w:val="00815374"/>
    <w:rsid w:val="00815626"/>
    <w:rsid w:val="0081579C"/>
    <w:rsid w:val="00815E72"/>
    <w:rsid w:val="0081648C"/>
    <w:rsid w:val="00816DD0"/>
    <w:rsid w:val="008170E3"/>
    <w:rsid w:val="00817198"/>
    <w:rsid w:val="00817B01"/>
    <w:rsid w:val="00817EDC"/>
    <w:rsid w:val="008200C9"/>
    <w:rsid w:val="00820692"/>
    <w:rsid w:val="00820791"/>
    <w:rsid w:val="00820C1B"/>
    <w:rsid w:val="00820F08"/>
    <w:rsid w:val="00821283"/>
    <w:rsid w:val="00821E1D"/>
    <w:rsid w:val="008234A6"/>
    <w:rsid w:val="00823B16"/>
    <w:rsid w:val="00823D03"/>
    <w:rsid w:val="00823D05"/>
    <w:rsid w:val="008243F0"/>
    <w:rsid w:val="00824748"/>
    <w:rsid w:val="00824862"/>
    <w:rsid w:val="00824AB7"/>
    <w:rsid w:val="00824FF7"/>
    <w:rsid w:val="0082516C"/>
    <w:rsid w:val="008251D5"/>
    <w:rsid w:val="00825E35"/>
    <w:rsid w:val="00825EE8"/>
    <w:rsid w:val="0082634B"/>
    <w:rsid w:val="008268DF"/>
    <w:rsid w:val="00827091"/>
    <w:rsid w:val="008273D5"/>
    <w:rsid w:val="00827571"/>
    <w:rsid w:val="00827A41"/>
    <w:rsid w:val="00827AC4"/>
    <w:rsid w:val="00827B95"/>
    <w:rsid w:val="00830AB1"/>
    <w:rsid w:val="008314C4"/>
    <w:rsid w:val="008317FB"/>
    <w:rsid w:val="008321AA"/>
    <w:rsid w:val="008322EC"/>
    <w:rsid w:val="00832574"/>
    <w:rsid w:val="00832968"/>
    <w:rsid w:val="00832FE1"/>
    <w:rsid w:val="008334BB"/>
    <w:rsid w:val="0083354F"/>
    <w:rsid w:val="00833654"/>
    <w:rsid w:val="008336B0"/>
    <w:rsid w:val="008349FA"/>
    <w:rsid w:val="008350D8"/>
    <w:rsid w:val="00835558"/>
    <w:rsid w:val="00835B9A"/>
    <w:rsid w:val="00835E72"/>
    <w:rsid w:val="008363A3"/>
    <w:rsid w:val="00836868"/>
    <w:rsid w:val="00836B7C"/>
    <w:rsid w:val="00837662"/>
    <w:rsid w:val="00837674"/>
    <w:rsid w:val="00837E91"/>
    <w:rsid w:val="0084014F"/>
    <w:rsid w:val="008405DD"/>
    <w:rsid w:val="00840875"/>
    <w:rsid w:val="008415C7"/>
    <w:rsid w:val="00841FB7"/>
    <w:rsid w:val="00842064"/>
    <w:rsid w:val="00842D31"/>
    <w:rsid w:val="00842FFF"/>
    <w:rsid w:val="0084301A"/>
    <w:rsid w:val="0084326F"/>
    <w:rsid w:val="008441F1"/>
    <w:rsid w:val="008443E1"/>
    <w:rsid w:val="008443EA"/>
    <w:rsid w:val="00844489"/>
    <w:rsid w:val="008447AF"/>
    <w:rsid w:val="008448FA"/>
    <w:rsid w:val="00844D1F"/>
    <w:rsid w:val="00844E72"/>
    <w:rsid w:val="0084528C"/>
    <w:rsid w:val="008455A9"/>
    <w:rsid w:val="00845EC2"/>
    <w:rsid w:val="00845FE6"/>
    <w:rsid w:val="0084673E"/>
    <w:rsid w:val="00846A83"/>
    <w:rsid w:val="00846EAF"/>
    <w:rsid w:val="008470D4"/>
    <w:rsid w:val="008471BC"/>
    <w:rsid w:val="00847451"/>
    <w:rsid w:val="0084759F"/>
    <w:rsid w:val="0084769D"/>
    <w:rsid w:val="0085002C"/>
    <w:rsid w:val="00850259"/>
    <w:rsid w:val="008502BD"/>
    <w:rsid w:val="00850892"/>
    <w:rsid w:val="00850D2E"/>
    <w:rsid w:val="00850FEC"/>
    <w:rsid w:val="0085109A"/>
    <w:rsid w:val="008511F7"/>
    <w:rsid w:val="00851633"/>
    <w:rsid w:val="008516B0"/>
    <w:rsid w:val="008518FD"/>
    <w:rsid w:val="00851E44"/>
    <w:rsid w:val="008522A1"/>
    <w:rsid w:val="00852300"/>
    <w:rsid w:val="0085256B"/>
    <w:rsid w:val="00852E92"/>
    <w:rsid w:val="008534C3"/>
    <w:rsid w:val="00853907"/>
    <w:rsid w:val="0085399E"/>
    <w:rsid w:val="00853ACA"/>
    <w:rsid w:val="00853CBD"/>
    <w:rsid w:val="0085468C"/>
    <w:rsid w:val="00854A6F"/>
    <w:rsid w:val="00854CC0"/>
    <w:rsid w:val="00855310"/>
    <w:rsid w:val="00855560"/>
    <w:rsid w:val="008559E3"/>
    <w:rsid w:val="00855BC0"/>
    <w:rsid w:val="00855C8F"/>
    <w:rsid w:val="00856738"/>
    <w:rsid w:val="008569F2"/>
    <w:rsid w:val="00857B0A"/>
    <w:rsid w:val="00857DA4"/>
    <w:rsid w:val="00857F17"/>
    <w:rsid w:val="0086014A"/>
    <w:rsid w:val="00860FB6"/>
    <w:rsid w:val="008614AA"/>
    <w:rsid w:val="00861862"/>
    <w:rsid w:val="00861988"/>
    <w:rsid w:val="00861BBF"/>
    <w:rsid w:val="00861BEE"/>
    <w:rsid w:val="00861E67"/>
    <w:rsid w:val="00861F6A"/>
    <w:rsid w:val="00862C27"/>
    <w:rsid w:val="00862CAD"/>
    <w:rsid w:val="00862CC3"/>
    <w:rsid w:val="00862D4D"/>
    <w:rsid w:val="008633DB"/>
    <w:rsid w:val="008638C8"/>
    <w:rsid w:val="00863E04"/>
    <w:rsid w:val="008640AE"/>
    <w:rsid w:val="00864267"/>
    <w:rsid w:val="00864594"/>
    <w:rsid w:val="008649DC"/>
    <w:rsid w:val="008658FE"/>
    <w:rsid w:val="00865A8C"/>
    <w:rsid w:val="00865AE3"/>
    <w:rsid w:val="00865D18"/>
    <w:rsid w:val="00865FC5"/>
    <w:rsid w:val="00866769"/>
    <w:rsid w:val="008669E6"/>
    <w:rsid w:val="00866CD1"/>
    <w:rsid w:val="008674F2"/>
    <w:rsid w:val="00867D4A"/>
    <w:rsid w:val="00870A71"/>
    <w:rsid w:val="0087110E"/>
    <w:rsid w:val="008719D9"/>
    <w:rsid w:val="00871DC5"/>
    <w:rsid w:val="00872096"/>
    <w:rsid w:val="008732DE"/>
    <w:rsid w:val="00873441"/>
    <w:rsid w:val="008740FC"/>
    <w:rsid w:val="00874105"/>
    <w:rsid w:val="00874342"/>
    <w:rsid w:val="00874896"/>
    <w:rsid w:val="00875538"/>
    <w:rsid w:val="0087591A"/>
    <w:rsid w:val="00875A96"/>
    <w:rsid w:val="00875BBA"/>
    <w:rsid w:val="008762FA"/>
    <w:rsid w:val="008765F0"/>
    <w:rsid w:val="008766DB"/>
    <w:rsid w:val="008768C8"/>
    <w:rsid w:val="008779A4"/>
    <w:rsid w:val="00877DD0"/>
    <w:rsid w:val="00877F8A"/>
    <w:rsid w:val="008804AF"/>
    <w:rsid w:val="008806F9"/>
    <w:rsid w:val="00880ADE"/>
    <w:rsid w:val="00880FFA"/>
    <w:rsid w:val="008816A2"/>
    <w:rsid w:val="0088173B"/>
    <w:rsid w:val="00881884"/>
    <w:rsid w:val="00881982"/>
    <w:rsid w:val="00881B4B"/>
    <w:rsid w:val="00881EC7"/>
    <w:rsid w:val="008823DA"/>
    <w:rsid w:val="008825DE"/>
    <w:rsid w:val="008827D1"/>
    <w:rsid w:val="00883829"/>
    <w:rsid w:val="00883A61"/>
    <w:rsid w:val="0088428E"/>
    <w:rsid w:val="008843C8"/>
    <w:rsid w:val="00884540"/>
    <w:rsid w:val="008853A6"/>
    <w:rsid w:val="008855A7"/>
    <w:rsid w:val="00885C17"/>
    <w:rsid w:val="00885C43"/>
    <w:rsid w:val="00885D05"/>
    <w:rsid w:val="00885E9F"/>
    <w:rsid w:val="00886A5E"/>
    <w:rsid w:val="00887A5E"/>
    <w:rsid w:val="00887FDB"/>
    <w:rsid w:val="008906E6"/>
    <w:rsid w:val="00891415"/>
    <w:rsid w:val="008918FB"/>
    <w:rsid w:val="00891D07"/>
    <w:rsid w:val="0089212E"/>
    <w:rsid w:val="0089312E"/>
    <w:rsid w:val="0089346C"/>
    <w:rsid w:val="0089361E"/>
    <w:rsid w:val="00893712"/>
    <w:rsid w:val="0089399A"/>
    <w:rsid w:val="00893B3A"/>
    <w:rsid w:val="00893E9F"/>
    <w:rsid w:val="0089403B"/>
    <w:rsid w:val="0089422E"/>
    <w:rsid w:val="00894D36"/>
    <w:rsid w:val="00894DB6"/>
    <w:rsid w:val="0089522D"/>
    <w:rsid w:val="0089535A"/>
    <w:rsid w:val="00895A4C"/>
    <w:rsid w:val="00895AF6"/>
    <w:rsid w:val="008962C7"/>
    <w:rsid w:val="00896398"/>
    <w:rsid w:val="00896722"/>
    <w:rsid w:val="00896855"/>
    <w:rsid w:val="00896AC0"/>
    <w:rsid w:val="00896CDA"/>
    <w:rsid w:val="0089733A"/>
    <w:rsid w:val="0089748B"/>
    <w:rsid w:val="0089760C"/>
    <w:rsid w:val="00897F31"/>
    <w:rsid w:val="008A0148"/>
    <w:rsid w:val="008A0223"/>
    <w:rsid w:val="008A0855"/>
    <w:rsid w:val="008A0937"/>
    <w:rsid w:val="008A1242"/>
    <w:rsid w:val="008A16A7"/>
    <w:rsid w:val="008A21CA"/>
    <w:rsid w:val="008A226E"/>
    <w:rsid w:val="008A25E8"/>
    <w:rsid w:val="008A26AF"/>
    <w:rsid w:val="008A2897"/>
    <w:rsid w:val="008A2B7E"/>
    <w:rsid w:val="008A2C84"/>
    <w:rsid w:val="008A305E"/>
    <w:rsid w:val="008A32B3"/>
    <w:rsid w:val="008A3924"/>
    <w:rsid w:val="008A3A04"/>
    <w:rsid w:val="008A4CED"/>
    <w:rsid w:val="008A4DDC"/>
    <w:rsid w:val="008A561D"/>
    <w:rsid w:val="008A59FE"/>
    <w:rsid w:val="008A607D"/>
    <w:rsid w:val="008A6389"/>
    <w:rsid w:val="008A6B30"/>
    <w:rsid w:val="008A6D78"/>
    <w:rsid w:val="008A6F77"/>
    <w:rsid w:val="008A7277"/>
    <w:rsid w:val="008A7705"/>
    <w:rsid w:val="008A77BF"/>
    <w:rsid w:val="008A7DA1"/>
    <w:rsid w:val="008B0101"/>
    <w:rsid w:val="008B05AA"/>
    <w:rsid w:val="008B07FB"/>
    <w:rsid w:val="008B091B"/>
    <w:rsid w:val="008B0BA2"/>
    <w:rsid w:val="008B0E2F"/>
    <w:rsid w:val="008B103B"/>
    <w:rsid w:val="008B1AB5"/>
    <w:rsid w:val="008B261E"/>
    <w:rsid w:val="008B27D1"/>
    <w:rsid w:val="008B2906"/>
    <w:rsid w:val="008B2A5A"/>
    <w:rsid w:val="008B2D21"/>
    <w:rsid w:val="008B3FFF"/>
    <w:rsid w:val="008B438D"/>
    <w:rsid w:val="008B4590"/>
    <w:rsid w:val="008B46ED"/>
    <w:rsid w:val="008B48D9"/>
    <w:rsid w:val="008B498D"/>
    <w:rsid w:val="008B4F13"/>
    <w:rsid w:val="008B501C"/>
    <w:rsid w:val="008B52C9"/>
    <w:rsid w:val="008B59EF"/>
    <w:rsid w:val="008B5AFD"/>
    <w:rsid w:val="008B5B70"/>
    <w:rsid w:val="008B5FDE"/>
    <w:rsid w:val="008B66DA"/>
    <w:rsid w:val="008B7C63"/>
    <w:rsid w:val="008B7EFD"/>
    <w:rsid w:val="008C0B0D"/>
    <w:rsid w:val="008C0EA6"/>
    <w:rsid w:val="008C0F96"/>
    <w:rsid w:val="008C1158"/>
    <w:rsid w:val="008C1208"/>
    <w:rsid w:val="008C12CA"/>
    <w:rsid w:val="008C160F"/>
    <w:rsid w:val="008C188E"/>
    <w:rsid w:val="008C1D9F"/>
    <w:rsid w:val="008C2264"/>
    <w:rsid w:val="008C22D7"/>
    <w:rsid w:val="008C27A0"/>
    <w:rsid w:val="008C36B0"/>
    <w:rsid w:val="008C36F2"/>
    <w:rsid w:val="008C381D"/>
    <w:rsid w:val="008C38DC"/>
    <w:rsid w:val="008C3942"/>
    <w:rsid w:val="008C3DB9"/>
    <w:rsid w:val="008C4071"/>
    <w:rsid w:val="008C4370"/>
    <w:rsid w:val="008C4801"/>
    <w:rsid w:val="008C4D8C"/>
    <w:rsid w:val="008C51C4"/>
    <w:rsid w:val="008C52EE"/>
    <w:rsid w:val="008C5423"/>
    <w:rsid w:val="008C5938"/>
    <w:rsid w:val="008C5F9A"/>
    <w:rsid w:val="008C61D6"/>
    <w:rsid w:val="008C6439"/>
    <w:rsid w:val="008C6EC3"/>
    <w:rsid w:val="008C7048"/>
    <w:rsid w:val="008C76DB"/>
    <w:rsid w:val="008C7EA3"/>
    <w:rsid w:val="008C7F84"/>
    <w:rsid w:val="008C7FEB"/>
    <w:rsid w:val="008D0C81"/>
    <w:rsid w:val="008D0D54"/>
    <w:rsid w:val="008D0E73"/>
    <w:rsid w:val="008D10E9"/>
    <w:rsid w:val="008D10FC"/>
    <w:rsid w:val="008D1213"/>
    <w:rsid w:val="008D13A9"/>
    <w:rsid w:val="008D1A6C"/>
    <w:rsid w:val="008D1E42"/>
    <w:rsid w:val="008D2246"/>
    <w:rsid w:val="008D23F9"/>
    <w:rsid w:val="008D2D74"/>
    <w:rsid w:val="008D2F4E"/>
    <w:rsid w:val="008D30EC"/>
    <w:rsid w:val="008D35CF"/>
    <w:rsid w:val="008D3BC4"/>
    <w:rsid w:val="008D462C"/>
    <w:rsid w:val="008D482D"/>
    <w:rsid w:val="008D510E"/>
    <w:rsid w:val="008D5B49"/>
    <w:rsid w:val="008D5E26"/>
    <w:rsid w:val="008D64FA"/>
    <w:rsid w:val="008D65C0"/>
    <w:rsid w:val="008D6942"/>
    <w:rsid w:val="008D703B"/>
    <w:rsid w:val="008D73FF"/>
    <w:rsid w:val="008D74F4"/>
    <w:rsid w:val="008D7697"/>
    <w:rsid w:val="008D7CA9"/>
    <w:rsid w:val="008D7ECD"/>
    <w:rsid w:val="008E008E"/>
    <w:rsid w:val="008E0132"/>
    <w:rsid w:val="008E039F"/>
    <w:rsid w:val="008E0876"/>
    <w:rsid w:val="008E0F45"/>
    <w:rsid w:val="008E1441"/>
    <w:rsid w:val="008E15D8"/>
    <w:rsid w:val="008E1797"/>
    <w:rsid w:val="008E1A4E"/>
    <w:rsid w:val="008E21DC"/>
    <w:rsid w:val="008E25B8"/>
    <w:rsid w:val="008E4085"/>
    <w:rsid w:val="008E41ED"/>
    <w:rsid w:val="008E4342"/>
    <w:rsid w:val="008E490E"/>
    <w:rsid w:val="008E4F04"/>
    <w:rsid w:val="008E517C"/>
    <w:rsid w:val="008E5579"/>
    <w:rsid w:val="008E5701"/>
    <w:rsid w:val="008E728E"/>
    <w:rsid w:val="008E7535"/>
    <w:rsid w:val="008E782F"/>
    <w:rsid w:val="008E7B8E"/>
    <w:rsid w:val="008F07BE"/>
    <w:rsid w:val="008F0B66"/>
    <w:rsid w:val="008F10F3"/>
    <w:rsid w:val="008F1C74"/>
    <w:rsid w:val="008F1C8A"/>
    <w:rsid w:val="008F1D24"/>
    <w:rsid w:val="008F1F5B"/>
    <w:rsid w:val="008F25B2"/>
    <w:rsid w:val="008F2995"/>
    <w:rsid w:val="008F319D"/>
    <w:rsid w:val="008F35FF"/>
    <w:rsid w:val="008F3D17"/>
    <w:rsid w:val="008F3D1C"/>
    <w:rsid w:val="008F3E48"/>
    <w:rsid w:val="008F3EED"/>
    <w:rsid w:val="008F3F1D"/>
    <w:rsid w:val="008F3F7E"/>
    <w:rsid w:val="008F4045"/>
    <w:rsid w:val="008F43A3"/>
    <w:rsid w:val="008F4C5F"/>
    <w:rsid w:val="008F59DA"/>
    <w:rsid w:val="008F604C"/>
    <w:rsid w:val="008F64BD"/>
    <w:rsid w:val="008F6749"/>
    <w:rsid w:val="008F67DA"/>
    <w:rsid w:val="008F69A4"/>
    <w:rsid w:val="008F6A07"/>
    <w:rsid w:val="008F6BCB"/>
    <w:rsid w:val="008F7160"/>
    <w:rsid w:val="008F76AA"/>
    <w:rsid w:val="008F7DFB"/>
    <w:rsid w:val="009000DC"/>
    <w:rsid w:val="00900356"/>
    <w:rsid w:val="00900632"/>
    <w:rsid w:val="00900659"/>
    <w:rsid w:val="0090127D"/>
    <w:rsid w:val="009018DD"/>
    <w:rsid w:val="00901D22"/>
    <w:rsid w:val="009021A6"/>
    <w:rsid w:val="00902756"/>
    <w:rsid w:val="009027BF"/>
    <w:rsid w:val="009034FC"/>
    <w:rsid w:val="009037C4"/>
    <w:rsid w:val="00903A46"/>
    <w:rsid w:val="00903B7D"/>
    <w:rsid w:val="00903EBB"/>
    <w:rsid w:val="009040E4"/>
    <w:rsid w:val="0090433B"/>
    <w:rsid w:val="00904584"/>
    <w:rsid w:val="00904AAD"/>
    <w:rsid w:val="009050D2"/>
    <w:rsid w:val="0090513C"/>
    <w:rsid w:val="0090530B"/>
    <w:rsid w:val="009055B2"/>
    <w:rsid w:val="009056D9"/>
    <w:rsid w:val="00905A30"/>
    <w:rsid w:val="00905C5F"/>
    <w:rsid w:val="00905E67"/>
    <w:rsid w:val="0090601E"/>
    <w:rsid w:val="009065D3"/>
    <w:rsid w:val="00906BDE"/>
    <w:rsid w:val="00907109"/>
    <w:rsid w:val="00907226"/>
    <w:rsid w:val="009074C6"/>
    <w:rsid w:val="009075D6"/>
    <w:rsid w:val="0090770E"/>
    <w:rsid w:val="009078CA"/>
    <w:rsid w:val="00907ACF"/>
    <w:rsid w:val="00910004"/>
    <w:rsid w:val="00910352"/>
    <w:rsid w:val="009103F6"/>
    <w:rsid w:val="0091045E"/>
    <w:rsid w:val="009104B0"/>
    <w:rsid w:val="009105B1"/>
    <w:rsid w:val="00910EE2"/>
    <w:rsid w:val="00911864"/>
    <w:rsid w:val="00911897"/>
    <w:rsid w:val="00911DD4"/>
    <w:rsid w:val="00912635"/>
    <w:rsid w:val="009126C8"/>
    <w:rsid w:val="009127AF"/>
    <w:rsid w:val="00912D95"/>
    <w:rsid w:val="00913BD4"/>
    <w:rsid w:val="00914480"/>
    <w:rsid w:val="00914988"/>
    <w:rsid w:val="00914DFE"/>
    <w:rsid w:val="009153F4"/>
    <w:rsid w:val="009155D1"/>
    <w:rsid w:val="00915B1F"/>
    <w:rsid w:val="00915C53"/>
    <w:rsid w:val="00915CD9"/>
    <w:rsid w:val="00915D8F"/>
    <w:rsid w:val="00916935"/>
    <w:rsid w:val="00916D30"/>
    <w:rsid w:val="00917AA5"/>
    <w:rsid w:val="009203A4"/>
    <w:rsid w:val="00920CE0"/>
    <w:rsid w:val="00920E2D"/>
    <w:rsid w:val="00920E42"/>
    <w:rsid w:val="00920F1A"/>
    <w:rsid w:val="009215AF"/>
    <w:rsid w:val="00921754"/>
    <w:rsid w:val="00921796"/>
    <w:rsid w:val="00921947"/>
    <w:rsid w:val="00921996"/>
    <w:rsid w:val="009219B5"/>
    <w:rsid w:val="00921AB7"/>
    <w:rsid w:val="00921C24"/>
    <w:rsid w:val="00922336"/>
    <w:rsid w:val="009224CD"/>
    <w:rsid w:val="00922F23"/>
    <w:rsid w:val="00923177"/>
    <w:rsid w:val="009232A9"/>
    <w:rsid w:val="00923A03"/>
    <w:rsid w:val="00923C44"/>
    <w:rsid w:val="00923E10"/>
    <w:rsid w:val="00923FD6"/>
    <w:rsid w:val="009245D6"/>
    <w:rsid w:val="009245F9"/>
    <w:rsid w:val="00924C50"/>
    <w:rsid w:val="00924D8F"/>
    <w:rsid w:val="00924FB9"/>
    <w:rsid w:val="009268D4"/>
    <w:rsid w:val="00926F7B"/>
    <w:rsid w:val="00927544"/>
    <w:rsid w:val="00927700"/>
    <w:rsid w:val="00927814"/>
    <w:rsid w:val="00927BE3"/>
    <w:rsid w:val="00930079"/>
    <w:rsid w:val="0093020A"/>
    <w:rsid w:val="009304D7"/>
    <w:rsid w:val="00930D70"/>
    <w:rsid w:val="00930E15"/>
    <w:rsid w:val="009312BE"/>
    <w:rsid w:val="00931919"/>
    <w:rsid w:val="00931931"/>
    <w:rsid w:val="00931A55"/>
    <w:rsid w:val="00931B44"/>
    <w:rsid w:val="00932005"/>
    <w:rsid w:val="00932139"/>
    <w:rsid w:val="009323D5"/>
    <w:rsid w:val="00932ADB"/>
    <w:rsid w:val="00932DD3"/>
    <w:rsid w:val="00932F87"/>
    <w:rsid w:val="00933828"/>
    <w:rsid w:val="009339BB"/>
    <w:rsid w:val="00933E54"/>
    <w:rsid w:val="009340CF"/>
    <w:rsid w:val="00934760"/>
    <w:rsid w:val="009348AC"/>
    <w:rsid w:val="00935B16"/>
    <w:rsid w:val="00935BA3"/>
    <w:rsid w:val="00935DE5"/>
    <w:rsid w:val="00936163"/>
    <w:rsid w:val="009365A7"/>
    <w:rsid w:val="00937187"/>
    <w:rsid w:val="0094000F"/>
    <w:rsid w:val="00940041"/>
    <w:rsid w:val="0094008B"/>
    <w:rsid w:val="00940896"/>
    <w:rsid w:val="009408AD"/>
    <w:rsid w:val="00940B28"/>
    <w:rsid w:val="00940E69"/>
    <w:rsid w:val="00940F2D"/>
    <w:rsid w:val="009417FB"/>
    <w:rsid w:val="00941D74"/>
    <w:rsid w:val="00942076"/>
    <w:rsid w:val="00942415"/>
    <w:rsid w:val="00942AD0"/>
    <w:rsid w:val="00942F1B"/>
    <w:rsid w:val="009431BD"/>
    <w:rsid w:val="00943635"/>
    <w:rsid w:val="00943984"/>
    <w:rsid w:val="009445D3"/>
    <w:rsid w:val="0094473E"/>
    <w:rsid w:val="00944AFA"/>
    <w:rsid w:val="00944E66"/>
    <w:rsid w:val="009450BD"/>
    <w:rsid w:val="00945122"/>
    <w:rsid w:val="0094593B"/>
    <w:rsid w:val="009459DC"/>
    <w:rsid w:val="00945D7F"/>
    <w:rsid w:val="0094697F"/>
    <w:rsid w:val="00946F54"/>
    <w:rsid w:val="009471BA"/>
    <w:rsid w:val="0094756B"/>
    <w:rsid w:val="00947B63"/>
    <w:rsid w:val="0095021D"/>
    <w:rsid w:val="00950432"/>
    <w:rsid w:val="009507B3"/>
    <w:rsid w:val="0095089D"/>
    <w:rsid w:val="009511B7"/>
    <w:rsid w:val="00951911"/>
    <w:rsid w:val="00951ABA"/>
    <w:rsid w:val="0095210E"/>
    <w:rsid w:val="009523CC"/>
    <w:rsid w:val="00952955"/>
    <w:rsid w:val="00952B4A"/>
    <w:rsid w:val="00952E8C"/>
    <w:rsid w:val="00952EAB"/>
    <w:rsid w:val="00952FC7"/>
    <w:rsid w:val="0095353A"/>
    <w:rsid w:val="00953BAF"/>
    <w:rsid w:val="00953D6A"/>
    <w:rsid w:val="0095404A"/>
    <w:rsid w:val="00954497"/>
    <w:rsid w:val="00954788"/>
    <w:rsid w:val="00954E71"/>
    <w:rsid w:val="00955A25"/>
    <w:rsid w:val="00955C4F"/>
    <w:rsid w:val="00955DE2"/>
    <w:rsid w:val="0095634C"/>
    <w:rsid w:val="009567A2"/>
    <w:rsid w:val="00956950"/>
    <w:rsid w:val="00956B57"/>
    <w:rsid w:val="00956F52"/>
    <w:rsid w:val="009572D3"/>
    <w:rsid w:val="009604AF"/>
    <w:rsid w:val="009604F0"/>
    <w:rsid w:val="009606F7"/>
    <w:rsid w:val="00960CCB"/>
    <w:rsid w:val="0096107A"/>
    <w:rsid w:val="00961358"/>
    <w:rsid w:val="00961421"/>
    <w:rsid w:val="00961652"/>
    <w:rsid w:val="00961C2A"/>
    <w:rsid w:val="00961F69"/>
    <w:rsid w:val="009620D1"/>
    <w:rsid w:val="009623A7"/>
    <w:rsid w:val="00962A60"/>
    <w:rsid w:val="00962C67"/>
    <w:rsid w:val="00962D05"/>
    <w:rsid w:val="00962EDD"/>
    <w:rsid w:val="00962EFC"/>
    <w:rsid w:val="00962FD7"/>
    <w:rsid w:val="0096339E"/>
    <w:rsid w:val="009633CF"/>
    <w:rsid w:val="00963794"/>
    <w:rsid w:val="00963909"/>
    <w:rsid w:val="00963996"/>
    <w:rsid w:val="00963D4E"/>
    <w:rsid w:val="00963F4D"/>
    <w:rsid w:val="00964042"/>
    <w:rsid w:val="00964215"/>
    <w:rsid w:val="00964530"/>
    <w:rsid w:val="0096480B"/>
    <w:rsid w:val="00965006"/>
    <w:rsid w:val="00965BD7"/>
    <w:rsid w:val="009662C8"/>
    <w:rsid w:val="0096638C"/>
    <w:rsid w:val="009666AE"/>
    <w:rsid w:val="00966884"/>
    <w:rsid w:val="00966D55"/>
    <w:rsid w:val="00967B93"/>
    <w:rsid w:val="00967DDD"/>
    <w:rsid w:val="00970357"/>
    <w:rsid w:val="00970813"/>
    <w:rsid w:val="0097088B"/>
    <w:rsid w:val="00970C33"/>
    <w:rsid w:val="00971282"/>
    <w:rsid w:val="009716CA"/>
    <w:rsid w:val="00971CDE"/>
    <w:rsid w:val="00971E75"/>
    <w:rsid w:val="00972129"/>
    <w:rsid w:val="009729C1"/>
    <w:rsid w:val="00972A70"/>
    <w:rsid w:val="0097363B"/>
    <w:rsid w:val="00973AD9"/>
    <w:rsid w:val="00973ECD"/>
    <w:rsid w:val="00974085"/>
    <w:rsid w:val="009744CD"/>
    <w:rsid w:val="009748D6"/>
    <w:rsid w:val="00975066"/>
    <w:rsid w:val="00975161"/>
    <w:rsid w:val="0097567C"/>
    <w:rsid w:val="00975FB1"/>
    <w:rsid w:val="00975FB7"/>
    <w:rsid w:val="00976017"/>
    <w:rsid w:val="009761E0"/>
    <w:rsid w:val="00976B93"/>
    <w:rsid w:val="00976BF7"/>
    <w:rsid w:val="00976C11"/>
    <w:rsid w:val="00976DB7"/>
    <w:rsid w:val="009772CD"/>
    <w:rsid w:val="00977360"/>
    <w:rsid w:val="0097784C"/>
    <w:rsid w:val="00977BC1"/>
    <w:rsid w:val="00977CB2"/>
    <w:rsid w:val="00977CCA"/>
    <w:rsid w:val="00977E1C"/>
    <w:rsid w:val="0098036F"/>
    <w:rsid w:val="00980429"/>
    <w:rsid w:val="00980F17"/>
    <w:rsid w:val="009812DF"/>
    <w:rsid w:val="00981757"/>
    <w:rsid w:val="00981C7E"/>
    <w:rsid w:val="00981EA4"/>
    <w:rsid w:val="00982237"/>
    <w:rsid w:val="00982AA4"/>
    <w:rsid w:val="00982B02"/>
    <w:rsid w:val="00982B12"/>
    <w:rsid w:val="00982BA4"/>
    <w:rsid w:val="009834DF"/>
    <w:rsid w:val="009834EB"/>
    <w:rsid w:val="00983605"/>
    <w:rsid w:val="009836ED"/>
    <w:rsid w:val="009839A6"/>
    <w:rsid w:val="00983EA7"/>
    <w:rsid w:val="00983F99"/>
    <w:rsid w:val="009841C3"/>
    <w:rsid w:val="00984203"/>
    <w:rsid w:val="00984524"/>
    <w:rsid w:val="009846D3"/>
    <w:rsid w:val="00984808"/>
    <w:rsid w:val="00984AF6"/>
    <w:rsid w:val="00984B9E"/>
    <w:rsid w:val="00984C0B"/>
    <w:rsid w:val="00985369"/>
    <w:rsid w:val="00985612"/>
    <w:rsid w:val="00985EA5"/>
    <w:rsid w:val="009860C3"/>
    <w:rsid w:val="0098643C"/>
    <w:rsid w:val="00986601"/>
    <w:rsid w:val="00986C99"/>
    <w:rsid w:val="0098719A"/>
    <w:rsid w:val="009877DF"/>
    <w:rsid w:val="00987ACF"/>
    <w:rsid w:val="00987D91"/>
    <w:rsid w:val="00990131"/>
    <w:rsid w:val="009901F9"/>
    <w:rsid w:val="009902CE"/>
    <w:rsid w:val="00990754"/>
    <w:rsid w:val="009909F6"/>
    <w:rsid w:val="00990A99"/>
    <w:rsid w:val="00990D86"/>
    <w:rsid w:val="009910BB"/>
    <w:rsid w:val="0099165D"/>
    <w:rsid w:val="0099180E"/>
    <w:rsid w:val="00991A79"/>
    <w:rsid w:val="00991D85"/>
    <w:rsid w:val="0099266C"/>
    <w:rsid w:val="0099274C"/>
    <w:rsid w:val="00992A8B"/>
    <w:rsid w:val="00993427"/>
    <w:rsid w:val="009937FF"/>
    <w:rsid w:val="00993E1D"/>
    <w:rsid w:val="00993E85"/>
    <w:rsid w:val="0099429D"/>
    <w:rsid w:val="00994DE5"/>
    <w:rsid w:val="00994E96"/>
    <w:rsid w:val="00994EBA"/>
    <w:rsid w:val="0099501D"/>
    <w:rsid w:val="00995279"/>
    <w:rsid w:val="00995391"/>
    <w:rsid w:val="009953A6"/>
    <w:rsid w:val="0099578C"/>
    <w:rsid w:val="00995843"/>
    <w:rsid w:val="00995982"/>
    <w:rsid w:val="00995A30"/>
    <w:rsid w:val="00995B06"/>
    <w:rsid w:val="00995BDC"/>
    <w:rsid w:val="009966D4"/>
    <w:rsid w:val="00996AF1"/>
    <w:rsid w:val="00996B48"/>
    <w:rsid w:val="009971D8"/>
    <w:rsid w:val="009A00DD"/>
    <w:rsid w:val="009A0294"/>
    <w:rsid w:val="009A0399"/>
    <w:rsid w:val="009A08D4"/>
    <w:rsid w:val="009A0959"/>
    <w:rsid w:val="009A09FB"/>
    <w:rsid w:val="009A0DE7"/>
    <w:rsid w:val="009A17CC"/>
    <w:rsid w:val="009A1ACC"/>
    <w:rsid w:val="009A2120"/>
    <w:rsid w:val="009A2190"/>
    <w:rsid w:val="009A249F"/>
    <w:rsid w:val="009A2638"/>
    <w:rsid w:val="009A27B3"/>
    <w:rsid w:val="009A2B73"/>
    <w:rsid w:val="009A2D1F"/>
    <w:rsid w:val="009A2D96"/>
    <w:rsid w:val="009A2DD7"/>
    <w:rsid w:val="009A3007"/>
    <w:rsid w:val="009A36DA"/>
    <w:rsid w:val="009A39CA"/>
    <w:rsid w:val="009A4431"/>
    <w:rsid w:val="009A468B"/>
    <w:rsid w:val="009A4BEE"/>
    <w:rsid w:val="009A4C27"/>
    <w:rsid w:val="009A4C41"/>
    <w:rsid w:val="009A4F9D"/>
    <w:rsid w:val="009A5112"/>
    <w:rsid w:val="009A55C9"/>
    <w:rsid w:val="009A5897"/>
    <w:rsid w:val="009A5CF5"/>
    <w:rsid w:val="009A5E14"/>
    <w:rsid w:val="009A5EB9"/>
    <w:rsid w:val="009A617C"/>
    <w:rsid w:val="009A64D3"/>
    <w:rsid w:val="009A67E5"/>
    <w:rsid w:val="009A71D9"/>
    <w:rsid w:val="009A71E5"/>
    <w:rsid w:val="009A71EC"/>
    <w:rsid w:val="009A7E82"/>
    <w:rsid w:val="009B0260"/>
    <w:rsid w:val="009B067B"/>
    <w:rsid w:val="009B1326"/>
    <w:rsid w:val="009B18EA"/>
    <w:rsid w:val="009B1A87"/>
    <w:rsid w:val="009B1F5F"/>
    <w:rsid w:val="009B1F7F"/>
    <w:rsid w:val="009B20A7"/>
    <w:rsid w:val="009B2380"/>
    <w:rsid w:val="009B2E9D"/>
    <w:rsid w:val="009B3216"/>
    <w:rsid w:val="009B3C45"/>
    <w:rsid w:val="009B4049"/>
    <w:rsid w:val="009B4543"/>
    <w:rsid w:val="009B4FBD"/>
    <w:rsid w:val="009B5505"/>
    <w:rsid w:val="009B55D2"/>
    <w:rsid w:val="009B5647"/>
    <w:rsid w:val="009B58E6"/>
    <w:rsid w:val="009B5B89"/>
    <w:rsid w:val="009B5C01"/>
    <w:rsid w:val="009B5DC2"/>
    <w:rsid w:val="009B6B28"/>
    <w:rsid w:val="009B6BE4"/>
    <w:rsid w:val="009B6D0C"/>
    <w:rsid w:val="009B70A6"/>
    <w:rsid w:val="009B799C"/>
    <w:rsid w:val="009B7EA2"/>
    <w:rsid w:val="009C001E"/>
    <w:rsid w:val="009C0294"/>
    <w:rsid w:val="009C0693"/>
    <w:rsid w:val="009C0A7F"/>
    <w:rsid w:val="009C112B"/>
    <w:rsid w:val="009C11B9"/>
    <w:rsid w:val="009C14A6"/>
    <w:rsid w:val="009C22B1"/>
    <w:rsid w:val="009C26A7"/>
    <w:rsid w:val="009C27C8"/>
    <w:rsid w:val="009C2878"/>
    <w:rsid w:val="009C3088"/>
    <w:rsid w:val="009C333B"/>
    <w:rsid w:val="009C3BD2"/>
    <w:rsid w:val="009C4245"/>
    <w:rsid w:val="009C463C"/>
    <w:rsid w:val="009C4846"/>
    <w:rsid w:val="009C4A7A"/>
    <w:rsid w:val="009C4B6A"/>
    <w:rsid w:val="009C526B"/>
    <w:rsid w:val="009C5A47"/>
    <w:rsid w:val="009C5BB2"/>
    <w:rsid w:val="009C5D20"/>
    <w:rsid w:val="009C5F9E"/>
    <w:rsid w:val="009C612B"/>
    <w:rsid w:val="009C62A0"/>
    <w:rsid w:val="009C67A6"/>
    <w:rsid w:val="009C681E"/>
    <w:rsid w:val="009C73C1"/>
    <w:rsid w:val="009C7489"/>
    <w:rsid w:val="009C7A53"/>
    <w:rsid w:val="009D046A"/>
    <w:rsid w:val="009D048B"/>
    <w:rsid w:val="009D050F"/>
    <w:rsid w:val="009D08F3"/>
    <w:rsid w:val="009D0938"/>
    <w:rsid w:val="009D0B8F"/>
    <w:rsid w:val="009D0C50"/>
    <w:rsid w:val="009D1BF4"/>
    <w:rsid w:val="009D2160"/>
    <w:rsid w:val="009D2462"/>
    <w:rsid w:val="009D2EFB"/>
    <w:rsid w:val="009D2F40"/>
    <w:rsid w:val="009D30DB"/>
    <w:rsid w:val="009D31C1"/>
    <w:rsid w:val="009D35FE"/>
    <w:rsid w:val="009D3921"/>
    <w:rsid w:val="009D4CD4"/>
    <w:rsid w:val="009D4FEB"/>
    <w:rsid w:val="009D5CF5"/>
    <w:rsid w:val="009D5DB1"/>
    <w:rsid w:val="009D5E67"/>
    <w:rsid w:val="009D63E1"/>
    <w:rsid w:val="009D68B2"/>
    <w:rsid w:val="009E0050"/>
    <w:rsid w:val="009E01BF"/>
    <w:rsid w:val="009E03D5"/>
    <w:rsid w:val="009E085F"/>
    <w:rsid w:val="009E09A9"/>
    <w:rsid w:val="009E0E2C"/>
    <w:rsid w:val="009E1054"/>
    <w:rsid w:val="009E1D88"/>
    <w:rsid w:val="009E209F"/>
    <w:rsid w:val="009E23DF"/>
    <w:rsid w:val="009E2720"/>
    <w:rsid w:val="009E336C"/>
    <w:rsid w:val="009E348D"/>
    <w:rsid w:val="009E3A4E"/>
    <w:rsid w:val="009E4491"/>
    <w:rsid w:val="009E4A15"/>
    <w:rsid w:val="009E4BED"/>
    <w:rsid w:val="009E4C6F"/>
    <w:rsid w:val="009E5468"/>
    <w:rsid w:val="009E5489"/>
    <w:rsid w:val="009E54D3"/>
    <w:rsid w:val="009E623C"/>
    <w:rsid w:val="009E78B7"/>
    <w:rsid w:val="009E791E"/>
    <w:rsid w:val="009E792C"/>
    <w:rsid w:val="009E7E8F"/>
    <w:rsid w:val="009F0264"/>
    <w:rsid w:val="009F067A"/>
    <w:rsid w:val="009F0B3C"/>
    <w:rsid w:val="009F0E46"/>
    <w:rsid w:val="009F1422"/>
    <w:rsid w:val="009F19EB"/>
    <w:rsid w:val="009F1C1A"/>
    <w:rsid w:val="009F1CCA"/>
    <w:rsid w:val="009F1CDF"/>
    <w:rsid w:val="009F1D31"/>
    <w:rsid w:val="009F1DCA"/>
    <w:rsid w:val="009F1DDD"/>
    <w:rsid w:val="009F2AF6"/>
    <w:rsid w:val="009F2D01"/>
    <w:rsid w:val="009F300E"/>
    <w:rsid w:val="009F352D"/>
    <w:rsid w:val="009F3820"/>
    <w:rsid w:val="009F3861"/>
    <w:rsid w:val="009F3BC4"/>
    <w:rsid w:val="009F4752"/>
    <w:rsid w:val="009F4E04"/>
    <w:rsid w:val="009F5732"/>
    <w:rsid w:val="009F64D6"/>
    <w:rsid w:val="009F685E"/>
    <w:rsid w:val="009F6C06"/>
    <w:rsid w:val="009F6E03"/>
    <w:rsid w:val="009F7CDD"/>
    <w:rsid w:val="009F7D4A"/>
    <w:rsid w:val="00A005CF"/>
    <w:rsid w:val="00A0085F"/>
    <w:rsid w:val="00A016B3"/>
    <w:rsid w:val="00A016D2"/>
    <w:rsid w:val="00A0197A"/>
    <w:rsid w:val="00A01B15"/>
    <w:rsid w:val="00A01C2E"/>
    <w:rsid w:val="00A01D5F"/>
    <w:rsid w:val="00A02000"/>
    <w:rsid w:val="00A0212E"/>
    <w:rsid w:val="00A02323"/>
    <w:rsid w:val="00A0259E"/>
    <w:rsid w:val="00A02996"/>
    <w:rsid w:val="00A02C31"/>
    <w:rsid w:val="00A02F40"/>
    <w:rsid w:val="00A03059"/>
    <w:rsid w:val="00A034C3"/>
    <w:rsid w:val="00A03619"/>
    <w:rsid w:val="00A03C42"/>
    <w:rsid w:val="00A03EAF"/>
    <w:rsid w:val="00A03FDC"/>
    <w:rsid w:val="00A043E6"/>
    <w:rsid w:val="00A047F5"/>
    <w:rsid w:val="00A0505B"/>
    <w:rsid w:val="00A0537E"/>
    <w:rsid w:val="00A055DB"/>
    <w:rsid w:val="00A05DE8"/>
    <w:rsid w:val="00A0615B"/>
    <w:rsid w:val="00A06183"/>
    <w:rsid w:val="00A06327"/>
    <w:rsid w:val="00A06EC0"/>
    <w:rsid w:val="00A07878"/>
    <w:rsid w:val="00A07941"/>
    <w:rsid w:val="00A07DF7"/>
    <w:rsid w:val="00A10245"/>
    <w:rsid w:val="00A10680"/>
    <w:rsid w:val="00A10ED7"/>
    <w:rsid w:val="00A11496"/>
    <w:rsid w:val="00A11611"/>
    <w:rsid w:val="00A11D19"/>
    <w:rsid w:val="00A12364"/>
    <w:rsid w:val="00A1272C"/>
    <w:rsid w:val="00A129C5"/>
    <w:rsid w:val="00A12BD3"/>
    <w:rsid w:val="00A131A2"/>
    <w:rsid w:val="00A131F9"/>
    <w:rsid w:val="00A140F3"/>
    <w:rsid w:val="00A143A2"/>
    <w:rsid w:val="00A14693"/>
    <w:rsid w:val="00A14F2A"/>
    <w:rsid w:val="00A15A7B"/>
    <w:rsid w:val="00A16372"/>
    <w:rsid w:val="00A16633"/>
    <w:rsid w:val="00A166B0"/>
    <w:rsid w:val="00A16733"/>
    <w:rsid w:val="00A16977"/>
    <w:rsid w:val="00A169AA"/>
    <w:rsid w:val="00A16A7D"/>
    <w:rsid w:val="00A16AE4"/>
    <w:rsid w:val="00A1727B"/>
    <w:rsid w:val="00A1736B"/>
    <w:rsid w:val="00A1766A"/>
    <w:rsid w:val="00A176F1"/>
    <w:rsid w:val="00A1785B"/>
    <w:rsid w:val="00A203A9"/>
    <w:rsid w:val="00A209E6"/>
    <w:rsid w:val="00A20CA7"/>
    <w:rsid w:val="00A21612"/>
    <w:rsid w:val="00A21ACF"/>
    <w:rsid w:val="00A21BF3"/>
    <w:rsid w:val="00A22B78"/>
    <w:rsid w:val="00A231BD"/>
    <w:rsid w:val="00A234FE"/>
    <w:rsid w:val="00A235DC"/>
    <w:rsid w:val="00A236DD"/>
    <w:rsid w:val="00A2382F"/>
    <w:rsid w:val="00A2387B"/>
    <w:rsid w:val="00A23BD9"/>
    <w:rsid w:val="00A23CFB"/>
    <w:rsid w:val="00A23F94"/>
    <w:rsid w:val="00A24055"/>
    <w:rsid w:val="00A241A3"/>
    <w:rsid w:val="00A24B10"/>
    <w:rsid w:val="00A24B3D"/>
    <w:rsid w:val="00A24D49"/>
    <w:rsid w:val="00A253C3"/>
    <w:rsid w:val="00A25727"/>
    <w:rsid w:val="00A2577A"/>
    <w:rsid w:val="00A25E1F"/>
    <w:rsid w:val="00A26628"/>
    <w:rsid w:val="00A26636"/>
    <w:rsid w:val="00A269C7"/>
    <w:rsid w:val="00A276EB"/>
    <w:rsid w:val="00A27796"/>
    <w:rsid w:val="00A27C73"/>
    <w:rsid w:val="00A27D24"/>
    <w:rsid w:val="00A27E0F"/>
    <w:rsid w:val="00A304AE"/>
    <w:rsid w:val="00A306B0"/>
    <w:rsid w:val="00A309C1"/>
    <w:rsid w:val="00A30A30"/>
    <w:rsid w:val="00A30A9D"/>
    <w:rsid w:val="00A3189A"/>
    <w:rsid w:val="00A31E12"/>
    <w:rsid w:val="00A32460"/>
    <w:rsid w:val="00A3273C"/>
    <w:rsid w:val="00A32931"/>
    <w:rsid w:val="00A330F8"/>
    <w:rsid w:val="00A33109"/>
    <w:rsid w:val="00A3325B"/>
    <w:rsid w:val="00A3390C"/>
    <w:rsid w:val="00A33982"/>
    <w:rsid w:val="00A339D5"/>
    <w:rsid w:val="00A33B81"/>
    <w:rsid w:val="00A34238"/>
    <w:rsid w:val="00A34385"/>
    <w:rsid w:val="00A343D1"/>
    <w:rsid w:val="00A34644"/>
    <w:rsid w:val="00A349CA"/>
    <w:rsid w:val="00A34B32"/>
    <w:rsid w:val="00A34CD2"/>
    <w:rsid w:val="00A35038"/>
    <w:rsid w:val="00A3506D"/>
    <w:rsid w:val="00A3518E"/>
    <w:rsid w:val="00A355A8"/>
    <w:rsid w:val="00A35AD6"/>
    <w:rsid w:val="00A36C35"/>
    <w:rsid w:val="00A36E85"/>
    <w:rsid w:val="00A37BA6"/>
    <w:rsid w:val="00A37CA3"/>
    <w:rsid w:val="00A37CB9"/>
    <w:rsid w:val="00A37D4F"/>
    <w:rsid w:val="00A40882"/>
    <w:rsid w:val="00A40922"/>
    <w:rsid w:val="00A410F1"/>
    <w:rsid w:val="00A4116A"/>
    <w:rsid w:val="00A41937"/>
    <w:rsid w:val="00A41E3C"/>
    <w:rsid w:val="00A42D59"/>
    <w:rsid w:val="00A4334A"/>
    <w:rsid w:val="00A43881"/>
    <w:rsid w:val="00A43CCA"/>
    <w:rsid w:val="00A43E1D"/>
    <w:rsid w:val="00A4438F"/>
    <w:rsid w:val="00A4441D"/>
    <w:rsid w:val="00A44838"/>
    <w:rsid w:val="00A44AAD"/>
    <w:rsid w:val="00A44B6E"/>
    <w:rsid w:val="00A44B9F"/>
    <w:rsid w:val="00A4597D"/>
    <w:rsid w:val="00A46220"/>
    <w:rsid w:val="00A464BA"/>
    <w:rsid w:val="00A46721"/>
    <w:rsid w:val="00A46F73"/>
    <w:rsid w:val="00A470B9"/>
    <w:rsid w:val="00A473B8"/>
    <w:rsid w:val="00A4767A"/>
    <w:rsid w:val="00A47692"/>
    <w:rsid w:val="00A47A62"/>
    <w:rsid w:val="00A500D7"/>
    <w:rsid w:val="00A5022A"/>
    <w:rsid w:val="00A50296"/>
    <w:rsid w:val="00A510AB"/>
    <w:rsid w:val="00A5187D"/>
    <w:rsid w:val="00A518FF"/>
    <w:rsid w:val="00A51E2E"/>
    <w:rsid w:val="00A51FD6"/>
    <w:rsid w:val="00A5278C"/>
    <w:rsid w:val="00A52934"/>
    <w:rsid w:val="00A52FC1"/>
    <w:rsid w:val="00A53475"/>
    <w:rsid w:val="00A53B19"/>
    <w:rsid w:val="00A53D7E"/>
    <w:rsid w:val="00A53F40"/>
    <w:rsid w:val="00A5416E"/>
    <w:rsid w:val="00A541AF"/>
    <w:rsid w:val="00A54C8F"/>
    <w:rsid w:val="00A550F6"/>
    <w:rsid w:val="00A55667"/>
    <w:rsid w:val="00A55B4C"/>
    <w:rsid w:val="00A567BF"/>
    <w:rsid w:val="00A567DF"/>
    <w:rsid w:val="00A5688B"/>
    <w:rsid w:val="00A56EB9"/>
    <w:rsid w:val="00A570C5"/>
    <w:rsid w:val="00A572B1"/>
    <w:rsid w:val="00A5786E"/>
    <w:rsid w:val="00A603DB"/>
    <w:rsid w:val="00A604F1"/>
    <w:rsid w:val="00A60CDC"/>
    <w:rsid w:val="00A61BB3"/>
    <w:rsid w:val="00A628DD"/>
    <w:rsid w:val="00A62AF1"/>
    <w:rsid w:val="00A62E61"/>
    <w:rsid w:val="00A633DA"/>
    <w:rsid w:val="00A63F4A"/>
    <w:rsid w:val="00A64A4B"/>
    <w:rsid w:val="00A64D39"/>
    <w:rsid w:val="00A64E67"/>
    <w:rsid w:val="00A64F6A"/>
    <w:rsid w:val="00A6511B"/>
    <w:rsid w:val="00A65219"/>
    <w:rsid w:val="00A65647"/>
    <w:rsid w:val="00A660CF"/>
    <w:rsid w:val="00A66373"/>
    <w:rsid w:val="00A664EF"/>
    <w:rsid w:val="00A6697F"/>
    <w:rsid w:val="00A66C68"/>
    <w:rsid w:val="00A66C9D"/>
    <w:rsid w:val="00A66D8F"/>
    <w:rsid w:val="00A67018"/>
    <w:rsid w:val="00A670D1"/>
    <w:rsid w:val="00A67608"/>
    <w:rsid w:val="00A67701"/>
    <w:rsid w:val="00A67A32"/>
    <w:rsid w:val="00A67D84"/>
    <w:rsid w:val="00A67E30"/>
    <w:rsid w:val="00A67F86"/>
    <w:rsid w:val="00A70145"/>
    <w:rsid w:val="00A706D3"/>
    <w:rsid w:val="00A70ED7"/>
    <w:rsid w:val="00A71664"/>
    <w:rsid w:val="00A716D9"/>
    <w:rsid w:val="00A72384"/>
    <w:rsid w:val="00A7243C"/>
    <w:rsid w:val="00A729C3"/>
    <w:rsid w:val="00A73043"/>
    <w:rsid w:val="00A7331B"/>
    <w:rsid w:val="00A736DE"/>
    <w:rsid w:val="00A73C87"/>
    <w:rsid w:val="00A74121"/>
    <w:rsid w:val="00A74608"/>
    <w:rsid w:val="00A74784"/>
    <w:rsid w:val="00A750AD"/>
    <w:rsid w:val="00A754B0"/>
    <w:rsid w:val="00A7555A"/>
    <w:rsid w:val="00A76254"/>
    <w:rsid w:val="00A76578"/>
    <w:rsid w:val="00A76B41"/>
    <w:rsid w:val="00A772E8"/>
    <w:rsid w:val="00A772E9"/>
    <w:rsid w:val="00A7785D"/>
    <w:rsid w:val="00A77B7B"/>
    <w:rsid w:val="00A801F8"/>
    <w:rsid w:val="00A8091B"/>
    <w:rsid w:val="00A80B75"/>
    <w:rsid w:val="00A80C4F"/>
    <w:rsid w:val="00A80D65"/>
    <w:rsid w:val="00A81ADE"/>
    <w:rsid w:val="00A81C52"/>
    <w:rsid w:val="00A82516"/>
    <w:rsid w:val="00A82659"/>
    <w:rsid w:val="00A82992"/>
    <w:rsid w:val="00A82BF1"/>
    <w:rsid w:val="00A830B0"/>
    <w:rsid w:val="00A831A2"/>
    <w:rsid w:val="00A83251"/>
    <w:rsid w:val="00A83AFD"/>
    <w:rsid w:val="00A8455D"/>
    <w:rsid w:val="00A850D4"/>
    <w:rsid w:val="00A85141"/>
    <w:rsid w:val="00A85243"/>
    <w:rsid w:val="00A85451"/>
    <w:rsid w:val="00A857F2"/>
    <w:rsid w:val="00A85A53"/>
    <w:rsid w:val="00A85B6D"/>
    <w:rsid w:val="00A86223"/>
    <w:rsid w:val="00A864E8"/>
    <w:rsid w:val="00A8652C"/>
    <w:rsid w:val="00A867A1"/>
    <w:rsid w:val="00A875D1"/>
    <w:rsid w:val="00A87BD0"/>
    <w:rsid w:val="00A900F8"/>
    <w:rsid w:val="00A90136"/>
    <w:rsid w:val="00A902F7"/>
    <w:rsid w:val="00A903D8"/>
    <w:rsid w:val="00A907E7"/>
    <w:rsid w:val="00A90959"/>
    <w:rsid w:val="00A9102A"/>
    <w:rsid w:val="00A91378"/>
    <w:rsid w:val="00A91601"/>
    <w:rsid w:val="00A91C3C"/>
    <w:rsid w:val="00A91C83"/>
    <w:rsid w:val="00A920DB"/>
    <w:rsid w:val="00A921D5"/>
    <w:rsid w:val="00A92408"/>
    <w:rsid w:val="00A92B00"/>
    <w:rsid w:val="00A92D66"/>
    <w:rsid w:val="00A93343"/>
    <w:rsid w:val="00A933ED"/>
    <w:rsid w:val="00A93417"/>
    <w:rsid w:val="00A93A2C"/>
    <w:rsid w:val="00A9420D"/>
    <w:rsid w:val="00A9432D"/>
    <w:rsid w:val="00A946C3"/>
    <w:rsid w:val="00A94B17"/>
    <w:rsid w:val="00A94BE7"/>
    <w:rsid w:val="00A94BF5"/>
    <w:rsid w:val="00A9534A"/>
    <w:rsid w:val="00A95721"/>
    <w:rsid w:val="00A95B8C"/>
    <w:rsid w:val="00A95C00"/>
    <w:rsid w:val="00A960A8"/>
    <w:rsid w:val="00A9653A"/>
    <w:rsid w:val="00A96762"/>
    <w:rsid w:val="00A967E8"/>
    <w:rsid w:val="00A96D61"/>
    <w:rsid w:val="00A96FBB"/>
    <w:rsid w:val="00A97200"/>
    <w:rsid w:val="00A977C8"/>
    <w:rsid w:val="00A97F5B"/>
    <w:rsid w:val="00AA01AC"/>
    <w:rsid w:val="00AA0227"/>
    <w:rsid w:val="00AA051A"/>
    <w:rsid w:val="00AA0DD3"/>
    <w:rsid w:val="00AA0E49"/>
    <w:rsid w:val="00AA105D"/>
    <w:rsid w:val="00AA164A"/>
    <w:rsid w:val="00AA279C"/>
    <w:rsid w:val="00AA2896"/>
    <w:rsid w:val="00AA2BD6"/>
    <w:rsid w:val="00AA2F38"/>
    <w:rsid w:val="00AA2FEA"/>
    <w:rsid w:val="00AA32A4"/>
    <w:rsid w:val="00AA4460"/>
    <w:rsid w:val="00AA45B6"/>
    <w:rsid w:val="00AA4644"/>
    <w:rsid w:val="00AA4AD7"/>
    <w:rsid w:val="00AA4AF8"/>
    <w:rsid w:val="00AA4F9B"/>
    <w:rsid w:val="00AA5041"/>
    <w:rsid w:val="00AA5DE0"/>
    <w:rsid w:val="00AA5F5D"/>
    <w:rsid w:val="00AA632A"/>
    <w:rsid w:val="00AA6DCC"/>
    <w:rsid w:val="00AA6E42"/>
    <w:rsid w:val="00AA7029"/>
    <w:rsid w:val="00AA716D"/>
    <w:rsid w:val="00AA7889"/>
    <w:rsid w:val="00AA7BE4"/>
    <w:rsid w:val="00AB0076"/>
    <w:rsid w:val="00AB019A"/>
    <w:rsid w:val="00AB01A5"/>
    <w:rsid w:val="00AB0830"/>
    <w:rsid w:val="00AB0B09"/>
    <w:rsid w:val="00AB0E42"/>
    <w:rsid w:val="00AB0FC9"/>
    <w:rsid w:val="00AB1667"/>
    <w:rsid w:val="00AB1719"/>
    <w:rsid w:val="00AB303E"/>
    <w:rsid w:val="00AB349C"/>
    <w:rsid w:val="00AB34F4"/>
    <w:rsid w:val="00AB4040"/>
    <w:rsid w:val="00AB4497"/>
    <w:rsid w:val="00AB5045"/>
    <w:rsid w:val="00AB5AC8"/>
    <w:rsid w:val="00AB5BBB"/>
    <w:rsid w:val="00AB5BFB"/>
    <w:rsid w:val="00AB62B2"/>
    <w:rsid w:val="00AB65FC"/>
    <w:rsid w:val="00AB7267"/>
    <w:rsid w:val="00AB7917"/>
    <w:rsid w:val="00AB7B57"/>
    <w:rsid w:val="00AC02BE"/>
    <w:rsid w:val="00AC04AA"/>
    <w:rsid w:val="00AC066B"/>
    <w:rsid w:val="00AC0921"/>
    <w:rsid w:val="00AC0EDC"/>
    <w:rsid w:val="00AC1280"/>
    <w:rsid w:val="00AC1AB0"/>
    <w:rsid w:val="00AC1E97"/>
    <w:rsid w:val="00AC2994"/>
    <w:rsid w:val="00AC2E77"/>
    <w:rsid w:val="00AC2FD3"/>
    <w:rsid w:val="00AC3053"/>
    <w:rsid w:val="00AC336A"/>
    <w:rsid w:val="00AC3381"/>
    <w:rsid w:val="00AC3387"/>
    <w:rsid w:val="00AC341E"/>
    <w:rsid w:val="00AC37E6"/>
    <w:rsid w:val="00AC3EBE"/>
    <w:rsid w:val="00AC40A8"/>
    <w:rsid w:val="00AC4152"/>
    <w:rsid w:val="00AC4202"/>
    <w:rsid w:val="00AC4246"/>
    <w:rsid w:val="00AC4390"/>
    <w:rsid w:val="00AC4553"/>
    <w:rsid w:val="00AC493E"/>
    <w:rsid w:val="00AC55D8"/>
    <w:rsid w:val="00AC562E"/>
    <w:rsid w:val="00AC5637"/>
    <w:rsid w:val="00AC5AA7"/>
    <w:rsid w:val="00AC5C70"/>
    <w:rsid w:val="00AC6459"/>
    <w:rsid w:val="00AC666B"/>
    <w:rsid w:val="00AC67BE"/>
    <w:rsid w:val="00AC6F69"/>
    <w:rsid w:val="00AC78D3"/>
    <w:rsid w:val="00AC79C7"/>
    <w:rsid w:val="00AC7A83"/>
    <w:rsid w:val="00AD0206"/>
    <w:rsid w:val="00AD021A"/>
    <w:rsid w:val="00AD079A"/>
    <w:rsid w:val="00AD118D"/>
    <w:rsid w:val="00AD13E1"/>
    <w:rsid w:val="00AD145F"/>
    <w:rsid w:val="00AD15B4"/>
    <w:rsid w:val="00AD1789"/>
    <w:rsid w:val="00AD1B71"/>
    <w:rsid w:val="00AD1B7E"/>
    <w:rsid w:val="00AD1D20"/>
    <w:rsid w:val="00AD230D"/>
    <w:rsid w:val="00AD2A73"/>
    <w:rsid w:val="00AD3406"/>
    <w:rsid w:val="00AD3421"/>
    <w:rsid w:val="00AD351B"/>
    <w:rsid w:val="00AD3686"/>
    <w:rsid w:val="00AD38CF"/>
    <w:rsid w:val="00AD3944"/>
    <w:rsid w:val="00AD3C50"/>
    <w:rsid w:val="00AD3CB3"/>
    <w:rsid w:val="00AD3D5E"/>
    <w:rsid w:val="00AD4723"/>
    <w:rsid w:val="00AD492F"/>
    <w:rsid w:val="00AD5345"/>
    <w:rsid w:val="00AD5E24"/>
    <w:rsid w:val="00AD637B"/>
    <w:rsid w:val="00AD63D0"/>
    <w:rsid w:val="00AD67DA"/>
    <w:rsid w:val="00AD6804"/>
    <w:rsid w:val="00AD79A4"/>
    <w:rsid w:val="00AE09C7"/>
    <w:rsid w:val="00AE13F4"/>
    <w:rsid w:val="00AE2505"/>
    <w:rsid w:val="00AE31E0"/>
    <w:rsid w:val="00AE32FC"/>
    <w:rsid w:val="00AE3C8B"/>
    <w:rsid w:val="00AE3FE3"/>
    <w:rsid w:val="00AE43F0"/>
    <w:rsid w:val="00AE4414"/>
    <w:rsid w:val="00AE4E64"/>
    <w:rsid w:val="00AE51C8"/>
    <w:rsid w:val="00AE52EB"/>
    <w:rsid w:val="00AE560A"/>
    <w:rsid w:val="00AE5968"/>
    <w:rsid w:val="00AE5AB1"/>
    <w:rsid w:val="00AE5E1F"/>
    <w:rsid w:val="00AE5E53"/>
    <w:rsid w:val="00AE5EFB"/>
    <w:rsid w:val="00AE60C7"/>
    <w:rsid w:val="00AE6232"/>
    <w:rsid w:val="00AE62D1"/>
    <w:rsid w:val="00AE663D"/>
    <w:rsid w:val="00AE66E4"/>
    <w:rsid w:val="00AE7593"/>
    <w:rsid w:val="00AE7A59"/>
    <w:rsid w:val="00AE7D8E"/>
    <w:rsid w:val="00AE7F68"/>
    <w:rsid w:val="00AF015F"/>
    <w:rsid w:val="00AF0443"/>
    <w:rsid w:val="00AF0DD2"/>
    <w:rsid w:val="00AF1053"/>
    <w:rsid w:val="00AF1801"/>
    <w:rsid w:val="00AF1A18"/>
    <w:rsid w:val="00AF1C5D"/>
    <w:rsid w:val="00AF2C46"/>
    <w:rsid w:val="00AF2F62"/>
    <w:rsid w:val="00AF2FB6"/>
    <w:rsid w:val="00AF38A3"/>
    <w:rsid w:val="00AF4D25"/>
    <w:rsid w:val="00AF5BDA"/>
    <w:rsid w:val="00AF6965"/>
    <w:rsid w:val="00AF73C8"/>
    <w:rsid w:val="00AF73EB"/>
    <w:rsid w:val="00AF752D"/>
    <w:rsid w:val="00AF76F2"/>
    <w:rsid w:val="00AF7A48"/>
    <w:rsid w:val="00AF7B06"/>
    <w:rsid w:val="00B00121"/>
    <w:rsid w:val="00B00606"/>
    <w:rsid w:val="00B00757"/>
    <w:rsid w:val="00B00B3F"/>
    <w:rsid w:val="00B00DBE"/>
    <w:rsid w:val="00B00F5F"/>
    <w:rsid w:val="00B01301"/>
    <w:rsid w:val="00B01379"/>
    <w:rsid w:val="00B01A88"/>
    <w:rsid w:val="00B01EFF"/>
    <w:rsid w:val="00B020BC"/>
    <w:rsid w:val="00B0288C"/>
    <w:rsid w:val="00B02EDB"/>
    <w:rsid w:val="00B0377E"/>
    <w:rsid w:val="00B03BCC"/>
    <w:rsid w:val="00B0441F"/>
    <w:rsid w:val="00B04573"/>
    <w:rsid w:val="00B04CBC"/>
    <w:rsid w:val="00B04D76"/>
    <w:rsid w:val="00B051AD"/>
    <w:rsid w:val="00B0534A"/>
    <w:rsid w:val="00B0578A"/>
    <w:rsid w:val="00B0614F"/>
    <w:rsid w:val="00B067DD"/>
    <w:rsid w:val="00B06ADC"/>
    <w:rsid w:val="00B07419"/>
    <w:rsid w:val="00B07835"/>
    <w:rsid w:val="00B0788F"/>
    <w:rsid w:val="00B07B1D"/>
    <w:rsid w:val="00B07D44"/>
    <w:rsid w:val="00B07DC0"/>
    <w:rsid w:val="00B109E6"/>
    <w:rsid w:val="00B1150B"/>
    <w:rsid w:val="00B12CC0"/>
    <w:rsid w:val="00B12D0B"/>
    <w:rsid w:val="00B14190"/>
    <w:rsid w:val="00B14DB4"/>
    <w:rsid w:val="00B15262"/>
    <w:rsid w:val="00B15375"/>
    <w:rsid w:val="00B154AE"/>
    <w:rsid w:val="00B1613B"/>
    <w:rsid w:val="00B1623A"/>
    <w:rsid w:val="00B16A49"/>
    <w:rsid w:val="00B17E7B"/>
    <w:rsid w:val="00B20007"/>
    <w:rsid w:val="00B20253"/>
    <w:rsid w:val="00B203C7"/>
    <w:rsid w:val="00B20CF5"/>
    <w:rsid w:val="00B20F89"/>
    <w:rsid w:val="00B210E8"/>
    <w:rsid w:val="00B21148"/>
    <w:rsid w:val="00B214A5"/>
    <w:rsid w:val="00B21624"/>
    <w:rsid w:val="00B21A52"/>
    <w:rsid w:val="00B21B6F"/>
    <w:rsid w:val="00B224FB"/>
    <w:rsid w:val="00B22841"/>
    <w:rsid w:val="00B22D5A"/>
    <w:rsid w:val="00B23717"/>
    <w:rsid w:val="00B23A5F"/>
    <w:rsid w:val="00B23F90"/>
    <w:rsid w:val="00B242AA"/>
    <w:rsid w:val="00B2435F"/>
    <w:rsid w:val="00B24443"/>
    <w:rsid w:val="00B248D3"/>
    <w:rsid w:val="00B24C2F"/>
    <w:rsid w:val="00B24E23"/>
    <w:rsid w:val="00B24EB7"/>
    <w:rsid w:val="00B25552"/>
    <w:rsid w:val="00B255CA"/>
    <w:rsid w:val="00B25789"/>
    <w:rsid w:val="00B25C8C"/>
    <w:rsid w:val="00B26613"/>
    <w:rsid w:val="00B26AA5"/>
    <w:rsid w:val="00B26BEC"/>
    <w:rsid w:val="00B26C9D"/>
    <w:rsid w:val="00B2726C"/>
    <w:rsid w:val="00B277C8"/>
    <w:rsid w:val="00B300AF"/>
    <w:rsid w:val="00B300D8"/>
    <w:rsid w:val="00B302D8"/>
    <w:rsid w:val="00B305EF"/>
    <w:rsid w:val="00B30C32"/>
    <w:rsid w:val="00B314D4"/>
    <w:rsid w:val="00B31500"/>
    <w:rsid w:val="00B316C8"/>
    <w:rsid w:val="00B31C52"/>
    <w:rsid w:val="00B32081"/>
    <w:rsid w:val="00B32209"/>
    <w:rsid w:val="00B32DCF"/>
    <w:rsid w:val="00B33118"/>
    <w:rsid w:val="00B3412C"/>
    <w:rsid w:val="00B34351"/>
    <w:rsid w:val="00B34EE4"/>
    <w:rsid w:val="00B35771"/>
    <w:rsid w:val="00B35AFF"/>
    <w:rsid w:val="00B35B7C"/>
    <w:rsid w:val="00B35D57"/>
    <w:rsid w:val="00B35E83"/>
    <w:rsid w:val="00B364AF"/>
    <w:rsid w:val="00B36B6B"/>
    <w:rsid w:val="00B3708A"/>
    <w:rsid w:val="00B379C2"/>
    <w:rsid w:val="00B379DE"/>
    <w:rsid w:val="00B401B6"/>
    <w:rsid w:val="00B402F0"/>
    <w:rsid w:val="00B40D42"/>
    <w:rsid w:val="00B410E8"/>
    <w:rsid w:val="00B41603"/>
    <w:rsid w:val="00B41616"/>
    <w:rsid w:val="00B41D39"/>
    <w:rsid w:val="00B41E94"/>
    <w:rsid w:val="00B4290C"/>
    <w:rsid w:val="00B42BA4"/>
    <w:rsid w:val="00B433BD"/>
    <w:rsid w:val="00B43D87"/>
    <w:rsid w:val="00B43F5E"/>
    <w:rsid w:val="00B44114"/>
    <w:rsid w:val="00B444EA"/>
    <w:rsid w:val="00B4464E"/>
    <w:rsid w:val="00B450D6"/>
    <w:rsid w:val="00B45625"/>
    <w:rsid w:val="00B457FE"/>
    <w:rsid w:val="00B45901"/>
    <w:rsid w:val="00B45939"/>
    <w:rsid w:val="00B4656A"/>
    <w:rsid w:val="00B4712D"/>
    <w:rsid w:val="00B4758E"/>
    <w:rsid w:val="00B478C1"/>
    <w:rsid w:val="00B47C32"/>
    <w:rsid w:val="00B47C89"/>
    <w:rsid w:val="00B5010F"/>
    <w:rsid w:val="00B5013D"/>
    <w:rsid w:val="00B5126E"/>
    <w:rsid w:val="00B514A3"/>
    <w:rsid w:val="00B5206E"/>
    <w:rsid w:val="00B52137"/>
    <w:rsid w:val="00B524B4"/>
    <w:rsid w:val="00B5275E"/>
    <w:rsid w:val="00B52789"/>
    <w:rsid w:val="00B52ABE"/>
    <w:rsid w:val="00B52BC3"/>
    <w:rsid w:val="00B52C26"/>
    <w:rsid w:val="00B531FD"/>
    <w:rsid w:val="00B53346"/>
    <w:rsid w:val="00B533A3"/>
    <w:rsid w:val="00B534FA"/>
    <w:rsid w:val="00B5352E"/>
    <w:rsid w:val="00B53757"/>
    <w:rsid w:val="00B53928"/>
    <w:rsid w:val="00B53CE8"/>
    <w:rsid w:val="00B5435D"/>
    <w:rsid w:val="00B548B5"/>
    <w:rsid w:val="00B54AB1"/>
    <w:rsid w:val="00B55110"/>
    <w:rsid w:val="00B55578"/>
    <w:rsid w:val="00B55969"/>
    <w:rsid w:val="00B55C81"/>
    <w:rsid w:val="00B55FD7"/>
    <w:rsid w:val="00B56322"/>
    <w:rsid w:val="00B5702E"/>
    <w:rsid w:val="00B5776D"/>
    <w:rsid w:val="00B57AC2"/>
    <w:rsid w:val="00B57B1C"/>
    <w:rsid w:val="00B6029F"/>
    <w:rsid w:val="00B6030F"/>
    <w:rsid w:val="00B60899"/>
    <w:rsid w:val="00B60C45"/>
    <w:rsid w:val="00B6189A"/>
    <w:rsid w:val="00B61C50"/>
    <w:rsid w:val="00B623FF"/>
    <w:rsid w:val="00B625DE"/>
    <w:rsid w:val="00B62A7C"/>
    <w:rsid w:val="00B636D5"/>
    <w:rsid w:val="00B649B3"/>
    <w:rsid w:val="00B64A23"/>
    <w:rsid w:val="00B64D54"/>
    <w:rsid w:val="00B64DC6"/>
    <w:rsid w:val="00B65235"/>
    <w:rsid w:val="00B65AFC"/>
    <w:rsid w:val="00B663F7"/>
    <w:rsid w:val="00B6696F"/>
    <w:rsid w:val="00B66B1C"/>
    <w:rsid w:val="00B66BED"/>
    <w:rsid w:val="00B67B79"/>
    <w:rsid w:val="00B67D8A"/>
    <w:rsid w:val="00B67DFA"/>
    <w:rsid w:val="00B67E97"/>
    <w:rsid w:val="00B7084D"/>
    <w:rsid w:val="00B7116E"/>
    <w:rsid w:val="00B71502"/>
    <w:rsid w:val="00B72019"/>
    <w:rsid w:val="00B72108"/>
    <w:rsid w:val="00B722E3"/>
    <w:rsid w:val="00B72CE0"/>
    <w:rsid w:val="00B72FDC"/>
    <w:rsid w:val="00B732F0"/>
    <w:rsid w:val="00B734A4"/>
    <w:rsid w:val="00B7409D"/>
    <w:rsid w:val="00B7429C"/>
    <w:rsid w:val="00B74C71"/>
    <w:rsid w:val="00B7503F"/>
    <w:rsid w:val="00B750CE"/>
    <w:rsid w:val="00B7520B"/>
    <w:rsid w:val="00B75515"/>
    <w:rsid w:val="00B757FC"/>
    <w:rsid w:val="00B7586E"/>
    <w:rsid w:val="00B758D9"/>
    <w:rsid w:val="00B76011"/>
    <w:rsid w:val="00B764F9"/>
    <w:rsid w:val="00B76A70"/>
    <w:rsid w:val="00B76D77"/>
    <w:rsid w:val="00B76E46"/>
    <w:rsid w:val="00B76F08"/>
    <w:rsid w:val="00B7722F"/>
    <w:rsid w:val="00B77838"/>
    <w:rsid w:val="00B77B7F"/>
    <w:rsid w:val="00B77E53"/>
    <w:rsid w:val="00B77F9A"/>
    <w:rsid w:val="00B801C5"/>
    <w:rsid w:val="00B801DD"/>
    <w:rsid w:val="00B801EA"/>
    <w:rsid w:val="00B80621"/>
    <w:rsid w:val="00B8065D"/>
    <w:rsid w:val="00B80665"/>
    <w:rsid w:val="00B80B3A"/>
    <w:rsid w:val="00B80EEE"/>
    <w:rsid w:val="00B81451"/>
    <w:rsid w:val="00B8189E"/>
    <w:rsid w:val="00B819B9"/>
    <w:rsid w:val="00B819CC"/>
    <w:rsid w:val="00B81F09"/>
    <w:rsid w:val="00B82126"/>
    <w:rsid w:val="00B8248C"/>
    <w:rsid w:val="00B828CA"/>
    <w:rsid w:val="00B82BD3"/>
    <w:rsid w:val="00B82E3E"/>
    <w:rsid w:val="00B82FED"/>
    <w:rsid w:val="00B830C2"/>
    <w:rsid w:val="00B83708"/>
    <w:rsid w:val="00B83AF5"/>
    <w:rsid w:val="00B83C2A"/>
    <w:rsid w:val="00B83CA5"/>
    <w:rsid w:val="00B84B46"/>
    <w:rsid w:val="00B85386"/>
    <w:rsid w:val="00B85522"/>
    <w:rsid w:val="00B85555"/>
    <w:rsid w:val="00B8573B"/>
    <w:rsid w:val="00B857F5"/>
    <w:rsid w:val="00B86AC6"/>
    <w:rsid w:val="00B86F62"/>
    <w:rsid w:val="00B8726F"/>
    <w:rsid w:val="00B8748A"/>
    <w:rsid w:val="00B874B2"/>
    <w:rsid w:val="00B87972"/>
    <w:rsid w:val="00B87D47"/>
    <w:rsid w:val="00B87F92"/>
    <w:rsid w:val="00B9037B"/>
    <w:rsid w:val="00B904D1"/>
    <w:rsid w:val="00B90AE6"/>
    <w:rsid w:val="00B90F7A"/>
    <w:rsid w:val="00B91282"/>
    <w:rsid w:val="00B913E4"/>
    <w:rsid w:val="00B914B7"/>
    <w:rsid w:val="00B9179F"/>
    <w:rsid w:val="00B91820"/>
    <w:rsid w:val="00B91AD2"/>
    <w:rsid w:val="00B920E0"/>
    <w:rsid w:val="00B92880"/>
    <w:rsid w:val="00B92E9F"/>
    <w:rsid w:val="00B92FC4"/>
    <w:rsid w:val="00B9306C"/>
    <w:rsid w:val="00B93436"/>
    <w:rsid w:val="00B93650"/>
    <w:rsid w:val="00B9378F"/>
    <w:rsid w:val="00B94249"/>
    <w:rsid w:val="00B944DF"/>
    <w:rsid w:val="00B94611"/>
    <w:rsid w:val="00B94629"/>
    <w:rsid w:val="00B951BF"/>
    <w:rsid w:val="00B95AEB"/>
    <w:rsid w:val="00B9624B"/>
    <w:rsid w:val="00B9668F"/>
    <w:rsid w:val="00B966E7"/>
    <w:rsid w:val="00B96BBA"/>
    <w:rsid w:val="00B96EC3"/>
    <w:rsid w:val="00B97A50"/>
    <w:rsid w:val="00B97CB7"/>
    <w:rsid w:val="00B97E9E"/>
    <w:rsid w:val="00B97F87"/>
    <w:rsid w:val="00BA006D"/>
    <w:rsid w:val="00BA01E7"/>
    <w:rsid w:val="00BA145D"/>
    <w:rsid w:val="00BA16C3"/>
    <w:rsid w:val="00BA1B0B"/>
    <w:rsid w:val="00BA1C76"/>
    <w:rsid w:val="00BA2020"/>
    <w:rsid w:val="00BA275B"/>
    <w:rsid w:val="00BA2CB5"/>
    <w:rsid w:val="00BA2D40"/>
    <w:rsid w:val="00BA3034"/>
    <w:rsid w:val="00BA309E"/>
    <w:rsid w:val="00BA30F6"/>
    <w:rsid w:val="00BA350F"/>
    <w:rsid w:val="00BA36C0"/>
    <w:rsid w:val="00BA3B0A"/>
    <w:rsid w:val="00BA4D79"/>
    <w:rsid w:val="00BA555A"/>
    <w:rsid w:val="00BA55AB"/>
    <w:rsid w:val="00BA5B2E"/>
    <w:rsid w:val="00BA5B6C"/>
    <w:rsid w:val="00BA5C5A"/>
    <w:rsid w:val="00BA5D34"/>
    <w:rsid w:val="00BA6A1D"/>
    <w:rsid w:val="00BA7E0A"/>
    <w:rsid w:val="00BA7F6B"/>
    <w:rsid w:val="00BA7FB9"/>
    <w:rsid w:val="00BB010E"/>
    <w:rsid w:val="00BB0DE7"/>
    <w:rsid w:val="00BB12C5"/>
    <w:rsid w:val="00BB156B"/>
    <w:rsid w:val="00BB165C"/>
    <w:rsid w:val="00BB251A"/>
    <w:rsid w:val="00BB25B7"/>
    <w:rsid w:val="00BB2B0C"/>
    <w:rsid w:val="00BB2B14"/>
    <w:rsid w:val="00BB2DD7"/>
    <w:rsid w:val="00BB2E6D"/>
    <w:rsid w:val="00BB3105"/>
    <w:rsid w:val="00BB3159"/>
    <w:rsid w:val="00BB391A"/>
    <w:rsid w:val="00BB3BA0"/>
    <w:rsid w:val="00BB3E91"/>
    <w:rsid w:val="00BB3FAD"/>
    <w:rsid w:val="00BB40C6"/>
    <w:rsid w:val="00BB40D1"/>
    <w:rsid w:val="00BB415A"/>
    <w:rsid w:val="00BB4568"/>
    <w:rsid w:val="00BB499C"/>
    <w:rsid w:val="00BB4A33"/>
    <w:rsid w:val="00BB4F2F"/>
    <w:rsid w:val="00BB4F48"/>
    <w:rsid w:val="00BB5414"/>
    <w:rsid w:val="00BB5AB3"/>
    <w:rsid w:val="00BB67EA"/>
    <w:rsid w:val="00BB6FC9"/>
    <w:rsid w:val="00BB719D"/>
    <w:rsid w:val="00BB77A6"/>
    <w:rsid w:val="00BB78FF"/>
    <w:rsid w:val="00BB7945"/>
    <w:rsid w:val="00BC0031"/>
    <w:rsid w:val="00BC02D9"/>
    <w:rsid w:val="00BC032E"/>
    <w:rsid w:val="00BC04F6"/>
    <w:rsid w:val="00BC0678"/>
    <w:rsid w:val="00BC0708"/>
    <w:rsid w:val="00BC081C"/>
    <w:rsid w:val="00BC0F03"/>
    <w:rsid w:val="00BC10D8"/>
    <w:rsid w:val="00BC1271"/>
    <w:rsid w:val="00BC12CF"/>
    <w:rsid w:val="00BC13D3"/>
    <w:rsid w:val="00BC14DC"/>
    <w:rsid w:val="00BC1513"/>
    <w:rsid w:val="00BC168B"/>
    <w:rsid w:val="00BC18EF"/>
    <w:rsid w:val="00BC1932"/>
    <w:rsid w:val="00BC19E1"/>
    <w:rsid w:val="00BC22FB"/>
    <w:rsid w:val="00BC258F"/>
    <w:rsid w:val="00BC268E"/>
    <w:rsid w:val="00BC2724"/>
    <w:rsid w:val="00BC2871"/>
    <w:rsid w:val="00BC3274"/>
    <w:rsid w:val="00BC32D9"/>
    <w:rsid w:val="00BC3712"/>
    <w:rsid w:val="00BC38E9"/>
    <w:rsid w:val="00BC4666"/>
    <w:rsid w:val="00BC58D4"/>
    <w:rsid w:val="00BC5A32"/>
    <w:rsid w:val="00BC6148"/>
    <w:rsid w:val="00BC61E0"/>
    <w:rsid w:val="00BC67AC"/>
    <w:rsid w:val="00BC67D8"/>
    <w:rsid w:val="00BC6D8A"/>
    <w:rsid w:val="00BC6DF3"/>
    <w:rsid w:val="00BC70C6"/>
    <w:rsid w:val="00BC7CE7"/>
    <w:rsid w:val="00BD0349"/>
    <w:rsid w:val="00BD0386"/>
    <w:rsid w:val="00BD0496"/>
    <w:rsid w:val="00BD0DCF"/>
    <w:rsid w:val="00BD118A"/>
    <w:rsid w:val="00BD123B"/>
    <w:rsid w:val="00BD19F9"/>
    <w:rsid w:val="00BD259B"/>
    <w:rsid w:val="00BD2AA1"/>
    <w:rsid w:val="00BD33C9"/>
    <w:rsid w:val="00BD353A"/>
    <w:rsid w:val="00BD3D63"/>
    <w:rsid w:val="00BD5215"/>
    <w:rsid w:val="00BD6016"/>
    <w:rsid w:val="00BD6378"/>
    <w:rsid w:val="00BD6440"/>
    <w:rsid w:val="00BD677D"/>
    <w:rsid w:val="00BD6A90"/>
    <w:rsid w:val="00BD712F"/>
    <w:rsid w:val="00BD723E"/>
    <w:rsid w:val="00BD78F9"/>
    <w:rsid w:val="00BD7D1C"/>
    <w:rsid w:val="00BE08AF"/>
    <w:rsid w:val="00BE09B4"/>
    <w:rsid w:val="00BE10ED"/>
    <w:rsid w:val="00BE12AC"/>
    <w:rsid w:val="00BE1503"/>
    <w:rsid w:val="00BE16A7"/>
    <w:rsid w:val="00BE232A"/>
    <w:rsid w:val="00BE27F3"/>
    <w:rsid w:val="00BE2B19"/>
    <w:rsid w:val="00BE2B38"/>
    <w:rsid w:val="00BE2DB7"/>
    <w:rsid w:val="00BE301F"/>
    <w:rsid w:val="00BE3779"/>
    <w:rsid w:val="00BE39A4"/>
    <w:rsid w:val="00BE3A35"/>
    <w:rsid w:val="00BE4A82"/>
    <w:rsid w:val="00BE4C20"/>
    <w:rsid w:val="00BE52C6"/>
    <w:rsid w:val="00BE52ED"/>
    <w:rsid w:val="00BE553D"/>
    <w:rsid w:val="00BE651A"/>
    <w:rsid w:val="00BE72A4"/>
    <w:rsid w:val="00BE7ACD"/>
    <w:rsid w:val="00BE7B5B"/>
    <w:rsid w:val="00BE7C9E"/>
    <w:rsid w:val="00BE7F0D"/>
    <w:rsid w:val="00BF05DD"/>
    <w:rsid w:val="00BF116F"/>
    <w:rsid w:val="00BF119B"/>
    <w:rsid w:val="00BF1320"/>
    <w:rsid w:val="00BF1431"/>
    <w:rsid w:val="00BF1D1A"/>
    <w:rsid w:val="00BF2057"/>
    <w:rsid w:val="00BF2800"/>
    <w:rsid w:val="00BF2828"/>
    <w:rsid w:val="00BF3377"/>
    <w:rsid w:val="00BF369D"/>
    <w:rsid w:val="00BF37AF"/>
    <w:rsid w:val="00BF3BB1"/>
    <w:rsid w:val="00BF3DFB"/>
    <w:rsid w:val="00BF3EB8"/>
    <w:rsid w:val="00BF3F8B"/>
    <w:rsid w:val="00BF4DEF"/>
    <w:rsid w:val="00BF4FE5"/>
    <w:rsid w:val="00BF5459"/>
    <w:rsid w:val="00BF5BA4"/>
    <w:rsid w:val="00BF5D63"/>
    <w:rsid w:val="00BF5E63"/>
    <w:rsid w:val="00BF6005"/>
    <w:rsid w:val="00BF617A"/>
    <w:rsid w:val="00BF61C2"/>
    <w:rsid w:val="00BF621F"/>
    <w:rsid w:val="00BF632F"/>
    <w:rsid w:val="00BF64FB"/>
    <w:rsid w:val="00BF6DAB"/>
    <w:rsid w:val="00BF6FD6"/>
    <w:rsid w:val="00BF72B1"/>
    <w:rsid w:val="00BF74CC"/>
    <w:rsid w:val="00BF7B84"/>
    <w:rsid w:val="00C00854"/>
    <w:rsid w:val="00C00B68"/>
    <w:rsid w:val="00C01245"/>
    <w:rsid w:val="00C01643"/>
    <w:rsid w:val="00C01723"/>
    <w:rsid w:val="00C01822"/>
    <w:rsid w:val="00C01905"/>
    <w:rsid w:val="00C01A16"/>
    <w:rsid w:val="00C01F0A"/>
    <w:rsid w:val="00C02317"/>
    <w:rsid w:val="00C0287E"/>
    <w:rsid w:val="00C0288C"/>
    <w:rsid w:val="00C02B7D"/>
    <w:rsid w:val="00C03F94"/>
    <w:rsid w:val="00C042FC"/>
    <w:rsid w:val="00C043CD"/>
    <w:rsid w:val="00C044EE"/>
    <w:rsid w:val="00C049DD"/>
    <w:rsid w:val="00C05231"/>
    <w:rsid w:val="00C056D6"/>
    <w:rsid w:val="00C05F23"/>
    <w:rsid w:val="00C0603E"/>
    <w:rsid w:val="00C061DD"/>
    <w:rsid w:val="00C06505"/>
    <w:rsid w:val="00C06556"/>
    <w:rsid w:val="00C068F4"/>
    <w:rsid w:val="00C06F93"/>
    <w:rsid w:val="00C070DA"/>
    <w:rsid w:val="00C0748C"/>
    <w:rsid w:val="00C079CC"/>
    <w:rsid w:val="00C1022B"/>
    <w:rsid w:val="00C11B79"/>
    <w:rsid w:val="00C125BB"/>
    <w:rsid w:val="00C1273C"/>
    <w:rsid w:val="00C1274A"/>
    <w:rsid w:val="00C12926"/>
    <w:rsid w:val="00C12AF3"/>
    <w:rsid w:val="00C12C6A"/>
    <w:rsid w:val="00C13D84"/>
    <w:rsid w:val="00C1408F"/>
    <w:rsid w:val="00C14738"/>
    <w:rsid w:val="00C14B7D"/>
    <w:rsid w:val="00C14C59"/>
    <w:rsid w:val="00C153B7"/>
    <w:rsid w:val="00C15703"/>
    <w:rsid w:val="00C15A39"/>
    <w:rsid w:val="00C15E55"/>
    <w:rsid w:val="00C16826"/>
    <w:rsid w:val="00C172A4"/>
    <w:rsid w:val="00C17409"/>
    <w:rsid w:val="00C17748"/>
    <w:rsid w:val="00C1799D"/>
    <w:rsid w:val="00C179EC"/>
    <w:rsid w:val="00C17B78"/>
    <w:rsid w:val="00C206A9"/>
    <w:rsid w:val="00C20C91"/>
    <w:rsid w:val="00C226E6"/>
    <w:rsid w:val="00C22909"/>
    <w:rsid w:val="00C22D0E"/>
    <w:rsid w:val="00C22D99"/>
    <w:rsid w:val="00C2359F"/>
    <w:rsid w:val="00C236EC"/>
    <w:rsid w:val="00C23799"/>
    <w:rsid w:val="00C239FC"/>
    <w:rsid w:val="00C24456"/>
    <w:rsid w:val="00C24EF1"/>
    <w:rsid w:val="00C259E0"/>
    <w:rsid w:val="00C25F85"/>
    <w:rsid w:val="00C27193"/>
    <w:rsid w:val="00C27721"/>
    <w:rsid w:val="00C279F5"/>
    <w:rsid w:val="00C27BF1"/>
    <w:rsid w:val="00C27E9D"/>
    <w:rsid w:val="00C30230"/>
    <w:rsid w:val="00C30815"/>
    <w:rsid w:val="00C316CA"/>
    <w:rsid w:val="00C3204C"/>
    <w:rsid w:val="00C32464"/>
    <w:rsid w:val="00C3319F"/>
    <w:rsid w:val="00C33441"/>
    <w:rsid w:val="00C33459"/>
    <w:rsid w:val="00C33C44"/>
    <w:rsid w:val="00C33D61"/>
    <w:rsid w:val="00C33E37"/>
    <w:rsid w:val="00C3406D"/>
    <w:rsid w:val="00C34151"/>
    <w:rsid w:val="00C34909"/>
    <w:rsid w:val="00C3608A"/>
    <w:rsid w:val="00C363B1"/>
    <w:rsid w:val="00C368F8"/>
    <w:rsid w:val="00C36B8B"/>
    <w:rsid w:val="00C36BB6"/>
    <w:rsid w:val="00C374DB"/>
    <w:rsid w:val="00C376D0"/>
    <w:rsid w:val="00C377AF"/>
    <w:rsid w:val="00C37B87"/>
    <w:rsid w:val="00C406BA"/>
    <w:rsid w:val="00C40A25"/>
    <w:rsid w:val="00C4154A"/>
    <w:rsid w:val="00C418E3"/>
    <w:rsid w:val="00C41B2D"/>
    <w:rsid w:val="00C41F57"/>
    <w:rsid w:val="00C42291"/>
    <w:rsid w:val="00C42294"/>
    <w:rsid w:val="00C4235E"/>
    <w:rsid w:val="00C428D7"/>
    <w:rsid w:val="00C42AE7"/>
    <w:rsid w:val="00C42C23"/>
    <w:rsid w:val="00C42D0C"/>
    <w:rsid w:val="00C42DCB"/>
    <w:rsid w:val="00C42E8C"/>
    <w:rsid w:val="00C42F34"/>
    <w:rsid w:val="00C42F89"/>
    <w:rsid w:val="00C43216"/>
    <w:rsid w:val="00C435A2"/>
    <w:rsid w:val="00C43A83"/>
    <w:rsid w:val="00C43BB9"/>
    <w:rsid w:val="00C43E7D"/>
    <w:rsid w:val="00C45112"/>
    <w:rsid w:val="00C45163"/>
    <w:rsid w:val="00C45D82"/>
    <w:rsid w:val="00C45D86"/>
    <w:rsid w:val="00C460C5"/>
    <w:rsid w:val="00C462F9"/>
    <w:rsid w:val="00C46717"/>
    <w:rsid w:val="00C46915"/>
    <w:rsid w:val="00C46A37"/>
    <w:rsid w:val="00C46F35"/>
    <w:rsid w:val="00C46FCB"/>
    <w:rsid w:val="00C5070B"/>
    <w:rsid w:val="00C50846"/>
    <w:rsid w:val="00C50DD0"/>
    <w:rsid w:val="00C51099"/>
    <w:rsid w:val="00C51260"/>
    <w:rsid w:val="00C515CA"/>
    <w:rsid w:val="00C516AA"/>
    <w:rsid w:val="00C516C4"/>
    <w:rsid w:val="00C51DA6"/>
    <w:rsid w:val="00C51F82"/>
    <w:rsid w:val="00C52090"/>
    <w:rsid w:val="00C52100"/>
    <w:rsid w:val="00C52618"/>
    <w:rsid w:val="00C52985"/>
    <w:rsid w:val="00C53351"/>
    <w:rsid w:val="00C54B7C"/>
    <w:rsid w:val="00C555FB"/>
    <w:rsid w:val="00C55BA0"/>
    <w:rsid w:val="00C55BFE"/>
    <w:rsid w:val="00C55CAF"/>
    <w:rsid w:val="00C55CD9"/>
    <w:rsid w:val="00C55FFD"/>
    <w:rsid w:val="00C564D7"/>
    <w:rsid w:val="00C56B79"/>
    <w:rsid w:val="00C56D2A"/>
    <w:rsid w:val="00C56F77"/>
    <w:rsid w:val="00C60666"/>
    <w:rsid w:val="00C60E70"/>
    <w:rsid w:val="00C613B8"/>
    <w:rsid w:val="00C6170D"/>
    <w:rsid w:val="00C618CA"/>
    <w:rsid w:val="00C61C23"/>
    <w:rsid w:val="00C61CE2"/>
    <w:rsid w:val="00C61D93"/>
    <w:rsid w:val="00C622DE"/>
    <w:rsid w:val="00C62A05"/>
    <w:rsid w:val="00C62DBD"/>
    <w:rsid w:val="00C632E3"/>
    <w:rsid w:val="00C63325"/>
    <w:rsid w:val="00C63B52"/>
    <w:rsid w:val="00C63E5A"/>
    <w:rsid w:val="00C63E61"/>
    <w:rsid w:val="00C643D8"/>
    <w:rsid w:val="00C648B4"/>
    <w:rsid w:val="00C64EFD"/>
    <w:rsid w:val="00C65406"/>
    <w:rsid w:val="00C6551F"/>
    <w:rsid w:val="00C65C05"/>
    <w:rsid w:val="00C665F0"/>
    <w:rsid w:val="00C66F09"/>
    <w:rsid w:val="00C6716D"/>
    <w:rsid w:val="00C672A1"/>
    <w:rsid w:val="00C67788"/>
    <w:rsid w:val="00C679B2"/>
    <w:rsid w:val="00C679C5"/>
    <w:rsid w:val="00C67BA9"/>
    <w:rsid w:val="00C704FF"/>
    <w:rsid w:val="00C7083F"/>
    <w:rsid w:val="00C70ED3"/>
    <w:rsid w:val="00C71A1A"/>
    <w:rsid w:val="00C71FD8"/>
    <w:rsid w:val="00C71FF3"/>
    <w:rsid w:val="00C72CAE"/>
    <w:rsid w:val="00C7399D"/>
    <w:rsid w:val="00C73DFE"/>
    <w:rsid w:val="00C73E46"/>
    <w:rsid w:val="00C73E96"/>
    <w:rsid w:val="00C73ED1"/>
    <w:rsid w:val="00C741BA"/>
    <w:rsid w:val="00C746C6"/>
    <w:rsid w:val="00C74BE8"/>
    <w:rsid w:val="00C74D18"/>
    <w:rsid w:val="00C74E74"/>
    <w:rsid w:val="00C7522F"/>
    <w:rsid w:val="00C75524"/>
    <w:rsid w:val="00C758FB"/>
    <w:rsid w:val="00C75AA7"/>
    <w:rsid w:val="00C75B6F"/>
    <w:rsid w:val="00C75D21"/>
    <w:rsid w:val="00C75FE5"/>
    <w:rsid w:val="00C76663"/>
    <w:rsid w:val="00C76667"/>
    <w:rsid w:val="00C77028"/>
    <w:rsid w:val="00C77166"/>
    <w:rsid w:val="00C773BF"/>
    <w:rsid w:val="00C7770A"/>
    <w:rsid w:val="00C80032"/>
    <w:rsid w:val="00C80282"/>
    <w:rsid w:val="00C80C57"/>
    <w:rsid w:val="00C80CF6"/>
    <w:rsid w:val="00C810CA"/>
    <w:rsid w:val="00C8154B"/>
    <w:rsid w:val="00C8199B"/>
    <w:rsid w:val="00C81E76"/>
    <w:rsid w:val="00C81EE4"/>
    <w:rsid w:val="00C823F4"/>
    <w:rsid w:val="00C82807"/>
    <w:rsid w:val="00C82C51"/>
    <w:rsid w:val="00C82FAE"/>
    <w:rsid w:val="00C830E7"/>
    <w:rsid w:val="00C8347B"/>
    <w:rsid w:val="00C835C0"/>
    <w:rsid w:val="00C83EBD"/>
    <w:rsid w:val="00C83EC3"/>
    <w:rsid w:val="00C84953"/>
    <w:rsid w:val="00C84E4E"/>
    <w:rsid w:val="00C84F15"/>
    <w:rsid w:val="00C850D5"/>
    <w:rsid w:val="00C85189"/>
    <w:rsid w:val="00C85693"/>
    <w:rsid w:val="00C857C9"/>
    <w:rsid w:val="00C85D74"/>
    <w:rsid w:val="00C85DF3"/>
    <w:rsid w:val="00C85EF9"/>
    <w:rsid w:val="00C860F0"/>
    <w:rsid w:val="00C86556"/>
    <w:rsid w:val="00C86913"/>
    <w:rsid w:val="00C86ADE"/>
    <w:rsid w:val="00C872C5"/>
    <w:rsid w:val="00C872F7"/>
    <w:rsid w:val="00C873F6"/>
    <w:rsid w:val="00C87426"/>
    <w:rsid w:val="00C9022B"/>
    <w:rsid w:val="00C90FF1"/>
    <w:rsid w:val="00C90FFF"/>
    <w:rsid w:val="00C910EB"/>
    <w:rsid w:val="00C91281"/>
    <w:rsid w:val="00C912A1"/>
    <w:rsid w:val="00C915BA"/>
    <w:rsid w:val="00C91631"/>
    <w:rsid w:val="00C918A1"/>
    <w:rsid w:val="00C91DAC"/>
    <w:rsid w:val="00C922E3"/>
    <w:rsid w:val="00C9238D"/>
    <w:rsid w:val="00C926FD"/>
    <w:rsid w:val="00C92C56"/>
    <w:rsid w:val="00C93541"/>
    <w:rsid w:val="00C93888"/>
    <w:rsid w:val="00C93B78"/>
    <w:rsid w:val="00C941C7"/>
    <w:rsid w:val="00C94242"/>
    <w:rsid w:val="00C9436A"/>
    <w:rsid w:val="00C94372"/>
    <w:rsid w:val="00C9443D"/>
    <w:rsid w:val="00C94E3E"/>
    <w:rsid w:val="00C9532C"/>
    <w:rsid w:val="00C953CE"/>
    <w:rsid w:val="00C95716"/>
    <w:rsid w:val="00C95C88"/>
    <w:rsid w:val="00C95FFC"/>
    <w:rsid w:val="00C9658C"/>
    <w:rsid w:val="00C96D85"/>
    <w:rsid w:val="00C97312"/>
    <w:rsid w:val="00C97937"/>
    <w:rsid w:val="00C97ECB"/>
    <w:rsid w:val="00CA00BA"/>
    <w:rsid w:val="00CA0B10"/>
    <w:rsid w:val="00CA100D"/>
    <w:rsid w:val="00CA1154"/>
    <w:rsid w:val="00CA17B6"/>
    <w:rsid w:val="00CA1D32"/>
    <w:rsid w:val="00CA203C"/>
    <w:rsid w:val="00CA20E3"/>
    <w:rsid w:val="00CA2374"/>
    <w:rsid w:val="00CA263C"/>
    <w:rsid w:val="00CA2870"/>
    <w:rsid w:val="00CA2E60"/>
    <w:rsid w:val="00CA2FCB"/>
    <w:rsid w:val="00CA2FED"/>
    <w:rsid w:val="00CA34C7"/>
    <w:rsid w:val="00CA359B"/>
    <w:rsid w:val="00CA3E37"/>
    <w:rsid w:val="00CA3F36"/>
    <w:rsid w:val="00CA41DD"/>
    <w:rsid w:val="00CA45D7"/>
    <w:rsid w:val="00CA4CFA"/>
    <w:rsid w:val="00CA5033"/>
    <w:rsid w:val="00CA5164"/>
    <w:rsid w:val="00CA5262"/>
    <w:rsid w:val="00CA5291"/>
    <w:rsid w:val="00CA5316"/>
    <w:rsid w:val="00CA5345"/>
    <w:rsid w:val="00CA5DC2"/>
    <w:rsid w:val="00CA615E"/>
    <w:rsid w:val="00CA6596"/>
    <w:rsid w:val="00CA6706"/>
    <w:rsid w:val="00CA6A7D"/>
    <w:rsid w:val="00CA6BF9"/>
    <w:rsid w:val="00CA6C5A"/>
    <w:rsid w:val="00CA6FCC"/>
    <w:rsid w:val="00CA733E"/>
    <w:rsid w:val="00CA74A0"/>
    <w:rsid w:val="00CA7AAC"/>
    <w:rsid w:val="00CA7D8F"/>
    <w:rsid w:val="00CA7E28"/>
    <w:rsid w:val="00CA7E72"/>
    <w:rsid w:val="00CA7EA8"/>
    <w:rsid w:val="00CB00D8"/>
    <w:rsid w:val="00CB019C"/>
    <w:rsid w:val="00CB040F"/>
    <w:rsid w:val="00CB0619"/>
    <w:rsid w:val="00CB1ED8"/>
    <w:rsid w:val="00CB1F45"/>
    <w:rsid w:val="00CB26C5"/>
    <w:rsid w:val="00CB27AF"/>
    <w:rsid w:val="00CB2A44"/>
    <w:rsid w:val="00CB2C0B"/>
    <w:rsid w:val="00CB2D04"/>
    <w:rsid w:val="00CB3F7F"/>
    <w:rsid w:val="00CB4FCE"/>
    <w:rsid w:val="00CB50A9"/>
    <w:rsid w:val="00CB5D74"/>
    <w:rsid w:val="00CB5DEF"/>
    <w:rsid w:val="00CB6486"/>
    <w:rsid w:val="00CB73B4"/>
    <w:rsid w:val="00CB7568"/>
    <w:rsid w:val="00CC0181"/>
    <w:rsid w:val="00CC03B6"/>
    <w:rsid w:val="00CC042E"/>
    <w:rsid w:val="00CC0519"/>
    <w:rsid w:val="00CC0647"/>
    <w:rsid w:val="00CC0F19"/>
    <w:rsid w:val="00CC13C5"/>
    <w:rsid w:val="00CC2486"/>
    <w:rsid w:val="00CC26BB"/>
    <w:rsid w:val="00CC2A46"/>
    <w:rsid w:val="00CC2ECC"/>
    <w:rsid w:val="00CC366C"/>
    <w:rsid w:val="00CC38E0"/>
    <w:rsid w:val="00CC3A81"/>
    <w:rsid w:val="00CC40D0"/>
    <w:rsid w:val="00CC4359"/>
    <w:rsid w:val="00CC44A3"/>
    <w:rsid w:val="00CC44FC"/>
    <w:rsid w:val="00CC46E7"/>
    <w:rsid w:val="00CC4796"/>
    <w:rsid w:val="00CC4BE2"/>
    <w:rsid w:val="00CC54F0"/>
    <w:rsid w:val="00CC576A"/>
    <w:rsid w:val="00CC57E2"/>
    <w:rsid w:val="00CC629B"/>
    <w:rsid w:val="00CC6338"/>
    <w:rsid w:val="00CC681C"/>
    <w:rsid w:val="00CC69B9"/>
    <w:rsid w:val="00CC6B2E"/>
    <w:rsid w:val="00CC6BCF"/>
    <w:rsid w:val="00CC7069"/>
    <w:rsid w:val="00CC7254"/>
    <w:rsid w:val="00CC7CDF"/>
    <w:rsid w:val="00CD02E9"/>
    <w:rsid w:val="00CD04BE"/>
    <w:rsid w:val="00CD12E0"/>
    <w:rsid w:val="00CD17A7"/>
    <w:rsid w:val="00CD17AE"/>
    <w:rsid w:val="00CD192B"/>
    <w:rsid w:val="00CD1A8C"/>
    <w:rsid w:val="00CD2062"/>
    <w:rsid w:val="00CD2126"/>
    <w:rsid w:val="00CD232A"/>
    <w:rsid w:val="00CD2531"/>
    <w:rsid w:val="00CD25FC"/>
    <w:rsid w:val="00CD30F3"/>
    <w:rsid w:val="00CD369D"/>
    <w:rsid w:val="00CD3A9A"/>
    <w:rsid w:val="00CD3B4F"/>
    <w:rsid w:val="00CD3B6F"/>
    <w:rsid w:val="00CD43D5"/>
    <w:rsid w:val="00CD456C"/>
    <w:rsid w:val="00CD4B10"/>
    <w:rsid w:val="00CD4D7F"/>
    <w:rsid w:val="00CD4EB9"/>
    <w:rsid w:val="00CD529F"/>
    <w:rsid w:val="00CD5599"/>
    <w:rsid w:val="00CD5C73"/>
    <w:rsid w:val="00CD641E"/>
    <w:rsid w:val="00CD65A4"/>
    <w:rsid w:val="00CD70AF"/>
    <w:rsid w:val="00CD7186"/>
    <w:rsid w:val="00CD76F4"/>
    <w:rsid w:val="00CD77C5"/>
    <w:rsid w:val="00CD7CD8"/>
    <w:rsid w:val="00CE011B"/>
    <w:rsid w:val="00CE029A"/>
    <w:rsid w:val="00CE038B"/>
    <w:rsid w:val="00CE03F8"/>
    <w:rsid w:val="00CE07F7"/>
    <w:rsid w:val="00CE082B"/>
    <w:rsid w:val="00CE0875"/>
    <w:rsid w:val="00CE1B5A"/>
    <w:rsid w:val="00CE1D23"/>
    <w:rsid w:val="00CE21DA"/>
    <w:rsid w:val="00CE264C"/>
    <w:rsid w:val="00CE2926"/>
    <w:rsid w:val="00CE2B9B"/>
    <w:rsid w:val="00CE3464"/>
    <w:rsid w:val="00CE37CC"/>
    <w:rsid w:val="00CE3C83"/>
    <w:rsid w:val="00CE3E50"/>
    <w:rsid w:val="00CE4D9B"/>
    <w:rsid w:val="00CE4EE6"/>
    <w:rsid w:val="00CE55E8"/>
    <w:rsid w:val="00CE5C89"/>
    <w:rsid w:val="00CE5E63"/>
    <w:rsid w:val="00CE5F3A"/>
    <w:rsid w:val="00CE6264"/>
    <w:rsid w:val="00CE6278"/>
    <w:rsid w:val="00CE697B"/>
    <w:rsid w:val="00CE6EE4"/>
    <w:rsid w:val="00CE72F5"/>
    <w:rsid w:val="00CE7329"/>
    <w:rsid w:val="00CE768A"/>
    <w:rsid w:val="00CE7BE9"/>
    <w:rsid w:val="00CE7F05"/>
    <w:rsid w:val="00CE7F0A"/>
    <w:rsid w:val="00CE7F42"/>
    <w:rsid w:val="00CF01D0"/>
    <w:rsid w:val="00CF02B3"/>
    <w:rsid w:val="00CF09E9"/>
    <w:rsid w:val="00CF1134"/>
    <w:rsid w:val="00CF1933"/>
    <w:rsid w:val="00CF1D51"/>
    <w:rsid w:val="00CF20E7"/>
    <w:rsid w:val="00CF21E8"/>
    <w:rsid w:val="00CF2355"/>
    <w:rsid w:val="00CF2499"/>
    <w:rsid w:val="00CF2533"/>
    <w:rsid w:val="00CF264D"/>
    <w:rsid w:val="00CF307E"/>
    <w:rsid w:val="00CF342C"/>
    <w:rsid w:val="00CF3AE4"/>
    <w:rsid w:val="00CF3D8B"/>
    <w:rsid w:val="00CF40DC"/>
    <w:rsid w:val="00CF417E"/>
    <w:rsid w:val="00CF4F2B"/>
    <w:rsid w:val="00CF58E6"/>
    <w:rsid w:val="00CF6789"/>
    <w:rsid w:val="00CF6CAA"/>
    <w:rsid w:val="00CF76AC"/>
    <w:rsid w:val="00CF76B5"/>
    <w:rsid w:val="00D0010B"/>
    <w:rsid w:val="00D0018C"/>
    <w:rsid w:val="00D005CF"/>
    <w:rsid w:val="00D005F3"/>
    <w:rsid w:val="00D00A36"/>
    <w:rsid w:val="00D010F1"/>
    <w:rsid w:val="00D01642"/>
    <w:rsid w:val="00D01ADC"/>
    <w:rsid w:val="00D01CA1"/>
    <w:rsid w:val="00D01CA3"/>
    <w:rsid w:val="00D024A8"/>
    <w:rsid w:val="00D0274C"/>
    <w:rsid w:val="00D02D76"/>
    <w:rsid w:val="00D02E30"/>
    <w:rsid w:val="00D0313E"/>
    <w:rsid w:val="00D03552"/>
    <w:rsid w:val="00D0356A"/>
    <w:rsid w:val="00D03781"/>
    <w:rsid w:val="00D03946"/>
    <w:rsid w:val="00D03D34"/>
    <w:rsid w:val="00D042AA"/>
    <w:rsid w:val="00D0460D"/>
    <w:rsid w:val="00D0515B"/>
    <w:rsid w:val="00D053A1"/>
    <w:rsid w:val="00D053ED"/>
    <w:rsid w:val="00D05405"/>
    <w:rsid w:val="00D0559E"/>
    <w:rsid w:val="00D0595D"/>
    <w:rsid w:val="00D05DAB"/>
    <w:rsid w:val="00D0688C"/>
    <w:rsid w:val="00D0794B"/>
    <w:rsid w:val="00D07BC0"/>
    <w:rsid w:val="00D101F1"/>
    <w:rsid w:val="00D1027C"/>
    <w:rsid w:val="00D10625"/>
    <w:rsid w:val="00D10B38"/>
    <w:rsid w:val="00D10C61"/>
    <w:rsid w:val="00D10DA9"/>
    <w:rsid w:val="00D111D2"/>
    <w:rsid w:val="00D11277"/>
    <w:rsid w:val="00D112D6"/>
    <w:rsid w:val="00D112E9"/>
    <w:rsid w:val="00D1133F"/>
    <w:rsid w:val="00D11DA4"/>
    <w:rsid w:val="00D13974"/>
    <w:rsid w:val="00D13EA0"/>
    <w:rsid w:val="00D1467C"/>
    <w:rsid w:val="00D14BBF"/>
    <w:rsid w:val="00D14F71"/>
    <w:rsid w:val="00D15B25"/>
    <w:rsid w:val="00D15F0B"/>
    <w:rsid w:val="00D15F13"/>
    <w:rsid w:val="00D160CF"/>
    <w:rsid w:val="00D1637E"/>
    <w:rsid w:val="00D16A59"/>
    <w:rsid w:val="00D177A7"/>
    <w:rsid w:val="00D17889"/>
    <w:rsid w:val="00D17923"/>
    <w:rsid w:val="00D17B05"/>
    <w:rsid w:val="00D17B36"/>
    <w:rsid w:val="00D20D39"/>
    <w:rsid w:val="00D20EB5"/>
    <w:rsid w:val="00D20FF2"/>
    <w:rsid w:val="00D21409"/>
    <w:rsid w:val="00D21F79"/>
    <w:rsid w:val="00D221BE"/>
    <w:rsid w:val="00D223A2"/>
    <w:rsid w:val="00D22CF9"/>
    <w:rsid w:val="00D234EA"/>
    <w:rsid w:val="00D23689"/>
    <w:rsid w:val="00D238E6"/>
    <w:rsid w:val="00D23C33"/>
    <w:rsid w:val="00D2432F"/>
    <w:rsid w:val="00D24BE5"/>
    <w:rsid w:val="00D24CAB"/>
    <w:rsid w:val="00D25246"/>
    <w:rsid w:val="00D25640"/>
    <w:rsid w:val="00D25B5C"/>
    <w:rsid w:val="00D25CC6"/>
    <w:rsid w:val="00D25F97"/>
    <w:rsid w:val="00D260FD"/>
    <w:rsid w:val="00D27132"/>
    <w:rsid w:val="00D27353"/>
    <w:rsid w:val="00D27482"/>
    <w:rsid w:val="00D274FD"/>
    <w:rsid w:val="00D27B2A"/>
    <w:rsid w:val="00D27BAA"/>
    <w:rsid w:val="00D27D73"/>
    <w:rsid w:val="00D27D9F"/>
    <w:rsid w:val="00D3036E"/>
    <w:rsid w:val="00D3054E"/>
    <w:rsid w:val="00D307B0"/>
    <w:rsid w:val="00D30980"/>
    <w:rsid w:val="00D30AAE"/>
    <w:rsid w:val="00D3100C"/>
    <w:rsid w:val="00D31319"/>
    <w:rsid w:val="00D31761"/>
    <w:rsid w:val="00D31A85"/>
    <w:rsid w:val="00D31B48"/>
    <w:rsid w:val="00D32384"/>
    <w:rsid w:val="00D32553"/>
    <w:rsid w:val="00D32BE3"/>
    <w:rsid w:val="00D32ECF"/>
    <w:rsid w:val="00D3337F"/>
    <w:rsid w:val="00D335F3"/>
    <w:rsid w:val="00D3390A"/>
    <w:rsid w:val="00D33CB5"/>
    <w:rsid w:val="00D34932"/>
    <w:rsid w:val="00D36252"/>
    <w:rsid w:val="00D368A0"/>
    <w:rsid w:val="00D36BD5"/>
    <w:rsid w:val="00D36F54"/>
    <w:rsid w:val="00D379F5"/>
    <w:rsid w:val="00D37B0B"/>
    <w:rsid w:val="00D37F17"/>
    <w:rsid w:val="00D37F8A"/>
    <w:rsid w:val="00D403E8"/>
    <w:rsid w:val="00D406AC"/>
    <w:rsid w:val="00D40759"/>
    <w:rsid w:val="00D40BAC"/>
    <w:rsid w:val="00D40DAA"/>
    <w:rsid w:val="00D4158E"/>
    <w:rsid w:val="00D4172D"/>
    <w:rsid w:val="00D4241E"/>
    <w:rsid w:val="00D425AC"/>
    <w:rsid w:val="00D42C4E"/>
    <w:rsid w:val="00D432E5"/>
    <w:rsid w:val="00D434CE"/>
    <w:rsid w:val="00D441BE"/>
    <w:rsid w:val="00D442B7"/>
    <w:rsid w:val="00D44318"/>
    <w:rsid w:val="00D44FAA"/>
    <w:rsid w:val="00D456B2"/>
    <w:rsid w:val="00D45796"/>
    <w:rsid w:val="00D466F2"/>
    <w:rsid w:val="00D469E1"/>
    <w:rsid w:val="00D46CFB"/>
    <w:rsid w:val="00D471E5"/>
    <w:rsid w:val="00D47F40"/>
    <w:rsid w:val="00D50115"/>
    <w:rsid w:val="00D5070A"/>
    <w:rsid w:val="00D50BFD"/>
    <w:rsid w:val="00D50C89"/>
    <w:rsid w:val="00D512DF"/>
    <w:rsid w:val="00D51619"/>
    <w:rsid w:val="00D519CB"/>
    <w:rsid w:val="00D52179"/>
    <w:rsid w:val="00D52630"/>
    <w:rsid w:val="00D52E71"/>
    <w:rsid w:val="00D53417"/>
    <w:rsid w:val="00D53757"/>
    <w:rsid w:val="00D53B4A"/>
    <w:rsid w:val="00D53E40"/>
    <w:rsid w:val="00D5431B"/>
    <w:rsid w:val="00D54803"/>
    <w:rsid w:val="00D54B03"/>
    <w:rsid w:val="00D54C10"/>
    <w:rsid w:val="00D54EFA"/>
    <w:rsid w:val="00D552CB"/>
    <w:rsid w:val="00D555E9"/>
    <w:rsid w:val="00D55812"/>
    <w:rsid w:val="00D55C82"/>
    <w:rsid w:val="00D55C87"/>
    <w:rsid w:val="00D56429"/>
    <w:rsid w:val="00D564E3"/>
    <w:rsid w:val="00D5684A"/>
    <w:rsid w:val="00D5699F"/>
    <w:rsid w:val="00D56D0C"/>
    <w:rsid w:val="00D56FE6"/>
    <w:rsid w:val="00D579E5"/>
    <w:rsid w:val="00D57BF3"/>
    <w:rsid w:val="00D57D86"/>
    <w:rsid w:val="00D57E8A"/>
    <w:rsid w:val="00D57F84"/>
    <w:rsid w:val="00D601DB"/>
    <w:rsid w:val="00D60507"/>
    <w:rsid w:val="00D60A12"/>
    <w:rsid w:val="00D60AC8"/>
    <w:rsid w:val="00D60B84"/>
    <w:rsid w:val="00D60BC1"/>
    <w:rsid w:val="00D610A5"/>
    <w:rsid w:val="00D61116"/>
    <w:rsid w:val="00D6112E"/>
    <w:rsid w:val="00D61960"/>
    <w:rsid w:val="00D61A13"/>
    <w:rsid w:val="00D620B4"/>
    <w:rsid w:val="00D62485"/>
    <w:rsid w:val="00D62F36"/>
    <w:rsid w:val="00D63780"/>
    <w:rsid w:val="00D63B64"/>
    <w:rsid w:val="00D63BB9"/>
    <w:rsid w:val="00D63CBA"/>
    <w:rsid w:val="00D64074"/>
    <w:rsid w:val="00D644E6"/>
    <w:rsid w:val="00D64E3C"/>
    <w:rsid w:val="00D652B9"/>
    <w:rsid w:val="00D6540A"/>
    <w:rsid w:val="00D655F7"/>
    <w:rsid w:val="00D6612D"/>
    <w:rsid w:val="00D66371"/>
    <w:rsid w:val="00D664B0"/>
    <w:rsid w:val="00D66C4B"/>
    <w:rsid w:val="00D67053"/>
    <w:rsid w:val="00D67502"/>
    <w:rsid w:val="00D7042E"/>
    <w:rsid w:val="00D70487"/>
    <w:rsid w:val="00D718BB"/>
    <w:rsid w:val="00D71F0C"/>
    <w:rsid w:val="00D720BC"/>
    <w:rsid w:val="00D7293E"/>
    <w:rsid w:val="00D72BE0"/>
    <w:rsid w:val="00D73583"/>
    <w:rsid w:val="00D735DA"/>
    <w:rsid w:val="00D73843"/>
    <w:rsid w:val="00D73B74"/>
    <w:rsid w:val="00D73E7D"/>
    <w:rsid w:val="00D748B5"/>
    <w:rsid w:val="00D74C2F"/>
    <w:rsid w:val="00D75285"/>
    <w:rsid w:val="00D752DB"/>
    <w:rsid w:val="00D75639"/>
    <w:rsid w:val="00D7567A"/>
    <w:rsid w:val="00D75C2B"/>
    <w:rsid w:val="00D75FA0"/>
    <w:rsid w:val="00D75FFF"/>
    <w:rsid w:val="00D766E2"/>
    <w:rsid w:val="00D767AE"/>
    <w:rsid w:val="00D77172"/>
    <w:rsid w:val="00D77243"/>
    <w:rsid w:val="00D7734E"/>
    <w:rsid w:val="00D77914"/>
    <w:rsid w:val="00D77DEA"/>
    <w:rsid w:val="00D801E7"/>
    <w:rsid w:val="00D803D0"/>
    <w:rsid w:val="00D8066F"/>
    <w:rsid w:val="00D806DA"/>
    <w:rsid w:val="00D80BB6"/>
    <w:rsid w:val="00D81144"/>
    <w:rsid w:val="00D8147D"/>
    <w:rsid w:val="00D81711"/>
    <w:rsid w:val="00D81720"/>
    <w:rsid w:val="00D81B70"/>
    <w:rsid w:val="00D81FD6"/>
    <w:rsid w:val="00D827F3"/>
    <w:rsid w:val="00D828A2"/>
    <w:rsid w:val="00D82D97"/>
    <w:rsid w:val="00D83721"/>
    <w:rsid w:val="00D837D2"/>
    <w:rsid w:val="00D8394D"/>
    <w:rsid w:val="00D83C46"/>
    <w:rsid w:val="00D83CE4"/>
    <w:rsid w:val="00D843C3"/>
    <w:rsid w:val="00D85067"/>
    <w:rsid w:val="00D85324"/>
    <w:rsid w:val="00D8534B"/>
    <w:rsid w:val="00D85632"/>
    <w:rsid w:val="00D85964"/>
    <w:rsid w:val="00D86252"/>
    <w:rsid w:val="00D862B6"/>
    <w:rsid w:val="00D8685C"/>
    <w:rsid w:val="00D86930"/>
    <w:rsid w:val="00D86AB2"/>
    <w:rsid w:val="00D86FF4"/>
    <w:rsid w:val="00D8747B"/>
    <w:rsid w:val="00D87A3C"/>
    <w:rsid w:val="00D90325"/>
    <w:rsid w:val="00D90AFC"/>
    <w:rsid w:val="00D917D9"/>
    <w:rsid w:val="00D92536"/>
    <w:rsid w:val="00D92725"/>
    <w:rsid w:val="00D92DBE"/>
    <w:rsid w:val="00D92E50"/>
    <w:rsid w:val="00D92F4F"/>
    <w:rsid w:val="00D932FC"/>
    <w:rsid w:val="00D93B5B"/>
    <w:rsid w:val="00D93FBD"/>
    <w:rsid w:val="00D946C5"/>
    <w:rsid w:val="00D948A4"/>
    <w:rsid w:val="00D94B30"/>
    <w:rsid w:val="00D9556F"/>
    <w:rsid w:val="00D95957"/>
    <w:rsid w:val="00D964D9"/>
    <w:rsid w:val="00D96837"/>
    <w:rsid w:val="00D969C8"/>
    <w:rsid w:val="00D97781"/>
    <w:rsid w:val="00D97E80"/>
    <w:rsid w:val="00D97E81"/>
    <w:rsid w:val="00DA00E3"/>
    <w:rsid w:val="00DA0351"/>
    <w:rsid w:val="00DA0904"/>
    <w:rsid w:val="00DA0FA2"/>
    <w:rsid w:val="00DA21C6"/>
    <w:rsid w:val="00DA28AB"/>
    <w:rsid w:val="00DA365F"/>
    <w:rsid w:val="00DA3959"/>
    <w:rsid w:val="00DA3CC9"/>
    <w:rsid w:val="00DA481E"/>
    <w:rsid w:val="00DA483C"/>
    <w:rsid w:val="00DA4EAD"/>
    <w:rsid w:val="00DA5039"/>
    <w:rsid w:val="00DA564E"/>
    <w:rsid w:val="00DA618A"/>
    <w:rsid w:val="00DA670C"/>
    <w:rsid w:val="00DA6C2E"/>
    <w:rsid w:val="00DA71E6"/>
    <w:rsid w:val="00DA7722"/>
    <w:rsid w:val="00DA77F6"/>
    <w:rsid w:val="00DA7AFB"/>
    <w:rsid w:val="00DB0098"/>
    <w:rsid w:val="00DB0DED"/>
    <w:rsid w:val="00DB105B"/>
    <w:rsid w:val="00DB10B8"/>
    <w:rsid w:val="00DB1516"/>
    <w:rsid w:val="00DB15EE"/>
    <w:rsid w:val="00DB1953"/>
    <w:rsid w:val="00DB1C38"/>
    <w:rsid w:val="00DB2240"/>
    <w:rsid w:val="00DB2384"/>
    <w:rsid w:val="00DB241B"/>
    <w:rsid w:val="00DB2728"/>
    <w:rsid w:val="00DB27A3"/>
    <w:rsid w:val="00DB2895"/>
    <w:rsid w:val="00DB28E6"/>
    <w:rsid w:val="00DB2C18"/>
    <w:rsid w:val="00DB2CF8"/>
    <w:rsid w:val="00DB2E33"/>
    <w:rsid w:val="00DB3182"/>
    <w:rsid w:val="00DB35D9"/>
    <w:rsid w:val="00DB37ED"/>
    <w:rsid w:val="00DB3942"/>
    <w:rsid w:val="00DB3B3D"/>
    <w:rsid w:val="00DB3F2A"/>
    <w:rsid w:val="00DB4215"/>
    <w:rsid w:val="00DB4DD1"/>
    <w:rsid w:val="00DB5092"/>
    <w:rsid w:val="00DB50A9"/>
    <w:rsid w:val="00DB5393"/>
    <w:rsid w:val="00DB59EA"/>
    <w:rsid w:val="00DB5BD0"/>
    <w:rsid w:val="00DB5E6F"/>
    <w:rsid w:val="00DB663A"/>
    <w:rsid w:val="00DB6E5B"/>
    <w:rsid w:val="00DB756A"/>
    <w:rsid w:val="00DB7608"/>
    <w:rsid w:val="00DB76EC"/>
    <w:rsid w:val="00DB770C"/>
    <w:rsid w:val="00DB7A47"/>
    <w:rsid w:val="00DB7B00"/>
    <w:rsid w:val="00DB7B65"/>
    <w:rsid w:val="00DC04B1"/>
    <w:rsid w:val="00DC04EE"/>
    <w:rsid w:val="00DC0B33"/>
    <w:rsid w:val="00DC0D22"/>
    <w:rsid w:val="00DC280B"/>
    <w:rsid w:val="00DC2C5B"/>
    <w:rsid w:val="00DC33C5"/>
    <w:rsid w:val="00DC370A"/>
    <w:rsid w:val="00DC389D"/>
    <w:rsid w:val="00DC3B01"/>
    <w:rsid w:val="00DC3C25"/>
    <w:rsid w:val="00DC3F58"/>
    <w:rsid w:val="00DC4856"/>
    <w:rsid w:val="00DC4C4A"/>
    <w:rsid w:val="00DC4DCC"/>
    <w:rsid w:val="00DC4F13"/>
    <w:rsid w:val="00DC5FF4"/>
    <w:rsid w:val="00DC639B"/>
    <w:rsid w:val="00DC66DC"/>
    <w:rsid w:val="00DC6984"/>
    <w:rsid w:val="00DC6FCE"/>
    <w:rsid w:val="00DC7275"/>
    <w:rsid w:val="00DC72E1"/>
    <w:rsid w:val="00DC7F69"/>
    <w:rsid w:val="00DD039D"/>
    <w:rsid w:val="00DD0473"/>
    <w:rsid w:val="00DD0652"/>
    <w:rsid w:val="00DD1117"/>
    <w:rsid w:val="00DD1346"/>
    <w:rsid w:val="00DD1E35"/>
    <w:rsid w:val="00DD1F17"/>
    <w:rsid w:val="00DD23F1"/>
    <w:rsid w:val="00DD297C"/>
    <w:rsid w:val="00DD2F7D"/>
    <w:rsid w:val="00DD36D7"/>
    <w:rsid w:val="00DD38A5"/>
    <w:rsid w:val="00DD3D6D"/>
    <w:rsid w:val="00DD3F1C"/>
    <w:rsid w:val="00DD45B8"/>
    <w:rsid w:val="00DD4A4F"/>
    <w:rsid w:val="00DD51EB"/>
    <w:rsid w:val="00DD56A1"/>
    <w:rsid w:val="00DD5B09"/>
    <w:rsid w:val="00DD5F0E"/>
    <w:rsid w:val="00DD6108"/>
    <w:rsid w:val="00DD6AAC"/>
    <w:rsid w:val="00DD6DF7"/>
    <w:rsid w:val="00DD7027"/>
    <w:rsid w:val="00DD768B"/>
    <w:rsid w:val="00DD7776"/>
    <w:rsid w:val="00DD7B2A"/>
    <w:rsid w:val="00DD7C84"/>
    <w:rsid w:val="00DE1071"/>
    <w:rsid w:val="00DE16BB"/>
    <w:rsid w:val="00DE19D5"/>
    <w:rsid w:val="00DE2021"/>
    <w:rsid w:val="00DE21DF"/>
    <w:rsid w:val="00DE2555"/>
    <w:rsid w:val="00DE26F0"/>
    <w:rsid w:val="00DE2BBE"/>
    <w:rsid w:val="00DE2D09"/>
    <w:rsid w:val="00DE2E20"/>
    <w:rsid w:val="00DE34F0"/>
    <w:rsid w:val="00DE3563"/>
    <w:rsid w:val="00DE38BA"/>
    <w:rsid w:val="00DE3B27"/>
    <w:rsid w:val="00DE3EC8"/>
    <w:rsid w:val="00DE41EB"/>
    <w:rsid w:val="00DE44A9"/>
    <w:rsid w:val="00DE491B"/>
    <w:rsid w:val="00DE4CEE"/>
    <w:rsid w:val="00DE51B5"/>
    <w:rsid w:val="00DE52D9"/>
    <w:rsid w:val="00DE5428"/>
    <w:rsid w:val="00DE556E"/>
    <w:rsid w:val="00DE5A07"/>
    <w:rsid w:val="00DE5DA8"/>
    <w:rsid w:val="00DE69F7"/>
    <w:rsid w:val="00DE6E9C"/>
    <w:rsid w:val="00DE70D3"/>
    <w:rsid w:val="00DE71EC"/>
    <w:rsid w:val="00DE72EE"/>
    <w:rsid w:val="00DE737F"/>
    <w:rsid w:val="00DE755E"/>
    <w:rsid w:val="00DE758B"/>
    <w:rsid w:val="00DE7942"/>
    <w:rsid w:val="00DE7950"/>
    <w:rsid w:val="00DE7AA7"/>
    <w:rsid w:val="00DE7AB8"/>
    <w:rsid w:val="00DE7D42"/>
    <w:rsid w:val="00DE7EE0"/>
    <w:rsid w:val="00DF081F"/>
    <w:rsid w:val="00DF0A92"/>
    <w:rsid w:val="00DF165D"/>
    <w:rsid w:val="00DF1833"/>
    <w:rsid w:val="00DF18C1"/>
    <w:rsid w:val="00DF1D45"/>
    <w:rsid w:val="00DF207B"/>
    <w:rsid w:val="00DF20F0"/>
    <w:rsid w:val="00DF259E"/>
    <w:rsid w:val="00DF275B"/>
    <w:rsid w:val="00DF275D"/>
    <w:rsid w:val="00DF277A"/>
    <w:rsid w:val="00DF2A7A"/>
    <w:rsid w:val="00DF3A38"/>
    <w:rsid w:val="00DF3B5B"/>
    <w:rsid w:val="00DF3D2F"/>
    <w:rsid w:val="00DF41B5"/>
    <w:rsid w:val="00DF4328"/>
    <w:rsid w:val="00DF48EB"/>
    <w:rsid w:val="00DF4C9A"/>
    <w:rsid w:val="00DF5315"/>
    <w:rsid w:val="00DF57F0"/>
    <w:rsid w:val="00DF5823"/>
    <w:rsid w:val="00DF5C13"/>
    <w:rsid w:val="00DF5D10"/>
    <w:rsid w:val="00DF5F18"/>
    <w:rsid w:val="00DF62E2"/>
    <w:rsid w:val="00DF68E2"/>
    <w:rsid w:val="00DF6AC0"/>
    <w:rsid w:val="00DF6B8E"/>
    <w:rsid w:val="00DF77D5"/>
    <w:rsid w:val="00DF7C60"/>
    <w:rsid w:val="00E00197"/>
    <w:rsid w:val="00E00228"/>
    <w:rsid w:val="00E00365"/>
    <w:rsid w:val="00E0036C"/>
    <w:rsid w:val="00E00CFF"/>
    <w:rsid w:val="00E01CCB"/>
    <w:rsid w:val="00E022CF"/>
    <w:rsid w:val="00E02623"/>
    <w:rsid w:val="00E027EC"/>
    <w:rsid w:val="00E02B20"/>
    <w:rsid w:val="00E02E4C"/>
    <w:rsid w:val="00E03565"/>
    <w:rsid w:val="00E035D4"/>
    <w:rsid w:val="00E03785"/>
    <w:rsid w:val="00E03C4A"/>
    <w:rsid w:val="00E04AA0"/>
    <w:rsid w:val="00E05469"/>
    <w:rsid w:val="00E062C0"/>
    <w:rsid w:val="00E06458"/>
    <w:rsid w:val="00E07018"/>
    <w:rsid w:val="00E070DA"/>
    <w:rsid w:val="00E072D0"/>
    <w:rsid w:val="00E07469"/>
    <w:rsid w:val="00E10E9C"/>
    <w:rsid w:val="00E11729"/>
    <w:rsid w:val="00E11744"/>
    <w:rsid w:val="00E11A1B"/>
    <w:rsid w:val="00E11ADE"/>
    <w:rsid w:val="00E11E0D"/>
    <w:rsid w:val="00E1220D"/>
    <w:rsid w:val="00E128B2"/>
    <w:rsid w:val="00E12DA5"/>
    <w:rsid w:val="00E12DF3"/>
    <w:rsid w:val="00E13A20"/>
    <w:rsid w:val="00E13AD1"/>
    <w:rsid w:val="00E141AD"/>
    <w:rsid w:val="00E15E69"/>
    <w:rsid w:val="00E16D0C"/>
    <w:rsid w:val="00E171C6"/>
    <w:rsid w:val="00E1772D"/>
    <w:rsid w:val="00E17A82"/>
    <w:rsid w:val="00E17BE0"/>
    <w:rsid w:val="00E17C98"/>
    <w:rsid w:val="00E17D1D"/>
    <w:rsid w:val="00E17D92"/>
    <w:rsid w:val="00E2018F"/>
    <w:rsid w:val="00E203BE"/>
    <w:rsid w:val="00E20522"/>
    <w:rsid w:val="00E20BDD"/>
    <w:rsid w:val="00E20D31"/>
    <w:rsid w:val="00E20F7E"/>
    <w:rsid w:val="00E215F4"/>
    <w:rsid w:val="00E21880"/>
    <w:rsid w:val="00E218CB"/>
    <w:rsid w:val="00E2215C"/>
    <w:rsid w:val="00E22357"/>
    <w:rsid w:val="00E225E6"/>
    <w:rsid w:val="00E23377"/>
    <w:rsid w:val="00E238BE"/>
    <w:rsid w:val="00E23957"/>
    <w:rsid w:val="00E23B6D"/>
    <w:rsid w:val="00E24218"/>
    <w:rsid w:val="00E245C8"/>
    <w:rsid w:val="00E2484F"/>
    <w:rsid w:val="00E250AD"/>
    <w:rsid w:val="00E250B9"/>
    <w:rsid w:val="00E254F6"/>
    <w:rsid w:val="00E256BD"/>
    <w:rsid w:val="00E25881"/>
    <w:rsid w:val="00E259A2"/>
    <w:rsid w:val="00E25E7E"/>
    <w:rsid w:val="00E26198"/>
    <w:rsid w:val="00E26208"/>
    <w:rsid w:val="00E263EE"/>
    <w:rsid w:val="00E264D4"/>
    <w:rsid w:val="00E2664C"/>
    <w:rsid w:val="00E27140"/>
    <w:rsid w:val="00E27660"/>
    <w:rsid w:val="00E2775F"/>
    <w:rsid w:val="00E277FC"/>
    <w:rsid w:val="00E278B6"/>
    <w:rsid w:val="00E30146"/>
    <w:rsid w:val="00E302D7"/>
    <w:rsid w:val="00E303D9"/>
    <w:rsid w:val="00E30796"/>
    <w:rsid w:val="00E31956"/>
    <w:rsid w:val="00E32079"/>
    <w:rsid w:val="00E32389"/>
    <w:rsid w:val="00E32671"/>
    <w:rsid w:val="00E32BF0"/>
    <w:rsid w:val="00E32DE3"/>
    <w:rsid w:val="00E33803"/>
    <w:rsid w:val="00E33B26"/>
    <w:rsid w:val="00E341DD"/>
    <w:rsid w:val="00E346CB"/>
    <w:rsid w:val="00E34A33"/>
    <w:rsid w:val="00E34B70"/>
    <w:rsid w:val="00E34D83"/>
    <w:rsid w:val="00E351D6"/>
    <w:rsid w:val="00E35FE7"/>
    <w:rsid w:val="00E368D7"/>
    <w:rsid w:val="00E36F2F"/>
    <w:rsid w:val="00E37318"/>
    <w:rsid w:val="00E375D2"/>
    <w:rsid w:val="00E375FF"/>
    <w:rsid w:val="00E377F3"/>
    <w:rsid w:val="00E37A27"/>
    <w:rsid w:val="00E37F57"/>
    <w:rsid w:val="00E40261"/>
    <w:rsid w:val="00E40867"/>
    <w:rsid w:val="00E408DA"/>
    <w:rsid w:val="00E419D5"/>
    <w:rsid w:val="00E41AE4"/>
    <w:rsid w:val="00E42391"/>
    <w:rsid w:val="00E4244B"/>
    <w:rsid w:val="00E4249B"/>
    <w:rsid w:val="00E42789"/>
    <w:rsid w:val="00E4279B"/>
    <w:rsid w:val="00E42CFC"/>
    <w:rsid w:val="00E43068"/>
    <w:rsid w:val="00E433DD"/>
    <w:rsid w:val="00E43F39"/>
    <w:rsid w:val="00E44121"/>
    <w:rsid w:val="00E443DB"/>
    <w:rsid w:val="00E445D0"/>
    <w:rsid w:val="00E4460E"/>
    <w:rsid w:val="00E458BD"/>
    <w:rsid w:val="00E45A05"/>
    <w:rsid w:val="00E45C44"/>
    <w:rsid w:val="00E45D06"/>
    <w:rsid w:val="00E46122"/>
    <w:rsid w:val="00E462FC"/>
    <w:rsid w:val="00E46419"/>
    <w:rsid w:val="00E467E8"/>
    <w:rsid w:val="00E473D7"/>
    <w:rsid w:val="00E47F79"/>
    <w:rsid w:val="00E500ED"/>
    <w:rsid w:val="00E502D5"/>
    <w:rsid w:val="00E50A5F"/>
    <w:rsid w:val="00E50FEB"/>
    <w:rsid w:val="00E515B0"/>
    <w:rsid w:val="00E51DD6"/>
    <w:rsid w:val="00E51F3D"/>
    <w:rsid w:val="00E5296F"/>
    <w:rsid w:val="00E52C80"/>
    <w:rsid w:val="00E52C9E"/>
    <w:rsid w:val="00E53E05"/>
    <w:rsid w:val="00E546D5"/>
    <w:rsid w:val="00E54705"/>
    <w:rsid w:val="00E54844"/>
    <w:rsid w:val="00E552A1"/>
    <w:rsid w:val="00E55517"/>
    <w:rsid w:val="00E55652"/>
    <w:rsid w:val="00E556E3"/>
    <w:rsid w:val="00E5663C"/>
    <w:rsid w:val="00E56A4D"/>
    <w:rsid w:val="00E56B76"/>
    <w:rsid w:val="00E56D31"/>
    <w:rsid w:val="00E56E8C"/>
    <w:rsid w:val="00E56EE6"/>
    <w:rsid w:val="00E57227"/>
    <w:rsid w:val="00E57C0C"/>
    <w:rsid w:val="00E60664"/>
    <w:rsid w:val="00E60DC1"/>
    <w:rsid w:val="00E614D4"/>
    <w:rsid w:val="00E6169B"/>
    <w:rsid w:val="00E61975"/>
    <w:rsid w:val="00E61C23"/>
    <w:rsid w:val="00E624EE"/>
    <w:rsid w:val="00E62541"/>
    <w:rsid w:val="00E6317C"/>
    <w:rsid w:val="00E632DF"/>
    <w:rsid w:val="00E633FB"/>
    <w:rsid w:val="00E635E5"/>
    <w:rsid w:val="00E638B0"/>
    <w:rsid w:val="00E6396A"/>
    <w:rsid w:val="00E63AA8"/>
    <w:rsid w:val="00E63D4C"/>
    <w:rsid w:val="00E64079"/>
    <w:rsid w:val="00E643B2"/>
    <w:rsid w:val="00E64BB6"/>
    <w:rsid w:val="00E64C37"/>
    <w:rsid w:val="00E650C5"/>
    <w:rsid w:val="00E65BED"/>
    <w:rsid w:val="00E66231"/>
    <w:rsid w:val="00E66A30"/>
    <w:rsid w:val="00E66A5F"/>
    <w:rsid w:val="00E67DEA"/>
    <w:rsid w:val="00E7069F"/>
    <w:rsid w:val="00E71018"/>
    <w:rsid w:val="00E7109E"/>
    <w:rsid w:val="00E714E3"/>
    <w:rsid w:val="00E715E1"/>
    <w:rsid w:val="00E71856"/>
    <w:rsid w:val="00E7185A"/>
    <w:rsid w:val="00E71BFA"/>
    <w:rsid w:val="00E72646"/>
    <w:rsid w:val="00E73164"/>
    <w:rsid w:val="00E73192"/>
    <w:rsid w:val="00E73325"/>
    <w:rsid w:val="00E733B8"/>
    <w:rsid w:val="00E73BDB"/>
    <w:rsid w:val="00E74117"/>
    <w:rsid w:val="00E74229"/>
    <w:rsid w:val="00E74481"/>
    <w:rsid w:val="00E74A45"/>
    <w:rsid w:val="00E74AF7"/>
    <w:rsid w:val="00E74E0D"/>
    <w:rsid w:val="00E74F6F"/>
    <w:rsid w:val="00E75204"/>
    <w:rsid w:val="00E75210"/>
    <w:rsid w:val="00E7539F"/>
    <w:rsid w:val="00E75B39"/>
    <w:rsid w:val="00E76162"/>
    <w:rsid w:val="00E761BD"/>
    <w:rsid w:val="00E762B8"/>
    <w:rsid w:val="00E76559"/>
    <w:rsid w:val="00E769C6"/>
    <w:rsid w:val="00E769F6"/>
    <w:rsid w:val="00E771AF"/>
    <w:rsid w:val="00E771D7"/>
    <w:rsid w:val="00E77A8C"/>
    <w:rsid w:val="00E77F4B"/>
    <w:rsid w:val="00E800F9"/>
    <w:rsid w:val="00E8036C"/>
    <w:rsid w:val="00E8039D"/>
    <w:rsid w:val="00E80425"/>
    <w:rsid w:val="00E8136C"/>
    <w:rsid w:val="00E813AC"/>
    <w:rsid w:val="00E81BF2"/>
    <w:rsid w:val="00E82B66"/>
    <w:rsid w:val="00E82F5E"/>
    <w:rsid w:val="00E82F9F"/>
    <w:rsid w:val="00E836A8"/>
    <w:rsid w:val="00E83AC0"/>
    <w:rsid w:val="00E8421B"/>
    <w:rsid w:val="00E8468D"/>
    <w:rsid w:val="00E84BC7"/>
    <w:rsid w:val="00E84CED"/>
    <w:rsid w:val="00E8518E"/>
    <w:rsid w:val="00E85450"/>
    <w:rsid w:val="00E8556B"/>
    <w:rsid w:val="00E85817"/>
    <w:rsid w:val="00E85CE4"/>
    <w:rsid w:val="00E85DBC"/>
    <w:rsid w:val="00E85FB4"/>
    <w:rsid w:val="00E86089"/>
    <w:rsid w:val="00E862BE"/>
    <w:rsid w:val="00E8709F"/>
    <w:rsid w:val="00E8771C"/>
    <w:rsid w:val="00E90FF1"/>
    <w:rsid w:val="00E9106A"/>
    <w:rsid w:val="00E91AD4"/>
    <w:rsid w:val="00E91BA4"/>
    <w:rsid w:val="00E91F61"/>
    <w:rsid w:val="00E92133"/>
    <w:rsid w:val="00E926E0"/>
    <w:rsid w:val="00E93935"/>
    <w:rsid w:val="00E93F72"/>
    <w:rsid w:val="00E93FC6"/>
    <w:rsid w:val="00E9437E"/>
    <w:rsid w:val="00E947B6"/>
    <w:rsid w:val="00E94872"/>
    <w:rsid w:val="00E94A43"/>
    <w:rsid w:val="00E94B83"/>
    <w:rsid w:val="00E94DFA"/>
    <w:rsid w:val="00E950F4"/>
    <w:rsid w:val="00E9522B"/>
    <w:rsid w:val="00E95320"/>
    <w:rsid w:val="00E95C71"/>
    <w:rsid w:val="00E95CEF"/>
    <w:rsid w:val="00E96000"/>
    <w:rsid w:val="00E96139"/>
    <w:rsid w:val="00E96450"/>
    <w:rsid w:val="00E96984"/>
    <w:rsid w:val="00E96A92"/>
    <w:rsid w:val="00E96DD8"/>
    <w:rsid w:val="00E96F0E"/>
    <w:rsid w:val="00E97609"/>
    <w:rsid w:val="00E9784C"/>
    <w:rsid w:val="00EA0217"/>
    <w:rsid w:val="00EA0497"/>
    <w:rsid w:val="00EA0C6B"/>
    <w:rsid w:val="00EA0F69"/>
    <w:rsid w:val="00EA10C6"/>
    <w:rsid w:val="00EA127C"/>
    <w:rsid w:val="00EA19D5"/>
    <w:rsid w:val="00EA1C9D"/>
    <w:rsid w:val="00EA24EC"/>
    <w:rsid w:val="00EA2805"/>
    <w:rsid w:val="00EA2DAF"/>
    <w:rsid w:val="00EA2DC6"/>
    <w:rsid w:val="00EA303B"/>
    <w:rsid w:val="00EA3382"/>
    <w:rsid w:val="00EA33E0"/>
    <w:rsid w:val="00EA34DB"/>
    <w:rsid w:val="00EA3670"/>
    <w:rsid w:val="00EA38D7"/>
    <w:rsid w:val="00EA3E66"/>
    <w:rsid w:val="00EA4341"/>
    <w:rsid w:val="00EA4465"/>
    <w:rsid w:val="00EA48AB"/>
    <w:rsid w:val="00EA4978"/>
    <w:rsid w:val="00EA4BD0"/>
    <w:rsid w:val="00EA4C70"/>
    <w:rsid w:val="00EA4D14"/>
    <w:rsid w:val="00EA5946"/>
    <w:rsid w:val="00EA5C2B"/>
    <w:rsid w:val="00EA5D2D"/>
    <w:rsid w:val="00EA5D69"/>
    <w:rsid w:val="00EA5E15"/>
    <w:rsid w:val="00EA6284"/>
    <w:rsid w:val="00EA63BB"/>
    <w:rsid w:val="00EA67C1"/>
    <w:rsid w:val="00EA6C42"/>
    <w:rsid w:val="00EA7161"/>
    <w:rsid w:val="00EA7183"/>
    <w:rsid w:val="00EA7439"/>
    <w:rsid w:val="00EA74AF"/>
    <w:rsid w:val="00EA7793"/>
    <w:rsid w:val="00EA78ED"/>
    <w:rsid w:val="00EA7A75"/>
    <w:rsid w:val="00EA7CE0"/>
    <w:rsid w:val="00EA7EFD"/>
    <w:rsid w:val="00EB0069"/>
    <w:rsid w:val="00EB0442"/>
    <w:rsid w:val="00EB052F"/>
    <w:rsid w:val="00EB08BA"/>
    <w:rsid w:val="00EB1572"/>
    <w:rsid w:val="00EB16DE"/>
    <w:rsid w:val="00EB171B"/>
    <w:rsid w:val="00EB1846"/>
    <w:rsid w:val="00EB1CEF"/>
    <w:rsid w:val="00EB1DB6"/>
    <w:rsid w:val="00EB1F7B"/>
    <w:rsid w:val="00EB220B"/>
    <w:rsid w:val="00EB2563"/>
    <w:rsid w:val="00EB273D"/>
    <w:rsid w:val="00EB3273"/>
    <w:rsid w:val="00EB3485"/>
    <w:rsid w:val="00EB39B6"/>
    <w:rsid w:val="00EB3C89"/>
    <w:rsid w:val="00EB3D5B"/>
    <w:rsid w:val="00EB5019"/>
    <w:rsid w:val="00EB584E"/>
    <w:rsid w:val="00EB5CCD"/>
    <w:rsid w:val="00EB5E40"/>
    <w:rsid w:val="00EB6073"/>
    <w:rsid w:val="00EB6116"/>
    <w:rsid w:val="00EB62A5"/>
    <w:rsid w:val="00EB64F1"/>
    <w:rsid w:val="00EB6B7F"/>
    <w:rsid w:val="00EB6D6F"/>
    <w:rsid w:val="00EB6EDA"/>
    <w:rsid w:val="00EB6FE9"/>
    <w:rsid w:val="00EB70AA"/>
    <w:rsid w:val="00EB7950"/>
    <w:rsid w:val="00EB7EC4"/>
    <w:rsid w:val="00EB7F88"/>
    <w:rsid w:val="00EC020B"/>
    <w:rsid w:val="00EC0588"/>
    <w:rsid w:val="00EC09A1"/>
    <w:rsid w:val="00EC0BEC"/>
    <w:rsid w:val="00EC0F98"/>
    <w:rsid w:val="00EC13C6"/>
    <w:rsid w:val="00EC158B"/>
    <w:rsid w:val="00EC1C7C"/>
    <w:rsid w:val="00EC1E36"/>
    <w:rsid w:val="00EC287E"/>
    <w:rsid w:val="00EC368C"/>
    <w:rsid w:val="00EC377E"/>
    <w:rsid w:val="00EC40A4"/>
    <w:rsid w:val="00EC4228"/>
    <w:rsid w:val="00EC445B"/>
    <w:rsid w:val="00EC4562"/>
    <w:rsid w:val="00EC460D"/>
    <w:rsid w:val="00EC461A"/>
    <w:rsid w:val="00EC4A82"/>
    <w:rsid w:val="00EC4C03"/>
    <w:rsid w:val="00EC4C48"/>
    <w:rsid w:val="00EC57FE"/>
    <w:rsid w:val="00EC59E2"/>
    <w:rsid w:val="00EC5C66"/>
    <w:rsid w:val="00EC5FD3"/>
    <w:rsid w:val="00EC5FE0"/>
    <w:rsid w:val="00EC739C"/>
    <w:rsid w:val="00EC7B92"/>
    <w:rsid w:val="00ED00A5"/>
    <w:rsid w:val="00ED0654"/>
    <w:rsid w:val="00ED07C8"/>
    <w:rsid w:val="00ED0924"/>
    <w:rsid w:val="00ED0D0F"/>
    <w:rsid w:val="00ED0D4F"/>
    <w:rsid w:val="00ED1386"/>
    <w:rsid w:val="00ED14A9"/>
    <w:rsid w:val="00ED1510"/>
    <w:rsid w:val="00ED18FA"/>
    <w:rsid w:val="00ED1D00"/>
    <w:rsid w:val="00ED1E48"/>
    <w:rsid w:val="00ED2359"/>
    <w:rsid w:val="00ED28D7"/>
    <w:rsid w:val="00ED2D78"/>
    <w:rsid w:val="00ED2EA7"/>
    <w:rsid w:val="00ED39BF"/>
    <w:rsid w:val="00ED3D15"/>
    <w:rsid w:val="00ED423C"/>
    <w:rsid w:val="00ED4889"/>
    <w:rsid w:val="00ED5716"/>
    <w:rsid w:val="00ED5DC4"/>
    <w:rsid w:val="00ED60C8"/>
    <w:rsid w:val="00ED6219"/>
    <w:rsid w:val="00ED67CA"/>
    <w:rsid w:val="00ED7C7A"/>
    <w:rsid w:val="00EE07A8"/>
    <w:rsid w:val="00EE07C8"/>
    <w:rsid w:val="00EE0868"/>
    <w:rsid w:val="00EE0A8A"/>
    <w:rsid w:val="00EE0AD5"/>
    <w:rsid w:val="00EE1395"/>
    <w:rsid w:val="00EE206F"/>
    <w:rsid w:val="00EE225F"/>
    <w:rsid w:val="00EE251D"/>
    <w:rsid w:val="00EE267A"/>
    <w:rsid w:val="00EE26D0"/>
    <w:rsid w:val="00EE2CD7"/>
    <w:rsid w:val="00EE3119"/>
    <w:rsid w:val="00EE3551"/>
    <w:rsid w:val="00EE356D"/>
    <w:rsid w:val="00EE39CC"/>
    <w:rsid w:val="00EE3A09"/>
    <w:rsid w:val="00EE3B73"/>
    <w:rsid w:val="00EE3F3E"/>
    <w:rsid w:val="00EE487B"/>
    <w:rsid w:val="00EE4C60"/>
    <w:rsid w:val="00EE4DEA"/>
    <w:rsid w:val="00EE535F"/>
    <w:rsid w:val="00EE5375"/>
    <w:rsid w:val="00EE55A5"/>
    <w:rsid w:val="00EE5D75"/>
    <w:rsid w:val="00EF0C34"/>
    <w:rsid w:val="00EF13B8"/>
    <w:rsid w:val="00EF17FB"/>
    <w:rsid w:val="00EF23CC"/>
    <w:rsid w:val="00EF23D3"/>
    <w:rsid w:val="00EF257D"/>
    <w:rsid w:val="00EF30AE"/>
    <w:rsid w:val="00EF31FA"/>
    <w:rsid w:val="00EF3205"/>
    <w:rsid w:val="00EF367B"/>
    <w:rsid w:val="00EF48A4"/>
    <w:rsid w:val="00EF49E7"/>
    <w:rsid w:val="00EF5381"/>
    <w:rsid w:val="00EF6949"/>
    <w:rsid w:val="00EF6AFE"/>
    <w:rsid w:val="00EF6C8E"/>
    <w:rsid w:val="00EF6F0E"/>
    <w:rsid w:val="00EF7A0F"/>
    <w:rsid w:val="00EF7B4F"/>
    <w:rsid w:val="00EF7D7E"/>
    <w:rsid w:val="00F002F2"/>
    <w:rsid w:val="00F00415"/>
    <w:rsid w:val="00F00529"/>
    <w:rsid w:val="00F00C59"/>
    <w:rsid w:val="00F01348"/>
    <w:rsid w:val="00F01F13"/>
    <w:rsid w:val="00F01FA7"/>
    <w:rsid w:val="00F027CB"/>
    <w:rsid w:val="00F0305F"/>
    <w:rsid w:val="00F03121"/>
    <w:rsid w:val="00F0343D"/>
    <w:rsid w:val="00F038A2"/>
    <w:rsid w:val="00F0406B"/>
    <w:rsid w:val="00F041F6"/>
    <w:rsid w:val="00F04FFF"/>
    <w:rsid w:val="00F065C9"/>
    <w:rsid w:val="00F066E9"/>
    <w:rsid w:val="00F066F3"/>
    <w:rsid w:val="00F06835"/>
    <w:rsid w:val="00F06ED9"/>
    <w:rsid w:val="00F06F5C"/>
    <w:rsid w:val="00F06F9F"/>
    <w:rsid w:val="00F07561"/>
    <w:rsid w:val="00F0758A"/>
    <w:rsid w:val="00F07CF8"/>
    <w:rsid w:val="00F07DD6"/>
    <w:rsid w:val="00F100FF"/>
    <w:rsid w:val="00F10222"/>
    <w:rsid w:val="00F10B50"/>
    <w:rsid w:val="00F1104D"/>
    <w:rsid w:val="00F11384"/>
    <w:rsid w:val="00F114F4"/>
    <w:rsid w:val="00F11944"/>
    <w:rsid w:val="00F119C3"/>
    <w:rsid w:val="00F11DD6"/>
    <w:rsid w:val="00F11DF1"/>
    <w:rsid w:val="00F12D82"/>
    <w:rsid w:val="00F12DE2"/>
    <w:rsid w:val="00F12F4B"/>
    <w:rsid w:val="00F1329C"/>
    <w:rsid w:val="00F14C5F"/>
    <w:rsid w:val="00F14E15"/>
    <w:rsid w:val="00F14F62"/>
    <w:rsid w:val="00F14FF8"/>
    <w:rsid w:val="00F15566"/>
    <w:rsid w:val="00F15720"/>
    <w:rsid w:val="00F15BD0"/>
    <w:rsid w:val="00F15F12"/>
    <w:rsid w:val="00F164C5"/>
    <w:rsid w:val="00F165CC"/>
    <w:rsid w:val="00F17268"/>
    <w:rsid w:val="00F1774C"/>
    <w:rsid w:val="00F178D3"/>
    <w:rsid w:val="00F17D88"/>
    <w:rsid w:val="00F17FB2"/>
    <w:rsid w:val="00F20B12"/>
    <w:rsid w:val="00F2101E"/>
    <w:rsid w:val="00F210CA"/>
    <w:rsid w:val="00F21461"/>
    <w:rsid w:val="00F21F0E"/>
    <w:rsid w:val="00F22957"/>
    <w:rsid w:val="00F23313"/>
    <w:rsid w:val="00F23520"/>
    <w:rsid w:val="00F23713"/>
    <w:rsid w:val="00F239F5"/>
    <w:rsid w:val="00F23CF2"/>
    <w:rsid w:val="00F24659"/>
    <w:rsid w:val="00F24946"/>
    <w:rsid w:val="00F24C61"/>
    <w:rsid w:val="00F24C74"/>
    <w:rsid w:val="00F25B97"/>
    <w:rsid w:val="00F25C71"/>
    <w:rsid w:val="00F2680B"/>
    <w:rsid w:val="00F26C1D"/>
    <w:rsid w:val="00F26FAF"/>
    <w:rsid w:val="00F27148"/>
    <w:rsid w:val="00F27B07"/>
    <w:rsid w:val="00F27BB2"/>
    <w:rsid w:val="00F27F57"/>
    <w:rsid w:val="00F305F2"/>
    <w:rsid w:val="00F31001"/>
    <w:rsid w:val="00F316EC"/>
    <w:rsid w:val="00F318AD"/>
    <w:rsid w:val="00F31934"/>
    <w:rsid w:val="00F32D41"/>
    <w:rsid w:val="00F33EA4"/>
    <w:rsid w:val="00F3474F"/>
    <w:rsid w:val="00F34C03"/>
    <w:rsid w:val="00F35146"/>
    <w:rsid w:val="00F35714"/>
    <w:rsid w:val="00F35858"/>
    <w:rsid w:val="00F35B26"/>
    <w:rsid w:val="00F362CE"/>
    <w:rsid w:val="00F365F3"/>
    <w:rsid w:val="00F369E7"/>
    <w:rsid w:val="00F36A5B"/>
    <w:rsid w:val="00F36C61"/>
    <w:rsid w:val="00F36F4A"/>
    <w:rsid w:val="00F36F50"/>
    <w:rsid w:val="00F3756A"/>
    <w:rsid w:val="00F37777"/>
    <w:rsid w:val="00F37BCD"/>
    <w:rsid w:val="00F4083A"/>
    <w:rsid w:val="00F40D46"/>
    <w:rsid w:val="00F41463"/>
    <w:rsid w:val="00F416B7"/>
    <w:rsid w:val="00F41AF7"/>
    <w:rsid w:val="00F41B19"/>
    <w:rsid w:val="00F41D87"/>
    <w:rsid w:val="00F41DB0"/>
    <w:rsid w:val="00F41F09"/>
    <w:rsid w:val="00F4203B"/>
    <w:rsid w:val="00F42220"/>
    <w:rsid w:val="00F42352"/>
    <w:rsid w:val="00F424D6"/>
    <w:rsid w:val="00F42609"/>
    <w:rsid w:val="00F42699"/>
    <w:rsid w:val="00F42AF0"/>
    <w:rsid w:val="00F42B1A"/>
    <w:rsid w:val="00F42D73"/>
    <w:rsid w:val="00F42E90"/>
    <w:rsid w:val="00F43E97"/>
    <w:rsid w:val="00F43ED3"/>
    <w:rsid w:val="00F44423"/>
    <w:rsid w:val="00F44A81"/>
    <w:rsid w:val="00F44C72"/>
    <w:rsid w:val="00F45050"/>
    <w:rsid w:val="00F450E1"/>
    <w:rsid w:val="00F45242"/>
    <w:rsid w:val="00F4540A"/>
    <w:rsid w:val="00F459CD"/>
    <w:rsid w:val="00F45EFD"/>
    <w:rsid w:val="00F45F07"/>
    <w:rsid w:val="00F461BA"/>
    <w:rsid w:val="00F46835"/>
    <w:rsid w:val="00F4689F"/>
    <w:rsid w:val="00F46C0E"/>
    <w:rsid w:val="00F4744C"/>
    <w:rsid w:val="00F47548"/>
    <w:rsid w:val="00F47B07"/>
    <w:rsid w:val="00F503C6"/>
    <w:rsid w:val="00F5041C"/>
    <w:rsid w:val="00F504A4"/>
    <w:rsid w:val="00F50DB7"/>
    <w:rsid w:val="00F50E53"/>
    <w:rsid w:val="00F5187A"/>
    <w:rsid w:val="00F52087"/>
    <w:rsid w:val="00F5286F"/>
    <w:rsid w:val="00F52AF3"/>
    <w:rsid w:val="00F52CDD"/>
    <w:rsid w:val="00F53A71"/>
    <w:rsid w:val="00F54C7E"/>
    <w:rsid w:val="00F54F99"/>
    <w:rsid w:val="00F5521C"/>
    <w:rsid w:val="00F55330"/>
    <w:rsid w:val="00F553C0"/>
    <w:rsid w:val="00F55C0A"/>
    <w:rsid w:val="00F56205"/>
    <w:rsid w:val="00F56241"/>
    <w:rsid w:val="00F56E33"/>
    <w:rsid w:val="00F56FA5"/>
    <w:rsid w:val="00F57047"/>
    <w:rsid w:val="00F573C5"/>
    <w:rsid w:val="00F57A41"/>
    <w:rsid w:val="00F57E45"/>
    <w:rsid w:val="00F57FE4"/>
    <w:rsid w:val="00F602BB"/>
    <w:rsid w:val="00F606E1"/>
    <w:rsid w:val="00F60BC5"/>
    <w:rsid w:val="00F60C71"/>
    <w:rsid w:val="00F60F68"/>
    <w:rsid w:val="00F61596"/>
    <w:rsid w:val="00F617DE"/>
    <w:rsid w:val="00F61850"/>
    <w:rsid w:val="00F618A6"/>
    <w:rsid w:val="00F618E2"/>
    <w:rsid w:val="00F61B82"/>
    <w:rsid w:val="00F61BBB"/>
    <w:rsid w:val="00F61CA5"/>
    <w:rsid w:val="00F622EA"/>
    <w:rsid w:val="00F6249B"/>
    <w:rsid w:val="00F6249C"/>
    <w:rsid w:val="00F626CC"/>
    <w:rsid w:val="00F62726"/>
    <w:rsid w:val="00F6274A"/>
    <w:rsid w:val="00F6300A"/>
    <w:rsid w:val="00F639B3"/>
    <w:rsid w:val="00F63C08"/>
    <w:rsid w:val="00F645A8"/>
    <w:rsid w:val="00F64B1F"/>
    <w:rsid w:val="00F64BCC"/>
    <w:rsid w:val="00F64C83"/>
    <w:rsid w:val="00F664FD"/>
    <w:rsid w:val="00F66A1F"/>
    <w:rsid w:val="00F66D4F"/>
    <w:rsid w:val="00F66E44"/>
    <w:rsid w:val="00F670CC"/>
    <w:rsid w:val="00F6740C"/>
    <w:rsid w:val="00F6785E"/>
    <w:rsid w:val="00F67A6D"/>
    <w:rsid w:val="00F67D10"/>
    <w:rsid w:val="00F70893"/>
    <w:rsid w:val="00F708A9"/>
    <w:rsid w:val="00F7094D"/>
    <w:rsid w:val="00F70A39"/>
    <w:rsid w:val="00F70BD2"/>
    <w:rsid w:val="00F70DD7"/>
    <w:rsid w:val="00F70EC7"/>
    <w:rsid w:val="00F71460"/>
    <w:rsid w:val="00F717E2"/>
    <w:rsid w:val="00F73B51"/>
    <w:rsid w:val="00F73B9F"/>
    <w:rsid w:val="00F74036"/>
    <w:rsid w:val="00F745E8"/>
    <w:rsid w:val="00F74E47"/>
    <w:rsid w:val="00F74EB5"/>
    <w:rsid w:val="00F74F8B"/>
    <w:rsid w:val="00F751F7"/>
    <w:rsid w:val="00F75382"/>
    <w:rsid w:val="00F7556E"/>
    <w:rsid w:val="00F75A27"/>
    <w:rsid w:val="00F75F5F"/>
    <w:rsid w:val="00F76092"/>
    <w:rsid w:val="00F76224"/>
    <w:rsid w:val="00F76D0B"/>
    <w:rsid w:val="00F77420"/>
    <w:rsid w:val="00F7783E"/>
    <w:rsid w:val="00F8040A"/>
    <w:rsid w:val="00F80764"/>
    <w:rsid w:val="00F80DBE"/>
    <w:rsid w:val="00F81096"/>
    <w:rsid w:val="00F8144A"/>
    <w:rsid w:val="00F8185A"/>
    <w:rsid w:val="00F81A97"/>
    <w:rsid w:val="00F81B4D"/>
    <w:rsid w:val="00F81E70"/>
    <w:rsid w:val="00F82120"/>
    <w:rsid w:val="00F821F5"/>
    <w:rsid w:val="00F82775"/>
    <w:rsid w:val="00F83077"/>
    <w:rsid w:val="00F83136"/>
    <w:rsid w:val="00F83FEB"/>
    <w:rsid w:val="00F8422A"/>
    <w:rsid w:val="00F84B28"/>
    <w:rsid w:val="00F84CEF"/>
    <w:rsid w:val="00F84E85"/>
    <w:rsid w:val="00F8517E"/>
    <w:rsid w:val="00F851BE"/>
    <w:rsid w:val="00F8588E"/>
    <w:rsid w:val="00F858F4"/>
    <w:rsid w:val="00F86A3D"/>
    <w:rsid w:val="00F86AF6"/>
    <w:rsid w:val="00F86F04"/>
    <w:rsid w:val="00F86FDD"/>
    <w:rsid w:val="00F87134"/>
    <w:rsid w:val="00F87958"/>
    <w:rsid w:val="00F87C7D"/>
    <w:rsid w:val="00F9011F"/>
    <w:rsid w:val="00F90614"/>
    <w:rsid w:val="00F91072"/>
    <w:rsid w:val="00F916BE"/>
    <w:rsid w:val="00F91E65"/>
    <w:rsid w:val="00F926D2"/>
    <w:rsid w:val="00F93264"/>
    <w:rsid w:val="00F93362"/>
    <w:rsid w:val="00F93AFE"/>
    <w:rsid w:val="00F945F6"/>
    <w:rsid w:val="00F946CF"/>
    <w:rsid w:val="00F95293"/>
    <w:rsid w:val="00F95388"/>
    <w:rsid w:val="00F955B4"/>
    <w:rsid w:val="00F958AB"/>
    <w:rsid w:val="00F95D83"/>
    <w:rsid w:val="00F96166"/>
    <w:rsid w:val="00F96703"/>
    <w:rsid w:val="00F968A5"/>
    <w:rsid w:val="00F9706A"/>
    <w:rsid w:val="00F970B0"/>
    <w:rsid w:val="00F972BB"/>
    <w:rsid w:val="00F975AA"/>
    <w:rsid w:val="00F975FE"/>
    <w:rsid w:val="00F97937"/>
    <w:rsid w:val="00F97B7C"/>
    <w:rsid w:val="00FA0CE1"/>
    <w:rsid w:val="00FA11CB"/>
    <w:rsid w:val="00FA1319"/>
    <w:rsid w:val="00FA1906"/>
    <w:rsid w:val="00FA1995"/>
    <w:rsid w:val="00FA23BE"/>
    <w:rsid w:val="00FA2CC6"/>
    <w:rsid w:val="00FA2FB3"/>
    <w:rsid w:val="00FA46BF"/>
    <w:rsid w:val="00FA4819"/>
    <w:rsid w:val="00FA4CF9"/>
    <w:rsid w:val="00FA5032"/>
    <w:rsid w:val="00FA5AA5"/>
    <w:rsid w:val="00FA5D56"/>
    <w:rsid w:val="00FA5FED"/>
    <w:rsid w:val="00FA6B26"/>
    <w:rsid w:val="00FA6E36"/>
    <w:rsid w:val="00FA764E"/>
    <w:rsid w:val="00FA76EA"/>
    <w:rsid w:val="00FA7C20"/>
    <w:rsid w:val="00FA7C23"/>
    <w:rsid w:val="00FA7C7D"/>
    <w:rsid w:val="00FA7DB6"/>
    <w:rsid w:val="00FB029B"/>
    <w:rsid w:val="00FB03D6"/>
    <w:rsid w:val="00FB05A3"/>
    <w:rsid w:val="00FB0732"/>
    <w:rsid w:val="00FB0B45"/>
    <w:rsid w:val="00FB16F3"/>
    <w:rsid w:val="00FB1F0B"/>
    <w:rsid w:val="00FB1F0C"/>
    <w:rsid w:val="00FB21E1"/>
    <w:rsid w:val="00FB220C"/>
    <w:rsid w:val="00FB2C48"/>
    <w:rsid w:val="00FB4051"/>
    <w:rsid w:val="00FB455C"/>
    <w:rsid w:val="00FB4AAC"/>
    <w:rsid w:val="00FB4C94"/>
    <w:rsid w:val="00FB5778"/>
    <w:rsid w:val="00FB5B49"/>
    <w:rsid w:val="00FB6154"/>
    <w:rsid w:val="00FB6447"/>
    <w:rsid w:val="00FB694C"/>
    <w:rsid w:val="00FB6C45"/>
    <w:rsid w:val="00FB6E04"/>
    <w:rsid w:val="00FB6E4C"/>
    <w:rsid w:val="00FB70B9"/>
    <w:rsid w:val="00FB74B4"/>
    <w:rsid w:val="00FB7872"/>
    <w:rsid w:val="00FB7897"/>
    <w:rsid w:val="00FC03D8"/>
    <w:rsid w:val="00FC0972"/>
    <w:rsid w:val="00FC0990"/>
    <w:rsid w:val="00FC102D"/>
    <w:rsid w:val="00FC178D"/>
    <w:rsid w:val="00FC34BC"/>
    <w:rsid w:val="00FC3AD3"/>
    <w:rsid w:val="00FC3D0F"/>
    <w:rsid w:val="00FC3D7B"/>
    <w:rsid w:val="00FC4444"/>
    <w:rsid w:val="00FC4B70"/>
    <w:rsid w:val="00FC5193"/>
    <w:rsid w:val="00FC5310"/>
    <w:rsid w:val="00FC5489"/>
    <w:rsid w:val="00FC569D"/>
    <w:rsid w:val="00FC578E"/>
    <w:rsid w:val="00FC5A87"/>
    <w:rsid w:val="00FC5AA9"/>
    <w:rsid w:val="00FC6037"/>
    <w:rsid w:val="00FC6B43"/>
    <w:rsid w:val="00FC6C97"/>
    <w:rsid w:val="00FC7A7E"/>
    <w:rsid w:val="00FC7C52"/>
    <w:rsid w:val="00FC7D66"/>
    <w:rsid w:val="00FC7D73"/>
    <w:rsid w:val="00FD0186"/>
    <w:rsid w:val="00FD04ED"/>
    <w:rsid w:val="00FD0DCE"/>
    <w:rsid w:val="00FD0FD7"/>
    <w:rsid w:val="00FD10E9"/>
    <w:rsid w:val="00FD14BA"/>
    <w:rsid w:val="00FD157A"/>
    <w:rsid w:val="00FD187E"/>
    <w:rsid w:val="00FD1A2E"/>
    <w:rsid w:val="00FD1E57"/>
    <w:rsid w:val="00FD23C6"/>
    <w:rsid w:val="00FD2B82"/>
    <w:rsid w:val="00FD2D95"/>
    <w:rsid w:val="00FD2F67"/>
    <w:rsid w:val="00FD3410"/>
    <w:rsid w:val="00FD3B31"/>
    <w:rsid w:val="00FD3BE1"/>
    <w:rsid w:val="00FD3FBA"/>
    <w:rsid w:val="00FD433F"/>
    <w:rsid w:val="00FD4A61"/>
    <w:rsid w:val="00FD5E29"/>
    <w:rsid w:val="00FD5ECF"/>
    <w:rsid w:val="00FD625E"/>
    <w:rsid w:val="00FD660A"/>
    <w:rsid w:val="00FD6AD5"/>
    <w:rsid w:val="00FD6C75"/>
    <w:rsid w:val="00FD6CDF"/>
    <w:rsid w:val="00FD7079"/>
    <w:rsid w:val="00FD7180"/>
    <w:rsid w:val="00FD78B3"/>
    <w:rsid w:val="00FD7A70"/>
    <w:rsid w:val="00FE01AE"/>
    <w:rsid w:val="00FE038E"/>
    <w:rsid w:val="00FE07FB"/>
    <w:rsid w:val="00FE0B87"/>
    <w:rsid w:val="00FE0CE7"/>
    <w:rsid w:val="00FE0D0D"/>
    <w:rsid w:val="00FE1B26"/>
    <w:rsid w:val="00FE1D14"/>
    <w:rsid w:val="00FE1F44"/>
    <w:rsid w:val="00FE2BDB"/>
    <w:rsid w:val="00FE31DF"/>
    <w:rsid w:val="00FE3257"/>
    <w:rsid w:val="00FE32BD"/>
    <w:rsid w:val="00FE36F1"/>
    <w:rsid w:val="00FE3958"/>
    <w:rsid w:val="00FE3B86"/>
    <w:rsid w:val="00FE3BF3"/>
    <w:rsid w:val="00FE3ED0"/>
    <w:rsid w:val="00FE3FEC"/>
    <w:rsid w:val="00FE424D"/>
    <w:rsid w:val="00FE427E"/>
    <w:rsid w:val="00FE45F2"/>
    <w:rsid w:val="00FE494A"/>
    <w:rsid w:val="00FE4A63"/>
    <w:rsid w:val="00FE4F39"/>
    <w:rsid w:val="00FE51E2"/>
    <w:rsid w:val="00FE5828"/>
    <w:rsid w:val="00FE5EB4"/>
    <w:rsid w:val="00FE63F0"/>
    <w:rsid w:val="00FE6991"/>
    <w:rsid w:val="00FE69BC"/>
    <w:rsid w:val="00FE78DC"/>
    <w:rsid w:val="00FE7B7E"/>
    <w:rsid w:val="00FE7D43"/>
    <w:rsid w:val="00FE7EF8"/>
    <w:rsid w:val="00FE7F6E"/>
    <w:rsid w:val="00FF00F5"/>
    <w:rsid w:val="00FF025E"/>
    <w:rsid w:val="00FF04A2"/>
    <w:rsid w:val="00FF04D1"/>
    <w:rsid w:val="00FF0E10"/>
    <w:rsid w:val="00FF0E96"/>
    <w:rsid w:val="00FF1042"/>
    <w:rsid w:val="00FF10C2"/>
    <w:rsid w:val="00FF16D1"/>
    <w:rsid w:val="00FF2240"/>
    <w:rsid w:val="00FF2323"/>
    <w:rsid w:val="00FF2836"/>
    <w:rsid w:val="00FF3337"/>
    <w:rsid w:val="00FF333A"/>
    <w:rsid w:val="00FF34A1"/>
    <w:rsid w:val="00FF3726"/>
    <w:rsid w:val="00FF3BB0"/>
    <w:rsid w:val="00FF438D"/>
    <w:rsid w:val="00FF44EE"/>
    <w:rsid w:val="00FF48BA"/>
    <w:rsid w:val="00FF4B33"/>
    <w:rsid w:val="00FF4CFF"/>
    <w:rsid w:val="00FF4D22"/>
    <w:rsid w:val="00FF543E"/>
    <w:rsid w:val="00FF55B8"/>
    <w:rsid w:val="00FF6496"/>
    <w:rsid w:val="00FF65D9"/>
    <w:rsid w:val="00FF662D"/>
    <w:rsid w:val="00FF6756"/>
    <w:rsid w:val="00FF6921"/>
    <w:rsid w:val="00FF6B6A"/>
    <w:rsid w:val="00FF6EFF"/>
    <w:rsid w:val="00FF72AC"/>
    <w:rsid w:val="00FF7B75"/>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77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EA7183"/>
    <w:pPr>
      <w:keepNext/>
      <w:pageBreakBefore/>
      <w:numPr>
        <w:numId w:val="10"/>
      </w:numPr>
      <w:pBdr>
        <w:bottom w:val="single" w:sz="8" w:space="1" w:color="E26E00"/>
      </w:pBdr>
      <w:spacing w:before="240" w:after="240"/>
      <w:ind w:right="612"/>
      <w:outlineLvl w:val="0"/>
    </w:pPr>
    <w:rPr>
      <w:b/>
      <w:bCs w:val="0"/>
    </w:rPr>
  </w:style>
  <w:style w:type="paragraph" w:styleId="Heading2">
    <w:name w:val="heading 2"/>
    <w:aliases w:val="Heading 1.1"/>
    <w:basedOn w:val="Heading1"/>
    <w:next w:val="Normal"/>
    <w:link w:val="Heading2Char"/>
    <w:qFormat/>
    <w:rsid w:val="002B49A7"/>
    <w:pPr>
      <w:pageBreakBefore w:val="0"/>
      <w:numPr>
        <w:ilvl w:val="1"/>
      </w:numPr>
      <w:pBdr>
        <w:bottom w:val="none" w:sz="0" w:space="0" w:color="auto"/>
      </w:pBdr>
      <w:spacing w:before="480"/>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023A5E"/>
    <w:pPr>
      <w:numPr>
        <w:ilvl w:val="0"/>
        <w:numId w:val="0"/>
      </w:numPr>
      <w:spacing w:after="120"/>
      <w:outlineLvl w:val="2"/>
    </w:pPr>
    <w:rPr>
      <w:i w:val="0"/>
      <w:sz w:val="24"/>
    </w:rPr>
  </w:style>
  <w:style w:type="paragraph" w:styleId="Heading4">
    <w:name w:val="heading 4"/>
    <w:aliases w:val="Heading Italic"/>
    <w:basedOn w:val="Normal"/>
    <w:next w:val="Normal"/>
    <w:link w:val="Heading4Char"/>
    <w:autoRedefine/>
    <w:qFormat/>
    <w:rsid w:val="00721DB7"/>
    <w:pPr>
      <w:keepNext/>
      <w:numPr>
        <w:ilvl w:val="3"/>
        <w:numId w:val="10"/>
      </w:numPr>
      <w:spacing w:after="60"/>
      <w:outlineLvl w:val="3"/>
    </w:pPr>
    <w:rPr>
      <w:rFonts w:ascii="Franklin Gothic Medium" w:hAnsi="Franklin Gothic Medium"/>
      <w:bCs/>
      <w:i/>
      <w:color w:val="E26E00"/>
      <w:lang w:eastAsia="en-AU"/>
    </w:rPr>
  </w:style>
  <w:style w:type="paragraph" w:styleId="Heading5">
    <w:name w:val="heading 5"/>
    <w:basedOn w:val="Normal"/>
    <w:next w:val="Normal"/>
    <w:link w:val="Heading5Char"/>
    <w:uiPriority w:val="9"/>
    <w:semiHidden/>
    <w:qFormat/>
    <w:locked/>
    <w:rsid w:val="00DE3EC8"/>
    <w:pPr>
      <w:numPr>
        <w:ilvl w:val="4"/>
        <w:numId w:val="10"/>
      </w:num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numPr>
        <w:ilvl w:val="5"/>
        <w:numId w:val="10"/>
      </w:numPr>
      <w:spacing w:after="60"/>
      <w:outlineLvl w:val="5"/>
    </w:pPr>
    <w:rPr>
      <w:b/>
      <w:bCs/>
    </w:rPr>
  </w:style>
  <w:style w:type="paragraph" w:styleId="Heading7">
    <w:name w:val="heading 7"/>
    <w:basedOn w:val="Normal"/>
    <w:next w:val="Normal"/>
    <w:link w:val="Heading7Char"/>
    <w:uiPriority w:val="9"/>
    <w:semiHidden/>
    <w:qFormat/>
    <w:locked/>
    <w:rsid w:val="00DE3EC8"/>
    <w:pPr>
      <w:numPr>
        <w:ilvl w:val="6"/>
        <w:numId w:val="10"/>
      </w:numPr>
      <w:spacing w:after="60"/>
      <w:outlineLvl w:val="6"/>
    </w:pPr>
  </w:style>
  <w:style w:type="paragraph" w:styleId="Heading8">
    <w:name w:val="heading 8"/>
    <w:basedOn w:val="Normal"/>
    <w:next w:val="Normal"/>
    <w:link w:val="Heading8Char"/>
    <w:uiPriority w:val="9"/>
    <w:semiHidden/>
    <w:qFormat/>
    <w:locked/>
    <w:rsid w:val="00DE3EC8"/>
    <w:pPr>
      <w:numPr>
        <w:ilvl w:val="7"/>
        <w:numId w:val="10"/>
      </w:numPr>
      <w:spacing w:after="60"/>
      <w:outlineLvl w:val="7"/>
    </w:pPr>
    <w:rPr>
      <w:i/>
      <w:iCs/>
    </w:rPr>
  </w:style>
  <w:style w:type="paragraph" w:styleId="Heading9">
    <w:name w:val="heading 9"/>
    <w:basedOn w:val="Normal"/>
    <w:next w:val="Normal"/>
    <w:link w:val="Heading9Char"/>
    <w:uiPriority w:val="9"/>
    <w:semiHidden/>
    <w:qFormat/>
    <w:locked/>
    <w:rsid w:val="00DE3EC8"/>
    <w:pPr>
      <w:numPr>
        <w:ilvl w:val="8"/>
        <w:numId w:val="10"/>
      </w:num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FC0990"/>
    <w:pPr>
      <w:numPr>
        <w:numId w:val="2"/>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EA7183"/>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2B49A7"/>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721DB7"/>
    <w:rPr>
      <w:rFonts w:ascii="Franklin Gothic Medium" w:eastAsiaTheme="minorEastAsia" w:hAnsi="Franklin Gothic Medium"/>
      <w:bCs/>
      <w:i/>
      <w:color w:val="E26E00"/>
      <w:lang w:eastAsia="en-AU"/>
    </w:rPr>
  </w:style>
  <w:style w:type="character" w:customStyle="1" w:styleId="Heading5Char">
    <w:name w:val="Heading 5 Char"/>
    <w:basedOn w:val="DefaultParagraphFont"/>
    <w:link w:val="Heading5"/>
    <w:uiPriority w:val="9"/>
    <w:semiHidden/>
    <w:rsid w:val="00DE3EC8"/>
    <w:rPr>
      <w:rFonts w:eastAsiaTheme="minorEastAsia"/>
      <w:b/>
      <w:bCs/>
      <w:i/>
      <w:iCs/>
      <w:sz w:val="26"/>
      <w:szCs w:val="26"/>
    </w:rPr>
  </w:style>
  <w:style w:type="character" w:customStyle="1" w:styleId="Heading6Char">
    <w:name w:val="Heading 6 Char"/>
    <w:basedOn w:val="DefaultParagraphFont"/>
    <w:link w:val="Heading6"/>
    <w:uiPriority w:val="9"/>
    <w:semiHidden/>
    <w:rsid w:val="00DE3EC8"/>
    <w:rPr>
      <w:rFonts w:eastAsiaTheme="minorEastAsia"/>
      <w:b/>
      <w:bCs/>
    </w:rPr>
  </w:style>
  <w:style w:type="character" w:customStyle="1" w:styleId="Heading7Char">
    <w:name w:val="Heading 7 Char"/>
    <w:basedOn w:val="DefaultParagraphFont"/>
    <w:link w:val="Heading7"/>
    <w:uiPriority w:val="9"/>
    <w:semiHidden/>
    <w:rsid w:val="00DE3EC8"/>
    <w:rPr>
      <w:rFonts w:eastAsiaTheme="minorEastAsia"/>
    </w:rPr>
  </w:style>
  <w:style w:type="character" w:customStyle="1" w:styleId="Heading8Char">
    <w:name w:val="Heading 8 Char"/>
    <w:basedOn w:val="DefaultParagraphFont"/>
    <w:link w:val="Heading8"/>
    <w:uiPriority w:val="9"/>
    <w:semiHidden/>
    <w:rsid w:val="00DE3EC8"/>
    <w:rPr>
      <w:rFonts w:eastAsiaTheme="minorEastAsia"/>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613BAB"/>
    <w:rPr>
      <w:rFonts w:ascii="Franklin Gothic Demi" w:hAnsi="Franklin Gothic Demi"/>
      <w:bCs/>
      <w:sz w:val="20"/>
      <w:szCs w:val="18"/>
    </w:rPr>
  </w:style>
  <w:style w:type="paragraph" w:styleId="Title">
    <w:name w:val="Title"/>
    <w:basedOn w:val="Normal"/>
    <w:next w:val="Normal"/>
    <w:link w:val="TitleChar"/>
    <w:uiPriority w:val="10"/>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137F84"/>
    <w:pPr>
      <w:tabs>
        <w:tab w:val="left" w:pos="440"/>
        <w:tab w:val="right" w:leader="dot" w:pos="9623"/>
      </w:tabs>
      <w:spacing w:before="160" w:after="160"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locked/>
    <w:rsid w:val="002703AE"/>
    <w:rPr>
      <w:rFonts w:ascii="Franklin Gothic Book" w:hAnsi="Franklin Gothic Book"/>
      <w:b/>
      <w:bCs/>
      <w:sz w:val="22"/>
    </w:rPr>
  </w:style>
  <w:style w:type="character" w:styleId="Emphasis">
    <w:name w:val="Emphasis"/>
    <w:basedOn w:val="DefaultParagraphFont"/>
    <w:uiPriority w:val="20"/>
    <w:locked/>
    <w:rsid w:val="002703AE"/>
    <w:rPr>
      <w:rFonts w:ascii="Franklin Gothic Book" w:hAnsi="Franklin Gothic Book"/>
      <w:b/>
      <w:i/>
      <w:iCs/>
      <w:sz w:val="22"/>
    </w:rPr>
  </w:style>
  <w:style w:type="paragraph" w:styleId="NoSpacing">
    <w:name w:val="No Spacing"/>
    <w:basedOn w:val="Normal"/>
    <w:link w:val="NoSpacingChar"/>
    <w:uiPriority w:val="1"/>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basedOn w:val="Normal"/>
    <w:link w:val="ListParagraphChar"/>
    <w:uiPriority w:val="34"/>
    <w:qFormat/>
    <w:rsid w:val="00FC0990"/>
    <w:pPr>
      <w:ind w:left="720"/>
      <w:contextualSpacing/>
    </w:pPr>
  </w:style>
  <w:style w:type="character" w:customStyle="1" w:styleId="ListParagraphChar">
    <w:name w:val="List Paragraph Char"/>
    <w:basedOn w:val="DefaultParagraphFont"/>
    <w:link w:val="ListParagraph"/>
    <w:uiPriority w:val="34"/>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3"/>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7"/>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4"/>
      </w:numPr>
      <w:spacing w:before="60" w:after="0"/>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5"/>
      </w:numPr>
      <w:ind w:left="567" w:hanging="567"/>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uiPriority w:val="2"/>
    <w:rsid w:val="00A034C3"/>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A034C3"/>
    <w:rPr>
      <w:rFonts w:eastAsiaTheme="minorEastAsia"/>
      <w:color w:val="000000" w:themeColor="text1"/>
      <w:sz w:val="20"/>
      <w:szCs w:val="20"/>
    </w:rPr>
  </w:style>
  <w:style w:type="table" w:styleId="TableGrid">
    <w:name w:val="Table Grid"/>
    <w:basedOn w:val="TableNormal"/>
    <w:uiPriority w:val="3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basedOn w:val="Normal"/>
    <w:link w:val="FootnoteTextChar"/>
    <w:uiPriority w:val="99"/>
    <w:semiHidden/>
    <w:rsid w:val="0065397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F0200"/>
    <w:rPr>
      <w:sz w:val="20"/>
      <w:szCs w:val="20"/>
    </w:rPr>
  </w:style>
  <w:style w:type="character" w:styleId="FootnoteReference">
    <w:name w:val="footnote reference"/>
    <w:basedOn w:val="DefaultParagraphFont"/>
    <w:uiPriority w:val="99"/>
    <w:semiHidden/>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qFormat/>
    <w:rsid w:val="00FC0990"/>
    <w:pPr>
      <w:numPr>
        <w:numId w:val="8"/>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085768"/>
    <w:pPr>
      <w:jc w:val="right"/>
    </w:pPr>
  </w:style>
  <w:style w:type="character" w:customStyle="1" w:styleId="CaptionFigureChar">
    <w:name w:val="Caption Figure Char"/>
    <w:basedOn w:val="CaptionChar"/>
    <w:link w:val="CaptionFigure"/>
    <w:rsid w:val="00085768"/>
    <w:rPr>
      <w:rFonts w:ascii="Franklin Gothic Demi" w:eastAsiaTheme="minorEastAsia" w:hAnsi="Franklin Gothic Demi"/>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137F84"/>
    <w:rPr>
      <w:rFonts w:eastAsiaTheme="minorEastAsia"/>
      <w:b/>
      <w:noProof/>
      <w:sz w:val="24"/>
    </w:rPr>
  </w:style>
  <w:style w:type="character" w:customStyle="1" w:styleId="CaptionChar">
    <w:name w:val="Caption Char"/>
    <w:aliases w:val="Caption table Char"/>
    <w:basedOn w:val="DefaultParagraphFont"/>
    <w:link w:val="Caption"/>
    <w:uiPriority w:val="35"/>
    <w:rsid w:val="00613BAB"/>
    <w:rPr>
      <w:rFonts w:ascii="Franklin Gothic Demi" w:eastAsiaTheme="minorEastAsia" w:hAnsi="Franklin Gothic Demi"/>
      <w:bCs/>
      <w:sz w:val="20"/>
      <w:szCs w:val="18"/>
    </w:rPr>
  </w:style>
  <w:style w:type="paragraph" w:customStyle="1" w:styleId="Tablebullet">
    <w:name w:val="Table bullet"/>
    <w:basedOn w:val="Bullet1Tightlessspacing"/>
    <w:link w:val="TablebulletChar"/>
    <w:qFormat/>
    <w:rsid w:val="00D37F8A"/>
    <w:pPr>
      <w:numPr>
        <w:numId w:val="6"/>
      </w:numPr>
      <w:spacing w:before="0" w:line="240" w:lineRule="auto"/>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FD10E9"/>
    <w:pPr>
      <w:numPr>
        <w:numId w:val="9"/>
      </w:numPr>
      <w:spacing w:before="120" w:beforeAutospacing="1" w:after="120" w:afterAutospacing="1"/>
      <w:ind w:left="360"/>
    </w:pPr>
  </w:style>
  <w:style w:type="paragraph" w:styleId="CommentText">
    <w:name w:val="annotation text"/>
    <w:basedOn w:val="Normal"/>
    <w:link w:val="CommentTextChar"/>
    <w:uiPriority w:val="99"/>
    <w:semiHidden/>
    <w:rsid w:val="00312767"/>
    <w:pPr>
      <w:spacing w:line="240" w:lineRule="auto"/>
    </w:pPr>
    <w:rPr>
      <w:sz w:val="20"/>
      <w:szCs w:val="20"/>
    </w:rPr>
  </w:style>
  <w:style w:type="character" w:customStyle="1" w:styleId="CommentTextChar">
    <w:name w:val="Comment Text Char"/>
    <w:basedOn w:val="DefaultParagraphFont"/>
    <w:link w:val="CommentText"/>
    <w:uiPriority w:val="99"/>
    <w:semiHidden/>
    <w:rsid w:val="00312767"/>
    <w:rPr>
      <w:rFonts w:eastAsiaTheme="minorEastAsia"/>
      <w:sz w:val="20"/>
      <w:szCs w:val="20"/>
    </w:rPr>
  </w:style>
  <w:style w:type="paragraph" w:customStyle="1" w:styleId="Default">
    <w:name w:val="Default"/>
    <w:rsid w:val="00A241A3"/>
    <w:pPr>
      <w:autoSpaceDE w:val="0"/>
      <w:autoSpaceDN w:val="0"/>
      <w:adjustRightInd w:val="0"/>
      <w:spacing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E2216"/>
    <w:rPr>
      <w:sz w:val="16"/>
      <w:szCs w:val="16"/>
    </w:rPr>
  </w:style>
  <w:style w:type="paragraph" w:styleId="CommentSubject">
    <w:name w:val="annotation subject"/>
    <w:basedOn w:val="CommentText"/>
    <w:next w:val="CommentText"/>
    <w:link w:val="CommentSubjectChar"/>
    <w:uiPriority w:val="99"/>
    <w:semiHidden/>
    <w:unhideWhenUsed/>
    <w:rsid w:val="00BF5E63"/>
    <w:rPr>
      <w:b/>
      <w:bCs/>
    </w:rPr>
  </w:style>
  <w:style w:type="character" w:customStyle="1" w:styleId="CommentSubjectChar">
    <w:name w:val="Comment Subject Char"/>
    <w:basedOn w:val="CommentTextChar"/>
    <w:link w:val="CommentSubject"/>
    <w:uiPriority w:val="99"/>
    <w:semiHidden/>
    <w:rsid w:val="00BF5E63"/>
    <w:rPr>
      <w:rFonts w:eastAsiaTheme="minorEastAsia"/>
      <w:b/>
      <w:bCs/>
      <w:sz w:val="20"/>
      <w:szCs w:val="20"/>
    </w:rPr>
  </w:style>
  <w:style w:type="paragraph" w:styleId="EndnoteText">
    <w:name w:val="endnote text"/>
    <w:basedOn w:val="Normal"/>
    <w:link w:val="EndnoteTextChar"/>
    <w:uiPriority w:val="99"/>
    <w:semiHidden/>
    <w:unhideWhenUsed/>
    <w:rsid w:val="00246F0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46F0D"/>
    <w:rPr>
      <w:rFonts w:eastAsiaTheme="minorEastAsia"/>
      <w:sz w:val="20"/>
      <w:szCs w:val="20"/>
    </w:rPr>
  </w:style>
  <w:style w:type="character" w:styleId="EndnoteReference">
    <w:name w:val="endnote reference"/>
    <w:basedOn w:val="DefaultParagraphFont"/>
    <w:uiPriority w:val="99"/>
    <w:semiHidden/>
    <w:unhideWhenUsed/>
    <w:rsid w:val="00246F0D"/>
    <w:rPr>
      <w:vertAlign w:val="superscript"/>
    </w:rPr>
  </w:style>
  <w:style w:type="table" w:customStyle="1" w:styleId="TableGrid1">
    <w:name w:val="Table Grid1"/>
    <w:basedOn w:val="TableNormal"/>
    <w:next w:val="TableGrid"/>
    <w:uiPriority w:val="59"/>
    <w:locked/>
    <w:rsid w:val="009E085F"/>
    <w:pPr>
      <w:spacing w:line="240" w:lineRule="auto"/>
    </w:p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paragraph" w:styleId="Revision">
    <w:name w:val="Revision"/>
    <w:hidden/>
    <w:uiPriority w:val="99"/>
    <w:semiHidden/>
    <w:rsid w:val="006C5F4C"/>
    <w:pPr>
      <w:spacing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4400">
      <w:bodyDiv w:val="1"/>
      <w:marLeft w:val="0"/>
      <w:marRight w:val="0"/>
      <w:marTop w:val="0"/>
      <w:marBottom w:val="0"/>
      <w:divBdr>
        <w:top w:val="none" w:sz="0" w:space="0" w:color="auto"/>
        <w:left w:val="none" w:sz="0" w:space="0" w:color="auto"/>
        <w:bottom w:val="none" w:sz="0" w:space="0" w:color="auto"/>
        <w:right w:val="none" w:sz="0" w:space="0" w:color="auto"/>
      </w:divBdr>
    </w:div>
    <w:div w:id="294915237">
      <w:bodyDiv w:val="1"/>
      <w:marLeft w:val="0"/>
      <w:marRight w:val="0"/>
      <w:marTop w:val="0"/>
      <w:marBottom w:val="0"/>
      <w:divBdr>
        <w:top w:val="none" w:sz="0" w:space="0" w:color="auto"/>
        <w:left w:val="none" w:sz="0" w:space="0" w:color="auto"/>
        <w:bottom w:val="none" w:sz="0" w:space="0" w:color="auto"/>
        <w:right w:val="none" w:sz="0" w:space="0" w:color="auto"/>
      </w:divBdr>
    </w:div>
    <w:div w:id="322511306">
      <w:bodyDiv w:val="1"/>
      <w:marLeft w:val="0"/>
      <w:marRight w:val="0"/>
      <w:marTop w:val="0"/>
      <w:marBottom w:val="0"/>
      <w:divBdr>
        <w:top w:val="none" w:sz="0" w:space="0" w:color="auto"/>
        <w:left w:val="none" w:sz="0" w:space="0" w:color="auto"/>
        <w:bottom w:val="none" w:sz="0" w:space="0" w:color="auto"/>
        <w:right w:val="none" w:sz="0" w:space="0" w:color="auto"/>
      </w:divBdr>
    </w:div>
    <w:div w:id="422260170">
      <w:bodyDiv w:val="1"/>
      <w:marLeft w:val="0"/>
      <w:marRight w:val="0"/>
      <w:marTop w:val="0"/>
      <w:marBottom w:val="0"/>
      <w:divBdr>
        <w:top w:val="none" w:sz="0" w:space="0" w:color="auto"/>
        <w:left w:val="none" w:sz="0" w:space="0" w:color="auto"/>
        <w:bottom w:val="none" w:sz="0" w:space="0" w:color="auto"/>
        <w:right w:val="none" w:sz="0" w:space="0" w:color="auto"/>
      </w:divBdr>
    </w:div>
    <w:div w:id="464782079">
      <w:bodyDiv w:val="1"/>
      <w:marLeft w:val="0"/>
      <w:marRight w:val="0"/>
      <w:marTop w:val="0"/>
      <w:marBottom w:val="0"/>
      <w:divBdr>
        <w:top w:val="none" w:sz="0" w:space="0" w:color="auto"/>
        <w:left w:val="none" w:sz="0" w:space="0" w:color="auto"/>
        <w:bottom w:val="none" w:sz="0" w:space="0" w:color="auto"/>
        <w:right w:val="none" w:sz="0" w:space="0" w:color="auto"/>
      </w:divBdr>
    </w:div>
    <w:div w:id="576666700">
      <w:bodyDiv w:val="1"/>
      <w:marLeft w:val="0"/>
      <w:marRight w:val="0"/>
      <w:marTop w:val="0"/>
      <w:marBottom w:val="0"/>
      <w:divBdr>
        <w:top w:val="none" w:sz="0" w:space="0" w:color="auto"/>
        <w:left w:val="none" w:sz="0" w:space="0" w:color="auto"/>
        <w:bottom w:val="none" w:sz="0" w:space="0" w:color="auto"/>
        <w:right w:val="none" w:sz="0" w:space="0" w:color="auto"/>
      </w:divBdr>
    </w:div>
    <w:div w:id="799347747">
      <w:bodyDiv w:val="1"/>
      <w:marLeft w:val="0"/>
      <w:marRight w:val="0"/>
      <w:marTop w:val="0"/>
      <w:marBottom w:val="0"/>
      <w:divBdr>
        <w:top w:val="none" w:sz="0" w:space="0" w:color="auto"/>
        <w:left w:val="none" w:sz="0" w:space="0" w:color="auto"/>
        <w:bottom w:val="none" w:sz="0" w:space="0" w:color="auto"/>
        <w:right w:val="none" w:sz="0" w:space="0" w:color="auto"/>
      </w:divBdr>
    </w:div>
    <w:div w:id="1057586458">
      <w:bodyDiv w:val="1"/>
      <w:marLeft w:val="0"/>
      <w:marRight w:val="0"/>
      <w:marTop w:val="0"/>
      <w:marBottom w:val="0"/>
      <w:divBdr>
        <w:top w:val="none" w:sz="0" w:space="0" w:color="auto"/>
        <w:left w:val="none" w:sz="0" w:space="0" w:color="auto"/>
        <w:bottom w:val="none" w:sz="0" w:space="0" w:color="auto"/>
        <w:right w:val="none" w:sz="0" w:space="0" w:color="auto"/>
      </w:divBdr>
    </w:div>
    <w:div w:id="1059330203">
      <w:bodyDiv w:val="1"/>
      <w:marLeft w:val="0"/>
      <w:marRight w:val="0"/>
      <w:marTop w:val="0"/>
      <w:marBottom w:val="0"/>
      <w:divBdr>
        <w:top w:val="none" w:sz="0" w:space="0" w:color="auto"/>
        <w:left w:val="none" w:sz="0" w:space="0" w:color="auto"/>
        <w:bottom w:val="none" w:sz="0" w:space="0" w:color="auto"/>
        <w:right w:val="none" w:sz="0" w:space="0" w:color="auto"/>
      </w:divBdr>
    </w:div>
    <w:div w:id="1206983617">
      <w:bodyDiv w:val="1"/>
      <w:marLeft w:val="0"/>
      <w:marRight w:val="0"/>
      <w:marTop w:val="0"/>
      <w:marBottom w:val="0"/>
      <w:divBdr>
        <w:top w:val="none" w:sz="0" w:space="0" w:color="auto"/>
        <w:left w:val="none" w:sz="0" w:space="0" w:color="auto"/>
        <w:bottom w:val="none" w:sz="0" w:space="0" w:color="auto"/>
        <w:right w:val="none" w:sz="0" w:space="0" w:color="auto"/>
      </w:divBdr>
    </w:div>
    <w:div w:id="1240869948">
      <w:bodyDiv w:val="1"/>
      <w:marLeft w:val="0"/>
      <w:marRight w:val="0"/>
      <w:marTop w:val="0"/>
      <w:marBottom w:val="0"/>
      <w:divBdr>
        <w:top w:val="none" w:sz="0" w:space="0" w:color="auto"/>
        <w:left w:val="none" w:sz="0" w:space="0" w:color="auto"/>
        <w:bottom w:val="none" w:sz="0" w:space="0" w:color="auto"/>
        <w:right w:val="none" w:sz="0" w:space="0" w:color="auto"/>
      </w:divBdr>
    </w:div>
    <w:div w:id="1363440754">
      <w:bodyDiv w:val="1"/>
      <w:marLeft w:val="0"/>
      <w:marRight w:val="0"/>
      <w:marTop w:val="0"/>
      <w:marBottom w:val="0"/>
      <w:divBdr>
        <w:top w:val="none" w:sz="0" w:space="0" w:color="auto"/>
        <w:left w:val="none" w:sz="0" w:space="0" w:color="auto"/>
        <w:bottom w:val="none" w:sz="0" w:space="0" w:color="auto"/>
        <w:right w:val="none" w:sz="0" w:space="0" w:color="auto"/>
      </w:divBdr>
    </w:div>
    <w:div w:id="1406151408">
      <w:bodyDiv w:val="1"/>
      <w:marLeft w:val="0"/>
      <w:marRight w:val="0"/>
      <w:marTop w:val="0"/>
      <w:marBottom w:val="0"/>
      <w:divBdr>
        <w:top w:val="none" w:sz="0" w:space="0" w:color="auto"/>
        <w:left w:val="none" w:sz="0" w:space="0" w:color="auto"/>
        <w:bottom w:val="none" w:sz="0" w:space="0" w:color="auto"/>
        <w:right w:val="none" w:sz="0" w:space="0" w:color="auto"/>
      </w:divBdr>
    </w:div>
    <w:div w:id="1422721329">
      <w:bodyDiv w:val="1"/>
      <w:marLeft w:val="0"/>
      <w:marRight w:val="0"/>
      <w:marTop w:val="0"/>
      <w:marBottom w:val="0"/>
      <w:divBdr>
        <w:top w:val="none" w:sz="0" w:space="0" w:color="auto"/>
        <w:left w:val="none" w:sz="0" w:space="0" w:color="auto"/>
        <w:bottom w:val="none" w:sz="0" w:space="0" w:color="auto"/>
        <w:right w:val="none" w:sz="0" w:space="0" w:color="auto"/>
      </w:divBdr>
    </w:div>
    <w:div w:id="1458376741">
      <w:bodyDiv w:val="1"/>
      <w:marLeft w:val="0"/>
      <w:marRight w:val="0"/>
      <w:marTop w:val="0"/>
      <w:marBottom w:val="0"/>
      <w:divBdr>
        <w:top w:val="none" w:sz="0" w:space="0" w:color="auto"/>
        <w:left w:val="none" w:sz="0" w:space="0" w:color="auto"/>
        <w:bottom w:val="none" w:sz="0" w:space="0" w:color="auto"/>
        <w:right w:val="none" w:sz="0" w:space="0" w:color="auto"/>
      </w:divBdr>
    </w:div>
    <w:div w:id="1513373785">
      <w:bodyDiv w:val="1"/>
      <w:marLeft w:val="0"/>
      <w:marRight w:val="0"/>
      <w:marTop w:val="0"/>
      <w:marBottom w:val="0"/>
      <w:divBdr>
        <w:top w:val="none" w:sz="0" w:space="0" w:color="auto"/>
        <w:left w:val="none" w:sz="0" w:space="0" w:color="auto"/>
        <w:bottom w:val="none" w:sz="0" w:space="0" w:color="auto"/>
        <w:right w:val="none" w:sz="0" w:space="0" w:color="auto"/>
      </w:divBdr>
    </w:div>
    <w:div w:id="2045591234">
      <w:bodyDiv w:val="1"/>
      <w:marLeft w:val="0"/>
      <w:marRight w:val="0"/>
      <w:marTop w:val="0"/>
      <w:marBottom w:val="0"/>
      <w:divBdr>
        <w:top w:val="none" w:sz="0" w:space="0" w:color="auto"/>
        <w:left w:val="none" w:sz="0" w:space="0" w:color="auto"/>
        <w:bottom w:val="none" w:sz="0" w:space="0" w:color="auto"/>
        <w:right w:val="none" w:sz="0" w:space="0" w:color="auto"/>
      </w:divBdr>
    </w:div>
    <w:div w:id="2054191050">
      <w:bodyDiv w:val="1"/>
      <w:marLeft w:val="0"/>
      <w:marRight w:val="0"/>
      <w:marTop w:val="0"/>
      <w:marBottom w:val="0"/>
      <w:divBdr>
        <w:top w:val="none" w:sz="0" w:space="0" w:color="auto"/>
        <w:left w:val="none" w:sz="0" w:space="0" w:color="auto"/>
        <w:bottom w:val="none" w:sz="0" w:space="0" w:color="auto"/>
        <w:right w:val="none" w:sz="0" w:space="0" w:color="auto"/>
      </w:divBdr>
    </w:div>
    <w:div w:id="2090737282">
      <w:bodyDiv w:val="1"/>
      <w:marLeft w:val="0"/>
      <w:marRight w:val="0"/>
      <w:marTop w:val="0"/>
      <w:marBottom w:val="0"/>
      <w:divBdr>
        <w:top w:val="none" w:sz="0" w:space="0" w:color="auto"/>
        <w:left w:val="none" w:sz="0" w:space="0" w:color="auto"/>
        <w:bottom w:val="none" w:sz="0" w:space="0" w:color="auto"/>
        <w:right w:val="none" w:sz="0" w:space="0" w:color="auto"/>
      </w:divBdr>
    </w:div>
    <w:div w:id="21344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nauru-news.com/adb-australia-eu-commission-new-generators-deliver-safe-reliable-power-na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il@clearhorizon.com.au"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ya\Documents\Sonya\Clear%20Horizon%20-%20Nauru%20Infrastructure\Deliverables\02_Draft%20Infrastructure%20Review%20Report\Expenditure%20summa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nya\Documents\Sonya\Clear%20Horizon%20-%20Nauru%20Infrastructure\Deliverables\02_Draft%20Infrastructure%20Review%20Report\Expenditure%20summa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nya\Documents\Sonya\Clear%20Horizon%20-%20Nauru%20Infrastructure\Deliverables\02_Draft%20Infrastructure%20Review%20Report\Expenditure%20summa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onya\Documents\Sonya\Clear%20Horizon%20-%20Nauru%20Infrastructure\Deliverables\02_Draft%20Infrastructure%20Review%20Report\Expenditure%20summar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tx2"/>
                </a:solidFill>
                <a:latin typeface="+mn-lt"/>
                <a:ea typeface="+mn-ea"/>
                <a:cs typeface="+mn-cs"/>
              </a:defRPr>
            </a:pPr>
            <a:r>
              <a:rPr lang="en-US" sz="1300">
                <a:solidFill>
                  <a:schemeClr val="accent6">
                    <a:lumMod val="75000"/>
                  </a:schemeClr>
                </a:solidFill>
              </a:rPr>
              <a:t>DFAT's Infrastructure Expenditure by Financial Year (AUD)</a:t>
            </a:r>
            <a:endParaRPr lang="en-AU" sz="1300">
              <a:solidFill>
                <a:schemeClr val="accent6">
                  <a:lumMod val="75000"/>
                </a:schemeClr>
              </a:solidFill>
            </a:endParaRPr>
          </a:p>
        </c:rich>
      </c:tx>
      <c:overlay val="0"/>
      <c:spPr>
        <a:noFill/>
        <a:ln>
          <a:noFill/>
        </a:ln>
        <a:effectLst/>
      </c:spPr>
      <c:txPr>
        <a:bodyPr rot="0" spcFirstLastPara="1" vertOverflow="ellipsis" vert="horz" wrap="square" anchor="ctr" anchorCtr="1"/>
        <a:lstStyle/>
        <a:p>
          <a:pPr>
            <a:defRPr sz="13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663591426071741"/>
          <c:y val="0.17171296296296298"/>
          <c:w val="0.80308530183727034"/>
          <c:h val="0.63480268506259707"/>
        </c:manualLayout>
      </c:layout>
      <c:barChart>
        <c:barDir val="col"/>
        <c:grouping val="stacked"/>
        <c:varyColors val="0"/>
        <c:ser>
          <c:idx val="0"/>
          <c:order val="0"/>
          <c:tx>
            <c:strRef>
              <c:f>'Infrastructure Budget'!$A$36</c:f>
              <c:strCache>
                <c:ptCount val="1"/>
                <c:pt idx="0">
                  <c:v>Health</c:v>
                </c:pt>
              </c:strCache>
            </c:strRef>
          </c:tx>
          <c:spPr>
            <a:gradFill rotWithShape="1">
              <a:gsLst>
                <a:gs pos="0">
                  <a:schemeClr val="accent6">
                    <a:shade val="85000"/>
                  </a:schemeClr>
                </a:gs>
                <a:gs pos="100000">
                  <a:schemeClr val="accent6">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Budget'!$D$36:$H$36</c:f>
              <c:numCache>
                <c:formatCode>_-* #,##0_-;\-* #,##0_-;_-* "-"??_-;_-@_-</c:formatCode>
                <c:ptCount val="5"/>
                <c:pt idx="0">
                  <c:v>0</c:v>
                </c:pt>
                <c:pt idx="1">
                  <c:v>6206647.5999999996</c:v>
                </c:pt>
                <c:pt idx="2">
                  <c:v>3524269.01</c:v>
                </c:pt>
                <c:pt idx="3">
                  <c:v>4063606.02</c:v>
                </c:pt>
                <c:pt idx="4">
                  <c:v>117053</c:v>
                </c:pt>
              </c:numCache>
            </c:numRef>
          </c:val>
          <c:extLst>
            <c:ext xmlns:c16="http://schemas.microsoft.com/office/drawing/2014/chart" uri="{C3380CC4-5D6E-409C-BE32-E72D297353CC}">
              <c16:uniqueId val="{00000000-8157-4E59-83C0-66CA10FC8D2B}"/>
            </c:ext>
          </c:extLst>
        </c:ser>
        <c:ser>
          <c:idx val="1"/>
          <c:order val="1"/>
          <c:tx>
            <c:strRef>
              <c:f>'Infrastructure Budget'!$A$37</c:f>
              <c:strCache>
                <c:ptCount val="1"/>
                <c:pt idx="0">
                  <c:v>Transport (Sea)</c:v>
                </c:pt>
              </c:strCache>
            </c:strRef>
          </c:tx>
          <c:spPr>
            <a:gradFill rotWithShape="1">
              <a:gsLst>
                <a:gs pos="0">
                  <a:schemeClr val="accent5">
                    <a:shade val="85000"/>
                  </a:schemeClr>
                </a:gs>
                <a:gs pos="100000">
                  <a:schemeClr val="accent5">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Budget'!$D$37:$H$37</c:f>
              <c:numCache>
                <c:formatCode>_-* #,##0_-;\-* #,##0_-;_-* "-"??_-;_-@_-</c:formatCode>
                <c:ptCount val="5"/>
                <c:pt idx="0">
                  <c:v>0</c:v>
                </c:pt>
                <c:pt idx="1">
                  <c:v>0</c:v>
                </c:pt>
                <c:pt idx="2">
                  <c:v>0</c:v>
                </c:pt>
                <c:pt idx="3">
                  <c:v>3300000</c:v>
                </c:pt>
                <c:pt idx="4">
                  <c:v>6250000</c:v>
                </c:pt>
              </c:numCache>
            </c:numRef>
          </c:val>
          <c:extLst>
            <c:ext xmlns:c16="http://schemas.microsoft.com/office/drawing/2014/chart" uri="{C3380CC4-5D6E-409C-BE32-E72D297353CC}">
              <c16:uniqueId val="{00000001-8157-4E59-83C0-66CA10FC8D2B}"/>
            </c:ext>
          </c:extLst>
        </c:ser>
        <c:ser>
          <c:idx val="2"/>
          <c:order val="2"/>
          <c:tx>
            <c:strRef>
              <c:f>'Infrastructure Budget'!$A$38</c:f>
              <c:strCache>
                <c:ptCount val="1"/>
                <c:pt idx="0">
                  <c:v>Education</c:v>
                </c:pt>
              </c:strCache>
            </c:strRef>
          </c:tx>
          <c:spPr>
            <a:gradFill rotWithShape="1">
              <a:gsLst>
                <a:gs pos="0">
                  <a:schemeClr val="accent4">
                    <a:shade val="85000"/>
                  </a:schemeClr>
                </a:gs>
                <a:gs pos="100000">
                  <a:schemeClr val="accent4">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Budget'!$D$38:$H$38</c:f>
              <c:numCache>
                <c:formatCode>_-* #,##0_-;\-* #,##0_-;_-* "-"??_-;_-@_-</c:formatCode>
                <c:ptCount val="5"/>
                <c:pt idx="0">
                  <c:v>5000000</c:v>
                </c:pt>
                <c:pt idx="1">
                  <c:v>0</c:v>
                </c:pt>
                <c:pt idx="2">
                  <c:v>0</c:v>
                </c:pt>
                <c:pt idx="3">
                  <c:v>2900000</c:v>
                </c:pt>
                <c:pt idx="4">
                  <c:v>0</c:v>
                </c:pt>
              </c:numCache>
            </c:numRef>
          </c:val>
          <c:extLst>
            <c:ext xmlns:c16="http://schemas.microsoft.com/office/drawing/2014/chart" uri="{C3380CC4-5D6E-409C-BE32-E72D297353CC}">
              <c16:uniqueId val="{00000002-8157-4E59-83C0-66CA10FC8D2B}"/>
            </c:ext>
          </c:extLst>
        </c:ser>
        <c:ser>
          <c:idx val="3"/>
          <c:order val="3"/>
          <c:tx>
            <c:strRef>
              <c:f>'Infrastructure Budget'!$A$39</c:f>
              <c:strCache>
                <c:ptCount val="1"/>
                <c:pt idx="0">
                  <c:v>Power</c:v>
                </c:pt>
              </c:strCache>
            </c:strRef>
          </c:tx>
          <c:spPr>
            <a:gradFill rotWithShape="1">
              <a:gsLst>
                <a:gs pos="0">
                  <a:schemeClr val="accent6">
                    <a:lumMod val="60000"/>
                    <a:shade val="85000"/>
                  </a:schemeClr>
                </a:gs>
                <a:gs pos="100000">
                  <a:schemeClr val="accent6">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Budget'!$D$39:$H$39</c:f>
              <c:numCache>
                <c:formatCode>_-* #,##0_-;\-* #,##0_-;_-* "-"??_-;_-@_-</c:formatCode>
                <c:ptCount val="5"/>
                <c:pt idx="0">
                  <c:v>0</c:v>
                </c:pt>
                <c:pt idx="1">
                  <c:v>2878804</c:v>
                </c:pt>
                <c:pt idx="2">
                  <c:v>3521196</c:v>
                </c:pt>
                <c:pt idx="3">
                  <c:v>0</c:v>
                </c:pt>
                <c:pt idx="4">
                  <c:v>0</c:v>
                </c:pt>
              </c:numCache>
            </c:numRef>
          </c:val>
          <c:extLst>
            <c:ext xmlns:c16="http://schemas.microsoft.com/office/drawing/2014/chart" uri="{C3380CC4-5D6E-409C-BE32-E72D297353CC}">
              <c16:uniqueId val="{00000003-8157-4E59-83C0-66CA10FC8D2B}"/>
            </c:ext>
          </c:extLst>
        </c:ser>
        <c:ser>
          <c:idx val="4"/>
          <c:order val="4"/>
          <c:tx>
            <c:strRef>
              <c:f>'Infrastructure Budget'!$A$40</c:f>
              <c:strCache>
                <c:ptCount val="1"/>
                <c:pt idx="0">
                  <c:v>Water</c:v>
                </c:pt>
              </c:strCache>
            </c:strRef>
          </c:tx>
          <c:spPr>
            <a:gradFill rotWithShape="1">
              <a:gsLst>
                <a:gs pos="0">
                  <a:schemeClr val="accent5">
                    <a:lumMod val="60000"/>
                    <a:shade val="85000"/>
                  </a:schemeClr>
                </a:gs>
                <a:gs pos="100000">
                  <a:schemeClr val="accent5">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Budget'!$D$40:$H$40</c:f>
              <c:numCache>
                <c:formatCode>_-* #,##0_-;\-* #,##0_-;_-* "-"??_-;_-@_-</c:formatCode>
                <c:ptCount val="5"/>
                <c:pt idx="0">
                  <c:v>1800000</c:v>
                </c:pt>
                <c:pt idx="1">
                  <c:v>0</c:v>
                </c:pt>
                <c:pt idx="2">
                  <c:v>0</c:v>
                </c:pt>
                <c:pt idx="3">
                  <c:v>0</c:v>
                </c:pt>
                <c:pt idx="4">
                  <c:v>0</c:v>
                </c:pt>
              </c:numCache>
            </c:numRef>
          </c:val>
          <c:extLst>
            <c:ext xmlns:c16="http://schemas.microsoft.com/office/drawing/2014/chart" uri="{C3380CC4-5D6E-409C-BE32-E72D297353CC}">
              <c16:uniqueId val="{00000004-8157-4E59-83C0-66CA10FC8D2B}"/>
            </c:ext>
          </c:extLst>
        </c:ser>
        <c:ser>
          <c:idx val="5"/>
          <c:order val="5"/>
          <c:tx>
            <c:strRef>
              <c:f>'Infrastructure Budget'!$A$41</c:f>
              <c:strCache>
                <c:ptCount val="1"/>
                <c:pt idx="0">
                  <c:v>Nauru Utility Corporation</c:v>
                </c:pt>
              </c:strCache>
            </c:strRef>
          </c:tx>
          <c:spPr>
            <a:gradFill rotWithShape="1">
              <a:gsLst>
                <a:gs pos="0">
                  <a:schemeClr val="accent4">
                    <a:lumMod val="60000"/>
                    <a:shade val="85000"/>
                  </a:schemeClr>
                </a:gs>
                <a:gs pos="100000">
                  <a:schemeClr val="accent4">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Budget'!$D$41:$H$41</c:f>
              <c:numCache>
                <c:formatCode>_-* #,##0_-;\-* #,##0_-;_-* "-"??_-;_-@_-</c:formatCode>
                <c:ptCount val="5"/>
                <c:pt idx="0">
                  <c:v>163804.72</c:v>
                </c:pt>
                <c:pt idx="1">
                  <c:v>122150</c:v>
                </c:pt>
                <c:pt idx="2">
                  <c:v>243795.66</c:v>
                </c:pt>
                <c:pt idx="3">
                  <c:v>231090.65</c:v>
                </c:pt>
                <c:pt idx="4">
                  <c:v>302717.34999999998</c:v>
                </c:pt>
              </c:numCache>
            </c:numRef>
          </c:val>
          <c:extLst>
            <c:ext xmlns:c16="http://schemas.microsoft.com/office/drawing/2014/chart" uri="{C3380CC4-5D6E-409C-BE32-E72D297353CC}">
              <c16:uniqueId val="{00000005-8157-4E59-83C0-66CA10FC8D2B}"/>
            </c:ext>
          </c:extLst>
        </c:ser>
        <c:ser>
          <c:idx val="6"/>
          <c:order val="6"/>
          <c:tx>
            <c:strRef>
              <c:f>'Infrastructure Budget'!$A$42</c:f>
              <c:strCache>
                <c:ptCount val="1"/>
                <c:pt idx="0">
                  <c:v>Sport</c:v>
                </c:pt>
              </c:strCache>
            </c:strRef>
          </c:tx>
          <c:spPr>
            <a:gradFill rotWithShape="1">
              <a:gsLst>
                <a:gs pos="0">
                  <a:schemeClr val="accent6">
                    <a:lumMod val="80000"/>
                    <a:lumOff val="20000"/>
                    <a:shade val="85000"/>
                  </a:schemeClr>
                </a:gs>
                <a:gs pos="100000">
                  <a:schemeClr val="accent6">
                    <a:lumMod val="80000"/>
                    <a:lumOff val="2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invertIfNegative val="0"/>
          <c:cat>
            <c:strRef>
              <c:f>'Infrastructure Budget'!$D$35:$H$35</c:f>
              <c:strCache>
                <c:ptCount val="5"/>
                <c:pt idx="0">
                  <c:v>2013/14</c:v>
                </c:pt>
                <c:pt idx="1">
                  <c:v>2014/15</c:v>
                </c:pt>
                <c:pt idx="2">
                  <c:v>2015/16</c:v>
                </c:pt>
                <c:pt idx="3">
                  <c:v>2016/17</c:v>
                </c:pt>
                <c:pt idx="4">
                  <c:v>2017/18</c:v>
                </c:pt>
              </c:strCache>
            </c:strRef>
          </c:cat>
          <c:val>
            <c:numRef>
              <c:f>'Infrastructure Budget'!$D$42:$H$42</c:f>
              <c:numCache>
                <c:formatCode>_-* #,##0_-;\-* #,##0_-;_-* "-"??_-;_-@_-</c:formatCode>
                <c:ptCount val="5"/>
                <c:pt idx="0">
                  <c:v>0</c:v>
                </c:pt>
                <c:pt idx="1">
                  <c:v>0</c:v>
                </c:pt>
                <c:pt idx="2">
                  <c:v>0</c:v>
                </c:pt>
                <c:pt idx="3">
                  <c:v>0</c:v>
                </c:pt>
                <c:pt idx="4">
                  <c:v>3130551.99</c:v>
                </c:pt>
              </c:numCache>
            </c:numRef>
          </c:val>
          <c:extLst>
            <c:ext xmlns:c16="http://schemas.microsoft.com/office/drawing/2014/chart" uri="{C3380CC4-5D6E-409C-BE32-E72D297353CC}">
              <c16:uniqueId val="{00000006-8157-4E59-83C0-66CA10FC8D2B}"/>
            </c:ext>
          </c:extLst>
        </c:ser>
        <c:dLbls>
          <c:showLegendKey val="0"/>
          <c:showVal val="0"/>
          <c:showCatName val="0"/>
          <c:showSerName val="0"/>
          <c:showPercent val="0"/>
          <c:showBubbleSize val="0"/>
        </c:dLbls>
        <c:gapWidth val="150"/>
        <c:overlap val="100"/>
        <c:axId val="578230248"/>
        <c:axId val="578229592"/>
      </c:barChart>
      <c:catAx>
        <c:axId val="578230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78229592"/>
        <c:crosses val="autoZero"/>
        <c:auto val="1"/>
        <c:lblAlgn val="ctr"/>
        <c:lblOffset val="100"/>
        <c:noMultiLvlLbl val="0"/>
      </c:catAx>
      <c:valAx>
        <c:axId val="578229592"/>
        <c:scaling>
          <c:orientation val="minMax"/>
        </c:scaling>
        <c:delete val="0"/>
        <c:axPos val="l"/>
        <c:majorGridlines>
          <c:spPr>
            <a:ln w="9525" cap="flat" cmpd="sng" algn="ctr">
              <a:solidFill>
                <a:schemeClr val="tx2">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78230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300">
                <a:solidFill>
                  <a:schemeClr val="accent6">
                    <a:lumMod val="75000"/>
                  </a:schemeClr>
                </a:solidFill>
              </a:rPr>
              <a:t>DFAT's Infrastructure Expenditure </a:t>
            </a:r>
            <a:r>
              <a:rPr lang="en-US" sz="1300" baseline="0">
                <a:solidFill>
                  <a:schemeClr val="accent6">
                    <a:lumMod val="75000"/>
                  </a:schemeClr>
                </a:solidFill>
              </a:rPr>
              <a:t>(</a:t>
            </a:r>
            <a:r>
              <a:rPr lang="en-US" sz="1300" b="1" i="0" u="none" strike="noStrike" baseline="0">
                <a:solidFill>
                  <a:schemeClr val="accent6">
                    <a:lumMod val="75000"/>
                  </a:schemeClr>
                </a:solidFill>
                <a:effectLst/>
              </a:rPr>
              <a:t>2013-14 to 2017-18) (in AUD million)</a:t>
            </a:r>
            <a:endParaRPr lang="en-US" sz="1300" i="1">
              <a:solidFill>
                <a:schemeClr val="accent6">
                  <a:lumMod val="75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'Infrastructure Budget'!$K$24</c:f>
              <c:strCache>
                <c:ptCount val="1"/>
                <c:pt idx="0">
                  <c:v>Expenditure</c:v>
                </c:pt>
              </c:strCache>
            </c:strRef>
          </c:tx>
          <c:dPt>
            <c:idx val="0"/>
            <c:bubble3D val="0"/>
            <c:spPr>
              <a:gradFill rotWithShape="1">
                <a:gsLst>
                  <a:gs pos="0">
                    <a:schemeClr val="accent6">
                      <a:shade val="85000"/>
                    </a:schemeClr>
                  </a:gs>
                  <a:gs pos="100000">
                    <a:schemeClr val="accent6">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1-9B1A-4513-9C28-BDEFDB3E5A6D}"/>
              </c:ext>
            </c:extLst>
          </c:dPt>
          <c:dPt>
            <c:idx val="1"/>
            <c:bubble3D val="0"/>
            <c:spPr>
              <a:gradFill rotWithShape="1">
                <a:gsLst>
                  <a:gs pos="0">
                    <a:schemeClr val="accent5">
                      <a:shade val="85000"/>
                    </a:schemeClr>
                  </a:gs>
                  <a:gs pos="100000">
                    <a:schemeClr val="accent5">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3-9B1A-4513-9C28-BDEFDB3E5A6D}"/>
              </c:ext>
            </c:extLst>
          </c:dPt>
          <c:dPt>
            <c:idx val="2"/>
            <c:bubble3D val="0"/>
            <c:spPr>
              <a:gradFill rotWithShape="1">
                <a:gsLst>
                  <a:gs pos="0">
                    <a:schemeClr val="accent4">
                      <a:shade val="85000"/>
                    </a:schemeClr>
                  </a:gs>
                  <a:gs pos="100000">
                    <a:schemeClr val="accent4">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5-9B1A-4513-9C28-BDEFDB3E5A6D}"/>
              </c:ext>
            </c:extLst>
          </c:dPt>
          <c:dPt>
            <c:idx val="3"/>
            <c:bubble3D val="0"/>
            <c:spPr>
              <a:gradFill rotWithShape="1">
                <a:gsLst>
                  <a:gs pos="0">
                    <a:schemeClr val="accent6">
                      <a:lumMod val="60000"/>
                      <a:shade val="85000"/>
                    </a:schemeClr>
                  </a:gs>
                  <a:gs pos="100000">
                    <a:schemeClr val="accent6">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7-9B1A-4513-9C28-BDEFDB3E5A6D}"/>
              </c:ext>
            </c:extLst>
          </c:dPt>
          <c:dPt>
            <c:idx val="4"/>
            <c:bubble3D val="0"/>
            <c:spPr>
              <a:gradFill rotWithShape="1">
                <a:gsLst>
                  <a:gs pos="0">
                    <a:schemeClr val="accent5">
                      <a:lumMod val="60000"/>
                      <a:shade val="85000"/>
                    </a:schemeClr>
                  </a:gs>
                  <a:gs pos="100000">
                    <a:schemeClr val="accent5">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9-9B1A-4513-9C28-BDEFDB3E5A6D}"/>
              </c:ext>
            </c:extLst>
          </c:dPt>
          <c:dPt>
            <c:idx val="5"/>
            <c:bubble3D val="0"/>
            <c:spPr>
              <a:gradFill rotWithShape="1">
                <a:gsLst>
                  <a:gs pos="0">
                    <a:schemeClr val="accent4">
                      <a:lumMod val="60000"/>
                      <a:shade val="85000"/>
                    </a:schemeClr>
                  </a:gs>
                  <a:gs pos="100000">
                    <a:schemeClr val="accent4">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B-9B1A-4513-9C28-BDEFDB3E5A6D}"/>
              </c:ext>
            </c:extLst>
          </c:dPt>
          <c:dPt>
            <c:idx val="6"/>
            <c:bubble3D val="0"/>
            <c:spPr>
              <a:gradFill rotWithShape="1">
                <a:gsLst>
                  <a:gs pos="0">
                    <a:schemeClr val="accent6">
                      <a:lumMod val="80000"/>
                      <a:lumOff val="20000"/>
                      <a:shade val="85000"/>
                    </a:schemeClr>
                  </a:gs>
                  <a:gs pos="100000">
                    <a:schemeClr val="accent6">
                      <a:lumMod val="80000"/>
                      <a:lumOff val="2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D-9B1A-4513-9C28-BDEFDB3E5A6D}"/>
              </c:ext>
            </c:extLst>
          </c:dPt>
          <c:dLbls>
            <c:dLbl>
              <c:idx val="0"/>
              <c:layout>
                <c:manualLayout>
                  <c:x val="5.5165445359792453E-3"/>
                  <c:y val="-5.19896865152054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1A-4513-9C28-BDEFDB3E5A6D}"/>
                </c:ext>
              </c:extLst>
            </c:dLbl>
            <c:dLbl>
              <c:idx val="1"/>
              <c:layout>
                <c:manualLayout>
                  <c:x val="4.4648705212094589E-2"/>
                  <c:y val="-8.81427557404381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1A-4513-9C28-BDEFDB3E5A6D}"/>
                </c:ext>
              </c:extLst>
            </c:dLbl>
            <c:dLbl>
              <c:idx val="2"/>
              <c:layout>
                <c:manualLayout>
                  <c:x val="-6.2681716808520319E-2"/>
                  <c:y val="-6.04099349764300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1A-4513-9C28-BDEFDB3E5A6D}"/>
                </c:ext>
              </c:extLst>
            </c:dLbl>
            <c:dLbl>
              <c:idx val="3"/>
              <c:layout>
                <c:manualLayout>
                  <c:x val="0"/>
                  <c:y val="-4.57043637218706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1A-4513-9C28-BDEFDB3E5A6D}"/>
                </c:ext>
              </c:extLst>
            </c:dLbl>
            <c:dLbl>
              <c:idx val="4"/>
              <c:layout>
                <c:manualLayout>
                  <c:x val="-4.1308707925045055E-2"/>
                  <c:y val="4.52896218161409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1A-4513-9C28-BDEFDB3E5A6D}"/>
                </c:ext>
              </c:extLst>
            </c:dLbl>
            <c:dLbl>
              <c:idx val="6"/>
              <c:layout>
                <c:manualLayout>
                  <c:x val="4.4664450013887726E-2"/>
                  <c:y val="-3.048123368974010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1A-4513-9C28-BDEFDB3E5A6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lumMod val="50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'Infrastructure Budget'!$A$25:$A$31</c:f>
              <c:strCache>
                <c:ptCount val="7"/>
                <c:pt idx="0">
                  <c:v>Health - 32%</c:v>
                </c:pt>
                <c:pt idx="1">
                  <c:v>Transport (Sea) - 22%</c:v>
                </c:pt>
                <c:pt idx="2">
                  <c:v>Education - 18%</c:v>
                </c:pt>
                <c:pt idx="3">
                  <c:v>Power - 15%</c:v>
                </c:pt>
                <c:pt idx="4">
                  <c:v>Water - 4%</c:v>
                </c:pt>
                <c:pt idx="5">
                  <c:v>Nauru Utility Corporation - 2%</c:v>
                </c:pt>
                <c:pt idx="6">
                  <c:v>Sport - 7%</c:v>
                </c:pt>
              </c:strCache>
            </c:strRef>
          </c:cat>
          <c:val>
            <c:numRef>
              <c:f>'Infrastructure Budget'!$K$25:$K$31</c:f>
              <c:numCache>
                <c:formatCode>_-* #,##0_-;\-* #,##0_-;_-* "-"??_-;_-@_-</c:formatCode>
                <c:ptCount val="7"/>
                <c:pt idx="0">
                  <c:v>13911575.629999999</c:v>
                </c:pt>
                <c:pt idx="1">
                  <c:v>9550000</c:v>
                </c:pt>
                <c:pt idx="2">
                  <c:v>7900000</c:v>
                </c:pt>
                <c:pt idx="3">
                  <c:v>6400000</c:v>
                </c:pt>
                <c:pt idx="4">
                  <c:v>1800000</c:v>
                </c:pt>
                <c:pt idx="5">
                  <c:v>1063558.3799999999</c:v>
                </c:pt>
                <c:pt idx="6">
                  <c:v>3130551.99</c:v>
                </c:pt>
              </c:numCache>
            </c:numRef>
          </c:val>
          <c:extLst>
            <c:ext xmlns:c16="http://schemas.microsoft.com/office/drawing/2014/chart" uri="{C3380CC4-5D6E-409C-BE32-E72D297353CC}">
              <c16:uniqueId val="{0000000E-9B1A-4513-9C28-BDEFDB3E5A6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solidFill>
                  <a:schemeClr val="accent6">
                    <a:lumMod val="75000"/>
                  </a:schemeClr>
                </a:solidFill>
              </a:rPr>
              <a:t>DFAT's Infrastructure Expenditure </a:t>
            </a:r>
            <a:r>
              <a:rPr lang="en-US" sz="1400" baseline="0">
                <a:solidFill>
                  <a:schemeClr val="accent6">
                    <a:lumMod val="75000"/>
                  </a:schemeClr>
                </a:solidFill>
              </a:rPr>
              <a:t>(</a:t>
            </a:r>
            <a:r>
              <a:rPr lang="en-US" sz="1400" b="1" i="0" u="none" strike="noStrike" baseline="0">
                <a:solidFill>
                  <a:schemeClr val="accent6">
                    <a:lumMod val="75000"/>
                  </a:schemeClr>
                </a:solidFill>
                <a:effectLst/>
              </a:rPr>
              <a:t>2013-14 to 2017-18) (in AUD million)</a:t>
            </a:r>
            <a:endParaRPr lang="en-US" sz="1400" i="1">
              <a:solidFill>
                <a:schemeClr val="accent6">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'Infrastructure Budget'!$K$24</c:f>
              <c:strCache>
                <c:ptCount val="1"/>
                <c:pt idx="0">
                  <c:v>Expenditure</c:v>
                </c:pt>
              </c:strCache>
            </c:strRef>
          </c:tx>
          <c:dPt>
            <c:idx val="0"/>
            <c:bubble3D val="0"/>
            <c:spPr>
              <a:gradFill rotWithShape="1">
                <a:gsLst>
                  <a:gs pos="0">
                    <a:schemeClr val="accent6">
                      <a:shade val="85000"/>
                    </a:schemeClr>
                  </a:gs>
                  <a:gs pos="100000">
                    <a:schemeClr val="accent6">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1-23BD-4A8F-B6A6-8B3AC0BE53EE}"/>
              </c:ext>
            </c:extLst>
          </c:dPt>
          <c:dPt>
            <c:idx val="1"/>
            <c:bubble3D val="0"/>
            <c:spPr>
              <a:gradFill rotWithShape="1">
                <a:gsLst>
                  <a:gs pos="0">
                    <a:schemeClr val="accent5">
                      <a:shade val="85000"/>
                    </a:schemeClr>
                  </a:gs>
                  <a:gs pos="100000">
                    <a:schemeClr val="accent5">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3-23BD-4A8F-B6A6-8B3AC0BE53EE}"/>
              </c:ext>
            </c:extLst>
          </c:dPt>
          <c:dPt>
            <c:idx val="2"/>
            <c:bubble3D val="0"/>
            <c:spPr>
              <a:gradFill rotWithShape="1">
                <a:gsLst>
                  <a:gs pos="0">
                    <a:schemeClr val="accent4">
                      <a:shade val="85000"/>
                    </a:schemeClr>
                  </a:gs>
                  <a:gs pos="100000">
                    <a:schemeClr val="accent4">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5-23BD-4A8F-B6A6-8B3AC0BE53EE}"/>
              </c:ext>
            </c:extLst>
          </c:dPt>
          <c:dPt>
            <c:idx val="3"/>
            <c:bubble3D val="0"/>
            <c:spPr>
              <a:gradFill rotWithShape="1">
                <a:gsLst>
                  <a:gs pos="0">
                    <a:schemeClr val="accent6">
                      <a:lumMod val="60000"/>
                      <a:shade val="85000"/>
                    </a:schemeClr>
                  </a:gs>
                  <a:gs pos="100000">
                    <a:schemeClr val="accent6">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7-23BD-4A8F-B6A6-8B3AC0BE53EE}"/>
              </c:ext>
            </c:extLst>
          </c:dPt>
          <c:dPt>
            <c:idx val="4"/>
            <c:bubble3D val="0"/>
            <c:spPr>
              <a:gradFill rotWithShape="1">
                <a:gsLst>
                  <a:gs pos="0">
                    <a:schemeClr val="accent5">
                      <a:lumMod val="60000"/>
                      <a:shade val="85000"/>
                    </a:schemeClr>
                  </a:gs>
                  <a:gs pos="100000">
                    <a:schemeClr val="accent5">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9-23BD-4A8F-B6A6-8B3AC0BE53EE}"/>
              </c:ext>
            </c:extLst>
          </c:dPt>
          <c:dPt>
            <c:idx val="5"/>
            <c:bubble3D val="0"/>
            <c:spPr>
              <a:gradFill rotWithShape="1">
                <a:gsLst>
                  <a:gs pos="0">
                    <a:schemeClr val="accent4">
                      <a:lumMod val="60000"/>
                      <a:shade val="85000"/>
                    </a:schemeClr>
                  </a:gs>
                  <a:gs pos="100000">
                    <a:schemeClr val="accent4">
                      <a:lumMod val="6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B-23BD-4A8F-B6A6-8B3AC0BE53EE}"/>
              </c:ext>
            </c:extLst>
          </c:dPt>
          <c:dPt>
            <c:idx val="6"/>
            <c:bubble3D val="0"/>
            <c:spPr>
              <a:gradFill rotWithShape="1">
                <a:gsLst>
                  <a:gs pos="0">
                    <a:schemeClr val="accent6">
                      <a:lumMod val="80000"/>
                      <a:lumOff val="20000"/>
                      <a:shade val="85000"/>
                    </a:schemeClr>
                  </a:gs>
                  <a:gs pos="100000">
                    <a:schemeClr val="accent6">
                      <a:lumMod val="80000"/>
                      <a:lumOff val="20000"/>
                      <a:tint val="90000"/>
                      <a:alpha val="100000"/>
                      <a:satMod val="200000"/>
                    </a:schemeClr>
                  </a:gs>
                </a:gsLst>
                <a:path path="circle">
                  <a:fillToRect l="100000" t="100000" r="100000" b="100000"/>
                </a:path>
              </a:gradFill>
              <a:ln>
                <a:noFill/>
              </a:ln>
              <a:effectLst/>
            </c:spPr>
            <c:extLst>
              <c:ext xmlns:c16="http://schemas.microsoft.com/office/drawing/2014/chart" uri="{C3380CC4-5D6E-409C-BE32-E72D297353CC}">
                <c16:uniqueId val="{0000000D-23BD-4A8F-B6A6-8B3AC0BE53EE}"/>
              </c:ext>
            </c:extLst>
          </c:dPt>
          <c:dLbls>
            <c:dLbl>
              <c:idx val="0"/>
              <c:layout>
                <c:manualLayout>
                  <c:x val="5.5165445359792453E-3"/>
                  <c:y val="-5.19896865152054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BD-4A8F-B6A6-8B3AC0BE53EE}"/>
                </c:ext>
              </c:extLst>
            </c:dLbl>
            <c:dLbl>
              <c:idx val="1"/>
              <c:layout>
                <c:manualLayout>
                  <c:x val="4.4648705212094589E-2"/>
                  <c:y val="-8.81427557404381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BD-4A8F-B6A6-8B3AC0BE53EE}"/>
                </c:ext>
              </c:extLst>
            </c:dLbl>
            <c:dLbl>
              <c:idx val="2"/>
              <c:layout>
                <c:manualLayout>
                  <c:x val="-6.2681716808520319E-2"/>
                  <c:y val="-6.04099349764300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BD-4A8F-B6A6-8B3AC0BE53EE}"/>
                </c:ext>
              </c:extLst>
            </c:dLbl>
            <c:dLbl>
              <c:idx val="3"/>
              <c:layout>
                <c:manualLayout>
                  <c:x val="0"/>
                  <c:y val="-4.57043637218706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BD-4A8F-B6A6-8B3AC0BE53EE}"/>
                </c:ext>
              </c:extLst>
            </c:dLbl>
            <c:dLbl>
              <c:idx val="4"/>
              <c:layout>
                <c:manualLayout>
                  <c:x val="-4.1308707925045055E-2"/>
                  <c:y val="4.52896218161409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BD-4A8F-B6A6-8B3AC0BE53EE}"/>
                </c:ext>
              </c:extLst>
            </c:dLbl>
            <c:dLbl>
              <c:idx val="6"/>
              <c:layout>
                <c:manualLayout>
                  <c:x val="4.4664450013887726E-2"/>
                  <c:y val="-3.048123368974010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BD-4A8F-B6A6-8B3AC0BE53E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lumMod val="50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'Infrastructure Budget'!$A$25:$A$31</c:f>
              <c:strCache>
                <c:ptCount val="7"/>
                <c:pt idx="0">
                  <c:v>Health - 32%</c:v>
                </c:pt>
                <c:pt idx="1">
                  <c:v>Transport (Sea) - 22%</c:v>
                </c:pt>
                <c:pt idx="2">
                  <c:v>Education - 18%</c:v>
                </c:pt>
                <c:pt idx="3">
                  <c:v>Power - 15%</c:v>
                </c:pt>
                <c:pt idx="4">
                  <c:v>Water - 4%</c:v>
                </c:pt>
                <c:pt idx="5">
                  <c:v>Nauru Utility Corporation - 2%</c:v>
                </c:pt>
                <c:pt idx="6">
                  <c:v>Sport - 7%</c:v>
                </c:pt>
              </c:strCache>
            </c:strRef>
          </c:cat>
          <c:val>
            <c:numRef>
              <c:f>'Infrastructure Budget'!$K$25:$K$31</c:f>
              <c:numCache>
                <c:formatCode>_-* #,##0_-;\-* #,##0_-;_-* "-"??_-;_-@_-</c:formatCode>
                <c:ptCount val="7"/>
                <c:pt idx="0">
                  <c:v>13911575.629999999</c:v>
                </c:pt>
                <c:pt idx="1">
                  <c:v>9550000</c:v>
                </c:pt>
                <c:pt idx="2">
                  <c:v>7900000</c:v>
                </c:pt>
                <c:pt idx="3">
                  <c:v>6400000</c:v>
                </c:pt>
                <c:pt idx="4">
                  <c:v>1800000</c:v>
                </c:pt>
                <c:pt idx="5">
                  <c:v>1063558.3799999999</c:v>
                </c:pt>
                <c:pt idx="6">
                  <c:v>3130551.99</c:v>
                </c:pt>
              </c:numCache>
            </c:numRef>
          </c:val>
          <c:extLst>
            <c:ext xmlns:c16="http://schemas.microsoft.com/office/drawing/2014/chart" uri="{C3380CC4-5D6E-409C-BE32-E72D297353CC}">
              <c16:uniqueId val="{0000000E-23BD-4A8F-B6A6-8B3AC0BE53E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6">
                    <a:lumMod val="75000"/>
                  </a:schemeClr>
                </a:solidFill>
                <a:latin typeface="+mn-lt"/>
                <a:ea typeface="+mn-ea"/>
                <a:cs typeface="+mn-cs"/>
              </a:defRPr>
            </a:pPr>
            <a:r>
              <a:rPr lang="en-US">
                <a:solidFill>
                  <a:schemeClr val="accent6">
                    <a:lumMod val="75000"/>
                  </a:schemeClr>
                </a:solidFill>
              </a:rPr>
              <a:t>DFAT's Infrastructure Expenditure by Project (in AUD million)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accent6">
                  <a:lumMod val="75000"/>
                </a:schemeClr>
              </a:solidFill>
              <a:latin typeface="+mn-lt"/>
              <a:ea typeface="+mn-ea"/>
              <a:cs typeface="+mn-cs"/>
            </a:defRPr>
          </a:pPr>
          <a:endParaRPr lang="en-US"/>
        </a:p>
      </c:txPr>
    </c:title>
    <c:autoTitleDeleted val="0"/>
    <c:plotArea>
      <c:layout/>
      <c:pieChart>
        <c:varyColors val="1"/>
        <c:ser>
          <c:idx val="0"/>
          <c:order val="0"/>
          <c:tx>
            <c:strRef>
              <c:f>'Projects (2)'!$B$2</c:f>
              <c:strCache>
                <c:ptCount val="1"/>
                <c:pt idx="0">
                  <c:v>DFAT Contribution (AU$ million)</c:v>
                </c:pt>
              </c:strCache>
            </c:strRef>
          </c:tx>
          <c:dPt>
            <c:idx val="0"/>
            <c:bubble3D val="0"/>
            <c:spPr>
              <a:gradFill rotWithShape="1">
                <a:gsLst>
                  <a:gs pos="0">
                    <a:schemeClr val="accent6">
                      <a:shade val="85000"/>
                    </a:schemeClr>
                  </a:gs>
                  <a:gs pos="100000">
                    <a:schemeClr val="accent6">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1-003A-4706-B443-A7715CAE2A28}"/>
              </c:ext>
            </c:extLst>
          </c:dPt>
          <c:dPt>
            <c:idx val="1"/>
            <c:bubble3D val="0"/>
            <c:spPr>
              <a:gradFill rotWithShape="1">
                <a:gsLst>
                  <a:gs pos="0">
                    <a:schemeClr val="accent5">
                      <a:shade val="85000"/>
                    </a:schemeClr>
                  </a:gs>
                  <a:gs pos="100000">
                    <a:schemeClr val="accent5">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3-003A-4706-B443-A7715CAE2A28}"/>
              </c:ext>
            </c:extLst>
          </c:dPt>
          <c:dPt>
            <c:idx val="2"/>
            <c:bubble3D val="0"/>
            <c:spPr>
              <a:gradFill rotWithShape="1">
                <a:gsLst>
                  <a:gs pos="0">
                    <a:schemeClr val="accent4">
                      <a:shade val="85000"/>
                    </a:schemeClr>
                  </a:gs>
                  <a:gs pos="100000">
                    <a:schemeClr val="accent4">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5-003A-4706-B443-A7715CAE2A28}"/>
              </c:ext>
            </c:extLst>
          </c:dPt>
          <c:dPt>
            <c:idx val="3"/>
            <c:bubble3D val="0"/>
            <c:spPr>
              <a:gradFill rotWithShape="1">
                <a:gsLst>
                  <a:gs pos="0">
                    <a:schemeClr val="accent6">
                      <a:lumMod val="60000"/>
                      <a:shade val="85000"/>
                    </a:schemeClr>
                  </a:gs>
                  <a:gs pos="100000">
                    <a:schemeClr val="accent6">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7-003A-4706-B443-A7715CAE2A28}"/>
              </c:ext>
            </c:extLst>
          </c:dPt>
          <c:dPt>
            <c:idx val="4"/>
            <c:bubble3D val="0"/>
            <c:spPr>
              <a:gradFill rotWithShape="1">
                <a:gsLst>
                  <a:gs pos="0">
                    <a:schemeClr val="accent5">
                      <a:lumMod val="60000"/>
                      <a:shade val="85000"/>
                    </a:schemeClr>
                  </a:gs>
                  <a:gs pos="100000">
                    <a:schemeClr val="accent5">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9-003A-4706-B443-A7715CAE2A28}"/>
              </c:ext>
            </c:extLst>
          </c:dPt>
          <c:dPt>
            <c:idx val="5"/>
            <c:bubble3D val="0"/>
            <c:spPr>
              <a:gradFill rotWithShape="1">
                <a:gsLst>
                  <a:gs pos="0">
                    <a:schemeClr val="accent4">
                      <a:lumMod val="60000"/>
                      <a:shade val="85000"/>
                    </a:schemeClr>
                  </a:gs>
                  <a:gs pos="100000">
                    <a:schemeClr val="accent4">
                      <a:lumMod val="6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B-003A-4706-B443-A7715CAE2A28}"/>
              </c:ext>
            </c:extLst>
          </c:dPt>
          <c:dPt>
            <c:idx val="6"/>
            <c:bubble3D val="0"/>
            <c:spPr>
              <a:gradFill rotWithShape="1">
                <a:gsLst>
                  <a:gs pos="0">
                    <a:schemeClr val="accent6">
                      <a:lumMod val="80000"/>
                      <a:lumOff val="20000"/>
                      <a:shade val="85000"/>
                    </a:schemeClr>
                  </a:gs>
                  <a:gs pos="100000">
                    <a:schemeClr val="accent6">
                      <a:lumMod val="80000"/>
                      <a:lumOff val="2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D-003A-4706-B443-A7715CAE2A28}"/>
              </c:ext>
            </c:extLst>
          </c:dPt>
          <c:dPt>
            <c:idx val="7"/>
            <c:bubble3D val="0"/>
            <c:spPr>
              <a:gradFill rotWithShape="1">
                <a:gsLst>
                  <a:gs pos="0">
                    <a:schemeClr val="accent5">
                      <a:lumMod val="80000"/>
                      <a:lumOff val="20000"/>
                      <a:shade val="85000"/>
                    </a:schemeClr>
                  </a:gs>
                  <a:gs pos="100000">
                    <a:schemeClr val="accent5">
                      <a:lumMod val="80000"/>
                      <a:lumOff val="2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0F-003A-4706-B443-A7715CAE2A28}"/>
              </c:ext>
            </c:extLst>
          </c:dPt>
          <c:dPt>
            <c:idx val="8"/>
            <c:bubble3D val="0"/>
            <c:spPr>
              <a:gradFill rotWithShape="1">
                <a:gsLst>
                  <a:gs pos="0">
                    <a:schemeClr val="accent4">
                      <a:lumMod val="80000"/>
                      <a:lumOff val="20000"/>
                      <a:shade val="85000"/>
                    </a:schemeClr>
                  </a:gs>
                  <a:gs pos="100000">
                    <a:schemeClr val="accent4">
                      <a:lumMod val="80000"/>
                      <a:lumOff val="2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11-003A-4706-B443-A7715CAE2A28}"/>
              </c:ext>
            </c:extLst>
          </c:dPt>
          <c:dPt>
            <c:idx val="9"/>
            <c:bubble3D val="0"/>
            <c:spPr>
              <a:gradFill rotWithShape="1">
                <a:gsLst>
                  <a:gs pos="0">
                    <a:schemeClr val="accent6">
                      <a:lumMod val="80000"/>
                      <a:shade val="85000"/>
                    </a:schemeClr>
                  </a:gs>
                  <a:gs pos="100000">
                    <a:schemeClr val="accent6">
                      <a:lumMod val="80000"/>
                      <a:tint val="90000"/>
                      <a:alpha val="100000"/>
                      <a:satMod val="200000"/>
                    </a:schemeClr>
                  </a:gs>
                </a:gsLst>
                <a:path path="circle">
                  <a:fillToRect l="100000" t="100000" r="100000" b="100000"/>
                </a:path>
              </a:gradFill>
              <a:ln>
                <a:noFill/>
              </a:ln>
              <a:effectLst>
                <a:outerShdw blurRad="50800" dist="42924" dir="5400000" rotWithShape="0">
                  <a:srgbClr val="000000">
                    <a:alpha val="40000"/>
                  </a:srgbClr>
                </a:outerShdw>
              </a:effectLst>
            </c:spPr>
            <c:extLst>
              <c:ext xmlns:c16="http://schemas.microsoft.com/office/drawing/2014/chart" uri="{C3380CC4-5D6E-409C-BE32-E72D297353CC}">
                <c16:uniqueId val="{00000013-003A-4706-B443-A7715CAE2A28}"/>
              </c:ext>
            </c:extLst>
          </c:dPt>
          <c:dLbls>
            <c:dLbl>
              <c:idx val="0"/>
              <c:layout>
                <c:manualLayout>
                  <c:x val="8.9953318484618641E-2"/>
                  <c:y val="3.4118164220657532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3A-4706-B443-A7715CAE2A28}"/>
                </c:ext>
              </c:extLst>
            </c:dLbl>
            <c:dLbl>
              <c:idx val="2"/>
              <c:layout>
                <c:manualLayout>
                  <c:x val="6.7402835259978117E-2"/>
                  <c:y val="4.122652640995781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03A-4706-B443-A7715CAE2A28}"/>
                </c:ext>
              </c:extLst>
            </c:dLbl>
            <c:dLbl>
              <c:idx val="3"/>
              <c:layout>
                <c:manualLayout>
                  <c:x val="-2.8626330953669187E-2"/>
                  <c:y val="1.363521049230559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03A-4706-B443-A7715CAE2A28}"/>
                </c:ext>
              </c:extLst>
            </c:dLbl>
            <c:dLbl>
              <c:idx val="4"/>
              <c:layout>
                <c:manualLayout>
                  <c:x val="-2.9534587322889654E-2"/>
                  <c:y val="-2.8917023669913711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03A-4706-B443-A7715CAE2A28}"/>
                </c:ext>
              </c:extLst>
            </c:dLbl>
            <c:dLbl>
              <c:idx val="6"/>
              <c:layout>
                <c:manualLayout>
                  <c:x val="-2.2338112293657519E-2"/>
                  <c:y val="-4.1779910489912163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03A-4706-B443-A7715CAE2A28}"/>
                </c:ext>
              </c:extLst>
            </c:dLbl>
            <c:dLbl>
              <c:idx val="7"/>
              <c:layout>
                <c:manualLayout>
                  <c:x val="-5.3299398710096816E-3"/>
                  <c:y val="-1.564679415073115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03A-4706-B443-A7715CAE2A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'Projects (2)'!$A$3:$A$12</c:f>
              <c:strCache>
                <c:ptCount val="10"/>
                <c:pt idx="0">
                  <c:v>TVET Center</c:v>
                </c:pt>
                <c:pt idx="1">
                  <c:v>USP Learning Center</c:v>
                </c:pt>
                <c:pt idx="2">
                  <c:v>Hospital (Stage 1 and 2)</c:v>
                </c:pt>
                <c:pt idx="3">
                  <c:v>Wellness Clinics</c:v>
                </c:pt>
                <c:pt idx="4">
                  <c:v>Electricity Supply and Sustainability Project</c:v>
                </c:pt>
                <c:pt idx="5">
                  <c:v>Household Water Tanks</c:v>
                </c:pt>
                <c:pt idx="6">
                  <c:v>Sports Complex</c:v>
                </c:pt>
                <c:pt idx="7">
                  <c:v>Port Redevelopment</c:v>
                </c:pt>
                <c:pt idx="8">
                  <c:v>Port Institutional Reform</c:v>
                </c:pt>
                <c:pt idx="9">
                  <c:v>TA to NUC</c:v>
                </c:pt>
              </c:strCache>
            </c:strRef>
          </c:cat>
          <c:val>
            <c:numRef>
              <c:f>'Projects (2)'!$B$3:$B$12</c:f>
              <c:numCache>
                <c:formatCode>_-"$"* #,##0.0_-;\-"$"* #,##0.0_-;_-"$"* "-"??_-;_-@_-</c:formatCode>
                <c:ptCount val="10"/>
                <c:pt idx="0">
                  <c:v>5</c:v>
                </c:pt>
                <c:pt idx="1">
                  <c:v>2.9</c:v>
                </c:pt>
                <c:pt idx="2">
                  <c:v>11.91157563</c:v>
                </c:pt>
                <c:pt idx="3">
                  <c:v>2</c:v>
                </c:pt>
                <c:pt idx="4">
                  <c:v>6.4</c:v>
                </c:pt>
                <c:pt idx="5">
                  <c:v>1.8</c:v>
                </c:pt>
                <c:pt idx="6">
                  <c:v>3.1305519900000003</c:v>
                </c:pt>
                <c:pt idx="7">
                  <c:v>6.25</c:v>
                </c:pt>
                <c:pt idx="8">
                  <c:v>3.3</c:v>
                </c:pt>
                <c:pt idx="9">
                  <c:v>1.0635583799999999</c:v>
                </c:pt>
              </c:numCache>
            </c:numRef>
          </c:val>
          <c:extLst>
            <c:ext xmlns:c16="http://schemas.microsoft.com/office/drawing/2014/chart" uri="{C3380CC4-5D6E-409C-BE32-E72D297353CC}">
              <c16:uniqueId val="{00000014-003A-4706-B443-A7715CAE2A2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8999484874DFA9F8A1986F0858639"/>
        <w:category>
          <w:name w:val="General"/>
          <w:gallery w:val="placeholder"/>
        </w:category>
        <w:types>
          <w:type w:val="bbPlcHdr"/>
        </w:types>
        <w:behaviors>
          <w:behavior w:val="content"/>
        </w:behaviors>
        <w:guid w:val="{54F516E8-A090-4D4D-B5DD-F42135089D2B}"/>
      </w:docPartPr>
      <w:docPartBody>
        <w:p w:rsidR="003B72A3" w:rsidRDefault="003B72A3">
          <w:pPr>
            <w:pStyle w:val="0838999484874DFA9F8A1986F0858639"/>
          </w:pPr>
          <w:r w:rsidRPr="00D92E50">
            <w:rPr>
              <w:rStyle w:val="PlaceholderText"/>
              <w:rFonts w:ascii="Franklin Gothic Medium" w:hAnsi="Franklin Gothic Medium"/>
              <w:b/>
              <w:color w:val="00B050"/>
              <w:sz w:val="52"/>
              <w:szCs w:val="52"/>
            </w:rPr>
            <w:t>Name of document of project.</w:t>
          </w:r>
        </w:p>
      </w:docPartBody>
    </w:docPart>
    <w:docPart>
      <w:docPartPr>
        <w:name w:val="12A10B63CF314F51A42197AA29584EFF"/>
        <w:category>
          <w:name w:val="General"/>
          <w:gallery w:val="placeholder"/>
        </w:category>
        <w:types>
          <w:type w:val="bbPlcHdr"/>
        </w:types>
        <w:behaviors>
          <w:behavior w:val="content"/>
        </w:behaviors>
        <w:guid w:val="{B3DA29B6-EF74-4FFC-984F-DF3A75395E3F}"/>
      </w:docPartPr>
      <w:docPartBody>
        <w:p w:rsidR="003B72A3" w:rsidRDefault="003B72A3">
          <w:pPr>
            <w:pStyle w:val="12A10B63CF314F51A42197AA29584EFF"/>
          </w:pPr>
          <w:r w:rsidRPr="008268DF">
            <w:rPr>
              <w:rStyle w:val="PlaceholderText"/>
              <w:rFonts w:ascii="Franklin Gothic Medium" w:hAnsi="Franklin Gothic Medium"/>
              <w:color w:val="00B050"/>
              <w:sz w:val="28"/>
              <w:szCs w:val="28"/>
            </w:rPr>
            <w:t>Click here to enter a date.</w:t>
          </w:r>
        </w:p>
      </w:docPartBody>
    </w:docPart>
    <w:docPart>
      <w:docPartPr>
        <w:name w:val="BCC30F44F3B74A13888E332902071C33"/>
        <w:category>
          <w:name w:val="General"/>
          <w:gallery w:val="placeholder"/>
        </w:category>
        <w:types>
          <w:type w:val="bbPlcHdr"/>
        </w:types>
        <w:behaviors>
          <w:behavior w:val="content"/>
        </w:behaviors>
        <w:guid w:val="{792CBEB6-40AF-40D2-BD88-F79FDD9473F3}"/>
      </w:docPartPr>
      <w:docPartBody>
        <w:p w:rsidR="003B72A3" w:rsidRDefault="003B72A3">
          <w:pPr>
            <w:pStyle w:val="BCC30F44F3B74A13888E332902071C33"/>
          </w:pPr>
          <w:r w:rsidRPr="00A034C3">
            <w:rPr>
              <w:rStyle w:val="PlaceholderText"/>
              <w:color w:val="00B050"/>
            </w:rPr>
            <w:t>Enter your name here.</w:t>
          </w:r>
        </w:p>
      </w:docPartBody>
    </w:docPart>
    <w:docPart>
      <w:docPartPr>
        <w:name w:val="4F9CD13DC4EB4BBCBF65C35E3EF18304"/>
        <w:category>
          <w:name w:val="General"/>
          <w:gallery w:val="placeholder"/>
        </w:category>
        <w:types>
          <w:type w:val="bbPlcHdr"/>
        </w:types>
        <w:behaviors>
          <w:behavior w:val="content"/>
        </w:behaviors>
        <w:guid w:val="{2E11B4AC-0E12-43BF-A35B-663C8F6E9A24}"/>
      </w:docPartPr>
      <w:docPartBody>
        <w:p w:rsidR="003B72A3" w:rsidRDefault="003B72A3">
          <w:pPr>
            <w:pStyle w:val="4F9CD13DC4EB4BBCBF65C35E3EF18304"/>
          </w:pPr>
          <w:r w:rsidRPr="00A034C3">
            <w:rPr>
              <w:rStyle w:val="PlaceholderText"/>
              <w:color w:val="00B050"/>
            </w:rPr>
            <w:t>Client name</w:t>
          </w:r>
        </w:p>
      </w:docPartBody>
    </w:docPart>
    <w:docPart>
      <w:docPartPr>
        <w:name w:val="D767DB369F634955948606AAC7267DF0"/>
        <w:category>
          <w:name w:val="General"/>
          <w:gallery w:val="placeholder"/>
        </w:category>
        <w:types>
          <w:type w:val="bbPlcHdr"/>
        </w:types>
        <w:behaviors>
          <w:behavior w:val="content"/>
        </w:behaviors>
        <w:guid w:val="{D0FDB189-1C68-4D41-8981-E3F5E3E37475}"/>
      </w:docPartPr>
      <w:docPartBody>
        <w:p w:rsidR="003B72A3" w:rsidRDefault="003B72A3">
          <w:pPr>
            <w:pStyle w:val="D767DB369F634955948606AAC7267DF0"/>
          </w:pPr>
          <w:r w:rsidRPr="00A034C3">
            <w:rPr>
              <w:rStyle w:val="PlaceholderText"/>
              <w:color w:val="00B050"/>
            </w:rPr>
            <w:t>Enter your job title here.</w:t>
          </w:r>
        </w:p>
      </w:docPartBody>
    </w:docPart>
    <w:docPart>
      <w:docPartPr>
        <w:name w:val="24B3921078924DA5B3FA031E460650CB"/>
        <w:category>
          <w:name w:val="General"/>
          <w:gallery w:val="placeholder"/>
        </w:category>
        <w:types>
          <w:type w:val="bbPlcHdr"/>
        </w:types>
        <w:behaviors>
          <w:behavior w:val="content"/>
        </w:behaviors>
        <w:guid w:val="{166D8FD5-D1FA-425E-BD8E-1B791B988A7E}"/>
      </w:docPartPr>
      <w:docPartBody>
        <w:p w:rsidR="003B72A3" w:rsidRDefault="003B72A3">
          <w:pPr>
            <w:pStyle w:val="24B3921078924DA5B3FA031E460650CB"/>
          </w:pPr>
          <w:r w:rsidRPr="00A034C3">
            <w:rPr>
              <w:rStyle w:val="PlaceholderText"/>
              <w:color w:val="00B050"/>
            </w:rPr>
            <w:t>Client job title.</w:t>
          </w:r>
        </w:p>
      </w:docPartBody>
    </w:docPart>
    <w:docPart>
      <w:docPartPr>
        <w:name w:val="4197082154274A478513976D6A38593F"/>
        <w:category>
          <w:name w:val="General"/>
          <w:gallery w:val="placeholder"/>
        </w:category>
        <w:types>
          <w:type w:val="bbPlcHdr"/>
        </w:types>
        <w:behaviors>
          <w:behavior w:val="content"/>
        </w:behaviors>
        <w:guid w:val="{F31FC511-D577-4FC3-B834-29BECEF515AF}"/>
      </w:docPartPr>
      <w:docPartBody>
        <w:p w:rsidR="003B72A3" w:rsidRDefault="003B72A3">
          <w:pPr>
            <w:pStyle w:val="4197082154274A478513976D6A38593F"/>
          </w:pPr>
          <w:r w:rsidRPr="00A034C3">
            <w:rPr>
              <w:rStyle w:val="PlaceholderText"/>
              <w:color w:val="00B050"/>
            </w:rPr>
            <w:t>Client organisation.</w:t>
          </w:r>
        </w:p>
      </w:docPartBody>
    </w:docPart>
    <w:docPart>
      <w:docPartPr>
        <w:name w:val="3B2BD4FEBFA54170ACBA630EAC852D09"/>
        <w:category>
          <w:name w:val="General"/>
          <w:gallery w:val="placeholder"/>
        </w:category>
        <w:types>
          <w:type w:val="bbPlcHdr"/>
        </w:types>
        <w:behaviors>
          <w:behavior w:val="content"/>
        </w:behaviors>
        <w:guid w:val="{89F93461-71F1-47FD-BF04-EDA0F10CF9CE}"/>
      </w:docPartPr>
      <w:docPartBody>
        <w:p w:rsidR="003B72A3" w:rsidRDefault="003B72A3">
          <w:pPr>
            <w:pStyle w:val="3B2BD4FEBFA54170ACBA630EAC852D09"/>
          </w:pPr>
          <w:r w:rsidRPr="00A034C3">
            <w:rPr>
              <w:rStyle w:val="PlaceholderText"/>
              <w:color w:val="00B050"/>
            </w:rPr>
            <w:t>Client address</w:t>
          </w:r>
        </w:p>
      </w:docPartBody>
    </w:docPart>
    <w:docPart>
      <w:docPartPr>
        <w:name w:val="17534C2ADB44402B8D5396EA053CC8F3"/>
        <w:category>
          <w:name w:val="General"/>
          <w:gallery w:val="placeholder"/>
        </w:category>
        <w:types>
          <w:type w:val="bbPlcHdr"/>
        </w:types>
        <w:behaviors>
          <w:behavior w:val="content"/>
        </w:behaviors>
        <w:guid w:val="{BD3459A1-A73D-400D-A7F5-A2FE253251E4}"/>
      </w:docPartPr>
      <w:docPartBody>
        <w:p w:rsidR="003B72A3" w:rsidRDefault="003B72A3">
          <w:pPr>
            <w:pStyle w:val="17534C2ADB44402B8D5396EA053CC8F3"/>
          </w:pPr>
          <w:r w:rsidRPr="00A034C3">
            <w:rPr>
              <w:rStyle w:val="PlaceholderText"/>
              <w:color w:val="00B050"/>
            </w:rPr>
            <w:t>Client phone number</w:t>
          </w:r>
        </w:p>
      </w:docPartBody>
    </w:docPart>
    <w:docPart>
      <w:docPartPr>
        <w:name w:val="25133C87D9F845D2B1E53DA5524AF01C"/>
        <w:category>
          <w:name w:val="General"/>
          <w:gallery w:val="placeholder"/>
        </w:category>
        <w:types>
          <w:type w:val="bbPlcHdr"/>
        </w:types>
        <w:behaviors>
          <w:behavior w:val="content"/>
        </w:behaviors>
        <w:guid w:val="{6CA07A22-660C-4DD9-9951-526F1B9573ED}"/>
      </w:docPartPr>
      <w:docPartBody>
        <w:p w:rsidR="003B72A3" w:rsidRDefault="003B72A3">
          <w:pPr>
            <w:pStyle w:val="25133C87D9F845D2B1E53DA5524AF01C"/>
          </w:pPr>
          <w:r w:rsidRPr="00A034C3">
            <w:rPr>
              <w:rStyle w:val="PlaceholderText"/>
              <w:color w:val="00B050"/>
            </w:rPr>
            <w:t>Your name here.</w:t>
          </w:r>
        </w:p>
      </w:docPartBody>
    </w:docPart>
    <w:docPart>
      <w:docPartPr>
        <w:name w:val="86BBD82156694FB2A3DE9442E1069220"/>
        <w:category>
          <w:name w:val="General"/>
          <w:gallery w:val="placeholder"/>
        </w:category>
        <w:types>
          <w:type w:val="bbPlcHdr"/>
        </w:types>
        <w:behaviors>
          <w:behavior w:val="content"/>
        </w:behaviors>
        <w:guid w:val="{E62477C5-72A6-4BFA-898A-D715ABE01526}"/>
      </w:docPartPr>
      <w:docPartBody>
        <w:p w:rsidR="003B72A3" w:rsidRDefault="003B72A3">
          <w:pPr>
            <w:pStyle w:val="86BBD82156694FB2A3DE9442E1069220"/>
          </w:pPr>
          <w:r w:rsidRPr="00A034C3">
            <w:rPr>
              <w:rStyle w:val="PlaceholderText"/>
              <w:color w:val="00B050"/>
            </w:rPr>
            <w:t>Client email.</w:t>
          </w:r>
        </w:p>
      </w:docPartBody>
    </w:docPart>
    <w:docPart>
      <w:docPartPr>
        <w:name w:val="AB8B245A96954F62809D4B45B79416FE"/>
        <w:category>
          <w:name w:val="General"/>
          <w:gallery w:val="placeholder"/>
        </w:category>
        <w:types>
          <w:type w:val="bbPlcHdr"/>
        </w:types>
        <w:behaviors>
          <w:behavior w:val="content"/>
        </w:behaviors>
        <w:guid w:val="{1A599A09-E854-4FA4-8E77-97912C417CE4}"/>
      </w:docPartPr>
      <w:docPartBody>
        <w:p w:rsidR="00351744" w:rsidRDefault="003B72A3" w:rsidP="003B72A3">
          <w:pPr>
            <w:pStyle w:val="AB8B245A96954F62809D4B45B79416FE"/>
          </w:pPr>
          <w:r w:rsidRPr="00A034C3">
            <w:rPr>
              <w:rStyle w:val="PlaceholderText"/>
              <w:color w:val="00B050"/>
            </w:rP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Gothic-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A3"/>
    <w:rsid w:val="00026142"/>
    <w:rsid w:val="00053D13"/>
    <w:rsid w:val="00077EFA"/>
    <w:rsid w:val="00182FE2"/>
    <w:rsid w:val="00183FBF"/>
    <w:rsid w:val="002359FF"/>
    <w:rsid w:val="002A420C"/>
    <w:rsid w:val="002C2B1B"/>
    <w:rsid w:val="0032124E"/>
    <w:rsid w:val="00323AB9"/>
    <w:rsid w:val="00351744"/>
    <w:rsid w:val="003B72A3"/>
    <w:rsid w:val="003C0892"/>
    <w:rsid w:val="00480819"/>
    <w:rsid w:val="0048345D"/>
    <w:rsid w:val="00484262"/>
    <w:rsid w:val="00532BC3"/>
    <w:rsid w:val="005A089C"/>
    <w:rsid w:val="00647C1F"/>
    <w:rsid w:val="00672A89"/>
    <w:rsid w:val="00697E97"/>
    <w:rsid w:val="006A6A2A"/>
    <w:rsid w:val="007149C8"/>
    <w:rsid w:val="00732713"/>
    <w:rsid w:val="007B3959"/>
    <w:rsid w:val="00806EF0"/>
    <w:rsid w:val="00864AAB"/>
    <w:rsid w:val="008D0F4E"/>
    <w:rsid w:val="008F4442"/>
    <w:rsid w:val="009014A9"/>
    <w:rsid w:val="009146A8"/>
    <w:rsid w:val="00950519"/>
    <w:rsid w:val="0095078F"/>
    <w:rsid w:val="00985D1A"/>
    <w:rsid w:val="00AF74FA"/>
    <w:rsid w:val="00B03FE4"/>
    <w:rsid w:val="00B50F1C"/>
    <w:rsid w:val="00BE1532"/>
    <w:rsid w:val="00C05517"/>
    <w:rsid w:val="00C470F1"/>
    <w:rsid w:val="00C54032"/>
    <w:rsid w:val="00D759D6"/>
    <w:rsid w:val="00D9607B"/>
    <w:rsid w:val="00E2593B"/>
    <w:rsid w:val="00E64266"/>
    <w:rsid w:val="00E8497A"/>
    <w:rsid w:val="00EA2B9A"/>
    <w:rsid w:val="00F92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2A3"/>
    <w:rPr>
      <w:color w:val="808080"/>
    </w:rPr>
  </w:style>
  <w:style w:type="paragraph" w:customStyle="1" w:styleId="0838999484874DFA9F8A1986F0858639">
    <w:name w:val="0838999484874DFA9F8A1986F0858639"/>
  </w:style>
  <w:style w:type="paragraph" w:customStyle="1" w:styleId="3ABA81368DFF41939A0336DDF5710F28">
    <w:name w:val="3ABA81368DFF41939A0336DDF5710F28"/>
  </w:style>
  <w:style w:type="paragraph" w:customStyle="1" w:styleId="12A10B63CF314F51A42197AA29584EFF">
    <w:name w:val="12A10B63CF314F51A42197AA29584EFF"/>
  </w:style>
  <w:style w:type="paragraph" w:customStyle="1" w:styleId="BCC30F44F3B74A13888E332902071C33">
    <w:name w:val="BCC30F44F3B74A13888E332902071C33"/>
  </w:style>
  <w:style w:type="paragraph" w:customStyle="1" w:styleId="4F9CD13DC4EB4BBCBF65C35E3EF18304">
    <w:name w:val="4F9CD13DC4EB4BBCBF65C35E3EF18304"/>
  </w:style>
  <w:style w:type="paragraph" w:customStyle="1" w:styleId="D767DB369F634955948606AAC7267DF0">
    <w:name w:val="D767DB369F634955948606AAC7267DF0"/>
  </w:style>
  <w:style w:type="paragraph" w:customStyle="1" w:styleId="24B3921078924DA5B3FA031E460650CB">
    <w:name w:val="24B3921078924DA5B3FA031E460650CB"/>
  </w:style>
  <w:style w:type="paragraph" w:customStyle="1" w:styleId="4197082154274A478513976D6A38593F">
    <w:name w:val="4197082154274A478513976D6A38593F"/>
  </w:style>
  <w:style w:type="paragraph" w:customStyle="1" w:styleId="3B2BD4FEBFA54170ACBA630EAC852D09">
    <w:name w:val="3B2BD4FEBFA54170ACBA630EAC852D09"/>
  </w:style>
  <w:style w:type="paragraph" w:customStyle="1" w:styleId="17534C2ADB44402B8D5396EA053CC8F3">
    <w:name w:val="17534C2ADB44402B8D5396EA053CC8F3"/>
  </w:style>
  <w:style w:type="paragraph" w:customStyle="1" w:styleId="25133C87D9F845D2B1E53DA5524AF01C">
    <w:name w:val="25133C87D9F845D2B1E53DA5524AF01C"/>
  </w:style>
  <w:style w:type="paragraph" w:customStyle="1" w:styleId="86BBD82156694FB2A3DE9442E1069220">
    <w:name w:val="86BBD82156694FB2A3DE9442E1069220"/>
  </w:style>
  <w:style w:type="paragraph" w:customStyle="1" w:styleId="9ACA33D4D8714720B86C20836B27E3B7">
    <w:name w:val="9ACA33D4D8714720B86C20836B27E3B7"/>
  </w:style>
  <w:style w:type="paragraph" w:customStyle="1" w:styleId="339E5C089F944EEE9685CE267B9B6840">
    <w:name w:val="339E5C089F944EEE9685CE267B9B6840"/>
  </w:style>
  <w:style w:type="paragraph" w:customStyle="1" w:styleId="AB8B245A96954F62809D4B45B79416FE">
    <w:name w:val="AB8B245A96954F62809D4B45B79416FE"/>
    <w:rsid w:val="003B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oriz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1950E9-22E6-4596-90F4-496B161D62F7}"/>
</file>

<file path=customXml/itemProps2.xml><?xml version="1.0" encoding="utf-8"?>
<ds:datastoreItem xmlns:ds="http://schemas.openxmlformats.org/officeDocument/2006/customXml" ds:itemID="{9C51C995-8545-4360-8891-5935E30332E0}"/>
</file>

<file path=customXml/itemProps3.xml><?xml version="1.0" encoding="utf-8"?>
<ds:datastoreItem xmlns:ds="http://schemas.openxmlformats.org/officeDocument/2006/customXml" ds:itemID="{F962EDE2-062D-4E00-9AC5-785A30D10941}"/>
</file>

<file path=customXml/itemProps4.xml><?xml version="1.0" encoding="utf-8"?>
<ds:datastoreItem xmlns:ds="http://schemas.openxmlformats.org/officeDocument/2006/customXml" ds:itemID="{6597442F-7067-4AD3-A167-FF9288F109EC}"/>
</file>

<file path=docProps/app.xml><?xml version="1.0" encoding="utf-8"?>
<Properties xmlns="http://schemas.openxmlformats.org/officeDocument/2006/extended-properties" xmlns:vt="http://schemas.openxmlformats.org/officeDocument/2006/docPropsVTypes">
  <Template>Normal.dotm</Template>
  <TotalTime>0</TotalTime>
  <Pages>56</Pages>
  <Words>28235</Words>
  <Characters>168281</Characters>
  <Application>Microsoft Office Word</Application>
  <DocSecurity>0</DocSecurity>
  <Lines>4674</Lines>
  <Paragraphs>2585</Paragraphs>
  <ScaleCrop>false</ScaleCrop>
  <Company/>
  <LinksUpToDate>false</LinksUpToDate>
  <CharactersWithSpaces>193931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2018-12-18T03:24:00Z</dcterms:created>
  <dcterms:modified xsi:type="dcterms:W3CDTF">2018-12-18T03:24:00Z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388b1960-d96c-4bed-a999-53e6b0774699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1211900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