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9.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C2B73B8" w14:textId="77777777"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69CFBBDB" wp14:editId="6166A316">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398B7DBA" wp14:editId="37631047">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r w:rsidR="000E64AF">
        <w:t xml:space="preserve">  </w:t>
      </w:r>
    </w:p>
    <w:p w14:paraId="4A0311AA" w14:textId="77777777" w:rsidR="003D352D" w:rsidRDefault="003D352D" w:rsidP="00D146A2"/>
    <w:p w14:paraId="72C98CF5" w14:textId="77777777" w:rsidR="003D352D" w:rsidRDefault="003D352D" w:rsidP="00D146A2"/>
    <w:p w14:paraId="393189EA" w14:textId="77777777" w:rsidR="003D352D" w:rsidRDefault="003D352D" w:rsidP="00D146A2"/>
    <w:p w14:paraId="3C84BA0A" w14:textId="77777777" w:rsidR="003D352D" w:rsidRDefault="003D352D" w:rsidP="00D146A2"/>
    <w:p w14:paraId="4AE1D7EA" w14:textId="77777777" w:rsidR="003D352D" w:rsidRDefault="003D352D" w:rsidP="00D146A2"/>
    <w:p w14:paraId="55251462" w14:textId="77777777" w:rsidR="003D352D" w:rsidRDefault="003D352D" w:rsidP="00D146A2"/>
    <w:p w14:paraId="0A8BCE6B" w14:textId="77777777" w:rsidR="003D352D" w:rsidRDefault="003D352D" w:rsidP="00D146A2"/>
    <w:p w14:paraId="307A980B" w14:textId="77777777" w:rsidR="003D352D" w:rsidRDefault="003D352D" w:rsidP="00D146A2"/>
    <w:p w14:paraId="6A27A82C" w14:textId="77777777" w:rsidR="003D352D" w:rsidRDefault="003D352D" w:rsidP="00D146A2"/>
    <w:p w14:paraId="0E6B9972" w14:textId="77777777" w:rsidR="003D352D" w:rsidRDefault="003D352D" w:rsidP="00D146A2"/>
    <w:p w14:paraId="50EA6EBF" w14:textId="77777777" w:rsidR="003D352D" w:rsidRDefault="003D352D" w:rsidP="00D146A2"/>
    <w:p w14:paraId="4CA78867" w14:textId="77777777" w:rsidR="003D352D" w:rsidRDefault="003D352D" w:rsidP="00D146A2"/>
    <w:p w14:paraId="5228AA4A" w14:textId="77777777" w:rsidR="003D352D" w:rsidRDefault="003D352D" w:rsidP="00D146A2"/>
    <w:p w14:paraId="7D19AEAC" w14:textId="77777777" w:rsidR="003D352D" w:rsidRDefault="003D352D" w:rsidP="00D146A2"/>
    <w:p w14:paraId="5D4EFBDC" w14:textId="77777777" w:rsidR="003D352D" w:rsidRDefault="003D352D" w:rsidP="00D146A2"/>
    <w:p w14:paraId="3A211F08" w14:textId="77777777" w:rsidR="003D352D" w:rsidRPr="0059146A" w:rsidRDefault="003D352D" w:rsidP="0059146A"/>
    <w:p w14:paraId="23B05644" w14:textId="77777777" w:rsidR="003D352D" w:rsidRPr="0059146A" w:rsidRDefault="003D352D" w:rsidP="0059146A"/>
    <w:p w14:paraId="3EEA38CF" w14:textId="77777777" w:rsidR="003D352D" w:rsidRPr="0059146A" w:rsidRDefault="003D352D" w:rsidP="0059146A"/>
    <w:p w14:paraId="3A922954" w14:textId="77777777" w:rsidR="003D352D" w:rsidRPr="0059146A" w:rsidRDefault="003D352D" w:rsidP="0059146A"/>
    <w:p w14:paraId="144843F9" w14:textId="77777777" w:rsidR="003D352D" w:rsidRPr="0059146A" w:rsidRDefault="003D352D" w:rsidP="0059146A"/>
    <w:p w14:paraId="336473BC" w14:textId="77777777" w:rsidR="003D352D" w:rsidRPr="0059146A" w:rsidRDefault="003D352D" w:rsidP="0059146A"/>
    <w:p w14:paraId="2FB8C9B1" w14:textId="77777777" w:rsidR="00A56F14" w:rsidRPr="0059146A" w:rsidRDefault="00A56F14" w:rsidP="00A56F14"/>
    <w:p w14:paraId="5F1E4F56" w14:textId="77777777" w:rsidR="00A56F14" w:rsidRPr="0059146A" w:rsidRDefault="00A56F14" w:rsidP="0059146A"/>
    <w:p w14:paraId="28D66D63" w14:textId="77777777" w:rsidR="00A56F14" w:rsidRDefault="00A56F14" w:rsidP="0059146A"/>
    <w:p w14:paraId="452F2BF5" w14:textId="77777777" w:rsidR="0059146A" w:rsidRDefault="0059146A" w:rsidP="0059146A"/>
    <w:p w14:paraId="3DB62A4C" w14:textId="77777777" w:rsidR="0059146A" w:rsidRDefault="0059146A" w:rsidP="0059146A"/>
    <w:p w14:paraId="10818CB7" w14:textId="77777777" w:rsidR="0059146A" w:rsidRDefault="0059146A" w:rsidP="0059146A"/>
    <w:p w14:paraId="54FFF98F" w14:textId="77777777" w:rsidR="0059146A" w:rsidRPr="0059146A" w:rsidRDefault="0059146A" w:rsidP="0059146A"/>
    <w:p w14:paraId="7B15BBD0" w14:textId="77777777"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w:t>
      </w:r>
      <w:r w:rsidR="008147F0">
        <w:rPr>
          <w:spacing w:val="-20"/>
          <w:sz w:val="60"/>
        </w:rPr>
        <w:t>7</w:t>
      </w:r>
      <w:r>
        <w:rPr>
          <w:spacing w:val="-20"/>
          <w:sz w:val="60"/>
        </w:rPr>
        <w:t>-1</w:t>
      </w:r>
      <w:r w:rsidR="008147F0">
        <w:rPr>
          <w:spacing w:val="-20"/>
          <w:sz w:val="60"/>
        </w:rPr>
        <w:t>8</w:t>
      </w:r>
    </w:p>
    <w:p w14:paraId="0BD304BD" w14:textId="77777777" w:rsidR="0059146A" w:rsidRDefault="00BA5F03" w:rsidP="00A56F14">
      <w:pPr>
        <w:rPr>
          <w:sz w:val="24"/>
        </w:rPr>
        <w:sectPr w:rsidR="0059146A" w:rsidSect="00A56F14">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Pr>
          <w:sz w:val="40"/>
        </w:rPr>
        <w:t>Nauru</w:t>
      </w:r>
      <w:r w:rsidR="0059146A">
        <w:rPr>
          <w:sz w:val="40"/>
        </w:rPr>
        <w:br/>
      </w:r>
      <w:r w:rsidR="008D5817">
        <w:rPr>
          <w:sz w:val="24"/>
        </w:rPr>
        <w:t>September 2018</w:t>
      </w:r>
    </w:p>
    <w:p w14:paraId="396988F9" w14:textId="77777777" w:rsidR="005B5769" w:rsidRPr="00B438D3" w:rsidRDefault="00552D85" w:rsidP="00B438D3">
      <w:pPr>
        <w:pStyle w:val="Title"/>
      </w:pPr>
      <w:r>
        <w:t>nauru</w:t>
      </w:r>
      <w:r w:rsidR="005B5769" w:rsidRPr="00B438D3">
        <w:t xml:space="preserve"> Aid Program Performance Information 201</w:t>
      </w:r>
      <w:r w:rsidR="000F11D7">
        <w:t>7</w:t>
      </w:r>
      <w:r w:rsidR="005B5769" w:rsidRPr="00B438D3">
        <w:t>-1</w:t>
      </w:r>
      <w:r w:rsidR="000F11D7">
        <w:t>8</w:t>
      </w:r>
    </w:p>
    <w:p w14:paraId="20B888C8" w14:textId="77777777" w:rsidR="005B5769" w:rsidRPr="00C4114C" w:rsidRDefault="005B5769" w:rsidP="007E6AAB">
      <w:pPr>
        <w:pStyle w:val="Subtitle"/>
        <w:spacing w:after="120"/>
      </w:pPr>
      <w:r w:rsidRPr="00A3734B">
        <w:rPr>
          <w:rFonts w:asciiTheme="majorHAnsi" w:hAnsiTheme="majorHAnsi"/>
          <w:bCs w:val="0"/>
          <w:iCs w:val="0"/>
          <w:spacing w:val="0"/>
          <w:kern w:val="0"/>
          <w:szCs w:val="26"/>
        </w:rPr>
        <w:t>Summary</w:t>
      </w:r>
    </w:p>
    <w:p w14:paraId="62642FB4" w14:textId="77777777" w:rsidR="00CD1652" w:rsidRPr="00B73F3B" w:rsidRDefault="00CD1652" w:rsidP="00CD1652">
      <w:r w:rsidRPr="00B73F3B">
        <w:t xml:space="preserve">This report summarises the performance of Australia’s aid program in </w:t>
      </w:r>
      <w:r w:rsidR="00BA5F03" w:rsidRPr="00B73F3B">
        <w:t>Nauru</w:t>
      </w:r>
      <w:r w:rsidR="004477B8">
        <w:t xml:space="preserve"> from July 2017 to June 2018</w:t>
      </w:r>
      <w:r w:rsidRPr="00B73F3B">
        <w:t xml:space="preserve"> against </w:t>
      </w:r>
      <w:r w:rsidR="003E7BBD" w:rsidRPr="00B73F3B">
        <w:t xml:space="preserve">jointly agreed objectives outlined in the </w:t>
      </w:r>
      <w:r w:rsidR="00BA5F03" w:rsidRPr="00B73F3B">
        <w:t>Nauru</w:t>
      </w:r>
      <w:r w:rsidRPr="00B73F3B">
        <w:t xml:space="preserve"> Aid Investment Plan </w:t>
      </w:r>
      <w:r w:rsidR="005872E0" w:rsidRPr="00B73F3B">
        <w:t>2015-16 to 2018-19 and the Aid Partnership Arrangement</w:t>
      </w:r>
      <w:r w:rsidR="002A328A">
        <w:t xml:space="preserve"> (APA)</w:t>
      </w:r>
      <w:r w:rsidR="005872E0" w:rsidRPr="00B73F3B">
        <w:t xml:space="preserve"> 2016-2019</w:t>
      </w:r>
      <w:r w:rsidR="0035439D" w:rsidRPr="00B73F3B">
        <w:t>.</w:t>
      </w:r>
      <w:r w:rsidRPr="00C61187">
        <w:t xml:space="preserve"> </w:t>
      </w:r>
      <w:r w:rsidR="00CF3A7A" w:rsidRPr="00B73F3B">
        <w:t xml:space="preserve">The APA maps bilateral development </w:t>
      </w:r>
      <w:r w:rsidR="002A328A">
        <w:t>assistance</w:t>
      </w:r>
      <w:r w:rsidR="002A328A" w:rsidRPr="00B73F3B">
        <w:t xml:space="preserve"> </w:t>
      </w:r>
      <w:r w:rsidR="00CF3A7A" w:rsidRPr="00B73F3B">
        <w:t xml:space="preserve">against Nauru’s </w:t>
      </w:r>
      <w:r w:rsidR="00CF3A7A" w:rsidRPr="00E71866">
        <w:rPr>
          <w:i/>
        </w:rPr>
        <w:t>National Sustainable Development Strategy</w:t>
      </w:r>
      <w:r w:rsidR="00CF3A7A" w:rsidRPr="00B73F3B">
        <w:t xml:space="preserve">. </w:t>
      </w:r>
    </w:p>
    <w:p w14:paraId="3886FE6F" w14:textId="77777777" w:rsidR="005872E0" w:rsidRPr="0091453A" w:rsidRDefault="005872E0" w:rsidP="00CD1652">
      <w:r w:rsidRPr="00B73F3B">
        <w:t>Australia’s development cooperation program in Nauru</w:t>
      </w:r>
      <w:r w:rsidR="00912367">
        <w:t xml:space="preserve"> aims to achieve the agreed objectives of promoting more effective public sector </w:t>
      </w:r>
      <w:r w:rsidR="00A030A0">
        <w:t>management, investing in nation-</w:t>
      </w:r>
      <w:r w:rsidR="00912367">
        <w:t>building</w:t>
      </w:r>
      <w:r w:rsidR="00A030A0">
        <w:t xml:space="preserve"> sustainable</w:t>
      </w:r>
      <w:r w:rsidR="00912367">
        <w:t xml:space="preserve"> infrastructure and supporting human development through delivering better health and education services</w:t>
      </w:r>
      <w:r w:rsidR="00912367" w:rsidRPr="0091453A">
        <w:t>.</w:t>
      </w:r>
      <w:r w:rsidR="008D5817">
        <w:t xml:space="preserve"> </w:t>
      </w:r>
      <w:r w:rsidR="00912367">
        <w:t xml:space="preserve">The program </w:t>
      </w:r>
      <w:r w:rsidR="008D5817">
        <w:t>aligns with Australia’s commitment to stepped-up engagement with the Pacific</w:t>
      </w:r>
      <w:r w:rsidR="00912367">
        <w:t xml:space="preserve"> under the 2</w:t>
      </w:r>
      <w:r w:rsidR="001D5875">
        <w:t>017 Foreign Policy White Paper.</w:t>
      </w:r>
      <w:r w:rsidR="008A321F" w:rsidRPr="0091453A">
        <w:t xml:space="preserve"> </w:t>
      </w:r>
      <w:r w:rsidR="00617F26" w:rsidRPr="0091453A">
        <w:t xml:space="preserve">The Australian Federal Police and Attorney-General’s Department </w:t>
      </w:r>
      <w:r w:rsidR="00C320A6" w:rsidRPr="0091453A">
        <w:t xml:space="preserve">also </w:t>
      </w:r>
      <w:r w:rsidR="00617F26" w:rsidRPr="0091453A">
        <w:t>provide o</w:t>
      </w:r>
      <w:r w:rsidR="002373FC" w:rsidRPr="0091453A">
        <w:t xml:space="preserve">ngoing </w:t>
      </w:r>
      <w:r w:rsidR="002A328A" w:rsidRPr="0091453A">
        <w:t xml:space="preserve">assistance </w:t>
      </w:r>
      <w:r w:rsidR="002373FC" w:rsidRPr="0091453A">
        <w:t xml:space="preserve">to </w:t>
      </w:r>
      <w:r w:rsidR="00912367">
        <w:t>Nauru’s</w:t>
      </w:r>
      <w:r w:rsidR="00912367" w:rsidRPr="0091453A">
        <w:t xml:space="preserve"> </w:t>
      </w:r>
      <w:r w:rsidR="002373FC" w:rsidRPr="0091453A">
        <w:t>law and justice sector.</w:t>
      </w:r>
      <w:r w:rsidRPr="0091453A">
        <w:t xml:space="preserve"> </w:t>
      </w:r>
      <w:r w:rsidR="002E516D" w:rsidRPr="0091453A">
        <w:t xml:space="preserve">The Department of </w:t>
      </w:r>
      <w:r w:rsidR="00912367">
        <w:t>Home Affairs</w:t>
      </w:r>
      <w:r w:rsidR="002E516D" w:rsidRPr="0091453A">
        <w:t xml:space="preserve"> </w:t>
      </w:r>
      <w:r w:rsidR="00F478CA" w:rsidRPr="0091453A">
        <w:t>continue</w:t>
      </w:r>
      <w:r w:rsidR="001D5875">
        <w:t>s</w:t>
      </w:r>
      <w:r w:rsidR="00F478CA" w:rsidRPr="0091453A">
        <w:t xml:space="preserve"> to</w:t>
      </w:r>
      <w:r w:rsidR="002E516D" w:rsidRPr="0091453A">
        <w:t xml:space="preserve"> </w:t>
      </w:r>
      <w:r w:rsidR="00F478CA" w:rsidRPr="0091453A">
        <w:t xml:space="preserve">provide funding </w:t>
      </w:r>
      <w:r w:rsidR="00412C28">
        <w:t xml:space="preserve">to </w:t>
      </w:r>
      <w:r w:rsidR="00F478CA" w:rsidRPr="0091453A">
        <w:t>Nauru’s</w:t>
      </w:r>
      <w:r w:rsidR="002E516D" w:rsidRPr="0091453A">
        <w:t xml:space="preserve"> education, health and law enforcement sectors, along </w:t>
      </w:r>
      <w:r w:rsidR="00EF5C88">
        <w:t>with</w:t>
      </w:r>
      <w:r w:rsidR="00F478CA" w:rsidRPr="0091453A">
        <w:t xml:space="preserve"> </w:t>
      </w:r>
      <w:r w:rsidR="00EF5C88">
        <w:t>maintenance</w:t>
      </w:r>
      <w:r w:rsidR="00F478CA" w:rsidRPr="0091453A">
        <w:t xml:space="preserve"> of</w:t>
      </w:r>
      <w:r w:rsidR="002E516D" w:rsidRPr="0091453A">
        <w:t xml:space="preserve"> essential infrastructure</w:t>
      </w:r>
      <w:r w:rsidR="00EF5C88">
        <w:t xml:space="preserve"> (</w:t>
      </w:r>
      <w:r w:rsidR="00412C28">
        <w:t xml:space="preserve">such as a </w:t>
      </w:r>
      <w:r w:rsidR="00EF5C88">
        <w:t>reverse osmosis plant)</w:t>
      </w:r>
      <w:r w:rsidR="00F478CA" w:rsidRPr="0091453A">
        <w:t>.</w:t>
      </w:r>
      <w:r w:rsidR="002E516D" w:rsidRPr="0091453A">
        <w:t xml:space="preserve"> </w:t>
      </w:r>
      <w:r w:rsidR="00C50696">
        <w:t>However, t</w:t>
      </w:r>
      <w:r w:rsidR="002E516D" w:rsidRPr="0091453A">
        <w:t xml:space="preserve">his is not </w:t>
      </w:r>
      <w:r w:rsidR="00E013DF">
        <w:t>classified as</w:t>
      </w:r>
      <w:r w:rsidR="001D5875">
        <w:t xml:space="preserve"> </w:t>
      </w:r>
      <w:r w:rsidR="002E516D" w:rsidRPr="0091453A">
        <w:t xml:space="preserve">official development assistance (ODA) and is therefore not </w:t>
      </w:r>
      <w:r w:rsidR="00F478CA" w:rsidRPr="0091453A">
        <w:t>covered</w:t>
      </w:r>
      <w:r w:rsidR="002E516D" w:rsidRPr="0091453A">
        <w:t xml:space="preserve"> in this </w:t>
      </w:r>
      <w:r w:rsidR="00F478CA" w:rsidRPr="0091453A">
        <w:t xml:space="preserve">performance </w:t>
      </w:r>
      <w:r w:rsidR="002E516D" w:rsidRPr="0091453A">
        <w:t>report</w:t>
      </w:r>
      <w:r w:rsidR="00767A81">
        <w:t xml:space="preserve"> (as in previous years)</w:t>
      </w:r>
      <w:r w:rsidR="002E516D" w:rsidRPr="0091453A">
        <w:t>.</w:t>
      </w:r>
    </w:p>
    <w:p w14:paraId="2DDBAD56" w14:textId="77777777" w:rsidR="005872E0" w:rsidRPr="00B73F3B" w:rsidRDefault="005872E0" w:rsidP="00CD1652">
      <w:r w:rsidRPr="0091453A">
        <w:t>In 201</w:t>
      </w:r>
      <w:r w:rsidR="00844C48">
        <w:t>7</w:t>
      </w:r>
      <w:r w:rsidRPr="0091453A">
        <w:t>-1</w:t>
      </w:r>
      <w:r w:rsidR="00844C48">
        <w:t>8</w:t>
      </w:r>
      <w:r w:rsidRPr="0091453A">
        <w:t xml:space="preserve"> Australia provided $</w:t>
      </w:r>
      <w:r w:rsidR="000009AA" w:rsidRPr="000009AA">
        <w:t>26.1</w:t>
      </w:r>
      <w:r w:rsidRPr="0091453A">
        <w:t xml:space="preserve"> million in </w:t>
      </w:r>
      <w:r w:rsidR="002E516D" w:rsidRPr="0091453A">
        <w:t>ODA</w:t>
      </w:r>
      <w:r w:rsidRPr="0091453A">
        <w:t xml:space="preserve"> to Nauru – equivalent to </w:t>
      </w:r>
      <w:r w:rsidR="000009AA" w:rsidRPr="000009AA">
        <w:t>16</w:t>
      </w:r>
      <w:r w:rsidRPr="000009AA">
        <w:t xml:space="preserve"> per cent</w:t>
      </w:r>
      <w:r w:rsidRPr="0091453A">
        <w:t xml:space="preserve"> of the Government of Nauru’s budget </w:t>
      </w:r>
      <w:r w:rsidR="00F92647" w:rsidRPr="0091453A">
        <w:t xml:space="preserve">expenditure </w:t>
      </w:r>
      <w:r w:rsidRPr="0091453A">
        <w:t xml:space="preserve">of </w:t>
      </w:r>
      <w:r w:rsidRPr="002D04D9">
        <w:t>$</w:t>
      </w:r>
      <w:r w:rsidR="002D04D9" w:rsidRPr="002D04D9">
        <w:t xml:space="preserve">167 </w:t>
      </w:r>
      <w:r w:rsidRPr="002D04D9">
        <w:t>million.</w:t>
      </w:r>
      <w:r w:rsidRPr="00B73F3B">
        <w:t xml:space="preserve"> Australia is Nauru’s major development partner</w:t>
      </w:r>
      <w:r w:rsidR="00CF3A7A" w:rsidRPr="00B73F3B">
        <w:t xml:space="preserve">; other bilateral partners </w:t>
      </w:r>
      <w:r w:rsidR="00CF3A7A" w:rsidRPr="002D04D9">
        <w:t xml:space="preserve">include </w:t>
      </w:r>
      <w:r w:rsidRPr="002D04D9">
        <w:t>Taiwan</w:t>
      </w:r>
      <w:r w:rsidR="002C386C" w:rsidRPr="002D04D9">
        <w:t xml:space="preserve"> </w:t>
      </w:r>
      <w:r w:rsidR="002D04D9" w:rsidRPr="002D04D9">
        <w:t>($12.8</w:t>
      </w:r>
      <w:r w:rsidR="002C386C" w:rsidRPr="002D04D9">
        <w:t xml:space="preserve">m), Japan </w:t>
      </w:r>
      <w:r w:rsidR="002D04D9" w:rsidRPr="002D04D9">
        <w:t>($3.3</w:t>
      </w:r>
      <w:r w:rsidR="002C386C" w:rsidRPr="002D04D9">
        <w:t>m), New Zealand (</w:t>
      </w:r>
      <w:r w:rsidR="002D04D9" w:rsidRPr="002D04D9">
        <w:t>$3.2</w:t>
      </w:r>
      <w:r w:rsidR="002C386C" w:rsidRPr="002D04D9">
        <w:t>m)</w:t>
      </w:r>
      <w:r w:rsidR="00CE2BEE" w:rsidRPr="002D04D9">
        <w:t>,</w:t>
      </w:r>
      <w:r w:rsidRPr="002D04D9">
        <w:t xml:space="preserve"> and the European Union</w:t>
      </w:r>
      <w:r w:rsidR="002C386C" w:rsidRPr="002D04D9">
        <w:t xml:space="preserve"> ($0.6m)</w:t>
      </w:r>
      <w:r w:rsidR="00CE2BEE" w:rsidRPr="002D04D9">
        <w:t>. The Asian Development Bank</w:t>
      </w:r>
      <w:r w:rsidR="002A328A">
        <w:t xml:space="preserve"> (ADB)</w:t>
      </w:r>
      <w:r w:rsidR="0035439D" w:rsidRPr="00B73F3B">
        <w:t xml:space="preserve"> </w:t>
      </w:r>
      <w:r w:rsidRPr="00B73F3B">
        <w:t>and regional instit</w:t>
      </w:r>
      <w:r w:rsidR="00CE2BEE" w:rsidRPr="00B73F3B">
        <w:t>utions</w:t>
      </w:r>
      <w:r w:rsidR="00C24252">
        <w:t xml:space="preserve"> such as </w:t>
      </w:r>
      <w:r w:rsidR="00440982">
        <w:t>the Pacific Region Infrastructure Facility (</w:t>
      </w:r>
      <w:r w:rsidR="00C24252">
        <w:t>PRIF</w:t>
      </w:r>
      <w:r w:rsidR="00440982">
        <w:t>)</w:t>
      </w:r>
      <w:r w:rsidR="00CE2BEE" w:rsidRPr="00B73F3B">
        <w:t xml:space="preserve"> are also key partners</w:t>
      </w:r>
      <w:r w:rsidRPr="00B73F3B">
        <w:t xml:space="preserve"> for Nauru.  </w:t>
      </w:r>
    </w:p>
    <w:p w14:paraId="5F957AE1" w14:textId="77777777" w:rsidR="00235929" w:rsidRPr="00177B49" w:rsidRDefault="00235929" w:rsidP="0091453A">
      <w:pPr>
        <w:spacing w:after="0"/>
      </w:pPr>
      <w:r w:rsidRPr="00B73F3B">
        <w:t xml:space="preserve">The principal </w:t>
      </w:r>
      <w:r w:rsidR="00B73F3B">
        <w:t>deliver</w:t>
      </w:r>
      <w:r w:rsidR="002A328A">
        <w:t>y</w:t>
      </w:r>
      <w:r w:rsidR="00B73F3B">
        <w:t xml:space="preserve"> mechanisms for </w:t>
      </w:r>
      <w:r w:rsidRPr="00B73F3B">
        <w:t>the program</w:t>
      </w:r>
      <w:r w:rsidR="00C24252">
        <w:t xml:space="preserve"> are in-line </w:t>
      </w:r>
      <w:r w:rsidR="002A328A">
        <w:t>adviser</w:t>
      </w:r>
      <w:r w:rsidR="00CE2BEE" w:rsidRPr="00B73F3B">
        <w:t xml:space="preserve">s, direct funding </w:t>
      </w:r>
      <w:r w:rsidR="005858DA" w:rsidRPr="00B73F3B">
        <w:t>through</w:t>
      </w:r>
      <w:r w:rsidR="00CE2BEE" w:rsidRPr="00B73F3B">
        <w:t xml:space="preserve"> government s</w:t>
      </w:r>
      <w:r w:rsidR="00CE2BEE" w:rsidRPr="00177B49">
        <w:t>ystems</w:t>
      </w:r>
      <w:r w:rsidR="005858DA" w:rsidRPr="00177B49">
        <w:t xml:space="preserve"> for implementation of health and education strategic plans</w:t>
      </w:r>
      <w:r w:rsidR="00CE2BEE" w:rsidRPr="00177B49">
        <w:t xml:space="preserve">, and funding of infrastructure both in partnership with the Government </w:t>
      </w:r>
      <w:r w:rsidR="00C42C66" w:rsidRPr="00177B49">
        <w:t xml:space="preserve">of Nauru </w:t>
      </w:r>
      <w:r w:rsidR="00CE2BEE" w:rsidRPr="00177B49">
        <w:t xml:space="preserve">and with the </w:t>
      </w:r>
      <w:r w:rsidR="002A328A" w:rsidRPr="00177B49">
        <w:t>ADB</w:t>
      </w:r>
      <w:r w:rsidR="00CE2BEE" w:rsidRPr="00177B49">
        <w:t xml:space="preserve">. </w:t>
      </w:r>
    </w:p>
    <w:p w14:paraId="04980440" w14:textId="77777777" w:rsidR="00B04FC5" w:rsidRPr="00177B49" w:rsidRDefault="00B04FC5" w:rsidP="0091453A">
      <w:pPr>
        <w:spacing w:after="0"/>
      </w:pPr>
    </w:p>
    <w:p w14:paraId="56E7BE0D" w14:textId="77777777" w:rsidR="000009AA" w:rsidRPr="00177B49" w:rsidRDefault="000009AA" w:rsidP="0091453A">
      <w:pPr>
        <w:spacing w:after="0"/>
      </w:pPr>
    </w:p>
    <w:p w14:paraId="1372D869" w14:textId="77777777" w:rsidR="00184F1E" w:rsidRPr="002A51CA" w:rsidRDefault="00184F1E" w:rsidP="0091453A">
      <w:pPr>
        <w:pStyle w:val="ListBullet"/>
        <w:tabs>
          <w:tab w:val="clear" w:pos="284"/>
        </w:tabs>
        <w:spacing w:before="120"/>
        <w:rPr>
          <w:rFonts w:asciiTheme="majorHAnsi" w:eastAsiaTheme="majorEastAsia" w:hAnsiTheme="majorHAnsi" w:cstheme="majorBidi"/>
          <w:caps/>
          <w:color w:val="495965" w:themeColor="text2"/>
          <w:sz w:val="38"/>
          <w:szCs w:val="26"/>
          <w:lang w:val="en-GB" w:eastAsia="en-US"/>
        </w:rPr>
      </w:pPr>
      <w:r w:rsidRPr="00177B49">
        <w:rPr>
          <w:rFonts w:asciiTheme="majorHAnsi" w:eastAsiaTheme="majorEastAsia" w:hAnsiTheme="majorHAnsi" w:cstheme="majorBidi"/>
          <w:caps/>
          <w:color w:val="495965" w:themeColor="text2"/>
          <w:sz w:val="38"/>
          <w:szCs w:val="26"/>
          <w:lang w:val="en-GB" w:eastAsia="en-US"/>
        </w:rPr>
        <w:t>Expenditure</w:t>
      </w:r>
    </w:p>
    <w:p w14:paraId="37E4E5E6" w14:textId="77777777" w:rsidR="00366F67" w:rsidRDefault="00366F67" w:rsidP="00366F67">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E62850">
        <w:rPr>
          <w:b/>
          <w:noProof/>
          <w:sz w:val="24"/>
        </w:rPr>
        <w:t>1</w:t>
      </w:r>
      <w:r w:rsidRPr="008C2F58">
        <w:rPr>
          <w:b/>
          <w:noProof/>
          <w:sz w:val="24"/>
        </w:rPr>
        <w:fldChar w:fldCharType="end"/>
      </w:r>
      <w:r w:rsidRPr="008C2F58">
        <w:rPr>
          <w:b/>
          <w:sz w:val="24"/>
        </w:rPr>
        <w:t xml:space="preserve"> </w:t>
      </w:r>
      <w:r>
        <w:rPr>
          <w:b/>
          <w:sz w:val="24"/>
        </w:rPr>
        <w:t xml:space="preserve"> </w:t>
      </w:r>
      <w:r w:rsidRPr="008C2F58">
        <w:rPr>
          <w:b/>
          <w:sz w:val="24"/>
        </w:rPr>
        <w:t>Total ODA Expenditure</w:t>
      </w:r>
      <w:r>
        <w:rPr>
          <w:b/>
          <w:sz w:val="24"/>
        </w:rPr>
        <w:t xml:space="preserve"> to Nauru in FY </w:t>
      </w:r>
      <w:r w:rsidRPr="008C2F58">
        <w:rPr>
          <w:b/>
          <w:sz w:val="24"/>
        </w:rPr>
        <w:t>201</w:t>
      </w:r>
      <w:r>
        <w:rPr>
          <w:b/>
          <w:sz w:val="24"/>
        </w:rPr>
        <w:t>7</w:t>
      </w:r>
      <w:r w:rsidRPr="008C2F58">
        <w:rPr>
          <w:b/>
          <w:sz w:val="24"/>
        </w:rPr>
        <w:t>-1</w:t>
      </w:r>
      <w:r>
        <w:rPr>
          <w:b/>
          <w:sz w:val="24"/>
        </w:rPr>
        <w:t>8</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366F67" w14:paraId="6E530704" w14:textId="77777777" w:rsidTr="00FA144B">
        <w:tc>
          <w:tcPr>
            <w:tcW w:w="6374" w:type="dxa"/>
          </w:tcPr>
          <w:p w14:paraId="63547368" w14:textId="77777777" w:rsidR="00366F67" w:rsidRPr="001C208F" w:rsidRDefault="00366F67" w:rsidP="00FA144B">
            <w:pPr>
              <w:spacing w:after="0"/>
              <w:rPr>
                <w:b/>
              </w:rPr>
            </w:pPr>
            <w:r>
              <w:rPr>
                <w:b/>
              </w:rPr>
              <w:t>Objectives</w:t>
            </w:r>
          </w:p>
        </w:tc>
        <w:tc>
          <w:tcPr>
            <w:tcW w:w="1423" w:type="dxa"/>
          </w:tcPr>
          <w:p w14:paraId="39DC483B" w14:textId="77777777" w:rsidR="00366F67" w:rsidRPr="000C77F6" w:rsidRDefault="00366F67" w:rsidP="00FA144B">
            <w:pPr>
              <w:rPr>
                <w:b/>
                <w:sz w:val="24"/>
              </w:rPr>
            </w:pPr>
            <w:r w:rsidRPr="001C208F">
              <w:rPr>
                <w:b/>
                <w:sz w:val="20"/>
              </w:rPr>
              <w:t>A$ million</w:t>
            </w:r>
          </w:p>
        </w:tc>
        <w:tc>
          <w:tcPr>
            <w:tcW w:w="1417" w:type="dxa"/>
          </w:tcPr>
          <w:p w14:paraId="52CBC50B" w14:textId="77777777" w:rsidR="00366F67" w:rsidRPr="000C77F6" w:rsidRDefault="00366F67" w:rsidP="00FA144B">
            <w:pPr>
              <w:jc w:val="center"/>
              <w:rPr>
                <w:b/>
                <w:sz w:val="24"/>
              </w:rPr>
            </w:pPr>
            <w:r w:rsidRPr="001C208F">
              <w:rPr>
                <w:b/>
                <w:sz w:val="20"/>
              </w:rPr>
              <w:t>% of total ODA</w:t>
            </w:r>
          </w:p>
        </w:tc>
      </w:tr>
      <w:tr w:rsidR="00366F67" w14:paraId="3DA372F7" w14:textId="77777777" w:rsidTr="00FA144B">
        <w:tc>
          <w:tcPr>
            <w:tcW w:w="6374" w:type="dxa"/>
          </w:tcPr>
          <w:p w14:paraId="0241245C" w14:textId="77777777" w:rsidR="00366F67" w:rsidRPr="003222ED" w:rsidRDefault="00366F67" w:rsidP="00FA144B">
            <w:pPr>
              <w:rPr>
                <w:b/>
              </w:rPr>
            </w:pPr>
            <w:r w:rsidRPr="003222ED">
              <w:t xml:space="preserve">1 </w:t>
            </w:r>
            <w:r>
              <w:t xml:space="preserve"> </w:t>
            </w:r>
            <w:r w:rsidRPr="003222ED">
              <w:t xml:space="preserve"> Public Sector </w:t>
            </w:r>
            <w:r>
              <w:t xml:space="preserve">Management  </w:t>
            </w:r>
            <w:r w:rsidRPr="008A33E9">
              <w:rPr>
                <w:sz w:val="20"/>
                <w:szCs w:val="20"/>
              </w:rPr>
              <w:t xml:space="preserve">(including </w:t>
            </w:r>
            <w:r w:rsidR="00C42C66">
              <w:rPr>
                <w:sz w:val="20"/>
                <w:szCs w:val="20"/>
              </w:rPr>
              <w:t xml:space="preserve">the </w:t>
            </w:r>
            <w:r w:rsidRPr="008A33E9">
              <w:rPr>
                <w:sz w:val="20"/>
                <w:szCs w:val="20"/>
              </w:rPr>
              <w:t>Nauru Trust Fund)</w:t>
            </w:r>
          </w:p>
        </w:tc>
        <w:tc>
          <w:tcPr>
            <w:tcW w:w="1423" w:type="dxa"/>
          </w:tcPr>
          <w:p w14:paraId="181C934C" w14:textId="77777777" w:rsidR="00366F67" w:rsidRDefault="00360489" w:rsidP="00FA144B">
            <w:pPr>
              <w:jc w:val="center"/>
              <w:rPr>
                <w:b/>
                <w:sz w:val="24"/>
              </w:rPr>
            </w:pPr>
            <w:r>
              <w:rPr>
                <w:sz w:val="24"/>
              </w:rPr>
              <w:t>3.3</w:t>
            </w:r>
          </w:p>
        </w:tc>
        <w:tc>
          <w:tcPr>
            <w:tcW w:w="1417" w:type="dxa"/>
          </w:tcPr>
          <w:p w14:paraId="1B4B9518" w14:textId="77777777" w:rsidR="00366F67" w:rsidRDefault="009D5848" w:rsidP="00FA144B">
            <w:pPr>
              <w:jc w:val="center"/>
              <w:rPr>
                <w:b/>
                <w:sz w:val="24"/>
              </w:rPr>
            </w:pPr>
            <w:r>
              <w:rPr>
                <w:sz w:val="24"/>
              </w:rPr>
              <w:t>13</w:t>
            </w:r>
          </w:p>
        </w:tc>
      </w:tr>
      <w:tr w:rsidR="00366F67" w14:paraId="215059EF" w14:textId="77777777" w:rsidTr="00FA144B">
        <w:tc>
          <w:tcPr>
            <w:tcW w:w="6374" w:type="dxa"/>
          </w:tcPr>
          <w:p w14:paraId="427E3EE1" w14:textId="77777777" w:rsidR="00366F67" w:rsidRPr="003222ED" w:rsidRDefault="00366F67" w:rsidP="00FA144B">
            <w:pPr>
              <w:rPr>
                <w:b/>
              </w:rPr>
            </w:pPr>
            <w:r w:rsidRPr="003222ED">
              <w:t xml:space="preserve">2 </w:t>
            </w:r>
            <w:r>
              <w:t xml:space="preserve"> </w:t>
            </w:r>
            <w:r w:rsidRPr="003222ED">
              <w:t xml:space="preserve"> </w:t>
            </w:r>
            <w:r>
              <w:t xml:space="preserve">Infrastructure </w:t>
            </w:r>
          </w:p>
        </w:tc>
        <w:tc>
          <w:tcPr>
            <w:tcW w:w="1423" w:type="dxa"/>
          </w:tcPr>
          <w:p w14:paraId="003F0CB8" w14:textId="77777777" w:rsidR="00366F67" w:rsidRDefault="00360489" w:rsidP="00FA144B">
            <w:pPr>
              <w:jc w:val="center"/>
              <w:rPr>
                <w:b/>
                <w:sz w:val="24"/>
              </w:rPr>
            </w:pPr>
            <w:r>
              <w:rPr>
                <w:sz w:val="24"/>
              </w:rPr>
              <w:t>9</w:t>
            </w:r>
            <w:r w:rsidR="00366F67" w:rsidRPr="00A716D8">
              <w:rPr>
                <w:sz w:val="24"/>
              </w:rPr>
              <w:t>.6</w:t>
            </w:r>
          </w:p>
        </w:tc>
        <w:tc>
          <w:tcPr>
            <w:tcW w:w="1417" w:type="dxa"/>
          </w:tcPr>
          <w:p w14:paraId="0DD78D31" w14:textId="77777777" w:rsidR="00366F67" w:rsidRDefault="009D5848" w:rsidP="00FA144B">
            <w:pPr>
              <w:jc w:val="center"/>
              <w:rPr>
                <w:b/>
                <w:sz w:val="24"/>
              </w:rPr>
            </w:pPr>
            <w:r>
              <w:rPr>
                <w:sz w:val="24"/>
              </w:rPr>
              <w:t>37</w:t>
            </w:r>
          </w:p>
        </w:tc>
      </w:tr>
      <w:tr w:rsidR="00366F67" w14:paraId="62426CA7" w14:textId="77777777" w:rsidTr="00FA144B">
        <w:tc>
          <w:tcPr>
            <w:tcW w:w="6374" w:type="dxa"/>
          </w:tcPr>
          <w:p w14:paraId="2296F276" w14:textId="77777777" w:rsidR="00366F67" w:rsidRPr="003222ED" w:rsidRDefault="00366F67" w:rsidP="00FA144B">
            <w:pPr>
              <w:rPr>
                <w:b/>
              </w:rPr>
            </w:pPr>
            <w:r w:rsidRPr="003222ED">
              <w:t>3</w:t>
            </w:r>
            <w:r>
              <w:t>.a</w:t>
            </w:r>
            <w:r w:rsidRPr="003222ED">
              <w:t xml:space="preserve">  </w:t>
            </w:r>
            <w:r>
              <w:t>Human development:</w:t>
            </w:r>
            <w:r w:rsidRPr="003222ED">
              <w:t xml:space="preserve"> Education</w:t>
            </w:r>
          </w:p>
        </w:tc>
        <w:tc>
          <w:tcPr>
            <w:tcW w:w="1423" w:type="dxa"/>
          </w:tcPr>
          <w:p w14:paraId="13E04D3F" w14:textId="77777777" w:rsidR="00366F67" w:rsidRDefault="00360489" w:rsidP="00FA144B">
            <w:pPr>
              <w:jc w:val="center"/>
              <w:rPr>
                <w:b/>
                <w:sz w:val="24"/>
              </w:rPr>
            </w:pPr>
            <w:r>
              <w:rPr>
                <w:sz w:val="24"/>
              </w:rPr>
              <w:t>3.6</w:t>
            </w:r>
          </w:p>
        </w:tc>
        <w:tc>
          <w:tcPr>
            <w:tcW w:w="1417" w:type="dxa"/>
          </w:tcPr>
          <w:p w14:paraId="1F001C17" w14:textId="77777777" w:rsidR="00366F67" w:rsidRDefault="00366F67" w:rsidP="00FA144B">
            <w:pPr>
              <w:jc w:val="center"/>
              <w:rPr>
                <w:b/>
                <w:sz w:val="24"/>
              </w:rPr>
            </w:pPr>
            <w:r>
              <w:rPr>
                <w:sz w:val="24"/>
              </w:rPr>
              <w:t>14</w:t>
            </w:r>
          </w:p>
        </w:tc>
      </w:tr>
      <w:tr w:rsidR="00366F67" w14:paraId="6972FEB1" w14:textId="77777777" w:rsidTr="00FA144B">
        <w:tc>
          <w:tcPr>
            <w:tcW w:w="6374" w:type="dxa"/>
          </w:tcPr>
          <w:p w14:paraId="294F3BC1" w14:textId="77777777" w:rsidR="00366F67" w:rsidRPr="003222ED" w:rsidRDefault="00366F67" w:rsidP="00FA144B">
            <w:pPr>
              <w:rPr>
                <w:b/>
              </w:rPr>
            </w:pPr>
            <w:r w:rsidRPr="003222ED">
              <w:t>3</w:t>
            </w:r>
            <w:r>
              <w:t xml:space="preserve">.b </w:t>
            </w:r>
            <w:r w:rsidRPr="003222ED">
              <w:t xml:space="preserve"> </w:t>
            </w:r>
            <w:r>
              <w:t xml:space="preserve">Human development: </w:t>
            </w:r>
            <w:r w:rsidRPr="003222ED">
              <w:t>Health</w:t>
            </w:r>
          </w:p>
        </w:tc>
        <w:tc>
          <w:tcPr>
            <w:tcW w:w="1423" w:type="dxa"/>
          </w:tcPr>
          <w:p w14:paraId="5FB422F8" w14:textId="77777777" w:rsidR="00366F67" w:rsidRDefault="00360489" w:rsidP="00FA144B">
            <w:pPr>
              <w:jc w:val="center"/>
              <w:rPr>
                <w:b/>
                <w:sz w:val="24"/>
              </w:rPr>
            </w:pPr>
            <w:r>
              <w:rPr>
                <w:sz w:val="24"/>
              </w:rPr>
              <w:t>0.6</w:t>
            </w:r>
          </w:p>
        </w:tc>
        <w:tc>
          <w:tcPr>
            <w:tcW w:w="1417" w:type="dxa"/>
          </w:tcPr>
          <w:p w14:paraId="1CAE655A" w14:textId="77777777" w:rsidR="00366F67" w:rsidRDefault="009D5848" w:rsidP="00FA144B">
            <w:pPr>
              <w:jc w:val="center"/>
              <w:rPr>
                <w:b/>
                <w:sz w:val="24"/>
              </w:rPr>
            </w:pPr>
            <w:r>
              <w:rPr>
                <w:sz w:val="24"/>
              </w:rPr>
              <w:t>2</w:t>
            </w:r>
          </w:p>
        </w:tc>
      </w:tr>
      <w:tr w:rsidR="00366F67" w14:paraId="7EC52EDF" w14:textId="77777777" w:rsidTr="00FA144B">
        <w:tc>
          <w:tcPr>
            <w:tcW w:w="6374" w:type="dxa"/>
          </w:tcPr>
          <w:p w14:paraId="7BA1B3B3" w14:textId="77777777" w:rsidR="00366F67" w:rsidRPr="003222ED" w:rsidRDefault="009D5848" w:rsidP="00BD2D67">
            <w:pPr>
              <w:spacing w:after="0"/>
              <w:rPr>
                <w:b/>
              </w:rPr>
            </w:pPr>
            <w:r>
              <w:t>General Development Support</w:t>
            </w:r>
            <w:r w:rsidR="00EF5C88">
              <w:t xml:space="preserve"> </w:t>
            </w:r>
            <w:r w:rsidR="00EF5C88" w:rsidRPr="00E71866">
              <w:rPr>
                <w:sz w:val="20"/>
                <w:szCs w:val="20"/>
              </w:rPr>
              <w:t>(</w:t>
            </w:r>
            <w:r w:rsidR="00BD2D67" w:rsidRPr="00E71866">
              <w:rPr>
                <w:sz w:val="20"/>
                <w:szCs w:val="20"/>
              </w:rPr>
              <w:t>Program</w:t>
            </w:r>
            <w:r w:rsidR="00EF5C88" w:rsidRPr="00E71866">
              <w:rPr>
                <w:sz w:val="20"/>
                <w:szCs w:val="20"/>
              </w:rPr>
              <w:t xml:space="preserve"> support services)</w:t>
            </w:r>
          </w:p>
        </w:tc>
        <w:tc>
          <w:tcPr>
            <w:tcW w:w="1423" w:type="dxa"/>
          </w:tcPr>
          <w:p w14:paraId="0577CD59" w14:textId="77777777" w:rsidR="00366F67" w:rsidRDefault="00360489" w:rsidP="00FA144B">
            <w:pPr>
              <w:jc w:val="center"/>
              <w:rPr>
                <w:b/>
                <w:sz w:val="24"/>
              </w:rPr>
            </w:pPr>
            <w:r>
              <w:rPr>
                <w:sz w:val="24"/>
              </w:rPr>
              <w:t>4.1</w:t>
            </w:r>
          </w:p>
        </w:tc>
        <w:tc>
          <w:tcPr>
            <w:tcW w:w="1417" w:type="dxa"/>
          </w:tcPr>
          <w:p w14:paraId="600D716C" w14:textId="77777777" w:rsidR="00366F67" w:rsidRDefault="009D5848" w:rsidP="00FA144B">
            <w:pPr>
              <w:jc w:val="center"/>
              <w:rPr>
                <w:b/>
                <w:sz w:val="24"/>
              </w:rPr>
            </w:pPr>
            <w:r>
              <w:rPr>
                <w:sz w:val="24"/>
              </w:rPr>
              <w:t>16</w:t>
            </w:r>
          </w:p>
        </w:tc>
      </w:tr>
      <w:tr w:rsidR="00366F67" w14:paraId="7F3CBA1B" w14:textId="77777777" w:rsidTr="00FA144B">
        <w:tc>
          <w:tcPr>
            <w:tcW w:w="6374" w:type="dxa"/>
          </w:tcPr>
          <w:p w14:paraId="6DA41DC4" w14:textId="381F03FF" w:rsidR="00366F67" w:rsidRPr="003222ED" w:rsidRDefault="00366F67" w:rsidP="00FA144B">
            <w:pPr>
              <w:rPr>
                <w:b/>
              </w:rPr>
            </w:pPr>
            <w:r w:rsidRPr="003222ED">
              <w:rPr>
                <w:b/>
              </w:rPr>
              <w:t>Sub-Total Bilateral</w:t>
            </w:r>
            <w:r w:rsidR="004D2C45">
              <w:rPr>
                <w:b/>
              </w:rPr>
              <w:t xml:space="preserve"> </w:t>
            </w:r>
            <w:r w:rsidR="004D2C45" w:rsidRPr="0053157C">
              <w:rPr>
                <w:sz w:val="20"/>
                <w:szCs w:val="20"/>
              </w:rPr>
              <w:t>(rounded)</w:t>
            </w:r>
          </w:p>
        </w:tc>
        <w:tc>
          <w:tcPr>
            <w:tcW w:w="1423" w:type="dxa"/>
          </w:tcPr>
          <w:p w14:paraId="4C16D2AD" w14:textId="77777777" w:rsidR="00366F67" w:rsidRDefault="00360489" w:rsidP="00FA144B">
            <w:pPr>
              <w:jc w:val="center"/>
              <w:rPr>
                <w:b/>
                <w:sz w:val="24"/>
              </w:rPr>
            </w:pPr>
            <w:r>
              <w:rPr>
                <w:b/>
                <w:sz w:val="24"/>
              </w:rPr>
              <w:t>21</w:t>
            </w:r>
            <w:r w:rsidR="00366F67">
              <w:rPr>
                <w:b/>
                <w:sz w:val="24"/>
              </w:rPr>
              <w:t>.2</w:t>
            </w:r>
          </w:p>
        </w:tc>
        <w:tc>
          <w:tcPr>
            <w:tcW w:w="1417" w:type="dxa"/>
          </w:tcPr>
          <w:p w14:paraId="229D1509" w14:textId="77777777" w:rsidR="00366F67" w:rsidRDefault="009D5848" w:rsidP="00FA144B">
            <w:pPr>
              <w:jc w:val="center"/>
              <w:rPr>
                <w:b/>
                <w:sz w:val="24"/>
              </w:rPr>
            </w:pPr>
            <w:r>
              <w:rPr>
                <w:b/>
                <w:sz w:val="24"/>
              </w:rPr>
              <w:t>81</w:t>
            </w:r>
          </w:p>
        </w:tc>
      </w:tr>
      <w:tr w:rsidR="00366F67" w14:paraId="1E173A8F" w14:textId="77777777" w:rsidTr="00FA144B">
        <w:tc>
          <w:tcPr>
            <w:tcW w:w="6374" w:type="dxa"/>
          </w:tcPr>
          <w:p w14:paraId="57BC94B8" w14:textId="77777777" w:rsidR="00366F67" w:rsidRPr="003222ED" w:rsidRDefault="00366F67" w:rsidP="00FA144B">
            <w:pPr>
              <w:spacing w:before="60"/>
            </w:pPr>
            <w:r w:rsidRPr="003222ED">
              <w:t>Regional</w:t>
            </w:r>
          </w:p>
        </w:tc>
        <w:tc>
          <w:tcPr>
            <w:tcW w:w="1423" w:type="dxa"/>
          </w:tcPr>
          <w:p w14:paraId="78A23ADF" w14:textId="77777777" w:rsidR="00366F67" w:rsidRPr="003222ED" w:rsidRDefault="00360489" w:rsidP="00FA144B">
            <w:pPr>
              <w:spacing w:before="60"/>
              <w:jc w:val="center"/>
              <w:rPr>
                <w:sz w:val="24"/>
              </w:rPr>
            </w:pPr>
            <w:r>
              <w:rPr>
                <w:sz w:val="24"/>
              </w:rPr>
              <w:t>3.0</w:t>
            </w:r>
          </w:p>
        </w:tc>
        <w:tc>
          <w:tcPr>
            <w:tcW w:w="1417" w:type="dxa"/>
          </w:tcPr>
          <w:p w14:paraId="02B969A9" w14:textId="77777777" w:rsidR="00366F67" w:rsidRPr="003222ED" w:rsidRDefault="009D5848" w:rsidP="00FA144B">
            <w:pPr>
              <w:spacing w:before="60"/>
              <w:jc w:val="center"/>
              <w:rPr>
                <w:sz w:val="24"/>
              </w:rPr>
            </w:pPr>
            <w:r>
              <w:rPr>
                <w:sz w:val="24"/>
              </w:rPr>
              <w:t>11</w:t>
            </w:r>
          </w:p>
        </w:tc>
      </w:tr>
      <w:tr w:rsidR="00366F67" w14:paraId="28DBB984" w14:textId="77777777" w:rsidTr="00FA144B">
        <w:tc>
          <w:tcPr>
            <w:tcW w:w="6374" w:type="dxa"/>
          </w:tcPr>
          <w:p w14:paraId="7C2E4256" w14:textId="77777777" w:rsidR="00366F67" w:rsidRPr="003222ED" w:rsidRDefault="00366F67" w:rsidP="00FA144B">
            <w:pPr>
              <w:spacing w:before="0"/>
            </w:pPr>
            <w:r>
              <w:t>Other g</w:t>
            </w:r>
            <w:r w:rsidRPr="003222ED">
              <w:t xml:space="preserve">overnment </w:t>
            </w:r>
            <w:r>
              <w:t>d</w:t>
            </w:r>
            <w:r w:rsidRPr="003222ED">
              <w:t>epartments</w:t>
            </w:r>
          </w:p>
        </w:tc>
        <w:tc>
          <w:tcPr>
            <w:tcW w:w="1423" w:type="dxa"/>
          </w:tcPr>
          <w:p w14:paraId="15B3CB8A" w14:textId="77777777" w:rsidR="00366F67" w:rsidRPr="003222ED" w:rsidRDefault="00360489" w:rsidP="00FA144B">
            <w:pPr>
              <w:spacing w:before="60"/>
              <w:jc w:val="center"/>
              <w:rPr>
                <w:sz w:val="24"/>
              </w:rPr>
            </w:pPr>
            <w:r>
              <w:rPr>
                <w:sz w:val="24"/>
              </w:rPr>
              <w:t>1.8</w:t>
            </w:r>
          </w:p>
        </w:tc>
        <w:tc>
          <w:tcPr>
            <w:tcW w:w="1417" w:type="dxa"/>
          </w:tcPr>
          <w:p w14:paraId="2D942EFF" w14:textId="77777777" w:rsidR="00366F67" w:rsidRPr="003222ED" w:rsidRDefault="009D5848" w:rsidP="00FA144B">
            <w:pPr>
              <w:spacing w:before="60"/>
              <w:jc w:val="center"/>
              <w:rPr>
                <w:sz w:val="24"/>
              </w:rPr>
            </w:pPr>
            <w:r>
              <w:rPr>
                <w:sz w:val="24"/>
              </w:rPr>
              <w:t>7</w:t>
            </w:r>
          </w:p>
        </w:tc>
      </w:tr>
      <w:tr w:rsidR="00366F67" w14:paraId="6A2AE376" w14:textId="77777777" w:rsidTr="00FA144B">
        <w:tc>
          <w:tcPr>
            <w:tcW w:w="6374" w:type="dxa"/>
          </w:tcPr>
          <w:p w14:paraId="1068BE5E" w14:textId="1925687E" w:rsidR="00366F67" w:rsidRPr="003222ED" w:rsidRDefault="00366F67" w:rsidP="00FA144B">
            <w:pPr>
              <w:spacing w:before="0"/>
              <w:rPr>
                <w:b/>
              </w:rPr>
            </w:pPr>
            <w:r w:rsidRPr="003222ED">
              <w:rPr>
                <w:b/>
              </w:rPr>
              <w:t>Total ODA Expenditure</w:t>
            </w:r>
            <w:r w:rsidR="004D2C45">
              <w:rPr>
                <w:b/>
              </w:rPr>
              <w:t xml:space="preserve"> </w:t>
            </w:r>
            <w:r w:rsidR="004D2C45" w:rsidRPr="0053157C">
              <w:rPr>
                <w:sz w:val="20"/>
                <w:szCs w:val="20"/>
              </w:rPr>
              <w:t>(rounded)</w:t>
            </w:r>
          </w:p>
        </w:tc>
        <w:tc>
          <w:tcPr>
            <w:tcW w:w="1423" w:type="dxa"/>
          </w:tcPr>
          <w:p w14:paraId="1D5BE595" w14:textId="77777777" w:rsidR="00366F67" w:rsidRDefault="00360489" w:rsidP="00FA144B">
            <w:pPr>
              <w:spacing w:before="60"/>
              <w:jc w:val="center"/>
              <w:rPr>
                <w:b/>
                <w:sz w:val="24"/>
              </w:rPr>
            </w:pPr>
            <w:r>
              <w:rPr>
                <w:b/>
                <w:sz w:val="24"/>
              </w:rPr>
              <w:t>26.1</w:t>
            </w:r>
          </w:p>
        </w:tc>
        <w:tc>
          <w:tcPr>
            <w:tcW w:w="1417" w:type="dxa"/>
          </w:tcPr>
          <w:p w14:paraId="698338E7" w14:textId="77777777" w:rsidR="00366F67" w:rsidRDefault="00366F67" w:rsidP="00FA144B">
            <w:pPr>
              <w:spacing w:before="60"/>
              <w:jc w:val="center"/>
              <w:rPr>
                <w:b/>
                <w:sz w:val="24"/>
              </w:rPr>
            </w:pPr>
            <w:r>
              <w:rPr>
                <w:b/>
                <w:sz w:val="24"/>
              </w:rPr>
              <w:t>100</w:t>
            </w:r>
          </w:p>
        </w:tc>
      </w:tr>
    </w:tbl>
    <w:p w14:paraId="0A651524" w14:textId="77777777" w:rsidR="002D04D9" w:rsidRDefault="002D04D9" w:rsidP="002A4A0E">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62E8AF70" w14:textId="77777777" w:rsidR="005B5769" w:rsidRPr="00A3734B" w:rsidRDefault="005B5769" w:rsidP="002A4A0E">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A3734B">
        <w:rPr>
          <w:rFonts w:asciiTheme="majorHAnsi" w:eastAsiaTheme="majorEastAsia" w:hAnsiTheme="majorHAnsi" w:cstheme="majorBidi"/>
          <w:caps/>
          <w:color w:val="495965" w:themeColor="text2"/>
          <w:sz w:val="38"/>
          <w:szCs w:val="26"/>
          <w:lang w:val="en-GB" w:eastAsia="en-US"/>
        </w:rPr>
        <w:t>Performance against Strategic Objectives</w:t>
      </w:r>
    </w:p>
    <w:tbl>
      <w:tblPr>
        <w:tblStyle w:val="APPR"/>
        <w:tblW w:w="5000" w:type="pct"/>
        <w:tblLook w:val="0000" w:firstRow="0" w:lastRow="0" w:firstColumn="0" w:lastColumn="0" w:noHBand="0" w:noVBand="0"/>
      </w:tblPr>
      <w:tblGrid>
        <w:gridCol w:w="5387"/>
        <w:gridCol w:w="1588"/>
        <w:gridCol w:w="430"/>
        <w:gridCol w:w="1526"/>
        <w:gridCol w:w="707"/>
      </w:tblGrid>
      <w:tr w:rsidR="002A4A0E" w:rsidRPr="00812509" w14:paraId="12253244" w14:textId="77777777" w:rsidTr="00714D1F">
        <w:trPr>
          <w:cnfStyle w:val="000000010000" w:firstRow="0" w:lastRow="0" w:firstColumn="0" w:lastColumn="0" w:oddVBand="0" w:evenVBand="0" w:oddHBand="0" w:evenHBand="1" w:firstRowFirstColumn="0" w:firstRowLastColumn="0" w:lastRowFirstColumn="0" w:lastRowLastColumn="0"/>
          <w:trHeight w:val="651"/>
        </w:trPr>
        <w:tc>
          <w:tcPr>
            <w:tcW w:w="5345" w:type="dxa"/>
          </w:tcPr>
          <w:p w14:paraId="139F3FB8" w14:textId="77777777" w:rsidR="002A4A0E" w:rsidRPr="00812509" w:rsidRDefault="002A4A0E" w:rsidP="00E65105">
            <w:pPr>
              <w:pStyle w:val="TableTextColumnHeading"/>
            </w:pPr>
            <w:r w:rsidRPr="00812509">
              <w:rPr>
                <w:noProof/>
              </w:rPr>
              <w:drawing>
                <wp:anchor distT="0" distB="0" distL="114300" distR="114300" simplePos="0" relativeHeight="251674624" behindDoc="0" locked="0" layoutInCell="1" allowOverlap="1" wp14:anchorId="6E74471C" wp14:editId="7DD8FCC5">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560" w:type="dxa"/>
          </w:tcPr>
          <w:p w14:paraId="5F5C3C20" w14:textId="77777777" w:rsidR="002A4A0E" w:rsidRPr="00812509" w:rsidRDefault="002A4A0E" w:rsidP="00E65105">
            <w:pPr>
              <w:pStyle w:val="TableTextColumnHeading"/>
            </w:pPr>
            <w:r w:rsidRPr="00812509">
              <w:t>Previous Rating</w:t>
            </w:r>
          </w:p>
        </w:tc>
        <w:tc>
          <w:tcPr>
            <w:tcW w:w="402" w:type="dxa"/>
          </w:tcPr>
          <w:p w14:paraId="707B7FFF" w14:textId="77777777" w:rsidR="002A4A0E" w:rsidRPr="00812509" w:rsidRDefault="002A4A0E" w:rsidP="00E65105">
            <w:pPr>
              <w:pStyle w:val="TableTextColumnHeading"/>
            </w:pPr>
          </w:p>
        </w:tc>
        <w:tc>
          <w:tcPr>
            <w:tcW w:w="1498" w:type="dxa"/>
          </w:tcPr>
          <w:p w14:paraId="4CEA5AD0" w14:textId="77777777" w:rsidR="002A4A0E" w:rsidRPr="00812509" w:rsidRDefault="002A4A0E" w:rsidP="00E65105">
            <w:pPr>
              <w:pStyle w:val="TableTextColumnHeading"/>
            </w:pPr>
            <w:r w:rsidRPr="00812509">
              <w:t>Current Rating</w:t>
            </w:r>
          </w:p>
        </w:tc>
        <w:tc>
          <w:tcPr>
            <w:tcW w:w="665" w:type="dxa"/>
          </w:tcPr>
          <w:p w14:paraId="55AABD18" w14:textId="77777777" w:rsidR="002A4A0E" w:rsidRPr="002A4A0E" w:rsidRDefault="002A4A0E" w:rsidP="00E65105">
            <w:pPr>
              <w:pStyle w:val="TableTextColumnHeading"/>
            </w:pPr>
          </w:p>
        </w:tc>
      </w:tr>
      <w:tr w:rsidR="005E0D42" w:rsidRPr="00812509" w14:paraId="0AB1637A" w14:textId="77777777" w:rsidTr="00234453">
        <w:trPr>
          <w:cnfStyle w:val="000000010000" w:firstRow="0" w:lastRow="0" w:firstColumn="0" w:lastColumn="0" w:oddVBand="0" w:evenVBand="0" w:oddHBand="0" w:evenHBand="1" w:firstRowFirstColumn="0" w:firstRowLastColumn="0" w:lastRowFirstColumn="0" w:lastRowLastColumn="0"/>
        </w:trPr>
        <w:tc>
          <w:tcPr>
            <w:tcW w:w="5345" w:type="dxa"/>
          </w:tcPr>
          <w:p w14:paraId="38060770" w14:textId="77777777" w:rsidR="002A4A0E" w:rsidRPr="00812509" w:rsidRDefault="002A4A0E" w:rsidP="00234453">
            <w:pPr>
              <w:pStyle w:val="TableTextEntries"/>
              <w:rPr>
                <w:rFonts w:asciiTheme="minorHAnsi" w:hAnsiTheme="minorHAnsi"/>
              </w:rPr>
            </w:pPr>
            <w:r w:rsidRPr="00812509">
              <w:rPr>
                <w:rFonts w:asciiTheme="minorHAnsi" w:hAnsiTheme="minorHAnsi"/>
              </w:rPr>
              <w:t>Objective 1</w:t>
            </w:r>
            <w:r w:rsidR="005F395C">
              <w:rPr>
                <w:lang w:val="en-US"/>
              </w:rPr>
              <w:t xml:space="preserve">   </w:t>
            </w:r>
            <w:r w:rsidR="005F395C">
              <w:rPr>
                <w:rFonts w:asciiTheme="minorHAnsi" w:hAnsiTheme="minorHAnsi"/>
              </w:rPr>
              <w:t xml:space="preserve">Public </w:t>
            </w:r>
            <w:r w:rsidR="00234453">
              <w:rPr>
                <w:rFonts w:asciiTheme="minorHAnsi" w:hAnsiTheme="minorHAnsi"/>
              </w:rPr>
              <w:t>s</w:t>
            </w:r>
            <w:r w:rsidR="005F395C">
              <w:rPr>
                <w:rFonts w:asciiTheme="minorHAnsi" w:hAnsiTheme="minorHAnsi"/>
              </w:rPr>
              <w:t xml:space="preserve">ector </w:t>
            </w:r>
            <w:r w:rsidR="00234453">
              <w:rPr>
                <w:rFonts w:asciiTheme="minorHAnsi" w:hAnsiTheme="minorHAnsi"/>
              </w:rPr>
              <w:t>m</w:t>
            </w:r>
            <w:r w:rsidR="005F395C">
              <w:rPr>
                <w:rFonts w:asciiTheme="minorHAnsi" w:hAnsiTheme="minorHAnsi"/>
              </w:rPr>
              <w:t>anagement</w:t>
            </w:r>
          </w:p>
        </w:tc>
        <w:tc>
          <w:tcPr>
            <w:tcW w:w="1560" w:type="dxa"/>
            <w:shd w:val="clear" w:color="auto" w:fill="72AF2F"/>
            <w:noWrap/>
          </w:tcPr>
          <w:p w14:paraId="5A581805" w14:textId="77777777" w:rsidR="002A4A0E" w:rsidRPr="00812509" w:rsidRDefault="002A4A0E" w:rsidP="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402" w:type="dxa"/>
          </w:tcPr>
          <w:p w14:paraId="009E6AD6" w14:textId="77777777" w:rsidR="002A4A0E" w:rsidRPr="00812509" w:rsidRDefault="002A4A0E" w:rsidP="007A6119">
            <w:pPr>
              <w:pStyle w:val="TableTextEntries"/>
              <w:jc w:val="center"/>
              <w:rPr>
                <w:rFonts w:asciiTheme="minorHAnsi" w:hAnsiTheme="minorHAnsi"/>
                <w:color w:val="FFFFFF" w:themeColor="background1"/>
              </w:rPr>
            </w:pPr>
          </w:p>
        </w:tc>
        <w:tc>
          <w:tcPr>
            <w:tcW w:w="1498" w:type="dxa"/>
            <w:shd w:val="clear" w:color="auto" w:fill="7FB64D" w:themeFill="accent3" w:themeFillShade="BF"/>
            <w:noWrap/>
          </w:tcPr>
          <w:p w14:paraId="58754040" w14:textId="77777777" w:rsidR="002A4A0E" w:rsidRPr="00812509" w:rsidRDefault="008A33E9">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665" w:type="dxa"/>
            <w:shd w:val="clear" w:color="auto" w:fill="auto"/>
          </w:tcPr>
          <w:p w14:paraId="252EAD0C" w14:textId="77777777" w:rsidR="002A4A0E" w:rsidRPr="002A4A0E" w:rsidRDefault="002A4A0E" w:rsidP="00184F1E">
            <w:pPr>
              <w:pStyle w:val="TableTextEntries"/>
              <w:jc w:val="center"/>
              <w:rPr>
                <w:rFonts w:asciiTheme="minorHAnsi" w:hAnsiTheme="minorHAnsi"/>
                <w:color w:val="FFFFFF" w:themeColor="background1"/>
              </w:rPr>
            </w:pPr>
          </w:p>
        </w:tc>
      </w:tr>
      <w:tr w:rsidR="005E0D42" w:rsidRPr="00812509" w14:paraId="44032B14" w14:textId="77777777" w:rsidTr="00234453">
        <w:trPr>
          <w:cnfStyle w:val="000000010000" w:firstRow="0" w:lastRow="0" w:firstColumn="0" w:lastColumn="0" w:oddVBand="0" w:evenVBand="0" w:oddHBand="0" w:evenHBand="1" w:firstRowFirstColumn="0" w:firstRowLastColumn="0" w:lastRowFirstColumn="0" w:lastRowLastColumn="0"/>
        </w:trPr>
        <w:tc>
          <w:tcPr>
            <w:tcW w:w="5345" w:type="dxa"/>
          </w:tcPr>
          <w:p w14:paraId="5242090D" w14:textId="77777777" w:rsidR="00417E6D" w:rsidRPr="00812509" w:rsidRDefault="00417E6D" w:rsidP="00234453">
            <w:pPr>
              <w:pStyle w:val="TableTextEntries"/>
              <w:rPr>
                <w:rFonts w:asciiTheme="minorHAnsi" w:hAnsiTheme="minorHAnsi"/>
              </w:rPr>
            </w:pPr>
            <w:r w:rsidRPr="00812509">
              <w:rPr>
                <w:rFonts w:asciiTheme="minorHAnsi" w:hAnsiTheme="minorHAnsi"/>
              </w:rPr>
              <w:t>Objective 2</w:t>
            </w:r>
            <w:r>
              <w:rPr>
                <w:rFonts w:asciiTheme="minorHAnsi" w:hAnsiTheme="minorHAnsi"/>
              </w:rPr>
              <w:t xml:space="preserve"> </w:t>
            </w:r>
            <w:r>
              <w:rPr>
                <w:lang w:val="en-US"/>
              </w:rPr>
              <w:t xml:space="preserve">  </w:t>
            </w:r>
            <w:r>
              <w:rPr>
                <w:rFonts w:asciiTheme="minorHAnsi" w:hAnsiTheme="minorHAnsi"/>
              </w:rPr>
              <w:t>Infrastructure</w:t>
            </w:r>
          </w:p>
        </w:tc>
        <w:tc>
          <w:tcPr>
            <w:tcW w:w="1560" w:type="dxa"/>
            <w:shd w:val="clear" w:color="auto" w:fill="7FB64D" w:themeFill="accent3" w:themeFillShade="BF"/>
            <w:noWrap/>
          </w:tcPr>
          <w:p w14:paraId="4A62075F" w14:textId="77777777" w:rsidR="00417E6D" w:rsidRPr="00812509" w:rsidRDefault="00417E6D" w:rsidP="00417E6D">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402" w:type="dxa"/>
          </w:tcPr>
          <w:p w14:paraId="2DC1A493" w14:textId="77777777" w:rsidR="00417E6D" w:rsidRPr="00812509" w:rsidRDefault="00417E6D" w:rsidP="00417E6D">
            <w:pPr>
              <w:pStyle w:val="TableTextEntries"/>
              <w:jc w:val="center"/>
              <w:rPr>
                <w:rFonts w:asciiTheme="minorHAnsi" w:hAnsiTheme="minorHAnsi"/>
                <w:color w:val="FFFFFF" w:themeColor="background1"/>
              </w:rPr>
            </w:pPr>
          </w:p>
        </w:tc>
        <w:tc>
          <w:tcPr>
            <w:tcW w:w="1498" w:type="dxa"/>
            <w:shd w:val="clear" w:color="auto" w:fill="72AF2F"/>
            <w:noWrap/>
          </w:tcPr>
          <w:p w14:paraId="78D365CE" w14:textId="77777777" w:rsidR="00417E6D" w:rsidRPr="00812509" w:rsidRDefault="00417E6D" w:rsidP="00417E6D">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665" w:type="dxa"/>
            <w:shd w:val="clear" w:color="auto" w:fill="auto"/>
          </w:tcPr>
          <w:p w14:paraId="60F577D6" w14:textId="77777777" w:rsidR="00417E6D" w:rsidRPr="002A4A0E" w:rsidRDefault="00417E6D" w:rsidP="00417E6D">
            <w:pPr>
              <w:pStyle w:val="TableTextEntries"/>
              <w:jc w:val="center"/>
              <w:rPr>
                <w:rFonts w:asciiTheme="minorHAnsi" w:hAnsiTheme="minorHAnsi"/>
                <w:color w:val="FFFFFF" w:themeColor="background1"/>
              </w:rPr>
            </w:pPr>
          </w:p>
        </w:tc>
      </w:tr>
      <w:tr w:rsidR="002A4A0E" w:rsidRPr="00812509" w14:paraId="7FC0E60F" w14:textId="77777777" w:rsidTr="00714D1F">
        <w:trPr>
          <w:cnfStyle w:val="000000010000" w:firstRow="0" w:lastRow="0" w:firstColumn="0" w:lastColumn="0" w:oddVBand="0" w:evenVBand="0" w:oddHBand="0" w:evenHBand="1" w:firstRowFirstColumn="0" w:firstRowLastColumn="0" w:lastRowFirstColumn="0" w:lastRowLastColumn="0"/>
        </w:trPr>
        <w:tc>
          <w:tcPr>
            <w:tcW w:w="5345" w:type="dxa"/>
          </w:tcPr>
          <w:p w14:paraId="48986C0A" w14:textId="77777777" w:rsidR="002A4A0E" w:rsidRPr="00812509" w:rsidRDefault="002A4A0E" w:rsidP="00234453">
            <w:pPr>
              <w:pStyle w:val="TableTextEntries"/>
              <w:rPr>
                <w:rFonts w:asciiTheme="minorHAnsi" w:hAnsiTheme="minorHAnsi"/>
              </w:rPr>
            </w:pPr>
            <w:r w:rsidRPr="00812509">
              <w:rPr>
                <w:rFonts w:asciiTheme="minorHAnsi" w:hAnsiTheme="minorHAnsi"/>
              </w:rPr>
              <w:t>Objective 3</w:t>
            </w:r>
            <w:r w:rsidR="005F395C">
              <w:rPr>
                <w:rFonts w:asciiTheme="minorHAnsi" w:hAnsiTheme="minorHAnsi"/>
              </w:rPr>
              <w:t xml:space="preserve"> </w:t>
            </w:r>
            <w:r w:rsidR="005F395C">
              <w:rPr>
                <w:lang w:val="en-US"/>
              </w:rPr>
              <w:t xml:space="preserve">  </w:t>
            </w:r>
            <w:r w:rsidR="00234453" w:rsidRPr="00714D1F">
              <w:rPr>
                <w:rFonts w:asciiTheme="minorHAnsi" w:hAnsiTheme="minorHAnsi"/>
              </w:rPr>
              <w:t xml:space="preserve">Human </w:t>
            </w:r>
            <w:r w:rsidR="00714D1F">
              <w:rPr>
                <w:rFonts w:asciiTheme="minorHAnsi" w:hAnsiTheme="minorHAnsi"/>
              </w:rPr>
              <w:t>D</w:t>
            </w:r>
            <w:r w:rsidR="005F395C" w:rsidRPr="005F395C">
              <w:rPr>
                <w:rFonts w:asciiTheme="minorHAnsi" w:hAnsiTheme="minorHAnsi"/>
              </w:rPr>
              <w:t xml:space="preserve">evelopment </w:t>
            </w:r>
          </w:p>
        </w:tc>
        <w:tc>
          <w:tcPr>
            <w:tcW w:w="1560" w:type="dxa"/>
            <w:shd w:val="clear" w:color="auto" w:fill="auto"/>
            <w:noWrap/>
          </w:tcPr>
          <w:p w14:paraId="1A75AA4E" w14:textId="77777777" w:rsidR="002A4A0E" w:rsidRPr="00812509" w:rsidRDefault="005F395C" w:rsidP="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c>
          <w:tcPr>
            <w:tcW w:w="402" w:type="dxa"/>
            <w:shd w:val="clear" w:color="auto" w:fill="auto"/>
          </w:tcPr>
          <w:p w14:paraId="2F1330AD" w14:textId="77777777" w:rsidR="002A4A0E" w:rsidRPr="00812509" w:rsidRDefault="002A4A0E" w:rsidP="007A6119">
            <w:pPr>
              <w:pStyle w:val="TableTextEntries"/>
              <w:jc w:val="center"/>
              <w:rPr>
                <w:rFonts w:asciiTheme="minorHAnsi" w:hAnsiTheme="minorHAnsi"/>
                <w:color w:val="FFFFFF" w:themeColor="background1"/>
              </w:rPr>
            </w:pPr>
          </w:p>
        </w:tc>
        <w:tc>
          <w:tcPr>
            <w:tcW w:w="1498" w:type="dxa"/>
            <w:shd w:val="clear" w:color="auto" w:fill="auto"/>
            <w:noWrap/>
          </w:tcPr>
          <w:p w14:paraId="0E3F3B7C" w14:textId="77777777" w:rsidR="002A4A0E" w:rsidRPr="00812509" w:rsidRDefault="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Red</w:t>
            </w:r>
          </w:p>
        </w:tc>
        <w:tc>
          <w:tcPr>
            <w:tcW w:w="665" w:type="dxa"/>
            <w:shd w:val="clear" w:color="auto" w:fill="auto"/>
          </w:tcPr>
          <w:p w14:paraId="2AD9C756" w14:textId="77777777" w:rsidR="002A4A0E" w:rsidRPr="002A4A0E" w:rsidRDefault="002A4A0E" w:rsidP="00184F1E">
            <w:pPr>
              <w:pStyle w:val="TableTextEntries"/>
              <w:jc w:val="center"/>
              <w:rPr>
                <w:rFonts w:asciiTheme="minorHAnsi" w:hAnsiTheme="minorHAnsi"/>
                <w:color w:val="FFFFFF" w:themeColor="background1"/>
              </w:rPr>
            </w:pPr>
          </w:p>
        </w:tc>
      </w:tr>
      <w:tr w:rsidR="00CF3A7A" w:rsidRPr="00812509" w14:paraId="245CFC0C" w14:textId="77777777" w:rsidTr="00382A8D">
        <w:trPr>
          <w:cnfStyle w:val="000000010000" w:firstRow="0" w:lastRow="0" w:firstColumn="0" w:lastColumn="0" w:oddVBand="0" w:evenVBand="0" w:oddHBand="0" w:evenHBand="1" w:firstRowFirstColumn="0" w:firstRowLastColumn="0" w:lastRowFirstColumn="0" w:lastRowLastColumn="0"/>
        </w:trPr>
        <w:tc>
          <w:tcPr>
            <w:tcW w:w="5345" w:type="dxa"/>
          </w:tcPr>
          <w:p w14:paraId="2646DA04" w14:textId="77777777" w:rsidR="00CF3A7A" w:rsidRDefault="00CF3A7A" w:rsidP="00CF3A7A">
            <w:pPr>
              <w:pStyle w:val="TableTextEntries"/>
              <w:rPr>
                <w:rFonts w:asciiTheme="minorHAnsi" w:hAnsiTheme="minorHAnsi"/>
              </w:rPr>
            </w:pPr>
            <w:r>
              <w:rPr>
                <w:rFonts w:asciiTheme="minorHAnsi" w:hAnsiTheme="minorHAnsi"/>
              </w:rPr>
              <w:t xml:space="preserve">                         Improved Health</w:t>
            </w:r>
          </w:p>
        </w:tc>
        <w:tc>
          <w:tcPr>
            <w:tcW w:w="1560" w:type="dxa"/>
            <w:shd w:val="clear" w:color="auto" w:fill="FF0000"/>
            <w:noWrap/>
          </w:tcPr>
          <w:p w14:paraId="07269C01" w14:textId="77777777" w:rsidR="00CF3A7A" w:rsidRDefault="00382A8D" w:rsidP="00CF3A7A">
            <w:pPr>
              <w:pStyle w:val="TableTextEntries"/>
              <w:jc w:val="center"/>
              <w:rPr>
                <w:rFonts w:asciiTheme="minorHAnsi" w:hAnsiTheme="minorHAnsi"/>
                <w:color w:val="FFFFFF" w:themeColor="background1"/>
              </w:rPr>
            </w:pPr>
            <w:r>
              <w:rPr>
                <w:rFonts w:asciiTheme="minorHAnsi" w:hAnsiTheme="minorHAnsi"/>
                <w:color w:val="FFFFFF" w:themeColor="background1"/>
              </w:rPr>
              <w:t>Red</w:t>
            </w:r>
          </w:p>
        </w:tc>
        <w:tc>
          <w:tcPr>
            <w:tcW w:w="402" w:type="dxa"/>
          </w:tcPr>
          <w:p w14:paraId="6F3B8FF4" w14:textId="77777777" w:rsidR="00CF3A7A" w:rsidRPr="00812509" w:rsidRDefault="00CF3A7A" w:rsidP="00CF3A7A">
            <w:pPr>
              <w:pStyle w:val="TableTextEntries"/>
              <w:jc w:val="center"/>
              <w:rPr>
                <w:rFonts w:asciiTheme="minorHAnsi" w:hAnsiTheme="minorHAnsi"/>
                <w:color w:val="FFFFFF" w:themeColor="background1"/>
              </w:rPr>
            </w:pPr>
          </w:p>
        </w:tc>
        <w:tc>
          <w:tcPr>
            <w:tcW w:w="1498" w:type="dxa"/>
            <w:shd w:val="clear" w:color="auto" w:fill="FF0000"/>
            <w:noWrap/>
          </w:tcPr>
          <w:p w14:paraId="5B0E6951" w14:textId="77777777" w:rsidR="00CF3A7A" w:rsidRPr="00CF3A7A" w:rsidRDefault="00CF3A7A" w:rsidP="00CF3A7A">
            <w:pPr>
              <w:pStyle w:val="TableTextEntries"/>
              <w:jc w:val="center"/>
              <w:rPr>
                <w:rFonts w:asciiTheme="minorHAnsi" w:hAnsiTheme="minorHAnsi"/>
                <w:color w:val="FFFFFF" w:themeColor="background1"/>
              </w:rPr>
            </w:pPr>
            <w:r w:rsidRPr="00CF3A7A">
              <w:rPr>
                <w:rFonts w:asciiTheme="minorHAnsi" w:hAnsiTheme="minorHAnsi"/>
                <w:color w:val="FFFFFF" w:themeColor="background1"/>
              </w:rPr>
              <w:t>Red</w:t>
            </w:r>
          </w:p>
        </w:tc>
        <w:tc>
          <w:tcPr>
            <w:tcW w:w="665" w:type="dxa"/>
            <w:shd w:val="clear" w:color="auto" w:fill="auto"/>
          </w:tcPr>
          <w:p w14:paraId="52EB34FF" w14:textId="77777777" w:rsidR="00CF3A7A" w:rsidRPr="002A4A0E" w:rsidRDefault="00CF3A7A" w:rsidP="00CF3A7A">
            <w:pPr>
              <w:pStyle w:val="TableTextEntries"/>
              <w:jc w:val="center"/>
              <w:rPr>
                <w:rFonts w:asciiTheme="minorHAnsi" w:hAnsiTheme="minorHAnsi"/>
                <w:color w:val="FFFFFF" w:themeColor="background1"/>
              </w:rPr>
            </w:pPr>
          </w:p>
        </w:tc>
      </w:tr>
      <w:tr w:rsidR="00CF3A7A" w:rsidRPr="00812509" w14:paraId="0A1BD7C3" w14:textId="77777777" w:rsidTr="000F04CE">
        <w:trPr>
          <w:cnfStyle w:val="000000010000" w:firstRow="0" w:lastRow="0" w:firstColumn="0" w:lastColumn="0" w:oddVBand="0" w:evenVBand="0" w:oddHBand="0" w:evenHBand="1" w:firstRowFirstColumn="0" w:firstRowLastColumn="0" w:lastRowFirstColumn="0" w:lastRowLastColumn="0"/>
        </w:trPr>
        <w:tc>
          <w:tcPr>
            <w:tcW w:w="5345" w:type="dxa"/>
          </w:tcPr>
          <w:p w14:paraId="1E3E10EF" w14:textId="77777777" w:rsidR="00CF3A7A" w:rsidRPr="00812509" w:rsidRDefault="00CF3A7A" w:rsidP="00CF3A7A">
            <w:pPr>
              <w:pStyle w:val="TableTextEntries"/>
              <w:rPr>
                <w:rFonts w:asciiTheme="minorHAnsi" w:hAnsiTheme="minorHAnsi"/>
              </w:rPr>
            </w:pPr>
            <w:r>
              <w:rPr>
                <w:rFonts w:asciiTheme="minorHAnsi" w:hAnsiTheme="minorHAnsi"/>
              </w:rPr>
              <w:t xml:space="preserve">                         Improved E</w:t>
            </w:r>
            <w:r w:rsidRPr="00D91EA9">
              <w:rPr>
                <w:rFonts w:asciiTheme="minorHAnsi" w:hAnsiTheme="minorHAnsi"/>
              </w:rPr>
              <w:t>ducation</w:t>
            </w:r>
          </w:p>
        </w:tc>
        <w:tc>
          <w:tcPr>
            <w:tcW w:w="1560" w:type="dxa"/>
            <w:shd w:val="clear" w:color="auto" w:fill="FF6600"/>
            <w:noWrap/>
          </w:tcPr>
          <w:p w14:paraId="4E1C599F" w14:textId="77777777" w:rsidR="00CF3A7A" w:rsidRPr="00812509" w:rsidRDefault="00CF3A7A" w:rsidP="00CF3A7A">
            <w:pPr>
              <w:pStyle w:val="TableTextEntries"/>
              <w:jc w:val="center"/>
              <w:rPr>
                <w:rFonts w:asciiTheme="minorHAnsi" w:hAnsiTheme="minorHAnsi"/>
                <w:color w:val="FFFFFF" w:themeColor="background1"/>
              </w:rPr>
            </w:pPr>
            <w:r>
              <w:rPr>
                <w:rFonts w:asciiTheme="minorHAnsi" w:hAnsiTheme="minorHAnsi"/>
                <w:color w:val="FFFFFF" w:themeColor="background1"/>
              </w:rPr>
              <w:t>Amber</w:t>
            </w:r>
          </w:p>
        </w:tc>
        <w:tc>
          <w:tcPr>
            <w:tcW w:w="402" w:type="dxa"/>
          </w:tcPr>
          <w:p w14:paraId="30A6F677" w14:textId="77777777" w:rsidR="00CF3A7A" w:rsidRPr="00812509" w:rsidRDefault="00CF3A7A" w:rsidP="00CF3A7A">
            <w:pPr>
              <w:pStyle w:val="TableTextEntries"/>
              <w:jc w:val="center"/>
              <w:rPr>
                <w:rFonts w:asciiTheme="minorHAnsi" w:hAnsiTheme="minorHAnsi"/>
                <w:color w:val="FFFFFF" w:themeColor="background1"/>
              </w:rPr>
            </w:pPr>
          </w:p>
        </w:tc>
        <w:tc>
          <w:tcPr>
            <w:tcW w:w="1498" w:type="dxa"/>
            <w:shd w:val="clear" w:color="auto" w:fill="92D050"/>
            <w:noWrap/>
          </w:tcPr>
          <w:p w14:paraId="1049F492" w14:textId="77777777" w:rsidR="00CF3A7A" w:rsidRPr="00812509" w:rsidRDefault="000F04CE" w:rsidP="00CF3A7A">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665" w:type="dxa"/>
            <w:shd w:val="clear" w:color="auto" w:fill="auto"/>
          </w:tcPr>
          <w:p w14:paraId="00384781" w14:textId="77777777" w:rsidR="00CF3A7A" w:rsidRPr="002A4A0E" w:rsidRDefault="00CF3A7A" w:rsidP="00CF3A7A">
            <w:pPr>
              <w:pStyle w:val="TableTextEntries"/>
              <w:jc w:val="center"/>
              <w:rPr>
                <w:rFonts w:asciiTheme="minorHAnsi" w:hAnsiTheme="minorHAnsi"/>
                <w:color w:val="FFFFFF" w:themeColor="background1"/>
              </w:rPr>
            </w:pPr>
          </w:p>
        </w:tc>
      </w:tr>
    </w:tbl>
    <w:p w14:paraId="69311AA5" w14:textId="77777777" w:rsidR="005B5769" w:rsidRPr="00812509" w:rsidRDefault="005B5769" w:rsidP="002A4A0E">
      <w:pPr>
        <w:pStyle w:val="Note"/>
        <w:rPr>
          <w:rFonts w:asciiTheme="minorHAnsi" w:hAnsiTheme="minorHAnsi"/>
          <w:sz w:val="16"/>
        </w:rPr>
      </w:pPr>
      <w:r w:rsidRPr="00812509">
        <w:rPr>
          <w:rFonts w:asciiTheme="minorHAnsi" w:hAnsiTheme="minorHAnsi"/>
          <w:sz w:val="16"/>
        </w:rPr>
        <w:t xml:space="preserve">Note: </w:t>
      </w:r>
    </w:p>
    <w:p w14:paraId="1BD82D1C" w14:textId="77777777" w:rsidR="005B5769" w:rsidRPr="00812509" w:rsidRDefault="005B576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14:paraId="4F475B6B" w14:textId="77777777" w:rsidR="005B5769" w:rsidRPr="00812509" w:rsidRDefault="005B576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14:paraId="7F8B0650" w14:textId="77777777" w:rsidR="005B5769" w:rsidRDefault="005B576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14:paraId="137E213A" w14:textId="77777777" w:rsidR="00CD1652" w:rsidRPr="00754A1A" w:rsidRDefault="00CD1652" w:rsidP="000D7D35">
      <w:pPr>
        <w:spacing w:before="0" w:after="0"/>
        <w:rPr>
          <w:rFonts w:asciiTheme="majorHAnsi" w:eastAsiaTheme="majorEastAsia" w:hAnsiTheme="majorHAnsi" w:cstheme="majorBidi"/>
          <w:caps/>
        </w:rPr>
      </w:pPr>
    </w:p>
    <w:p w14:paraId="68CD72C7" w14:textId="77777777" w:rsidR="00695730" w:rsidRDefault="00417E6D" w:rsidP="003222ED">
      <w:pPr>
        <w:ind w:left="-142"/>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Objective 1</w:t>
      </w:r>
      <w:r w:rsidR="00EE14D8">
        <w:rPr>
          <w:rFonts w:asciiTheme="majorHAnsi" w:eastAsiaTheme="majorEastAsia" w:hAnsiTheme="majorHAnsi" w:cstheme="majorBidi"/>
          <w:caps/>
          <w:sz w:val="38"/>
          <w:szCs w:val="26"/>
        </w:rPr>
        <w:t>:</w:t>
      </w:r>
      <w:r>
        <w:rPr>
          <w:rFonts w:asciiTheme="majorHAnsi" w:eastAsiaTheme="majorEastAsia" w:hAnsiTheme="majorHAnsi" w:cstheme="majorBidi"/>
          <w:caps/>
          <w:sz w:val="38"/>
          <w:szCs w:val="26"/>
        </w:rPr>
        <w:t xml:space="preserve"> </w:t>
      </w:r>
      <w:r w:rsidR="003D6F17">
        <w:rPr>
          <w:rFonts w:asciiTheme="majorHAnsi" w:eastAsiaTheme="majorEastAsia" w:hAnsiTheme="majorHAnsi" w:cstheme="majorBidi"/>
          <w:caps/>
          <w:sz w:val="38"/>
          <w:szCs w:val="26"/>
        </w:rPr>
        <w:t>more</w:t>
      </w:r>
      <w:r>
        <w:rPr>
          <w:rFonts w:asciiTheme="majorHAnsi" w:eastAsiaTheme="majorEastAsia" w:hAnsiTheme="majorHAnsi" w:cstheme="majorBidi"/>
          <w:caps/>
          <w:sz w:val="38"/>
          <w:szCs w:val="26"/>
        </w:rPr>
        <w:t xml:space="preserve"> EFFECTIVE PUBLIC SECTOR MANAGEMENT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1718"/>
        <w:gridCol w:w="1476"/>
        <w:gridCol w:w="1476"/>
        <w:gridCol w:w="1476"/>
      </w:tblGrid>
      <w:tr w:rsidR="006742FA" w:rsidRPr="00695730" w14:paraId="1983F272" w14:textId="77777777" w:rsidTr="003222ED">
        <w:tc>
          <w:tcPr>
            <w:tcW w:w="2017" w:type="dxa"/>
          </w:tcPr>
          <w:p w14:paraId="2CB92BCA" w14:textId="77777777" w:rsidR="006742FA" w:rsidRPr="00695730" w:rsidRDefault="006742FA" w:rsidP="00695730">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08661EA9" wp14:editId="50B2EE12">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718" w:type="dxa"/>
          </w:tcPr>
          <w:p w14:paraId="56D1A2A6" w14:textId="77777777" w:rsidR="006742FA" w:rsidRPr="00695730" w:rsidRDefault="006742FA" w:rsidP="00695730">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7B63F69C" wp14:editId="44F8C937">
                  <wp:extent cx="609600" cy="609600"/>
                  <wp:effectExtent l="0" t="0" r="0" b="0"/>
                  <wp:docPr id="41" name="Picture 41"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476" w:type="dxa"/>
          </w:tcPr>
          <w:p w14:paraId="435991F9" w14:textId="77777777" w:rsidR="006742FA" w:rsidRPr="00695730" w:rsidRDefault="006742FA" w:rsidP="00695730">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174C1747" wp14:editId="5D25BF88">
                  <wp:extent cx="612000" cy="612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476" w:type="dxa"/>
          </w:tcPr>
          <w:p w14:paraId="5E41C4DD" w14:textId="77777777" w:rsidR="006742FA" w:rsidRPr="00695730" w:rsidRDefault="006742FA" w:rsidP="00695730">
            <w:pPr>
              <w:suppressAutoHyphens w:val="0"/>
              <w:spacing w:before="160" w:after="80" w:line="240" w:lineRule="auto"/>
              <w:jc w:val="center"/>
              <w:rPr>
                <w:rFonts w:asciiTheme="majorHAnsi" w:eastAsiaTheme="majorEastAsia" w:hAnsiTheme="majorHAnsi" w:cstheme="majorBidi"/>
                <w:caps/>
                <w:sz w:val="38"/>
                <w:szCs w:val="26"/>
              </w:rPr>
            </w:pPr>
          </w:p>
        </w:tc>
        <w:tc>
          <w:tcPr>
            <w:tcW w:w="1476" w:type="dxa"/>
          </w:tcPr>
          <w:p w14:paraId="1C2A3019" w14:textId="77777777" w:rsidR="006742FA" w:rsidRPr="00695730" w:rsidRDefault="006742FA" w:rsidP="00695730">
            <w:pPr>
              <w:suppressAutoHyphens w:val="0"/>
              <w:spacing w:before="160" w:after="80" w:line="240" w:lineRule="auto"/>
              <w:jc w:val="center"/>
              <w:rPr>
                <w:rFonts w:asciiTheme="majorHAnsi" w:eastAsiaTheme="majorEastAsia" w:hAnsiTheme="majorHAnsi" w:cstheme="majorBidi"/>
                <w:caps/>
                <w:sz w:val="38"/>
                <w:szCs w:val="26"/>
              </w:rPr>
            </w:pPr>
          </w:p>
        </w:tc>
      </w:tr>
    </w:tbl>
    <w:p w14:paraId="75F8BE33" w14:textId="77777777" w:rsidR="00E9314A" w:rsidRPr="00B73F3B" w:rsidRDefault="00C50696" w:rsidP="00B73F3B">
      <w:r>
        <w:t>Australia’s</w:t>
      </w:r>
      <w:r w:rsidR="00C42C66">
        <w:t xml:space="preserve"> </w:t>
      </w:r>
      <w:r w:rsidR="00412C28">
        <w:t xml:space="preserve">investment in </w:t>
      </w:r>
      <w:r w:rsidR="00C42C66">
        <w:t xml:space="preserve">public sector management </w:t>
      </w:r>
      <w:r>
        <w:t>performed strongly</w:t>
      </w:r>
      <w:r w:rsidR="00A10283">
        <w:t xml:space="preserve"> </w:t>
      </w:r>
      <w:r w:rsidR="007539FA">
        <w:t>in 2017-18</w:t>
      </w:r>
      <w:r w:rsidR="008D5817">
        <w:t xml:space="preserve"> and has therefore been rated ‘green’.</w:t>
      </w:r>
      <w:r w:rsidR="008D5817" w:rsidRPr="00B73F3B">
        <w:t xml:space="preserve"> </w:t>
      </w:r>
      <w:r w:rsidR="003D6F17" w:rsidRPr="00B73F3B">
        <w:t xml:space="preserve">The investment is the continuation of Australia’s multi-year commitment to </w:t>
      </w:r>
      <w:r w:rsidR="00C42C66">
        <w:t xml:space="preserve">supporting Nauru’s </w:t>
      </w:r>
      <w:r w:rsidR="003D6F17" w:rsidRPr="00B73F3B">
        <w:t>public sector accountability</w:t>
      </w:r>
      <w:r w:rsidR="00C42C66">
        <w:t xml:space="preserve"> by</w:t>
      </w:r>
      <w:r w:rsidR="003D6F17" w:rsidRPr="00B73F3B">
        <w:t xml:space="preserve"> providing </w:t>
      </w:r>
      <w:r w:rsidR="00E73738">
        <w:t>technical</w:t>
      </w:r>
      <w:r w:rsidR="003D6F17" w:rsidRPr="00B73F3B">
        <w:t xml:space="preserve"> </w:t>
      </w:r>
      <w:r w:rsidR="00510469">
        <w:t>assistance</w:t>
      </w:r>
      <w:r w:rsidR="00510469" w:rsidRPr="00B73F3B">
        <w:t xml:space="preserve"> </w:t>
      </w:r>
      <w:r w:rsidR="003D6F17" w:rsidRPr="00B73F3B">
        <w:t>and driving progress on critical reform measures</w:t>
      </w:r>
      <w:r w:rsidR="00E73738">
        <w:t>, particularly in the financial management area</w:t>
      </w:r>
      <w:r w:rsidR="003D6F17" w:rsidRPr="00B73F3B">
        <w:t xml:space="preserve">. </w:t>
      </w:r>
    </w:p>
    <w:p w14:paraId="62A5B2F8" w14:textId="77777777" w:rsidR="007E6188" w:rsidRDefault="000F04CE" w:rsidP="002D2074">
      <w:r>
        <w:t>Australia</w:t>
      </w:r>
      <w:r w:rsidR="001B21D9">
        <w:t xml:space="preserve"> continues to provide skilled personnel, through </w:t>
      </w:r>
      <w:r w:rsidR="001B21D9" w:rsidRPr="00B73F3B">
        <w:t>the Pacific Technical Assistance Mechanism (PACTAM)</w:t>
      </w:r>
      <w:r w:rsidR="004808DA">
        <w:t xml:space="preserve"> </w:t>
      </w:r>
      <w:r w:rsidR="001B21D9">
        <w:t>- Pha</w:t>
      </w:r>
      <w:r w:rsidR="00B04FC5">
        <w:t>se 2</w:t>
      </w:r>
      <w:r w:rsidR="00510469">
        <w:t>, to support the Government of Nauru</w:t>
      </w:r>
      <w:r w:rsidR="002D2074">
        <w:t>.</w:t>
      </w:r>
      <w:r w:rsidR="001B21D9">
        <w:t xml:space="preserve"> </w:t>
      </w:r>
      <w:r w:rsidR="002D2074">
        <w:t xml:space="preserve">PACTAM2 advisers supported </w:t>
      </w:r>
      <w:r w:rsidR="00C92E94">
        <w:t>a</w:t>
      </w:r>
      <w:r w:rsidR="00BB6BB8">
        <w:t xml:space="preserve"> number of</w:t>
      </w:r>
      <w:r w:rsidR="002D2074">
        <w:t xml:space="preserve"> financial management reforms, such as: </w:t>
      </w:r>
    </w:p>
    <w:p w14:paraId="09CFCB75" w14:textId="77777777" w:rsidR="00B95FBA" w:rsidRPr="001700E5" w:rsidRDefault="00C50696" w:rsidP="006B5A5C">
      <w:pPr>
        <w:pStyle w:val="Bullet1"/>
      </w:pPr>
      <w:r>
        <w:t xml:space="preserve">improving </w:t>
      </w:r>
      <w:r w:rsidR="006B5A5C">
        <w:t>annual budget p</w:t>
      </w:r>
      <w:r w:rsidR="006B5A5C" w:rsidRPr="001700E5">
        <w:t>reparation</w:t>
      </w:r>
      <w:r w:rsidR="00B04FC5" w:rsidRPr="001700E5">
        <w:t xml:space="preserve"> by moving to a</w:t>
      </w:r>
      <w:r w:rsidR="009B1075" w:rsidRPr="001700E5">
        <w:t xml:space="preserve"> </w:t>
      </w:r>
      <w:r w:rsidR="007663EA" w:rsidRPr="00E013DF">
        <w:t>Medium Term Economic Framework</w:t>
      </w:r>
      <w:r w:rsidR="001700E5" w:rsidRPr="00E013DF">
        <w:t xml:space="preserve"> for 3-</w:t>
      </w:r>
      <w:r w:rsidR="00EF5C88">
        <w:t xml:space="preserve">4 </w:t>
      </w:r>
      <w:r w:rsidR="001700E5" w:rsidRPr="001700E5">
        <w:t>year expenditure planning</w:t>
      </w:r>
      <w:r w:rsidR="00B95FBA" w:rsidRPr="001700E5">
        <w:t>;</w:t>
      </w:r>
    </w:p>
    <w:p w14:paraId="03BD088C" w14:textId="77777777" w:rsidR="002D2074" w:rsidRPr="002E4070" w:rsidRDefault="006B5A5C" w:rsidP="006B5A5C">
      <w:pPr>
        <w:pStyle w:val="Bullet1"/>
      </w:pPr>
      <w:r>
        <w:t xml:space="preserve">the development of </w:t>
      </w:r>
      <w:r w:rsidR="002D2074" w:rsidRPr="002E4070">
        <w:t xml:space="preserve">a </w:t>
      </w:r>
      <w:r w:rsidR="00155078">
        <w:t>Public Financial Management</w:t>
      </w:r>
      <w:r w:rsidR="00155078" w:rsidRPr="002E4070">
        <w:t xml:space="preserve"> </w:t>
      </w:r>
      <w:r w:rsidR="002D2074" w:rsidRPr="002E4070">
        <w:t>Roadmap, Financi</w:t>
      </w:r>
      <w:r>
        <w:t>al Instructions</w:t>
      </w:r>
      <w:r w:rsidR="00C50696">
        <w:t xml:space="preserve"> and</w:t>
      </w:r>
      <w:r>
        <w:t xml:space="preserve"> Budget Manual</w:t>
      </w:r>
      <w:r w:rsidR="002D2074" w:rsidRPr="002E4070">
        <w:t>;</w:t>
      </w:r>
    </w:p>
    <w:p w14:paraId="05FD8974" w14:textId="77777777" w:rsidR="00B95FBA" w:rsidRDefault="00C50696" w:rsidP="009B1075">
      <w:pPr>
        <w:pStyle w:val="Bullet1"/>
      </w:pPr>
      <w:r>
        <w:t>assisting Nauru to</w:t>
      </w:r>
      <w:r w:rsidR="00B04FC5">
        <w:t xml:space="preserve"> achieve</w:t>
      </w:r>
      <w:r w:rsidR="006B5A5C">
        <w:t xml:space="preserve"> a “largely compliant” rating </w:t>
      </w:r>
      <w:r w:rsidR="002D2074">
        <w:t>from the OECD</w:t>
      </w:r>
      <w:r w:rsidR="00510469">
        <w:t>’s Global Forum on Transparency and Exchange of Information for Tax Purposes</w:t>
      </w:r>
      <w:r w:rsidR="00B95FBA">
        <w:t>;</w:t>
      </w:r>
      <w:r w:rsidR="00C34A83">
        <w:t xml:space="preserve"> </w:t>
      </w:r>
    </w:p>
    <w:p w14:paraId="6A8EC928" w14:textId="77777777" w:rsidR="002D2074" w:rsidRPr="002E4070" w:rsidRDefault="00B95FBA" w:rsidP="009B1075">
      <w:pPr>
        <w:pStyle w:val="Bullet1"/>
      </w:pPr>
      <w:r>
        <w:t>s</w:t>
      </w:r>
      <w:r w:rsidR="00C34A83">
        <w:t>upport</w:t>
      </w:r>
      <w:r>
        <w:t>ing</w:t>
      </w:r>
      <w:r w:rsidR="00C34A83">
        <w:t xml:space="preserve"> Nauru </w:t>
      </w:r>
      <w:r w:rsidR="00C50696">
        <w:t xml:space="preserve">to </w:t>
      </w:r>
      <w:r w:rsidR="00C34A83">
        <w:t>conduct</w:t>
      </w:r>
      <w:r w:rsidR="005E5E5D">
        <w:t xml:space="preserve"> </w:t>
      </w:r>
      <w:r w:rsidR="00C34A83">
        <w:t xml:space="preserve">its first ever </w:t>
      </w:r>
      <w:r w:rsidR="005E5E5D">
        <w:t>taxpayer education and assistance program</w:t>
      </w:r>
      <w:r w:rsidR="00E71866">
        <w:t>; and</w:t>
      </w:r>
    </w:p>
    <w:p w14:paraId="02C7EF35" w14:textId="77777777" w:rsidR="00BF2736" w:rsidRDefault="00B04FC5" w:rsidP="002D2074">
      <w:pPr>
        <w:pStyle w:val="Bullet1"/>
      </w:pPr>
      <w:r>
        <w:t>facilitat</w:t>
      </w:r>
      <w:r w:rsidR="00C50696">
        <w:t>ing</w:t>
      </w:r>
      <w:r w:rsidR="00BF2736">
        <w:t xml:space="preserve"> trade </w:t>
      </w:r>
      <w:r w:rsidR="00C50696">
        <w:t xml:space="preserve">by modernising </w:t>
      </w:r>
      <w:r w:rsidR="001700E5" w:rsidRPr="001700E5">
        <w:t xml:space="preserve">Nauru’s </w:t>
      </w:r>
      <w:r w:rsidR="00510469" w:rsidRPr="001700E5">
        <w:t xml:space="preserve">customs systems </w:t>
      </w:r>
      <w:r w:rsidR="00BF2736" w:rsidRPr="001700E5">
        <w:t xml:space="preserve">and </w:t>
      </w:r>
      <w:r w:rsidR="00510469" w:rsidRPr="001700E5">
        <w:t xml:space="preserve">duty tax administration services </w:t>
      </w:r>
      <w:r w:rsidR="00C50696" w:rsidRPr="001700E5">
        <w:t>(</w:t>
      </w:r>
      <w:r w:rsidR="00BF2736" w:rsidRPr="001700E5">
        <w:t>since 2016-17</w:t>
      </w:r>
      <w:r w:rsidR="00C50696" w:rsidRPr="001700E5">
        <w:t>)</w:t>
      </w:r>
      <w:r w:rsidR="00C34A83" w:rsidRPr="001700E5">
        <w:t>.</w:t>
      </w:r>
      <w:r w:rsidR="00BF2736">
        <w:t xml:space="preserve"> </w:t>
      </w:r>
    </w:p>
    <w:p w14:paraId="4B307867" w14:textId="77777777" w:rsidR="00B95FBA" w:rsidRDefault="00E71866" w:rsidP="00780C2C">
      <w:r>
        <w:t>Australian-funded technical advisers also</w:t>
      </w:r>
      <w:r w:rsidR="00B95FBA">
        <w:t xml:space="preserve"> supported </w:t>
      </w:r>
      <w:r w:rsidR="00C50696">
        <w:t>Nauru</w:t>
      </w:r>
      <w:r w:rsidR="00B95FBA">
        <w:t xml:space="preserve"> to</w:t>
      </w:r>
      <w:r w:rsidR="00C50696">
        <w:t xml:space="preserve">: </w:t>
      </w:r>
      <w:r w:rsidR="00B04FC5">
        <w:t xml:space="preserve"> </w:t>
      </w:r>
    </w:p>
    <w:p w14:paraId="1D87F172" w14:textId="77777777" w:rsidR="00B95FBA" w:rsidRDefault="002D2074" w:rsidP="00C74220">
      <w:pPr>
        <w:pStyle w:val="ListParagraph"/>
        <w:numPr>
          <w:ilvl w:val="0"/>
          <w:numId w:val="14"/>
        </w:numPr>
      </w:pPr>
      <w:r>
        <w:t xml:space="preserve">make </w:t>
      </w:r>
      <w:r w:rsidR="00D949DC">
        <w:t xml:space="preserve">a </w:t>
      </w:r>
      <w:r>
        <w:t xml:space="preserve">qualified commitment </w:t>
      </w:r>
      <w:r w:rsidR="001700E5">
        <w:t>towards c</w:t>
      </w:r>
      <w:r w:rsidR="001700E5" w:rsidRPr="001700E5">
        <w:t xml:space="preserve">ombatting tax avoidance under  </w:t>
      </w:r>
      <w:r w:rsidRPr="001700E5">
        <w:t>the OECD Base Erosion and Profit Shif</w:t>
      </w:r>
      <w:r w:rsidR="00C34A83" w:rsidRPr="001700E5">
        <w:t>ting Framewor</w:t>
      </w:r>
      <w:r w:rsidR="00C34A83" w:rsidRPr="00E013DF">
        <w:t>k</w:t>
      </w:r>
      <w:r w:rsidR="00B95FBA" w:rsidRPr="00E013DF">
        <w:t>;</w:t>
      </w:r>
    </w:p>
    <w:p w14:paraId="03466DB9" w14:textId="77777777" w:rsidR="00B95FBA" w:rsidRDefault="00B95FBA" w:rsidP="00C74220">
      <w:pPr>
        <w:pStyle w:val="ListParagraph"/>
        <w:numPr>
          <w:ilvl w:val="0"/>
          <w:numId w:val="14"/>
        </w:numPr>
      </w:pPr>
      <w:r>
        <w:t xml:space="preserve">earn </w:t>
      </w:r>
      <w:r w:rsidR="002D2074" w:rsidRPr="002E4070">
        <w:t>a</w:t>
      </w:r>
      <w:r w:rsidR="00E71866">
        <w:t>n</w:t>
      </w:r>
      <w:r w:rsidR="002D2074" w:rsidRPr="002E4070">
        <w:t xml:space="preserve"> award</w:t>
      </w:r>
      <w:r w:rsidR="00DA7257">
        <w:t xml:space="preserve"> from the International Monetary Fund</w:t>
      </w:r>
      <w:r w:rsidR="002D2074" w:rsidRPr="002E4070">
        <w:t xml:space="preserve"> for</w:t>
      </w:r>
      <w:r w:rsidR="0094061C">
        <w:t xml:space="preserve"> progress made in r</w:t>
      </w:r>
      <w:r w:rsidR="0094061C" w:rsidRPr="002E4070">
        <w:t xml:space="preserve">evenue </w:t>
      </w:r>
      <w:r w:rsidR="0094061C">
        <w:t>a</w:t>
      </w:r>
      <w:r w:rsidR="0094061C" w:rsidRPr="002E4070">
        <w:t xml:space="preserve">dministration </w:t>
      </w:r>
      <w:r w:rsidR="0094061C">
        <w:t>p</w:t>
      </w:r>
      <w:r w:rsidR="0094061C" w:rsidRPr="002E4070">
        <w:t>o</w:t>
      </w:r>
      <w:r w:rsidR="0094061C">
        <w:t xml:space="preserve">licy </w:t>
      </w:r>
      <w:r w:rsidR="00BF2736">
        <w:t xml:space="preserve">and </w:t>
      </w:r>
      <w:r w:rsidR="0094061C">
        <w:t>reforms</w:t>
      </w:r>
      <w:r>
        <w:t>;</w:t>
      </w:r>
      <w:r w:rsidR="00BF2736">
        <w:t xml:space="preserve"> </w:t>
      </w:r>
      <w:r w:rsidR="0094061C">
        <w:t>and</w:t>
      </w:r>
    </w:p>
    <w:p w14:paraId="3FEBF460" w14:textId="77777777" w:rsidR="00B95FBA" w:rsidRDefault="002D2074" w:rsidP="00C74220">
      <w:pPr>
        <w:pStyle w:val="ListParagraph"/>
        <w:numPr>
          <w:ilvl w:val="0"/>
          <w:numId w:val="14"/>
        </w:numPr>
      </w:pPr>
      <w:r>
        <w:t>becom</w:t>
      </w:r>
      <w:r w:rsidR="00CE6A32">
        <w:t>e</w:t>
      </w:r>
      <w:r>
        <w:t xml:space="preserve"> a signatory in September 2017 to </w:t>
      </w:r>
      <w:r w:rsidR="00510469">
        <w:t xml:space="preserve">the </w:t>
      </w:r>
      <w:r>
        <w:t>OECD Multilateral Competent Authority Agreement</w:t>
      </w:r>
      <w:r w:rsidR="00B95FBA">
        <w:t xml:space="preserve"> which</w:t>
      </w:r>
      <w:r>
        <w:t xml:space="preserve"> </w:t>
      </w:r>
      <w:r w:rsidR="00510469">
        <w:t xml:space="preserve">commits Nauru </w:t>
      </w:r>
      <w:r>
        <w:t>to sharing financial data with 97 other co-signatories</w:t>
      </w:r>
      <w:r w:rsidR="00B95FBA">
        <w:t xml:space="preserve">; </w:t>
      </w:r>
    </w:p>
    <w:p w14:paraId="5A0ADA1F" w14:textId="77777777" w:rsidR="00510469" w:rsidRDefault="00510469" w:rsidP="00B73F3B">
      <w:r w:rsidRPr="00D178CF">
        <w:t xml:space="preserve">Gender equality principles </w:t>
      </w:r>
      <w:r>
        <w:t>continue to be incorporated</w:t>
      </w:r>
      <w:r w:rsidRPr="00D178CF">
        <w:t xml:space="preserve"> into compulsory induction training for new advisors under the </w:t>
      </w:r>
      <w:r w:rsidRPr="00966CEF">
        <w:rPr>
          <w:i/>
        </w:rPr>
        <w:t>Nauru Public Sector Management</w:t>
      </w:r>
      <w:r w:rsidRPr="00610297">
        <w:rPr>
          <w:i/>
        </w:rPr>
        <w:t xml:space="preserve"> </w:t>
      </w:r>
      <w:r w:rsidR="00610297">
        <w:rPr>
          <w:i/>
        </w:rPr>
        <w:t>I</w:t>
      </w:r>
      <w:r w:rsidRPr="00610297">
        <w:rPr>
          <w:i/>
        </w:rPr>
        <w:t>nvestment</w:t>
      </w:r>
      <w:r w:rsidRPr="00D178CF">
        <w:t>.</w:t>
      </w:r>
    </w:p>
    <w:p w14:paraId="6D5EC089" w14:textId="77777777" w:rsidR="004B2D29" w:rsidRPr="00780C2C" w:rsidRDefault="00811ED0" w:rsidP="00B73F3B">
      <w:r w:rsidRPr="00B82FE1">
        <w:t xml:space="preserve">Australia </w:t>
      </w:r>
      <w:r w:rsidR="002D5B84" w:rsidRPr="00B82FE1">
        <w:t>contribut</w:t>
      </w:r>
      <w:r w:rsidR="002D5B84">
        <w:t xml:space="preserve">ed $2.5 million </w:t>
      </w:r>
      <w:r w:rsidRPr="00B82FE1">
        <w:t xml:space="preserve">to </w:t>
      </w:r>
      <w:r w:rsidR="006B6CA3" w:rsidRPr="00B82FE1">
        <w:t xml:space="preserve">the </w:t>
      </w:r>
      <w:r w:rsidR="00610297" w:rsidRPr="00610297">
        <w:rPr>
          <w:i/>
        </w:rPr>
        <w:t xml:space="preserve">Intergenerational Trust Fund for the People of </w:t>
      </w:r>
      <w:r w:rsidRPr="00610297">
        <w:rPr>
          <w:i/>
        </w:rPr>
        <w:t>Nauru</w:t>
      </w:r>
      <w:r w:rsidR="006B6CA3" w:rsidRPr="00610297">
        <w:t xml:space="preserve"> </w:t>
      </w:r>
      <w:r w:rsidR="0035290F" w:rsidRPr="00610297">
        <w:rPr>
          <w:i/>
        </w:rPr>
        <w:t>(NTF)</w:t>
      </w:r>
      <w:r w:rsidR="002D5B84" w:rsidRPr="00610297">
        <w:rPr>
          <w:i/>
        </w:rPr>
        <w:t xml:space="preserve"> </w:t>
      </w:r>
      <w:r w:rsidR="002D5B84">
        <w:t>in 2017-18</w:t>
      </w:r>
      <w:r w:rsidR="00412C28">
        <w:t xml:space="preserve">, bringing our contribution to </w:t>
      </w:r>
      <w:r w:rsidR="00DE4CF1" w:rsidRPr="00B82FE1">
        <w:t>$12.14</w:t>
      </w:r>
      <w:r w:rsidR="00B04FC5" w:rsidRPr="00B82FE1">
        <w:t> </w:t>
      </w:r>
      <w:r w:rsidR="008754A0" w:rsidRPr="00B82FE1">
        <w:t xml:space="preserve">million </w:t>
      </w:r>
      <w:r w:rsidR="002D5B84">
        <w:t>since its establishment in 2016.</w:t>
      </w:r>
      <w:r w:rsidR="008754A0" w:rsidRPr="00B82FE1">
        <w:t xml:space="preserve"> </w:t>
      </w:r>
      <w:r w:rsidR="00EF5C88">
        <w:t>We continue to</w:t>
      </w:r>
      <w:r w:rsidR="002D5B84">
        <w:t xml:space="preserve"> support its administration through representation on the Fund’s </w:t>
      </w:r>
      <w:r w:rsidR="00412C28">
        <w:t xml:space="preserve">management </w:t>
      </w:r>
      <w:r w:rsidR="002D5B84">
        <w:t>committee</w:t>
      </w:r>
      <w:r w:rsidR="00610297">
        <w:t>. The fund generated a return on investment of 10.1% in 2017-18, well above the strategic objective of CPI+4.5% set by the committee.</w:t>
      </w:r>
      <w:r w:rsidR="002D5B84">
        <w:t xml:space="preserve"> </w:t>
      </w:r>
      <w:r w:rsidR="00610297">
        <w:t>The net assets</w:t>
      </w:r>
      <w:r w:rsidR="00E65EA1" w:rsidRPr="00B82FE1">
        <w:t xml:space="preserve"> of the </w:t>
      </w:r>
      <w:r w:rsidR="00E33B04" w:rsidRPr="00B82FE1">
        <w:t>NTF</w:t>
      </w:r>
      <w:r w:rsidR="00610297">
        <w:t xml:space="preserve"> increased by $28.4 million </w:t>
      </w:r>
      <w:r w:rsidR="00E65EA1" w:rsidRPr="00B82FE1">
        <w:t>in 2017-2018</w:t>
      </w:r>
      <w:r w:rsidR="00B250EB">
        <w:t xml:space="preserve"> </w:t>
      </w:r>
      <w:r w:rsidR="00E65EA1" w:rsidRPr="00B82FE1">
        <w:t>and</w:t>
      </w:r>
      <w:r w:rsidR="00610297">
        <w:t>,</w:t>
      </w:r>
      <w:r w:rsidR="00E65EA1" w:rsidRPr="00B82FE1">
        <w:t xml:space="preserve"> </w:t>
      </w:r>
      <w:r w:rsidR="00D06002" w:rsidRPr="00B82FE1">
        <w:t xml:space="preserve">as of </w:t>
      </w:r>
      <w:r w:rsidR="00610297">
        <w:t>30 June</w:t>
      </w:r>
      <w:r w:rsidR="00B95FBA" w:rsidRPr="00B82FE1">
        <w:t xml:space="preserve"> 2018, </w:t>
      </w:r>
      <w:r w:rsidR="00D06002" w:rsidRPr="00B82FE1">
        <w:t xml:space="preserve">stood </w:t>
      </w:r>
      <w:r w:rsidR="00E65EA1" w:rsidRPr="00B82FE1">
        <w:t xml:space="preserve">at </w:t>
      </w:r>
      <w:r w:rsidR="00B95FBA" w:rsidRPr="00B82FE1">
        <w:t xml:space="preserve">approximately </w:t>
      </w:r>
      <w:r w:rsidR="00E65EA1" w:rsidRPr="00B148EA">
        <w:t>$</w:t>
      </w:r>
      <w:r w:rsidR="00610297">
        <w:t>84</w:t>
      </w:r>
      <w:r w:rsidR="00354256" w:rsidRPr="00B148EA">
        <w:t xml:space="preserve">.4 </w:t>
      </w:r>
      <w:r w:rsidR="00E65EA1" w:rsidRPr="00B148EA">
        <w:t>million</w:t>
      </w:r>
      <w:r w:rsidR="002A328A" w:rsidRPr="00B148EA">
        <w:t>.</w:t>
      </w:r>
      <w:r w:rsidR="002A328A">
        <w:t xml:space="preserve"> </w:t>
      </w:r>
    </w:p>
    <w:p w14:paraId="670D2979" w14:textId="77777777" w:rsidR="00B148EA" w:rsidRDefault="00B148EA" w:rsidP="00F80511">
      <w:pPr>
        <w:spacing w:after="200" w:line="276" w:lineRule="auto"/>
        <w:rPr>
          <w:rFonts w:asciiTheme="majorHAnsi" w:eastAsiaTheme="majorEastAsia" w:hAnsiTheme="majorHAnsi" w:cstheme="majorBidi"/>
          <w:caps/>
          <w:sz w:val="38"/>
          <w:szCs w:val="26"/>
        </w:rPr>
      </w:pPr>
    </w:p>
    <w:p w14:paraId="7EFD01C3" w14:textId="77777777" w:rsidR="00CD1652" w:rsidRPr="00417E6D" w:rsidRDefault="00417E6D" w:rsidP="00F80511">
      <w:pPr>
        <w:spacing w:after="200" w:line="276" w:lineRule="auto"/>
        <w:rPr>
          <w:rFonts w:asciiTheme="majorHAnsi" w:eastAsiaTheme="majorEastAsia" w:hAnsiTheme="majorHAnsi" w:cstheme="majorBidi"/>
          <w:caps/>
          <w:sz w:val="38"/>
          <w:szCs w:val="26"/>
        </w:rPr>
      </w:pPr>
      <w:r w:rsidRPr="002A51CA">
        <w:rPr>
          <w:rFonts w:asciiTheme="majorHAnsi" w:eastAsiaTheme="majorEastAsia" w:hAnsiTheme="majorHAnsi" w:cstheme="majorBidi"/>
          <w:caps/>
          <w:sz w:val="38"/>
          <w:szCs w:val="26"/>
        </w:rPr>
        <w:t xml:space="preserve">Objective </w:t>
      </w:r>
      <w:r w:rsidRPr="00417E6D">
        <w:rPr>
          <w:rFonts w:asciiTheme="majorHAnsi" w:eastAsiaTheme="majorEastAsia" w:hAnsiTheme="majorHAnsi" w:cstheme="majorBidi"/>
          <w:caps/>
          <w:sz w:val="38"/>
          <w:szCs w:val="26"/>
        </w:rPr>
        <w:t>2</w:t>
      </w:r>
      <w:r w:rsidR="003D6F17">
        <w:rPr>
          <w:rFonts w:asciiTheme="majorHAnsi" w:eastAsiaTheme="majorEastAsia" w:hAnsiTheme="majorHAnsi" w:cstheme="majorBidi"/>
          <w:caps/>
          <w:sz w:val="38"/>
          <w:szCs w:val="26"/>
        </w:rPr>
        <w:t>:</w:t>
      </w:r>
      <w:r w:rsidRPr="00417E6D">
        <w:rPr>
          <w:rFonts w:asciiTheme="majorHAnsi" w:eastAsiaTheme="majorEastAsia" w:hAnsiTheme="majorHAnsi" w:cstheme="majorBidi"/>
          <w:caps/>
          <w:sz w:val="38"/>
          <w:szCs w:val="26"/>
        </w:rPr>
        <w:t xml:space="preserve"> Investing in Infrastructure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467"/>
        <w:gridCol w:w="1493"/>
        <w:gridCol w:w="1609"/>
        <w:gridCol w:w="1610"/>
        <w:gridCol w:w="1443"/>
      </w:tblGrid>
      <w:tr w:rsidR="007D272D" w:rsidRPr="00695730" w14:paraId="7A69AE43" w14:textId="77777777" w:rsidTr="007D272D">
        <w:tc>
          <w:tcPr>
            <w:tcW w:w="2016" w:type="dxa"/>
          </w:tcPr>
          <w:p w14:paraId="4B398AE1" w14:textId="77777777" w:rsidR="007D272D" w:rsidRPr="00695730" w:rsidRDefault="007D272D" w:rsidP="00982FEF">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0C319BDA" wp14:editId="6634ACB2">
                  <wp:extent cx="1137600" cy="720000"/>
                  <wp:effectExtent l="0" t="0" r="571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467" w:type="dxa"/>
          </w:tcPr>
          <w:p w14:paraId="7991A916" w14:textId="77777777" w:rsidR="007D272D" w:rsidRPr="00695730" w:rsidRDefault="007D272D" w:rsidP="007D272D">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0DD212D7" wp14:editId="4F298457">
                  <wp:extent cx="612000" cy="6120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493" w:type="dxa"/>
          </w:tcPr>
          <w:p w14:paraId="6410988B" w14:textId="77777777" w:rsidR="007D272D" w:rsidRDefault="007D272D" w:rsidP="00982FEF">
            <w:pPr>
              <w:suppressAutoHyphens w:val="0"/>
              <w:spacing w:before="160" w:after="80" w:line="240" w:lineRule="auto"/>
              <w:jc w:val="center"/>
              <w:rPr>
                <w:noProof/>
                <w:lang w:val="en-AU" w:eastAsia="en-AU"/>
              </w:rPr>
            </w:pPr>
            <w:r>
              <w:rPr>
                <w:noProof/>
                <w:lang w:val="en-AU" w:eastAsia="en-AU"/>
              </w:rPr>
              <w:drawing>
                <wp:inline distT="0" distB="0" distL="0" distR="0" wp14:anchorId="06C6ED54" wp14:editId="188B5C53">
                  <wp:extent cx="612000" cy="6120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609" w:type="dxa"/>
          </w:tcPr>
          <w:p w14:paraId="6BB8E788" w14:textId="77777777" w:rsidR="007D272D" w:rsidRDefault="007D272D" w:rsidP="00982FEF">
            <w:pPr>
              <w:suppressAutoHyphens w:val="0"/>
              <w:spacing w:before="160" w:after="80" w:line="240" w:lineRule="auto"/>
              <w:jc w:val="center"/>
              <w:rPr>
                <w:noProof/>
                <w:lang w:val="en-AU" w:eastAsia="en-AU"/>
              </w:rPr>
            </w:pPr>
            <w:r>
              <w:rPr>
                <w:noProof/>
                <w:lang w:val="en-AU" w:eastAsia="en-AU"/>
              </w:rPr>
              <w:drawing>
                <wp:inline distT="0" distB="0" distL="0" distR="0" wp14:anchorId="3561A775" wp14:editId="7E61FC08">
                  <wp:extent cx="609600" cy="609600"/>
                  <wp:effectExtent l="0" t="0" r="0" b="0"/>
                  <wp:docPr id="47" name="Picture 47"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610" w:type="dxa"/>
          </w:tcPr>
          <w:p w14:paraId="2F9740D9" w14:textId="77777777" w:rsidR="007D272D" w:rsidRPr="00695730" w:rsidRDefault="00926AAB" w:rsidP="00982FEF">
            <w:pPr>
              <w:suppressAutoHyphens w:val="0"/>
              <w:spacing w:before="160" w:after="80" w:line="240" w:lineRule="auto"/>
              <w:jc w:val="center"/>
              <w:rPr>
                <w:rFonts w:asciiTheme="majorHAnsi" w:eastAsiaTheme="majorEastAsia" w:hAnsiTheme="majorHAnsi" w:cstheme="majorBidi"/>
                <w:caps/>
                <w:sz w:val="38"/>
                <w:szCs w:val="26"/>
              </w:rPr>
            </w:pPr>
            <w:r w:rsidRPr="00926AAB">
              <w:rPr>
                <w:rFonts w:asciiTheme="majorHAnsi" w:eastAsiaTheme="majorEastAsia" w:hAnsiTheme="majorHAnsi" w:cstheme="majorBidi"/>
                <w:caps/>
                <w:noProof/>
                <w:sz w:val="38"/>
                <w:szCs w:val="26"/>
                <w:lang w:val="en-AU" w:eastAsia="en-AU"/>
              </w:rPr>
              <w:drawing>
                <wp:inline distT="0" distB="0" distL="0" distR="0" wp14:anchorId="100EB885" wp14:editId="1FC9724D">
                  <wp:extent cx="612000" cy="612000"/>
                  <wp:effectExtent l="0" t="0" r="0" b="0"/>
                  <wp:docPr id="2" name="Picture 2" descr="\\TITAN\CHCH\Desktop\Aregnaul\Desktop\sdg-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Aregnaul\Desktop\sdg-09.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1443" w:type="dxa"/>
          </w:tcPr>
          <w:p w14:paraId="589F82CC" w14:textId="77777777" w:rsidR="007D272D" w:rsidRDefault="007D272D" w:rsidP="00982FEF">
            <w:pPr>
              <w:suppressAutoHyphens w:val="0"/>
              <w:spacing w:before="160" w:after="80" w:line="240" w:lineRule="auto"/>
              <w:jc w:val="center"/>
              <w:rPr>
                <w:noProof/>
                <w:lang w:val="en-AU" w:eastAsia="en-AU"/>
              </w:rPr>
            </w:pPr>
            <w:r>
              <w:rPr>
                <w:noProof/>
                <w:lang w:val="en-AU" w:eastAsia="en-AU"/>
              </w:rPr>
              <w:drawing>
                <wp:inline distT="0" distB="0" distL="0" distR="0" wp14:anchorId="0E32BF5B" wp14:editId="4BE3AF32">
                  <wp:extent cx="612000" cy="612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434F3E98" w14:textId="77777777" w:rsidR="00671210" w:rsidRPr="00B73F3B" w:rsidRDefault="006742FA" w:rsidP="00671210">
      <w:r w:rsidRPr="00B73F3B">
        <w:t>A</w:t>
      </w:r>
      <w:r w:rsidR="003222ED" w:rsidRPr="00B73F3B">
        <w:t xml:space="preserve"> key priorit</w:t>
      </w:r>
      <w:r w:rsidRPr="00B73F3B">
        <w:t>y</w:t>
      </w:r>
      <w:r w:rsidR="003222ED" w:rsidRPr="00B73F3B">
        <w:t xml:space="preserve"> of the Aid Investment Plan is to invest in </w:t>
      </w:r>
      <w:r w:rsidR="003C7216" w:rsidRPr="00B73F3B">
        <w:t>nation-</w:t>
      </w:r>
      <w:r w:rsidR="003222ED" w:rsidRPr="00B73F3B">
        <w:t>building infrastructure to</w:t>
      </w:r>
      <w:r w:rsidR="001B5836">
        <w:t xml:space="preserve"> </w:t>
      </w:r>
      <w:r w:rsidR="001B5836" w:rsidRPr="00B73F3B">
        <w:t>provide essential se</w:t>
      </w:r>
      <w:r w:rsidR="001B5836">
        <w:t>rvices, such as power and water, as well as foster commerce and trade.</w:t>
      </w:r>
    </w:p>
    <w:p w14:paraId="5221299B" w14:textId="77777777" w:rsidR="00412C28" w:rsidRDefault="001B468A" w:rsidP="00B73F3B">
      <w:r w:rsidRPr="00B73F3B">
        <w:t>In 201</w:t>
      </w:r>
      <w:r w:rsidR="005D2290">
        <w:t>7</w:t>
      </w:r>
      <w:r w:rsidRPr="00B73F3B">
        <w:t>-1</w:t>
      </w:r>
      <w:r w:rsidR="005D2290">
        <w:t>8</w:t>
      </w:r>
      <w:r w:rsidRPr="00B73F3B">
        <w:t xml:space="preserve">, </w:t>
      </w:r>
      <w:r w:rsidR="00121033" w:rsidRPr="00B73F3B">
        <w:t xml:space="preserve">a range of infrastructure and utilities projects made </w:t>
      </w:r>
      <w:r w:rsidR="00917666" w:rsidRPr="00B73F3B">
        <w:t xml:space="preserve">good </w:t>
      </w:r>
      <w:r w:rsidR="00121033" w:rsidRPr="00B73F3B">
        <w:t>progress</w:t>
      </w:r>
      <w:r w:rsidR="008637AB">
        <w:t xml:space="preserve"> – this objective has therefore been rated ‘green’</w:t>
      </w:r>
      <w:r w:rsidR="00121033" w:rsidRPr="00B73F3B">
        <w:t xml:space="preserve">. </w:t>
      </w:r>
    </w:p>
    <w:p w14:paraId="5D45F7B9" w14:textId="58A1D671" w:rsidR="00B45F5A" w:rsidRDefault="006A7A30" w:rsidP="00B73F3B">
      <w:r>
        <w:t xml:space="preserve">One of the major successes </w:t>
      </w:r>
      <w:r w:rsidR="00A177BE">
        <w:t xml:space="preserve">of Australia’s investment in Nauru’s infrastructure sector </w:t>
      </w:r>
      <w:r w:rsidR="003E7D6B" w:rsidRPr="008F5BA6">
        <w:t xml:space="preserve">has been the </w:t>
      </w:r>
      <w:r>
        <w:t>ongoing</w:t>
      </w:r>
      <w:r w:rsidR="003E7D6B" w:rsidRPr="008F5BA6">
        <w:t xml:space="preserve"> </w:t>
      </w:r>
      <w:r w:rsidR="004808DA">
        <w:t>funding of</w:t>
      </w:r>
      <w:r w:rsidR="003E7D6B" w:rsidRPr="008F5BA6">
        <w:t xml:space="preserve"> the </w:t>
      </w:r>
      <w:r w:rsidR="00412C28">
        <w:t xml:space="preserve">position of Chief Executive Officer (CEO) of the </w:t>
      </w:r>
      <w:r w:rsidR="003E7D6B" w:rsidRPr="008F5BA6">
        <w:t>N</w:t>
      </w:r>
      <w:r w:rsidR="00607376">
        <w:t xml:space="preserve">auru </w:t>
      </w:r>
      <w:r w:rsidR="003E7D6B" w:rsidRPr="008F5BA6">
        <w:t>U</w:t>
      </w:r>
      <w:r w:rsidR="00607376">
        <w:t xml:space="preserve">tilities </w:t>
      </w:r>
      <w:r w:rsidR="00A177BE" w:rsidRPr="008F5BA6">
        <w:t>C</w:t>
      </w:r>
      <w:r w:rsidR="00A177BE">
        <w:t>orporation</w:t>
      </w:r>
      <w:r w:rsidR="00607376">
        <w:t xml:space="preserve"> (NUC)</w:t>
      </w:r>
      <w:r w:rsidR="001B5836">
        <w:t>.</w:t>
      </w:r>
      <w:r w:rsidR="003E7D6B" w:rsidRPr="00684DD8">
        <w:t xml:space="preserve"> The CEO continues to </w:t>
      </w:r>
      <w:r w:rsidR="005A2C75" w:rsidRPr="00684DD8">
        <w:t xml:space="preserve">perform well </w:t>
      </w:r>
      <w:r w:rsidR="003E7D6B" w:rsidRPr="00684DD8">
        <w:t>and</w:t>
      </w:r>
      <w:r w:rsidR="00D32F71" w:rsidRPr="00684DD8">
        <w:t xml:space="preserve"> is achieving </w:t>
      </w:r>
      <w:r w:rsidR="003E7D6B" w:rsidRPr="00684DD8">
        <w:t>work plan objectives ahead of schedule.</w:t>
      </w:r>
      <w:r w:rsidR="003E7D6B" w:rsidRPr="008F5BA6">
        <w:t xml:space="preserve">  The 2017</w:t>
      </w:r>
      <w:r w:rsidR="00163197">
        <w:t>,</w:t>
      </w:r>
      <w:r w:rsidR="003E7D6B" w:rsidRPr="008F5BA6">
        <w:t xml:space="preserve"> NUC Annual Report </w:t>
      </w:r>
      <w:r w:rsidR="004808DA">
        <w:t>noted</w:t>
      </w:r>
      <w:r w:rsidR="003E7D6B" w:rsidRPr="008F5BA6">
        <w:t xml:space="preserve"> government subsidies to NUC ha</w:t>
      </w:r>
      <w:r w:rsidR="00163197">
        <w:t>d</w:t>
      </w:r>
      <w:r w:rsidR="003E7D6B" w:rsidRPr="008F5BA6">
        <w:t xml:space="preserve"> reduced by </w:t>
      </w:r>
      <w:r w:rsidR="00440982">
        <w:t>$</w:t>
      </w:r>
      <w:r w:rsidR="00610297">
        <w:t>4 million per annum</w:t>
      </w:r>
      <w:r w:rsidR="003E7D6B" w:rsidRPr="008F5BA6">
        <w:t>. Power outages decreased by around 50</w:t>
      </w:r>
      <w:r w:rsidR="00440982">
        <w:t xml:space="preserve"> per cent</w:t>
      </w:r>
      <w:r w:rsidR="003E7D6B" w:rsidRPr="008F5BA6">
        <w:t xml:space="preserve"> in 2017, </w:t>
      </w:r>
      <w:r w:rsidR="004808DA">
        <w:t>with</w:t>
      </w:r>
      <w:r w:rsidR="004808DA" w:rsidRPr="008F5BA6">
        <w:t xml:space="preserve"> </w:t>
      </w:r>
      <w:r w:rsidR="003E7D6B" w:rsidRPr="008F5BA6">
        <w:t>electricity loss</w:t>
      </w:r>
      <w:r w:rsidR="00610297">
        <w:t>es</w:t>
      </w:r>
      <w:r w:rsidR="003E7D6B" w:rsidRPr="008F5BA6">
        <w:t xml:space="preserve"> reduced from 48</w:t>
      </w:r>
      <w:r w:rsidR="00440982">
        <w:t xml:space="preserve"> per cent</w:t>
      </w:r>
      <w:r w:rsidR="003E7D6B" w:rsidRPr="008F5BA6">
        <w:t xml:space="preserve"> in 2014 to 36</w:t>
      </w:r>
      <w:r w:rsidR="00440982">
        <w:t xml:space="preserve"> per cent</w:t>
      </w:r>
      <w:r w:rsidR="003E7D6B" w:rsidRPr="008F5BA6">
        <w:t xml:space="preserve"> in 2017. </w:t>
      </w:r>
      <w:r w:rsidR="00767A81">
        <w:t>T</w:t>
      </w:r>
      <w:r w:rsidR="00A8003F">
        <w:t>wo</w:t>
      </w:r>
      <w:r w:rsidR="00CE6A32">
        <w:t xml:space="preserve"> 2.8MW diesel generators</w:t>
      </w:r>
      <w:r w:rsidR="005A2C75">
        <w:t xml:space="preserve"> (co-financed by Australia)</w:t>
      </w:r>
      <w:r w:rsidR="00A8003F" w:rsidRPr="00B73F3B">
        <w:t xml:space="preserve"> </w:t>
      </w:r>
      <w:r w:rsidR="00440982">
        <w:t>commenced</w:t>
      </w:r>
      <w:r w:rsidR="005A2C75">
        <w:t xml:space="preserve"> </w:t>
      </w:r>
      <w:r w:rsidR="004A7BE8">
        <w:t>operation</w:t>
      </w:r>
      <w:r w:rsidR="00A8003F">
        <w:t xml:space="preserve"> in January 2018</w:t>
      </w:r>
      <w:r w:rsidR="005A2C75">
        <w:t xml:space="preserve">, </w:t>
      </w:r>
      <w:r w:rsidR="004808DA">
        <w:t>enabling</w:t>
      </w:r>
      <w:r w:rsidR="005A2C75">
        <w:t xml:space="preserve"> generat</w:t>
      </w:r>
      <w:r w:rsidR="004808DA">
        <w:t>ion of</w:t>
      </w:r>
      <w:r w:rsidR="00A8003F" w:rsidRPr="00B73F3B">
        <w:t xml:space="preserve"> more reliable and efficient basel</w:t>
      </w:r>
      <w:r w:rsidR="00EF4BA3">
        <w:t>oad power.</w:t>
      </w:r>
      <w:r w:rsidR="00782AD7">
        <w:t xml:space="preserve"> </w:t>
      </w:r>
    </w:p>
    <w:p w14:paraId="603D5AEF" w14:textId="77777777" w:rsidR="00440982" w:rsidRDefault="007B5738" w:rsidP="00666B18">
      <w:r w:rsidRPr="00B73F3B">
        <w:t xml:space="preserve">Australia </w:t>
      </w:r>
      <w:r w:rsidR="00FD50E1">
        <w:t>is also supporting</w:t>
      </w:r>
      <w:r w:rsidR="00087219" w:rsidRPr="00B73F3B">
        <w:t xml:space="preserve"> </w:t>
      </w:r>
      <w:r w:rsidR="003222ED" w:rsidRPr="00B73F3B">
        <w:t xml:space="preserve">the </w:t>
      </w:r>
      <w:r w:rsidR="00087219" w:rsidRPr="00B73F3B">
        <w:t>r</w:t>
      </w:r>
      <w:r w:rsidR="003222ED" w:rsidRPr="00B73F3B">
        <w:t xml:space="preserve">eform and </w:t>
      </w:r>
      <w:r w:rsidR="00087219" w:rsidRPr="00B73F3B">
        <w:t>r</w:t>
      </w:r>
      <w:r w:rsidR="003222ED" w:rsidRPr="00B73F3B">
        <w:t xml:space="preserve">edevelopment </w:t>
      </w:r>
      <w:r w:rsidR="00087219" w:rsidRPr="00B73F3B">
        <w:t xml:space="preserve">of Nauru’s </w:t>
      </w:r>
      <w:r w:rsidR="00917666" w:rsidRPr="00B73F3B">
        <w:t>port</w:t>
      </w:r>
      <w:r w:rsidRPr="00B73F3B">
        <w:t xml:space="preserve">, a critical </w:t>
      </w:r>
      <w:r w:rsidR="004309BD" w:rsidRPr="00B73F3B">
        <w:t>asset for the</w:t>
      </w:r>
      <w:r w:rsidR="00412C28">
        <w:t xml:space="preserve"> isolated</w:t>
      </w:r>
      <w:r w:rsidR="004309BD" w:rsidRPr="00B73F3B">
        <w:t xml:space="preserve"> island nation. </w:t>
      </w:r>
      <w:r w:rsidR="00FD50E1">
        <w:t>The design for the port has been completed</w:t>
      </w:r>
      <w:r w:rsidR="004808DA">
        <w:t>,</w:t>
      </w:r>
      <w:r w:rsidR="00FD50E1">
        <w:t xml:space="preserve"> a new </w:t>
      </w:r>
      <w:r w:rsidR="00962FA8">
        <w:t xml:space="preserve">port </w:t>
      </w:r>
      <w:r w:rsidR="00FD50E1">
        <w:t xml:space="preserve">CEO </w:t>
      </w:r>
      <w:r w:rsidR="004A7BE8">
        <w:t>commenced in July 2018</w:t>
      </w:r>
      <w:r w:rsidR="0040404D">
        <w:t xml:space="preserve"> </w:t>
      </w:r>
      <w:r w:rsidR="004808DA">
        <w:t xml:space="preserve">and </w:t>
      </w:r>
      <w:r w:rsidR="0040404D">
        <w:t>c</w:t>
      </w:r>
      <w:r w:rsidR="00FD50E1">
        <w:t>onstruction</w:t>
      </w:r>
      <w:r w:rsidR="009D0A2A">
        <w:t xml:space="preserve"> </w:t>
      </w:r>
      <w:r w:rsidR="004808DA">
        <w:t xml:space="preserve">is </w:t>
      </w:r>
      <w:r w:rsidR="00FD50E1">
        <w:t xml:space="preserve">expected to commence in </w:t>
      </w:r>
      <w:r w:rsidR="00C51874" w:rsidRPr="004A7BE8">
        <w:t xml:space="preserve">late </w:t>
      </w:r>
      <w:r w:rsidR="00FD50E1" w:rsidRPr="004A7BE8">
        <w:t>2018</w:t>
      </w:r>
      <w:r w:rsidR="00FD50E1">
        <w:t xml:space="preserve">. </w:t>
      </w:r>
      <w:r w:rsidR="00FD50E1" w:rsidRPr="00FD50E1">
        <w:t>Collab</w:t>
      </w:r>
      <w:r w:rsidR="00C51874">
        <w:t xml:space="preserve">oration between </w:t>
      </w:r>
      <w:r w:rsidR="00962FA8">
        <w:t xml:space="preserve">the </w:t>
      </w:r>
      <w:r w:rsidR="00C51874">
        <w:t xml:space="preserve">ADB, </w:t>
      </w:r>
      <w:r w:rsidR="00D06002">
        <w:t xml:space="preserve">Australia </w:t>
      </w:r>
      <w:r w:rsidR="00C51874">
        <w:t xml:space="preserve">and </w:t>
      </w:r>
      <w:r w:rsidR="00D06002">
        <w:t>Nauru</w:t>
      </w:r>
      <w:r w:rsidR="00D06002" w:rsidRPr="00FD50E1">
        <w:t xml:space="preserve"> </w:t>
      </w:r>
      <w:r w:rsidR="00FD50E1" w:rsidRPr="00FD50E1">
        <w:t>was instrumental in securing</w:t>
      </w:r>
      <w:r w:rsidR="00962FA8">
        <w:t xml:space="preserve"> USD26.9 million in</w:t>
      </w:r>
      <w:r w:rsidR="00FD50E1" w:rsidRPr="00FD50E1">
        <w:t xml:space="preserve"> funding from the G</w:t>
      </w:r>
      <w:r w:rsidR="00454D81">
        <w:t xml:space="preserve">reen </w:t>
      </w:r>
      <w:r w:rsidR="00FD50E1" w:rsidRPr="00FD50E1">
        <w:t>C</w:t>
      </w:r>
      <w:r w:rsidR="00454D81">
        <w:t xml:space="preserve">limate </w:t>
      </w:r>
      <w:r w:rsidR="00FD50E1" w:rsidRPr="00FD50E1">
        <w:t>F</w:t>
      </w:r>
      <w:r w:rsidR="00454D81">
        <w:t>und</w:t>
      </w:r>
      <w:r w:rsidR="00FD50E1" w:rsidRPr="00FD50E1">
        <w:t xml:space="preserve"> for t</w:t>
      </w:r>
      <w:r w:rsidR="004A7BE8">
        <w:t xml:space="preserve">he </w:t>
      </w:r>
      <w:r w:rsidR="00FD50E1" w:rsidRPr="00FD50E1">
        <w:t>port project</w:t>
      </w:r>
      <w:r w:rsidR="004A7BE8">
        <w:t>.</w:t>
      </w:r>
      <w:r w:rsidR="00EF4BA3">
        <w:t xml:space="preserve">  </w:t>
      </w:r>
    </w:p>
    <w:p w14:paraId="2CD65DCA" w14:textId="77777777" w:rsidR="0082058E" w:rsidRPr="00EF4BA3" w:rsidRDefault="00911056" w:rsidP="00666B18">
      <w:r>
        <w:t xml:space="preserve">Construction </w:t>
      </w:r>
      <w:r w:rsidR="00C51874">
        <w:t>of</w:t>
      </w:r>
      <w:r w:rsidR="004A7BE8">
        <w:t xml:space="preserve"> th</w:t>
      </w:r>
      <w:r w:rsidR="004A7BE8" w:rsidRPr="00354256">
        <w:t xml:space="preserve">e </w:t>
      </w:r>
      <w:r w:rsidR="004A7BE8" w:rsidRPr="00610297">
        <w:t>Naoero Community Sports</w:t>
      </w:r>
      <w:r w:rsidRPr="00610297">
        <w:t xml:space="preserve"> Complex</w:t>
      </w:r>
      <w:r>
        <w:t xml:space="preserve"> commenced i</w:t>
      </w:r>
      <w:r w:rsidR="004A7BE8">
        <w:t>n October</w:t>
      </w:r>
      <w:r>
        <w:t xml:space="preserve"> 2017</w:t>
      </w:r>
      <w:r w:rsidR="00610297">
        <w:t xml:space="preserve"> and was completed in August 2018</w:t>
      </w:r>
      <w:r w:rsidR="00666B18">
        <w:t xml:space="preserve">. </w:t>
      </w:r>
      <w:r w:rsidR="00962FA8" w:rsidRPr="00962FA8">
        <w:t>In addition to facilitating a variety of training and mass-participation sports, the facility will be used for community workshops and events, as well as regional meetings, conferences and training.</w:t>
      </w:r>
    </w:p>
    <w:p w14:paraId="36D8D57E" w14:textId="77777777" w:rsidR="00312887" w:rsidRDefault="00312887" w:rsidP="00312887">
      <w:r w:rsidRPr="00B73F3B">
        <w:t xml:space="preserve">Construction </w:t>
      </w:r>
      <w:r>
        <w:t xml:space="preserve">on the </w:t>
      </w:r>
      <w:r w:rsidR="00EF4BA3">
        <w:t>second</w:t>
      </w:r>
      <w:r w:rsidRPr="00B73F3B">
        <w:t xml:space="preserve"> stage of </w:t>
      </w:r>
      <w:r w:rsidR="00412C28">
        <w:t>the</w:t>
      </w:r>
      <w:r>
        <w:t xml:space="preserve"> Learning Village (</w:t>
      </w:r>
      <w:r w:rsidR="00610297">
        <w:t>a learning centre and campus of the Univers</w:t>
      </w:r>
      <w:r w:rsidR="00412C28">
        <w:t>i</w:t>
      </w:r>
      <w:r w:rsidR="00610297">
        <w:t>ty of the South Pacific (USP)</w:t>
      </w:r>
      <w:r>
        <w:t xml:space="preserve">) was completed and </w:t>
      </w:r>
      <w:r w:rsidR="00EF4BA3">
        <w:t xml:space="preserve">opened </w:t>
      </w:r>
      <w:r>
        <w:t>in May 2018</w:t>
      </w:r>
      <w:r w:rsidRPr="00B73F3B">
        <w:t xml:space="preserve">. </w:t>
      </w:r>
      <w:r>
        <w:rPr>
          <w:lang w:val="en-US"/>
        </w:rPr>
        <w:t>The Learning Centre will provide Nauruan</w:t>
      </w:r>
      <w:r w:rsidR="00412C28">
        <w:rPr>
          <w:lang w:val="en-US"/>
        </w:rPr>
        <w:t xml:space="preserve"> secondary</w:t>
      </w:r>
      <w:r w:rsidR="003B5005">
        <w:rPr>
          <w:lang w:val="en-US"/>
        </w:rPr>
        <w:t xml:space="preserve"> </w:t>
      </w:r>
      <w:r w:rsidR="00412C28">
        <w:rPr>
          <w:lang w:val="en-US"/>
        </w:rPr>
        <w:t xml:space="preserve">and </w:t>
      </w:r>
      <w:r w:rsidR="00412C28">
        <w:t>t</w:t>
      </w:r>
      <w:r w:rsidR="00412C28" w:rsidRPr="00C74220">
        <w:t xml:space="preserve">echnical and </w:t>
      </w:r>
      <w:r w:rsidR="00412C28">
        <w:t>v</w:t>
      </w:r>
      <w:r w:rsidR="00412C28" w:rsidRPr="00C74220">
        <w:t xml:space="preserve">ocational </w:t>
      </w:r>
      <w:r>
        <w:rPr>
          <w:lang w:val="en-US"/>
        </w:rPr>
        <w:t xml:space="preserve">students </w:t>
      </w:r>
      <w:r w:rsidR="00610297">
        <w:rPr>
          <w:lang w:val="en-US"/>
        </w:rPr>
        <w:t xml:space="preserve">with </w:t>
      </w:r>
      <w:r>
        <w:rPr>
          <w:lang w:val="en-US"/>
        </w:rPr>
        <w:t>better access to study</w:t>
      </w:r>
      <w:r w:rsidR="00610297">
        <w:rPr>
          <w:lang w:val="en-US"/>
        </w:rPr>
        <w:t xml:space="preserve"> and training facilities</w:t>
      </w:r>
      <w:r>
        <w:rPr>
          <w:lang w:val="en-US"/>
        </w:rPr>
        <w:t xml:space="preserve"> and allow resources</w:t>
      </w:r>
      <w:r w:rsidR="00610297">
        <w:rPr>
          <w:lang w:val="en-US"/>
        </w:rPr>
        <w:t xml:space="preserve"> to be shared</w:t>
      </w:r>
      <w:r>
        <w:rPr>
          <w:lang w:val="en-US"/>
        </w:rPr>
        <w:t xml:space="preserve"> in the community library. </w:t>
      </w:r>
    </w:p>
    <w:p w14:paraId="378304B6" w14:textId="77777777" w:rsidR="00B148EA" w:rsidRDefault="00B148EA" w:rsidP="00CF3A7A">
      <w:pPr>
        <w:spacing w:after="200" w:line="240" w:lineRule="auto"/>
        <w:rPr>
          <w:rFonts w:asciiTheme="majorHAnsi" w:eastAsiaTheme="majorEastAsia" w:hAnsiTheme="majorHAnsi" w:cstheme="majorBidi"/>
          <w:caps/>
          <w:sz w:val="38"/>
          <w:szCs w:val="26"/>
        </w:rPr>
      </w:pPr>
    </w:p>
    <w:p w14:paraId="38588DF6" w14:textId="77777777" w:rsidR="00417E6D" w:rsidRDefault="00417E6D" w:rsidP="00CF3A7A">
      <w:pPr>
        <w:spacing w:after="200" w:line="240" w:lineRule="auto"/>
        <w:rPr>
          <w:rFonts w:asciiTheme="majorHAnsi" w:eastAsiaTheme="majorEastAsia" w:hAnsiTheme="majorHAnsi" w:cstheme="majorBidi"/>
          <w:caps/>
          <w:sz w:val="38"/>
          <w:szCs w:val="26"/>
        </w:rPr>
      </w:pPr>
      <w:r w:rsidRPr="002A51CA">
        <w:rPr>
          <w:rFonts w:asciiTheme="majorHAnsi" w:eastAsiaTheme="majorEastAsia" w:hAnsiTheme="majorHAnsi" w:cstheme="majorBidi"/>
          <w:caps/>
          <w:sz w:val="38"/>
          <w:szCs w:val="26"/>
        </w:rPr>
        <w:t xml:space="preserve">Objective </w:t>
      </w:r>
      <w:r w:rsidR="00FA02D2">
        <w:rPr>
          <w:rFonts w:asciiTheme="majorHAnsi" w:eastAsiaTheme="majorEastAsia" w:hAnsiTheme="majorHAnsi" w:cstheme="majorBidi"/>
          <w:caps/>
          <w:sz w:val="38"/>
          <w:szCs w:val="26"/>
        </w:rPr>
        <w:t xml:space="preserve">3: </w:t>
      </w:r>
      <w:r w:rsidR="00F94D4B">
        <w:rPr>
          <w:rFonts w:asciiTheme="majorHAnsi" w:eastAsiaTheme="majorEastAsia" w:hAnsiTheme="majorHAnsi" w:cstheme="majorBidi"/>
          <w:caps/>
          <w:sz w:val="38"/>
          <w:szCs w:val="26"/>
        </w:rPr>
        <w:t xml:space="preserve"> </w:t>
      </w:r>
      <w:r w:rsidRPr="00417E6D">
        <w:rPr>
          <w:rFonts w:asciiTheme="majorHAnsi" w:eastAsiaTheme="majorEastAsia" w:hAnsiTheme="majorHAnsi" w:cstheme="majorBidi"/>
          <w:caps/>
          <w:sz w:val="38"/>
          <w:szCs w:val="26"/>
        </w:rPr>
        <w:t xml:space="preserve">Supporting human development </w:t>
      </w:r>
      <w:r w:rsidR="00F94D4B">
        <w:rPr>
          <w:rFonts w:asciiTheme="majorHAnsi" w:eastAsiaTheme="majorEastAsia" w:hAnsiTheme="majorHAnsi" w:cstheme="majorBidi"/>
          <w:caps/>
          <w:sz w:val="38"/>
          <w:szCs w:val="26"/>
        </w:rPr>
        <w:t>-</w:t>
      </w:r>
      <w:r w:rsidR="00CF3A7A">
        <w:rPr>
          <w:rFonts w:asciiTheme="majorHAnsi" w:eastAsiaTheme="majorEastAsia" w:hAnsiTheme="majorHAnsi" w:cstheme="majorBidi"/>
          <w:caps/>
          <w:sz w:val="38"/>
          <w:szCs w:val="26"/>
        </w:rPr>
        <w:tab/>
      </w:r>
      <w:r w:rsidR="00CF3A7A">
        <w:rPr>
          <w:rFonts w:asciiTheme="majorHAnsi" w:eastAsiaTheme="majorEastAsia" w:hAnsiTheme="majorHAnsi" w:cstheme="majorBidi"/>
          <w:caps/>
          <w:sz w:val="38"/>
          <w:szCs w:val="26"/>
        </w:rPr>
        <w:tab/>
      </w:r>
      <w:r w:rsidR="00CF3A7A">
        <w:rPr>
          <w:rFonts w:asciiTheme="majorHAnsi" w:eastAsiaTheme="majorEastAsia" w:hAnsiTheme="majorHAnsi" w:cstheme="majorBidi"/>
          <w:caps/>
          <w:sz w:val="38"/>
          <w:szCs w:val="26"/>
        </w:rPr>
        <w:tab/>
      </w:r>
      <w:r w:rsidR="00CF3A7A">
        <w:rPr>
          <w:rFonts w:asciiTheme="majorHAnsi" w:eastAsiaTheme="majorEastAsia" w:hAnsiTheme="majorHAnsi" w:cstheme="majorBidi"/>
          <w:caps/>
          <w:sz w:val="38"/>
          <w:szCs w:val="26"/>
        </w:rPr>
        <w:tab/>
      </w:r>
      <w:r w:rsidR="00CF3A7A">
        <w:rPr>
          <w:rFonts w:asciiTheme="majorHAnsi" w:eastAsiaTheme="majorEastAsia" w:hAnsiTheme="majorHAnsi" w:cstheme="majorBidi"/>
          <w:caps/>
          <w:sz w:val="38"/>
          <w:szCs w:val="26"/>
        </w:rPr>
        <w:tab/>
      </w:r>
      <w:r w:rsidRPr="00417E6D">
        <w:rPr>
          <w:rFonts w:asciiTheme="majorHAnsi" w:eastAsiaTheme="majorEastAsia" w:hAnsiTheme="majorHAnsi" w:cstheme="majorBidi"/>
          <w:caps/>
          <w:sz w:val="38"/>
          <w:szCs w:val="26"/>
        </w:rPr>
        <w:t>health and education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6"/>
        <w:gridCol w:w="1906"/>
        <w:gridCol w:w="1906"/>
      </w:tblGrid>
      <w:tr w:rsidR="00EB0786" w:rsidRPr="00695730" w14:paraId="3995F24E" w14:textId="77777777" w:rsidTr="00454DB5">
        <w:tc>
          <w:tcPr>
            <w:tcW w:w="2016" w:type="dxa"/>
          </w:tcPr>
          <w:p w14:paraId="384AFA06" w14:textId="77777777" w:rsidR="00EB0786" w:rsidRPr="00695730" w:rsidRDefault="00EB0786" w:rsidP="003222ED">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78C4E049" wp14:editId="33DD4988">
                  <wp:extent cx="1137600" cy="720000"/>
                  <wp:effectExtent l="0" t="0" r="571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6" w:type="dxa"/>
          </w:tcPr>
          <w:p w14:paraId="2F6681FC" w14:textId="77777777" w:rsidR="00EB0786" w:rsidRPr="00695730" w:rsidRDefault="00EB0786" w:rsidP="00CB61F3">
            <w:pPr>
              <w:suppressAutoHyphens w:val="0"/>
              <w:spacing w:before="160" w:after="80" w:line="240" w:lineRule="auto"/>
              <w:ind w:left="280"/>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4B5AA75E" wp14:editId="6FD3AD7E">
                  <wp:extent cx="612000" cy="61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0A95772B" w14:textId="77777777" w:rsidR="00EB0786" w:rsidRPr="00695730" w:rsidRDefault="00EB0786" w:rsidP="003222ED">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26B3ADA4" wp14:editId="56193196">
                  <wp:extent cx="612000" cy="61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23095F33" w14:textId="77777777" w:rsidR="00EB0786" w:rsidRPr="00695730" w:rsidRDefault="00EB0786" w:rsidP="003222ED">
            <w:pPr>
              <w:suppressAutoHyphens w:val="0"/>
              <w:spacing w:before="160" w:after="80" w:line="240" w:lineRule="auto"/>
              <w:jc w:val="center"/>
              <w:rPr>
                <w:rFonts w:ascii="Franklin Gothic Book" w:eastAsia="Times New Roman" w:hAnsi="Franklin Gothic Book" w:cs="Times New Roman"/>
                <w:noProof/>
                <w:color w:val="auto"/>
                <w:sz w:val="21"/>
                <w:szCs w:val="24"/>
                <w:lang w:val="en-AU" w:eastAsia="en-AU"/>
              </w:rPr>
            </w:pPr>
            <w:r>
              <w:rPr>
                <w:rFonts w:asciiTheme="majorHAnsi" w:eastAsiaTheme="majorEastAsia" w:hAnsiTheme="majorHAnsi" w:cstheme="majorBidi"/>
                <w:caps/>
                <w:noProof/>
                <w:sz w:val="38"/>
                <w:szCs w:val="26"/>
                <w:lang w:val="en-AU" w:eastAsia="en-AU"/>
              </w:rPr>
              <w:drawing>
                <wp:anchor distT="0" distB="0" distL="114300" distR="114300" simplePos="0" relativeHeight="251678720" behindDoc="0" locked="0" layoutInCell="1" allowOverlap="1" wp14:anchorId="1F902C7F" wp14:editId="7907D847">
                  <wp:simplePos x="0" y="0"/>
                  <wp:positionH relativeFrom="column">
                    <wp:posOffset>100965</wp:posOffset>
                  </wp:positionH>
                  <wp:positionV relativeFrom="paragraph">
                    <wp:posOffset>105410</wp:posOffset>
                  </wp:positionV>
                  <wp:extent cx="609600" cy="614680"/>
                  <wp:effectExtent l="0" t="0" r="0" b="0"/>
                  <wp:wrapThrough wrapText="bothSides">
                    <wp:wrapPolygon edited="0">
                      <wp:start x="0" y="0"/>
                      <wp:lineTo x="0" y="20752"/>
                      <wp:lineTo x="20925" y="20752"/>
                      <wp:lineTo x="2092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00" cy="61468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87D7ED1" w14:textId="77777777" w:rsidR="004808DA" w:rsidRDefault="004808DA" w:rsidP="00640F66">
      <w:r>
        <w:t>Re</w:t>
      </w:r>
      <w:r w:rsidRPr="00684DD8">
        <w:t xml:space="preserve">sults under this objective were again mixed </w:t>
      </w:r>
      <w:r w:rsidR="00817C37" w:rsidRPr="00684DD8">
        <w:t>in 2017-18</w:t>
      </w:r>
      <w:r w:rsidR="00FA02D2" w:rsidRPr="00684DD8">
        <w:t xml:space="preserve">. The </w:t>
      </w:r>
      <w:r w:rsidR="00817C37" w:rsidRPr="00684DD8">
        <w:t>health sector program</w:t>
      </w:r>
      <w:r w:rsidR="00F53430" w:rsidRPr="00684DD8">
        <w:t xml:space="preserve"> </w:t>
      </w:r>
      <w:r w:rsidR="00E642E3">
        <w:t>continued to underperform</w:t>
      </w:r>
      <w:r w:rsidR="00F94D4B" w:rsidRPr="00684DD8">
        <w:t xml:space="preserve">, </w:t>
      </w:r>
      <w:r w:rsidR="00CB61F3" w:rsidRPr="00684DD8">
        <w:t>with</w:t>
      </w:r>
      <w:r w:rsidR="00DF7F8D" w:rsidRPr="00684DD8">
        <w:t xml:space="preserve"> </w:t>
      </w:r>
      <w:r w:rsidR="00B27F93" w:rsidRPr="00684DD8">
        <w:t xml:space="preserve">activities and </w:t>
      </w:r>
      <w:r w:rsidR="00DF7F8D" w:rsidRPr="00684DD8">
        <w:t xml:space="preserve">programs </w:t>
      </w:r>
      <w:r w:rsidR="00CB61F3" w:rsidRPr="00684DD8">
        <w:t>supported by</w:t>
      </w:r>
      <w:r w:rsidR="00FA02D2" w:rsidRPr="00684DD8">
        <w:t xml:space="preserve"> </w:t>
      </w:r>
      <w:r w:rsidR="00C86125">
        <w:t>Australia’s</w:t>
      </w:r>
      <w:r w:rsidR="00C86125" w:rsidRPr="00684DD8">
        <w:t xml:space="preserve"> </w:t>
      </w:r>
      <w:r w:rsidR="00FA02D2" w:rsidRPr="00684DD8">
        <w:t>direct funding</w:t>
      </w:r>
      <w:r w:rsidR="005A1A2F" w:rsidRPr="00684DD8">
        <w:t xml:space="preserve"> </w:t>
      </w:r>
      <w:r w:rsidR="00E642E3">
        <w:t xml:space="preserve">in previous years still </w:t>
      </w:r>
      <w:r w:rsidR="00CB61F3" w:rsidRPr="00684DD8">
        <w:t>significantly behind schedule</w:t>
      </w:r>
      <w:r w:rsidR="005014C4">
        <w:t>.</w:t>
      </w:r>
      <w:r w:rsidR="00C86125">
        <w:t xml:space="preserve"> Progress under this </w:t>
      </w:r>
      <w:r w:rsidR="00EF5C88">
        <w:t>sub-</w:t>
      </w:r>
      <w:r w:rsidR="00C86125">
        <w:t>objective</w:t>
      </w:r>
      <w:r w:rsidR="004A2734">
        <w:t xml:space="preserve"> has therefore been rated ‘red’</w:t>
      </w:r>
      <w:r w:rsidR="00FA02D2" w:rsidRPr="00684DD8">
        <w:t>.</w:t>
      </w:r>
      <w:r w:rsidR="00454DB5">
        <w:t xml:space="preserve"> However, Australian-funded</w:t>
      </w:r>
      <w:r w:rsidRPr="00684DD8">
        <w:t xml:space="preserve"> technical advi</w:t>
      </w:r>
      <w:r w:rsidR="00454DB5">
        <w:t>ser</w:t>
      </w:r>
      <w:r w:rsidRPr="00684DD8">
        <w:t xml:space="preserve"> </w:t>
      </w:r>
      <w:r w:rsidR="00454DB5">
        <w:t>contributed</w:t>
      </w:r>
      <w:r w:rsidRPr="00684DD8">
        <w:t xml:space="preserve"> to stronger performance</w:t>
      </w:r>
      <w:r w:rsidR="00C86125">
        <w:t xml:space="preserve"> by our education investment</w:t>
      </w:r>
      <w:r w:rsidR="000D64FD">
        <w:t>, and</w:t>
      </w:r>
      <w:r w:rsidR="00467DCA">
        <w:t xml:space="preserve"> </w:t>
      </w:r>
      <w:r w:rsidR="000D64FD">
        <w:t xml:space="preserve">closer alignment </w:t>
      </w:r>
      <w:r w:rsidR="00467DCA">
        <w:t>with the 2017 Foreign Policy White Paper objective of preparing graduates for employment and community engagement across the region.</w:t>
      </w:r>
      <w:r w:rsidR="001B337C">
        <w:t xml:space="preserve"> As a result, progress against the education sub-objective has been rated ‘green’.</w:t>
      </w:r>
    </w:p>
    <w:p w14:paraId="1176E1A9" w14:textId="77777777" w:rsidR="00E642E3" w:rsidRPr="007A2C03" w:rsidRDefault="00E642E3" w:rsidP="00E642E3">
      <w:r w:rsidRPr="00640F66">
        <w:t xml:space="preserve">The </w:t>
      </w:r>
      <w:r w:rsidRPr="00610297">
        <w:rPr>
          <w:i/>
        </w:rPr>
        <w:t xml:space="preserve">Nauru Improved Health </w:t>
      </w:r>
      <w:r w:rsidR="00610297">
        <w:rPr>
          <w:i/>
        </w:rPr>
        <w:t>Investment</w:t>
      </w:r>
      <w:r w:rsidRPr="00640F66">
        <w:t xml:space="preserve"> focuses on strengthening</w:t>
      </w:r>
      <w:r>
        <w:t xml:space="preserve"> the</w:t>
      </w:r>
      <w:r w:rsidRPr="00640F66">
        <w:t xml:space="preserve"> </w:t>
      </w:r>
      <w:r>
        <w:t xml:space="preserve">health system, in particular, budget prioritisation, strategic planning and supporting primary and curative healthcare. </w:t>
      </w:r>
      <w:r w:rsidRPr="00640F66">
        <w:t xml:space="preserve">Australia’s support to the Nauru Ministry </w:t>
      </w:r>
      <w:r>
        <w:t xml:space="preserve">of Health and Medical Services (MHMS) </w:t>
      </w:r>
      <w:r w:rsidRPr="00640F66">
        <w:t xml:space="preserve">included addressing personnel, policy and financial gaps through the provision of technical advisers, </w:t>
      </w:r>
      <w:r>
        <w:t>training,</w:t>
      </w:r>
      <w:r w:rsidRPr="00640F66">
        <w:t xml:space="preserve"> and the implementation of key programs such as </w:t>
      </w:r>
      <w:r w:rsidR="00767A81">
        <w:t>Nauru’s</w:t>
      </w:r>
      <w:r w:rsidRPr="00640F66">
        <w:t xml:space="preserve"> public health and </w:t>
      </w:r>
      <w:r>
        <w:t>non-communicable disease</w:t>
      </w:r>
      <w:r w:rsidRPr="00640F66">
        <w:t xml:space="preserve"> strateg</w:t>
      </w:r>
      <w:r>
        <w:t>ies</w:t>
      </w:r>
      <w:r w:rsidRPr="00640F66">
        <w:t>.</w:t>
      </w:r>
    </w:p>
    <w:p w14:paraId="18BBB9AF" w14:textId="77777777" w:rsidR="00554170" w:rsidRDefault="00D2437D" w:rsidP="00D2437D">
      <w:pPr>
        <w:spacing w:after="120"/>
      </w:pPr>
      <w:r>
        <w:t xml:space="preserve">In </w:t>
      </w:r>
      <w:r w:rsidRPr="00D2437D">
        <w:t>2017</w:t>
      </w:r>
      <w:r>
        <w:t xml:space="preserve">, </w:t>
      </w:r>
      <w:r w:rsidR="00D06002">
        <w:t>Australia</w:t>
      </w:r>
      <w:r w:rsidR="00E2465D">
        <w:t xml:space="preserve"> undertook an</w:t>
      </w:r>
      <w:r w:rsidRPr="00D2437D">
        <w:t xml:space="preserve"> independent review </w:t>
      </w:r>
      <w:r w:rsidR="00E2465D">
        <w:t>of the</w:t>
      </w:r>
      <w:r w:rsidR="00E2465D" w:rsidRPr="00610297">
        <w:rPr>
          <w:i/>
        </w:rPr>
        <w:t xml:space="preserve"> </w:t>
      </w:r>
      <w:r w:rsidR="00554170" w:rsidRPr="00610297">
        <w:rPr>
          <w:i/>
        </w:rPr>
        <w:t xml:space="preserve">Nauru Improved Health </w:t>
      </w:r>
      <w:r w:rsidR="00610297">
        <w:rPr>
          <w:i/>
        </w:rPr>
        <w:t>I</w:t>
      </w:r>
      <w:r w:rsidR="00E2465D" w:rsidRPr="00610297">
        <w:rPr>
          <w:i/>
        </w:rPr>
        <w:t>nvestment</w:t>
      </w:r>
      <w:r w:rsidR="00E2465D">
        <w:t xml:space="preserve">. The review identified </w:t>
      </w:r>
      <w:r w:rsidR="000E4E1A">
        <w:t>some achievements</w:t>
      </w:r>
      <w:r w:rsidR="00E2465D">
        <w:t xml:space="preserve"> including</w:t>
      </w:r>
      <w:r w:rsidRPr="00D2437D">
        <w:t xml:space="preserve">: </w:t>
      </w:r>
    </w:p>
    <w:p w14:paraId="74CF2545" w14:textId="77777777" w:rsidR="00554170" w:rsidRPr="001700E5" w:rsidRDefault="00721EA2" w:rsidP="0018656B">
      <w:pPr>
        <w:pStyle w:val="ListParagraph"/>
        <w:numPr>
          <w:ilvl w:val="0"/>
          <w:numId w:val="15"/>
        </w:numPr>
        <w:spacing w:after="120"/>
      </w:pPr>
      <w:r>
        <w:t xml:space="preserve">The </w:t>
      </w:r>
      <w:r w:rsidR="00554170">
        <w:t>recruitment of</w:t>
      </w:r>
      <w:r w:rsidR="00D2437D" w:rsidRPr="00D2437D">
        <w:t xml:space="preserve"> three zone nurses </w:t>
      </w:r>
      <w:r w:rsidR="00C81073">
        <w:t xml:space="preserve">(all female) </w:t>
      </w:r>
      <w:r w:rsidR="00D2437D" w:rsidRPr="00D2437D">
        <w:t xml:space="preserve">to provide domiciliary care, follow up </w:t>
      </w:r>
      <w:r w:rsidR="00767A81">
        <w:t xml:space="preserve">with </w:t>
      </w:r>
      <w:r w:rsidR="00454DB5">
        <w:t xml:space="preserve">patients </w:t>
      </w:r>
      <w:r w:rsidR="00D2437D" w:rsidRPr="00D2437D">
        <w:t>discharge</w:t>
      </w:r>
      <w:r w:rsidR="00454DB5">
        <w:t xml:space="preserve">d but </w:t>
      </w:r>
      <w:r w:rsidR="00D2437D" w:rsidRPr="00D2437D">
        <w:t>r</w:t>
      </w:r>
      <w:r w:rsidR="00D2437D" w:rsidRPr="00354256">
        <w:t xml:space="preserve">equiring ongoing care and </w:t>
      </w:r>
      <w:r w:rsidR="00354256" w:rsidRPr="00354256">
        <w:t xml:space="preserve">maintain or re-establish </w:t>
      </w:r>
      <w:r w:rsidR="00D2437D" w:rsidRPr="00354256">
        <w:t xml:space="preserve">contact with </w:t>
      </w:r>
      <w:r w:rsidR="00354256" w:rsidRPr="00354256">
        <w:t xml:space="preserve">those </w:t>
      </w:r>
      <w:r w:rsidR="00D2437D" w:rsidRPr="00354256">
        <w:t xml:space="preserve">requiring care for reproductive health or </w:t>
      </w:r>
      <w:r>
        <w:t>non-communicable diseases (NCDs)</w:t>
      </w:r>
      <w:r w:rsidR="00D2437D" w:rsidRPr="00354256">
        <w:t xml:space="preserve">.  </w:t>
      </w:r>
    </w:p>
    <w:p w14:paraId="49D5B8D5" w14:textId="77777777" w:rsidR="00554170" w:rsidRPr="00354256" w:rsidRDefault="00721EA2" w:rsidP="0018656B">
      <w:pPr>
        <w:pStyle w:val="ListParagraph"/>
        <w:numPr>
          <w:ilvl w:val="0"/>
          <w:numId w:val="15"/>
        </w:numPr>
        <w:spacing w:after="120"/>
      </w:pPr>
      <w:r>
        <w:t>T</w:t>
      </w:r>
      <w:r w:rsidR="00D2437D" w:rsidRPr="00354256">
        <w:t xml:space="preserve">he provision of </w:t>
      </w:r>
      <w:r w:rsidR="00454DB5">
        <w:t>w</w:t>
      </w:r>
      <w:r w:rsidR="00D2437D" w:rsidRPr="00E642E3">
        <w:t xml:space="preserve">ellness </w:t>
      </w:r>
      <w:r w:rsidR="00454DB5">
        <w:t>c</w:t>
      </w:r>
      <w:r w:rsidR="00D2437D" w:rsidRPr="00E642E3">
        <w:t>entres</w:t>
      </w:r>
      <w:r w:rsidR="00354256">
        <w:t xml:space="preserve"> (local clinics) around the island</w:t>
      </w:r>
      <w:r w:rsidR="00D2437D" w:rsidRPr="00354256">
        <w:t xml:space="preserve"> to improve </w:t>
      </w:r>
      <w:r w:rsidR="00554170" w:rsidRPr="0018656B">
        <w:t xml:space="preserve">the </w:t>
      </w:r>
      <w:r w:rsidR="00D2437D" w:rsidRPr="00354256">
        <w:t>comm</w:t>
      </w:r>
      <w:r w:rsidR="00C61F55" w:rsidRPr="00354256">
        <w:t>unity's access to health care</w:t>
      </w:r>
      <w:r w:rsidR="00554170" w:rsidRPr="00354256">
        <w:t>.</w:t>
      </w:r>
      <w:r w:rsidR="00D2437D" w:rsidRPr="00354256">
        <w:t xml:space="preserve">  </w:t>
      </w:r>
    </w:p>
    <w:p w14:paraId="2720AB75" w14:textId="77777777" w:rsidR="00554170" w:rsidRDefault="00721EA2" w:rsidP="0018656B">
      <w:pPr>
        <w:pStyle w:val="ListParagraph"/>
        <w:numPr>
          <w:ilvl w:val="0"/>
          <w:numId w:val="15"/>
        </w:numPr>
        <w:spacing w:after="120"/>
      </w:pPr>
      <w:r>
        <w:t>F</w:t>
      </w:r>
      <w:r w:rsidR="00D2437D" w:rsidRPr="00D2437D">
        <w:t>unding</w:t>
      </w:r>
      <w:r w:rsidR="00554170">
        <w:t xml:space="preserve"> for</w:t>
      </w:r>
      <w:r w:rsidR="00D2437D" w:rsidRPr="00D2437D">
        <w:t xml:space="preserve"> the Nauru Health Professionals Training Institute (NHPTI) that upg</w:t>
      </w:r>
      <w:r w:rsidR="00D2437D">
        <w:t>rades nurse competence levels</w:t>
      </w:r>
      <w:r w:rsidR="00554170">
        <w:t>.</w:t>
      </w:r>
      <w:r w:rsidR="00D2437D">
        <w:t xml:space="preserve"> </w:t>
      </w:r>
      <w:r w:rsidR="00554170">
        <w:t>I</w:t>
      </w:r>
      <w:r w:rsidR="00D2437D" w:rsidRPr="00D2437D">
        <w:t>n 2017</w:t>
      </w:r>
      <w:r w:rsidR="00D2437D">
        <w:t>, 8 nurse aids commenced</w:t>
      </w:r>
      <w:r w:rsidR="00D2437D" w:rsidRPr="00D2437D">
        <w:t xml:space="preserve">, including </w:t>
      </w:r>
      <w:r w:rsidR="00C61F55">
        <w:t>2 males.  The NHPTI also ran</w:t>
      </w:r>
      <w:r w:rsidR="00D2437D" w:rsidRPr="00D2437D">
        <w:t xml:space="preserve"> a program for registered nurses (9 </w:t>
      </w:r>
      <w:r>
        <w:t>commenced</w:t>
      </w:r>
      <w:r w:rsidR="00D2437D" w:rsidRPr="00D2437D">
        <w:t>, 7 are awaiting examination)</w:t>
      </w:r>
      <w:r w:rsidR="00554170">
        <w:t>.</w:t>
      </w:r>
    </w:p>
    <w:p w14:paraId="2B5E6672" w14:textId="77777777" w:rsidR="00554170" w:rsidRPr="00E642E3" w:rsidRDefault="00D2437D" w:rsidP="0018656B">
      <w:pPr>
        <w:pStyle w:val="ListParagraph"/>
        <w:numPr>
          <w:ilvl w:val="0"/>
          <w:numId w:val="15"/>
        </w:numPr>
        <w:spacing w:after="120"/>
      </w:pPr>
      <w:r w:rsidRPr="00E642E3">
        <w:t xml:space="preserve">Six Nauruans </w:t>
      </w:r>
      <w:r w:rsidR="00C81073" w:rsidRPr="00E642E3">
        <w:t xml:space="preserve">(5 female, 1 male) </w:t>
      </w:r>
      <w:r w:rsidRPr="00E642E3">
        <w:t xml:space="preserve">completed a diploma in Community Health and Wellbeing through </w:t>
      </w:r>
      <w:r w:rsidR="00C359FE" w:rsidRPr="00E642E3">
        <w:t xml:space="preserve">the </w:t>
      </w:r>
      <w:r w:rsidRPr="00E642E3">
        <w:t>U</w:t>
      </w:r>
      <w:r w:rsidR="00C359FE" w:rsidRPr="00E642E3">
        <w:t>niversity of New England (U</w:t>
      </w:r>
      <w:r w:rsidRPr="00E642E3">
        <w:t>NE</w:t>
      </w:r>
      <w:r w:rsidR="00C359FE" w:rsidRPr="00E642E3">
        <w:t>)</w:t>
      </w:r>
      <w:r w:rsidRPr="00E642E3">
        <w:t>.</w:t>
      </w:r>
      <w:r w:rsidR="00684DD8" w:rsidRPr="00E642E3">
        <w:t xml:space="preserve"> </w:t>
      </w:r>
    </w:p>
    <w:p w14:paraId="5F8CED11" w14:textId="77777777" w:rsidR="00292B9E" w:rsidRDefault="00292B9E" w:rsidP="00292B9E">
      <w:pPr>
        <w:spacing w:after="120"/>
      </w:pPr>
      <w:r w:rsidRPr="006053D6">
        <w:t xml:space="preserve">The </w:t>
      </w:r>
      <w:r w:rsidR="00721EA2">
        <w:t>independent</w:t>
      </w:r>
      <w:r w:rsidRPr="006053D6">
        <w:t xml:space="preserve"> review recommended a redesign of the investment using primarily a project-based modality</w:t>
      </w:r>
      <w:r w:rsidR="004C38A0" w:rsidRPr="006053D6">
        <w:t xml:space="preserve"> rather than direct funding</w:t>
      </w:r>
      <w:r w:rsidR="00721EA2">
        <w:t xml:space="preserve"> (</w:t>
      </w:r>
      <w:r w:rsidR="004C38A0" w:rsidRPr="006053D6">
        <w:t>as provided under the current investment</w:t>
      </w:r>
      <w:r w:rsidR="00721EA2">
        <w:t>)</w:t>
      </w:r>
      <w:r w:rsidR="004C38A0" w:rsidRPr="006053D6">
        <w:t>.</w:t>
      </w:r>
      <w:r w:rsidRPr="006053D6">
        <w:t xml:space="preserve"> </w:t>
      </w:r>
      <w:r w:rsidR="00C359FE" w:rsidRPr="006053D6">
        <w:t xml:space="preserve">Australia </w:t>
      </w:r>
      <w:r w:rsidR="00E642E3" w:rsidRPr="006053D6">
        <w:t>finalised a redesign of its health investment in</w:t>
      </w:r>
      <w:r w:rsidR="00721EA2">
        <w:t xml:space="preserve"> Nauru in</w:t>
      </w:r>
      <w:r w:rsidR="00E642E3" w:rsidRPr="006053D6">
        <w:t xml:space="preserve"> August 2018.  The redesigned investment will leverage the World Health Organisation to support NCD management and prevention in Nauru alongside the engagement of a managing contractor to enhance core systems within MHMS. It is hoped that the redesigned investment will i</w:t>
      </w:r>
      <w:r w:rsidRPr="006053D6">
        <w:t>mprove</w:t>
      </w:r>
      <w:r w:rsidR="00C61F55" w:rsidRPr="006053D6">
        <w:t xml:space="preserve"> </w:t>
      </w:r>
      <w:r w:rsidR="009B1D55" w:rsidRPr="006053D6">
        <w:t>program effectiveness</w:t>
      </w:r>
      <w:r w:rsidR="00C81073" w:rsidRPr="006053D6">
        <w:t xml:space="preserve"> and accelerate progress over the next three years in preventing and managing NCDs.</w:t>
      </w:r>
      <w:r w:rsidR="00D01E53" w:rsidRPr="006053D6">
        <w:t xml:space="preserve">  </w:t>
      </w:r>
      <w:r w:rsidR="00721EA2">
        <w:t>The limited c</w:t>
      </w:r>
      <w:r w:rsidR="00D01E53" w:rsidRPr="006053D6">
        <w:t>apacity</w:t>
      </w:r>
      <w:r w:rsidR="00D01E53">
        <w:t xml:space="preserve"> within MHMS will continue to be an important risk to be managed throughout the new project.</w:t>
      </w:r>
      <w:r w:rsidR="00C81073">
        <w:rPr>
          <w:rFonts w:ascii="Times New Roman" w:hAnsi="Times New Roman" w:cs="Times New Roman"/>
          <w:sz w:val="24"/>
          <w:szCs w:val="24"/>
        </w:rPr>
        <w:t xml:space="preserve"> </w:t>
      </w:r>
    </w:p>
    <w:p w14:paraId="3C6F9438" w14:textId="77777777" w:rsidR="00554170" w:rsidRDefault="009B1D55" w:rsidP="00554170">
      <w:pPr>
        <w:spacing w:after="120"/>
      </w:pPr>
      <w:r>
        <w:t>A</w:t>
      </w:r>
      <w:r w:rsidR="00554170" w:rsidRPr="00684DD8">
        <w:t xml:space="preserve"> gender-based violence counsellor</w:t>
      </w:r>
      <w:r>
        <w:t xml:space="preserve"> </w:t>
      </w:r>
      <w:r w:rsidR="00454DB5">
        <w:t>funded by Australia</w:t>
      </w:r>
      <w:r w:rsidR="00554170" w:rsidRPr="00684DD8">
        <w:t xml:space="preserve"> made some </w:t>
      </w:r>
      <w:r>
        <w:t>progress</w:t>
      </w:r>
      <w:r w:rsidR="00554170" w:rsidRPr="00684DD8">
        <w:t xml:space="preserve"> with</w:t>
      </w:r>
      <w:r w:rsidR="00554170">
        <w:t xml:space="preserve"> </w:t>
      </w:r>
      <w:r w:rsidR="00554170" w:rsidRPr="00684DD8">
        <w:t xml:space="preserve">MHMS in developing a </w:t>
      </w:r>
      <w:r w:rsidR="00554170">
        <w:t>domestic violence screening tool</w:t>
      </w:r>
      <w:r w:rsidR="00554170" w:rsidRPr="00684DD8">
        <w:t xml:space="preserve"> and updat</w:t>
      </w:r>
      <w:r w:rsidR="00554170">
        <w:t xml:space="preserve">ing </w:t>
      </w:r>
      <w:r w:rsidR="00554170" w:rsidRPr="00684DD8">
        <w:t xml:space="preserve">child protection and </w:t>
      </w:r>
      <w:r w:rsidR="00554170">
        <w:t>domestic violence</w:t>
      </w:r>
      <w:r w:rsidR="00554170" w:rsidRPr="00684DD8">
        <w:t xml:space="preserve"> policies</w:t>
      </w:r>
      <w:r w:rsidR="00554170">
        <w:t xml:space="preserve"> for the hospital</w:t>
      </w:r>
      <w:r w:rsidR="00554170" w:rsidRPr="00684DD8">
        <w:t xml:space="preserve">. </w:t>
      </w:r>
    </w:p>
    <w:p w14:paraId="1F960987" w14:textId="77777777" w:rsidR="00692D65" w:rsidRPr="00C74220" w:rsidRDefault="00E65C75" w:rsidP="00B45F5A">
      <w:pPr>
        <w:spacing w:after="120"/>
      </w:pPr>
      <w:r w:rsidRPr="00C74220">
        <w:t>Australia supports implementation of</w:t>
      </w:r>
      <w:r w:rsidR="009A6606" w:rsidRPr="00C74220">
        <w:t xml:space="preserve"> Nauru’</w:t>
      </w:r>
      <w:r w:rsidR="003E526E" w:rsidRPr="00C74220">
        <w:t xml:space="preserve">s </w:t>
      </w:r>
      <w:r w:rsidR="003E526E" w:rsidRPr="00721EA2">
        <w:rPr>
          <w:i/>
        </w:rPr>
        <w:t>Education Sector Strategy 2017-2021</w:t>
      </w:r>
      <w:r w:rsidR="003E526E" w:rsidRPr="00C74220">
        <w:t xml:space="preserve"> with </w:t>
      </w:r>
      <w:r w:rsidR="009A6606" w:rsidRPr="00C74220">
        <w:t xml:space="preserve">direct funding to </w:t>
      </w:r>
      <w:r w:rsidR="00454DB5">
        <w:t xml:space="preserve">the </w:t>
      </w:r>
      <w:r w:rsidR="00692D65" w:rsidRPr="00C74220">
        <w:t>Department</w:t>
      </w:r>
      <w:r w:rsidR="0091453A" w:rsidRPr="00C74220">
        <w:t xml:space="preserve"> </w:t>
      </w:r>
      <w:r w:rsidR="009A6606" w:rsidRPr="00C74220">
        <w:t>of Education</w:t>
      </w:r>
      <w:r w:rsidR="00C359FE">
        <w:t xml:space="preserve"> and Training</w:t>
      </w:r>
      <w:r w:rsidR="00692D65" w:rsidRPr="00C74220">
        <w:t xml:space="preserve"> (DoE</w:t>
      </w:r>
      <w:r w:rsidR="00C359FE">
        <w:t>T</w:t>
      </w:r>
      <w:r w:rsidR="00692D65" w:rsidRPr="00C74220">
        <w:t>)</w:t>
      </w:r>
      <w:r w:rsidR="009A6606" w:rsidRPr="00C74220">
        <w:t xml:space="preserve"> through an operational account. In </w:t>
      </w:r>
      <w:r w:rsidR="00C359FE">
        <w:t>line with agreed priorities</w:t>
      </w:r>
      <w:r w:rsidR="009A6606" w:rsidRPr="00C74220">
        <w:t xml:space="preserve">, Nauru </w:t>
      </w:r>
      <w:r w:rsidR="00C359FE">
        <w:t xml:space="preserve">accesses funds to </w:t>
      </w:r>
      <w:r w:rsidR="009A6606" w:rsidRPr="00C74220">
        <w:t xml:space="preserve">provide </w:t>
      </w:r>
      <w:r w:rsidR="00C359FE">
        <w:t xml:space="preserve">locally and regionally relevant </w:t>
      </w:r>
      <w:r w:rsidR="009A6606" w:rsidRPr="00C74220">
        <w:t>educational pathways.</w:t>
      </w:r>
      <w:r w:rsidR="00692D65" w:rsidRPr="00C74220">
        <w:t xml:space="preserve"> In August 2017, </w:t>
      </w:r>
      <w:r w:rsidR="00C359FE">
        <w:t>Australia</w:t>
      </w:r>
      <w:r w:rsidR="00C359FE" w:rsidRPr="00C74220">
        <w:t xml:space="preserve"> </w:t>
      </w:r>
      <w:r w:rsidR="00692D65" w:rsidRPr="00C74220">
        <w:t>suppo</w:t>
      </w:r>
      <w:r w:rsidR="00817C37" w:rsidRPr="00C74220">
        <w:t>rted DoE</w:t>
      </w:r>
      <w:r w:rsidR="00C359FE">
        <w:t>T</w:t>
      </w:r>
      <w:r w:rsidR="00817C37" w:rsidRPr="00C74220">
        <w:t xml:space="preserve"> to engage</w:t>
      </w:r>
      <w:r w:rsidR="00692D65" w:rsidRPr="00C74220">
        <w:t xml:space="preserve"> a Strategic Plan Implementation Advisor through </w:t>
      </w:r>
      <w:r w:rsidR="009D2E83" w:rsidRPr="00C74220">
        <w:t xml:space="preserve">the </w:t>
      </w:r>
      <w:r w:rsidR="00692D65" w:rsidRPr="00C74220">
        <w:t>PACTAM2</w:t>
      </w:r>
      <w:r w:rsidR="009533F0" w:rsidRPr="00C74220">
        <w:t xml:space="preserve"> </w:t>
      </w:r>
      <w:r w:rsidR="009D2E83" w:rsidRPr="00C74220">
        <w:t>mechanism</w:t>
      </w:r>
      <w:r w:rsidR="00C359FE">
        <w:t xml:space="preserve"> which</w:t>
      </w:r>
      <w:r w:rsidR="00692D65" w:rsidRPr="00C74220">
        <w:t xml:space="preserve"> has led to more collaborati</w:t>
      </w:r>
      <w:r w:rsidR="00767A81">
        <w:t>on</w:t>
      </w:r>
      <w:r w:rsidR="00692D65" w:rsidRPr="00C74220">
        <w:t xml:space="preserve"> </w:t>
      </w:r>
      <w:r w:rsidR="007E6A46" w:rsidRPr="00C74220">
        <w:t xml:space="preserve">between </w:t>
      </w:r>
      <w:r w:rsidR="007C4B9A" w:rsidRPr="00C74220">
        <w:t xml:space="preserve">the two governments. </w:t>
      </w:r>
      <w:r w:rsidR="00692D65" w:rsidRPr="00C74220">
        <w:t xml:space="preserve">  </w:t>
      </w:r>
      <w:r w:rsidR="00B45F5A" w:rsidRPr="00C74220">
        <w:t xml:space="preserve"> </w:t>
      </w:r>
    </w:p>
    <w:p w14:paraId="59F84A12" w14:textId="77777777" w:rsidR="00721EA2" w:rsidRDefault="00D06002" w:rsidP="00622A28">
      <w:pPr>
        <w:spacing w:after="120"/>
      </w:pPr>
      <w:r>
        <w:t>Australia</w:t>
      </w:r>
      <w:r w:rsidR="009B75DD" w:rsidRPr="00C74220">
        <w:t>’s support</w:t>
      </w:r>
      <w:r w:rsidR="009B1D55">
        <w:t xml:space="preserve"> for</w:t>
      </w:r>
      <w:r w:rsidR="009B75DD" w:rsidRPr="00C74220">
        <w:t xml:space="preserve"> secondary education</w:t>
      </w:r>
      <w:r w:rsidR="009B1D55">
        <w:t xml:space="preserve"> in Nauru</w:t>
      </w:r>
      <w:r w:rsidR="009B75DD" w:rsidRPr="00C74220">
        <w:t xml:space="preserve"> continues to </w:t>
      </w:r>
      <w:r w:rsidR="009B1D55">
        <w:t>provide</w:t>
      </w:r>
      <w:r w:rsidR="009B1D55" w:rsidRPr="00C74220">
        <w:t xml:space="preserve"> </w:t>
      </w:r>
      <w:r w:rsidRPr="007B413E">
        <w:t xml:space="preserve">Australian qualifications </w:t>
      </w:r>
      <w:r>
        <w:t xml:space="preserve">to </w:t>
      </w:r>
      <w:r w:rsidR="004E2668" w:rsidRPr="00C74220">
        <w:t xml:space="preserve">Nauruans </w:t>
      </w:r>
      <w:r w:rsidR="00534D1D" w:rsidRPr="00C74220">
        <w:t xml:space="preserve">through </w:t>
      </w:r>
      <w:r w:rsidR="004E2668" w:rsidRPr="00C74220">
        <w:t>the</w:t>
      </w:r>
      <w:r w:rsidR="00534D1D" w:rsidRPr="00C74220">
        <w:t xml:space="preserve"> Queensland Certificate</w:t>
      </w:r>
      <w:r w:rsidR="009B1D55">
        <w:t xml:space="preserve"> of Education</w:t>
      </w:r>
      <w:r w:rsidR="00534D1D" w:rsidRPr="00C74220">
        <w:t xml:space="preserve"> (QCE).</w:t>
      </w:r>
      <w:r w:rsidR="009B75DD" w:rsidRPr="00C74220">
        <w:rPr>
          <w:lang w:val="en-US"/>
        </w:rPr>
        <w:t xml:space="preserve"> </w:t>
      </w:r>
      <w:r w:rsidR="004E2668" w:rsidRPr="00C74220">
        <w:rPr>
          <w:lang w:val="en-US"/>
        </w:rPr>
        <w:t>I</w:t>
      </w:r>
      <w:r w:rsidR="009B75DD" w:rsidRPr="00C74220">
        <w:rPr>
          <w:lang w:val="en-US"/>
        </w:rPr>
        <w:t xml:space="preserve">n 2017, </w:t>
      </w:r>
      <w:r w:rsidR="006053D6">
        <w:rPr>
          <w:lang w:val="en-US"/>
        </w:rPr>
        <w:t>24 students (13 female, 11 male)</w:t>
      </w:r>
      <w:r w:rsidR="00622A28">
        <w:rPr>
          <w:lang w:val="en-US"/>
        </w:rPr>
        <w:t xml:space="preserve"> </w:t>
      </w:r>
      <w:r w:rsidR="009B75DD" w:rsidRPr="00C74220">
        <w:rPr>
          <w:lang w:val="en-US"/>
        </w:rPr>
        <w:t>graduated with the QCE while</w:t>
      </w:r>
      <w:r w:rsidR="00454DB5">
        <w:rPr>
          <w:lang w:val="en-US"/>
        </w:rPr>
        <w:t xml:space="preserve"> a further</w:t>
      </w:r>
      <w:r w:rsidR="009B75DD" w:rsidRPr="00C74220">
        <w:rPr>
          <w:lang w:val="en-US"/>
        </w:rPr>
        <w:t xml:space="preserve"> </w:t>
      </w:r>
      <w:r w:rsidR="009B75DD" w:rsidRPr="006053D6">
        <w:rPr>
          <w:lang w:val="en-US"/>
        </w:rPr>
        <w:t>93</w:t>
      </w:r>
      <w:r w:rsidR="009B75DD" w:rsidRPr="00C74220">
        <w:rPr>
          <w:lang w:val="en-US"/>
        </w:rPr>
        <w:t xml:space="preserve"> enrolled in Year 12.</w:t>
      </w:r>
      <w:r w:rsidR="004E2668" w:rsidRPr="00C74220">
        <w:t xml:space="preserve"> </w:t>
      </w:r>
    </w:p>
    <w:p w14:paraId="253E8010" w14:textId="77777777" w:rsidR="00622A28" w:rsidRDefault="00D06002" w:rsidP="00622A28">
      <w:pPr>
        <w:spacing w:after="120"/>
        <w:rPr>
          <w:color w:val="auto"/>
          <w:lang w:val="en-US"/>
        </w:rPr>
      </w:pPr>
      <w:r>
        <w:t>Australia</w:t>
      </w:r>
      <w:r w:rsidR="00851D1B" w:rsidRPr="00C74220">
        <w:t xml:space="preserve"> </w:t>
      </w:r>
      <w:r w:rsidR="004E2668" w:rsidRPr="00C74220">
        <w:t xml:space="preserve">also </w:t>
      </w:r>
      <w:r w:rsidR="003E526E" w:rsidRPr="00C74220">
        <w:t>support</w:t>
      </w:r>
      <w:r w:rsidR="00F10E96" w:rsidRPr="00C74220">
        <w:t>s Nauru</w:t>
      </w:r>
      <w:r w:rsidR="009B1D55">
        <w:t>’s</w:t>
      </w:r>
      <w:r w:rsidR="00692D65" w:rsidRPr="00C74220">
        <w:t xml:space="preserve"> </w:t>
      </w:r>
      <w:r w:rsidR="003B5005">
        <w:t>technical and vocational education and training (</w:t>
      </w:r>
      <w:r w:rsidR="00412C28">
        <w:t>TVET</w:t>
      </w:r>
      <w:r w:rsidR="003B5005">
        <w:t>)</w:t>
      </w:r>
      <w:r w:rsidR="00692D65" w:rsidRPr="00C74220">
        <w:t xml:space="preserve"> sector</w:t>
      </w:r>
      <w:r w:rsidR="00F10E96" w:rsidRPr="00C74220">
        <w:t xml:space="preserve">. </w:t>
      </w:r>
      <w:r w:rsidR="006053D6">
        <w:t>Eleven</w:t>
      </w:r>
      <w:r w:rsidR="003E1E44">
        <w:t xml:space="preserve"> </w:t>
      </w:r>
      <w:r w:rsidR="00F10E96" w:rsidRPr="00C74220">
        <w:t xml:space="preserve">TVET </w:t>
      </w:r>
      <w:r w:rsidR="006053D6">
        <w:t xml:space="preserve">training </w:t>
      </w:r>
      <w:r w:rsidR="00F10E96" w:rsidRPr="00C74220">
        <w:t xml:space="preserve">positions were successfully filled in 2018 </w:t>
      </w:r>
      <w:r w:rsidR="006053D6">
        <w:t xml:space="preserve">(6 male, 5 female), </w:t>
      </w:r>
      <w:r w:rsidR="00F10E96" w:rsidRPr="00C74220">
        <w:t xml:space="preserve">in cooperation with TAFE </w:t>
      </w:r>
      <w:r w:rsidR="00AE1BCE" w:rsidRPr="00C74220">
        <w:t>Queensland</w:t>
      </w:r>
      <w:r w:rsidR="00F10E96" w:rsidRPr="00C74220">
        <w:t xml:space="preserve"> and </w:t>
      </w:r>
      <w:r w:rsidR="00607888" w:rsidRPr="00C74220">
        <w:t>the Australia-Pacific Technical College</w:t>
      </w:r>
      <w:r w:rsidR="00080E5B" w:rsidRPr="00C74220">
        <w:t xml:space="preserve"> (APTC</w:t>
      </w:r>
      <w:r w:rsidR="00721EA2">
        <w:t>, now the Australia-Pacific Training Coalition</w:t>
      </w:r>
      <w:r w:rsidR="00080E5B" w:rsidRPr="00C74220">
        <w:t>)</w:t>
      </w:r>
      <w:r w:rsidR="00F10E96" w:rsidRPr="00C74220">
        <w:t xml:space="preserve">. In 2017, </w:t>
      </w:r>
      <w:r w:rsidR="006053D6">
        <w:t>94</w:t>
      </w:r>
      <w:r w:rsidR="00F10E96" w:rsidRPr="00C74220">
        <w:t xml:space="preserve"> </w:t>
      </w:r>
      <w:r w:rsidR="006053D6">
        <w:t>(49 male, 45 female)</w:t>
      </w:r>
      <w:r w:rsidR="006053D6" w:rsidRPr="00C74220">
        <w:t xml:space="preserve"> </w:t>
      </w:r>
      <w:r w:rsidR="00F10E96" w:rsidRPr="00C74220">
        <w:t>Nauru Secondary School (NSS) students graduated</w:t>
      </w:r>
      <w:r w:rsidR="006053D6">
        <w:t xml:space="preserve"> year 12</w:t>
      </w:r>
      <w:r w:rsidR="00F10E96" w:rsidRPr="00C74220">
        <w:t xml:space="preserve"> with Certificate II</w:t>
      </w:r>
      <w:r w:rsidR="00C359FE">
        <w:t xml:space="preserve"> qualifications</w:t>
      </w:r>
      <w:r w:rsidR="00F10E96" w:rsidRPr="00C74220">
        <w:t>.</w:t>
      </w:r>
      <w:r w:rsidR="00622A28">
        <w:t xml:space="preserve"> </w:t>
      </w:r>
      <w:r w:rsidR="006053D6">
        <w:t xml:space="preserve">In </w:t>
      </w:r>
      <w:r w:rsidR="00721EA2">
        <w:t>addition</w:t>
      </w:r>
      <w:r w:rsidR="006053D6">
        <w:t>, the TVET Centre began operating independently of NSS, and was able to extend offerings externally, which led to 14 community-based (industry) students gaining Certificate II</w:t>
      </w:r>
      <w:r w:rsidR="00721EA2">
        <w:t xml:space="preserve"> </w:t>
      </w:r>
      <w:r w:rsidR="00767A81">
        <w:t>qualifications</w:t>
      </w:r>
      <w:r w:rsidR="006053D6">
        <w:t xml:space="preserve"> in </w:t>
      </w:r>
      <w:r w:rsidR="00721EA2">
        <w:t>e</w:t>
      </w:r>
      <w:r w:rsidR="006053D6">
        <w:t>ngineering (14 males).</w:t>
      </w:r>
      <w:r w:rsidR="006053D6">
        <w:rPr>
          <w:lang w:val="en-US"/>
        </w:rPr>
        <w:t xml:space="preserve"> </w:t>
      </w:r>
      <w:r w:rsidR="00622A28">
        <w:rPr>
          <w:lang w:val="en-US"/>
        </w:rPr>
        <w:t xml:space="preserve">As well, 21 Nauruan students </w:t>
      </w:r>
      <w:r w:rsidR="00622A28">
        <w:t xml:space="preserve">(7 male; 14 female) </w:t>
      </w:r>
      <w:r w:rsidR="00622A28">
        <w:rPr>
          <w:lang w:val="en-US"/>
        </w:rPr>
        <w:t xml:space="preserve">graduated from APTC courses, ranging from carpentry to metal fabrication and community services. </w:t>
      </w:r>
    </w:p>
    <w:p w14:paraId="69C3B263" w14:textId="77777777" w:rsidR="0084272C" w:rsidRPr="00622A28" w:rsidRDefault="00622A28" w:rsidP="00F80511">
      <w:pPr>
        <w:spacing w:after="120"/>
        <w:rPr>
          <w:lang w:val="en-US"/>
        </w:rPr>
      </w:pPr>
      <w:r>
        <w:t xml:space="preserve">Through Australia’s support to the UNE teacher training program, </w:t>
      </w:r>
      <w:r>
        <w:rPr>
          <w:lang w:val="en-US"/>
        </w:rPr>
        <w:t xml:space="preserve">seven </w:t>
      </w:r>
      <w:r w:rsidR="00721EA2">
        <w:rPr>
          <w:lang w:val="en-US"/>
        </w:rPr>
        <w:t xml:space="preserve">Nauruan </w:t>
      </w:r>
      <w:r>
        <w:rPr>
          <w:lang w:val="en-US"/>
        </w:rPr>
        <w:t xml:space="preserve">teachers graduated in 2017 </w:t>
      </w:r>
      <w:r>
        <w:t>(1 male; 6 female</w:t>
      </w:r>
      <w:r>
        <w:rPr>
          <w:lang w:val="en-US"/>
        </w:rPr>
        <w:t>), with qu</w:t>
      </w:r>
      <w:r w:rsidR="00721EA2">
        <w:rPr>
          <w:lang w:val="en-US"/>
        </w:rPr>
        <w:t>alifications in early childhood</w:t>
      </w:r>
      <w:r>
        <w:rPr>
          <w:lang w:val="en-US"/>
        </w:rPr>
        <w:t>, primary, secondary and inclusive education. An additional 13 teachers (</w:t>
      </w:r>
      <w:r w:rsidR="006053D6">
        <w:rPr>
          <w:lang w:val="en-US"/>
        </w:rPr>
        <w:t xml:space="preserve">11 female, </w:t>
      </w:r>
      <w:r>
        <w:rPr>
          <w:lang w:val="en-US"/>
        </w:rPr>
        <w:t>2 male) graduated from the program in July 2018</w:t>
      </w:r>
      <w:r w:rsidR="00B43C1F">
        <w:rPr>
          <w:lang w:val="en-US"/>
        </w:rPr>
        <w:t>, including one</w:t>
      </w:r>
      <w:r w:rsidR="00721EA2">
        <w:rPr>
          <w:lang w:val="en-US"/>
        </w:rPr>
        <w:t xml:space="preserve"> with a</w:t>
      </w:r>
      <w:r w:rsidR="00B43C1F">
        <w:rPr>
          <w:lang w:val="en-US"/>
        </w:rPr>
        <w:t xml:space="preserve"> Master</w:t>
      </w:r>
      <w:r w:rsidR="00721EA2">
        <w:rPr>
          <w:lang w:val="en-US"/>
        </w:rPr>
        <w:t>s</w:t>
      </w:r>
      <w:r w:rsidR="00B43C1F">
        <w:rPr>
          <w:lang w:val="en-US"/>
        </w:rPr>
        <w:t xml:space="preserve"> of Education (School Leadership)</w:t>
      </w:r>
      <w:r>
        <w:rPr>
          <w:lang w:val="en-US"/>
        </w:rPr>
        <w:t xml:space="preserve">. </w:t>
      </w:r>
      <w:r w:rsidR="00C359FE">
        <w:t>Across</w:t>
      </w:r>
      <w:r w:rsidR="00C359FE" w:rsidRPr="00C74220">
        <w:t xml:space="preserve"> </w:t>
      </w:r>
      <w:r w:rsidR="00F619B4" w:rsidRPr="00C74220">
        <w:t xml:space="preserve">2017-18, </w:t>
      </w:r>
      <w:r w:rsidR="006879B9" w:rsidRPr="00C74220">
        <w:t>Nauru</w:t>
      </w:r>
      <w:r w:rsidR="003222ED" w:rsidRPr="00C74220">
        <w:t xml:space="preserve"> recruited</w:t>
      </w:r>
      <w:r w:rsidR="00BC77DF" w:rsidRPr="00C74220">
        <w:t xml:space="preserve"> </w:t>
      </w:r>
      <w:r w:rsidR="00B43C1F">
        <w:t>57</w:t>
      </w:r>
      <w:r w:rsidR="003222ED" w:rsidRPr="00C74220">
        <w:t xml:space="preserve"> qualified </w:t>
      </w:r>
      <w:r w:rsidR="00B43C1F">
        <w:t xml:space="preserve">expatriate </w:t>
      </w:r>
      <w:r w:rsidR="003222ED" w:rsidRPr="00C74220">
        <w:t>teachers</w:t>
      </w:r>
      <w:r w:rsidR="001235CF" w:rsidRPr="00C74220">
        <w:t xml:space="preserve"> </w:t>
      </w:r>
      <w:r w:rsidR="00B43C1F">
        <w:t xml:space="preserve">(35 female, 22 male) </w:t>
      </w:r>
      <w:r w:rsidR="001235CF" w:rsidRPr="00C74220">
        <w:t>from</w:t>
      </w:r>
      <w:r w:rsidR="002E198C" w:rsidRPr="00C74220">
        <w:t xml:space="preserve"> other</w:t>
      </w:r>
      <w:r w:rsidR="001235CF" w:rsidRPr="00C74220">
        <w:t xml:space="preserve"> Pacific </w:t>
      </w:r>
      <w:r w:rsidR="00F619B4" w:rsidRPr="00C74220">
        <w:t xml:space="preserve">countries </w:t>
      </w:r>
      <w:r w:rsidR="001235CF" w:rsidRPr="00C74220">
        <w:t xml:space="preserve">to fill </w:t>
      </w:r>
      <w:r w:rsidR="00E607EB">
        <w:t>ongoing</w:t>
      </w:r>
      <w:r w:rsidR="00E607EB" w:rsidRPr="00C74220">
        <w:t xml:space="preserve"> </w:t>
      </w:r>
      <w:r w:rsidR="001235CF" w:rsidRPr="00C74220">
        <w:t>vacancies</w:t>
      </w:r>
      <w:r w:rsidR="00975B64" w:rsidRPr="00C74220">
        <w:t xml:space="preserve">. </w:t>
      </w:r>
    </w:p>
    <w:p w14:paraId="139F723C" w14:textId="43E62807" w:rsidR="00E87C22" w:rsidRPr="00C74220" w:rsidRDefault="00C359FE" w:rsidP="00E87C22">
      <w:pPr>
        <w:spacing w:after="120"/>
      </w:pPr>
      <w:r>
        <w:t>In</w:t>
      </w:r>
      <w:r w:rsidR="00E87C22" w:rsidRPr="00C74220">
        <w:rPr>
          <w:lang w:eastAsia="en-AU"/>
        </w:rPr>
        <w:t xml:space="preserve"> the 2017-18 </w:t>
      </w:r>
      <w:r w:rsidRPr="00C74220">
        <w:rPr>
          <w:lang w:eastAsia="en-AU"/>
        </w:rPr>
        <w:t>fi</w:t>
      </w:r>
      <w:r>
        <w:rPr>
          <w:lang w:eastAsia="en-AU"/>
        </w:rPr>
        <w:t>nancial</w:t>
      </w:r>
      <w:r w:rsidRPr="00C74220">
        <w:rPr>
          <w:lang w:eastAsia="en-AU"/>
        </w:rPr>
        <w:t xml:space="preserve"> </w:t>
      </w:r>
      <w:r w:rsidR="00E87C22" w:rsidRPr="00C74220">
        <w:rPr>
          <w:lang w:eastAsia="en-AU"/>
        </w:rPr>
        <w:t>year, eight</w:t>
      </w:r>
      <w:r w:rsidR="00454DB5">
        <w:rPr>
          <w:lang w:eastAsia="en-AU"/>
        </w:rPr>
        <w:t xml:space="preserve"> students (5 male, 3 female, </w:t>
      </w:r>
      <w:r w:rsidR="00E607EB">
        <w:rPr>
          <w:lang w:eastAsia="en-AU"/>
        </w:rPr>
        <w:t xml:space="preserve">including </w:t>
      </w:r>
      <w:r w:rsidR="00B43C1F">
        <w:rPr>
          <w:lang w:eastAsia="en-AU"/>
        </w:rPr>
        <w:t>one male and one female</w:t>
      </w:r>
      <w:r w:rsidR="00E607EB">
        <w:rPr>
          <w:lang w:eastAsia="en-AU"/>
        </w:rPr>
        <w:t xml:space="preserve"> doctoral candidate) </w:t>
      </w:r>
      <w:r w:rsidR="00E87C22" w:rsidRPr="00C74220">
        <w:rPr>
          <w:lang w:eastAsia="en-AU"/>
        </w:rPr>
        <w:t xml:space="preserve">were offered scholarships under </w:t>
      </w:r>
      <w:r w:rsidR="00B81A8D">
        <w:rPr>
          <w:lang w:eastAsia="en-AU"/>
        </w:rPr>
        <w:t xml:space="preserve">the </w:t>
      </w:r>
      <w:r w:rsidR="00E87C22" w:rsidRPr="00C74220">
        <w:rPr>
          <w:lang w:eastAsia="en-AU"/>
        </w:rPr>
        <w:t xml:space="preserve">Australia Awards </w:t>
      </w:r>
      <w:r w:rsidR="00EB3C20">
        <w:rPr>
          <w:lang w:eastAsia="en-AU"/>
        </w:rPr>
        <w:t>at</w:t>
      </w:r>
      <w:r w:rsidR="00EB3C20" w:rsidRPr="00C74220">
        <w:rPr>
          <w:lang w:eastAsia="en-AU"/>
        </w:rPr>
        <w:t xml:space="preserve"> </w:t>
      </w:r>
      <w:r w:rsidR="00E87C22" w:rsidRPr="00C74220">
        <w:rPr>
          <w:lang w:eastAsia="en-AU"/>
        </w:rPr>
        <w:t>Australian tertiary institutions</w:t>
      </w:r>
      <w:r>
        <w:rPr>
          <w:lang w:eastAsia="en-AU"/>
        </w:rPr>
        <w:t xml:space="preserve">. </w:t>
      </w:r>
      <w:r w:rsidR="00B81A8D">
        <w:rPr>
          <w:lang w:eastAsia="en-AU"/>
        </w:rPr>
        <w:t xml:space="preserve">Ten additional </w:t>
      </w:r>
      <w:r w:rsidR="00E87C22" w:rsidRPr="00C74220">
        <w:rPr>
          <w:lang w:eastAsia="en-AU"/>
        </w:rPr>
        <w:t>students</w:t>
      </w:r>
      <w:r w:rsidR="00B81A8D">
        <w:rPr>
          <w:lang w:eastAsia="en-AU"/>
        </w:rPr>
        <w:t xml:space="preserve"> </w:t>
      </w:r>
      <w:r w:rsidR="00B43C1F">
        <w:rPr>
          <w:lang w:eastAsia="en-AU"/>
        </w:rPr>
        <w:t xml:space="preserve">(all female) </w:t>
      </w:r>
      <w:r w:rsidR="00B81A8D">
        <w:rPr>
          <w:lang w:eastAsia="en-AU"/>
        </w:rPr>
        <w:t>took up</w:t>
      </w:r>
      <w:r w:rsidR="00B81A8D" w:rsidRPr="00C74220">
        <w:rPr>
          <w:lang w:eastAsia="en-AU"/>
        </w:rPr>
        <w:t xml:space="preserve"> </w:t>
      </w:r>
      <w:r w:rsidR="00B81A8D" w:rsidRPr="0020023B">
        <w:rPr>
          <w:lang w:eastAsia="en-AU"/>
        </w:rPr>
        <w:t>Australia Award Pacific Scholarships</w:t>
      </w:r>
      <w:r w:rsidR="00E87C22" w:rsidRPr="00C74220">
        <w:rPr>
          <w:lang w:eastAsia="en-AU"/>
        </w:rPr>
        <w:t xml:space="preserve"> </w:t>
      </w:r>
      <w:r w:rsidR="00EB3C20">
        <w:rPr>
          <w:lang w:eastAsia="en-AU"/>
        </w:rPr>
        <w:t>at</w:t>
      </w:r>
      <w:r w:rsidR="00EB3C20" w:rsidRPr="0008057F">
        <w:rPr>
          <w:lang w:eastAsia="en-AU"/>
        </w:rPr>
        <w:t xml:space="preserve"> </w:t>
      </w:r>
      <w:r w:rsidR="00E607EB" w:rsidRPr="0008057F">
        <w:rPr>
          <w:lang w:eastAsia="en-AU"/>
        </w:rPr>
        <w:t>Pacific regional institutions</w:t>
      </w:r>
      <w:r w:rsidR="00EB3C20">
        <w:rPr>
          <w:lang w:eastAsia="en-AU"/>
        </w:rPr>
        <w:t xml:space="preserve"> for</w:t>
      </w:r>
      <w:r w:rsidR="00E607EB" w:rsidRPr="0008057F">
        <w:rPr>
          <w:lang w:eastAsia="en-AU"/>
        </w:rPr>
        <w:t xml:space="preserve"> technical, undergradu</w:t>
      </w:r>
      <w:r w:rsidR="00E607EB">
        <w:rPr>
          <w:lang w:eastAsia="en-AU"/>
        </w:rPr>
        <w:t xml:space="preserve">ate and graduate </w:t>
      </w:r>
      <w:r w:rsidR="00EB3C20">
        <w:rPr>
          <w:lang w:eastAsia="en-AU"/>
        </w:rPr>
        <w:t>qualifications.</w:t>
      </w:r>
      <w:r w:rsidR="0038450C">
        <w:rPr>
          <w:lang w:eastAsia="en-AU"/>
        </w:rPr>
        <w:t xml:space="preserve"> </w:t>
      </w:r>
      <w:r w:rsidR="00EB3C20">
        <w:rPr>
          <w:lang w:eastAsia="en-AU"/>
        </w:rPr>
        <w:t>N</w:t>
      </w:r>
      <w:r w:rsidR="00B82FE1" w:rsidRPr="00B82FE1">
        <w:rPr>
          <w:lang w:eastAsia="en-AU"/>
        </w:rPr>
        <w:t>ine</w:t>
      </w:r>
      <w:r w:rsidR="0038450C" w:rsidRPr="00B82FE1">
        <w:rPr>
          <w:lang w:eastAsia="en-AU"/>
        </w:rPr>
        <w:t xml:space="preserve"> students </w:t>
      </w:r>
      <w:r w:rsidR="009C4B2B">
        <w:rPr>
          <w:lang w:eastAsia="en-AU"/>
        </w:rPr>
        <w:t>(</w:t>
      </w:r>
      <w:r w:rsidR="00C53543">
        <w:rPr>
          <w:lang w:eastAsia="en-AU"/>
        </w:rPr>
        <w:t>3 male; 6 female</w:t>
      </w:r>
      <w:r w:rsidR="009C4B2B">
        <w:rPr>
          <w:lang w:eastAsia="en-AU"/>
        </w:rPr>
        <w:t xml:space="preserve">) </w:t>
      </w:r>
      <w:r w:rsidR="0038450C" w:rsidRPr="00B82FE1">
        <w:rPr>
          <w:lang w:eastAsia="en-AU"/>
        </w:rPr>
        <w:t xml:space="preserve">graduated </w:t>
      </w:r>
      <w:r w:rsidR="00B82FE1" w:rsidRPr="00B82FE1">
        <w:rPr>
          <w:lang w:eastAsia="en-AU"/>
        </w:rPr>
        <w:t>with internationally-recognised deg</w:t>
      </w:r>
      <w:r w:rsidR="00B82FE1" w:rsidRPr="00610297">
        <w:rPr>
          <w:lang w:eastAsia="en-AU"/>
        </w:rPr>
        <w:t>rees</w:t>
      </w:r>
      <w:r w:rsidR="00816B57" w:rsidRPr="00610297">
        <w:rPr>
          <w:lang w:eastAsia="en-AU"/>
        </w:rPr>
        <w:t xml:space="preserve"> in </w:t>
      </w:r>
      <w:r w:rsidR="00BD2D67" w:rsidRPr="00610297">
        <w:rPr>
          <w:lang w:eastAsia="en-AU"/>
        </w:rPr>
        <w:t>the fields of c</w:t>
      </w:r>
      <w:r w:rsidR="00096A7A" w:rsidRPr="00610297">
        <w:rPr>
          <w:lang w:eastAsia="en-AU"/>
        </w:rPr>
        <w:t xml:space="preserve">ommerce, </w:t>
      </w:r>
      <w:r w:rsidR="00BD2D67" w:rsidRPr="00610297">
        <w:rPr>
          <w:lang w:eastAsia="en-AU"/>
        </w:rPr>
        <w:t>e</w:t>
      </w:r>
      <w:r w:rsidR="00622A28" w:rsidRPr="00610297">
        <w:rPr>
          <w:lang w:eastAsia="en-AU"/>
        </w:rPr>
        <w:t xml:space="preserve">nvironmental </w:t>
      </w:r>
      <w:r w:rsidR="00BD2D67" w:rsidRPr="00610297">
        <w:rPr>
          <w:lang w:eastAsia="en-AU"/>
        </w:rPr>
        <w:t>s</w:t>
      </w:r>
      <w:r w:rsidR="00622A28" w:rsidRPr="00610297">
        <w:rPr>
          <w:lang w:eastAsia="en-AU"/>
        </w:rPr>
        <w:t xml:space="preserve">cience, </w:t>
      </w:r>
      <w:r w:rsidR="00BD2D67" w:rsidRPr="00610297">
        <w:rPr>
          <w:lang w:eastAsia="en-AU"/>
        </w:rPr>
        <w:t>f</w:t>
      </w:r>
      <w:r w:rsidR="00096A7A" w:rsidRPr="00610297">
        <w:rPr>
          <w:lang w:eastAsia="en-AU"/>
        </w:rPr>
        <w:t xml:space="preserve">isheries, </w:t>
      </w:r>
      <w:r w:rsidR="00BD2D67" w:rsidRPr="00610297">
        <w:rPr>
          <w:lang w:eastAsia="en-AU"/>
        </w:rPr>
        <w:t>e</w:t>
      </w:r>
      <w:r w:rsidR="0087365D" w:rsidRPr="00610297">
        <w:rPr>
          <w:lang w:eastAsia="en-AU"/>
        </w:rPr>
        <w:t xml:space="preserve">ducation and </w:t>
      </w:r>
      <w:r w:rsidR="00BD2D67" w:rsidRPr="00610297">
        <w:rPr>
          <w:lang w:eastAsia="en-AU"/>
        </w:rPr>
        <w:t>h</w:t>
      </w:r>
      <w:r w:rsidR="0087365D" w:rsidRPr="00610297">
        <w:rPr>
          <w:lang w:eastAsia="en-AU"/>
        </w:rPr>
        <w:t>ealth</w:t>
      </w:r>
      <w:r w:rsidR="00B82FE1" w:rsidRPr="00610297">
        <w:rPr>
          <w:lang w:eastAsia="en-AU"/>
        </w:rPr>
        <w:t>.</w:t>
      </w:r>
    </w:p>
    <w:p w14:paraId="66EE1B58" w14:textId="77777777" w:rsidR="003615E2" w:rsidRDefault="00BC77DF" w:rsidP="00CE6A18">
      <w:pPr>
        <w:spacing w:after="120"/>
      </w:pPr>
      <w:r w:rsidRPr="00C74220">
        <w:t>Despite</w:t>
      </w:r>
      <w:r w:rsidR="00E15595" w:rsidRPr="00C74220">
        <w:t xml:space="preserve"> good</w:t>
      </w:r>
      <w:r w:rsidRPr="00C74220">
        <w:t xml:space="preserve"> progress in a number of initiatives</w:t>
      </w:r>
      <w:r w:rsidR="00E15595" w:rsidRPr="00C74220">
        <w:t xml:space="preserve">, </w:t>
      </w:r>
      <w:r w:rsidR="009D60AF">
        <w:t xml:space="preserve">Nauru’s </w:t>
      </w:r>
      <w:r w:rsidR="00E15595" w:rsidRPr="00C74220">
        <w:t xml:space="preserve">education indicators </w:t>
      </w:r>
      <w:r w:rsidR="00F8188D" w:rsidRPr="00C74220">
        <w:t xml:space="preserve">continue to lag behind other </w:t>
      </w:r>
      <w:r w:rsidR="0038450C">
        <w:t>Pacific</w:t>
      </w:r>
      <w:r w:rsidR="00F8188D" w:rsidRPr="00C74220">
        <w:t xml:space="preserve"> </w:t>
      </w:r>
      <w:r w:rsidR="00721EA2">
        <w:t>i</w:t>
      </w:r>
      <w:r w:rsidR="00F8188D" w:rsidRPr="00C74220">
        <w:t xml:space="preserve">sland </w:t>
      </w:r>
      <w:r w:rsidR="00454DB5">
        <w:t>countries</w:t>
      </w:r>
      <w:r w:rsidR="00E15595" w:rsidRPr="00C74220">
        <w:t>.</w:t>
      </w:r>
      <w:r w:rsidR="00CE6A18" w:rsidRPr="00C74220">
        <w:t xml:space="preserve"> Progress in </w:t>
      </w:r>
      <w:r w:rsidR="007027D4" w:rsidRPr="00C74220">
        <w:t xml:space="preserve">education is </w:t>
      </w:r>
      <w:r w:rsidR="00CE6A18" w:rsidRPr="00C74220">
        <w:t xml:space="preserve">constrained by </w:t>
      </w:r>
      <w:r w:rsidR="00F53430" w:rsidRPr="00C74220">
        <w:t xml:space="preserve">a lack of </w:t>
      </w:r>
      <w:r w:rsidR="006B4361" w:rsidRPr="00C74220">
        <w:t>capacity and resources</w:t>
      </w:r>
      <w:r w:rsidR="007027D4" w:rsidRPr="00C74220">
        <w:t xml:space="preserve"> (</w:t>
      </w:r>
      <w:r w:rsidR="00721EA2">
        <w:t xml:space="preserve">including </w:t>
      </w:r>
      <w:r w:rsidR="007027D4" w:rsidRPr="00C74220">
        <w:t>qualified teachers)</w:t>
      </w:r>
      <w:r w:rsidR="006B4361" w:rsidRPr="00C74220">
        <w:t xml:space="preserve"> coupled with limited </w:t>
      </w:r>
      <w:r w:rsidR="00F53430" w:rsidRPr="00C74220">
        <w:t>actionable data</w:t>
      </w:r>
      <w:r w:rsidR="006B4361" w:rsidRPr="00C74220">
        <w:t xml:space="preserve"> to support evidence-based </w:t>
      </w:r>
      <w:r w:rsidR="002E198C" w:rsidRPr="00C74220">
        <w:t>policy-making</w:t>
      </w:r>
      <w:r w:rsidR="00CE6A18" w:rsidRPr="00C74220">
        <w:t xml:space="preserve">. </w:t>
      </w:r>
      <w:r w:rsidR="00EB3C20">
        <w:t>T</w:t>
      </w:r>
      <w:r w:rsidR="0038450C">
        <w:t xml:space="preserve">echnical </w:t>
      </w:r>
      <w:r w:rsidR="00EB3C20">
        <w:t xml:space="preserve">assistance </w:t>
      </w:r>
      <w:r w:rsidR="0038450C">
        <w:t xml:space="preserve">provided to support Nauru’s use of the </w:t>
      </w:r>
      <w:r w:rsidR="006B4361" w:rsidRPr="00C74220">
        <w:t>Education Management Information System has improved</w:t>
      </w:r>
      <w:r w:rsidR="001B2708" w:rsidRPr="00C74220">
        <w:t xml:space="preserve"> the collection of</w:t>
      </w:r>
      <w:r w:rsidR="006B4361" w:rsidRPr="00C74220">
        <w:t xml:space="preserve"> data and storage, but the quality and </w:t>
      </w:r>
      <w:r w:rsidR="009D60AF">
        <w:t>analysis</w:t>
      </w:r>
      <w:r w:rsidR="009D60AF" w:rsidRPr="00C74220">
        <w:t xml:space="preserve"> </w:t>
      </w:r>
      <w:r w:rsidR="006B4361" w:rsidRPr="00C74220">
        <w:t xml:space="preserve">of that data </w:t>
      </w:r>
      <w:r w:rsidR="00941A6B" w:rsidRPr="00C74220">
        <w:t>requires further</w:t>
      </w:r>
      <w:r w:rsidR="006B4361" w:rsidRPr="00C74220">
        <w:t xml:space="preserve"> strengthening</w:t>
      </w:r>
      <w:r w:rsidR="00721EA2">
        <w:t>. This</w:t>
      </w:r>
      <w:r w:rsidR="00046A87">
        <w:t xml:space="preserve"> will be </w:t>
      </w:r>
      <w:r w:rsidR="00A82491">
        <w:t>addressed</w:t>
      </w:r>
      <w:r w:rsidR="00046A87">
        <w:t xml:space="preserve"> </w:t>
      </w:r>
      <w:r w:rsidR="00721EA2">
        <w:t>in</w:t>
      </w:r>
      <w:r w:rsidR="00046A87">
        <w:t xml:space="preserve"> </w:t>
      </w:r>
      <w:r w:rsidR="00A82491">
        <w:t>the next phase o</w:t>
      </w:r>
      <w:r w:rsidR="00721EA2">
        <w:t>f Australia’s education support</w:t>
      </w:r>
      <w:r w:rsidR="006B4361" w:rsidRPr="00C74220">
        <w:t xml:space="preserve">. </w:t>
      </w:r>
      <w:r w:rsidR="00CE6A18" w:rsidRPr="00C74220">
        <w:t xml:space="preserve">The </w:t>
      </w:r>
      <w:r w:rsidR="002F18D1" w:rsidRPr="00C74220">
        <w:t>establishment</w:t>
      </w:r>
      <w:r w:rsidR="006B4361" w:rsidRPr="00C74220">
        <w:t xml:space="preserve"> of</w:t>
      </w:r>
      <w:r w:rsidR="00CE6A18" w:rsidRPr="00C74220">
        <w:t xml:space="preserve"> the Learning Village present</w:t>
      </w:r>
      <w:r w:rsidR="003733F2" w:rsidRPr="00C74220">
        <w:t>s</w:t>
      </w:r>
      <w:r w:rsidR="00CE6A18" w:rsidRPr="00C74220">
        <w:t xml:space="preserve"> a significant opportunity for improved education </w:t>
      </w:r>
      <w:r w:rsidR="00EB3C20">
        <w:t xml:space="preserve">pathways </w:t>
      </w:r>
      <w:r w:rsidR="00CE6A18" w:rsidRPr="00C74220">
        <w:t>over the coming years</w:t>
      </w:r>
      <w:r w:rsidR="00F53430" w:rsidRPr="00C74220">
        <w:t>.</w:t>
      </w:r>
      <w:r w:rsidR="00F53430">
        <w:t xml:space="preserve"> </w:t>
      </w:r>
    </w:p>
    <w:p w14:paraId="579BFDF9" w14:textId="77777777" w:rsidR="005B5769" w:rsidRPr="00015316" w:rsidRDefault="005B5769" w:rsidP="00044A26">
      <w:pPr>
        <w:pStyle w:val="ListBullet"/>
        <w:keepNex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Mutual Obligations</w:t>
      </w:r>
    </w:p>
    <w:p w14:paraId="166B0EBA" w14:textId="77777777" w:rsidR="00126A80" w:rsidRDefault="005F395C" w:rsidP="00E65C75">
      <w:pPr>
        <w:spacing w:after="120"/>
      </w:pPr>
      <w:r w:rsidRPr="00E65C75">
        <w:t xml:space="preserve">Australia continues to deliver effective and predictable development assistance in line with the Government of Nauru’s </w:t>
      </w:r>
      <w:r w:rsidRPr="00721EA2">
        <w:rPr>
          <w:i/>
        </w:rPr>
        <w:t>National Sustainable Development Strategy</w:t>
      </w:r>
      <w:r w:rsidR="0038010E">
        <w:t>,</w:t>
      </w:r>
      <w:r w:rsidR="0038010E" w:rsidRPr="00E65C75">
        <w:t xml:space="preserve"> </w:t>
      </w:r>
      <w:r w:rsidRPr="00E65C75">
        <w:t>sector strategies</w:t>
      </w:r>
      <w:r w:rsidR="00C37F6A" w:rsidRPr="00E65C75">
        <w:t xml:space="preserve">, the </w:t>
      </w:r>
      <w:r w:rsidR="009B12F9" w:rsidRPr="00E65C75">
        <w:t>Nauru Aid Investment Plan 2015-16 to 2018-19</w:t>
      </w:r>
      <w:r w:rsidR="0038010E">
        <w:t>,</w:t>
      </w:r>
      <w:r w:rsidR="009B12F9" w:rsidRPr="00E65C75">
        <w:t xml:space="preserve"> and th</w:t>
      </w:r>
      <w:r w:rsidR="009D5848">
        <w:t>e</w:t>
      </w:r>
      <w:r w:rsidR="009B12F9" w:rsidRPr="00E65C75">
        <w:t xml:space="preserve"> </w:t>
      </w:r>
      <w:r w:rsidR="009B12F9" w:rsidRPr="0091453A">
        <w:t>Aid Partnership Arrangement 2016-2019</w:t>
      </w:r>
      <w:r w:rsidRPr="00B412E3">
        <w:t>.</w:t>
      </w:r>
      <w:r w:rsidRPr="00E65C75">
        <w:t xml:space="preserve"> </w:t>
      </w:r>
    </w:p>
    <w:p w14:paraId="2420C42C" w14:textId="77777777" w:rsidR="005F395C" w:rsidRDefault="006E2A11" w:rsidP="00E65C75">
      <w:pPr>
        <w:spacing w:after="120"/>
      </w:pPr>
      <w:r>
        <w:t xml:space="preserve">Nauru </w:t>
      </w:r>
      <w:r w:rsidR="00126A80">
        <w:t xml:space="preserve">has continued to implement its obligations under the memoranda of understanding establishing the Nauru Trust Fund to contribute to the fund. </w:t>
      </w:r>
    </w:p>
    <w:p w14:paraId="18129438" w14:textId="77777777" w:rsidR="00505510" w:rsidRPr="00505510" w:rsidRDefault="00126A80" w:rsidP="00E65C75">
      <w:pPr>
        <w:spacing w:after="120"/>
      </w:pPr>
      <w:r>
        <w:t>T</w:t>
      </w:r>
      <w:r w:rsidR="00505510">
        <w:t xml:space="preserve">he </w:t>
      </w:r>
      <w:r w:rsidR="00505510">
        <w:rPr>
          <w:i/>
        </w:rPr>
        <w:t>Pacific Leaders Gender Equality Declaration</w:t>
      </w:r>
      <w:r w:rsidR="00505510">
        <w:t xml:space="preserve"> </w:t>
      </w:r>
      <w:r>
        <w:t xml:space="preserve">(endorsed by Pacific leaders at the 2012 Pacific Islands Forum) </w:t>
      </w:r>
      <w:r w:rsidR="00505510">
        <w:t xml:space="preserve">established six gender priority areas for member countries to </w:t>
      </w:r>
      <w:r w:rsidR="000C7346">
        <w:t>progress</w:t>
      </w:r>
      <w:r w:rsidR="00505510">
        <w:t xml:space="preserve">. Following </w:t>
      </w:r>
      <w:r>
        <w:t>an</w:t>
      </w:r>
      <w:r w:rsidR="00505510">
        <w:t xml:space="preserve"> initial scoping mission in May 2017, DFAT’s second Gender Country Plan (2018-20) under the </w:t>
      </w:r>
      <w:r w:rsidR="00505510">
        <w:rPr>
          <w:i/>
        </w:rPr>
        <w:t xml:space="preserve">Pacific Women Shaping Pacific </w:t>
      </w:r>
      <w:r>
        <w:rPr>
          <w:i/>
        </w:rPr>
        <w:t>Development</w:t>
      </w:r>
      <w:r w:rsidR="00505510">
        <w:t xml:space="preserve"> initiative was developed and finalised </w:t>
      </w:r>
      <w:r>
        <w:t>in 2017-18.</w:t>
      </w:r>
      <w:r w:rsidR="00505510">
        <w:t xml:space="preserve"> </w:t>
      </w:r>
      <w:r>
        <w:t xml:space="preserve">The plan </w:t>
      </w:r>
      <w:r w:rsidR="008D387A">
        <w:t xml:space="preserve">will support </w:t>
      </w:r>
      <w:r w:rsidR="00721EA2">
        <w:t>Australia</w:t>
      </w:r>
      <w:r w:rsidR="008D387A">
        <w:t xml:space="preserve">’s continued </w:t>
      </w:r>
      <w:r w:rsidR="00505510">
        <w:t>contribut</w:t>
      </w:r>
      <w:r w:rsidR="008D387A">
        <w:t>ion</w:t>
      </w:r>
      <w:r w:rsidR="008D5817">
        <w:t xml:space="preserve"> </w:t>
      </w:r>
      <w:r w:rsidR="00505510">
        <w:t>towards</w:t>
      </w:r>
      <w:r w:rsidR="000C7346">
        <w:t xml:space="preserve"> </w:t>
      </w:r>
      <w:r w:rsidR="00505510">
        <w:t xml:space="preserve">the </w:t>
      </w:r>
      <w:r w:rsidR="000C7346">
        <w:t>Declaration</w:t>
      </w:r>
      <w:r w:rsidR="00721EA2">
        <w:t>’s</w:t>
      </w:r>
      <w:r w:rsidR="000C7346">
        <w:t xml:space="preserve"> </w:t>
      </w:r>
      <w:r w:rsidR="00505510">
        <w:t>objectives of ending violence against women and women’s economic empowerment</w:t>
      </w:r>
      <w:r w:rsidR="008D387A">
        <w:t xml:space="preserve"> in Nauru</w:t>
      </w:r>
      <w:r w:rsidR="00505510">
        <w:t>.</w:t>
      </w:r>
    </w:p>
    <w:p w14:paraId="1BCCDFB8" w14:textId="77777777" w:rsidR="005F395C" w:rsidRPr="00E65C75" w:rsidRDefault="009D60AF" w:rsidP="00E65C75">
      <w:pPr>
        <w:spacing w:after="120"/>
      </w:pPr>
      <w:r>
        <w:t>Australia</w:t>
      </w:r>
      <w:r w:rsidR="00490BBC">
        <w:t xml:space="preserve"> and Nauru</w:t>
      </w:r>
      <w:r>
        <w:t xml:space="preserve"> </w:t>
      </w:r>
      <w:r w:rsidR="00D1069E">
        <w:t>maintain a</w:t>
      </w:r>
      <w:r w:rsidR="005F395C" w:rsidRPr="00E65C75">
        <w:t xml:space="preserve"> zero-tolerance approach to fraudulent and corrupt actions against Australia’s develo</w:t>
      </w:r>
      <w:r w:rsidR="00D1069E" w:rsidRPr="00E65C75">
        <w:t xml:space="preserve">pment </w:t>
      </w:r>
      <w:r w:rsidRPr="00E65C75">
        <w:t>p</w:t>
      </w:r>
      <w:r>
        <w:t>artnership</w:t>
      </w:r>
      <w:r w:rsidRPr="00E65C75">
        <w:t xml:space="preserve"> </w:t>
      </w:r>
      <w:r w:rsidR="00D1069E" w:rsidRPr="00E65C75">
        <w:t>with Nauru</w:t>
      </w:r>
      <w:r w:rsidR="00490BBC">
        <w:t>. This includes</w:t>
      </w:r>
      <w:r w:rsidR="006608F1" w:rsidRPr="00E65C75">
        <w:t xml:space="preserve"> six-monthly audits of </w:t>
      </w:r>
      <w:r w:rsidR="006E2A11">
        <w:t>the</w:t>
      </w:r>
      <w:r w:rsidR="006608F1" w:rsidRPr="00E65C75">
        <w:t xml:space="preserve"> operational account</w:t>
      </w:r>
      <w:r w:rsidR="005F395C" w:rsidRPr="00E65C75">
        <w:t xml:space="preserve">. </w:t>
      </w:r>
    </w:p>
    <w:p w14:paraId="1DAF523D" w14:textId="77777777"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Program Quality</w:t>
      </w:r>
    </w:p>
    <w:p w14:paraId="69F2B112" w14:textId="77777777" w:rsidR="009020CC" w:rsidRPr="00AE28C8" w:rsidRDefault="009020CC" w:rsidP="006E2A11">
      <w:pPr>
        <w:spacing w:after="120"/>
      </w:pPr>
      <w:r w:rsidRPr="00AE28C8">
        <w:t>Aid Quality Check ratings for 201</w:t>
      </w:r>
      <w:r w:rsidR="00495F4D">
        <w:t>7</w:t>
      </w:r>
      <w:r w:rsidRPr="00AE28C8">
        <w:t>-1</w:t>
      </w:r>
      <w:r w:rsidR="00495F4D">
        <w:t>8</w:t>
      </w:r>
      <w:r w:rsidRPr="00AE28C8">
        <w:t xml:space="preserve"> </w:t>
      </w:r>
      <w:r w:rsidR="0091478B">
        <w:t>indicated varying levels of progress across Australia’s key investments</w:t>
      </w:r>
      <w:r w:rsidR="009D60AF">
        <w:t xml:space="preserve"> in Nauru</w:t>
      </w:r>
      <w:r w:rsidR="0091478B">
        <w:t>.</w:t>
      </w:r>
      <w:r w:rsidRPr="00AE28C8">
        <w:t xml:space="preserve"> </w:t>
      </w:r>
      <w:r w:rsidR="0091478B">
        <w:t xml:space="preserve">Our </w:t>
      </w:r>
      <w:r w:rsidRPr="00AE28C8">
        <w:t xml:space="preserve">support </w:t>
      </w:r>
      <w:r w:rsidR="00454DB5">
        <w:t>is</w:t>
      </w:r>
      <w:r w:rsidR="00767A81">
        <w:t xml:space="preserve"> </w:t>
      </w:r>
      <w:r w:rsidRPr="00AE28C8">
        <w:t>well</w:t>
      </w:r>
      <w:r w:rsidR="006E2A11">
        <w:t xml:space="preserve"> </w:t>
      </w:r>
      <w:r w:rsidRPr="00AE28C8">
        <w:t xml:space="preserve">aligned with </w:t>
      </w:r>
      <w:r w:rsidR="00495F4D">
        <w:t xml:space="preserve">the Foreign Policy White Paper, </w:t>
      </w:r>
      <w:r w:rsidRPr="00AE28C8">
        <w:t xml:space="preserve">existing national policies on sustainability, sectoral strategies and </w:t>
      </w:r>
      <w:r w:rsidRPr="006E2A11">
        <w:t>Sustainable Development Goal</w:t>
      </w:r>
      <w:r w:rsidR="00495F4D">
        <w:t xml:space="preserve"> indicators</w:t>
      </w:r>
      <w:r w:rsidR="00AB04FC">
        <w:t>.</w:t>
      </w:r>
      <w:r w:rsidR="00F03C07">
        <w:t xml:space="preserve"> Evaluations of DFAT’s investments across the health, education</w:t>
      </w:r>
      <w:r w:rsidR="00454DB5">
        <w:t xml:space="preserve"> and </w:t>
      </w:r>
      <w:r w:rsidR="00F03C07">
        <w:t>infrastructure and</w:t>
      </w:r>
      <w:r w:rsidR="00454DB5">
        <w:t xml:space="preserve"> in</w:t>
      </w:r>
      <w:r w:rsidR="00F03C07">
        <w:t xml:space="preserve"> public sector management commenced during the reporting period, for which recommendations will be finalised and progressed in 2018-19.</w:t>
      </w:r>
    </w:p>
    <w:p w14:paraId="1E7FE13F" w14:textId="77777777" w:rsidR="009020CC" w:rsidRPr="00AE28C8" w:rsidRDefault="004F027D" w:rsidP="006E2A11">
      <w:pPr>
        <w:spacing w:after="120"/>
      </w:pPr>
      <w:r w:rsidRPr="00AE28C8">
        <w:t>The</w:t>
      </w:r>
      <w:r w:rsidR="009D5848">
        <w:t xml:space="preserve"> Public Sector</w:t>
      </w:r>
      <w:r w:rsidR="00976EC4">
        <w:t xml:space="preserve"> Management</w:t>
      </w:r>
      <w:r w:rsidR="009D5848">
        <w:t xml:space="preserve"> investment has</w:t>
      </w:r>
      <w:r w:rsidRPr="00AE28C8">
        <w:t xml:space="preserve"> contributed </w:t>
      </w:r>
      <w:r w:rsidR="006961DE">
        <w:t>significantly</w:t>
      </w:r>
      <w:r w:rsidRPr="00AE28C8">
        <w:t xml:space="preserve"> to </w:t>
      </w:r>
      <w:r w:rsidR="008E5A0D">
        <w:t xml:space="preserve">fiscal </w:t>
      </w:r>
      <w:r w:rsidRPr="00AE28C8">
        <w:t>stability</w:t>
      </w:r>
      <w:r w:rsidR="00AB04FC">
        <w:t xml:space="preserve"> </w:t>
      </w:r>
      <w:r w:rsidR="008E5A0D">
        <w:t>and enhanced governance</w:t>
      </w:r>
      <w:r w:rsidR="00AB04FC">
        <w:t xml:space="preserve"> </w:t>
      </w:r>
      <w:r w:rsidR="00976EC4">
        <w:t>in Nauru</w:t>
      </w:r>
      <w:r w:rsidR="00AB04FC">
        <w:t xml:space="preserve">. </w:t>
      </w:r>
      <w:r>
        <w:t xml:space="preserve">When compared against the cost </w:t>
      </w:r>
      <w:r w:rsidRPr="00AE28C8">
        <w:t>(</w:t>
      </w:r>
      <w:r w:rsidR="00976EC4">
        <w:t>$3.3 million</w:t>
      </w:r>
      <w:r>
        <w:t>), t</w:t>
      </w:r>
      <w:r w:rsidR="009020CC" w:rsidRPr="00AE28C8">
        <w:t xml:space="preserve">he </w:t>
      </w:r>
      <w:r>
        <w:t>demonstrated</w:t>
      </w:r>
      <w:r w:rsidRPr="00AE28C8">
        <w:t xml:space="preserve"> </w:t>
      </w:r>
      <w:r w:rsidR="009020CC" w:rsidRPr="00AE28C8">
        <w:t>impact and value for money is high</w:t>
      </w:r>
      <w:r w:rsidR="00AB04FC">
        <w:t>.</w:t>
      </w:r>
      <w:r w:rsidR="0018656B">
        <w:t xml:space="preserve"> </w:t>
      </w:r>
      <w:r w:rsidR="00976EC4">
        <w:t>Progress against the</w:t>
      </w:r>
      <w:r w:rsidR="00C62D84" w:rsidRPr="00C62D84">
        <w:t xml:space="preserve"> </w:t>
      </w:r>
      <w:r w:rsidR="00AB04FC">
        <w:t>p</w:t>
      </w:r>
      <w:r w:rsidR="00C62D84" w:rsidRPr="00C62D84">
        <w:t xml:space="preserve">ublic </w:t>
      </w:r>
      <w:r w:rsidR="00AB04FC">
        <w:t>s</w:t>
      </w:r>
      <w:r w:rsidR="00C62D84" w:rsidRPr="00C62D84">
        <w:t xml:space="preserve">ector </w:t>
      </w:r>
      <w:r w:rsidR="00AB04FC">
        <w:t>m</w:t>
      </w:r>
      <w:r w:rsidR="00C62D84" w:rsidRPr="00C62D84">
        <w:t>anagement</w:t>
      </w:r>
      <w:r w:rsidR="00AB04FC">
        <w:t xml:space="preserve"> objective</w:t>
      </w:r>
      <w:r w:rsidR="00C62D84" w:rsidRPr="00C62D84">
        <w:t xml:space="preserve"> continued to </w:t>
      </w:r>
      <w:r w:rsidR="00976EC4">
        <w:t xml:space="preserve">be </w:t>
      </w:r>
      <w:r w:rsidR="00C62D84" w:rsidRPr="00C62D84">
        <w:t>rate</w:t>
      </w:r>
      <w:r w:rsidR="00976EC4">
        <w:t>d</w:t>
      </w:r>
      <w:r w:rsidR="00C62D84">
        <w:t xml:space="preserve"> as</w:t>
      </w:r>
      <w:r w:rsidR="004347F5">
        <w:t xml:space="preserve"> </w:t>
      </w:r>
      <w:r w:rsidR="00976EC4">
        <w:t>‘</w:t>
      </w:r>
      <w:r w:rsidR="004347F5">
        <w:t>good</w:t>
      </w:r>
      <w:r w:rsidR="00976EC4">
        <w:t>’</w:t>
      </w:r>
      <w:r w:rsidR="004347F5">
        <w:t xml:space="preserve"> or </w:t>
      </w:r>
      <w:r w:rsidR="00976EC4">
        <w:t>‘</w:t>
      </w:r>
      <w:r w:rsidR="004347F5">
        <w:t>adequate</w:t>
      </w:r>
      <w:r w:rsidR="00976EC4">
        <w:t>’</w:t>
      </w:r>
      <w:r w:rsidR="004347F5">
        <w:t xml:space="preserve"> </w:t>
      </w:r>
      <w:r w:rsidR="00C62D84">
        <w:t>against</w:t>
      </w:r>
      <w:r w:rsidR="00C62D84" w:rsidRPr="00C62D84">
        <w:t xml:space="preserve"> most </w:t>
      </w:r>
      <w:r w:rsidR="00976EC4">
        <w:t xml:space="preserve">aid quality </w:t>
      </w:r>
      <w:r w:rsidR="00767A81">
        <w:t>criteria (See Annex D – Aid Quality Check ratings)</w:t>
      </w:r>
      <w:r w:rsidR="00C62D84">
        <w:t>.</w:t>
      </w:r>
      <w:r w:rsidR="00C62D84" w:rsidRPr="00C62D84">
        <w:t xml:space="preserve">  </w:t>
      </w:r>
    </w:p>
    <w:p w14:paraId="2AF10255" w14:textId="77777777" w:rsidR="009020CC" w:rsidRDefault="00AB04FC" w:rsidP="00F660E6">
      <w:pPr>
        <w:spacing w:after="120"/>
      </w:pPr>
      <w:r>
        <w:t>The ratings for i</w:t>
      </w:r>
      <w:r w:rsidR="009020CC" w:rsidRPr="00AE28C8">
        <w:t xml:space="preserve">nvesting in </w:t>
      </w:r>
      <w:r>
        <w:t>i</w:t>
      </w:r>
      <w:r w:rsidR="009020CC" w:rsidRPr="00AE28C8">
        <w:t xml:space="preserve">nfrastructure </w:t>
      </w:r>
      <w:r>
        <w:t xml:space="preserve">improved </w:t>
      </w:r>
      <w:r w:rsidR="00D46DAF">
        <w:t>overall from 2016-17</w:t>
      </w:r>
      <w:r>
        <w:t xml:space="preserve">. </w:t>
      </w:r>
      <w:r w:rsidR="00BB347F">
        <w:t>The</w:t>
      </w:r>
      <w:r w:rsidR="00454DB5">
        <w:t xml:space="preserve"> reliability of energy supply increased as a result of ongoing reforms and the</w:t>
      </w:r>
      <w:r w:rsidR="00BB347F">
        <w:t xml:space="preserve"> </w:t>
      </w:r>
      <w:r w:rsidR="009D60AF">
        <w:t xml:space="preserve">installation of </w:t>
      </w:r>
      <w:r w:rsidR="00BB347F">
        <w:t>two</w:t>
      </w:r>
      <w:r w:rsidR="00BB347F" w:rsidRPr="00AE28C8">
        <w:t xml:space="preserve"> 2.</w:t>
      </w:r>
      <w:r w:rsidR="00BB347F">
        <w:t>8</w:t>
      </w:r>
      <w:r w:rsidR="00BB347F" w:rsidRPr="00AE28C8">
        <w:t xml:space="preserve"> MW diesel generator</w:t>
      </w:r>
      <w:r w:rsidR="00BB347F">
        <w:t>s</w:t>
      </w:r>
      <w:r w:rsidR="00976EC4">
        <w:t>.</w:t>
      </w:r>
      <w:r w:rsidR="00BB347F">
        <w:t xml:space="preserve"> </w:t>
      </w:r>
      <w:r w:rsidR="00976EC4">
        <w:t>T</w:t>
      </w:r>
      <w:r w:rsidR="00BB347F">
        <w:t>he indoor sports facility and the completion of the Learning Village</w:t>
      </w:r>
      <w:r w:rsidR="009020CC" w:rsidRPr="00AE28C8">
        <w:t xml:space="preserve"> </w:t>
      </w:r>
      <w:r w:rsidR="00BB347F">
        <w:t xml:space="preserve">will provide </w:t>
      </w:r>
      <w:r w:rsidR="009D60AF">
        <w:t xml:space="preserve">opportunities for </w:t>
      </w:r>
      <w:r w:rsidR="00BB347F">
        <w:t>better community education and health benefits</w:t>
      </w:r>
      <w:r w:rsidR="00D603F1">
        <w:t>.</w:t>
      </w:r>
      <w:r w:rsidR="00D603F1" w:rsidRPr="00AE28C8">
        <w:t xml:space="preserve"> </w:t>
      </w:r>
      <w:r w:rsidR="00CC4DEB">
        <w:t xml:space="preserve"> </w:t>
      </w:r>
    </w:p>
    <w:p w14:paraId="7AF3458D" w14:textId="77777777" w:rsidR="00A21CB9" w:rsidRDefault="009D5848" w:rsidP="00A21CB9">
      <w:r>
        <w:t>E</w:t>
      </w:r>
      <w:r w:rsidR="00A21CB9" w:rsidRPr="00200EFB">
        <w:t xml:space="preserve">ducation investments have maintained generally good to adequate ratings for relevance, effectiveness, efficiency and </w:t>
      </w:r>
      <w:r w:rsidR="00C05275">
        <w:t xml:space="preserve">improved </w:t>
      </w:r>
      <w:r w:rsidR="006E79D4">
        <w:t xml:space="preserve">in relation to </w:t>
      </w:r>
      <w:r w:rsidR="00A21CB9" w:rsidRPr="00200EFB">
        <w:t>gender compared to 2017-18</w:t>
      </w:r>
      <w:r w:rsidR="006E79D4">
        <w:t>. However, t</w:t>
      </w:r>
      <w:r w:rsidR="009D60AF">
        <w:t>he lack of quality data makes monitoring and evaluation of outcomes difficult</w:t>
      </w:r>
      <w:r w:rsidR="00B81A8D">
        <w:t>.</w:t>
      </w:r>
      <w:r w:rsidR="009D60AF">
        <w:t xml:space="preserve"> </w:t>
      </w:r>
      <w:r w:rsidR="00A21CB9" w:rsidRPr="00200EFB">
        <w:t>The D</w:t>
      </w:r>
      <w:r w:rsidR="006E79D4">
        <w:t>oET</w:t>
      </w:r>
      <w:r w:rsidR="00A21CB9" w:rsidRPr="00200EFB">
        <w:t xml:space="preserve"> made progress on a number of key outcomes supported by this investment</w:t>
      </w:r>
      <w:r w:rsidR="009D60AF">
        <w:t xml:space="preserve"> and </w:t>
      </w:r>
      <w:r w:rsidR="00976651">
        <w:t>the completion of the Learning Village is a major achievement</w:t>
      </w:r>
      <w:r w:rsidR="0089774C">
        <w:t xml:space="preserve"> over this reporting period</w:t>
      </w:r>
      <w:r w:rsidR="00A21CB9" w:rsidRPr="00200EFB">
        <w:t xml:space="preserve">. </w:t>
      </w:r>
    </w:p>
    <w:p w14:paraId="61C027C9" w14:textId="77777777" w:rsidR="00DD5DCE" w:rsidRDefault="009D5848" w:rsidP="00DD5DCE">
      <w:r>
        <w:t xml:space="preserve">A final aid quality check was conducted on the </w:t>
      </w:r>
      <w:r w:rsidR="00D603F1" w:rsidRPr="00E3471D">
        <w:t xml:space="preserve">health investment </w:t>
      </w:r>
      <w:r>
        <w:t xml:space="preserve">in 2018. The overall investment </w:t>
      </w:r>
      <w:r w:rsidR="00D603F1" w:rsidRPr="00E3471D">
        <w:t>was rated poor for effectiveness and efficiency, largely</w:t>
      </w:r>
      <w:r w:rsidR="00286493" w:rsidRPr="00E3471D">
        <w:t xml:space="preserve"> driven by the inability </w:t>
      </w:r>
      <w:r w:rsidR="00805776" w:rsidRPr="00E3471D">
        <w:t xml:space="preserve">of </w:t>
      </w:r>
      <w:r w:rsidR="00286493" w:rsidRPr="00E3471D">
        <w:t xml:space="preserve">MHMS to </w:t>
      </w:r>
      <w:r w:rsidR="00805776" w:rsidRPr="00E3471D">
        <w:t xml:space="preserve">implement programs funded by </w:t>
      </w:r>
      <w:r w:rsidR="00286493" w:rsidRPr="00E3471D">
        <w:t xml:space="preserve">Australia’s direct budget support. </w:t>
      </w:r>
      <w:r w:rsidR="00F660E6" w:rsidRPr="00E3471D">
        <w:t xml:space="preserve">It was acknowledged that MHMS capacity constraints were exacerbated </w:t>
      </w:r>
      <w:r w:rsidR="008556C8" w:rsidRPr="00E3471D">
        <w:t xml:space="preserve">by the ongoing </w:t>
      </w:r>
      <w:r w:rsidR="007B60D5">
        <w:t xml:space="preserve">impact of </w:t>
      </w:r>
      <w:r w:rsidR="008556C8" w:rsidRPr="00E3471D">
        <w:t>hospital redevelopment works and the additional demands of the parallel refugee health services.</w:t>
      </w:r>
      <w:r w:rsidR="00D603F1" w:rsidRPr="00E3471D">
        <w:t xml:space="preserve"> </w:t>
      </w:r>
    </w:p>
    <w:p w14:paraId="23C323B6" w14:textId="77777777" w:rsidR="00D603F1" w:rsidRPr="00684DD8" w:rsidRDefault="00D603F1" w:rsidP="00EA0645">
      <w:r w:rsidRPr="00684DD8">
        <w:t xml:space="preserve">Ratings for </w:t>
      </w:r>
      <w:r w:rsidR="006E79D4">
        <w:t>g</w:t>
      </w:r>
      <w:r w:rsidR="006E79D4" w:rsidRPr="00684DD8">
        <w:t xml:space="preserve">ender </w:t>
      </w:r>
      <w:r w:rsidR="006E79D4">
        <w:t>e</w:t>
      </w:r>
      <w:r w:rsidR="006E79D4" w:rsidRPr="00684DD8">
        <w:t xml:space="preserve">quality </w:t>
      </w:r>
      <w:r w:rsidR="00A752BF" w:rsidRPr="00684DD8">
        <w:t>improved</w:t>
      </w:r>
      <w:r w:rsidRPr="00684DD8">
        <w:t xml:space="preserve"> across all four investments</w:t>
      </w:r>
      <w:r w:rsidR="00C05275" w:rsidRPr="00684DD8">
        <w:t xml:space="preserve"> due to the engagement of a gender adviser for the whole program</w:t>
      </w:r>
      <w:r w:rsidRPr="00684DD8">
        <w:t xml:space="preserve">, </w:t>
      </w:r>
      <w:r w:rsidR="00FF33B9" w:rsidRPr="00684DD8">
        <w:t>with some key highlights including</w:t>
      </w:r>
      <w:r w:rsidR="0075525C" w:rsidRPr="00684DD8">
        <w:t>:</w:t>
      </w:r>
      <w:r w:rsidRPr="00684DD8">
        <w:t xml:space="preserve"> </w:t>
      </w:r>
    </w:p>
    <w:p w14:paraId="103DC0DB" w14:textId="77777777" w:rsidR="00B33A2D" w:rsidRPr="00354256" w:rsidRDefault="0009425F" w:rsidP="005468D2">
      <w:pPr>
        <w:pStyle w:val="ListParagraph"/>
        <w:numPr>
          <w:ilvl w:val="0"/>
          <w:numId w:val="12"/>
        </w:numPr>
        <w:spacing w:before="0"/>
        <w:ind w:left="425" w:hanging="357"/>
      </w:pPr>
      <w:r w:rsidRPr="00354256">
        <w:t xml:space="preserve">policy dialogue on the </w:t>
      </w:r>
      <w:r w:rsidR="0094231B" w:rsidRPr="00610297">
        <w:t>Naoero</w:t>
      </w:r>
      <w:r w:rsidR="0094231B" w:rsidRPr="00354256">
        <w:t xml:space="preserve"> </w:t>
      </w:r>
      <w:r w:rsidR="0094231B">
        <w:t>C</w:t>
      </w:r>
      <w:r w:rsidRPr="00354256">
        <w:t xml:space="preserve">ommunity </w:t>
      </w:r>
      <w:r w:rsidR="0094231B">
        <w:t>S</w:t>
      </w:r>
      <w:r w:rsidRPr="00354256">
        <w:t>port</w:t>
      </w:r>
      <w:r w:rsidR="006E79D4" w:rsidRPr="00354256">
        <w:t>s</w:t>
      </w:r>
      <w:r w:rsidRPr="00354256">
        <w:t xml:space="preserve"> </w:t>
      </w:r>
      <w:r w:rsidR="0094231B">
        <w:t>C</w:t>
      </w:r>
      <w:r w:rsidR="007B60D5" w:rsidRPr="00354256">
        <w:t>omplex led to the design and construction of</w:t>
      </w:r>
      <w:r w:rsidRPr="00354256">
        <w:t xml:space="preserve"> a more</w:t>
      </w:r>
      <w:r w:rsidR="007B60D5" w:rsidRPr="00354256">
        <w:t xml:space="preserve"> </w:t>
      </w:r>
      <w:r w:rsidR="00354256" w:rsidRPr="0018656B">
        <w:t>gender and disability inclusive</w:t>
      </w:r>
      <w:r w:rsidR="007B60D5" w:rsidRPr="00354256">
        <w:t xml:space="preserve"> facility</w:t>
      </w:r>
      <w:r w:rsidRPr="00354256">
        <w:t xml:space="preserve"> with expected broader public health benefits </w:t>
      </w:r>
      <w:r w:rsidR="00354256" w:rsidRPr="0018656B">
        <w:t>by providing a space for mass-participation sports and community workshops</w:t>
      </w:r>
      <w:r w:rsidR="00731124" w:rsidRPr="00354256">
        <w:t xml:space="preserve">; </w:t>
      </w:r>
      <w:r w:rsidR="00721EA2">
        <w:t>and</w:t>
      </w:r>
    </w:p>
    <w:p w14:paraId="2C1C4CD4" w14:textId="77777777" w:rsidR="00B86E6C" w:rsidRPr="00684DD8" w:rsidRDefault="00721EA2" w:rsidP="005468D2">
      <w:pPr>
        <w:pStyle w:val="ListParagraph"/>
        <w:numPr>
          <w:ilvl w:val="0"/>
          <w:numId w:val="12"/>
        </w:numPr>
        <w:spacing w:before="0"/>
        <w:ind w:left="425" w:hanging="357"/>
      </w:pPr>
      <w:r>
        <w:t xml:space="preserve">The </w:t>
      </w:r>
      <w:r w:rsidR="00B86E6C" w:rsidRPr="00354256">
        <w:t>NUC CEO encourag</w:t>
      </w:r>
      <w:r w:rsidR="0000272D" w:rsidRPr="00354256">
        <w:t>ed</w:t>
      </w:r>
      <w:r w:rsidR="00B86E6C" w:rsidRPr="00354256">
        <w:t xml:space="preserve"> girls to apply for engineering and technical jobs and three women participat</w:t>
      </w:r>
      <w:r w:rsidR="0000272D" w:rsidRPr="001700E5">
        <w:t>ed</w:t>
      </w:r>
      <w:r w:rsidR="00B86E6C" w:rsidRPr="001700E5">
        <w:t xml:space="preserve"> in </w:t>
      </w:r>
      <w:r w:rsidR="00354256">
        <w:t>a</w:t>
      </w:r>
      <w:r w:rsidR="006E79D4" w:rsidRPr="00354256">
        <w:t xml:space="preserve"> </w:t>
      </w:r>
      <w:r w:rsidR="00D67B52" w:rsidRPr="00354256">
        <w:t xml:space="preserve">training </w:t>
      </w:r>
      <w:r w:rsidR="00B86E6C" w:rsidRPr="00354256">
        <w:t>progra</w:t>
      </w:r>
      <w:r w:rsidR="00B86E6C" w:rsidRPr="00684DD8">
        <w:t>m</w:t>
      </w:r>
      <w:r w:rsidR="00354256">
        <w:t xml:space="preserve"> through the Barefoot College</w:t>
      </w:r>
      <w:r w:rsidR="00B86E6C" w:rsidRPr="00684DD8">
        <w:t xml:space="preserve"> in India to learn to be solar engineers</w:t>
      </w:r>
      <w:r w:rsidR="00976EC4">
        <w:t>.</w:t>
      </w:r>
    </w:p>
    <w:p w14:paraId="54BC2E7E" w14:textId="77777777" w:rsidR="005B5769" w:rsidRPr="00684DD8"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684DD8">
        <w:rPr>
          <w:rFonts w:asciiTheme="majorHAnsi" w:eastAsiaTheme="majorEastAsia" w:hAnsiTheme="majorHAnsi" w:cstheme="majorBidi"/>
          <w:caps/>
          <w:color w:val="495965" w:themeColor="text2"/>
          <w:sz w:val="38"/>
          <w:szCs w:val="26"/>
          <w:lang w:val="en-GB" w:eastAsia="en-US"/>
        </w:rPr>
        <w:t xml:space="preserve">Management </w:t>
      </w:r>
      <w:r w:rsidR="00E65105" w:rsidRPr="00684DD8">
        <w:rPr>
          <w:rFonts w:asciiTheme="majorHAnsi" w:eastAsiaTheme="majorEastAsia" w:hAnsiTheme="majorHAnsi" w:cstheme="majorBidi"/>
          <w:caps/>
          <w:color w:val="495965" w:themeColor="text2"/>
          <w:sz w:val="38"/>
          <w:szCs w:val="26"/>
          <w:lang w:val="en-GB" w:eastAsia="en-US"/>
        </w:rPr>
        <w:t>actions</w:t>
      </w:r>
    </w:p>
    <w:p w14:paraId="52506A92" w14:textId="77777777" w:rsidR="009020CC" w:rsidRPr="00684DD8" w:rsidRDefault="00454DB5" w:rsidP="009020CC">
      <w:pPr>
        <w:pStyle w:val="ListBullet"/>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To improve the effectiveness and impact of our aid to Nauru, the following management actions will be undertaken 2018-19:</w:t>
      </w:r>
    </w:p>
    <w:p w14:paraId="721531DC" w14:textId="77777777" w:rsidR="007B60D5" w:rsidRPr="00684DD8" w:rsidRDefault="00EA3271" w:rsidP="005468D2">
      <w:pPr>
        <w:pStyle w:val="ListParagraph"/>
        <w:numPr>
          <w:ilvl w:val="0"/>
          <w:numId w:val="12"/>
        </w:numPr>
        <w:spacing w:before="0"/>
        <w:ind w:left="425" w:hanging="357"/>
      </w:pPr>
      <w:r w:rsidRPr="00684DD8">
        <w:t>Finalise the design for a new health sector investment</w:t>
      </w:r>
      <w:r w:rsidR="00E46D2F">
        <w:t xml:space="preserve"> (</w:t>
      </w:r>
      <w:r w:rsidR="00767A81">
        <w:t>Australian High Commission</w:t>
      </w:r>
      <w:r w:rsidR="008B4B5B">
        <w:t xml:space="preserve"> </w:t>
      </w:r>
      <w:r w:rsidR="00E46D2F">
        <w:t>Nauru</w:t>
      </w:r>
      <w:r w:rsidR="00767A81">
        <w:t xml:space="preserve"> and DFAT Canberra</w:t>
      </w:r>
      <w:r w:rsidR="00E46D2F">
        <w:t>, in consultation with the Government of Nauru)</w:t>
      </w:r>
    </w:p>
    <w:p w14:paraId="3226C86C" w14:textId="77777777" w:rsidR="00EA3271" w:rsidRPr="00684DD8" w:rsidRDefault="00EA3271" w:rsidP="005468D2">
      <w:pPr>
        <w:pStyle w:val="ListParagraph"/>
        <w:numPr>
          <w:ilvl w:val="0"/>
          <w:numId w:val="12"/>
        </w:numPr>
        <w:spacing w:before="0"/>
        <w:ind w:left="425" w:hanging="357"/>
      </w:pPr>
      <w:r w:rsidRPr="00684DD8">
        <w:t>Finalise a review and commence a design for a revised education investment</w:t>
      </w:r>
      <w:r w:rsidR="00E46D2F">
        <w:t xml:space="preserve"> (</w:t>
      </w:r>
      <w:r w:rsidR="00767A81">
        <w:t>Australian High Commission Nauru</w:t>
      </w:r>
      <w:r w:rsidR="008B4B5B">
        <w:t xml:space="preserve"> and DFAT Canberra</w:t>
      </w:r>
      <w:r w:rsidR="00E46D2F">
        <w:t>, in consultation with the Government of Nauru)</w:t>
      </w:r>
    </w:p>
    <w:p w14:paraId="14E3A8AF" w14:textId="77777777" w:rsidR="00EA3271" w:rsidRPr="00684DD8" w:rsidRDefault="00EA3271" w:rsidP="005468D2">
      <w:pPr>
        <w:pStyle w:val="ListParagraph"/>
        <w:numPr>
          <w:ilvl w:val="0"/>
          <w:numId w:val="12"/>
        </w:numPr>
        <w:spacing w:before="0"/>
        <w:ind w:left="425" w:hanging="357"/>
      </w:pPr>
      <w:r w:rsidRPr="00684DD8">
        <w:t xml:space="preserve">Identify and implement actions </w:t>
      </w:r>
      <w:r w:rsidR="008B4B5B">
        <w:t xml:space="preserve">to </w:t>
      </w:r>
      <w:r w:rsidRPr="00684DD8">
        <w:t>improve and maintain gender equality ratings across all investments</w:t>
      </w:r>
      <w:r w:rsidR="00E46D2F">
        <w:t xml:space="preserve"> (</w:t>
      </w:r>
      <w:r w:rsidR="00767A81">
        <w:t>Australian High Commission Nauru</w:t>
      </w:r>
      <w:r w:rsidR="008B4B5B">
        <w:t xml:space="preserve"> and</w:t>
      </w:r>
      <w:r w:rsidR="00E46D2F">
        <w:t xml:space="preserve"> DFAT Canberra)</w:t>
      </w:r>
      <w:r w:rsidR="00E46D2F" w:rsidRPr="00684DD8">
        <w:t>.</w:t>
      </w:r>
    </w:p>
    <w:p w14:paraId="7CCB060E" w14:textId="77777777" w:rsidR="00EA3271" w:rsidRDefault="00EA3271" w:rsidP="00EA3271">
      <w:pPr>
        <w:pStyle w:val="ListBullet"/>
        <w:ind w:left="360"/>
        <w:rPr>
          <w:rFonts w:asciiTheme="minorHAnsi" w:eastAsiaTheme="minorHAnsi" w:hAnsiTheme="minorHAnsi" w:cstheme="minorBidi"/>
          <w:color w:val="495965" w:themeColor="text2"/>
          <w:sz w:val="22"/>
          <w:szCs w:val="22"/>
          <w:lang w:val="en-GB" w:eastAsia="en-US"/>
        </w:rPr>
      </w:pPr>
    </w:p>
    <w:p w14:paraId="13B4480A" w14:textId="77777777" w:rsidR="00EA3271" w:rsidRDefault="00EA3271" w:rsidP="00EA3271">
      <w:pPr>
        <w:pStyle w:val="ListBullet"/>
        <w:rPr>
          <w:rFonts w:asciiTheme="minorHAnsi" w:eastAsiaTheme="minorHAnsi" w:hAnsiTheme="minorHAnsi" w:cstheme="minorBidi"/>
          <w:color w:val="495965" w:themeColor="text2"/>
          <w:sz w:val="22"/>
          <w:szCs w:val="22"/>
          <w:lang w:val="en-GB" w:eastAsia="en-US"/>
        </w:rPr>
      </w:pPr>
    </w:p>
    <w:p w14:paraId="063C7257" w14:textId="77777777" w:rsidR="00D00802" w:rsidRPr="005C497D" w:rsidRDefault="000B6BD0" w:rsidP="005C497D">
      <w:pPr>
        <w:pStyle w:val="ListBullet"/>
        <w:rPr>
          <w:rFonts w:asciiTheme="minorHAnsi" w:eastAsiaTheme="minorHAnsi" w:hAnsiTheme="minorHAnsi" w:cstheme="minorBidi"/>
          <w:color w:val="495965" w:themeColor="text2"/>
          <w:sz w:val="22"/>
          <w:szCs w:val="22"/>
          <w:lang w:val="en-GB" w:eastAsia="en-US"/>
        </w:rPr>
        <w:sectPr w:rsidR="00D00802" w:rsidRPr="005C497D" w:rsidSect="005403BA">
          <w:headerReference w:type="default" r:id="rId27"/>
          <w:footerReference w:type="default" r:id="rId28"/>
          <w:pgSz w:w="11906" w:h="16838" w:code="9"/>
          <w:pgMar w:top="1811" w:right="1134" w:bottom="1418" w:left="1134" w:header="1565" w:footer="342" w:gutter="0"/>
          <w:cols w:space="397"/>
          <w:docGrid w:linePitch="360"/>
        </w:sectPr>
      </w:pPr>
      <w:r>
        <w:rPr>
          <w:rFonts w:asciiTheme="minorHAnsi" w:eastAsiaTheme="minorHAnsi" w:hAnsiTheme="minorHAnsi" w:cstheme="minorBidi"/>
          <w:color w:val="495965" w:themeColor="text2"/>
          <w:sz w:val="22"/>
          <w:szCs w:val="22"/>
          <w:lang w:val="en-GB" w:eastAsia="en-US"/>
        </w:rPr>
        <w:t xml:space="preserve"> </w:t>
      </w:r>
    </w:p>
    <w:p w14:paraId="57FB2AC0" w14:textId="77777777" w:rsidR="00AF1B85" w:rsidRPr="00A8197B" w:rsidRDefault="00AF1B85" w:rsidP="00F80511">
      <w:pPr>
        <w:pStyle w:val="Subtitle"/>
        <w:spacing w:after="120"/>
      </w:pPr>
      <w:r w:rsidRPr="00A8197B">
        <w:t>Annex A - Progress in Addressing Management Responses</w:t>
      </w:r>
    </w:p>
    <w:p w14:paraId="59A3FBF6" w14:textId="77777777" w:rsidR="00AF1B85" w:rsidRPr="00C61187" w:rsidRDefault="00AF1B85" w:rsidP="00A8197B">
      <w:r w:rsidRPr="00C61187">
        <w:t>Describe progress made against management responses in 201</w:t>
      </w:r>
      <w:r w:rsidR="00471355">
        <w:t>6</w:t>
      </w:r>
      <w:r w:rsidRPr="00C61187">
        <w:t>-1</w:t>
      </w:r>
      <w:r w:rsidR="00471355">
        <w:t>7</w:t>
      </w:r>
      <w:r w:rsidRPr="00C61187">
        <w:t xml:space="preserve"> report</w:t>
      </w:r>
    </w:p>
    <w:tbl>
      <w:tblPr>
        <w:tblStyle w:val="APPR"/>
        <w:tblpPr w:leftFromText="180" w:rightFromText="180" w:vertAnchor="text" w:tblpY="1"/>
        <w:tblW w:w="5074" w:type="pct"/>
        <w:tblLayout w:type="fixed"/>
        <w:tblLook w:val="0000" w:firstRow="0" w:lastRow="0" w:firstColumn="0" w:lastColumn="0" w:noHBand="0" w:noVBand="0"/>
      </w:tblPr>
      <w:tblGrid>
        <w:gridCol w:w="6326"/>
        <w:gridCol w:w="1179"/>
        <w:gridCol w:w="6738"/>
      </w:tblGrid>
      <w:tr w:rsidR="00AF1B85" w:rsidRPr="00812509" w14:paraId="026B74DE" w14:textId="77777777" w:rsidTr="00812509">
        <w:trPr>
          <w:cnfStyle w:val="000000010000" w:firstRow="0" w:lastRow="0" w:firstColumn="0" w:lastColumn="0" w:oddVBand="0" w:evenVBand="0" w:oddHBand="0" w:evenHBand="1" w:firstRowFirstColumn="0" w:firstRowLastColumn="0" w:lastRowFirstColumn="0" w:lastRowLastColumn="0"/>
        </w:trPr>
        <w:tc>
          <w:tcPr>
            <w:tcW w:w="6409" w:type="dxa"/>
          </w:tcPr>
          <w:p w14:paraId="03060202" w14:textId="77777777" w:rsidR="00AF1B85" w:rsidRPr="00812509" w:rsidRDefault="00AF1B85" w:rsidP="003E305C">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201</w:t>
            </w:r>
            <w:r w:rsidR="00644492">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-1</w:t>
            </w:r>
            <w:r w:rsidR="00644492">
              <w:rPr>
                <w:rFonts w:asciiTheme="minorHAnsi" w:eastAsia="Times New Roman" w:hAnsiTheme="minorHAnsi"/>
                <w:b/>
                <w:iCs/>
                <w:szCs w:val="17"/>
                <w:lang w:eastAsia="en-US"/>
              </w:rPr>
              <w:t>7</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170" w:type="dxa"/>
          </w:tcPr>
          <w:p w14:paraId="1887C0F3" w14:textId="77777777"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829" w:type="dxa"/>
          </w:tcPr>
          <w:p w14:paraId="2B01E2ED" w14:textId="77777777" w:rsidR="00AF1B85" w:rsidRPr="00812509" w:rsidRDefault="00AF1B85" w:rsidP="003E305C">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w:t>
            </w:r>
            <w:r w:rsidR="008358CE">
              <w:rPr>
                <w:rFonts w:asciiTheme="minorHAnsi" w:eastAsia="Times New Roman" w:hAnsiTheme="minorHAnsi"/>
                <w:b/>
                <w:iCs/>
                <w:szCs w:val="17"/>
                <w:lang w:eastAsia="en-US"/>
              </w:rPr>
              <w:t>7</w:t>
            </w:r>
            <w:r w:rsidRPr="00812509">
              <w:rPr>
                <w:rFonts w:asciiTheme="minorHAnsi" w:eastAsia="Times New Roman" w:hAnsiTheme="minorHAnsi"/>
                <w:b/>
                <w:iCs/>
                <w:szCs w:val="17"/>
                <w:lang w:eastAsia="en-US"/>
              </w:rPr>
              <w:t>-1</w:t>
            </w:r>
            <w:r w:rsidR="008358CE">
              <w:rPr>
                <w:rFonts w:asciiTheme="minorHAnsi" w:eastAsia="Times New Roman" w:hAnsiTheme="minorHAnsi"/>
                <w:b/>
                <w:iCs/>
                <w:szCs w:val="17"/>
                <w:lang w:eastAsia="en-US"/>
              </w:rPr>
              <w:t>8</w:t>
            </w:r>
          </w:p>
        </w:tc>
      </w:tr>
      <w:tr w:rsidR="00AF1B85" w:rsidRPr="00812509" w14:paraId="4105A3AD" w14:textId="77777777" w:rsidTr="00812509">
        <w:trPr>
          <w:cnfStyle w:val="000000010000" w:firstRow="0" w:lastRow="0" w:firstColumn="0" w:lastColumn="0" w:oddVBand="0" w:evenVBand="0" w:oddHBand="0" w:evenHBand="1" w:firstRowFirstColumn="0" w:firstRowLastColumn="0" w:lastRowFirstColumn="0" w:lastRowLastColumn="0"/>
        </w:trPr>
        <w:tc>
          <w:tcPr>
            <w:tcW w:w="6409" w:type="dxa"/>
          </w:tcPr>
          <w:p w14:paraId="6F6F2929" w14:textId="77777777" w:rsidR="006A0AF2" w:rsidRPr="00812509" w:rsidRDefault="00EA3271" w:rsidP="00D15A00">
            <w:pPr>
              <w:keepLines/>
              <w:spacing w:before="40" w:after="40" w:line="200" w:lineRule="atLeast"/>
              <w:rPr>
                <w:rFonts w:asciiTheme="minorHAnsi" w:eastAsia="Times New Roman" w:hAnsiTheme="minorHAnsi"/>
                <w:iCs/>
                <w:szCs w:val="17"/>
                <w:lang w:eastAsia="en-US"/>
              </w:rPr>
            </w:pPr>
            <w:r w:rsidRPr="00EA3271">
              <w:rPr>
                <w:rFonts w:asciiTheme="minorHAnsi" w:eastAsia="Times New Roman" w:hAnsiTheme="minorHAnsi"/>
                <w:iCs/>
                <w:szCs w:val="17"/>
                <w:lang w:eastAsia="en-US"/>
              </w:rPr>
              <w:t>Ongoing training and mentoring is a priority to build the capacity of the development team over 2017 and 2018.</w:t>
            </w:r>
          </w:p>
        </w:tc>
        <w:tc>
          <w:tcPr>
            <w:tcW w:w="1170" w:type="dxa"/>
            <w:shd w:val="clear" w:color="auto" w:fill="72AF2F"/>
          </w:tcPr>
          <w:p w14:paraId="168AF2CD" w14:textId="77777777"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829" w:type="dxa"/>
          </w:tcPr>
          <w:p w14:paraId="6B91520D" w14:textId="77777777" w:rsidR="00AF1B85" w:rsidRPr="00955A4B" w:rsidRDefault="00EA3271" w:rsidP="00D531E2">
            <w:pPr>
              <w:keepLines/>
              <w:spacing w:before="40" w:after="40" w:line="200" w:lineRule="atLeast"/>
              <w:ind w:left="177"/>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Significant training and mentoring provided to staff on aid policy, management, contract management and monitoring and evaluation.  </w:t>
            </w:r>
          </w:p>
        </w:tc>
      </w:tr>
      <w:tr w:rsidR="00AF1B85" w:rsidRPr="00812509" w14:paraId="1E04043E" w14:textId="77777777" w:rsidTr="00812509">
        <w:trPr>
          <w:cnfStyle w:val="000000010000" w:firstRow="0" w:lastRow="0" w:firstColumn="0" w:lastColumn="0" w:oddVBand="0" w:evenVBand="0" w:oddHBand="0" w:evenHBand="1" w:firstRowFirstColumn="0" w:firstRowLastColumn="0" w:lastRowFirstColumn="0" w:lastRowLastColumn="0"/>
        </w:trPr>
        <w:tc>
          <w:tcPr>
            <w:tcW w:w="6409" w:type="dxa"/>
          </w:tcPr>
          <w:p w14:paraId="1064ED81" w14:textId="77777777" w:rsidR="00AF1B85" w:rsidRPr="00812509" w:rsidRDefault="00EA3271"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Commission independent review and design of Nauru health investment</w:t>
            </w:r>
          </w:p>
        </w:tc>
        <w:tc>
          <w:tcPr>
            <w:tcW w:w="1170" w:type="dxa"/>
            <w:shd w:val="clear" w:color="auto" w:fill="72AF2F"/>
          </w:tcPr>
          <w:p w14:paraId="0AF8368C" w14:textId="77777777"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r w:rsidRPr="00812509">
              <w:rPr>
                <w:rFonts w:eastAsia="Times New Roman"/>
                <w:iCs/>
                <w:color w:val="FFFFFF" w:themeColor="background1"/>
                <w:szCs w:val="17"/>
              </w:rPr>
              <w:fldChar w:fldCharType="begin"/>
            </w:r>
            <w:r w:rsidRPr="00812509">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12509">
              <w:rPr>
                <w:rFonts w:eastAsia="Times New Roman"/>
                <w:iCs/>
                <w:color w:val="FFFFFF" w:themeColor="background1"/>
                <w:szCs w:val="17"/>
              </w:rPr>
              <w:fldChar w:fldCharType="end"/>
            </w:r>
          </w:p>
        </w:tc>
        <w:tc>
          <w:tcPr>
            <w:tcW w:w="6829" w:type="dxa"/>
          </w:tcPr>
          <w:p w14:paraId="6F5153AD" w14:textId="77777777" w:rsidR="00AF1B85" w:rsidRPr="00955A4B" w:rsidRDefault="00EA3271" w:rsidP="00C74220">
            <w:pPr>
              <w:keepLines/>
              <w:spacing w:before="40" w:after="40" w:line="200" w:lineRule="atLeast"/>
              <w:ind w:left="177"/>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The independent review </w:t>
            </w:r>
            <w:r w:rsidR="00B81A8D">
              <w:rPr>
                <w:rFonts w:asciiTheme="minorHAnsi" w:eastAsia="Times New Roman" w:hAnsiTheme="minorHAnsi"/>
                <w:iCs/>
                <w:color w:val="auto"/>
                <w:szCs w:val="17"/>
                <w:lang w:eastAsia="en-US"/>
              </w:rPr>
              <w:t>w</w:t>
            </w:r>
            <w:r>
              <w:rPr>
                <w:rFonts w:asciiTheme="minorHAnsi" w:eastAsia="Times New Roman" w:hAnsiTheme="minorHAnsi"/>
                <w:iCs/>
                <w:color w:val="auto"/>
                <w:szCs w:val="17"/>
                <w:lang w:eastAsia="en-US"/>
              </w:rPr>
              <w:t xml:space="preserve">as completed in February 2018.  The design </w:t>
            </w:r>
            <w:r w:rsidR="00E607EB">
              <w:rPr>
                <w:rFonts w:asciiTheme="minorHAnsi" w:eastAsia="Times New Roman" w:hAnsiTheme="minorHAnsi"/>
                <w:iCs/>
                <w:color w:val="auto"/>
                <w:szCs w:val="17"/>
                <w:lang w:eastAsia="en-US"/>
              </w:rPr>
              <w:t>was</w:t>
            </w:r>
            <w:r>
              <w:rPr>
                <w:rFonts w:asciiTheme="minorHAnsi" w:eastAsia="Times New Roman" w:hAnsiTheme="minorHAnsi"/>
                <w:iCs/>
                <w:color w:val="auto"/>
                <w:szCs w:val="17"/>
                <w:lang w:eastAsia="en-US"/>
              </w:rPr>
              <w:t xml:space="preserve"> completed</w:t>
            </w:r>
            <w:r w:rsidR="00E607EB">
              <w:rPr>
                <w:rFonts w:asciiTheme="minorHAnsi" w:eastAsia="Times New Roman" w:hAnsiTheme="minorHAnsi"/>
                <w:iCs/>
                <w:color w:val="auto"/>
                <w:szCs w:val="17"/>
                <w:lang w:eastAsia="en-US"/>
              </w:rPr>
              <w:t xml:space="preserve"> in mid-2018 with implementation expected to commence later in the year.</w:t>
            </w:r>
          </w:p>
        </w:tc>
      </w:tr>
      <w:tr w:rsidR="009A56F2" w:rsidRPr="00812509" w14:paraId="0F486575" w14:textId="77777777" w:rsidTr="0098788E">
        <w:trPr>
          <w:cnfStyle w:val="000000010000" w:firstRow="0" w:lastRow="0" w:firstColumn="0" w:lastColumn="0" w:oddVBand="0" w:evenVBand="0" w:oddHBand="0" w:evenHBand="1" w:firstRowFirstColumn="0" w:firstRowLastColumn="0" w:lastRowFirstColumn="0" w:lastRowLastColumn="0"/>
        </w:trPr>
        <w:tc>
          <w:tcPr>
            <w:tcW w:w="6409" w:type="dxa"/>
          </w:tcPr>
          <w:p w14:paraId="1B2383AF" w14:textId="77777777" w:rsidR="009A56F2" w:rsidRPr="009A56F2" w:rsidRDefault="00EA3271" w:rsidP="009A56F2">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Establish formal dialogue mechanism that would include New Zealand as the other major education donor.</w:t>
            </w:r>
          </w:p>
        </w:tc>
        <w:tc>
          <w:tcPr>
            <w:tcW w:w="1170" w:type="dxa"/>
            <w:shd w:val="clear" w:color="auto" w:fill="7FB64D" w:themeFill="accent3" w:themeFillShade="BF"/>
          </w:tcPr>
          <w:p w14:paraId="3C7F9D27" w14:textId="77777777" w:rsidR="009A56F2" w:rsidRPr="009A56F2" w:rsidRDefault="0098788E"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color w:val="FFFFFF" w:themeColor="background1"/>
                <w:szCs w:val="17"/>
                <w:lang w:eastAsia="en-US"/>
              </w:rPr>
              <w:t>A</w:t>
            </w:r>
            <w:r w:rsidR="009A56F2" w:rsidRPr="009A56F2">
              <w:rPr>
                <w:rFonts w:asciiTheme="minorHAnsi" w:eastAsia="Times New Roman" w:hAnsiTheme="minorHAnsi"/>
                <w:iCs/>
                <w:color w:val="FFFFFF" w:themeColor="background1"/>
                <w:szCs w:val="17"/>
                <w:lang w:eastAsia="en-US"/>
              </w:rPr>
              <w:t>chieved</w:t>
            </w:r>
          </w:p>
        </w:tc>
        <w:tc>
          <w:tcPr>
            <w:tcW w:w="6829" w:type="dxa"/>
          </w:tcPr>
          <w:p w14:paraId="06BCAD13" w14:textId="77777777" w:rsidR="009A56F2" w:rsidRPr="009A56F2" w:rsidRDefault="0098788E" w:rsidP="000C2FE2">
            <w:pPr>
              <w:keepLines/>
              <w:spacing w:before="40" w:after="40" w:line="200" w:lineRule="atLeast"/>
              <w:ind w:left="177"/>
              <w:rPr>
                <w:rFonts w:asciiTheme="minorHAnsi" w:eastAsia="Times New Roman" w:hAnsiTheme="minorHAnsi"/>
                <w:iCs/>
                <w:szCs w:val="17"/>
                <w:lang w:eastAsia="en-US"/>
              </w:rPr>
            </w:pPr>
            <w:r>
              <w:rPr>
                <w:rFonts w:asciiTheme="minorHAnsi" w:eastAsia="Times New Roman" w:hAnsiTheme="minorHAnsi"/>
                <w:iCs/>
                <w:color w:val="auto"/>
                <w:szCs w:val="17"/>
                <w:lang w:eastAsia="en-US"/>
              </w:rPr>
              <w:t xml:space="preserve">A formal dialogue was held between </w:t>
            </w:r>
            <w:r w:rsidR="000C2FE2">
              <w:rPr>
                <w:rFonts w:asciiTheme="minorHAnsi" w:eastAsia="Times New Roman" w:hAnsiTheme="minorHAnsi"/>
                <w:iCs/>
                <w:color w:val="auto"/>
                <w:szCs w:val="17"/>
                <w:lang w:eastAsia="en-US"/>
              </w:rPr>
              <w:t>the Government of Nauru</w:t>
            </w:r>
            <w:r>
              <w:rPr>
                <w:rFonts w:asciiTheme="minorHAnsi" w:eastAsia="Times New Roman" w:hAnsiTheme="minorHAnsi"/>
                <w:iCs/>
                <w:color w:val="auto"/>
                <w:szCs w:val="17"/>
                <w:lang w:eastAsia="en-US"/>
              </w:rPr>
              <w:t xml:space="preserve">, New Zealand and </w:t>
            </w:r>
            <w:r w:rsidR="00D06002">
              <w:rPr>
                <w:rFonts w:asciiTheme="minorHAnsi" w:eastAsia="Times New Roman" w:hAnsiTheme="minorHAnsi"/>
                <w:iCs/>
                <w:color w:val="auto"/>
                <w:szCs w:val="17"/>
                <w:lang w:eastAsia="en-US"/>
              </w:rPr>
              <w:t>Australia</w:t>
            </w:r>
            <w:r>
              <w:rPr>
                <w:rFonts w:asciiTheme="minorHAnsi" w:eastAsia="Times New Roman" w:hAnsiTheme="minorHAnsi"/>
                <w:iCs/>
                <w:color w:val="auto"/>
                <w:szCs w:val="17"/>
                <w:lang w:eastAsia="en-US"/>
              </w:rPr>
              <w:t xml:space="preserve"> in July 2018</w:t>
            </w:r>
            <w:r w:rsidR="009A56F2" w:rsidRPr="009A56F2">
              <w:rPr>
                <w:rFonts w:asciiTheme="minorHAnsi" w:eastAsia="Times New Roman" w:hAnsiTheme="minorHAnsi"/>
                <w:iCs/>
                <w:szCs w:val="17"/>
                <w:lang w:eastAsia="en-US"/>
              </w:rPr>
              <w:t>.</w:t>
            </w:r>
            <w:r w:rsidR="00440982">
              <w:rPr>
                <w:rFonts w:asciiTheme="minorHAnsi" w:eastAsia="Times New Roman" w:hAnsiTheme="minorHAnsi"/>
                <w:iCs/>
                <w:szCs w:val="17"/>
                <w:lang w:eastAsia="en-US"/>
              </w:rPr>
              <w:t xml:space="preserve">  </w:t>
            </w:r>
          </w:p>
        </w:tc>
      </w:tr>
      <w:tr w:rsidR="00AF1B85" w:rsidRPr="00812509" w14:paraId="3679F142" w14:textId="77777777" w:rsidTr="00C74220">
        <w:trPr>
          <w:cnfStyle w:val="000000010000" w:firstRow="0" w:lastRow="0" w:firstColumn="0" w:lastColumn="0" w:oddVBand="0" w:evenVBand="0" w:oddHBand="0" w:evenHBand="1" w:firstRowFirstColumn="0" w:firstRowLastColumn="0" w:lastRowFirstColumn="0" w:lastRowLastColumn="0"/>
        </w:trPr>
        <w:tc>
          <w:tcPr>
            <w:tcW w:w="6409" w:type="dxa"/>
          </w:tcPr>
          <w:p w14:paraId="6768EBC7" w14:textId="77777777" w:rsidR="00AF1B85" w:rsidRPr="00812509" w:rsidRDefault="002B1315" w:rsidP="00C7422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Expanding technical and vocational education and training</w:t>
            </w:r>
          </w:p>
        </w:tc>
        <w:tc>
          <w:tcPr>
            <w:tcW w:w="1170" w:type="dxa"/>
            <w:shd w:val="clear" w:color="auto" w:fill="FF9933"/>
          </w:tcPr>
          <w:p w14:paraId="3F2A2CED" w14:textId="77777777" w:rsidR="00AF1B85" w:rsidRPr="00812509" w:rsidRDefault="00E607EB" w:rsidP="00C7422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Partly achieved</w:t>
            </w:r>
            <w:r w:rsidDel="00E607EB">
              <w:rPr>
                <w:rFonts w:asciiTheme="minorHAnsi" w:eastAsia="Times New Roman" w:hAnsiTheme="minorHAnsi"/>
                <w:iCs/>
                <w:color w:val="FFFFFF" w:themeColor="background1"/>
                <w:szCs w:val="17"/>
                <w:lang w:eastAsia="en-US"/>
              </w:rPr>
              <w:t xml:space="preserve"> </w:t>
            </w:r>
          </w:p>
        </w:tc>
        <w:tc>
          <w:tcPr>
            <w:tcW w:w="6829" w:type="dxa"/>
          </w:tcPr>
          <w:p w14:paraId="500A4EB2" w14:textId="77777777" w:rsidR="00AF1B85" w:rsidRPr="00225674" w:rsidRDefault="002B1315" w:rsidP="00454DB5">
            <w:pPr>
              <w:keepLines/>
              <w:spacing w:before="40" w:after="40" w:line="200" w:lineRule="atLeast"/>
              <w:ind w:left="177"/>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xml:space="preserve">The de-linking of the TVET Centre from NSS and the completion of the Learning Village (USP Campus and Community Library) </w:t>
            </w:r>
            <w:r w:rsidR="000C2FE2">
              <w:rPr>
                <w:rFonts w:asciiTheme="minorHAnsi" w:eastAsia="Times New Roman" w:hAnsiTheme="minorHAnsi"/>
                <w:iCs/>
                <w:color w:val="auto"/>
                <w:szCs w:val="17"/>
                <w:lang w:eastAsia="en-US"/>
              </w:rPr>
              <w:t xml:space="preserve">in May 2018 </w:t>
            </w:r>
            <w:r>
              <w:rPr>
                <w:rFonts w:asciiTheme="minorHAnsi" w:eastAsia="Times New Roman" w:hAnsiTheme="minorHAnsi"/>
                <w:iCs/>
                <w:color w:val="auto"/>
                <w:szCs w:val="17"/>
                <w:lang w:eastAsia="en-US"/>
              </w:rPr>
              <w:t>ha</w:t>
            </w:r>
            <w:r w:rsidR="00454DB5">
              <w:rPr>
                <w:rFonts w:asciiTheme="minorHAnsi" w:eastAsia="Times New Roman" w:hAnsiTheme="minorHAnsi"/>
                <w:iCs/>
                <w:color w:val="auto"/>
                <w:szCs w:val="17"/>
                <w:lang w:eastAsia="en-US"/>
              </w:rPr>
              <w:t>ve</w:t>
            </w:r>
            <w:r>
              <w:rPr>
                <w:rFonts w:asciiTheme="minorHAnsi" w:eastAsia="Times New Roman" w:hAnsiTheme="minorHAnsi"/>
                <w:iCs/>
                <w:color w:val="auto"/>
                <w:szCs w:val="17"/>
                <w:lang w:eastAsia="en-US"/>
              </w:rPr>
              <w:t xml:space="preserve"> supported greater diversity in TVET learning</w:t>
            </w:r>
            <w:r w:rsidR="004B6C21">
              <w:rPr>
                <w:rFonts w:asciiTheme="minorHAnsi" w:eastAsia="Times New Roman" w:hAnsiTheme="minorHAnsi"/>
                <w:iCs/>
                <w:color w:val="auto"/>
                <w:szCs w:val="17"/>
                <w:lang w:eastAsia="en-US"/>
              </w:rPr>
              <w:t>, including 13 industry-based graduations</w:t>
            </w:r>
            <w:r>
              <w:rPr>
                <w:rFonts w:asciiTheme="minorHAnsi" w:eastAsia="Times New Roman" w:hAnsiTheme="minorHAnsi"/>
                <w:iCs/>
                <w:color w:val="auto"/>
                <w:szCs w:val="17"/>
                <w:lang w:eastAsia="en-US"/>
              </w:rPr>
              <w:t>. Partnerships with APTC ensured 21 graduates were supported with scholarships</w:t>
            </w:r>
            <w:r w:rsidR="004B6C21">
              <w:rPr>
                <w:rFonts w:asciiTheme="minorHAnsi" w:eastAsia="Times New Roman" w:hAnsiTheme="minorHAnsi"/>
                <w:iCs/>
                <w:color w:val="auto"/>
                <w:szCs w:val="17"/>
                <w:lang w:eastAsia="en-US"/>
              </w:rPr>
              <w:t xml:space="preserve"> in carpentry, fabrication, fitting and machining, individual support and community services as well as light vehicle mechanical technology.</w:t>
            </w:r>
          </w:p>
        </w:tc>
      </w:tr>
      <w:tr w:rsidR="00AF1B85" w:rsidRPr="00812509" w14:paraId="3638040B" w14:textId="77777777" w:rsidTr="00721EA2">
        <w:trPr>
          <w:cnfStyle w:val="000000010000" w:firstRow="0" w:lastRow="0" w:firstColumn="0" w:lastColumn="0" w:oddVBand="0" w:evenVBand="0" w:oddHBand="0" w:evenHBand="1" w:firstRowFirstColumn="0" w:firstRowLastColumn="0" w:lastRowFirstColumn="0" w:lastRowLastColumn="0"/>
        </w:trPr>
        <w:tc>
          <w:tcPr>
            <w:tcW w:w="6409" w:type="dxa"/>
          </w:tcPr>
          <w:p w14:paraId="7F294EB5" w14:textId="77777777" w:rsidR="00225674" w:rsidRPr="00812509" w:rsidRDefault="0098788E"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E</w:t>
            </w:r>
            <w:r w:rsidRPr="0098788E">
              <w:rPr>
                <w:rFonts w:asciiTheme="minorHAnsi" w:eastAsia="Times New Roman" w:hAnsiTheme="minorHAnsi"/>
                <w:iCs/>
                <w:szCs w:val="17"/>
                <w:lang w:eastAsia="en-US"/>
              </w:rPr>
              <w:t>ngage a part-time gender adviser under the second gender country plan in late 2017 to improve mainstreaming gender across the investments of education, health, infrastructure and public sector management.</w:t>
            </w:r>
          </w:p>
        </w:tc>
        <w:tc>
          <w:tcPr>
            <w:tcW w:w="1170" w:type="dxa"/>
            <w:shd w:val="clear" w:color="auto" w:fill="7FB64D" w:themeFill="accent3" w:themeFillShade="BF"/>
          </w:tcPr>
          <w:p w14:paraId="6EBD7EDF" w14:textId="77777777" w:rsidR="00AF1B85" w:rsidRPr="00812509" w:rsidRDefault="0098788E" w:rsidP="00D15A0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829" w:type="dxa"/>
            <w:shd w:val="clear" w:color="auto" w:fill="auto"/>
          </w:tcPr>
          <w:p w14:paraId="76B91A6F" w14:textId="77777777" w:rsidR="00AF1B85" w:rsidRPr="00721EA2" w:rsidRDefault="0098788E" w:rsidP="0098788E">
            <w:pPr>
              <w:keepLines/>
              <w:spacing w:before="40" w:after="40" w:line="200" w:lineRule="atLeast"/>
              <w:ind w:left="177"/>
              <w:rPr>
                <w:rFonts w:asciiTheme="minorHAnsi" w:eastAsia="Times New Roman" w:hAnsiTheme="minorHAnsi"/>
                <w:iCs/>
                <w:color w:val="auto"/>
                <w:szCs w:val="17"/>
                <w:lang w:eastAsia="en-US"/>
              </w:rPr>
            </w:pPr>
            <w:r w:rsidRPr="00721EA2">
              <w:rPr>
                <w:rFonts w:asciiTheme="minorHAnsi" w:eastAsia="Times New Roman" w:hAnsiTheme="minorHAnsi"/>
                <w:iCs/>
                <w:color w:val="auto"/>
                <w:szCs w:val="17"/>
                <w:lang w:eastAsia="en-US"/>
              </w:rPr>
              <w:t xml:space="preserve">A gender adviser was engaged in November 2017.  Ratings for Gender Equality improved across all four investments, with some key highlights including: policy dialogue on the community sport complex led to the design and construction of a more community-orientated facility with expected broader public health benefits for all; NUC CEO encouraged girls to apply for engineering and technical jobs and three women participated in </w:t>
            </w:r>
            <w:r w:rsidR="00BD2D67" w:rsidRPr="00721EA2">
              <w:rPr>
                <w:rFonts w:asciiTheme="minorHAnsi" w:eastAsia="Times New Roman" w:hAnsiTheme="minorHAnsi"/>
                <w:iCs/>
                <w:color w:val="auto"/>
                <w:szCs w:val="17"/>
                <w:lang w:eastAsia="en-US"/>
              </w:rPr>
              <w:t xml:space="preserve">a </w:t>
            </w:r>
            <w:r w:rsidRPr="00721EA2">
              <w:rPr>
                <w:rFonts w:asciiTheme="minorHAnsi" w:eastAsia="Times New Roman" w:hAnsiTheme="minorHAnsi"/>
                <w:iCs/>
                <w:color w:val="auto"/>
                <w:szCs w:val="17"/>
                <w:lang w:eastAsia="en-US"/>
              </w:rPr>
              <w:t xml:space="preserve">Barefoot College </w:t>
            </w:r>
            <w:r w:rsidR="00BD2D67" w:rsidRPr="00721EA2">
              <w:rPr>
                <w:rFonts w:asciiTheme="minorHAnsi" w:eastAsia="Times New Roman" w:hAnsiTheme="minorHAnsi"/>
                <w:iCs/>
                <w:color w:val="auto"/>
                <w:szCs w:val="17"/>
                <w:lang w:eastAsia="en-US"/>
              </w:rPr>
              <w:t xml:space="preserve">training </w:t>
            </w:r>
            <w:r w:rsidRPr="00721EA2">
              <w:rPr>
                <w:rFonts w:asciiTheme="minorHAnsi" w:eastAsia="Times New Roman" w:hAnsiTheme="minorHAnsi"/>
                <w:iCs/>
                <w:color w:val="auto"/>
                <w:szCs w:val="17"/>
                <w:lang w:eastAsia="en-US"/>
              </w:rPr>
              <w:t>program in India to learn to be solar engineers</w:t>
            </w:r>
          </w:p>
        </w:tc>
      </w:tr>
      <w:tr w:rsidR="00AF1B85" w:rsidRPr="00812509" w14:paraId="41D29D03" w14:textId="77777777" w:rsidTr="0098788E">
        <w:trPr>
          <w:cnfStyle w:val="000000010000" w:firstRow="0" w:lastRow="0" w:firstColumn="0" w:lastColumn="0" w:oddVBand="0" w:evenVBand="0" w:oddHBand="0" w:evenHBand="1" w:firstRowFirstColumn="0" w:firstRowLastColumn="0" w:lastRowFirstColumn="0" w:lastRowLastColumn="0"/>
        </w:trPr>
        <w:tc>
          <w:tcPr>
            <w:tcW w:w="6409" w:type="dxa"/>
          </w:tcPr>
          <w:p w14:paraId="1DFFED3E" w14:textId="77777777" w:rsidR="00225674" w:rsidRPr="00812509" w:rsidRDefault="0098788E"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w:t>
            </w:r>
            <w:r w:rsidRPr="0098788E">
              <w:rPr>
                <w:rFonts w:asciiTheme="minorHAnsi" w:eastAsia="Times New Roman" w:hAnsiTheme="minorHAnsi"/>
                <w:iCs/>
                <w:szCs w:val="17"/>
                <w:lang w:eastAsia="en-US"/>
              </w:rPr>
              <w:t xml:space="preserve">lign our financial and economic initiatives with an ADB-Nauru policy reform program </w:t>
            </w:r>
          </w:p>
        </w:tc>
        <w:tc>
          <w:tcPr>
            <w:tcW w:w="1170" w:type="dxa"/>
            <w:shd w:val="clear" w:color="auto" w:fill="FF9900"/>
          </w:tcPr>
          <w:p w14:paraId="7E3D35CB" w14:textId="77777777" w:rsidR="00AF1B85" w:rsidRPr="00812509" w:rsidRDefault="0098788E"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Partly achieved</w:t>
            </w:r>
          </w:p>
        </w:tc>
        <w:tc>
          <w:tcPr>
            <w:tcW w:w="6829" w:type="dxa"/>
          </w:tcPr>
          <w:p w14:paraId="0D459786" w14:textId="77777777" w:rsidR="00AF1B85" w:rsidRPr="00225674" w:rsidRDefault="00D06002" w:rsidP="00454DB5">
            <w:pPr>
              <w:keepLines/>
              <w:spacing w:before="40" w:after="40" w:line="200" w:lineRule="atLeast"/>
              <w:ind w:left="177"/>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Australia</w:t>
            </w:r>
            <w:r w:rsidR="00CD2D22">
              <w:rPr>
                <w:rFonts w:asciiTheme="minorHAnsi" w:eastAsia="Times New Roman" w:hAnsiTheme="minorHAnsi"/>
                <w:iCs/>
                <w:color w:val="auto"/>
                <w:szCs w:val="17"/>
                <w:lang w:eastAsia="en-US"/>
              </w:rPr>
              <w:t xml:space="preserve"> has </w:t>
            </w:r>
            <w:r w:rsidR="00454DB5">
              <w:rPr>
                <w:rFonts w:asciiTheme="minorHAnsi" w:eastAsia="Times New Roman" w:hAnsiTheme="minorHAnsi"/>
                <w:iCs/>
                <w:color w:val="auto"/>
                <w:szCs w:val="17"/>
                <w:lang w:eastAsia="en-US"/>
              </w:rPr>
              <w:t xml:space="preserve">engaged effectivelty </w:t>
            </w:r>
            <w:r w:rsidR="00CD2D22">
              <w:rPr>
                <w:rFonts w:asciiTheme="minorHAnsi" w:eastAsia="Times New Roman" w:hAnsiTheme="minorHAnsi"/>
                <w:iCs/>
                <w:color w:val="auto"/>
                <w:szCs w:val="17"/>
                <w:lang w:eastAsia="en-US"/>
              </w:rPr>
              <w:t>with the ADB on the policy reform matrix.  While the matrix has been delayed, the public sector investment is well aligned to support the policy reform matrix once it is agreed.</w:t>
            </w:r>
          </w:p>
        </w:tc>
      </w:tr>
      <w:tr w:rsidR="00225674" w:rsidRPr="00812509" w14:paraId="366B9E19" w14:textId="77777777" w:rsidTr="00A37CAC">
        <w:trPr>
          <w:cnfStyle w:val="000000010000" w:firstRow="0" w:lastRow="0" w:firstColumn="0" w:lastColumn="0" w:oddVBand="0" w:evenVBand="0" w:oddHBand="0" w:evenHBand="1" w:firstRowFirstColumn="0" w:firstRowLastColumn="0" w:lastRowFirstColumn="0" w:lastRowLastColumn="0"/>
        </w:trPr>
        <w:tc>
          <w:tcPr>
            <w:tcW w:w="6409" w:type="dxa"/>
          </w:tcPr>
          <w:p w14:paraId="47DE51CF" w14:textId="77777777" w:rsidR="00225674" w:rsidRDefault="00CD2D22" w:rsidP="00D15A00">
            <w:pPr>
              <w:keepLines/>
              <w:spacing w:before="40" w:after="40" w:line="200" w:lineRule="atLeast"/>
              <w:rPr>
                <w:rFonts w:eastAsia="Times New Roman"/>
                <w:iCs/>
                <w:szCs w:val="17"/>
              </w:rPr>
            </w:pPr>
            <w:r>
              <w:rPr>
                <w:rFonts w:asciiTheme="minorHAnsi" w:eastAsia="Times New Roman" w:hAnsiTheme="minorHAnsi"/>
                <w:iCs/>
                <w:szCs w:val="17"/>
                <w:lang w:eastAsia="en-US"/>
              </w:rPr>
              <w:t>Achieve satisfactory outcome for</w:t>
            </w:r>
            <w:r w:rsidR="00225674" w:rsidRPr="007C7BE8">
              <w:rPr>
                <w:rFonts w:asciiTheme="minorHAnsi" w:eastAsia="Times New Roman" w:hAnsiTheme="minorHAnsi"/>
                <w:iCs/>
                <w:szCs w:val="17"/>
                <w:lang w:eastAsia="en-US"/>
              </w:rPr>
              <w:t xml:space="preserve"> Household Water Tanks project</w:t>
            </w:r>
          </w:p>
        </w:tc>
        <w:tc>
          <w:tcPr>
            <w:tcW w:w="1170" w:type="dxa"/>
            <w:shd w:val="clear" w:color="auto" w:fill="FF9900"/>
          </w:tcPr>
          <w:p w14:paraId="36F5443F" w14:textId="77777777" w:rsidR="00225674" w:rsidRPr="00812509" w:rsidRDefault="00225674" w:rsidP="00D15A00">
            <w:pPr>
              <w:keepLines/>
              <w:spacing w:before="40" w:after="40" w:line="200" w:lineRule="atLeast"/>
              <w:jc w:val="center"/>
              <w:rPr>
                <w:rFonts w:eastAsia="Times New Roman"/>
                <w:iCs/>
                <w:color w:val="FFFFFF" w:themeColor="background1"/>
                <w:szCs w:val="17"/>
              </w:rPr>
            </w:pPr>
            <w:r w:rsidRPr="00812509">
              <w:rPr>
                <w:rFonts w:asciiTheme="minorHAnsi" w:eastAsia="Times New Roman" w:hAnsiTheme="minorHAnsi"/>
                <w:iCs/>
                <w:color w:val="FFFFFF" w:themeColor="background1"/>
                <w:szCs w:val="17"/>
                <w:lang w:eastAsia="en-US"/>
              </w:rPr>
              <w:t>Partly achieved</w:t>
            </w:r>
          </w:p>
        </w:tc>
        <w:tc>
          <w:tcPr>
            <w:tcW w:w="6829" w:type="dxa"/>
          </w:tcPr>
          <w:p w14:paraId="7A47FAC0" w14:textId="77777777" w:rsidR="00225674" w:rsidRPr="00955A4B" w:rsidRDefault="00CD2D22" w:rsidP="000C2FE2">
            <w:pPr>
              <w:keepLines/>
              <w:spacing w:before="40" w:after="40" w:line="200" w:lineRule="atLeast"/>
              <w:ind w:left="177"/>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Significant progress has been made in 2017-18 on the project, with agreement reach</w:t>
            </w:r>
            <w:r w:rsidR="00440982">
              <w:rPr>
                <w:rFonts w:asciiTheme="minorHAnsi" w:eastAsia="Times New Roman" w:hAnsiTheme="minorHAnsi"/>
                <w:iCs/>
                <w:color w:val="auto"/>
                <w:szCs w:val="17"/>
                <w:lang w:eastAsia="en-US"/>
              </w:rPr>
              <w:t>ed</w:t>
            </w:r>
            <w:r>
              <w:rPr>
                <w:rFonts w:asciiTheme="minorHAnsi" w:eastAsia="Times New Roman" w:hAnsiTheme="minorHAnsi"/>
                <w:iCs/>
                <w:color w:val="auto"/>
                <w:szCs w:val="17"/>
                <w:lang w:eastAsia="en-US"/>
              </w:rPr>
              <w:t xml:space="preserve"> to finalise 106 water tanks </w:t>
            </w:r>
            <w:r w:rsidR="000C2FE2">
              <w:rPr>
                <w:rFonts w:asciiTheme="minorHAnsi" w:eastAsia="Times New Roman" w:hAnsiTheme="minorHAnsi"/>
                <w:iCs/>
                <w:color w:val="auto"/>
                <w:szCs w:val="17"/>
                <w:lang w:eastAsia="en-US"/>
              </w:rPr>
              <w:t xml:space="preserve">at </w:t>
            </w:r>
            <w:r>
              <w:rPr>
                <w:rFonts w:asciiTheme="minorHAnsi" w:eastAsia="Times New Roman" w:hAnsiTheme="minorHAnsi"/>
                <w:iCs/>
                <w:color w:val="auto"/>
                <w:szCs w:val="17"/>
                <w:lang w:eastAsia="en-US"/>
              </w:rPr>
              <w:t xml:space="preserve">agreed locations.  </w:t>
            </w:r>
            <w:r w:rsidR="00D06002">
              <w:rPr>
                <w:rFonts w:asciiTheme="minorHAnsi" w:eastAsia="Times New Roman" w:hAnsiTheme="minorHAnsi"/>
                <w:iCs/>
                <w:color w:val="auto"/>
                <w:szCs w:val="17"/>
                <w:lang w:eastAsia="en-US"/>
              </w:rPr>
              <w:t>Australia</w:t>
            </w:r>
            <w:r>
              <w:rPr>
                <w:rFonts w:asciiTheme="minorHAnsi" w:eastAsia="Times New Roman" w:hAnsiTheme="minorHAnsi"/>
                <w:iCs/>
                <w:color w:val="auto"/>
                <w:szCs w:val="17"/>
                <w:lang w:eastAsia="en-US"/>
              </w:rPr>
              <w:t xml:space="preserve"> supported a tender process for the tanks which is expected to</w:t>
            </w:r>
            <w:r w:rsidR="00440982">
              <w:rPr>
                <w:rFonts w:asciiTheme="minorHAnsi" w:eastAsia="Times New Roman" w:hAnsiTheme="minorHAnsi"/>
                <w:iCs/>
                <w:color w:val="auto"/>
                <w:szCs w:val="17"/>
                <w:lang w:eastAsia="en-US"/>
              </w:rPr>
              <w:t xml:space="preserve"> be </w:t>
            </w:r>
            <w:r w:rsidR="00D01E53">
              <w:rPr>
                <w:rFonts w:asciiTheme="minorHAnsi" w:eastAsia="Times New Roman" w:hAnsiTheme="minorHAnsi"/>
                <w:iCs/>
                <w:color w:val="auto"/>
                <w:szCs w:val="17"/>
                <w:lang w:eastAsia="en-US"/>
              </w:rPr>
              <w:t xml:space="preserve">finalised </w:t>
            </w:r>
            <w:r w:rsidR="00D01E53" w:rsidRPr="002359DC">
              <w:rPr>
                <w:rFonts w:asciiTheme="minorHAnsi" w:eastAsia="Times New Roman" w:hAnsiTheme="minorHAnsi"/>
                <w:iCs/>
                <w:color w:val="auto"/>
                <w:szCs w:val="17"/>
                <w:lang w:eastAsia="en-US"/>
              </w:rPr>
              <w:t>shortly</w:t>
            </w:r>
            <w:r w:rsidRPr="002359DC">
              <w:rPr>
                <w:rFonts w:asciiTheme="minorHAnsi" w:eastAsia="Times New Roman" w:hAnsiTheme="minorHAnsi"/>
                <w:iCs/>
                <w:color w:val="auto"/>
                <w:szCs w:val="17"/>
                <w:lang w:eastAsia="en-US"/>
              </w:rPr>
              <w:t>.</w:t>
            </w:r>
          </w:p>
        </w:tc>
      </w:tr>
    </w:tbl>
    <w:p w14:paraId="599CF2C8"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14:paraId="751ACA5B"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14:paraId="1FD1EDE3"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14:paraId="539FD56F"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14:paraId="35CBF777" w14:textId="77777777" w:rsidR="00D00802" w:rsidRDefault="00D00802" w:rsidP="005B5769">
      <w:pPr>
        <w:pStyle w:val="ListBullet"/>
        <w:tabs>
          <w:tab w:val="clear" w:pos="284"/>
        </w:tabs>
        <w:sectPr w:rsidR="00D00802" w:rsidSect="00D00802">
          <w:headerReference w:type="first" r:id="rId29"/>
          <w:pgSz w:w="16838" w:h="11906" w:orient="landscape" w:code="9"/>
          <w:pgMar w:top="1134" w:right="1952" w:bottom="1134" w:left="851" w:header="1107" w:footer="567" w:gutter="0"/>
          <w:cols w:space="397"/>
          <w:titlePg/>
          <w:docGrid w:linePitch="360"/>
        </w:sectPr>
      </w:pPr>
    </w:p>
    <w:p w14:paraId="6CE15889" w14:textId="77777777" w:rsidR="00184F1E" w:rsidRDefault="00184F1E" w:rsidP="003B38FB">
      <w:pPr>
        <w:pStyle w:val="Subtitle"/>
        <w:numPr>
          <w:ilvl w:val="0"/>
          <w:numId w:val="0"/>
        </w:numPr>
        <w:spacing w:after="240" w:line="240" w:lineRule="auto"/>
      </w:pPr>
      <w:r w:rsidRPr="00400B0F">
        <w:t xml:space="preserve">Annex B </w:t>
      </w:r>
      <w:r>
        <w:t>–</w:t>
      </w:r>
      <w:r w:rsidRPr="00400B0F">
        <w:t xml:space="preserve"> </w:t>
      </w:r>
      <w:r>
        <w:t>PERFORMANCE BENCHMARKS</w:t>
      </w:r>
      <w:r w:rsidR="003B38FB">
        <w:t xml:space="preserve"> </w:t>
      </w:r>
    </w:p>
    <w:p w14:paraId="1C0E647A" w14:textId="77777777" w:rsidR="003B38FB" w:rsidRPr="003B38FB" w:rsidRDefault="003B38FB" w:rsidP="003B38FB">
      <w:pPr>
        <w:spacing w:before="0" w:line="240" w:lineRule="auto"/>
        <w:rPr>
          <w:b/>
        </w:rPr>
      </w:pPr>
      <w:r w:rsidRPr="003B38FB">
        <w:rPr>
          <w:b/>
        </w:rPr>
        <w:t>Progress toward</w:t>
      </w:r>
      <w:r w:rsidR="00B45953">
        <w:rPr>
          <w:b/>
        </w:rPr>
        <w:t>s Performance Benchmarks in 2017-18</w:t>
      </w:r>
    </w:p>
    <w:tbl>
      <w:tblPr>
        <w:tblW w:w="12920" w:type="dxa"/>
        <w:jc w:val="center"/>
        <w:tblLook w:val="04A0" w:firstRow="1" w:lastRow="0" w:firstColumn="1" w:lastColumn="0" w:noHBand="0" w:noVBand="1"/>
      </w:tblPr>
      <w:tblGrid>
        <w:gridCol w:w="2000"/>
        <w:gridCol w:w="3680"/>
        <w:gridCol w:w="1640"/>
        <w:gridCol w:w="5600"/>
      </w:tblGrid>
      <w:tr w:rsidR="00CD4F30" w:rsidRPr="00CD4F30" w14:paraId="42F433A4" w14:textId="77777777" w:rsidTr="00042563">
        <w:trPr>
          <w:trHeight w:val="300"/>
          <w:jc w:val="center"/>
        </w:trPr>
        <w:tc>
          <w:tcPr>
            <w:tcW w:w="2000" w:type="dxa"/>
            <w:tcBorders>
              <w:top w:val="nil"/>
              <w:left w:val="nil"/>
              <w:bottom w:val="single" w:sz="4" w:space="0" w:color="auto"/>
              <w:right w:val="nil"/>
            </w:tcBorders>
            <w:shd w:val="clear" w:color="auto" w:fill="auto"/>
            <w:vAlign w:val="center"/>
            <w:hideMark/>
          </w:tcPr>
          <w:p w14:paraId="6F315497" w14:textId="77777777" w:rsidR="00CD4F30" w:rsidRPr="00CD4F30" w:rsidRDefault="00CD4F30" w:rsidP="00CD4F3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CD4F30">
              <w:rPr>
                <w:rFonts w:ascii="Calibri Light" w:eastAsia="Times New Roman" w:hAnsi="Calibri Light" w:cs="Times New Roman"/>
                <w:b/>
                <w:bCs/>
                <w:iCs/>
                <w:color w:val="495965"/>
                <w:sz w:val="17"/>
                <w:szCs w:val="17"/>
                <w:lang w:eastAsia="en-AU"/>
              </w:rPr>
              <w:t>Aid objective</w:t>
            </w:r>
          </w:p>
        </w:tc>
        <w:tc>
          <w:tcPr>
            <w:tcW w:w="3680" w:type="dxa"/>
            <w:tcBorders>
              <w:top w:val="nil"/>
              <w:left w:val="nil"/>
              <w:bottom w:val="single" w:sz="4" w:space="0" w:color="auto"/>
              <w:right w:val="nil"/>
            </w:tcBorders>
            <w:shd w:val="clear" w:color="auto" w:fill="auto"/>
            <w:vAlign w:val="center"/>
            <w:hideMark/>
          </w:tcPr>
          <w:p w14:paraId="52870E81" w14:textId="77777777" w:rsidR="00CD4F30" w:rsidRPr="00CD4F30" w:rsidRDefault="00CD4F30" w:rsidP="00CD4F3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CD4F30">
              <w:rPr>
                <w:rFonts w:ascii="Calibri Light" w:eastAsia="Times New Roman" w:hAnsi="Calibri Light" w:cs="Times New Roman"/>
                <w:b/>
                <w:bCs/>
                <w:iCs/>
                <w:color w:val="495965"/>
                <w:sz w:val="17"/>
                <w:szCs w:val="17"/>
                <w:lang w:eastAsia="en-AU"/>
              </w:rPr>
              <w:t xml:space="preserve">Performance Benchmark </w:t>
            </w:r>
          </w:p>
        </w:tc>
        <w:tc>
          <w:tcPr>
            <w:tcW w:w="1640" w:type="dxa"/>
            <w:tcBorders>
              <w:top w:val="nil"/>
              <w:left w:val="nil"/>
              <w:bottom w:val="single" w:sz="4" w:space="0" w:color="auto"/>
              <w:right w:val="nil"/>
            </w:tcBorders>
            <w:shd w:val="clear" w:color="auto" w:fill="auto"/>
            <w:vAlign w:val="center"/>
            <w:hideMark/>
          </w:tcPr>
          <w:p w14:paraId="22444933" w14:textId="77777777" w:rsidR="00CD4F30" w:rsidRPr="00CD4F30" w:rsidRDefault="00CD4F30" w:rsidP="00CD4F30">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CD4F30">
              <w:rPr>
                <w:rFonts w:ascii="Calibri Light" w:eastAsia="Times New Roman" w:hAnsi="Calibri Light" w:cs="Times New Roman"/>
                <w:b/>
                <w:bCs/>
                <w:iCs/>
                <w:color w:val="495965"/>
                <w:sz w:val="17"/>
                <w:szCs w:val="17"/>
                <w:lang w:eastAsia="en-AU"/>
              </w:rPr>
              <w:t>Rating</w:t>
            </w:r>
          </w:p>
        </w:tc>
        <w:tc>
          <w:tcPr>
            <w:tcW w:w="5600" w:type="dxa"/>
            <w:tcBorders>
              <w:top w:val="nil"/>
              <w:left w:val="nil"/>
              <w:bottom w:val="single" w:sz="4" w:space="0" w:color="auto"/>
              <w:right w:val="nil"/>
            </w:tcBorders>
            <w:shd w:val="clear" w:color="auto" w:fill="auto"/>
            <w:vAlign w:val="center"/>
            <w:hideMark/>
          </w:tcPr>
          <w:p w14:paraId="30B8F74E" w14:textId="77777777" w:rsidR="009445CD" w:rsidRPr="00CD4F30" w:rsidRDefault="00797A5A" w:rsidP="00042563">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Pr>
                <w:rFonts w:ascii="Calibri Light" w:eastAsia="Times New Roman" w:hAnsi="Calibri Light" w:cs="Times New Roman"/>
                <w:b/>
                <w:bCs/>
                <w:iCs/>
                <w:color w:val="495965"/>
                <w:sz w:val="17"/>
                <w:szCs w:val="17"/>
                <w:lang w:eastAsia="en-AU"/>
              </w:rPr>
              <w:t>Progress in 2017-18</w:t>
            </w:r>
          </w:p>
        </w:tc>
      </w:tr>
      <w:tr w:rsidR="00CD4F30" w:rsidRPr="00CD4F30" w14:paraId="55D8896D" w14:textId="77777777" w:rsidTr="00042563">
        <w:trPr>
          <w:trHeight w:val="567"/>
          <w:jc w:val="center"/>
        </w:trPr>
        <w:tc>
          <w:tcPr>
            <w:tcW w:w="2000" w:type="dxa"/>
            <w:tcBorders>
              <w:top w:val="single" w:sz="4" w:space="0" w:color="auto"/>
            </w:tcBorders>
            <w:shd w:val="clear" w:color="auto" w:fill="auto"/>
            <w:hideMark/>
          </w:tcPr>
          <w:p w14:paraId="2D6DFF49"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color w:val="495965"/>
                <w:sz w:val="17"/>
                <w:lang w:eastAsia="en-AU"/>
              </w:rPr>
              <w:t>Strengthened provision of education and health services</w:t>
            </w:r>
          </w:p>
        </w:tc>
        <w:tc>
          <w:tcPr>
            <w:tcW w:w="3680" w:type="dxa"/>
            <w:tcBorders>
              <w:top w:val="single" w:sz="4" w:space="0" w:color="auto"/>
            </w:tcBorders>
            <w:shd w:val="clear" w:color="auto" w:fill="auto"/>
            <w:hideMark/>
          </w:tcPr>
          <w:p w14:paraId="6FE74BCA" w14:textId="77777777" w:rsidR="00CD4F30" w:rsidRDefault="00CD4F30" w:rsidP="00CD4F30">
            <w:pPr>
              <w:suppressAutoHyphens w:val="0"/>
              <w:spacing w:before="0" w:after="0" w:line="240" w:lineRule="auto"/>
              <w:rPr>
                <w:rFonts w:eastAsia="Times New Roman"/>
                <w:iCs/>
                <w:sz w:val="16"/>
                <w:szCs w:val="16"/>
              </w:rPr>
            </w:pPr>
            <w:r w:rsidRPr="00CD4F30">
              <w:rPr>
                <w:rFonts w:ascii="Calibri Light" w:eastAsia="Times New Roman" w:hAnsi="Calibri Light" w:cs="Times New Roman"/>
                <w:iCs/>
                <w:color w:val="495965"/>
                <w:sz w:val="17"/>
                <w:szCs w:val="17"/>
                <w:lang w:eastAsia="en-AU"/>
              </w:rPr>
              <w:t xml:space="preserve">• </w:t>
            </w:r>
            <w:r w:rsidR="00467C5E" w:rsidRPr="00CF6DA0">
              <w:rPr>
                <w:rFonts w:eastAsia="Times New Roman"/>
                <w:iCs/>
                <w:sz w:val="16"/>
                <w:szCs w:val="16"/>
              </w:rPr>
              <w:t>O</w:t>
            </w:r>
            <w:r w:rsidR="00467C5E">
              <w:rPr>
                <w:rFonts w:eastAsia="Times New Roman"/>
                <w:iCs/>
                <w:sz w:val="16"/>
                <w:szCs w:val="16"/>
              </w:rPr>
              <w:t xml:space="preserve">perational </w:t>
            </w:r>
            <w:r w:rsidR="00467C5E" w:rsidRPr="00CF6DA0">
              <w:rPr>
                <w:rFonts w:eastAsia="Times New Roman"/>
                <w:iCs/>
                <w:sz w:val="16"/>
                <w:szCs w:val="16"/>
              </w:rPr>
              <w:t>A</w:t>
            </w:r>
            <w:r w:rsidR="00467C5E">
              <w:rPr>
                <w:rFonts w:eastAsia="Times New Roman"/>
                <w:iCs/>
                <w:sz w:val="16"/>
                <w:szCs w:val="16"/>
              </w:rPr>
              <w:t>ccount</w:t>
            </w:r>
            <w:r w:rsidR="00467C5E" w:rsidRPr="00CF6DA0">
              <w:rPr>
                <w:rFonts w:eastAsia="Times New Roman"/>
                <w:iCs/>
                <w:sz w:val="16"/>
                <w:szCs w:val="16"/>
              </w:rPr>
              <w:t xml:space="preserve"> – funds administered appropriately on an agreed basis for activities to support the Health Annual Operational Plan</w:t>
            </w:r>
          </w:p>
          <w:p w14:paraId="17536E09" w14:textId="77777777" w:rsidR="00467C5E" w:rsidRPr="00CD4F30" w:rsidRDefault="00467C5E" w:rsidP="009445CD">
            <w:pPr>
              <w:suppressAutoHyphens w:val="0"/>
              <w:spacing w:before="0" w:after="0" w:line="240" w:lineRule="auto"/>
              <w:rPr>
                <w:rFonts w:ascii="Calibri Light" w:eastAsia="Times New Roman" w:hAnsi="Calibri Light" w:cs="Times New Roman"/>
                <w:color w:val="495965"/>
                <w:sz w:val="17"/>
                <w:szCs w:val="17"/>
                <w:lang w:val="en-AU" w:eastAsia="en-AU"/>
              </w:rPr>
            </w:pPr>
          </w:p>
        </w:tc>
        <w:tc>
          <w:tcPr>
            <w:tcW w:w="1640" w:type="dxa"/>
            <w:tcBorders>
              <w:top w:val="single" w:sz="4" w:space="0" w:color="auto"/>
            </w:tcBorders>
            <w:shd w:val="clear" w:color="auto" w:fill="FF0000"/>
            <w:vAlign w:val="center"/>
            <w:hideMark/>
          </w:tcPr>
          <w:p w14:paraId="76B1073D" w14:textId="77777777" w:rsidR="00CD4F30" w:rsidRPr="00CD4F30" w:rsidRDefault="00CD2D22" w:rsidP="00CD4F30">
            <w:pPr>
              <w:suppressAutoHyphens w:val="0"/>
              <w:spacing w:before="0" w:after="0" w:line="240" w:lineRule="auto"/>
              <w:jc w:val="center"/>
              <w:rPr>
                <w:rFonts w:ascii="Calibri Light" w:eastAsia="Times New Roman" w:hAnsi="Calibri Light" w:cs="Times New Roman"/>
                <w:color w:val="FFFFFF"/>
                <w:sz w:val="17"/>
                <w:szCs w:val="17"/>
                <w:lang w:val="en-AU" w:eastAsia="en-AU"/>
              </w:rPr>
            </w:pPr>
            <w:r w:rsidRPr="00CD2D22">
              <w:rPr>
                <w:rFonts w:ascii="Calibri Light" w:eastAsia="Times New Roman" w:hAnsi="Calibri Light" w:cs="Times New Roman"/>
                <w:color w:val="FFFFFF" w:themeColor="background1"/>
                <w:sz w:val="17"/>
                <w:szCs w:val="17"/>
                <w:lang w:eastAsia="en-AU"/>
              </w:rPr>
              <w:t>Not Achieved</w:t>
            </w:r>
          </w:p>
        </w:tc>
        <w:tc>
          <w:tcPr>
            <w:tcW w:w="5600" w:type="dxa"/>
            <w:tcBorders>
              <w:top w:val="single" w:sz="4" w:space="0" w:color="auto"/>
            </w:tcBorders>
            <w:shd w:val="clear" w:color="auto" w:fill="auto"/>
            <w:vAlign w:val="center"/>
            <w:hideMark/>
          </w:tcPr>
          <w:p w14:paraId="006FA34E" w14:textId="77777777" w:rsidR="00295FE1" w:rsidRPr="00CD4F30" w:rsidRDefault="00CD2D22" w:rsidP="00042563">
            <w:pPr>
              <w:suppressAutoHyphens w:val="0"/>
              <w:spacing w:before="0" w:after="0" w:line="240" w:lineRule="auto"/>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Slow programming of funds continued in 2017-18.</w:t>
            </w:r>
          </w:p>
        </w:tc>
      </w:tr>
      <w:tr w:rsidR="009445CD" w:rsidRPr="00CD4F30" w14:paraId="2A702814" w14:textId="77777777" w:rsidTr="00042563">
        <w:trPr>
          <w:trHeight w:val="567"/>
          <w:jc w:val="center"/>
        </w:trPr>
        <w:tc>
          <w:tcPr>
            <w:tcW w:w="2000" w:type="dxa"/>
            <w:shd w:val="clear" w:color="auto" w:fill="auto"/>
          </w:tcPr>
          <w:p w14:paraId="6F1D0D3D" w14:textId="77777777" w:rsidR="009445CD" w:rsidRPr="00CD4F30" w:rsidRDefault="009445CD" w:rsidP="00CD4F30">
            <w:pPr>
              <w:suppressAutoHyphens w:val="0"/>
              <w:spacing w:before="0" w:after="0" w:line="240" w:lineRule="auto"/>
              <w:rPr>
                <w:rFonts w:ascii="Calibri Light" w:eastAsia="Times New Roman" w:hAnsi="Calibri Light" w:cs="Times New Roman"/>
                <w:color w:val="495965"/>
                <w:sz w:val="17"/>
                <w:lang w:eastAsia="en-AU"/>
              </w:rPr>
            </w:pPr>
          </w:p>
        </w:tc>
        <w:tc>
          <w:tcPr>
            <w:tcW w:w="3680" w:type="dxa"/>
            <w:shd w:val="clear" w:color="auto" w:fill="auto"/>
          </w:tcPr>
          <w:p w14:paraId="4891BF04" w14:textId="77777777" w:rsidR="009445CD" w:rsidRPr="00CD4F30" w:rsidRDefault="00AC181B" w:rsidP="00CD4F30">
            <w:pPr>
              <w:suppressAutoHyphens w:val="0"/>
              <w:spacing w:before="0" w:after="0" w:line="240" w:lineRule="auto"/>
              <w:rPr>
                <w:rFonts w:ascii="Calibri Light" w:eastAsia="Times New Roman" w:hAnsi="Calibri Light" w:cs="Times New Roman"/>
                <w:iCs/>
                <w:color w:val="495965"/>
                <w:sz w:val="17"/>
                <w:szCs w:val="17"/>
                <w:lang w:eastAsia="en-AU"/>
              </w:rPr>
            </w:pPr>
            <w:r w:rsidRPr="00CD4F30">
              <w:rPr>
                <w:rFonts w:ascii="Calibri Light" w:eastAsia="Times New Roman" w:hAnsi="Calibri Light" w:cs="Times New Roman"/>
                <w:iCs/>
                <w:color w:val="495965"/>
                <w:sz w:val="17"/>
                <w:szCs w:val="17"/>
                <w:lang w:eastAsia="en-AU"/>
              </w:rPr>
              <w:t xml:space="preserve">• </w:t>
            </w:r>
            <w:r w:rsidRPr="00467C5E">
              <w:rPr>
                <w:rFonts w:ascii="Calibri Light" w:eastAsia="Times New Roman" w:hAnsi="Calibri Light" w:cs="Times New Roman"/>
                <w:iCs/>
                <w:color w:val="495965"/>
                <w:sz w:val="17"/>
                <w:szCs w:val="17"/>
                <w:lang w:eastAsia="en-AU"/>
              </w:rPr>
              <w:t>Hospital facilities – implementations of Masterplan Review recommendations commence</w:t>
            </w:r>
          </w:p>
        </w:tc>
        <w:tc>
          <w:tcPr>
            <w:tcW w:w="1640" w:type="dxa"/>
            <w:shd w:val="clear" w:color="auto" w:fill="FF0000"/>
            <w:vAlign w:val="center"/>
          </w:tcPr>
          <w:p w14:paraId="1A59DEFD" w14:textId="77777777" w:rsidR="009445CD" w:rsidRDefault="00CD2D22" w:rsidP="00CD4F30">
            <w:pPr>
              <w:suppressAutoHyphens w:val="0"/>
              <w:spacing w:before="0" w:after="0" w:line="240" w:lineRule="auto"/>
              <w:jc w:val="center"/>
              <w:rPr>
                <w:rFonts w:ascii="Calibri Light" w:eastAsia="Times New Roman" w:hAnsi="Calibri Light" w:cs="Times New Roman"/>
                <w:color w:val="FFFFFF"/>
                <w:sz w:val="17"/>
                <w:szCs w:val="17"/>
                <w:lang w:eastAsia="en-AU"/>
              </w:rPr>
            </w:pPr>
            <w:r>
              <w:rPr>
                <w:rFonts w:ascii="Calibri Light" w:eastAsia="Times New Roman" w:hAnsi="Calibri Light" w:cs="Times New Roman"/>
                <w:color w:val="FFFFFF"/>
                <w:sz w:val="17"/>
                <w:szCs w:val="17"/>
                <w:lang w:eastAsia="en-AU"/>
              </w:rPr>
              <w:t>Not Achieved</w:t>
            </w:r>
          </w:p>
        </w:tc>
        <w:tc>
          <w:tcPr>
            <w:tcW w:w="5600" w:type="dxa"/>
            <w:shd w:val="clear" w:color="auto" w:fill="auto"/>
            <w:vAlign w:val="center"/>
          </w:tcPr>
          <w:p w14:paraId="04CC3DEC" w14:textId="77777777" w:rsidR="009445CD" w:rsidRDefault="00CD2D22" w:rsidP="00454DB5">
            <w:pPr>
              <w:suppressAutoHyphens w:val="0"/>
              <w:spacing w:before="0" w:after="0" w:line="240" w:lineRule="auto"/>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While there was broad acceptance of the overall recommendations</w:t>
            </w:r>
            <w:r w:rsidR="00496179">
              <w:rPr>
                <w:rFonts w:ascii="Calibri Light" w:eastAsia="Times New Roman" w:hAnsi="Calibri Light" w:cs="Times New Roman"/>
                <w:color w:val="495965"/>
                <w:sz w:val="17"/>
                <w:szCs w:val="17"/>
                <w:lang w:val="en-AU" w:eastAsia="en-AU"/>
              </w:rPr>
              <w:t>,</w:t>
            </w:r>
            <w:r>
              <w:rPr>
                <w:rFonts w:ascii="Calibri Light" w:eastAsia="Times New Roman" w:hAnsi="Calibri Light" w:cs="Times New Roman"/>
                <w:color w:val="495965"/>
                <w:sz w:val="17"/>
                <w:szCs w:val="17"/>
                <w:lang w:val="en-AU" w:eastAsia="en-AU"/>
              </w:rPr>
              <w:t xml:space="preserve"> </w:t>
            </w:r>
            <w:r w:rsidR="00496179">
              <w:rPr>
                <w:rFonts w:ascii="Calibri Light" w:eastAsia="Times New Roman" w:hAnsi="Calibri Light" w:cs="Times New Roman"/>
                <w:color w:val="495965"/>
                <w:sz w:val="17"/>
                <w:szCs w:val="17"/>
                <w:lang w:val="en-AU" w:eastAsia="en-AU"/>
              </w:rPr>
              <w:t>l</w:t>
            </w:r>
            <w:r>
              <w:rPr>
                <w:rFonts w:ascii="Calibri Light" w:eastAsia="Times New Roman" w:hAnsi="Calibri Light" w:cs="Times New Roman"/>
                <w:color w:val="495965"/>
                <w:sz w:val="17"/>
                <w:szCs w:val="17"/>
                <w:lang w:val="en-AU" w:eastAsia="en-AU"/>
              </w:rPr>
              <w:t>ow capacity in the health system has hampered implementation.</w:t>
            </w:r>
          </w:p>
        </w:tc>
      </w:tr>
      <w:tr w:rsidR="008A48E5" w:rsidRPr="00CD4F30" w14:paraId="680A41A3" w14:textId="77777777" w:rsidTr="00D01E53">
        <w:trPr>
          <w:trHeight w:val="567"/>
          <w:jc w:val="center"/>
        </w:trPr>
        <w:tc>
          <w:tcPr>
            <w:tcW w:w="2000" w:type="dxa"/>
            <w:shd w:val="clear" w:color="auto" w:fill="auto"/>
          </w:tcPr>
          <w:p w14:paraId="2BBE5A96" w14:textId="77777777" w:rsidR="008A48E5" w:rsidRPr="00CD4F30" w:rsidRDefault="008A48E5" w:rsidP="00CD4F30">
            <w:pPr>
              <w:suppressAutoHyphens w:val="0"/>
              <w:spacing w:before="0" w:after="0" w:line="240" w:lineRule="auto"/>
              <w:rPr>
                <w:rFonts w:ascii="Calibri Light" w:eastAsia="Times New Roman" w:hAnsi="Calibri Light" w:cs="Times New Roman"/>
                <w:color w:val="495965"/>
                <w:sz w:val="17"/>
                <w:lang w:eastAsia="en-AU"/>
              </w:rPr>
            </w:pPr>
          </w:p>
        </w:tc>
        <w:tc>
          <w:tcPr>
            <w:tcW w:w="3680" w:type="dxa"/>
            <w:shd w:val="clear" w:color="auto" w:fill="auto"/>
          </w:tcPr>
          <w:p w14:paraId="40A605BB" w14:textId="77777777" w:rsidR="008A48E5" w:rsidRPr="00CD4F30" w:rsidRDefault="000614CB" w:rsidP="00CD4F30">
            <w:pPr>
              <w:suppressAutoHyphens w:val="0"/>
              <w:spacing w:before="0" w:after="0" w:line="240" w:lineRule="auto"/>
              <w:rPr>
                <w:rFonts w:ascii="Calibri Light" w:eastAsia="Times New Roman" w:hAnsi="Calibri Light" w:cs="Times New Roman"/>
                <w:iCs/>
                <w:color w:val="495965"/>
                <w:sz w:val="17"/>
                <w:szCs w:val="17"/>
                <w:lang w:eastAsia="en-AU"/>
              </w:rPr>
            </w:pPr>
            <w:r>
              <w:rPr>
                <w:rFonts w:ascii="Calibri Light" w:eastAsia="Times New Roman" w:hAnsi="Calibri Light" w:cs="Times New Roman"/>
                <w:iCs/>
                <w:color w:val="495965"/>
                <w:sz w:val="17"/>
                <w:szCs w:val="17"/>
                <w:lang w:eastAsia="en-AU"/>
              </w:rPr>
              <w:t>•</w:t>
            </w:r>
            <w:r w:rsidR="005872CD">
              <w:rPr>
                <w:rFonts w:ascii="Calibri Light" w:eastAsia="Times New Roman" w:hAnsi="Calibri Light" w:cs="Times New Roman"/>
                <w:iCs/>
                <w:color w:val="495965"/>
                <w:sz w:val="17"/>
                <w:szCs w:val="17"/>
                <w:lang w:eastAsia="en-AU"/>
              </w:rPr>
              <w:t xml:space="preserve"> </w:t>
            </w:r>
            <w:r w:rsidR="009445CD" w:rsidRPr="00CF6DA0">
              <w:rPr>
                <w:rFonts w:eastAsia="Times New Roman"/>
                <w:iCs/>
                <w:sz w:val="16"/>
                <w:szCs w:val="16"/>
              </w:rPr>
              <w:t>Review – DFAT review and redesign of the health investment completed and implemented</w:t>
            </w:r>
          </w:p>
        </w:tc>
        <w:tc>
          <w:tcPr>
            <w:tcW w:w="1640" w:type="dxa"/>
            <w:shd w:val="clear" w:color="auto" w:fill="92D050"/>
            <w:vAlign w:val="center"/>
          </w:tcPr>
          <w:p w14:paraId="3C36BD96" w14:textId="77777777" w:rsidR="008A48E5" w:rsidRDefault="00CD2D22" w:rsidP="00CD4F30">
            <w:pPr>
              <w:suppressAutoHyphens w:val="0"/>
              <w:spacing w:before="0" w:after="0" w:line="240" w:lineRule="auto"/>
              <w:jc w:val="center"/>
              <w:rPr>
                <w:rFonts w:ascii="Calibri Light" w:eastAsia="Times New Roman" w:hAnsi="Calibri Light" w:cs="Times New Roman"/>
                <w:color w:val="FFFFFF"/>
                <w:sz w:val="17"/>
                <w:szCs w:val="17"/>
                <w:lang w:eastAsia="en-AU"/>
              </w:rPr>
            </w:pPr>
            <w:r>
              <w:rPr>
                <w:rFonts w:ascii="Calibri Light" w:eastAsia="Times New Roman" w:hAnsi="Calibri Light" w:cs="Times New Roman"/>
                <w:color w:val="FFFFFF"/>
                <w:sz w:val="17"/>
                <w:szCs w:val="17"/>
                <w:lang w:eastAsia="en-AU"/>
              </w:rPr>
              <w:t>Achieved</w:t>
            </w:r>
          </w:p>
        </w:tc>
        <w:tc>
          <w:tcPr>
            <w:tcW w:w="5600" w:type="dxa"/>
            <w:shd w:val="clear" w:color="auto" w:fill="auto"/>
            <w:vAlign w:val="center"/>
          </w:tcPr>
          <w:p w14:paraId="1B13F77D" w14:textId="77777777" w:rsidR="008A48E5" w:rsidRPr="00615648" w:rsidRDefault="009726AB" w:rsidP="00D01E53">
            <w:pPr>
              <w:suppressAutoHyphens w:val="0"/>
              <w:spacing w:before="0" w:after="0" w:line="240" w:lineRule="auto"/>
              <w:rPr>
                <w:rFonts w:ascii="Calibri Light" w:eastAsia="Times New Roman" w:hAnsi="Calibri Light" w:cs="Times New Roman"/>
                <w:iCs/>
                <w:color w:val="495965"/>
                <w:sz w:val="17"/>
                <w:szCs w:val="17"/>
                <w:highlight w:val="yellow"/>
                <w:lang w:eastAsia="en-AU"/>
              </w:rPr>
            </w:pPr>
            <w:r w:rsidRPr="009726AB">
              <w:rPr>
                <w:rFonts w:ascii="Calibri Light" w:eastAsia="Times New Roman" w:hAnsi="Calibri Light" w:cs="Times New Roman"/>
                <w:iCs/>
                <w:color w:val="495965"/>
                <w:sz w:val="17"/>
                <w:szCs w:val="17"/>
                <w:lang w:eastAsia="en-AU"/>
              </w:rPr>
              <w:t xml:space="preserve">The </w:t>
            </w:r>
            <w:r w:rsidR="00496179">
              <w:rPr>
                <w:rFonts w:ascii="Calibri Light" w:eastAsia="Times New Roman" w:hAnsi="Calibri Light" w:cs="Times New Roman"/>
                <w:iCs/>
                <w:color w:val="495965"/>
                <w:sz w:val="17"/>
                <w:szCs w:val="17"/>
                <w:lang w:eastAsia="en-AU"/>
              </w:rPr>
              <w:t>h</w:t>
            </w:r>
            <w:r w:rsidR="00496179" w:rsidRPr="009726AB">
              <w:rPr>
                <w:rFonts w:ascii="Calibri Light" w:eastAsia="Times New Roman" w:hAnsi="Calibri Light" w:cs="Times New Roman"/>
                <w:iCs/>
                <w:color w:val="495965"/>
                <w:sz w:val="17"/>
                <w:szCs w:val="17"/>
                <w:lang w:eastAsia="en-AU"/>
              </w:rPr>
              <w:t xml:space="preserve">ealth </w:t>
            </w:r>
            <w:r w:rsidRPr="009726AB">
              <w:rPr>
                <w:rFonts w:ascii="Calibri Light" w:eastAsia="Times New Roman" w:hAnsi="Calibri Light" w:cs="Times New Roman"/>
                <w:iCs/>
                <w:color w:val="495965"/>
                <w:sz w:val="17"/>
                <w:szCs w:val="17"/>
                <w:lang w:eastAsia="en-AU"/>
              </w:rPr>
              <w:t>review</w:t>
            </w:r>
            <w:r w:rsidR="0018628B">
              <w:rPr>
                <w:rFonts w:ascii="Calibri Light" w:eastAsia="Times New Roman" w:hAnsi="Calibri Light" w:cs="Times New Roman"/>
                <w:iCs/>
                <w:color w:val="495965"/>
                <w:sz w:val="17"/>
                <w:szCs w:val="17"/>
                <w:lang w:eastAsia="en-AU"/>
              </w:rPr>
              <w:t xml:space="preserve"> was completed in February 2018</w:t>
            </w:r>
            <w:r w:rsidR="00496179">
              <w:rPr>
                <w:rFonts w:ascii="Calibri Light" w:eastAsia="Times New Roman" w:hAnsi="Calibri Light" w:cs="Times New Roman"/>
                <w:iCs/>
                <w:color w:val="495965"/>
                <w:sz w:val="17"/>
                <w:szCs w:val="17"/>
                <w:lang w:eastAsia="en-AU"/>
              </w:rPr>
              <w:t xml:space="preserve"> and </w:t>
            </w:r>
            <w:r w:rsidR="0018628B">
              <w:rPr>
                <w:rFonts w:ascii="Calibri Light" w:eastAsia="Times New Roman" w:hAnsi="Calibri Light" w:cs="Times New Roman"/>
                <w:iCs/>
                <w:color w:val="495965"/>
                <w:sz w:val="17"/>
                <w:szCs w:val="17"/>
                <w:lang w:eastAsia="en-AU"/>
              </w:rPr>
              <w:t>the redesign</w:t>
            </w:r>
            <w:r w:rsidR="00D01E53">
              <w:rPr>
                <w:rFonts w:ascii="Calibri Light" w:eastAsia="Times New Roman" w:hAnsi="Calibri Light" w:cs="Times New Roman"/>
                <w:iCs/>
                <w:color w:val="495965"/>
                <w:sz w:val="17"/>
                <w:szCs w:val="17"/>
                <w:lang w:eastAsia="en-AU"/>
              </w:rPr>
              <w:t xml:space="preserve"> was completed in August 2018.</w:t>
            </w:r>
          </w:p>
        </w:tc>
      </w:tr>
      <w:tr w:rsidR="009A1108" w:rsidRPr="00CD4F30" w14:paraId="43FF1D48" w14:textId="77777777" w:rsidTr="00042563">
        <w:trPr>
          <w:trHeight w:val="567"/>
          <w:jc w:val="center"/>
        </w:trPr>
        <w:tc>
          <w:tcPr>
            <w:tcW w:w="2000" w:type="dxa"/>
            <w:shd w:val="clear" w:color="auto" w:fill="auto"/>
            <w:vAlign w:val="center"/>
            <w:hideMark/>
          </w:tcPr>
          <w:p w14:paraId="6C84F223" w14:textId="77777777" w:rsidR="009A1108" w:rsidRPr="00CD4F30" w:rsidRDefault="009A1108" w:rsidP="009A1108">
            <w:pPr>
              <w:suppressAutoHyphens w:val="0"/>
              <w:spacing w:before="0" w:after="0" w:line="240" w:lineRule="auto"/>
              <w:rPr>
                <w:rFonts w:ascii="Calibri Light" w:eastAsia="Times New Roman" w:hAnsi="Calibri Light" w:cs="Times New Roman"/>
                <w:color w:val="495965"/>
                <w:sz w:val="17"/>
                <w:szCs w:val="17"/>
                <w:lang w:val="en-AU" w:eastAsia="en-AU"/>
              </w:rPr>
            </w:pPr>
          </w:p>
        </w:tc>
        <w:tc>
          <w:tcPr>
            <w:tcW w:w="3680" w:type="dxa"/>
            <w:shd w:val="clear" w:color="auto" w:fill="auto"/>
            <w:hideMark/>
          </w:tcPr>
          <w:p w14:paraId="434A2672" w14:textId="77777777" w:rsidR="009A1108" w:rsidRPr="00CD4F30" w:rsidRDefault="0027229C" w:rsidP="009A1108">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w:t>
            </w:r>
            <w:r>
              <w:rPr>
                <w:rFonts w:ascii="Calibri Light" w:eastAsia="Times New Roman" w:hAnsi="Calibri Light" w:cs="Times New Roman"/>
                <w:iCs/>
                <w:color w:val="495965"/>
                <w:sz w:val="17"/>
                <w:szCs w:val="17"/>
                <w:lang w:eastAsia="en-AU"/>
              </w:rPr>
              <w:t xml:space="preserve"> </w:t>
            </w:r>
            <w:r w:rsidR="009A1108" w:rsidRPr="00CC44E5">
              <w:rPr>
                <w:rFonts w:eastAsia="Times New Roman"/>
                <w:iCs/>
                <w:sz w:val="16"/>
                <w:szCs w:val="16"/>
              </w:rPr>
              <w:t>Nauru Education Strategic Plan - Recruit and mobilise Education Adviser to support delivery of the Education Strategic Plan</w:t>
            </w:r>
          </w:p>
        </w:tc>
        <w:tc>
          <w:tcPr>
            <w:tcW w:w="1640" w:type="dxa"/>
            <w:shd w:val="clear" w:color="auto" w:fill="92D050"/>
            <w:vAlign w:val="center"/>
            <w:hideMark/>
          </w:tcPr>
          <w:p w14:paraId="0EB1B577" w14:textId="77777777" w:rsidR="009A1108" w:rsidRPr="003B38FB" w:rsidRDefault="009A1108" w:rsidP="009A1108">
            <w:pPr>
              <w:suppressAutoHyphens w:val="0"/>
              <w:spacing w:before="0" w:after="0" w:line="240" w:lineRule="auto"/>
              <w:jc w:val="center"/>
              <w:rPr>
                <w:rFonts w:ascii="Calibri Light" w:eastAsia="Times New Roman" w:hAnsi="Calibri Light" w:cs="Times New Roman"/>
                <w:color w:val="FFFFFF"/>
                <w:sz w:val="17"/>
                <w:szCs w:val="17"/>
                <w:lang w:eastAsia="en-AU"/>
              </w:rPr>
            </w:pPr>
            <w:r w:rsidRPr="00CD4F30">
              <w:rPr>
                <w:rFonts w:ascii="Calibri Light" w:eastAsia="Times New Roman" w:hAnsi="Calibri Light" w:cs="Times New Roman"/>
                <w:color w:val="FFFFFF"/>
                <w:sz w:val="17"/>
                <w:szCs w:val="17"/>
                <w:lang w:eastAsia="en-AU"/>
              </w:rPr>
              <w:t>Achieved</w:t>
            </w:r>
          </w:p>
        </w:tc>
        <w:tc>
          <w:tcPr>
            <w:tcW w:w="5600" w:type="dxa"/>
            <w:shd w:val="clear" w:color="auto" w:fill="auto"/>
            <w:vAlign w:val="center"/>
            <w:hideMark/>
          </w:tcPr>
          <w:p w14:paraId="528B45BC" w14:textId="77777777" w:rsidR="00F22117" w:rsidRPr="00CD4F30" w:rsidRDefault="001556A4" w:rsidP="00042563">
            <w:pPr>
              <w:suppressAutoHyphens w:val="0"/>
              <w:spacing w:before="0" w:after="0" w:line="240" w:lineRule="auto"/>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The Strategic Implementation Advisor commenced</w:t>
            </w:r>
            <w:r w:rsidRPr="00CD4F30">
              <w:rPr>
                <w:rFonts w:ascii="Calibri Light" w:eastAsia="Times New Roman" w:hAnsi="Calibri Light" w:cs="Times New Roman"/>
                <w:iCs/>
                <w:color w:val="495965"/>
                <w:sz w:val="17"/>
                <w:szCs w:val="17"/>
                <w:lang w:eastAsia="en-AU"/>
              </w:rPr>
              <w:t xml:space="preserve"> in August 2017</w:t>
            </w:r>
            <w:r w:rsidR="00EA7846">
              <w:rPr>
                <w:rFonts w:ascii="Calibri Light" w:eastAsia="Times New Roman" w:hAnsi="Calibri Light" w:cs="Times New Roman"/>
                <w:iCs/>
                <w:color w:val="495965"/>
                <w:sz w:val="17"/>
                <w:szCs w:val="17"/>
                <w:lang w:eastAsia="en-AU"/>
              </w:rPr>
              <w:t xml:space="preserve"> and is supporting delivery of the Education Strategic Plan</w:t>
            </w:r>
            <w:r w:rsidRPr="00CD4F30">
              <w:rPr>
                <w:rFonts w:ascii="Calibri Light" w:eastAsia="Times New Roman" w:hAnsi="Calibri Light" w:cs="Times New Roman"/>
                <w:iCs/>
                <w:color w:val="495965"/>
                <w:sz w:val="17"/>
                <w:szCs w:val="17"/>
                <w:lang w:eastAsia="en-AU"/>
              </w:rPr>
              <w:t xml:space="preserve">.  </w:t>
            </w:r>
          </w:p>
        </w:tc>
      </w:tr>
      <w:tr w:rsidR="00F22117" w:rsidRPr="00CD4F30" w14:paraId="685D4754" w14:textId="77777777" w:rsidTr="00042563">
        <w:trPr>
          <w:trHeight w:val="567"/>
          <w:jc w:val="center"/>
        </w:trPr>
        <w:tc>
          <w:tcPr>
            <w:tcW w:w="2000" w:type="dxa"/>
            <w:shd w:val="clear" w:color="auto" w:fill="auto"/>
            <w:vAlign w:val="center"/>
          </w:tcPr>
          <w:p w14:paraId="2D1320C9" w14:textId="77777777" w:rsidR="00F22117" w:rsidRPr="00CD4F30" w:rsidRDefault="00F22117" w:rsidP="009A1108">
            <w:pPr>
              <w:suppressAutoHyphens w:val="0"/>
              <w:spacing w:before="0" w:after="0" w:line="240" w:lineRule="auto"/>
              <w:rPr>
                <w:rFonts w:ascii="Calibri Light" w:eastAsia="Times New Roman" w:hAnsi="Calibri Light" w:cs="Times New Roman"/>
                <w:color w:val="495965"/>
                <w:sz w:val="17"/>
                <w:szCs w:val="17"/>
                <w:lang w:val="en-AU" w:eastAsia="en-AU"/>
              </w:rPr>
            </w:pPr>
          </w:p>
        </w:tc>
        <w:tc>
          <w:tcPr>
            <w:tcW w:w="3680" w:type="dxa"/>
            <w:shd w:val="clear" w:color="auto" w:fill="auto"/>
          </w:tcPr>
          <w:p w14:paraId="51DD7963" w14:textId="77777777" w:rsidR="00F22117" w:rsidRDefault="00F22117" w:rsidP="00F22117">
            <w:pPr>
              <w:suppressAutoHyphens w:val="0"/>
              <w:spacing w:before="0" w:after="0" w:line="240" w:lineRule="auto"/>
              <w:rPr>
                <w:rFonts w:eastAsia="Times New Roman"/>
                <w:iCs/>
                <w:sz w:val="16"/>
                <w:szCs w:val="16"/>
              </w:rPr>
            </w:pPr>
            <w:r w:rsidRPr="00CD4F30">
              <w:rPr>
                <w:rFonts w:ascii="Calibri Light" w:eastAsia="Times New Roman" w:hAnsi="Calibri Light" w:cs="Times New Roman"/>
                <w:iCs/>
                <w:color w:val="495965"/>
                <w:sz w:val="17"/>
                <w:szCs w:val="17"/>
                <w:lang w:eastAsia="en-AU"/>
              </w:rPr>
              <w:t>•</w:t>
            </w:r>
            <w:r>
              <w:rPr>
                <w:rFonts w:ascii="Calibri Light" w:eastAsia="Times New Roman" w:hAnsi="Calibri Light" w:cs="Times New Roman"/>
                <w:iCs/>
                <w:color w:val="495965"/>
                <w:sz w:val="17"/>
                <w:szCs w:val="17"/>
                <w:lang w:eastAsia="en-AU"/>
              </w:rPr>
              <w:t xml:space="preserve"> </w:t>
            </w:r>
            <w:r w:rsidRPr="00CC44E5">
              <w:rPr>
                <w:rFonts w:eastAsia="Times New Roman"/>
                <w:iCs/>
                <w:sz w:val="16"/>
                <w:szCs w:val="16"/>
              </w:rPr>
              <w:t>Operational Account – funds administered appropriately on an agreed basis for activities to support the Education Strategic Plan</w:t>
            </w:r>
          </w:p>
          <w:p w14:paraId="3886B7E9" w14:textId="77777777" w:rsidR="00F22117" w:rsidRDefault="00F22117" w:rsidP="009A1108">
            <w:pPr>
              <w:suppressAutoHyphens w:val="0"/>
              <w:spacing w:before="0" w:after="0" w:line="240" w:lineRule="auto"/>
              <w:rPr>
                <w:rFonts w:eastAsia="Times New Roman"/>
                <w:iCs/>
                <w:sz w:val="16"/>
                <w:szCs w:val="16"/>
              </w:rPr>
            </w:pPr>
          </w:p>
        </w:tc>
        <w:tc>
          <w:tcPr>
            <w:tcW w:w="1640" w:type="dxa"/>
            <w:shd w:val="clear" w:color="auto" w:fill="FF9900"/>
            <w:vAlign w:val="center"/>
          </w:tcPr>
          <w:p w14:paraId="234A4388" w14:textId="77777777" w:rsidR="00F22117" w:rsidRPr="00CD4F30" w:rsidRDefault="003B75DA" w:rsidP="009A1108">
            <w:pPr>
              <w:suppressAutoHyphens w:val="0"/>
              <w:spacing w:before="0" w:after="0" w:line="240" w:lineRule="auto"/>
              <w:jc w:val="center"/>
              <w:rPr>
                <w:rFonts w:ascii="Calibri Light" w:eastAsia="Times New Roman" w:hAnsi="Calibri Light" w:cs="Times New Roman"/>
                <w:color w:val="FFFFFF"/>
                <w:sz w:val="17"/>
                <w:szCs w:val="17"/>
                <w:lang w:eastAsia="en-AU"/>
              </w:rPr>
            </w:pPr>
            <w:r>
              <w:rPr>
                <w:rFonts w:ascii="Calibri Light" w:eastAsia="Times New Roman" w:hAnsi="Calibri Light" w:cs="Times New Roman"/>
                <w:color w:val="FFFFFF"/>
                <w:sz w:val="17"/>
                <w:szCs w:val="17"/>
                <w:lang w:eastAsia="en-AU"/>
              </w:rPr>
              <w:t xml:space="preserve">Partly </w:t>
            </w:r>
            <w:r w:rsidR="00F22117">
              <w:rPr>
                <w:rFonts w:ascii="Calibri Light" w:eastAsia="Times New Roman" w:hAnsi="Calibri Light" w:cs="Times New Roman"/>
                <w:color w:val="FFFFFF"/>
                <w:sz w:val="17"/>
                <w:szCs w:val="17"/>
                <w:lang w:eastAsia="en-AU"/>
              </w:rPr>
              <w:t>Achieved</w:t>
            </w:r>
          </w:p>
        </w:tc>
        <w:tc>
          <w:tcPr>
            <w:tcW w:w="5600" w:type="dxa"/>
            <w:shd w:val="clear" w:color="auto" w:fill="auto"/>
            <w:vAlign w:val="center"/>
          </w:tcPr>
          <w:p w14:paraId="730D82BB" w14:textId="77777777" w:rsidR="00F22117" w:rsidRDefault="003B75DA" w:rsidP="00BD2D67">
            <w:pPr>
              <w:suppressAutoHyphens w:val="0"/>
              <w:spacing w:before="0" w:after="0" w:line="240" w:lineRule="auto"/>
              <w:rPr>
                <w:rFonts w:ascii="Calibri Light" w:eastAsia="Times New Roman" w:hAnsi="Calibri Light" w:cs="Times New Roman"/>
                <w:iCs/>
                <w:color w:val="495965"/>
                <w:sz w:val="17"/>
                <w:szCs w:val="17"/>
                <w:lang w:eastAsia="en-AU"/>
              </w:rPr>
            </w:pPr>
            <w:r>
              <w:rPr>
                <w:rFonts w:ascii="Calibri Light" w:eastAsia="Times New Roman" w:hAnsi="Calibri Light" w:cs="Times New Roman"/>
                <w:iCs/>
                <w:color w:val="495965"/>
                <w:sz w:val="17"/>
                <w:szCs w:val="17"/>
                <w:lang w:eastAsia="en-AU"/>
              </w:rPr>
              <w:t xml:space="preserve">There have been delays in funds being </w:t>
            </w:r>
            <w:r w:rsidR="00496179">
              <w:rPr>
                <w:rFonts w:ascii="Calibri Light" w:eastAsia="Times New Roman" w:hAnsi="Calibri Light" w:cs="Times New Roman"/>
                <w:iCs/>
                <w:color w:val="495965"/>
                <w:sz w:val="17"/>
                <w:szCs w:val="17"/>
                <w:lang w:eastAsia="en-AU"/>
              </w:rPr>
              <w:t>disbursed</w:t>
            </w:r>
            <w:r>
              <w:rPr>
                <w:rFonts w:ascii="Calibri Light" w:eastAsia="Times New Roman" w:hAnsi="Calibri Light" w:cs="Times New Roman"/>
                <w:iCs/>
                <w:color w:val="495965"/>
                <w:sz w:val="17"/>
                <w:szCs w:val="17"/>
                <w:lang w:eastAsia="en-AU"/>
              </w:rPr>
              <w:t xml:space="preserve">, but </w:t>
            </w:r>
            <w:r w:rsidR="00D06002">
              <w:rPr>
                <w:rFonts w:ascii="Calibri Light" w:eastAsia="Times New Roman" w:hAnsi="Calibri Light" w:cs="Times New Roman"/>
                <w:iCs/>
                <w:color w:val="495965"/>
                <w:sz w:val="17"/>
                <w:szCs w:val="17"/>
                <w:lang w:eastAsia="en-AU"/>
              </w:rPr>
              <w:t>Australia</w:t>
            </w:r>
            <w:r>
              <w:rPr>
                <w:rFonts w:ascii="Calibri Light" w:eastAsia="Times New Roman" w:hAnsi="Calibri Light" w:cs="Times New Roman"/>
                <w:iCs/>
                <w:color w:val="495965"/>
                <w:sz w:val="17"/>
                <w:szCs w:val="17"/>
                <w:lang w:eastAsia="en-AU"/>
              </w:rPr>
              <w:t xml:space="preserve"> and </w:t>
            </w:r>
            <w:r w:rsidR="00496179">
              <w:rPr>
                <w:rFonts w:ascii="Calibri Light" w:eastAsia="Times New Roman" w:hAnsi="Calibri Light" w:cs="Times New Roman"/>
                <w:iCs/>
                <w:color w:val="495965"/>
                <w:sz w:val="17"/>
                <w:szCs w:val="17"/>
                <w:lang w:eastAsia="en-AU"/>
              </w:rPr>
              <w:t xml:space="preserve">the Government of </w:t>
            </w:r>
            <w:r w:rsidR="00496179" w:rsidRPr="0094231B">
              <w:rPr>
                <w:rFonts w:ascii="Calibri Light" w:eastAsia="Times New Roman" w:hAnsi="Calibri Light" w:cs="Times New Roman"/>
                <w:iCs/>
                <w:color w:val="495965"/>
                <w:sz w:val="17"/>
                <w:szCs w:val="17"/>
                <w:lang w:eastAsia="en-AU"/>
              </w:rPr>
              <w:t>Nauru</w:t>
            </w:r>
            <w:r w:rsidRPr="0094231B">
              <w:rPr>
                <w:rFonts w:ascii="Calibri Light" w:eastAsia="Times New Roman" w:hAnsi="Calibri Light" w:cs="Times New Roman"/>
                <w:iCs/>
                <w:color w:val="495965"/>
                <w:sz w:val="17"/>
                <w:szCs w:val="17"/>
                <w:lang w:eastAsia="en-AU"/>
              </w:rPr>
              <w:t xml:space="preserve"> are going to explore ways to make th</w:t>
            </w:r>
            <w:r w:rsidR="00547B43" w:rsidRPr="0094231B">
              <w:rPr>
                <w:rFonts w:ascii="Calibri Light" w:eastAsia="Times New Roman" w:hAnsi="Calibri Light" w:cs="Times New Roman"/>
                <w:iCs/>
                <w:color w:val="495965"/>
                <w:sz w:val="17"/>
                <w:szCs w:val="17"/>
                <w:lang w:eastAsia="en-AU"/>
              </w:rPr>
              <w:t>e</w:t>
            </w:r>
            <w:r w:rsidRPr="0094231B">
              <w:rPr>
                <w:rFonts w:ascii="Calibri Light" w:eastAsia="Times New Roman" w:hAnsi="Calibri Light" w:cs="Times New Roman"/>
                <w:iCs/>
                <w:color w:val="495965"/>
                <w:sz w:val="17"/>
                <w:szCs w:val="17"/>
                <w:lang w:eastAsia="en-AU"/>
              </w:rPr>
              <w:t xml:space="preserve"> process more efficient</w:t>
            </w:r>
            <w:r w:rsidR="00BD2D67" w:rsidRPr="0094231B">
              <w:rPr>
                <w:rFonts w:ascii="Calibri Light" w:eastAsia="Times New Roman" w:hAnsi="Calibri Light" w:cs="Times New Roman"/>
                <w:iCs/>
                <w:color w:val="495965"/>
                <w:sz w:val="17"/>
                <w:szCs w:val="17"/>
                <w:lang w:eastAsia="en-AU"/>
              </w:rPr>
              <w:t xml:space="preserve"> (looking into longer-</w:t>
            </w:r>
            <w:r w:rsidR="005906CF" w:rsidRPr="0094231B">
              <w:rPr>
                <w:rFonts w:ascii="Calibri Light" w:eastAsia="Times New Roman" w:hAnsi="Calibri Light" w:cs="Times New Roman"/>
                <w:iCs/>
                <w:color w:val="495965"/>
                <w:sz w:val="17"/>
                <w:szCs w:val="17"/>
                <w:lang w:eastAsia="en-AU"/>
              </w:rPr>
              <w:t>te</w:t>
            </w:r>
            <w:r w:rsidR="00BD2D67" w:rsidRPr="0094231B">
              <w:rPr>
                <w:rFonts w:ascii="Calibri Light" w:eastAsia="Times New Roman" w:hAnsi="Calibri Light" w:cs="Times New Roman"/>
                <w:iCs/>
                <w:color w:val="495965"/>
                <w:sz w:val="17"/>
                <w:szCs w:val="17"/>
                <w:lang w:eastAsia="en-AU"/>
              </w:rPr>
              <w:t>r</w:t>
            </w:r>
            <w:r w:rsidR="005906CF" w:rsidRPr="0094231B">
              <w:rPr>
                <w:rFonts w:ascii="Calibri Light" w:eastAsia="Times New Roman" w:hAnsi="Calibri Light" w:cs="Times New Roman"/>
                <w:iCs/>
                <w:color w:val="495965"/>
                <w:sz w:val="17"/>
                <w:szCs w:val="17"/>
                <w:lang w:eastAsia="en-AU"/>
              </w:rPr>
              <w:t>m DFAs</w:t>
            </w:r>
            <w:r w:rsidR="0018628B" w:rsidRPr="0094231B">
              <w:rPr>
                <w:rFonts w:ascii="Calibri Light" w:eastAsia="Times New Roman" w:hAnsi="Calibri Light" w:cs="Times New Roman"/>
                <w:iCs/>
                <w:color w:val="495965"/>
                <w:sz w:val="17"/>
                <w:szCs w:val="17"/>
                <w:lang w:eastAsia="en-AU"/>
              </w:rPr>
              <w:t>)</w:t>
            </w:r>
          </w:p>
        </w:tc>
      </w:tr>
      <w:tr w:rsidR="009A1108" w:rsidRPr="00CD4F30" w14:paraId="1E8E0ECD" w14:textId="77777777" w:rsidTr="00042563">
        <w:trPr>
          <w:trHeight w:val="567"/>
          <w:jc w:val="center"/>
        </w:trPr>
        <w:tc>
          <w:tcPr>
            <w:tcW w:w="2000" w:type="dxa"/>
            <w:tcBorders>
              <w:bottom w:val="single" w:sz="4" w:space="0" w:color="auto"/>
            </w:tcBorders>
            <w:shd w:val="clear" w:color="auto" w:fill="auto"/>
            <w:vAlign w:val="center"/>
            <w:hideMark/>
          </w:tcPr>
          <w:p w14:paraId="5D86440B" w14:textId="77777777" w:rsidR="009A1108" w:rsidRPr="00CD4F30" w:rsidRDefault="009A1108" w:rsidP="009A1108">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color w:val="495965"/>
                <w:sz w:val="17"/>
                <w:szCs w:val="17"/>
                <w:lang w:val="en-AU" w:eastAsia="en-AU"/>
              </w:rPr>
              <w:t> </w:t>
            </w:r>
          </w:p>
        </w:tc>
        <w:tc>
          <w:tcPr>
            <w:tcW w:w="3680" w:type="dxa"/>
            <w:tcBorders>
              <w:bottom w:val="single" w:sz="4" w:space="0" w:color="auto"/>
            </w:tcBorders>
            <w:shd w:val="clear" w:color="auto" w:fill="auto"/>
            <w:hideMark/>
          </w:tcPr>
          <w:p w14:paraId="02ED54BC" w14:textId="77777777" w:rsidR="009A1108" w:rsidRPr="00CD4F30" w:rsidRDefault="0027229C" w:rsidP="009A1108">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w:t>
            </w:r>
            <w:r>
              <w:rPr>
                <w:rFonts w:ascii="Calibri Light" w:eastAsia="Times New Roman" w:hAnsi="Calibri Light" w:cs="Times New Roman"/>
                <w:iCs/>
                <w:color w:val="495965"/>
                <w:sz w:val="17"/>
                <w:szCs w:val="17"/>
                <w:lang w:eastAsia="en-AU"/>
              </w:rPr>
              <w:t xml:space="preserve"> </w:t>
            </w:r>
            <w:r w:rsidR="009A1108" w:rsidRPr="00CF6DA0">
              <w:rPr>
                <w:rFonts w:eastAsia="Times New Roman"/>
                <w:iCs/>
                <w:sz w:val="16"/>
                <w:szCs w:val="16"/>
              </w:rPr>
              <w:t>TVET – a range of courses for in-demand qualifications are delivered to adult learners in Nauru</w:t>
            </w:r>
          </w:p>
        </w:tc>
        <w:tc>
          <w:tcPr>
            <w:tcW w:w="1640" w:type="dxa"/>
            <w:tcBorders>
              <w:bottom w:val="single" w:sz="4" w:space="0" w:color="auto"/>
            </w:tcBorders>
            <w:shd w:val="clear" w:color="auto" w:fill="92D050"/>
            <w:vAlign w:val="center"/>
            <w:hideMark/>
          </w:tcPr>
          <w:p w14:paraId="65D851A3" w14:textId="77777777" w:rsidR="009A1108" w:rsidRPr="00CD4F30" w:rsidRDefault="00FF5A17" w:rsidP="009A1108">
            <w:pPr>
              <w:suppressAutoHyphens w:val="0"/>
              <w:spacing w:before="0" w:after="0" w:line="240" w:lineRule="auto"/>
              <w:jc w:val="center"/>
              <w:rPr>
                <w:rFonts w:ascii="Calibri Light" w:eastAsia="Times New Roman" w:hAnsi="Calibri Light" w:cs="Times New Roman"/>
                <w:color w:val="FFFFFF"/>
                <w:sz w:val="17"/>
                <w:szCs w:val="17"/>
                <w:lang w:val="en-AU" w:eastAsia="en-AU"/>
              </w:rPr>
            </w:pPr>
            <w:r>
              <w:rPr>
                <w:rFonts w:ascii="Calibri Light" w:eastAsia="Times New Roman" w:hAnsi="Calibri Light" w:cs="Times New Roman"/>
                <w:color w:val="FFFFFF"/>
                <w:sz w:val="17"/>
                <w:szCs w:val="17"/>
                <w:lang w:eastAsia="en-AU"/>
              </w:rPr>
              <w:t>Achieved</w:t>
            </w:r>
          </w:p>
        </w:tc>
        <w:tc>
          <w:tcPr>
            <w:tcW w:w="5600" w:type="dxa"/>
            <w:tcBorders>
              <w:bottom w:val="single" w:sz="4" w:space="0" w:color="auto"/>
            </w:tcBorders>
            <w:shd w:val="clear" w:color="auto" w:fill="auto"/>
            <w:vAlign w:val="center"/>
            <w:hideMark/>
          </w:tcPr>
          <w:p w14:paraId="36C0D3E7" w14:textId="77777777" w:rsidR="009A1108" w:rsidRPr="00CD4F30" w:rsidRDefault="005906CF" w:rsidP="00BA6868">
            <w:pPr>
              <w:suppressAutoHyphens w:val="0"/>
              <w:spacing w:before="0" w:after="0" w:line="240" w:lineRule="auto"/>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Cert</w:t>
            </w:r>
            <w:r w:rsidR="00BA6868">
              <w:rPr>
                <w:rFonts w:ascii="Calibri Light" w:eastAsia="Times New Roman" w:hAnsi="Calibri Light" w:cs="Times New Roman"/>
                <w:color w:val="495965"/>
                <w:sz w:val="17"/>
                <w:szCs w:val="17"/>
                <w:lang w:val="en-AU" w:eastAsia="en-AU"/>
              </w:rPr>
              <w:t>ificate</w:t>
            </w:r>
            <w:r>
              <w:rPr>
                <w:rFonts w:ascii="Calibri Light" w:eastAsia="Times New Roman" w:hAnsi="Calibri Light" w:cs="Times New Roman"/>
                <w:color w:val="495965"/>
                <w:sz w:val="17"/>
                <w:szCs w:val="17"/>
                <w:lang w:val="en-AU" w:eastAsia="en-AU"/>
              </w:rPr>
              <w:t xml:space="preserve"> I and II courses are being delivered by </w:t>
            </w:r>
            <w:r w:rsidR="00496179">
              <w:rPr>
                <w:rFonts w:ascii="Calibri Light" w:eastAsia="Times New Roman" w:hAnsi="Calibri Light" w:cs="Times New Roman"/>
                <w:color w:val="495965"/>
                <w:sz w:val="17"/>
                <w:szCs w:val="17"/>
                <w:lang w:val="en-AU" w:eastAsia="en-AU"/>
              </w:rPr>
              <w:t xml:space="preserve">qualified </w:t>
            </w:r>
            <w:r>
              <w:rPr>
                <w:rFonts w:ascii="Calibri Light" w:eastAsia="Times New Roman" w:hAnsi="Calibri Light" w:cs="Times New Roman"/>
                <w:color w:val="495965"/>
                <w:sz w:val="17"/>
                <w:szCs w:val="17"/>
                <w:lang w:val="en-AU" w:eastAsia="en-AU"/>
              </w:rPr>
              <w:t>TVET</w:t>
            </w:r>
            <w:r w:rsidR="00496179">
              <w:rPr>
                <w:rFonts w:ascii="Calibri Light" w:eastAsia="Times New Roman" w:hAnsi="Calibri Light" w:cs="Times New Roman"/>
                <w:color w:val="495965"/>
                <w:sz w:val="17"/>
                <w:szCs w:val="17"/>
                <w:lang w:val="en-AU" w:eastAsia="en-AU"/>
              </w:rPr>
              <w:t xml:space="preserve"> trainers</w:t>
            </w:r>
            <w:r w:rsidR="00BA6868">
              <w:rPr>
                <w:rFonts w:ascii="Calibri Light" w:eastAsia="Times New Roman" w:hAnsi="Calibri Light" w:cs="Times New Roman"/>
                <w:color w:val="495965"/>
                <w:sz w:val="17"/>
                <w:szCs w:val="17"/>
                <w:lang w:val="en-AU" w:eastAsia="en-AU"/>
              </w:rPr>
              <w:t xml:space="preserve">. </w:t>
            </w:r>
            <w:r w:rsidR="003255BD">
              <w:rPr>
                <w:rFonts w:ascii="Calibri Light" w:eastAsia="Times New Roman" w:hAnsi="Calibri Light" w:cs="Times New Roman"/>
                <w:color w:val="495965"/>
                <w:sz w:val="17"/>
                <w:szCs w:val="17"/>
                <w:lang w:val="en-AU" w:eastAsia="en-AU"/>
              </w:rPr>
              <w:t>Additional</w:t>
            </w:r>
            <w:r w:rsidR="00BA6868">
              <w:rPr>
                <w:rFonts w:ascii="Calibri Light" w:eastAsia="Times New Roman" w:hAnsi="Calibri Light" w:cs="Times New Roman"/>
                <w:color w:val="495965"/>
                <w:sz w:val="17"/>
                <w:szCs w:val="17"/>
                <w:lang w:val="en-AU" w:eastAsia="en-AU"/>
              </w:rPr>
              <w:t xml:space="preserve"> physical enhancements are required to accommodate Certificate III and IV course offerings.</w:t>
            </w:r>
          </w:p>
        </w:tc>
      </w:tr>
      <w:tr w:rsidR="00CD4F30" w:rsidRPr="00CD4F30" w14:paraId="724B3B88" w14:textId="77777777" w:rsidTr="00042563">
        <w:trPr>
          <w:trHeight w:val="567"/>
          <w:jc w:val="center"/>
        </w:trPr>
        <w:tc>
          <w:tcPr>
            <w:tcW w:w="2000" w:type="dxa"/>
            <w:tcBorders>
              <w:top w:val="single" w:sz="4" w:space="0" w:color="auto"/>
            </w:tcBorders>
            <w:shd w:val="clear" w:color="auto" w:fill="auto"/>
            <w:hideMark/>
          </w:tcPr>
          <w:p w14:paraId="4ADA85B2" w14:textId="77777777" w:rsidR="00CD4F30" w:rsidRPr="00CD4F30" w:rsidRDefault="00CD4F30" w:rsidP="00496179">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 xml:space="preserve">Strengthened governance and </w:t>
            </w:r>
            <w:r w:rsidR="00496179">
              <w:rPr>
                <w:rFonts w:ascii="Calibri Light" w:eastAsia="Times New Roman" w:hAnsi="Calibri Light" w:cs="Times New Roman"/>
                <w:iCs/>
                <w:color w:val="495965"/>
                <w:sz w:val="17"/>
                <w:szCs w:val="17"/>
                <w:lang w:eastAsia="en-AU"/>
              </w:rPr>
              <w:t>p</w:t>
            </w:r>
            <w:r w:rsidR="00496179" w:rsidRPr="00CD4F30">
              <w:rPr>
                <w:rFonts w:ascii="Calibri Light" w:eastAsia="Times New Roman" w:hAnsi="Calibri Light" w:cs="Times New Roman"/>
                <w:iCs/>
                <w:color w:val="495965"/>
                <w:sz w:val="17"/>
                <w:szCs w:val="17"/>
                <w:lang w:eastAsia="en-AU"/>
              </w:rPr>
              <w:t xml:space="preserve">ublic </w:t>
            </w:r>
            <w:r w:rsidR="00496179">
              <w:rPr>
                <w:rFonts w:ascii="Calibri Light" w:eastAsia="Times New Roman" w:hAnsi="Calibri Light" w:cs="Times New Roman"/>
                <w:iCs/>
                <w:color w:val="495965"/>
                <w:sz w:val="17"/>
                <w:szCs w:val="17"/>
                <w:lang w:eastAsia="en-AU"/>
              </w:rPr>
              <w:t>s</w:t>
            </w:r>
            <w:r w:rsidR="00496179" w:rsidRPr="00CD4F30">
              <w:rPr>
                <w:rFonts w:ascii="Calibri Light" w:eastAsia="Times New Roman" w:hAnsi="Calibri Light" w:cs="Times New Roman"/>
                <w:iCs/>
                <w:color w:val="495965"/>
                <w:sz w:val="17"/>
                <w:szCs w:val="17"/>
                <w:lang w:eastAsia="en-AU"/>
              </w:rPr>
              <w:t xml:space="preserve">ervice </w:t>
            </w:r>
            <w:r w:rsidRPr="00CD4F30">
              <w:rPr>
                <w:rFonts w:ascii="Calibri Light" w:eastAsia="Times New Roman" w:hAnsi="Calibri Light" w:cs="Times New Roman"/>
                <w:iCs/>
                <w:color w:val="495965"/>
                <w:sz w:val="17"/>
                <w:szCs w:val="17"/>
                <w:lang w:eastAsia="en-AU"/>
              </w:rPr>
              <w:t>capability</w:t>
            </w:r>
          </w:p>
        </w:tc>
        <w:tc>
          <w:tcPr>
            <w:tcW w:w="3680" w:type="dxa"/>
            <w:tcBorders>
              <w:top w:val="single" w:sz="4" w:space="0" w:color="auto"/>
            </w:tcBorders>
            <w:shd w:val="clear" w:color="auto" w:fill="auto"/>
            <w:vAlign w:val="center"/>
            <w:hideMark/>
          </w:tcPr>
          <w:p w14:paraId="3C47D27C" w14:textId="77777777" w:rsidR="00CD4F30" w:rsidRPr="00721EA2" w:rsidRDefault="00CD4F30" w:rsidP="00721EA2">
            <w:pPr>
              <w:pStyle w:val="NormalIndented"/>
              <w:spacing w:before="0"/>
              <w:ind w:left="0"/>
              <w:rPr>
                <w:rFonts w:eastAsia="Times New Roman"/>
                <w:iCs/>
                <w:sz w:val="16"/>
                <w:szCs w:val="16"/>
              </w:rPr>
            </w:pPr>
            <w:r w:rsidRPr="00CD4F30">
              <w:rPr>
                <w:rFonts w:ascii="Calibri Light" w:eastAsia="Times New Roman" w:hAnsi="Calibri Light" w:cs="Times New Roman"/>
                <w:iCs/>
                <w:color w:val="495965"/>
                <w:sz w:val="17"/>
                <w:szCs w:val="17"/>
                <w:lang w:eastAsia="en-AU"/>
              </w:rPr>
              <w:t xml:space="preserve">• </w:t>
            </w:r>
            <w:r w:rsidR="00140792" w:rsidRPr="00CF6DA0">
              <w:rPr>
                <w:rFonts w:eastAsia="Times New Roman"/>
                <w:iCs/>
                <w:sz w:val="16"/>
                <w:szCs w:val="16"/>
              </w:rPr>
              <w:t>Operational Account – conduct biannual “audits” that lead to recommendations tha</w:t>
            </w:r>
            <w:r w:rsidR="00721EA2">
              <w:rPr>
                <w:rFonts w:eastAsia="Times New Roman"/>
                <w:iCs/>
                <w:sz w:val="16"/>
                <w:szCs w:val="16"/>
              </w:rPr>
              <w:t>t are implemented appropriately</w:t>
            </w:r>
          </w:p>
        </w:tc>
        <w:tc>
          <w:tcPr>
            <w:tcW w:w="1640" w:type="dxa"/>
            <w:tcBorders>
              <w:top w:val="single" w:sz="4" w:space="0" w:color="auto"/>
            </w:tcBorders>
            <w:shd w:val="clear" w:color="000000" w:fill="92D050"/>
            <w:vAlign w:val="center"/>
            <w:hideMark/>
          </w:tcPr>
          <w:p w14:paraId="2A62AA34" w14:textId="77777777" w:rsidR="00CD4F30" w:rsidRPr="00CD4F30" w:rsidRDefault="00CD4F30" w:rsidP="00CD4F30">
            <w:pPr>
              <w:suppressAutoHyphens w:val="0"/>
              <w:spacing w:before="0" w:after="0" w:line="240" w:lineRule="auto"/>
              <w:jc w:val="center"/>
              <w:rPr>
                <w:rFonts w:ascii="Calibri Light" w:eastAsia="Times New Roman" w:hAnsi="Calibri Light" w:cs="Times New Roman"/>
                <w:color w:val="FFFFFF"/>
                <w:sz w:val="17"/>
                <w:szCs w:val="17"/>
                <w:lang w:val="en-AU" w:eastAsia="en-AU"/>
              </w:rPr>
            </w:pPr>
            <w:r w:rsidRPr="00CD4F30">
              <w:rPr>
                <w:rFonts w:ascii="Calibri Light" w:eastAsia="Times New Roman" w:hAnsi="Calibri Light" w:cs="Times New Roman"/>
                <w:color w:val="FFFFFF"/>
                <w:sz w:val="17"/>
                <w:szCs w:val="17"/>
                <w:lang w:eastAsia="en-AU"/>
              </w:rPr>
              <w:t>Achieved</w:t>
            </w:r>
          </w:p>
        </w:tc>
        <w:tc>
          <w:tcPr>
            <w:tcW w:w="5600" w:type="dxa"/>
            <w:tcBorders>
              <w:top w:val="single" w:sz="4" w:space="0" w:color="auto"/>
            </w:tcBorders>
            <w:shd w:val="clear" w:color="auto" w:fill="auto"/>
            <w:hideMark/>
          </w:tcPr>
          <w:p w14:paraId="2628477D" w14:textId="77777777" w:rsidR="00D25151" w:rsidRPr="00721EA2" w:rsidRDefault="00D06002" w:rsidP="0019600D">
            <w:pPr>
              <w:suppressAutoHyphens w:val="0"/>
              <w:spacing w:before="0" w:after="0" w:line="240" w:lineRule="auto"/>
              <w:rPr>
                <w:rFonts w:ascii="Calibri Light" w:eastAsia="Times New Roman" w:hAnsi="Calibri Light" w:cs="Times New Roman"/>
                <w:iCs/>
                <w:color w:val="495965"/>
                <w:sz w:val="17"/>
                <w:szCs w:val="17"/>
                <w:lang w:eastAsia="en-AU"/>
              </w:rPr>
            </w:pPr>
            <w:r>
              <w:rPr>
                <w:rFonts w:ascii="Calibri Light" w:eastAsia="Times New Roman" w:hAnsi="Calibri Light" w:cs="Times New Roman"/>
                <w:iCs/>
                <w:color w:val="495965"/>
                <w:sz w:val="17"/>
                <w:szCs w:val="17"/>
                <w:lang w:eastAsia="en-AU"/>
              </w:rPr>
              <w:t>Australia</w:t>
            </w:r>
            <w:r w:rsidR="0019600D" w:rsidRPr="00CD4F30">
              <w:rPr>
                <w:rFonts w:ascii="Calibri Light" w:eastAsia="Times New Roman" w:hAnsi="Calibri Light" w:cs="Times New Roman"/>
                <w:iCs/>
                <w:color w:val="495965"/>
                <w:sz w:val="17"/>
                <w:szCs w:val="17"/>
                <w:lang w:eastAsia="en-AU"/>
              </w:rPr>
              <w:t xml:space="preserve"> continues to undertake regular independent reviews of transactions made through the operational account.</w:t>
            </w:r>
            <w:r w:rsidR="0019600D">
              <w:rPr>
                <w:rFonts w:ascii="Calibri Light" w:eastAsia="Times New Roman" w:hAnsi="Calibri Light" w:cs="Times New Roman"/>
                <w:iCs/>
                <w:color w:val="495965"/>
                <w:sz w:val="17"/>
                <w:szCs w:val="17"/>
                <w:lang w:eastAsia="en-AU"/>
              </w:rPr>
              <w:t xml:space="preserve"> </w:t>
            </w:r>
          </w:p>
        </w:tc>
      </w:tr>
      <w:tr w:rsidR="00CD4F30" w:rsidRPr="00CD4F30" w14:paraId="1F97002D" w14:textId="77777777" w:rsidTr="00042563">
        <w:trPr>
          <w:trHeight w:val="567"/>
          <w:jc w:val="center"/>
        </w:trPr>
        <w:tc>
          <w:tcPr>
            <w:tcW w:w="2000" w:type="dxa"/>
            <w:shd w:val="clear" w:color="auto" w:fill="auto"/>
            <w:vAlign w:val="center"/>
            <w:hideMark/>
          </w:tcPr>
          <w:p w14:paraId="4B37C84B"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p>
        </w:tc>
        <w:tc>
          <w:tcPr>
            <w:tcW w:w="3680" w:type="dxa"/>
            <w:shd w:val="clear" w:color="auto" w:fill="auto"/>
            <w:hideMark/>
          </w:tcPr>
          <w:p w14:paraId="360BB0B3" w14:textId="77777777" w:rsidR="00CD4F30" w:rsidRPr="00CD4F30" w:rsidRDefault="00CD4F30" w:rsidP="00496179">
            <w:pPr>
              <w:pStyle w:val="NormalIndented"/>
              <w:ind w:left="0"/>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 xml:space="preserve">• </w:t>
            </w:r>
            <w:r w:rsidR="004D16CA" w:rsidRPr="00CF6DA0">
              <w:rPr>
                <w:rFonts w:eastAsia="Times New Roman"/>
                <w:iCs/>
                <w:sz w:val="16"/>
                <w:szCs w:val="16"/>
              </w:rPr>
              <w:t xml:space="preserve">Procurement – </w:t>
            </w:r>
            <w:r w:rsidR="00496179">
              <w:rPr>
                <w:rFonts w:eastAsia="Times New Roman"/>
                <w:iCs/>
                <w:sz w:val="16"/>
                <w:szCs w:val="16"/>
              </w:rPr>
              <w:t xml:space="preserve"> T</w:t>
            </w:r>
            <w:r w:rsidR="004D16CA" w:rsidRPr="00CF6DA0">
              <w:rPr>
                <w:rFonts w:eastAsia="Times New Roman"/>
                <w:iCs/>
                <w:sz w:val="16"/>
                <w:szCs w:val="16"/>
              </w:rPr>
              <w:t>ender commenced</w:t>
            </w:r>
            <w:r w:rsidR="00496179">
              <w:rPr>
                <w:rFonts w:eastAsia="Times New Roman"/>
                <w:iCs/>
                <w:sz w:val="16"/>
                <w:szCs w:val="16"/>
              </w:rPr>
              <w:t xml:space="preserve"> for an independent procurement agent (IPA)</w:t>
            </w:r>
            <w:r w:rsidR="004D16CA" w:rsidRPr="00CF6DA0">
              <w:rPr>
                <w:rFonts w:eastAsia="Times New Roman"/>
                <w:iCs/>
                <w:sz w:val="16"/>
                <w:szCs w:val="16"/>
              </w:rPr>
              <w:t xml:space="preserve">, </w:t>
            </w:r>
            <w:r w:rsidR="00496179">
              <w:rPr>
                <w:rFonts w:eastAsia="Times New Roman"/>
                <w:iCs/>
                <w:sz w:val="16"/>
                <w:szCs w:val="16"/>
              </w:rPr>
              <w:t xml:space="preserve">IPA </w:t>
            </w:r>
            <w:r w:rsidR="004D16CA" w:rsidRPr="00CF6DA0">
              <w:rPr>
                <w:rFonts w:eastAsia="Times New Roman"/>
                <w:iCs/>
                <w:sz w:val="16"/>
                <w:szCs w:val="16"/>
              </w:rPr>
              <w:t>selected and operational; finalised procurement guidelines</w:t>
            </w:r>
          </w:p>
        </w:tc>
        <w:tc>
          <w:tcPr>
            <w:tcW w:w="1640" w:type="dxa"/>
            <w:shd w:val="clear" w:color="auto" w:fill="FF0000"/>
            <w:vAlign w:val="center"/>
            <w:hideMark/>
          </w:tcPr>
          <w:p w14:paraId="7986997E" w14:textId="77777777" w:rsidR="00CD4F30" w:rsidRPr="00CD4F30" w:rsidRDefault="00D25151" w:rsidP="00CD4F30">
            <w:pPr>
              <w:suppressAutoHyphens w:val="0"/>
              <w:spacing w:before="0" w:after="0" w:line="240" w:lineRule="auto"/>
              <w:jc w:val="center"/>
              <w:rPr>
                <w:rFonts w:ascii="Calibri Light" w:eastAsia="Times New Roman" w:hAnsi="Calibri Light" w:cs="Times New Roman"/>
                <w:color w:val="FFFFFF"/>
                <w:sz w:val="17"/>
                <w:szCs w:val="17"/>
                <w:lang w:val="en-AU" w:eastAsia="en-AU"/>
              </w:rPr>
            </w:pPr>
            <w:r>
              <w:rPr>
                <w:rFonts w:ascii="Calibri Light" w:eastAsia="Times New Roman" w:hAnsi="Calibri Light" w:cs="Times New Roman"/>
                <w:color w:val="FFFFFF"/>
                <w:sz w:val="17"/>
                <w:szCs w:val="17"/>
                <w:lang w:eastAsia="en-AU"/>
              </w:rPr>
              <w:t xml:space="preserve">Not </w:t>
            </w:r>
            <w:r w:rsidR="00CD4F30" w:rsidRPr="00CD4F30">
              <w:rPr>
                <w:rFonts w:ascii="Calibri Light" w:eastAsia="Times New Roman" w:hAnsi="Calibri Light" w:cs="Times New Roman"/>
                <w:color w:val="FFFFFF"/>
                <w:sz w:val="17"/>
                <w:szCs w:val="17"/>
                <w:lang w:eastAsia="en-AU"/>
              </w:rPr>
              <w:t>Achieved</w:t>
            </w:r>
          </w:p>
        </w:tc>
        <w:tc>
          <w:tcPr>
            <w:tcW w:w="5600" w:type="dxa"/>
            <w:shd w:val="clear" w:color="auto" w:fill="auto"/>
            <w:vAlign w:val="center"/>
            <w:hideMark/>
          </w:tcPr>
          <w:p w14:paraId="3BBB6824" w14:textId="77777777" w:rsidR="008A48E5" w:rsidRPr="00CD4F30" w:rsidRDefault="00D25151" w:rsidP="008B4B5B">
            <w:pPr>
              <w:suppressAutoHyphens w:val="0"/>
              <w:spacing w:before="0" w:after="0" w:line="240" w:lineRule="auto"/>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 xml:space="preserve">This </w:t>
            </w:r>
            <w:r w:rsidR="0018628B">
              <w:rPr>
                <w:rFonts w:ascii="Calibri Light" w:eastAsia="Times New Roman" w:hAnsi="Calibri Light" w:cs="Times New Roman"/>
                <w:color w:val="495965"/>
                <w:sz w:val="17"/>
                <w:szCs w:val="17"/>
                <w:lang w:val="en-AU" w:eastAsia="en-AU"/>
              </w:rPr>
              <w:t>did not proceed</w:t>
            </w:r>
            <w:r w:rsidR="00440982">
              <w:rPr>
                <w:rFonts w:ascii="Calibri Light" w:eastAsia="Times New Roman" w:hAnsi="Calibri Light" w:cs="Times New Roman"/>
                <w:color w:val="495965"/>
                <w:sz w:val="17"/>
                <w:szCs w:val="17"/>
                <w:lang w:val="en-AU" w:eastAsia="en-AU"/>
              </w:rPr>
              <w:t xml:space="preserve"> </w:t>
            </w:r>
            <w:r w:rsidR="008B4B5B">
              <w:rPr>
                <w:rFonts w:ascii="Calibri Light" w:eastAsia="Times New Roman" w:hAnsi="Calibri Light" w:cs="Times New Roman"/>
                <w:color w:val="495965"/>
                <w:sz w:val="17"/>
                <w:szCs w:val="17"/>
                <w:lang w:val="en-AU" w:eastAsia="en-AU"/>
              </w:rPr>
              <w:t xml:space="preserve">owing </w:t>
            </w:r>
            <w:r w:rsidR="00440982">
              <w:rPr>
                <w:rFonts w:ascii="Calibri Light" w:eastAsia="Times New Roman" w:hAnsi="Calibri Light" w:cs="Times New Roman"/>
                <w:color w:val="495965"/>
                <w:sz w:val="17"/>
                <w:szCs w:val="17"/>
                <w:lang w:val="en-AU" w:eastAsia="en-AU"/>
              </w:rPr>
              <w:t xml:space="preserve">to </w:t>
            </w:r>
            <w:r w:rsidR="00496179">
              <w:rPr>
                <w:rFonts w:ascii="Calibri Light" w:eastAsia="Times New Roman" w:hAnsi="Calibri Light" w:cs="Times New Roman"/>
                <w:color w:val="495965"/>
                <w:sz w:val="17"/>
                <w:szCs w:val="17"/>
                <w:lang w:val="en-AU" w:eastAsia="en-AU"/>
              </w:rPr>
              <w:t>the appointment by Nauru of</w:t>
            </w:r>
            <w:r w:rsidR="00440982">
              <w:rPr>
                <w:rFonts w:ascii="Calibri Light" w:eastAsia="Times New Roman" w:hAnsi="Calibri Light" w:cs="Times New Roman"/>
                <w:color w:val="495965"/>
                <w:sz w:val="17"/>
                <w:szCs w:val="17"/>
                <w:lang w:val="en-AU" w:eastAsia="en-AU"/>
              </w:rPr>
              <w:t xml:space="preserve"> an interim procurement agent</w:t>
            </w:r>
            <w:r>
              <w:rPr>
                <w:rFonts w:ascii="Calibri Light" w:eastAsia="Times New Roman" w:hAnsi="Calibri Light" w:cs="Times New Roman"/>
                <w:color w:val="495965"/>
                <w:sz w:val="17"/>
                <w:szCs w:val="17"/>
                <w:lang w:val="en-AU" w:eastAsia="en-AU"/>
              </w:rPr>
              <w:t xml:space="preserve">. ADB will be undertaking a review of GoN’s procurement mechanisms in 2018 and </w:t>
            </w:r>
            <w:r w:rsidR="008B4B5B">
              <w:rPr>
                <w:rFonts w:ascii="Calibri Light" w:eastAsia="Times New Roman" w:hAnsi="Calibri Light" w:cs="Times New Roman"/>
                <w:color w:val="495965"/>
                <w:sz w:val="17"/>
                <w:szCs w:val="17"/>
                <w:lang w:val="en-AU" w:eastAsia="en-AU"/>
              </w:rPr>
              <w:t xml:space="preserve">will </w:t>
            </w:r>
            <w:r>
              <w:rPr>
                <w:rFonts w:ascii="Calibri Light" w:eastAsia="Times New Roman" w:hAnsi="Calibri Light" w:cs="Times New Roman"/>
                <w:color w:val="495965"/>
                <w:sz w:val="17"/>
                <w:szCs w:val="17"/>
                <w:lang w:val="en-AU" w:eastAsia="en-AU"/>
              </w:rPr>
              <w:t xml:space="preserve">develop a report based on the findings and recommendations </w:t>
            </w:r>
            <w:r w:rsidR="008B4B5B">
              <w:rPr>
                <w:rFonts w:ascii="Calibri Light" w:eastAsia="Times New Roman" w:hAnsi="Calibri Light" w:cs="Times New Roman"/>
                <w:color w:val="495965"/>
                <w:sz w:val="17"/>
                <w:szCs w:val="17"/>
                <w:lang w:val="en-AU" w:eastAsia="en-AU"/>
              </w:rPr>
              <w:t>on</w:t>
            </w:r>
            <w:r>
              <w:rPr>
                <w:rFonts w:ascii="Calibri Light" w:eastAsia="Times New Roman" w:hAnsi="Calibri Light" w:cs="Times New Roman"/>
                <w:color w:val="495965"/>
                <w:sz w:val="17"/>
                <w:szCs w:val="17"/>
                <w:lang w:val="en-AU" w:eastAsia="en-AU"/>
              </w:rPr>
              <w:t xml:space="preserve"> ways to make procurement a transparent and efficient process. </w:t>
            </w:r>
          </w:p>
        </w:tc>
      </w:tr>
      <w:tr w:rsidR="00CD4F30" w:rsidRPr="00CD4F30" w14:paraId="5E4ED4E0" w14:textId="77777777" w:rsidTr="00042563">
        <w:trPr>
          <w:trHeight w:val="567"/>
          <w:jc w:val="center"/>
        </w:trPr>
        <w:tc>
          <w:tcPr>
            <w:tcW w:w="2000" w:type="dxa"/>
            <w:tcBorders>
              <w:bottom w:val="single" w:sz="4" w:space="0" w:color="auto"/>
            </w:tcBorders>
            <w:shd w:val="clear" w:color="auto" w:fill="auto"/>
            <w:vAlign w:val="center"/>
            <w:hideMark/>
          </w:tcPr>
          <w:p w14:paraId="7EEE82AE"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p>
        </w:tc>
        <w:tc>
          <w:tcPr>
            <w:tcW w:w="3680" w:type="dxa"/>
            <w:tcBorders>
              <w:bottom w:val="single" w:sz="4" w:space="0" w:color="auto"/>
            </w:tcBorders>
            <w:shd w:val="clear" w:color="auto" w:fill="auto"/>
            <w:vAlign w:val="center"/>
            <w:hideMark/>
          </w:tcPr>
          <w:p w14:paraId="1F18403A"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 xml:space="preserve">• </w:t>
            </w:r>
            <w:r w:rsidR="00224FB2" w:rsidRPr="00CF6DA0">
              <w:rPr>
                <w:rFonts w:eastAsia="Times New Roman"/>
                <w:iCs/>
                <w:sz w:val="16"/>
                <w:szCs w:val="16"/>
              </w:rPr>
              <w:t>Provision of technical advice to support public financial management that meets partner government expectations</w:t>
            </w:r>
          </w:p>
        </w:tc>
        <w:tc>
          <w:tcPr>
            <w:tcW w:w="1640" w:type="dxa"/>
            <w:tcBorders>
              <w:bottom w:val="single" w:sz="4" w:space="0" w:color="auto"/>
            </w:tcBorders>
            <w:shd w:val="clear" w:color="000000" w:fill="92D050"/>
            <w:vAlign w:val="center"/>
            <w:hideMark/>
          </w:tcPr>
          <w:p w14:paraId="0064C405" w14:textId="77777777" w:rsidR="00CD4F30" w:rsidRPr="00CD4F30" w:rsidRDefault="00CD4F30" w:rsidP="00CD4F30">
            <w:pPr>
              <w:suppressAutoHyphens w:val="0"/>
              <w:spacing w:before="0" w:after="0" w:line="240" w:lineRule="auto"/>
              <w:jc w:val="center"/>
              <w:rPr>
                <w:rFonts w:ascii="Calibri Light" w:eastAsia="Times New Roman" w:hAnsi="Calibri Light" w:cs="Times New Roman"/>
                <w:color w:val="FFFFFF"/>
                <w:sz w:val="17"/>
                <w:szCs w:val="17"/>
                <w:lang w:val="en-AU" w:eastAsia="en-AU"/>
              </w:rPr>
            </w:pPr>
            <w:r w:rsidRPr="00CD4F30">
              <w:rPr>
                <w:rFonts w:ascii="Calibri Light" w:eastAsia="Times New Roman" w:hAnsi="Calibri Light" w:cs="Times New Roman"/>
                <w:color w:val="FFFFFF"/>
                <w:sz w:val="17"/>
                <w:szCs w:val="17"/>
                <w:lang w:eastAsia="en-AU"/>
              </w:rPr>
              <w:t>Achieved</w:t>
            </w:r>
          </w:p>
        </w:tc>
        <w:tc>
          <w:tcPr>
            <w:tcW w:w="5600" w:type="dxa"/>
            <w:tcBorders>
              <w:bottom w:val="single" w:sz="4" w:space="0" w:color="auto"/>
            </w:tcBorders>
            <w:shd w:val="clear" w:color="auto" w:fill="auto"/>
            <w:vAlign w:val="center"/>
            <w:hideMark/>
          </w:tcPr>
          <w:p w14:paraId="34C0AA37" w14:textId="77777777" w:rsidR="00CD4F30" w:rsidRPr="00CD4F30" w:rsidRDefault="008C492B" w:rsidP="00454DB5">
            <w:pPr>
              <w:suppressAutoHyphens w:val="0"/>
              <w:spacing w:before="6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PACTAM</w:t>
            </w:r>
            <w:r>
              <w:rPr>
                <w:rFonts w:ascii="Calibri Light" w:eastAsia="Times New Roman" w:hAnsi="Calibri Light" w:cs="Times New Roman"/>
                <w:iCs/>
                <w:color w:val="495965"/>
                <w:sz w:val="17"/>
                <w:szCs w:val="17"/>
                <w:lang w:eastAsia="en-AU"/>
              </w:rPr>
              <w:t>2</w:t>
            </w:r>
            <w:r w:rsidRPr="00CD4F30">
              <w:rPr>
                <w:rFonts w:ascii="Calibri Light" w:eastAsia="Times New Roman" w:hAnsi="Calibri Light" w:cs="Times New Roman"/>
                <w:iCs/>
                <w:color w:val="495965"/>
                <w:sz w:val="17"/>
                <w:szCs w:val="17"/>
                <w:lang w:eastAsia="en-AU"/>
              </w:rPr>
              <w:t xml:space="preserve"> advisers are in place and delivering on agreed </w:t>
            </w:r>
            <w:r w:rsidR="0087365D" w:rsidRPr="00CD4F30">
              <w:rPr>
                <w:rFonts w:ascii="Calibri Light" w:eastAsia="Times New Roman" w:hAnsi="Calibri Light" w:cs="Times New Roman"/>
                <w:iCs/>
                <w:color w:val="495965"/>
                <w:sz w:val="17"/>
                <w:szCs w:val="17"/>
                <w:lang w:eastAsia="en-AU"/>
              </w:rPr>
              <w:t>work plans</w:t>
            </w:r>
            <w:r w:rsidRPr="00CD4F30">
              <w:rPr>
                <w:rFonts w:ascii="Calibri Light" w:eastAsia="Times New Roman" w:hAnsi="Calibri Light" w:cs="Times New Roman"/>
                <w:iCs/>
                <w:color w:val="495965"/>
                <w:sz w:val="17"/>
                <w:szCs w:val="17"/>
                <w:lang w:eastAsia="en-AU"/>
              </w:rPr>
              <w:t>.  Performance reviews undertaken by Scope Global are highly positive</w:t>
            </w:r>
            <w:r>
              <w:rPr>
                <w:rFonts w:ascii="Calibri Light" w:eastAsia="Times New Roman" w:hAnsi="Calibri Light" w:cs="Times New Roman"/>
                <w:iCs/>
                <w:color w:val="495965"/>
                <w:sz w:val="17"/>
                <w:szCs w:val="17"/>
                <w:lang w:eastAsia="en-AU"/>
              </w:rPr>
              <w:t xml:space="preserve"> and feedback from </w:t>
            </w:r>
            <w:r w:rsidR="00496179">
              <w:rPr>
                <w:rFonts w:ascii="Calibri Light" w:eastAsia="Times New Roman" w:hAnsi="Calibri Light" w:cs="Times New Roman"/>
                <w:iCs/>
                <w:color w:val="495965"/>
                <w:sz w:val="17"/>
                <w:szCs w:val="17"/>
                <w:lang w:eastAsia="en-AU"/>
              </w:rPr>
              <w:t xml:space="preserve">government </w:t>
            </w:r>
            <w:r>
              <w:rPr>
                <w:rFonts w:ascii="Calibri Light" w:eastAsia="Times New Roman" w:hAnsi="Calibri Light" w:cs="Times New Roman"/>
                <w:iCs/>
                <w:color w:val="495965"/>
                <w:sz w:val="17"/>
                <w:szCs w:val="17"/>
                <w:lang w:eastAsia="en-AU"/>
              </w:rPr>
              <w:t xml:space="preserve">counterparts is largely positive. </w:t>
            </w:r>
          </w:p>
        </w:tc>
      </w:tr>
      <w:tr w:rsidR="00CD4F30" w:rsidRPr="00CD4F30" w14:paraId="41521B72" w14:textId="77777777" w:rsidTr="00042563">
        <w:trPr>
          <w:trHeight w:val="567"/>
          <w:jc w:val="center"/>
        </w:trPr>
        <w:tc>
          <w:tcPr>
            <w:tcW w:w="2000" w:type="dxa"/>
            <w:tcBorders>
              <w:top w:val="single" w:sz="4" w:space="0" w:color="auto"/>
            </w:tcBorders>
            <w:shd w:val="clear" w:color="auto" w:fill="auto"/>
            <w:vAlign w:val="center"/>
            <w:hideMark/>
          </w:tcPr>
          <w:p w14:paraId="114975E3"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Enhanced economic infrastructure</w:t>
            </w:r>
          </w:p>
        </w:tc>
        <w:tc>
          <w:tcPr>
            <w:tcW w:w="3680" w:type="dxa"/>
            <w:tcBorders>
              <w:top w:val="single" w:sz="4" w:space="0" w:color="auto"/>
            </w:tcBorders>
            <w:shd w:val="clear" w:color="auto" w:fill="auto"/>
            <w:vAlign w:val="center"/>
            <w:hideMark/>
          </w:tcPr>
          <w:p w14:paraId="4A3C3724" w14:textId="77777777" w:rsidR="00CD4F30" w:rsidRPr="00CD4F30" w:rsidRDefault="00CD4F30" w:rsidP="00042563">
            <w:pPr>
              <w:pStyle w:val="NormalIndented"/>
              <w:ind w:left="0"/>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 xml:space="preserve">• </w:t>
            </w:r>
            <w:r w:rsidR="00FD30B7" w:rsidRPr="00CF6DA0">
              <w:rPr>
                <w:rFonts w:eastAsia="Times New Roman"/>
                <w:iCs/>
                <w:sz w:val="16"/>
                <w:szCs w:val="16"/>
              </w:rPr>
              <w:t xml:space="preserve">Electricity supply – delivery, installation and effective operation of </w:t>
            </w:r>
            <w:r w:rsidR="00FD30B7">
              <w:rPr>
                <w:rFonts w:eastAsia="Times New Roman"/>
                <w:iCs/>
                <w:sz w:val="16"/>
                <w:szCs w:val="16"/>
              </w:rPr>
              <w:t xml:space="preserve">two </w:t>
            </w:r>
            <w:r w:rsidR="00FD30B7" w:rsidRPr="00CF6DA0">
              <w:rPr>
                <w:rFonts w:eastAsia="Times New Roman"/>
                <w:iCs/>
                <w:sz w:val="16"/>
                <w:szCs w:val="16"/>
              </w:rPr>
              <w:t>generators by NUC</w:t>
            </w:r>
          </w:p>
        </w:tc>
        <w:tc>
          <w:tcPr>
            <w:tcW w:w="1640" w:type="dxa"/>
            <w:tcBorders>
              <w:top w:val="single" w:sz="4" w:space="0" w:color="auto"/>
            </w:tcBorders>
            <w:shd w:val="clear" w:color="000000" w:fill="92D050"/>
            <w:vAlign w:val="center"/>
            <w:hideMark/>
          </w:tcPr>
          <w:p w14:paraId="031C4A55" w14:textId="77777777" w:rsidR="00CD4F30" w:rsidRPr="00CD4F30" w:rsidRDefault="00CD4F30" w:rsidP="00CD4F30">
            <w:pPr>
              <w:suppressAutoHyphens w:val="0"/>
              <w:spacing w:before="0" w:after="0" w:line="240" w:lineRule="auto"/>
              <w:jc w:val="center"/>
              <w:rPr>
                <w:rFonts w:ascii="Calibri Light" w:eastAsia="Times New Roman" w:hAnsi="Calibri Light" w:cs="Times New Roman"/>
                <w:color w:val="FFFFFF"/>
                <w:sz w:val="17"/>
                <w:szCs w:val="17"/>
                <w:lang w:val="en-AU" w:eastAsia="en-AU"/>
              </w:rPr>
            </w:pPr>
            <w:r w:rsidRPr="00CD4F30">
              <w:rPr>
                <w:rFonts w:ascii="Calibri Light" w:eastAsia="Times New Roman" w:hAnsi="Calibri Light" w:cs="Times New Roman"/>
                <w:color w:val="FFFFFF"/>
                <w:sz w:val="17"/>
                <w:szCs w:val="17"/>
                <w:lang w:eastAsia="en-AU"/>
              </w:rPr>
              <w:t>Achieved</w:t>
            </w:r>
          </w:p>
        </w:tc>
        <w:tc>
          <w:tcPr>
            <w:tcW w:w="5600" w:type="dxa"/>
            <w:tcBorders>
              <w:top w:val="single" w:sz="4" w:space="0" w:color="auto"/>
            </w:tcBorders>
            <w:shd w:val="clear" w:color="auto" w:fill="auto"/>
            <w:vAlign w:val="center"/>
            <w:hideMark/>
          </w:tcPr>
          <w:p w14:paraId="6F5C41B8" w14:textId="77777777" w:rsidR="00CD4F30" w:rsidRPr="00CD4F30" w:rsidRDefault="00621A8F" w:rsidP="00496179">
            <w:pPr>
              <w:suppressAutoHyphens w:val="0"/>
              <w:spacing w:before="0" w:after="0" w:line="240" w:lineRule="auto"/>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Two 2.8MW</w:t>
            </w:r>
            <w:r w:rsidR="00C172DC" w:rsidRPr="00CD4F30">
              <w:rPr>
                <w:rFonts w:ascii="Calibri Light" w:eastAsia="Times New Roman" w:hAnsi="Calibri Light" w:cs="Times New Roman"/>
                <w:iCs/>
                <w:color w:val="495965"/>
                <w:sz w:val="17"/>
                <w:szCs w:val="17"/>
                <w:lang w:eastAsia="en-AU"/>
              </w:rPr>
              <w:t xml:space="preserve"> generators arrived on Nauru in </w:t>
            </w:r>
            <w:r w:rsidR="002414AE">
              <w:rPr>
                <w:rFonts w:ascii="Calibri Light" w:eastAsia="Times New Roman" w:hAnsi="Calibri Light" w:cs="Times New Roman"/>
                <w:iCs/>
                <w:color w:val="495965"/>
                <w:sz w:val="17"/>
                <w:szCs w:val="17"/>
                <w:lang w:eastAsia="en-AU"/>
              </w:rPr>
              <w:t>mid-</w:t>
            </w:r>
            <w:r w:rsidR="00C172DC" w:rsidRPr="00CD4F30">
              <w:rPr>
                <w:rFonts w:ascii="Calibri Light" w:eastAsia="Times New Roman" w:hAnsi="Calibri Light" w:cs="Times New Roman"/>
                <w:iCs/>
                <w:color w:val="495965"/>
                <w:sz w:val="17"/>
                <w:szCs w:val="17"/>
                <w:lang w:eastAsia="en-AU"/>
              </w:rPr>
              <w:t>2017</w:t>
            </w:r>
            <w:r w:rsidR="00496179">
              <w:rPr>
                <w:rFonts w:ascii="Calibri Light" w:eastAsia="Times New Roman" w:hAnsi="Calibri Light" w:cs="Times New Roman"/>
                <w:iCs/>
                <w:color w:val="495965"/>
                <w:sz w:val="17"/>
                <w:szCs w:val="17"/>
                <w:lang w:eastAsia="en-AU"/>
              </w:rPr>
              <w:t>,</w:t>
            </w:r>
            <w:r w:rsidR="00C172DC" w:rsidRPr="00CD4F30">
              <w:rPr>
                <w:rFonts w:ascii="Calibri Light" w:eastAsia="Times New Roman" w:hAnsi="Calibri Light" w:cs="Times New Roman"/>
                <w:iCs/>
                <w:color w:val="495965"/>
                <w:sz w:val="17"/>
                <w:szCs w:val="17"/>
                <w:lang w:eastAsia="en-AU"/>
              </w:rPr>
              <w:t xml:space="preserve"> </w:t>
            </w:r>
            <w:r w:rsidR="002414AE">
              <w:rPr>
                <w:rFonts w:ascii="Calibri Light" w:eastAsia="Times New Roman" w:hAnsi="Calibri Light" w:cs="Times New Roman"/>
                <w:iCs/>
                <w:color w:val="495965"/>
                <w:sz w:val="17"/>
                <w:szCs w:val="17"/>
                <w:lang w:eastAsia="en-AU"/>
              </w:rPr>
              <w:t>were installed in August 2017</w:t>
            </w:r>
            <w:r w:rsidR="0018628B">
              <w:rPr>
                <w:rFonts w:ascii="Calibri Light" w:eastAsia="Times New Roman" w:hAnsi="Calibri Light" w:cs="Times New Roman"/>
                <w:iCs/>
                <w:color w:val="495965"/>
                <w:sz w:val="17"/>
                <w:szCs w:val="17"/>
                <w:lang w:eastAsia="en-AU"/>
              </w:rPr>
              <w:t xml:space="preserve"> and were commissioned in January 2018</w:t>
            </w:r>
            <w:r w:rsidR="00C172DC" w:rsidRPr="00CD4F30">
              <w:rPr>
                <w:rFonts w:ascii="Calibri Light" w:eastAsia="Times New Roman" w:hAnsi="Calibri Light" w:cs="Times New Roman"/>
                <w:iCs/>
                <w:color w:val="495965"/>
                <w:sz w:val="17"/>
                <w:szCs w:val="17"/>
                <w:lang w:eastAsia="en-AU"/>
              </w:rPr>
              <w:t>.</w:t>
            </w:r>
          </w:p>
        </w:tc>
      </w:tr>
      <w:tr w:rsidR="00C172DC" w:rsidRPr="00CD4F30" w14:paraId="198F5E5E" w14:textId="77777777" w:rsidTr="0018656B">
        <w:trPr>
          <w:trHeight w:val="567"/>
          <w:jc w:val="center"/>
        </w:trPr>
        <w:tc>
          <w:tcPr>
            <w:tcW w:w="2000" w:type="dxa"/>
            <w:shd w:val="clear" w:color="auto" w:fill="auto"/>
            <w:vAlign w:val="center"/>
          </w:tcPr>
          <w:p w14:paraId="05F3A8AD" w14:textId="77777777" w:rsidR="00C172DC" w:rsidRPr="00CD4F30" w:rsidRDefault="00C172DC" w:rsidP="00CD4F30">
            <w:pPr>
              <w:suppressAutoHyphens w:val="0"/>
              <w:spacing w:before="0" w:after="0" w:line="240" w:lineRule="auto"/>
              <w:rPr>
                <w:rFonts w:ascii="Calibri Light" w:eastAsia="Times New Roman" w:hAnsi="Calibri Light" w:cs="Times New Roman"/>
                <w:iCs/>
                <w:color w:val="495965"/>
                <w:sz w:val="17"/>
                <w:szCs w:val="17"/>
                <w:lang w:eastAsia="en-AU"/>
              </w:rPr>
            </w:pPr>
          </w:p>
        </w:tc>
        <w:tc>
          <w:tcPr>
            <w:tcW w:w="3680" w:type="dxa"/>
            <w:shd w:val="clear" w:color="auto" w:fill="auto"/>
            <w:vAlign w:val="center"/>
          </w:tcPr>
          <w:p w14:paraId="6F9ABA87" w14:textId="77777777" w:rsidR="00C172DC" w:rsidRPr="00CD4F30" w:rsidRDefault="0065263F" w:rsidP="00042563">
            <w:pPr>
              <w:pStyle w:val="NormalIndented"/>
              <w:ind w:left="0"/>
              <w:rPr>
                <w:rFonts w:ascii="Calibri Light" w:eastAsia="Times New Roman" w:hAnsi="Calibri Light" w:cs="Times New Roman"/>
                <w:iCs/>
                <w:color w:val="495965"/>
                <w:sz w:val="17"/>
                <w:szCs w:val="17"/>
                <w:lang w:eastAsia="en-AU"/>
              </w:rPr>
            </w:pPr>
            <w:r w:rsidRPr="00CD4F30">
              <w:rPr>
                <w:rFonts w:ascii="Calibri Light" w:eastAsia="Times New Roman" w:hAnsi="Calibri Light" w:cs="Times New Roman"/>
                <w:iCs/>
                <w:color w:val="495965"/>
                <w:sz w:val="17"/>
                <w:szCs w:val="17"/>
                <w:lang w:eastAsia="en-AU"/>
              </w:rPr>
              <w:t xml:space="preserve">• </w:t>
            </w:r>
            <w:r w:rsidRPr="00CF6DA0">
              <w:rPr>
                <w:rFonts w:eastAsia="Times New Roman"/>
                <w:iCs/>
                <w:sz w:val="16"/>
                <w:szCs w:val="16"/>
              </w:rPr>
              <w:t xml:space="preserve">Port Redevelopment - Nauru Port Reform and Redevelopment Project works commence, with fit for purpose design </w:t>
            </w:r>
          </w:p>
        </w:tc>
        <w:tc>
          <w:tcPr>
            <w:tcW w:w="1640" w:type="dxa"/>
            <w:shd w:val="clear" w:color="auto" w:fill="CC9900"/>
            <w:vAlign w:val="center"/>
          </w:tcPr>
          <w:p w14:paraId="1DF2CA67" w14:textId="77777777" w:rsidR="00C172DC" w:rsidRPr="00CD4F30" w:rsidRDefault="00496179" w:rsidP="00CD4F30">
            <w:pPr>
              <w:suppressAutoHyphens w:val="0"/>
              <w:spacing w:before="0" w:after="0" w:line="240" w:lineRule="auto"/>
              <w:jc w:val="center"/>
              <w:rPr>
                <w:rFonts w:ascii="Calibri Light" w:eastAsia="Times New Roman" w:hAnsi="Calibri Light" w:cs="Times New Roman"/>
                <w:color w:val="FFFFFF"/>
                <w:sz w:val="17"/>
                <w:szCs w:val="17"/>
                <w:lang w:eastAsia="en-AU"/>
              </w:rPr>
            </w:pPr>
            <w:r>
              <w:rPr>
                <w:rFonts w:ascii="Calibri Light" w:eastAsia="Times New Roman" w:hAnsi="Calibri Light" w:cs="Times New Roman"/>
                <w:color w:val="FFFFFF"/>
                <w:sz w:val="17"/>
                <w:szCs w:val="17"/>
                <w:lang w:eastAsia="en-AU"/>
              </w:rPr>
              <w:t xml:space="preserve">Partly </w:t>
            </w:r>
            <w:r w:rsidR="0025738E">
              <w:rPr>
                <w:rFonts w:ascii="Calibri Light" w:eastAsia="Times New Roman" w:hAnsi="Calibri Light" w:cs="Times New Roman"/>
                <w:color w:val="FFFFFF"/>
                <w:sz w:val="17"/>
                <w:szCs w:val="17"/>
                <w:lang w:eastAsia="en-AU"/>
              </w:rPr>
              <w:t>Achieved</w:t>
            </w:r>
          </w:p>
        </w:tc>
        <w:tc>
          <w:tcPr>
            <w:tcW w:w="5600" w:type="dxa"/>
            <w:shd w:val="clear" w:color="auto" w:fill="auto"/>
            <w:vAlign w:val="center"/>
          </w:tcPr>
          <w:p w14:paraId="064B808D" w14:textId="77777777" w:rsidR="00C172DC" w:rsidRPr="00CD4F30" w:rsidRDefault="0025738E" w:rsidP="00BE4641">
            <w:pPr>
              <w:suppressAutoHyphens w:val="0"/>
              <w:spacing w:before="0" w:after="0" w:line="240" w:lineRule="auto"/>
              <w:rPr>
                <w:rFonts w:ascii="Calibri Light" w:eastAsia="Times New Roman" w:hAnsi="Calibri Light" w:cs="Times New Roman"/>
                <w:iCs/>
                <w:color w:val="495965"/>
                <w:sz w:val="17"/>
                <w:szCs w:val="17"/>
                <w:lang w:eastAsia="en-AU"/>
              </w:rPr>
            </w:pPr>
            <w:r>
              <w:rPr>
                <w:rFonts w:ascii="Calibri Light" w:eastAsia="Times New Roman" w:hAnsi="Calibri Light" w:cs="Times New Roman"/>
                <w:iCs/>
                <w:color w:val="495965"/>
                <w:sz w:val="17"/>
                <w:szCs w:val="17"/>
                <w:lang w:eastAsia="en-AU"/>
              </w:rPr>
              <w:t>Nau</w:t>
            </w:r>
            <w:r w:rsidRPr="0094231B">
              <w:rPr>
                <w:rFonts w:ascii="Calibri Light" w:eastAsia="Times New Roman" w:hAnsi="Calibri Light" w:cs="Times New Roman"/>
                <w:iCs/>
                <w:color w:val="495965"/>
                <w:sz w:val="17"/>
                <w:szCs w:val="17"/>
                <w:lang w:eastAsia="en-AU"/>
              </w:rPr>
              <w:t xml:space="preserve">ru Port Reform and Redevelopment Project </w:t>
            </w:r>
            <w:r w:rsidR="006C298E" w:rsidRPr="0094231B">
              <w:rPr>
                <w:rFonts w:ascii="Calibri Light" w:eastAsia="Times New Roman" w:hAnsi="Calibri Light" w:cs="Times New Roman"/>
                <w:iCs/>
                <w:color w:val="495965"/>
                <w:sz w:val="17"/>
                <w:szCs w:val="17"/>
                <w:lang w:eastAsia="en-AU"/>
              </w:rPr>
              <w:t xml:space="preserve">approval from </w:t>
            </w:r>
            <w:r w:rsidR="00341855" w:rsidRPr="0094231B">
              <w:rPr>
                <w:rFonts w:ascii="Calibri Light" w:eastAsia="Times New Roman" w:hAnsi="Calibri Light" w:cs="Times New Roman"/>
                <w:iCs/>
                <w:color w:val="495965"/>
                <w:sz w:val="17"/>
                <w:szCs w:val="17"/>
                <w:lang w:eastAsia="en-AU"/>
              </w:rPr>
              <w:t xml:space="preserve">the </w:t>
            </w:r>
            <w:r w:rsidR="006C298E" w:rsidRPr="0094231B">
              <w:rPr>
                <w:rFonts w:ascii="Calibri Light" w:eastAsia="Times New Roman" w:hAnsi="Calibri Light" w:cs="Times New Roman"/>
                <w:iCs/>
                <w:color w:val="495965"/>
                <w:sz w:val="17"/>
                <w:szCs w:val="17"/>
                <w:lang w:eastAsia="en-AU"/>
              </w:rPr>
              <w:t xml:space="preserve">ADB </w:t>
            </w:r>
            <w:r w:rsidR="00341855" w:rsidRPr="0094231B">
              <w:rPr>
                <w:rFonts w:ascii="Calibri Light" w:eastAsia="Times New Roman" w:hAnsi="Calibri Light" w:cs="Times New Roman"/>
                <w:iCs/>
                <w:color w:val="495965"/>
                <w:sz w:val="17"/>
                <w:szCs w:val="17"/>
                <w:lang w:eastAsia="en-AU"/>
              </w:rPr>
              <w:t xml:space="preserve">board </w:t>
            </w:r>
            <w:r w:rsidR="006C298E" w:rsidRPr="0094231B">
              <w:rPr>
                <w:rFonts w:ascii="Calibri Light" w:eastAsia="Times New Roman" w:hAnsi="Calibri Light" w:cs="Times New Roman"/>
                <w:iCs/>
                <w:color w:val="495965"/>
                <w:sz w:val="17"/>
                <w:szCs w:val="17"/>
                <w:lang w:eastAsia="en-AU"/>
              </w:rPr>
              <w:t>was received in January 2018</w:t>
            </w:r>
            <w:r w:rsidR="00BD2D67" w:rsidRPr="0094231B">
              <w:rPr>
                <w:rFonts w:ascii="Calibri Light" w:eastAsia="Times New Roman" w:hAnsi="Calibri Light" w:cs="Times New Roman"/>
                <w:iCs/>
                <w:color w:val="495965"/>
                <w:sz w:val="17"/>
                <w:szCs w:val="17"/>
                <w:lang w:eastAsia="en-AU"/>
              </w:rPr>
              <w:t>, with procurement of a civil works contractor expected to commence in late 2018.</w:t>
            </w:r>
            <w:r>
              <w:rPr>
                <w:rFonts w:ascii="Calibri Light" w:eastAsia="Times New Roman" w:hAnsi="Calibri Light" w:cs="Times New Roman"/>
                <w:iCs/>
                <w:color w:val="495965"/>
                <w:sz w:val="17"/>
                <w:szCs w:val="17"/>
                <w:lang w:eastAsia="en-AU"/>
              </w:rPr>
              <w:t xml:space="preserve"> </w:t>
            </w:r>
          </w:p>
        </w:tc>
      </w:tr>
      <w:tr w:rsidR="001877BC" w:rsidRPr="00CD4F30" w14:paraId="49756985" w14:textId="77777777" w:rsidTr="00042563">
        <w:trPr>
          <w:trHeight w:val="567"/>
          <w:jc w:val="center"/>
        </w:trPr>
        <w:tc>
          <w:tcPr>
            <w:tcW w:w="2000" w:type="dxa"/>
            <w:shd w:val="clear" w:color="auto" w:fill="auto"/>
            <w:vAlign w:val="center"/>
          </w:tcPr>
          <w:p w14:paraId="2C23F805" w14:textId="77777777" w:rsidR="001877BC" w:rsidRPr="00CD4F30" w:rsidRDefault="001877BC" w:rsidP="00CD4F30">
            <w:pPr>
              <w:suppressAutoHyphens w:val="0"/>
              <w:spacing w:before="0" w:after="0" w:line="240" w:lineRule="auto"/>
              <w:rPr>
                <w:rFonts w:ascii="Calibri Light" w:eastAsia="Times New Roman" w:hAnsi="Calibri Light" w:cs="Times New Roman"/>
                <w:iCs/>
                <w:color w:val="495965"/>
                <w:sz w:val="17"/>
                <w:szCs w:val="17"/>
                <w:lang w:eastAsia="en-AU"/>
              </w:rPr>
            </w:pPr>
          </w:p>
        </w:tc>
        <w:tc>
          <w:tcPr>
            <w:tcW w:w="3680" w:type="dxa"/>
            <w:shd w:val="clear" w:color="auto" w:fill="auto"/>
            <w:vAlign w:val="center"/>
          </w:tcPr>
          <w:p w14:paraId="7AEE904F" w14:textId="77777777" w:rsidR="001877BC" w:rsidRPr="00CD4F30" w:rsidRDefault="001877BC" w:rsidP="00042563">
            <w:pPr>
              <w:pStyle w:val="NormalIndented"/>
              <w:ind w:left="0"/>
              <w:rPr>
                <w:rFonts w:ascii="Calibri Light" w:eastAsia="Times New Roman" w:hAnsi="Calibri Light" w:cs="Times New Roman"/>
                <w:iCs/>
                <w:color w:val="495965"/>
                <w:sz w:val="17"/>
                <w:szCs w:val="17"/>
                <w:lang w:eastAsia="en-AU"/>
              </w:rPr>
            </w:pPr>
            <w:r w:rsidRPr="00CD4F30">
              <w:rPr>
                <w:rFonts w:ascii="Calibri Light" w:eastAsia="Times New Roman" w:hAnsi="Calibri Light" w:cs="Times New Roman"/>
                <w:iCs/>
                <w:color w:val="495965"/>
                <w:sz w:val="17"/>
                <w:szCs w:val="17"/>
                <w:lang w:eastAsia="en-AU"/>
              </w:rPr>
              <w:t xml:space="preserve">• </w:t>
            </w:r>
            <w:r w:rsidRPr="00CF6DA0">
              <w:rPr>
                <w:rFonts w:eastAsia="Times New Roman"/>
                <w:iCs/>
                <w:sz w:val="16"/>
                <w:szCs w:val="16"/>
              </w:rPr>
              <w:t>Indoor Sports Facility – design finalised and approved, construction commences</w:t>
            </w:r>
          </w:p>
        </w:tc>
        <w:tc>
          <w:tcPr>
            <w:tcW w:w="1640" w:type="dxa"/>
            <w:shd w:val="clear" w:color="000000" w:fill="92D050"/>
            <w:vAlign w:val="center"/>
          </w:tcPr>
          <w:p w14:paraId="2D232541" w14:textId="77777777" w:rsidR="001877BC" w:rsidRDefault="00B24B60" w:rsidP="00CD4F30">
            <w:pPr>
              <w:suppressAutoHyphens w:val="0"/>
              <w:spacing w:before="0" w:after="0" w:line="240" w:lineRule="auto"/>
              <w:jc w:val="center"/>
              <w:rPr>
                <w:rFonts w:ascii="Calibri Light" w:eastAsia="Times New Roman" w:hAnsi="Calibri Light" w:cs="Times New Roman"/>
                <w:color w:val="FFFFFF"/>
                <w:sz w:val="17"/>
                <w:szCs w:val="17"/>
                <w:lang w:eastAsia="en-AU"/>
              </w:rPr>
            </w:pPr>
            <w:r w:rsidRPr="00CD4F30">
              <w:rPr>
                <w:rFonts w:ascii="Calibri Light" w:eastAsia="Times New Roman" w:hAnsi="Calibri Light" w:cs="Times New Roman"/>
                <w:color w:val="FFFFFF"/>
                <w:sz w:val="17"/>
                <w:szCs w:val="17"/>
                <w:lang w:eastAsia="en-AU"/>
              </w:rPr>
              <w:t>Achieved</w:t>
            </w:r>
          </w:p>
        </w:tc>
        <w:tc>
          <w:tcPr>
            <w:tcW w:w="5600" w:type="dxa"/>
            <w:shd w:val="clear" w:color="auto" w:fill="auto"/>
            <w:vAlign w:val="center"/>
          </w:tcPr>
          <w:p w14:paraId="38590083" w14:textId="77777777" w:rsidR="001877BC" w:rsidRDefault="001877BC" w:rsidP="0094231B">
            <w:pPr>
              <w:suppressAutoHyphens w:val="0"/>
              <w:spacing w:before="0" w:after="0" w:line="240" w:lineRule="auto"/>
              <w:rPr>
                <w:rFonts w:ascii="Calibri Light" w:eastAsia="Times New Roman" w:hAnsi="Calibri Light" w:cs="Times New Roman"/>
                <w:iCs/>
                <w:color w:val="495965"/>
                <w:sz w:val="17"/>
                <w:szCs w:val="17"/>
                <w:lang w:eastAsia="en-AU"/>
              </w:rPr>
            </w:pPr>
            <w:r>
              <w:rPr>
                <w:rFonts w:ascii="Calibri Light" w:eastAsia="Times New Roman" w:hAnsi="Calibri Light" w:cs="Times New Roman"/>
                <w:iCs/>
                <w:color w:val="495965"/>
                <w:sz w:val="17"/>
                <w:szCs w:val="17"/>
                <w:lang w:eastAsia="en-AU"/>
              </w:rPr>
              <w:t>Constr</w:t>
            </w:r>
            <w:r w:rsidRPr="0094231B">
              <w:rPr>
                <w:rFonts w:ascii="Calibri Light" w:eastAsia="Times New Roman" w:hAnsi="Calibri Light" w:cs="Times New Roman"/>
                <w:iCs/>
                <w:color w:val="495965"/>
                <w:sz w:val="17"/>
                <w:szCs w:val="17"/>
                <w:lang w:eastAsia="en-AU"/>
              </w:rPr>
              <w:t xml:space="preserve">uction on the </w:t>
            </w:r>
            <w:r w:rsidR="0094231B" w:rsidRPr="0094231B">
              <w:rPr>
                <w:rFonts w:ascii="Calibri Light" w:eastAsia="Times New Roman" w:hAnsi="Calibri Light" w:cs="Times New Roman"/>
                <w:iCs/>
                <w:color w:val="495965"/>
                <w:sz w:val="17"/>
                <w:szCs w:val="17"/>
                <w:lang w:eastAsia="en-AU"/>
              </w:rPr>
              <w:t>Naoero</w:t>
            </w:r>
            <w:r w:rsidR="0094231B">
              <w:rPr>
                <w:rFonts w:ascii="Calibri Light" w:eastAsia="Times New Roman" w:hAnsi="Calibri Light" w:cs="Times New Roman"/>
                <w:iCs/>
                <w:color w:val="495965"/>
                <w:sz w:val="17"/>
                <w:szCs w:val="17"/>
                <w:lang w:eastAsia="en-AU"/>
              </w:rPr>
              <w:t xml:space="preserve"> Community S</w:t>
            </w:r>
            <w:r w:rsidRPr="0094231B">
              <w:rPr>
                <w:rFonts w:ascii="Calibri Light" w:eastAsia="Times New Roman" w:hAnsi="Calibri Light" w:cs="Times New Roman"/>
                <w:iCs/>
                <w:color w:val="495965"/>
                <w:sz w:val="17"/>
                <w:szCs w:val="17"/>
                <w:lang w:eastAsia="en-AU"/>
              </w:rPr>
              <w:t xml:space="preserve">ports </w:t>
            </w:r>
            <w:r w:rsidR="0094231B">
              <w:rPr>
                <w:rFonts w:ascii="Calibri Light" w:eastAsia="Times New Roman" w:hAnsi="Calibri Light" w:cs="Times New Roman"/>
                <w:iCs/>
                <w:color w:val="495965"/>
                <w:sz w:val="17"/>
                <w:szCs w:val="17"/>
                <w:lang w:eastAsia="en-AU"/>
              </w:rPr>
              <w:t>C</w:t>
            </w:r>
            <w:r w:rsidR="00E74A68" w:rsidRPr="0094231B">
              <w:rPr>
                <w:rFonts w:ascii="Calibri Light" w:eastAsia="Times New Roman" w:hAnsi="Calibri Light" w:cs="Times New Roman"/>
                <w:iCs/>
                <w:color w:val="495965"/>
                <w:sz w:val="17"/>
                <w:szCs w:val="17"/>
                <w:lang w:eastAsia="en-AU"/>
              </w:rPr>
              <w:t xml:space="preserve">omplex </w:t>
            </w:r>
            <w:r w:rsidRPr="0094231B">
              <w:rPr>
                <w:rFonts w:ascii="Calibri Light" w:eastAsia="Times New Roman" w:hAnsi="Calibri Light" w:cs="Times New Roman"/>
                <w:iCs/>
                <w:color w:val="495965"/>
                <w:sz w:val="17"/>
                <w:szCs w:val="17"/>
                <w:lang w:eastAsia="en-AU"/>
              </w:rPr>
              <w:t xml:space="preserve">commenced </w:t>
            </w:r>
            <w:r w:rsidR="0018628B" w:rsidRPr="0094231B">
              <w:rPr>
                <w:rFonts w:ascii="Calibri Light" w:eastAsia="Times New Roman" w:hAnsi="Calibri Light" w:cs="Times New Roman"/>
                <w:iCs/>
                <w:color w:val="495965"/>
                <w:sz w:val="17"/>
                <w:szCs w:val="17"/>
                <w:lang w:eastAsia="en-AU"/>
              </w:rPr>
              <w:t>in October</w:t>
            </w:r>
            <w:r w:rsidR="00A2552D" w:rsidRPr="0094231B">
              <w:rPr>
                <w:rFonts w:ascii="Calibri Light" w:eastAsia="Times New Roman" w:hAnsi="Calibri Light" w:cs="Times New Roman"/>
                <w:iCs/>
                <w:color w:val="495965"/>
                <w:sz w:val="17"/>
                <w:szCs w:val="17"/>
                <w:lang w:eastAsia="en-AU"/>
              </w:rPr>
              <w:t xml:space="preserve"> 2017</w:t>
            </w:r>
            <w:r w:rsidR="00C14DDD" w:rsidRPr="0094231B">
              <w:rPr>
                <w:rFonts w:ascii="Calibri Light" w:eastAsia="Times New Roman" w:hAnsi="Calibri Light" w:cs="Times New Roman"/>
                <w:iCs/>
                <w:color w:val="495965"/>
                <w:sz w:val="17"/>
                <w:szCs w:val="17"/>
                <w:lang w:eastAsia="en-AU"/>
              </w:rPr>
              <w:t xml:space="preserve"> and was completed in August 2018.</w:t>
            </w:r>
          </w:p>
        </w:tc>
      </w:tr>
      <w:tr w:rsidR="001877BC" w:rsidRPr="00CD4F30" w14:paraId="610F8B33" w14:textId="77777777" w:rsidTr="00042563">
        <w:trPr>
          <w:trHeight w:val="567"/>
          <w:jc w:val="center"/>
        </w:trPr>
        <w:tc>
          <w:tcPr>
            <w:tcW w:w="2000" w:type="dxa"/>
            <w:shd w:val="clear" w:color="auto" w:fill="auto"/>
            <w:vAlign w:val="center"/>
          </w:tcPr>
          <w:p w14:paraId="385DFB8B" w14:textId="77777777" w:rsidR="001877BC" w:rsidRPr="00CD4F30" w:rsidRDefault="001877BC" w:rsidP="00CD4F30">
            <w:pPr>
              <w:suppressAutoHyphens w:val="0"/>
              <w:spacing w:before="0" w:after="0" w:line="240" w:lineRule="auto"/>
              <w:rPr>
                <w:rFonts w:ascii="Calibri Light" w:eastAsia="Times New Roman" w:hAnsi="Calibri Light" w:cs="Times New Roman"/>
                <w:iCs/>
                <w:color w:val="495965"/>
                <w:sz w:val="17"/>
                <w:szCs w:val="17"/>
                <w:lang w:eastAsia="en-AU"/>
              </w:rPr>
            </w:pPr>
          </w:p>
        </w:tc>
        <w:tc>
          <w:tcPr>
            <w:tcW w:w="3680" w:type="dxa"/>
            <w:shd w:val="clear" w:color="auto" w:fill="auto"/>
            <w:vAlign w:val="center"/>
          </w:tcPr>
          <w:p w14:paraId="0887D060" w14:textId="77777777" w:rsidR="001877BC" w:rsidRPr="00CD4F30" w:rsidRDefault="001877BC" w:rsidP="00042563">
            <w:pPr>
              <w:pStyle w:val="NormalIndented"/>
              <w:ind w:left="0"/>
              <w:rPr>
                <w:rFonts w:ascii="Calibri Light" w:eastAsia="Times New Roman" w:hAnsi="Calibri Light" w:cs="Times New Roman"/>
                <w:iCs/>
                <w:color w:val="495965"/>
                <w:sz w:val="17"/>
                <w:szCs w:val="17"/>
                <w:lang w:eastAsia="en-AU"/>
              </w:rPr>
            </w:pPr>
            <w:r w:rsidRPr="00CD4F30">
              <w:rPr>
                <w:rFonts w:ascii="Calibri Light" w:eastAsia="Times New Roman" w:hAnsi="Calibri Light" w:cs="Times New Roman"/>
                <w:iCs/>
                <w:color w:val="495965"/>
                <w:sz w:val="17"/>
                <w:szCs w:val="17"/>
                <w:lang w:eastAsia="en-AU"/>
              </w:rPr>
              <w:t xml:space="preserve">• </w:t>
            </w:r>
            <w:r>
              <w:rPr>
                <w:rFonts w:eastAsia="Times New Roman"/>
                <w:iCs/>
                <w:sz w:val="16"/>
                <w:szCs w:val="16"/>
              </w:rPr>
              <w:t>Community sports facilities refurbished</w:t>
            </w:r>
          </w:p>
        </w:tc>
        <w:tc>
          <w:tcPr>
            <w:tcW w:w="1640" w:type="dxa"/>
            <w:shd w:val="clear" w:color="auto" w:fill="FF0000"/>
            <w:vAlign w:val="center"/>
          </w:tcPr>
          <w:p w14:paraId="5D51B449" w14:textId="77777777" w:rsidR="001877BC" w:rsidRDefault="00BD05FE" w:rsidP="00CD4F30">
            <w:pPr>
              <w:suppressAutoHyphens w:val="0"/>
              <w:spacing w:before="0" w:after="0" w:line="240" w:lineRule="auto"/>
              <w:jc w:val="center"/>
              <w:rPr>
                <w:rFonts w:ascii="Calibri Light" w:eastAsia="Times New Roman" w:hAnsi="Calibri Light" w:cs="Times New Roman"/>
                <w:color w:val="FFFFFF"/>
                <w:sz w:val="17"/>
                <w:szCs w:val="17"/>
                <w:lang w:eastAsia="en-AU"/>
              </w:rPr>
            </w:pPr>
            <w:r>
              <w:rPr>
                <w:rFonts w:ascii="Calibri Light" w:eastAsia="Times New Roman" w:hAnsi="Calibri Light" w:cs="Times New Roman"/>
                <w:color w:val="FFFFFF"/>
                <w:sz w:val="17"/>
                <w:szCs w:val="17"/>
                <w:lang w:eastAsia="en-AU"/>
              </w:rPr>
              <w:t>Not Achieved</w:t>
            </w:r>
          </w:p>
        </w:tc>
        <w:tc>
          <w:tcPr>
            <w:tcW w:w="5600" w:type="dxa"/>
            <w:shd w:val="clear" w:color="auto" w:fill="auto"/>
            <w:vAlign w:val="center"/>
          </w:tcPr>
          <w:p w14:paraId="227E4451" w14:textId="77777777" w:rsidR="001877BC" w:rsidRDefault="00BD05FE" w:rsidP="00CD4F30">
            <w:pPr>
              <w:suppressAutoHyphens w:val="0"/>
              <w:spacing w:before="0" w:after="0" w:line="240" w:lineRule="auto"/>
              <w:rPr>
                <w:rFonts w:ascii="Calibri Light" w:eastAsia="Times New Roman" w:hAnsi="Calibri Light" w:cs="Times New Roman"/>
                <w:iCs/>
                <w:color w:val="495965"/>
                <w:sz w:val="17"/>
                <w:szCs w:val="17"/>
                <w:lang w:eastAsia="en-AU"/>
              </w:rPr>
            </w:pPr>
            <w:r>
              <w:rPr>
                <w:rFonts w:ascii="Calibri Light" w:eastAsia="Times New Roman" w:hAnsi="Calibri Light" w:cs="Times New Roman"/>
                <w:iCs/>
                <w:color w:val="495965"/>
                <w:sz w:val="17"/>
                <w:szCs w:val="17"/>
                <w:lang w:eastAsia="en-AU"/>
              </w:rPr>
              <w:t>Progress has been slow.  However, a tender has been completed and some contracts are almost ready to sign.</w:t>
            </w:r>
          </w:p>
        </w:tc>
      </w:tr>
      <w:tr w:rsidR="00CD4F30" w:rsidRPr="00CD4F30" w14:paraId="545C3C7C" w14:textId="77777777" w:rsidTr="00042563">
        <w:trPr>
          <w:trHeight w:val="567"/>
          <w:jc w:val="center"/>
        </w:trPr>
        <w:tc>
          <w:tcPr>
            <w:tcW w:w="2000" w:type="dxa"/>
            <w:tcBorders>
              <w:bottom w:val="single" w:sz="4" w:space="0" w:color="auto"/>
            </w:tcBorders>
            <w:shd w:val="clear" w:color="auto" w:fill="auto"/>
            <w:vAlign w:val="center"/>
            <w:hideMark/>
          </w:tcPr>
          <w:p w14:paraId="2C5C1113"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color w:val="495965"/>
                <w:sz w:val="17"/>
                <w:szCs w:val="17"/>
                <w:lang w:val="en-AU" w:eastAsia="en-AU"/>
              </w:rPr>
              <w:t> </w:t>
            </w:r>
          </w:p>
        </w:tc>
        <w:tc>
          <w:tcPr>
            <w:tcW w:w="3680" w:type="dxa"/>
            <w:tcBorders>
              <w:bottom w:val="single" w:sz="4" w:space="0" w:color="auto"/>
            </w:tcBorders>
            <w:shd w:val="clear" w:color="auto" w:fill="auto"/>
            <w:vAlign w:val="center"/>
            <w:hideMark/>
          </w:tcPr>
          <w:p w14:paraId="6307CECE" w14:textId="77777777" w:rsidR="00CD4F30" w:rsidRPr="00CD4F30" w:rsidRDefault="002A2553" w:rsidP="001877BC">
            <w:pPr>
              <w:pStyle w:val="NormalIndented"/>
              <w:ind w:left="0"/>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w:t>
            </w:r>
            <w:r>
              <w:rPr>
                <w:rFonts w:ascii="Calibri Light" w:eastAsia="Times New Roman" w:hAnsi="Calibri Light" w:cs="Times New Roman"/>
                <w:iCs/>
                <w:color w:val="495965"/>
                <w:sz w:val="17"/>
                <w:szCs w:val="17"/>
                <w:lang w:eastAsia="en-AU"/>
              </w:rPr>
              <w:t xml:space="preserve"> </w:t>
            </w:r>
            <w:r w:rsidRPr="00CF6DA0">
              <w:rPr>
                <w:rFonts w:eastAsia="Times New Roman"/>
                <w:iCs/>
                <w:sz w:val="16"/>
                <w:szCs w:val="16"/>
              </w:rPr>
              <w:t>Learning Village - construction completed; higher education agencies finalise course curriculums for forward teaching period; and library established</w:t>
            </w:r>
          </w:p>
        </w:tc>
        <w:tc>
          <w:tcPr>
            <w:tcW w:w="1640" w:type="dxa"/>
            <w:tcBorders>
              <w:bottom w:val="single" w:sz="4" w:space="0" w:color="auto"/>
            </w:tcBorders>
            <w:shd w:val="clear" w:color="auto" w:fill="92D050"/>
            <w:vAlign w:val="center"/>
            <w:hideMark/>
          </w:tcPr>
          <w:p w14:paraId="3D95AAEC" w14:textId="77777777" w:rsidR="00CD4F30" w:rsidRPr="00CD4F30" w:rsidRDefault="00CD4F30" w:rsidP="00CD4F30">
            <w:pPr>
              <w:suppressAutoHyphens w:val="0"/>
              <w:spacing w:before="0" w:after="0" w:line="240" w:lineRule="auto"/>
              <w:jc w:val="center"/>
              <w:rPr>
                <w:rFonts w:ascii="Calibri Light" w:eastAsia="Times New Roman" w:hAnsi="Calibri Light" w:cs="Times New Roman"/>
                <w:color w:val="FFFFFF"/>
                <w:sz w:val="17"/>
                <w:szCs w:val="17"/>
                <w:lang w:val="en-AU" w:eastAsia="en-AU"/>
              </w:rPr>
            </w:pPr>
            <w:r w:rsidRPr="00CD4F30">
              <w:rPr>
                <w:rFonts w:ascii="Calibri Light" w:eastAsia="Times New Roman" w:hAnsi="Calibri Light" w:cs="Times New Roman"/>
                <w:color w:val="FFFFFF"/>
                <w:sz w:val="17"/>
                <w:szCs w:val="17"/>
                <w:lang w:eastAsia="en-AU"/>
              </w:rPr>
              <w:t>Achieved</w:t>
            </w:r>
          </w:p>
        </w:tc>
        <w:tc>
          <w:tcPr>
            <w:tcW w:w="5600" w:type="dxa"/>
            <w:tcBorders>
              <w:bottom w:val="single" w:sz="4" w:space="0" w:color="auto"/>
            </w:tcBorders>
            <w:shd w:val="clear" w:color="auto" w:fill="auto"/>
            <w:vAlign w:val="center"/>
            <w:hideMark/>
          </w:tcPr>
          <w:p w14:paraId="31CB03C4" w14:textId="77777777" w:rsidR="00CD4F30" w:rsidRPr="00CD4F30" w:rsidRDefault="00470694" w:rsidP="00C14DDD">
            <w:pPr>
              <w:suppressAutoHyphens w:val="0"/>
              <w:spacing w:before="0" w:after="0" w:line="240" w:lineRule="auto"/>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color w:val="495965"/>
                <w:sz w:val="17"/>
                <w:szCs w:val="17"/>
                <w:lang w:val="en-AU" w:eastAsia="en-AU"/>
              </w:rPr>
              <w:t xml:space="preserve">Constructed was completed and the Learning Centre </w:t>
            </w:r>
            <w:r w:rsidR="003C76B0">
              <w:rPr>
                <w:rFonts w:ascii="Calibri Light" w:eastAsia="Times New Roman" w:hAnsi="Calibri Light" w:cs="Times New Roman"/>
                <w:color w:val="495965"/>
                <w:sz w:val="17"/>
                <w:szCs w:val="17"/>
                <w:lang w:val="en-AU" w:eastAsia="en-AU"/>
              </w:rPr>
              <w:t>was handed</w:t>
            </w:r>
            <w:r>
              <w:rPr>
                <w:rFonts w:ascii="Calibri Light" w:eastAsia="Times New Roman" w:hAnsi="Calibri Light" w:cs="Times New Roman"/>
                <w:color w:val="495965"/>
                <w:sz w:val="17"/>
                <w:szCs w:val="17"/>
                <w:lang w:val="en-AU" w:eastAsia="en-AU"/>
              </w:rPr>
              <w:t xml:space="preserve"> over to the DoE/GoN</w:t>
            </w:r>
            <w:r w:rsidR="003C76B0">
              <w:rPr>
                <w:rFonts w:ascii="Calibri Light" w:eastAsia="Times New Roman" w:hAnsi="Calibri Light" w:cs="Times New Roman"/>
                <w:color w:val="495965"/>
                <w:sz w:val="17"/>
                <w:szCs w:val="17"/>
                <w:lang w:val="en-AU" w:eastAsia="en-AU"/>
              </w:rPr>
              <w:t xml:space="preserve"> in May 2018</w:t>
            </w:r>
            <w:r>
              <w:rPr>
                <w:rFonts w:ascii="Calibri Light" w:eastAsia="Times New Roman" w:hAnsi="Calibri Light" w:cs="Times New Roman"/>
                <w:color w:val="495965"/>
                <w:sz w:val="17"/>
                <w:szCs w:val="17"/>
                <w:lang w:val="en-AU" w:eastAsia="en-AU"/>
              </w:rPr>
              <w:t>. USP is using the facilities and will offer post graduate courses</w:t>
            </w:r>
            <w:r w:rsidR="00C14DDD">
              <w:rPr>
                <w:rFonts w:ascii="Calibri Light" w:eastAsia="Times New Roman" w:hAnsi="Calibri Light" w:cs="Times New Roman"/>
                <w:color w:val="495965"/>
                <w:sz w:val="17"/>
                <w:szCs w:val="17"/>
                <w:lang w:val="en-AU" w:eastAsia="en-AU"/>
              </w:rPr>
              <w:t xml:space="preserve">. A </w:t>
            </w:r>
            <w:r w:rsidR="004B6C21">
              <w:rPr>
                <w:rFonts w:ascii="Calibri Light" w:eastAsia="Times New Roman" w:hAnsi="Calibri Light" w:cs="Times New Roman"/>
                <w:color w:val="495965"/>
                <w:sz w:val="17"/>
                <w:szCs w:val="17"/>
                <w:lang w:val="en-AU" w:eastAsia="en-AU"/>
              </w:rPr>
              <w:t>community library has been</w:t>
            </w:r>
            <w:r>
              <w:rPr>
                <w:rFonts w:ascii="Calibri Light" w:eastAsia="Times New Roman" w:hAnsi="Calibri Light" w:cs="Times New Roman"/>
                <w:color w:val="495965"/>
                <w:sz w:val="17"/>
                <w:szCs w:val="17"/>
                <w:lang w:val="en-AU" w:eastAsia="en-AU"/>
              </w:rPr>
              <w:t xml:space="preserve"> established</w:t>
            </w:r>
            <w:r w:rsidR="00BD05FE">
              <w:rPr>
                <w:rFonts w:ascii="Calibri Light" w:eastAsia="Times New Roman" w:hAnsi="Calibri Light" w:cs="Times New Roman"/>
                <w:color w:val="495965"/>
                <w:sz w:val="17"/>
                <w:szCs w:val="17"/>
                <w:lang w:val="en-AU" w:eastAsia="en-AU"/>
              </w:rPr>
              <w:t>.</w:t>
            </w:r>
          </w:p>
        </w:tc>
      </w:tr>
      <w:tr w:rsidR="00CD4F30" w:rsidRPr="00CD4F30" w14:paraId="23D1EC9C" w14:textId="77777777" w:rsidTr="00042563">
        <w:trPr>
          <w:trHeight w:val="567"/>
          <w:jc w:val="center"/>
        </w:trPr>
        <w:tc>
          <w:tcPr>
            <w:tcW w:w="2000" w:type="dxa"/>
            <w:tcBorders>
              <w:top w:val="single" w:sz="4" w:space="0" w:color="auto"/>
              <w:bottom w:val="single" w:sz="4" w:space="0" w:color="auto"/>
            </w:tcBorders>
            <w:shd w:val="clear" w:color="auto" w:fill="auto"/>
            <w:hideMark/>
          </w:tcPr>
          <w:p w14:paraId="7189496B" w14:textId="77777777" w:rsidR="00CD4F30" w:rsidRPr="00CD4F30" w:rsidRDefault="00CD4F30" w:rsidP="00CD4F30">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iCs/>
                <w:color w:val="495965"/>
                <w:sz w:val="17"/>
                <w:szCs w:val="17"/>
                <w:lang w:eastAsia="en-AU"/>
              </w:rPr>
              <w:t>Portfolio adequately addresses gender equality considerations</w:t>
            </w:r>
          </w:p>
        </w:tc>
        <w:tc>
          <w:tcPr>
            <w:tcW w:w="3680" w:type="dxa"/>
            <w:tcBorders>
              <w:top w:val="single" w:sz="4" w:space="0" w:color="auto"/>
              <w:bottom w:val="single" w:sz="4" w:space="0" w:color="auto"/>
            </w:tcBorders>
            <w:shd w:val="clear" w:color="auto" w:fill="auto"/>
            <w:vAlign w:val="center"/>
            <w:hideMark/>
          </w:tcPr>
          <w:p w14:paraId="3AD28F0C" w14:textId="77777777" w:rsidR="00CD4F30" w:rsidRPr="00CD4F30" w:rsidRDefault="00CD4F30" w:rsidP="00CD4F30">
            <w:pPr>
              <w:suppressAutoHyphens w:val="0"/>
              <w:spacing w:before="0" w:after="0" w:line="240" w:lineRule="auto"/>
              <w:rPr>
                <w:rFonts w:ascii="Arial" w:eastAsia="Times New Roman" w:hAnsi="Arial" w:cs="Arial"/>
                <w:color w:val="495965"/>
                <w:sz w:val="17"/>
                <w:szCs w:val="17"/>
                <w:lang w:val="en-AU" w:eastAsia="en-AU"/>
              </w:rPr>
            </w:pPr>
            <w:r w:rsidRPr="00CD4F30">
              <w:rPr>
                <w:rFonts w:ascii="Arial" w:eastAsia="Times New Roman" w:hAnsi="Arial" w:cs="Arial"/>
                <w:color w:val="495965"/>
                <w:sz w:val="17"/>
                <w:szCs w:val="17"/>
                <w:lang w:eastAsia="en-AU"/>
              </w:rPr>
              <w:t xml:space="preserve">• </w:t>
            </w:r>
            <w:r w:rsidRPr="00CD4F30">
              <w:rPr>
                <w:rFonts w:ascii="Calibri Light" w:eastAsia="Times New Roman" w:hAnsi="Calibri Light" w:cs="Arial"/>
                <w:color w:val="495965"/>
                <w:sz w:val="17"/>
                <w:szCs w:val="17"/>
                <w:lang w:eastAsia="en-AU"/>
              </w:rPr>
              <w:t>80 per cent of activities adequately address gender issues (across Nauru’s four major investments in public sector management, infrastructure, health and education)</w:t>
            </w:r>
          </w:p>
        </w:tc>
        <w:tc>
          <w:tcPr>
            <w:tcW w:w="1640" w:type="dxa"/>
            <w:tcBorders>
              <w:top w:val="single" w:sz="4" w:space="0" w:color="auto"/>
              <w:bottom w:val="single" w:sz="4" w:space="0" w:color="auto"/>
            </w:tcBorders>
            <w:shd w:val="clear" w:color="auto" w:fill="92D050"/>
            <w:vAlign w:val="center"/>
            <w:hideMark/>
          </w:tcPr>
          <w:p w14:paraId="3AC69EE5" w14:textId="77777777" w:rsidR="00CD4F30" w:rsidRPr="00CD4F30" w:rsidRDefault="00CD4F30" w:rsidP="00CD4F30">
            <w:pPr>
              <w:suppressAutoHyphens w:val="0"/>
              <w:spacing w:before="0" w:after="0" w:line="240" w:lineRule="auto"/>
              <w:jc w:val="center"/>
              <w:rPr>
                <w:rFonts w:ascii="Calibri Light" w:eastAsia="Times New Roman" w:hAnsi="Calibri Light" w:cs="Times New Roman"/>
                <w:color w:val="FFFFFF"/>
                <w:sz w:val="17"/>
                <w:szCs w:val="17"/>
                <w:lang w:val="en-AU" w:eastAsia="en-AU"/>
              </w:rPr>
            </w:pPr>
            <w:r w:rsidRPr="00CD4F30">
              <w:rPr>
                <w:rFonts w:ascii="Calibri Light" w:eastAsia="Times New Roman" w:hAnsi="Calibri Light" w:cs="Times New Roman"/>
                <w:color w:val="FFFFFF"/>
                <w:sz w:val="17"/>
                <w:szCs w:val="17"/>
                <w:lang w:eastAsia="en-AU"/>
              </w:rPr>
              <w:t>Achieved</w:t>
            </w:r>
          </w:p>
        </w:tc>
        <w:tc>
          <w:tcPr>
            <w:tcW w:w="5600" w:type="dxa"/>
            <w:tcBorders>
              <w:top w:val="single" w:sz="4" w:space="0" w:color="auto"/>
              <w:bottom w:val="single" w:sz="4" w:space="0" w:color="auto"/>
            </w:tcBorders>
            <w:shd w:val="clear" w:color="auto" w:fill="auto"/>
            <w:vAlign w:val="center"/>
            <w:hideMark/>
          </w:tcPr>
          <w:p w14:paraId="70CA815E" w14:textId="77777777" w:rsidR="00CD4F30" w:rsidRPr="00CD4F30" w:rsidRDefault="00CD4F30" w:rsidP="00691252">
            <w:pPr>
              <w:suppressAutoHyphens w:val="0"/>
              <w:spacing w:before="0" w:after="0" w:line="240" w:lineRule="auto"/>
              <w:rPr>
                <w:rFonts w:ascii="Calibri Light" w:eastAsia="Times New Roman" w:hAnsi="Calibri Light" w:cs="Times New Roman"/>
                <w:color w:val="495965"/>
                <w:sz w:val="17"/>
                <w:szCs w:val="17"/>
                <w:lang w:val="en-AU" w:eastAsia="en-AU"/>
              </w:rPr>
            </w:pPr>
            <w:r w:rsidRPr="00CD4F30">
              <w:rPr>
                <w:rFonts w:ascii="Calibri Light" w:eastAsia="Times New Roman" w:hAnsi="Calibri Light" w:cs="Times New Roman"/>
                <w:color w:val="495965"/>
                <w:sz w:val="17"/>
                <w:szCs w:val="17"/>
                <w:lang w:eastAsia="en-AU"/>
              </w:rPr>
              <w:t xml:space="preserve">Gender scores across the four main investments </w:t>
            </w:r>
            <w:r w:rsidR="00691252">
              <w:rPr>
                <w:rFonts w:ascii="Calibri Light" w:eastAsia="Times New Roman" w:hAnsi="Calibri Light" w:cs="Times New Roman"/>
                <w:color w:val="495965"/>
                <w:sz w:val="17"/>
                <w:szCs w:val="17"/>
                <w:lang w:eastAsia="en-AU"/>
              </w:rPr>
              <w:t xml:space="preserve">were adequate. </w:t>
            </w:r>
            <w:r w:rsidRPr="00CD4F30">
              <w:rPr>
                <w:rFonts w:ascii="Calibri Light" w:eastAsia="Times New Roman" w:hAnsi="Calibri Light" w:cs="Times New Roman"/>
                <w:color w:val="495965"/>
                <w:sz w:val="17"/>
                <w:szCs w:val="17"/>
                <w:lang w:eastAsia="en-AU"/>
              </w:rPr>
              <w:t xml:space="preserve">A gender adviser </w:t>
            </w:r>
            <w:r w:rsidR="00691252">
              <w:rPr>
                <w:rFonts w:ascii="Calibri Light" w:eastAsia="Times New Roman" w:hAnsi="Calibri Light" w:cs="Times New Roman"/>
                <w:color w:val="495965"/>
                <w:sz w:val="17"/>
                <w:szCs w:val="17"/>
                <w:lang w:eastAsia="en-AU"/>
              </w:rPr>
              <w:t>was</w:t>
            </w:r>
            <w:r w:rsidRPr="00CD4F30">
              <w:rPr>
                <w:rFonts w:ascii="Calibri Light" w:eastAsia="Times New Roman" w:hAnsi="Calibri Light" w:cs="Times New Roman"/>
                <w:color w:val="495965"/>
                <w:sz w:val="17"/>
                <w:szCs w:val="17"/>
                <w:lang w:eastAsia="en-AU"/>
              </w:rPr>
              <w:t xml:space="preserve"> engaged in 2017-18 to assist in mainstreaming gender across the Nauru aid program. </w:t>
            </w:r>
          </w:p>
        </w:tc>
      </w:tr>
    </w:tbl>
    <w:p w14:paraId="476EE115" w14:textId="77777777" w:rsidR="00CD4F30" w:rsidRDefault="00CD4F30" w:rsidP="00CD4F30">
      <w:pPr>
        <w:spacing w:before="20" w:after="20" w:line="180" w:lineRule="atLeast"/>
        <w:jc w:val="center"/>
        <w:rPr>
          <w:rFonts w:eastAsia="Times New Roman"/>
          <w:b/>
          <w:sz w:val="16"/>
          <w:szCs w:val="14"/>
        </w:rPr>
      </w:pPr>
    </w:p>
    <w:p w14:paraId="03BDB641"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20058400"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14:paraId="0EA5CA2C"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14:paraId="0949A91E"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14:paraId="69E9A10A" w14:textId="77777777" w:rsidR="00BE1BEB" w:rsidRDefault="00BE1BEB" w:rsidP="00184F1E">
      <w:pPr>
        <w:rPr>
          <w:rFonts w:ascii="Franklin Gothic Book" w:eastAsia="Times New Roman" w:hAnsi="Franklin Gothic Book"/>
          <w:b/>
          <w:sz w:val="24"/>
          <w:szCs w:val="24"/>
        </w:rPr>
      </w:pPr>
    </w:p>
    <w:p w14:paraId="42D3DEDD" w14:textId="77777777" w:rsidR="00B22B04" w:rsidRDefault="00B22B04">
      <w:pPr>
        <w:suppressAutoHyphens w:val="0"/>
        <w:spacing w:before="0" w:after="120" w:line="440" w:lineRule="atLeast"/>
        <w:rPr>
          <w:rFonts w:ascii="Franklin Gothic Book" w:eastAsia="Times New Roman" w:hAnsi="Franklin Gothic Book"/>
          <w:b/>
          <w:sz w:val="24"/>
          <w:szCs w:val="24"/>
        </w:rPr>
      </w:pPr>
      <w:r>
        <w:rPr>
          <w:rFonts w:ascii="Franklin Gothic Book" w:eastAsia="Times New Roman" w:hAnsi="Franklin Gothic Book"/>
          <w:b/>
          <w:sz w:val="24"/>
          <w:szCs w:val="24"/>
        </w:rPr>
        <w:br w:type="page"/>
      </w:r>
    </w:p>
    <w:p w14:paraId="5519A325" w14:textId="77777777" w:rsidR="009020CC" w:rsidRDefault="009020CC" w:rsidP="009020CC">
      <w:pPr>
        <w:rPr>
          <w:rFonts w:ascii="Franklin Gothic Book" w:eastAsia="Times New Roman" w:hAnsi="Franklin Gothic Book"/>
          <w:b/>
          <w:sz w:val="24"/>
          <w:szCs w:val="24"/>
        </w:rPr>
      </w:pPr>
      <w:r w:rsidRPr="007B4865">
        <w:rPr>
          <w:rFonts w:ascii="Franklin Gothic Book" w:eastAsia="Times New Roman" w:hAnsi="Franklin Gothic Book"/>
          <w:b/>
          <w:sz w:val="24"/>
          <w:szCs w:val="24"/>
        </w:rPr>
        <w:t xml:space="preserve">Performance Benchmarks for remainder of </w:t>
      </w:r>
      <w:r w:rsidRPr="009A0CA5">
        <w:rPr>
          <w:rFonts w:ascii="Franklin Gothic Book" w:eastAsia="Times New Roman" w:hAnsi="Franklin Gothic Book"/>
          <w:b/>
          <w:sz w:val="24"/>
          <w:szCs w:val="24"/>
        </w:rPr>
        <w:t>Aid Investment Plan</w:t>
      </w:r>
      <w:r>
        <w:rPr>
          <w:rFonts w:ascii="Franklin Gothic Book" w:eastAsia="Times New Roman" w:hAnsi="Franklin Gothic Book"/>
          <w:b/>
          <w:sz w:val="24"/>
          <w:szCs w:val="24"/>
        </w:rPr>
        <w:t xml:space="preserve"> </w:t>
      </w:r>
      <w:r w:rsidRPr="007B4865">
        <w:rPr>
          <w:rFonts w:ascii="Franklin Gothic Book" w:eastAsia="Times New Roman" w:hAnsi="Franklin Gothic Book"/>
          <w:b/>
          <w:sz w:val="24"/>
          <w:szCs w:val="24"/>
        </w:rPr>
        <w:t xml:space="preserve">  </w:t>
      </w:r>
    </w:p>
    <w:tbl>
      <w:tblPr>
        <w:tblStyle w:val="DFATTable"/>
        <w:tblW w:w="5000" w:type="pct"/>
        <w:tblLook w:val="04A0" w:firstRow="1" w:lastRow="0" w:firstColumn="1" w:lastColumn="0" w:noHBand="0" w:noVBand="1"/>
      </w:tblPr>
      <w:tblGrid>
        <w:gridCol w:w="2198"/>
        <w:gridCol w:w="4143"/>
        <w:gridCol w:w="7694"/>
      </w:tblGrid>
      <w:tr w:rsidR="00042563" w14:paraId="78F5A48B" w14:textId="77777777" w:rsidTr="00042563">
        <w:trPr>
          <w:trHeight w:val="245"/>
        </w:trPr>
        <w:tc>
          <w:tcPr>
            <w:tcW w:w="783" w:type="pct"/>
            <w:tcBorders>
              <w:top w:val="single" w:sz="12" w:space="0" w:color="auto"/>
              <w:left w:val="nil"/>
              <w:bottom w:val="nil"/>
              <w:right w:val="nil"/>
            </w:tcBorders>
          </w:tcPr>
          <w:p w14:paraId="53949AA2" w14:textId="77777777" w:rsidR="00042563" w:rsidRPr="00BE6C6D" w:rsidRDefault="00042563" w:rsidP="009020CC">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476" w:type="pct"/>
            <w:tcBorders>
              <w:top w:val="single" w:sz="12" w:space="0" w:color="auto"/>
              <w:left w:val="nil"/>
              <w:bottom w:val="nil"/>
              <w:right w:val="nil"/>
            </w:tcBorders>
          </w:tcPr>
          <w:p w14:paraId="06FD0AAD" w14:textId="77777777" w:rsidR="00042563" w:rsidRPr="00BE6C6D" w:rsidRDefault="00042563" w:rsidP="0066365A">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enchmark</w:t>
            </w:r>
          </w:p>
        </w:tc>
        <w:tc>
          <w:tcPr>
            <w:tcW w:w="2741" w:type="pct"/>
            <w:tcBorders>
              <w:top w:val="single" w:sz="12" w:space="0" w:color="auto"/>
              <w:left w:val="nil"/>
              <w:bottom w:val="nil"/>
              <w:right w:val="nil"/>
            </w:tcBorders>
            <w:hideMark/>
          </w:tcPr>
          <w:p w14:paraId="348F4FD0" w14:textId="77777777" w:rsidR="00042563" w:rsidRPr="00BE6C6D" w:rsidRDefault="00042563" w:rsidP="009020CC">
            <w:pPr>
              <w:pStyle w:val="NormalIndented"/>
              <w:ind w:left="33"/>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p>
        </w:tc>
      </w:tr>
      <w:tr w:rsidR="00042563" w14:paraId="5E28D6A7" w14:textId="77777777" w:rsidTr="00042563">
        <w:trPr>
          <w:trHeight w:val="730"/>
        </w:trPr>
        <w:tc>
          <w:tcPr>
            <w:tcW w:w="783" w:type="pct"/>
            <w:tcBorders>
              <w:top w:val="nil"/>
              <w:left w:val="nil"/>
              <w:bottom w:val="nil"/>
              <w:right w:val="nil"/>
            </w:tcBorders>
          </w:tcPr>
          <w:p w14:paraId="02B65B5E" w14:textId="77777777" w:rsidR="00042563" w:rsidRPr="00CF6DA0" w:rsidRDefault="00042563" w:rsidP="009020CC">
            <w:pPr>
              <w:pStyle w:val="NormalIndented"/>
              <w:rPr>
                <w:rFonts w:asciiTheme="minorHAnsi" w:hAnsiTheme="minorHAnsi"/>
                <w:i/>
                <w:color w:val="808080" w:themeColor="background1" w:themeShade="80"/>
                <w:sz w:val="16"/>
                <w:szCs w:val="16"/>
              </w:rPr>
            </w:pPr>
            <w:r w:rsidRPr="00CF6DA0">
              <w:rPr>
                <w:rFonts w:asciiTheme="minorHAnsi" w:eastAsia="Times New Roman" w:hAnsiTheme="minorHAnsi"/>
                <w:iCs/>
                <w:sz w:val="16"/>
                <w:szCs w:val="16"/>
                <w:lang w:eastAsia="en-US"/>
              </w:rPr>
              <w:t>More effective Public Sector Management</w:t>
            </w:r>
          </w:p>
        </w:tc>
        <w:tc>
          <w:tcPr>
            <w:tcW w:w="1476" w:type="pct"/>
            <w:tcBorders>
              <w:top w:val="nil"/>
              <w:left w:val="nil"/>
              <w:bottom w:val="nil"/>
              <w:right w:val="nil"/>
            </w:tcBorders>
          </w:tcPr>
          <w:p w14:paraId="28DBC3CC" w14:textId="77777777" w:rsidR="00042563" w:rsidRPr="00CF6DA0" w:rsidRDefault="00042563" w:rsidP="009020CC">
            <w:pPr>
              <w:pStyle w:val="NormalIndented"/>
              <w:rPr>
                <w:rFonts w:asciiTheme="minorHAnsi" w:hAnsiTheme="minorHAnsi"/>
                <w:i/>
                <w:color w:val="808080" w:themeColor="background1" w:themeShade="80"/>
                <w:sz w:val="16"/>
                <w:szCs w:val="16"/>
                <w:lang w:eastAsia="en-US"/>
              </w:rPr>
            </w:pPr>
            <w:r w:rsidRPr="00CF6DA0">
              <w:rPr>
                <w:rFonts w:asciiTheme="minorHAnsi" w:eastAsia="Times New Roman" w:hAnsiTheme="minorHAnsi"/>
                <w:iCs/>
                <w:sz w:val="16"/>
                <w:szCs w:val="16"/>
                <w:lang w:eastAsia="en-US"/>
              </w:rPr>
              <w:t>Strengthened financial management capacity and economic governance to maximise the benefits of available revenue</w:t>
            </w:r>
          </w:p>
        </w:tc>
        <w:tc>
          <w:tcPr>
            <w:tcW w:w="2741" w:type="pct"/>
            <w:tcBorders>
              <w:top w:val="nil"/>
              <w:left w:val="nil"/>
              <w:bottom w:val="nil"/>
              <w:right w:val="nil"/>
            </w:tcBorders>
            <w:hideMark/>
          </w:tcPr>
          <w:p w14:paraId="11F327C1" w14:textId="77777777" w:rsidR="00042563" w:rsidRPr="00CF6DA0" w:rsidRDefault="00042563" w:rsidP="005468D2">
            <w:pPr>
              <w:pStyle w:val="NormalIndented"/>
              <w:numPr>
                <w:ilvl w:val="0"/>
                <w:numId w:val="11"/>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Operational Account – conduct biannual “audits” that lead to measurable improvements in execution of funds</w:t>
            </w:r>
          </w:p>
          <w:p w14:paraId="3848DBE6" w14:textId="77777777" w:rsidR="00042563" w:rsidRPr="00CF6DA0" w:rsidRDefault="00042563" w:rsidP="005468D2">
            <w:pPr>
              <w:pStyle w:val="NormalIndented"/>
              <w:numPr>
                <w:ilvl w:val="0"/>
                <w:numId w:val="11"/>
              </w:numPr>
              <w:rPr>
                <w:rFonts w:asciiTheme="minorHAnsi" w:hAnsiTheme="minorHAnsi"/>
                <w:i/>
                <w:color w:val="808080" w:themeColor="background1" w:themeShade="80"/>
                <w:sz w:val="16"/>
                <w:szCs w:val="16"/>
                <w:lang w:eastAsia="en-US"/>
              </w:rPr>
            </w:pPr>
            <w:r w:rsidRPr="00CF6DA0">
              <w:rPr>
                <w:rFonts w:asciiTheme="minorHAnsi" w:eastAsia="Times New Roman" w:hAnsiTheme="minorHAnsi"/>
                <w:iCs/>
                <w:sz w:val="16"/>
                <w:szCs w:val="16"/>
                <w:lang w:eastAsia="en-US"/>
              </w:rPr>
              <w:t>Financial Instructions – utilisation of Instructions to improve operations</w:t>
            </w:r>
          </w:p>
        </w:tc>
      </w:tr>
      <w:tr w:rsidR="00042563" w14:paraId="24126E08" w14:textId="77777777" w:rsidTr="00042563">
        <w:trPr>
          <w:trHeight w:val="730"/>
        </w:trPr>
        <w:tc>
          <w:tcPr>
            <w:tcW w:w="783" w:type="pct"/>
            <w:tcBorders>
              <w:top w:val="nil"/>
              <w:left w:val="nil"/>
              <w:bottom w:val="nil"/>
              <w:right w:val="nil"/>
            </w:tcBorders>
          </w:tcPr>
          <w:p w14:paraId="5FBFA52D" w14:textId="77777777" w:rsidR="00042563" w:rsidRPr="00CF6DA0" w:rsidRDefault="00042563" w:rsidP="009D7767">
            <w:pPr>
              <w:pStyle w:val="NormalIndented"/>
              <w:rPr>
                <w:rFonts w:eastAsia="Times New Roman"/>
                <w:iCs/>
                <w:sz w:val="16"/>
                <w:szCs w:val="16"/>
              </w:rPr>
            </w:pPr>
            <w:r w:rsidRPr="00CF6DA0">
              <w:rPr>
                <w:rFonts w:asciiTheme="minorHAnsi" w:eastAsia="Times New Roman" w:hAnsiTheme="minorHAnsi"/>
                <w:iCs/>
                <w:sz w:val="16"/>
                <w:szCs w:val="16"/>
                <w:lang w:eastAsia="en-US"/>
              </w:rPr>
              <w:t>Investing in Infrastructure</w:t>
            </w:r>
          </w:p>
        </w:tc>
        <w:tc>
          <w:tcPr>
            <w:tcW w:w="1476" w:type="pct"/>
            <w:tcBorders>
              <w:top w:val="nil"/>
              <w:left w:val="nil"/>
              <w:bottom w:val="nil"/>
              <w:right w:val="nil"/>
            </w:tcBorders>
          </w:tcPr>
          <w:p w14:paraId="56308763" w14:textId="77777777" w:rsidR="00042563" w:rsidRPr="00CF6DA0" w:rsidRDefault="00042563" w:rsidP="009D7767">
            <w:pPr>
              <w:pStyle w:val="NormalIndented"/>
              <w:rPr>
                <w:rFonts w:eastAsia="Times New Roman"/>
                <w:iCs/>
                <w:sz w:val="16"/>
                <w:szCs w:val="16"/>
              </w:rPr>
            </w:pPr>
            <w:r w:rsidRPr="00CF6DA0">
              <w:rPr>
                <w:rFonts w:asciiTheme="minorHAnsi" w:eastAsia="Times New Roman" w:hAnsiTheme="minorHAnsi"/>
                <w:iCs/>
                <w:sz w:val="16"/>
                <w:szCs w:val="16"/>
                <w:lang w:eastAsia="en-US"/>
              </w:rPr>
              <w:t>Construction and maintenance of economic infrastructure to support human development and foster commerce and trade</w:t>
            </w:r>
          </w:p>
        </w:tc>
        <w:tc>
          <w:tcPr>
            <w:tcW w:w="2741" w:type="pct"/>
            <w:tcBorders>
              <w:top w:val="nil"/>
              <w:left w:val="nil"/>
              <w:bottom w:val="nil"/>
              <w:right w:val="nil"/>
            </w:tcBorders>
          </w:tcPr>
          <w:p w14:paraId="1EC6CB37" w14:textId="77777777" w:rsidR="00042563" w:rsidRPr="00CF6DA0" w:rsidRDefault="00042563" w:rsidP="005468D2">
            <w:pPr>
              <w:pStyle w:val="NormalIndented"/>
              <w:numPr>
                <w:ilvl w:val="0"/>
                <w:numId w:val="11"/>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 xml:space="preserve">Electricity supply - effective maintenance of generators; documented reliable power supply; and proposals submitted </w:t>
            </w:r>
            <w:r>
              <w:rPr>
                <w:rFonts w:asciiTheme="minorHAnsi" w:eastAsia="Times New Roman" w:hAnsiTheme="minorHAnsi"/>
                <w:iCs/>
                <w:sz w:val="16"/>
                <w:szCs w:val="16"/>
                <w:lang w:eastAsia="en-US"/>
              </w:rPr>
              <w:t xml:space="preserve">to NUC </w:t>
            </w:r>
            <w:r w:rsidRPr="00CF6DA0">
              <w:rPr>
                <w:rFonts w:asciiTheme="minorHAnsi" w:eastAsia="Times New Roman" w:hAnsiTheme="minorHAnsi"/>
                <w:iCs/>
                <w:sz w:val="16"/>
                <w:szCs w:val="16"/>
                <w:lang w:eastAsia="en-US"/>
              </w:rPr>
              <w:t xml:space="preserve">for solar farm installation </w:t>
            </w:r>
          </w:p>
          <w:p w14:paraId="4B6EC62F" w14:textId="77777777" w:rsidR="00042563" w:rsidRPr="00CF6DA0" w:rsidRDefault="00042563" w:rsidP="005468D2">
            <w:pPr>
              <w:pStyle w:val="NormalIndented"/>
              <w:numPr>
                <w:ilvl w:val="0"/>
                <w:numId w:val="11"/>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 xml:space="preserve">Port Redevelopment - Progress </w:t>
            </w:r>
            <w:r w:rsidR="00C14DDD">
              <w:rPr>
                <w:rFonts w:asciiTheme="minorHAnsi" w:eastAsia="Times New Roman" w:hAnsiTheme="minorHAnsi"/>
                <w:iCs/>
                <w:sz w:val="16"/>
                <w:szCs w:val="16"/>
                <w:lang w:eastAsia="en-US"/>
              </w:rPr>
              <w:t>in</w:t>
            </w:r>
            <w:r w:rsidR="00C14DDD" w:rsidRPr="00CF6DA0">
              <w:rPr>
                <w:rFonts w:asciiTheme="minorHAnsi" w:eastAsia="Times New Roman" w:hAnsiTheme="minorHAnsi"/>
                <w:iCs/>
                <w:sz w:val="16"/>
                <w:szCs w:val="16"/>
                <w:lang w:eastAsia="en-US"/>
              </w:rPr>
              <w:t xml:space="preserve"> </w:t>
            </w:r>
            <w:r w:rsidRPr="00CF6DA0">
              <w:rPr>
                <w:rFonts w:asciiTheme="minorHAnsi" w:eastAsia="Times New Roman" w:hAnsiTheme="minorHAnsi"/>
                <w:iCs/>
                <w:sz w:val="16"/>
                <w:szCs w:val="16"/>
                <w:lang w:eastAsia="en-US"/>
              </w:rPr>
              <w:t xml:space="preserve">redevelopment works on track; </w:t>
            </w:r>
            <w:r w:rsidR="00C14DDD">
              <w:rPr>
                <w:rFonts w:asciiTheme="minorHAnsi" w:eastAsia="Times New Roman" w:hAnsiTheme="minorHAnsi"/>
                <w:iCs/>
                <w:sz w:val="16"/>
                <w:szCs w:val="16"/>
                <w:lang w:eastAsia="en-US"/>
              </w:rPr>
              <w:t>and</w:t>
            </w:r>
            <w:r w:rsidR="00C14DDD" w:rsidRPr="00CF6DA0">
              <w:rPr>
                <w:rFonts w:asciiTheme="minorHAnsi" w:eastAsia="Times New Roman" w:hAnsiTheme="minorHAnsi"/>
                <w:iCs/>
                <w:sz w:val="16"/>
                <w:szCs w:val="16"/>
                <w:lang w:eastAsia="en-US"/>
              </w:rPr>
              <w:t xml:space="preserve"> </w:t>
            </w:r>
            <w:r w:rsidRPr="00CF6DA0">
              <w:rPr>
                <w:rFonts w:asciiTheme="minorHAnsi" w:eastAsia="Times New Roman" w:hAnsiTheme="minorHAnsi"/>
                <w:iCs/>
                <w:sz w:val="16"/>
                <w:szCs w:val="16"/>
                <w:lang w:eastAsia="en-US"/>
              </w:rPr>
              <w:t>improved port operations</w:t>
            </w:r>
          </w:p>
          <w:p w14:paraId="73B5E4AB" w14:textId="77777777" w:rsidR="00042563" w:rsidRPr="00CF6DA0" w:rsidRDefault="00042563">
            <w:pPr>
              <w:pStyle w:val="NormalIndented"/>
              <w:numPr>
                <w:ilvl w:val="0"/>
                <w:numId w:val="11"/>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 xml:space="preserve">Indoor Sports Facility – managed, maintained and well utilised by men, women, boys and girls and </w:t>
            </w:r>
            <w:r w:rsidR="004B6C21">
              <w:rPr>
                <w:rFonts w:asciiTheme="minorHAnsi" w:eastAsia="Times New Roman" w:hAnsiTheme="minorHAnsi"/>
                <w:iCs/>
                <w:sz w:val="16"/>
                <w:szCs w:val="16"/>
                <w:lang w:eastAsia="en-US"/>
              </w:rPr>
              <w:t>social inclusion</w:t>
            </w:r>
            <w:r w:rsidR="004B6C21" w:rsidRPr="00CF6DA0">
              <w:rPr>
                <w:rFonts w:asciiTheme="minorHAnsi" w:eastAsia="Times New Roman" w:hAnsiTheme="minorHAnsi"/>
                <w:iCs/>
                <w:sz w:val="16"/>
                <w:szCs w:val="16"/>
                <w:lang w:eastAsia="en-US"/>
              </w:rPr>
              <w:t xml:space="preserve"> </w:t>
            </w:r>
            <w:r w:rsidRPr="00CF6DA0">
              <w:rPr>
                <w:rFonts w:asciiTheme="minorHAnsi" w:eastAsia="Times New Roman" w:hAnsiTheme="minorHAnsi"/>
                <w:iCs/>
                <w:sz w:val="16"/>
                <w:szCs w:val="16"/>
                <w:lang w:eastAsia="en-US"/>
              </w:rPr>
              <w:t>groups</w:t>
            </w:r>
          </w:p>
        </w:tc>
      </w:tr>
      <w:tr w:rsidR="00042563" w:rsidRPr="008A1A3C" w14:paraId="14E867DC" w14:textId="77777777" w:rsidTr="00042563">
        <w:trPr>
          <w:trHeight w:val="455"/>
        </w:trPr>
        <w:tc>
          <w:tcPr>
            <w:tcW w:w="783" w:type="pct"/>
            <w:tcBorders>
              <w:top w:val="nil"/>
              <w:left w:val="nil"/>
              <w:bottom w:val="nil"/>
              <w:right w:val="nil"/>
            </w:tcBorders>
          </w:tcPr>
          <w:p w14:paraId="7213F0C2" w14:textId="77777777" w:rsidR="00042563" w:rsidRPr="00CF6DA0" w:rsidRDefault="00042563" w:rsidP="00B22B04">
            <w:pPr>
              <w:pStyle w:val="NormalIndented"/>
              <w:rPr>
                <w:rFonts w:eastAsia="Times New Roman"/>
                <w:iCs/>
                <w:sz w:val="16"/>
                <w:szCs w:val="16"/>
              </w:rPr>
            </w:pPr>
            <w:r w:rsidRPr="00CF6DA0">
              <w:rPr>
                <w:rFonts w:asciiTheme="minorHAnsi" w:eastAsia="Times New Roman" w:hAnsiTheme="minorHAnsi"/>
                <w:iCs/>
                <w:sz w:val="16"/>
                <w:szCs w:val="16"/>
                <w:lang w:eastAsia="en-US"/>
              </w:rPr>
              <w:t>Supporting Human Development (Health)</w:t>
            </w:r>
          </w:p>
        </w:tc>
        <w:tc>
          <w:tcPr>
            <w:tcW w:w="1476" w:type="pct"/>
            <w:tcBorders>
              <w:top w:val="nil"/>
              <w:left w:val="nil"/>
              <w:bottom w:val="nil"/>
              <w:right w:val="nil"/>
            </w:tcBorders>
          </w:tcPr>
          <w:p w14:paraId="02084A1A" w14:textId="77777777" w:rsidR="00042563" w:rsidRPr="00CF6DA0" w:rsidRDefault="00042563" w:rsidP="00C14DDD">
            <w:pPr>
              <w:pStyle w:val="NormalIndented"/>
              <w:rPr>
                <w:rFonts w:eastAsia="Times New Roman"/>
                <w:iCs/>
                <w:sz w:val="16"/>
                <w:szCs w:val="16"/>
              </w:rPr>
            </w:pPr>
            <w:r w:rsidRPr="00CF6DA0">
              <w:rPr>
                <w:rFonts w:asciiTheme="minorHAnsi" w:eastAsia="Times New Roman" w:hAnsiTheme="minorHAnsi"/>
                <w:iCs/>
                <w:sz w:val="16"/>
                <w:szCs w:val="16"/>
                <w:lang w:eastAsia="en-US"/>
              </w:rPr>
              <w:t xml:space="preserve">Systems and services are responsive to people’s health needs through: (i) </w:t>
            </w:r>
            <w:r w:rsidR="00C14DDD" w:rsidRPr="00CF6DA0">
              <w:rPr>
                <w:rFonts w:asciiTheme="minorHAnsi" w:eastAsia="Times New Roman" w:hAnsiTheme="minorHAnsi"/>
                <w:iCs/>
                <w:sz w:val="16"/>
                <w:szCs w:val="16"/>
                <w:lang w:eastAsia="en-US"/>
              </w:rPr>
              <w:t>strengthen</w:t>
            </w:r>
            <w:r w:rsidR="00C14DDD">
              <w:rPr>
                <w:rFonts w:asciiTheme="minorHAnsi" w:eastAsia="Times New Roman" w:hAnsiTheme="minorHAnsi"/>
                <w:iCs/>
                <w:sz w:val="16"/>
                <w:szCs w:val="16"/>
                <w:lang w:eastAsia="en-US"/>
              </w:rPr>
              <w:t>ed</w:t>
            </w:r>
            <w:r w:rsidR="00C14DDD" w:rsidRPr="00CF6DA0">
              <w:rPr>
                <w:rFonts w:asciiTheme="minorHAnsi" w:eastAsia="Times New Roman" w:hAnsiTheme="minorHAnsi"/>
                <w:iCs/>
                <w:sz w:val="16"/>
                <w:szCs w:val="16"/>
                <w:lang w:eastAsia="en-US"/>
              </w:rPr>
              <w:t xml:space="preserve"> </w:t>
            </w:r>
            <w:r w:rsidRPr="00CF6DA0">
              <w:rPr>
                <w:rFonts w:asciiTheme="minorHAnsi" w:eastAsia="Times New Roman" w:hAnsiTheme="minorHAnsi"/>
                <w:iCs/>
                <w:sz w:val="16"/>
                <w:szCs w:val="16"/>
                <w:lang w:eastAsia="en-US"/>
              </w:rPr>
              <w:t>health system management; (ii) supporting primary health care; (iii) curative care; and (iv) support services and networking</w:t>
            </w:r>
          </w:p>
        </w:tc>
        <w:tc>
          <w:tcPr>
            <w:tcW w:w="2741" w:type="pct"/>
            <w:tcBorders>
              <w:top w:val="nil"/>
              <w:left w:val="nil"/>
              <w:bottom w:val="nil"/>
              <w:right w:val="nil"/>
            </w:tcBorders>
          </w:tcPr>
          <w:p w14:paraId="130F723C" w14:textId="77777777" w:rsidR="00042563" w:rsidRPr="00CF6DA0" w:rsidRDefault="00042563" w:rsidP="005468D2">
            <w:pPr>
              <w:pStyle w:val="NormalIndented"/>
              <w:numPr>
                <w:ilvl w:val="0"/>
                <w:numId w:val="11"/>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O</w:t>
            </w:r>
            <w:r>
              <w:rPr>
                <w:rFonts w:asciiTheme="minorHAnsi" w:eastAsia="Times New Roman" w:hAnsiTheme="minorHAnsi"/>
                <w:iCs/>
                <w:sz w:val="16"/>
                <w:szCs w:val="16"/>
                <w:lang w:eastAsia="en-US"/>
              </w:rPr>
              <w:t xml:space="preserve">perational </w:t>
            </w:r>
            <w:r w:rsidRPr="00CF6DA0">
              <w:rPr>
                <w:rFonts w:asciiTheme="minorHAnsi" w:eastAsia="Times New Roman" w:hAnsiTheme="minorHAnsi"/>
                <w:iCs/>
                <w:sz w:val="16"/>
                <w:szCs w:val="16"/>
                <w:lang w:eastAsia="en-US"/>
              </w:rPr>
              <w:t>A</w:t>
            </w:r>
            <w:r>
              <w:rPr>
                <w:rFonts w:asciiTheme="minorHAnsi" w:eastAsia="Times New Roman" w:hAnsiTheme="minorHAnsi"/>
                <w:iCs/>
                <w:sz w:val="16"/>
                <w:szCs w:val="16"/>
                <w:lang w:eastAsia="en-US"/>
              </w:rPr>
              <w:t>ccount</w:t>
            </w:r>
            <w:r w:rsidRPr="00CF6DA0">
              <w:rPr>
                <w:rFonts w:asciiTheme="minorHAnsi" w:eastAsia="Times New Roman" w:hAnsiTheme="minorHAnsi"/>
                <w:iCs/>
                <w:sz w:val="16"/>
                <w:szCs w:val="16"/>
                <w:lang w:eastAsia="en-US"/>
              </w:rPr>
              <w:t xml:space="preserve"> – funds administered appropriately on an agreed basis for activities to support the Health Annual Operational Plan</w:t>
            </w:r>
          </w:p>
          <w:p w14:paraId="529E1069" w14:textId="77777777" w:rsidR="00042563" w:rsidRPr="00CF6DA0" w:rsidRDefault="00042563" w:rsidP="005468D2">
            <w:pPr>
              <w:pStyle w:val="NormalIndented"/>
              <w:numPr>
                <w:ilvl w:val="0"/>
                <w:numId w:val="11"/>
              </w:numPr>
              <w:rPr>
                <w:rFonts w:eastAsia="Times New Roman"/>
                <w:iCs/>
                <w:sz w:val="16"/>
                <w:szCs w:val="16"/>
              </w:rPr>
            </w:pPr>
            <w:r w:rsidRPr="00CF6DA0">
              <w:rPr>
                <w:rFonts w:asciiTheme="minorHAnsi" w:eastAsia="Times New Roman" w:hAnsiTheme="minorHAnsi"/>
                <w:iCs/>
                <w:sz w:val="16"/>
                <w:szCs w:val="16"/>
                <w:lang w:eastAsia="en-US"/>
              </w:rPr>
              <w:t>Improve the health sector response and services to victims of domestic violence and establish child protection services in communities</w:t>
            </w:r>
          </w:p>
        </w:tc>
      </w:tr>
      <w:tr w:rsidR="00042563" w:rsidRPr="008A1A3C" w14:paraId="5A5481B7" w14:textId="77777777" w:rsidTr="00042563">
        <w:trPr>
          <w:trHeight w:val="455"/>
        </w:trPr>
        <w:tc>
          <w:tcPr>
            <w:tcW w:w="783" w:type="pct"/>
            <w:tcBorders>
              <w:top w:val="nil"/>
              <w:left w:val="nil"/>
              <w:bottom w:val="nil"/>
              <w:right w:val="nil"/>
            </w:tcBorders>
          </w:tcPr>
          <w:p w14:paraId="32E522FD" w14:textId="77777777" w:rsidR="00042563" w:rsidRPr="00CF6DA0" w:rsidRDefault="00042563" w:rsidP="00B22B04">
            <w:pPr>
              <w:pStyle w:val="NormalIndented"/>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Supporting Human Development (Education)</w:t>
            </w:r>
          </w:p>
        </w:tc>
        <w:tc>
          <w:tcPr>
            <w:tcW w:w="1476" w:type="pct"/>
            <w:tcBorders>
              <w:top w:val="nil"/>
              <w:left w:val="nil"/>
              <w:bottom w:val="nil"/>
              <w:right w:val="nil"/>
            </w:tcBorders>
          </w:tcPr>
          <w:p w14:paraId="1B7C0301" w14:textId="77777777" w:rsidR="00042563" w:rsidRPr="00CF6DA0" w:rsidRDefault="00042563" w:rsidP="00B22B04">
            <w:pPr>
              <w:pStyle w:val="NormalIndented"/>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Implementation of education pathways that develop locally and regionally relevant skills</w:t>
            </w:r>
          </w:p>
        </w:tc>
        <w:tc>
          <w:tcPr>
            <w:tcW w:w="2741" w:type="pct"/>
            <w:tcBorders>
              <w:top w:val="nil"/>
              <w:left w:val="nil"/>
              <w:bottom w:val="nil"/>
              <w:right w:val="nil"/>
            </w:tcBorders>
          </w:tcPr>
          <w:p w14:paraId="7F8BEE96" w14:textId="77777777" w:rsidR="00042563" w:rsidRPr="00CF6DA0" w:rsidRDefault="00042563" w:rsidP="005468D2">
            <w:pPr>
              <w:pStyle w:val="NormalIndented"/>
              <w:numPr>
                <w:ilvl w:val="0"/>
                <w:numId w:val="11"/>
              </w:numPr>
              <w:rPr>
                <w:rFonts w:asciiTheme="minorHAnsi" w:eastAsia="Times New Roman" w:hAnsiTheme="minorHAnsi"/>
                <w:iCs/>
                <w:sz w:val="16"/>
                <w:szCs w:val="16"/>
                <w:lang w:eastAsia="en-US"/>
              </w:rPr>
            </w:pPr>
            <w:r>
              <w:rPr>
                <w:rFonts w:asciiTheme="minorHAnsi" w:eastAsia="Times New Roman" w:hAnsiTheme="minorHAnsi"/>
                <w:iCs/>
                <w:sz w:val="16"/>
                <w:szCs w:val="16"/>
                <w:lang w:eastAsia="en-US"/>
              </w:rPr>
              <w:t>Nauru</w:t>
            </w:r>
            <w:r w:rsidRPr="00CF6DA0">
              <w:rPr>
                <w:rFonts w:asciiTheme="minorHAnsi" w:eastAsia="Times New Roman" w:hAnsiTheme="minorHAnsi"/>
                <w:iCs/>
                <w:sz w:val="16"/>
                <w:szCs w:val="16"/>
                <w:lang w:eastAsia="en-US"/>
              </w:rPr>
              <w:t xml:space="preserve"> Education Strategic Plan – benchmarks to be determined in consultation with Education Adviser </w:t>
            </w:r>
          </w:p>
          <w:p w14:paraId="364CFDA8" w14:textId="77777777" w:rsidR="00042563" w:rsidRPr="00CF6DA0" w:rsidRDefault="00042563" w:rsidP="005468D2">
            <w:pPr>
              <w:pStyle w:val="NormalIndented"/>
              <w:numPr>
                <w:ilvl w:val="0"/>
                <w:numId w:val="11"/>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O</w:t>
            </w:r>
            <w:r>
              <w:rPr>
                <w:rFonts w:asciiTheme="minorHAnsi" w:eastAsia="Times New Roman" w:hAnsiTheme="minorHAnsi"/>
                <w:iCs/>
                <w:sz w:val="16"/>
                <w:szCs w:val="16"/>
                <w:lang w:eastAsia="en-US"/>
              </w:rPr>
              <w:t xml:space="preserve">perational </w:t>
            </w:r>
            <w:r w:rsidRPr="00CF6DA0">
              <w:rPr>
                <w:rFonts w:asciiTheme="minorHAnsi" w:eastAsia="Times New Roman" w:hAnsiTheme="minorHAnsi"/>
                <w:iCs/>
                <w:sz w:val="16"/>
                <w:szCs w:val="16"/>
                <w:lang w:eastAsia="en-US"/>
              </w:rPr>
              <w:t>A</w:t>
            </w:r>
            <w:r>
              <w:rPr>
                <w:rFonts w:asciiTheme="minorHAnsi" w:eastAsia="Times New Roman" w:hAnsiTheme="minorHAnsi"/>
                <w:iCs/>
                <w:sz w:val="16"/>
                <w:szCs w:val="16"/>
                <w:lang w:eastAsia="en-US"/>
              </w:rPr>
              <w:t>ccount</w:t>
            </w:r>
            <w:r w:rsidRPr="00CF6DA0">
              <w:rPr>
                <w:rFonts w:asciiTheme="minorHAnsi" w:eastAsia="Times New Roman" w:hAnsiTheme="minorHAnsi"/>
                <w:iCs/>
                <w:sz w:val="16"/>
                <w:szCs w:val="16"/>
                <w:lang w:eastAsia="en-US"/>
              </w:rPr>
              <w:t xml:space="preserve"> – funds administered appropriately on an agreed basis for activities to support the Education Strategic Plan</w:t>
            </w:r>
          </w:p>
          <w:p w14:paraId="42ABF7F6" w14:textId="77777777" w:rsidR="00042563" w:rsidRPr="00CF6DA0" w:rsidRDefault="00042563" w:rsidP="005468D2">
            <w:pPr>
              <w:pStyle w:val="NormalIndented"/>
              <w:numPr>
                <w:ilvl w:val="0"/>
                <w:numId w:val="11"/>
              </w:numPr>
              <w:rPr>
                <w:rFonts w:asciiTheme="minorHAnsi" w:eastAsia="Times New Roman" w:hAnsiTheme="minorHAnsi"/>
                <w:iCs/>
                <w:sz w:val="16"/>
                <w:szCs w:val="16"/>
                <w:lang w:eastAsia="en-US"/>
              </w:rPr>
            </w:pPr>
            <w:r w:rsidRPr="00CF6DA0">
              <w:rPr>
                <w:rFonts w:asciiTheme="minorHAnsi" w:eastAsia="Times New Roman" w:hAnsiTheme="minorHAnsi"/>
                <w:iCs/>
                <w:sz w:val="16"/>
                <w:szCs w:val="16"/>
                <w:lang w:eastAsia="en-US"/>
              </w:rPr>
              <w:t>TVET – a range of courses for in-demand qualifications are delivered to adult learners in Nauru</w:t>
            </w:r>
            <w:r w:rsidR="004B6C21">
              <w:rPr>
                <w:rFonts w:asciiTheme="minorHAnsi" w:eastAsia="Times New Roman" w:hAnsiTheme="minorHAnsi"/>
                <w:iCs/>
                <w:sz w:val="16"/>
                <w:szCs w:val="16"/>
                <w:lang w:eastAsia="en-US"/>
              </w:rPr>
              <w:t xml:space="preserve"> or through sponsored pathways</w:t>
            </w:r>
          </w:p>
        </w:tc>
      </w:tr>
    </w:tbl>
    <w:p w14:paraId="77013227" w14:textId="77777777" w:rsidR="00AF1B85" w:rsidRPr="00574C83" w:rsidRDefault="00184F1E" w:rsidP="00574C83">
      <w:pPr>
        <w:pStyle w:val="Subtitle"/>
        <w:rPr>
          <w:rFonts w:ascii="Franklin Gothic Book" w:eastAsia="Times New Roman" w:hAnsi="Franklin Gothic Book"/>
          <w:color w:val="3DA18F" w:themeColor="accent1" w:themeShade="BF"/>
          <w:sz w:val="21"/>
        </w:rPr>
      </w:pPr>
      <w:r>
        <w:br w:type="page"/>
      </w:r>
      <w:r w:rsidR="00AF1B85" w:rsidRPr="00A8197B">
        <w:t xml:space="preserve">Annex </w:t>
      </w:r>
      <w:r>
        <w:t>C</w:t>
      </w:r>
      <w:r w:rsidR="00AF1B85" w:rsidRPr="00A8197B">
        <w:t xml:space="preserve"> - Evaluation Planning</w:t>
      </w:r>
    </w:p>
    <w:p w14:paraId="03EDF8DC" w14:textId="77777777"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AF1B85" w:rsidRPr="00C61187" w14:paraId="48EAE6F7" w14:textId="77777777" w:rsidTr="00AF1B85">
        <w:trPr>
          <w:cnfStyle w:val="100000000000" w:firstRow="1" w:lastRow="0" w:firstColumn="0" w:lastColumn="0" w:oddVBand="0" w:evenVBand="0" w:oddHBand="0" w:evenHBand="0" w:firstRowFirstColumn="0" w:firstRowLastColumn="0" w:lastRowFirstColumn="0" w:lastRowLastColumn="0"/>
        </w:trPr>
        <w:tc>
          <w:tcPr>
            <w:tcW w:w="3064" w:type="dxa"/>
          </w:tcPr>
          <w:p w14:paraId="5B70B89B" w14:textId="77777777" w:rsidR="00AF1B85" w:rsidRPr="00812509" w:rsidRDefault="00AF1B85" w:rsidP="0066365A">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Investment number and name </w:t>
            </w:r>
            <w:r w:rsidR="0066365A">
              <w:rPr>
                <w:rFonts w:asciiTheme="minorHAnsi" w:eastAsia="Times New Roman" w:hAnsiTheme="minorHAnsi"/>
                <w:iCs/>
                <w:szCs w:val="17"/>
                <w:lang w:eastAsia="en-US"/>
              </w:rPr>
              <w:t xml:space="preserve">                </w:t>
            </w:r>
            <w:r w:rsidRPr="00812509">
              <w:rPr>
                <w:rFonts w:asciiTheme="minorHAnsi" w:eastAsia="Times New Roman" w:hAnsiTheme="minorHAnsi"/>
                <w:iCs/>
                <w:szCs w:val="17"/>
                <w:lang w:eastAsia="en-US"/>
              </w:rPr>
              <w:t xml:space="preserve">(if applicable) </w:t>
            </w:r>
          </w:p>
        </w:tc>
        <w:tc>
          <w:tcPr>
            <w:tcW w:w="3665" w:type="dxa"/>
          </w:tcPr>
          <w:p w14:paraId="0E67045A"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Pr>
          <w:p w14:paraId="211EB5B5"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Pr>
          <w:p w14:paraId="322D9F65"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Pr>
          <w:p w14:paraId="1B48B9D7"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Pr>
          <w:p w14:paraId="500E1FE8"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AF1B85" w:rsidRPr="003B5EE5" w14:paraId="312FC80F" w14:textId="77777777" w:rsidTr="00AF1B85">
        <w:trPr>
          <w:cnfStyle w:val="100000000000" w:firstRow="1" w:lastRow="0" w:firstColumn="0" w:lastColumn="0" w:oddVBand="0" w:evenVBand="0" w:oddHBand="0" w:evenHBand="0" w:firstRowFirstColumn="0" w:firstRowLastColumn="0" w:lastRowFirstColumn="0" w:lastRowLastColumn="0"/>
        </w:trPr>
        <w:tc>
          <w:tcPr>
            <w:tcW w:w="3064" w:type="dxa"/>
          </w:tcPr>
          <w:p w14:paraId="76AB69D8" w14:textId="77777777" w:rsidR="00AF1B85" w:rsidRPr="00812509" w:rsidRDefault="00AF1B85" w:rsidP="009020CC">
            <w:pPr>
              <w:keepLines/>
              <w:spacing w:before="40" w:after="40" w:line="200" w:lineRule="atLeast"/>
              <w:rPr>
                <w:rFonts w:asciiTheme="minorHAnsi" w:eastAsia="Times New Roman" w:hAnsiTheme="minorHAnsi"/>
                <w:b w:val="0"/>
                <w:iCs/>
                <w:szCs w:val="17"/>
                <w:lang w:eastAsia="en-US"/>
              </w:rPr>
            </w:pPr>
            <w:r w:rsidRPr="00812509">
              <w:rPr>
                <w:rFonts w:asciiTheme="minorHAnsi" w:eastAsia="Times New Roman" w:hAnsiTheme="minorHAnsi"/>
                <w:b w:val="0"/>
                <w:iCs/>
                <w:szCs w:val="17"/>
                <w:lang w:eastAsia="en-US"/>
              </w:rPr>
              <w:t>INK</w:t>
            </w:r>
            <w:r w:rsidR="009020CC">
              <w:rPr>
                <w:rFonts w:asciiTheme="minorHAnsi" w:eastAsia="Times New Roman" w:hAnsiTheme="minorHAnsi"/>
                <w:b w:val="0"/>
                <w:iCs/>
                <w:szCs w:val="17"/>
                <w:lang w:eastAsia="en-US"/>
              </w:rPr>
              <w:t xml:space="preserve">496 Pacific Women Shaping Pacific Development  </w:t>
            </w:r>
          </w:p>
        </w:tc>
        <w:tc>
          <w:tcPr>
            <w:tcW w:w="3665" w:type="dxa"/>
          </w:tcPr>
          <w:p w14:paraId="290874B0" w14:textId="77777777" w:rsidR="00AF1B85" w:rsidRPr="00812509" w:rsidRDefault="009020CC"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Review of Nauru Gender Country Plan</w:t>
            </w:r>
          </w:p>
        </w:tc>
        <w:tc>
          <w:tcPr>
            <w:tcW w:w="1397" w:type="dxa"/>
          </w:tcPr>
          <w:p w14:paraId="44714919" w14:textId="77777777" w:rsidR="00AF1B85" w:rsidRPr="00812509" w:rsidRDefault="00A17BE5"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July 2018</w:t>
            </w:r>
          </w:p>
        </w:tc>
        <w:tc>
          <w:tcPr>
            <w:tcW w:w="1953" w:type="dxa"/>
          </w:tcPr>
          <w:p w14:paraId="490E10A9" w14:textId="77777777" w:rsidR="00AF1B85" w:rsidRPr="00812509" w:rsidRDefault="00A17BE5"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Pending</w:t>
            </w:r>
          </w:p>
        </w:tc>
        <w:tc>
          <w:tcPr>
            <w:tcW w:w="1671" w:type="dxa"/>
          </w:tcPr>
          <w:p w14:paraId="3BA1EF4C" w14:textId="77777777" w:rsidR="00AF1B85" w:rsidRPr="00812509" w:rsidRDefault="00A17BE5"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Pending</w:t>
            </w:r>
          </w:p>
        </w:tc>
        <w:tc>
          <w:tcPr>
            <w:tcW w:w="2365" w:type="dxa"/>
          </w:tcPr>
          <w:p w14:paraId="4E661086" w14:textId="77777777" w:rsidR="00AF1B85" w:rsidRDefault="00A17BE5" w:rsidP="003E305C">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P</w:t>
            </w:r>
            <w:r w:rsidR="009020CC">
              <w:rPr>
                <w:rFonts w:asciiTheme="minorHAnsi" w:eastAsia="Times New Roman" w:hAnsiTheme="minorHAnsi"/>
                <w:b w:val="0"/>
                <w:iCs/>
                <w:szCs w:val="17"/>
                <w:lang w:eastAsia="en-US"/>
              </w:rPr>
              <w:t>ending</w:t>
            </w:r>
          </w:p>
          <w:p w14:paraId="3C94BD52" w14:textId="77777777" w:rsidR="00601839" w:rsidRPr="00812509" w:rsidRDefault="00601839" w:rsidP="003E305C">
            <w:pPr>
              <w:keepLines/>
              <w:spacing w:before="40" w:after="40" w:line="200" w:lineRule="atLeast"/>
              <w:rPr>
                <w:rFonts w:asciiTheme="minorHAnsi" w:eastAsia="Times New Roman" w:hAnsiTheme="minorHAnsi"/>
                <w:b w:val="0"/>
                <w:iCs/>
                <w:szCs w:val="17"/>
                <w:lang w:eastAsia="en-US"/>
              </w:rPr>
            </w:pPr>
          </w:p>
        </w:tc>
      </w:tr>
      <w:tr w:rsidR="00B433BF" w:rsidRPr="003B5EE5" w14:paraId="59C8512C" w14:textId="77777777" w:rsidTr="00AF1B85">
        <w:trPr>
          <w:cnfStyle w:val="100000000000" w:firstRow="1" w:lastRow="0" w:firstColumn="0" w:lastColumn="0" w:oddVBand="0" w:evenVBand="0" w:oddHBand="0" w:evenHBand="0" w:firstRowFirstColumn="0" w:firstRowLastColumn="0" w:lastRowFirstColumn="0" w:lastRowLastColumn="0"/>
        </w:trPr>
        <w:tc>
          <w:tcPr>
            <w:tcW w:w="3064" w:type="dxa"/>
          </w:tcPr>
          <w:p w14:paraId="111AB60D" w14:textId="77777777" w:rsidR="00B433BF" w:rsidRPr="00A17BE5" w:rsidRDefault="00A17BE5" w:rsidP="009020CC">
            <w:pPr>
              <w:keepLines/>
              <w:spacing w:before="40" w:after="40" w:line="200" w:lineRule="atLeast"/>
              <w:rPr>
                <w:rFonts w:asciiTheme="minorHAnsi" w:eastAsia="Times New Roman" w:hAnsiTheme="minorHAnsi"/>
                <w:b w:val="0"/>
                <w:iCs/>
                <w:szCs w:val="17"/>
                <w:lang w:eastAsia="en-US"/>
              </w:rPr>
            </w:pPr>
            <w:r w:rsidRPr="00A17BE5">
              <w:rPr>
                <w:rFonts w:asciiTheme="minorHAnsi" w:eastAsia="Times New Roman" w:hAnsiTheme="minorHAnsi"/>
                <w:b w:val="0"/>
                <w:iCs/>
                <w:szCs w:val="17"/>
                <w:lang w:eastAsia="en-US"/>
              </w:rPr>
              <w:t>INI970 Nauru Improved Health</w:t>
            </w:r>
          </w:p>
        </w:tc>
        <w:tc>
          <w:tcPr>
            <w:tcW w:w="3665" w:type="dxa"/>
          </w:tcPr>
          <w:p w14:paraId="48C6D8F4" w14:textId="77777777" w:rsidR="00B433BF" w:rsidRPr="00A17BE5" w:rsidRDefault="00A17BE5"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Review of Nauru Improved Health Investment</w:t>
            </w:r>
          </w:p>
        </w:tc>
        <w:tc>
          <w:tcPr>
            <w:tcW w:w="1397" w:type="dxa"/>
          </w:tcPr>
          <w:p w14:paraId="0F7DE661" w14:textId="77777777" w:rsidR="00B433BF" w:rsidRPr="00A17BE5" w:rsidRDefault="00A17BE5"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February 2018</w:t>
            </w:r>
          </w:p>
        </w:tc>
        <w:tc>
          <w:tcPr>
            <w:tcW w:w="1953" w:type="dxa"/>
          </w:tcPr>
          <w:p w14:paraId="6BFBD3A1" w14:textId="77777777" w:rsidR="00B433BF" w:rsidRPr="00A17BE5" w:rsidRDefault="00A17BE5"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Pending</w:t>
            </w:r>
          </w:p>
        </w:tc>
        <w:tc>
          <w:tcPr>
            <w:tcW w:w="1671" w:type="dxa"/>
          </w:tcPr>
          <w:p w14:paraId="36F2B0C3" w14:textId="77777777" w:rsidR="00B433BF" w:rsidRPr="00A17BE5" w:rsidRDefault="00A17BE5"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Pending</w:t>
            </w:r>
          </w:p>
        </w:tc>
        <w:tc>
          <w:tcPr>
            <w:tcW w:w="2365" w:type="dxa"/>
          </w:tcPr>
          <w:p w14:paraId="17740AA0" w14:textId="77777777" w:rsidR="00B433BF" w:rsidRPr="00A17BE5" w:rsidRDefault="00A17BE5" w:rsidP="003E305C">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Pending</w:t>
            </w:r>
          </w:p>
        </w:tc>
      </w:tr>
    </w:tbl>
    <w:p w14:paraId="74DEF5E6" w14:textId="77777777"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program prioritised evaluations planned for the next 12 months </w:t>
      </w:r>
    </w:p>
    <w:tbl>
      <w:tblPr>
        <w:tblStyle w:val="APPR"/>
        <w:tblW w:w="14311" w:type="dxa"/>
        <w:tblLook w:val="0600" w:firstRow="0" w:lastRow="0" w:firstColumn="0" w:lastColumn="0" w:noHBand="1" w:noVBand="1"/>
      </w:tblPr>
      <w:tblGrid>
        <w:gridCol w:w="2486"/>
        <w:gridCol w:w="2384"/>
        <w:gridCol w:w="2070"/>
        <w:gridCol w:w="2236"/>
        <w:gridCol w:w="2353"/>
        <w:gridCol w:w="2782"/>
      </w:tblGrid>
      <w:tr w:rsidR="00AF1B85" w:rsidRPr="00C61187" w14:paraId="4B2423D8" w14:textId="77777777" w:rsidTr="005E606B">
        <w:tc>
          <w:tcPr>
            <w:tcW w:w="2444" w:type="dxa"/>
          </w:tcPr>
          <w:p w14:paraId="288C6E7E"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14:paraId="2E77AE04"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14:paraId="405BABEA"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14:paraId="17DF0F65"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14:paraId="635E51EF"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14:paraId="347A192A"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AF1B85" w:rsidRPr="00C61187" w14:paraId="6B8EBB0C" w14:textId="77777777" w:rsidTr="005E606B">
        <w:tc>
          <w:tcPr>
            <w:tcW w:w="2444" w:type="dxa"/>
          </w:tcPr>
          <w:p w14:paraId="447FE92A" w14:textId="77777777" w:rsidR="006A0AF2" w:rsidRDefault="00444A5A"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Education sector investment review</w:t>
            </w:r>
            <w:r w:rsidRPr="00812509">
              <w:rPr>
                <w:rFonts w:asciiTheme="minorHAnsi" w:eastAsia="Times New Roman" w:hAnsiTheme="minorHAnsi"/>
                <w:iCs/>
                <w:szCs w:val="17"/>
                <w:lang w:eastAsia="en-US"/>
              </w:rPr>
              <w:t xml:space="preserve"> </w:t>
            </w:r>
          </w:p>
          <w:p w14:paraId="7A20C5F9" w14:textId="77777777" w:rsidR="00801B13" w:rsidRDefault="00801B13" w:rsidP="00D15A00">
            <w:pPr>
              <w:keepLines/>
              <w:spacing w:before="40" w:after="40" w:line="200" w:lineRule="atLeast"/>
              <w:rPr>
                <w:rFonts w:asciiTheme="minorHAnsi" w:eastAsia="Times New Roman" w:hAnsiTheme="minorHAnsi"/>
                <w:iCs/>
                <w:szCs w:val="17"/>
                <w:lang w:eastAsia="en-US"/>
              </w:rPr>
            </w:pPr>
          </w:p>
          <w:p w14:paraId="5657D9DE" w14:textId="77777777" w:rsidR="00AF1B85" w:rsidRPr="00812509" w:rsidRDefault="00801B13"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Infrastructure </w:t>
            </w:r>
            <w:r w:rsidR="006A0AF2">
              <w:rPr>
                <w:rFonts w:asciiTheme="minorHAnsi" w:eastAsia="Times New Roman" w:hAnsiTheme="minorHAnsi"/>
                <w:iCs/>
                <w:szCs w:val="17"/>
                <w:lang w:eastAsia="en-US"/>
              </w:rPr>
              <w:t xml:space="preserve"> sector investment review</w:t>
            </w:r>
            <w:r w:rsidR="00AF1B85" w:rsidRPr="00812509">
              <w:rPr>
                <w:rFonts w:asciiTheme="minorHAnsi" w:eastAsia="Times New Roman" w:hAnsiTheme="minorHAnsi"/>
                <w:iCs/>
                <w:szCs w:val="17"/>
                <w:lang w:eastAsia="en-US"/>
              </w:rPr>
              <w:t xml:space="preserve"> </w:t>
            </w:r>
          </w:p>
        </w:tc>
        <w:tc>
          <w:tcPr>
            <w:tcW w:w="2356" w:type="dxa"/>
          </w:tcPr>
          <w:p w14:paraId="034DEF98" w14:textId="77777777" w:rsidR="005621D5" w:rsidRDefault="005621D5"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INI950 Nauru Improved Education</w:t>
            </w:r>
          </w:p>
          <w:p w14:paraId="5FED5ACE" w14:textId="77777777" w:rsidR="005621D5" w:rsidRDefault="005621D5" w:rsidP="00D15A00">
            <w:pPr>
              <w:keepLines/>
              <w:spacing w:before="40" w:after="40" w:line="200" w:lineRule="atLeast"/>
              <w:rPr>
                <w:rFonts w:asciiTheme="minorHAnsi" w:eastAsia="Times New Roman" w:hAnsiTheme="minorHAnsi"/>
                <w:iCs/>
                <w:szCs w:val="17"/>
                <w:lang w:eastAsia="en-US"/>
              </w:rPr>
            </w:pPr>
          </w:p>
          <w:p w14:paraId="2FC180B5" w14:textId="77777777" w:rsidR="00AF1B85" w:rsidRPr="00812509" w:rsidRDefault="005A60BF" w:rsidP="005A60B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INI949</w:t>
            </w:r>
            <w:r w:rsidR="005621D5">
              <w:rPr>
                <w:rFonts w:asciiTheme="minorHAnsi" w:eastAsia="Times New Roman" w:hAnsiTheme="minorHAnsi"/>
                <w:iCs/>
                <w:szCs w:val="17"/>
                <w:lang w:eastAsia="en-US"/>
              </w:rPr>
              <w:t xml:space="preserve"> Nauru </w:t>
            </w:r>
            <w:r>
              <w:rPr>
                <w:rFonts w:asciiTheme="minorHAnsi" w:eastAsia="Times New Roman" w:hAnsiTheme="minorHAnsi"/>
                <w:iCs/>
                <w:szCs w:val="17"/>
                <w:lang w:eastAsia="en-US"/>
              </w:rPr>
              <w:t>Infrastructure and Services</w:t>
            </w:r>
          </w:p>
        </w:tc>
        <w:tc>
          <w:tcPr>
            <w:tcW w:w="2042" w:type="dxa"/>
          </w:tcPr>
          <w:p w14:paraId="2D737181" w14:textId="77777777" w:rsidR="005621D5" w:rsidRPr="0066365A" w:rsidRDefault="00801B13"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January</w:t>
            </w:r>
            <w:r w:rsidR="0066365A">
              <w:rPr>
                <w:rFonts w:asciiTheme="minorHAnsi" w:eastAsia="Times New Roman" w:hAnsiTheme="minorHAnsi"/>
                <w:iCs/>
                <w:szCs w:val="17"/>
                <w:lang w:eastAsia="en-US"/>
              </w:rPr>
              <w:t xml:space="preserve"> 2018</w:t>
            </w:r>
          </w:p>
          <w:p w14:paraId="40D61BDC" w14:textId="77777777" w:rsidR="005621D5" w:rsidRPr="0066365A" w:rsidRDefault="005621D5" w:rsidP="00D15A00">
            <w:pPr>
              <w:keepLines/>
              <w:spacing w:before="40" w:after="40" w:line="200" w:lineRule="atLeast"/>
              <w:rPr>
                <w:rFonts w:asciiTheme="minorHAnsi" w:eastAsia="Times New Roman" w:hAnsiTheme="minorHAnsi"/>
                <w:iCs/>
                <w:szCs w:val="17"/>
                <w:lang w:eastAsia="en-US"/>
              </w:rPr>
            </w:pPr>
          </w:p>
          <w:p w14:paraId="70F79106" w14:textId="77777777" w:rsidR="005621D5" w:rsidRPr="0066365A" w:rsidRDefault="005621D5" w:rsidP="00D15A00">
            <w:pPr>
              <w:keepLines/>
              <w:spacing w:before="40" w:after="40" w:line="200" w:lineRule="atLeast"/>
              <w:rPr>
                <w:rFonts w:asciiTheme="minorHAnsi" w:eastAsia="Times New Roman" w:hAnsiTheme="minorHAnsi"/>
                <w:iCs/>
                <w:szCs w:val="17"/>
                <w:lang w:eastAsia="en-US"/>
              </w:rPr>
            </w:pPr>
          </w:p>
          <w:p w14:paraId="648385AB" w14:textId="77777777" w:rsidR="005621D5" w:rsidRPr="0066365A" w:rsidRDefault="00801B13" w:rsidP="0066365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January</w:t>
            </w:r>
            <w:r w:rsidR="0066365A">
              <w:rPr>
                <w:rFonts w:asciiTheme="minorHAnsi" w:eastAsia="Times New Roman" w:hAnsiTheme="minorHAnsi"/>
                <w:iCs/>
                <w:szCs w:val="17"/>
                <w:lang w:eastAsia="en-US"/>
              </w:rPr>
              <w:t xml:space="preserve"> 2018</w:t>
            </w:r>
          </w:p>
        </w:tc>
        <w:tc>
          <w:tcPr>
            <w:tcW w:w="2208" w:type="dxa"/>
          </w:tcPr>
          <w:p w14:paraId="24ABDFF1" w14:textId="77777777" w:rsidR="005621D5" w:rsidRPr="0066365A" w:rsidRDefault="00F2003D"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 </w:t>
            </w:r>
            <w:r w:rsidR="00444A5A">
              <w:rPr>
                <w:rFonts w:asciiTheme="minorHAnsi" w:eastAsia="Times New Roman" w:hAnsiTheme="minorHAnsi"/>
                <w:iCs/>
                <w:szCs w:val="17"/>
                <w:lang w:eastAsia="en-US"/>
              </w:rPr>
              <w:t>September</w:t>
            </w:r>
            <w:r w:rsidR="0066365A">
              <w:rPr>
                <w:rFonts w:asciiTheme="minorHAnsi" w:eastAsia="Times New Roman" w:hAnsiTheme="minorHAnsi"/>
                <w:iCs/>
                <w:szCs w:val="17"/>
                <w:lang w:eastAsia="en-US"/>
              </w:rPr>
              <w:t xml:space="preserve"> 2018</w:t>
            </w:r>
          </w:p>
          <w:p w14:paraId="70BAECD3" w14:textId="77777777" w:rsidR="005621D5" w:rsidRPr="0066365A" w:rsidRDefault="005621D5" w:rsidP="00D15A00">
            <w:pPr>
              <w:keepLines/>
              <w:spacing w:before="40" w:after="40" w:line="200" w:lineRule="atLeast"/>
              <w:rPr>
                <w:rFonts w:asciiTheme="minorHAnsi" w:eastAsia="Times New Roman" w:hAnsiTheme="minorHAnsi"/>
                <w:iCs/>
                <w:szCs w:val="17"/>
                <w:lang w:eastAsia="en-US"/>
              </w:rPr>
            </w:pPr>
          </w:p>
          <w:p w14:paraId="4E1C5768" w14:textId="77777777" w:rsidR="005621D5" w:rsidRPr="0066365A" w:rsidRDefault="005621D5" w:rsidP="00D15A00">
            <w:pPr>
              <w:keepLines/>
              <w:spacing w:before="40" w:after="40" w:line="200" w:lineRule="atLeast"/>
              <w:rPr>
                <w:rFonts w:asciiTheme="minorHAnsi" w:eastAsia="Times New Roman" w:hAnsiTheme="minorHAnsi"/>
                <w:iCs/>
                <w:szCs w:val="17"/>
                <w:lang w:eastAsia="en-US"/>
              </w:rPr>
            </w:pPr>
          </w:p>
          <w:p w14:paraId="30521B41" w14:textId="77777777" w:rsidR="00AF1B85" w:rsidRPr="0066365A" w:rsidRDefault="0066365A" w:rsidP="0066365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September 2018</w:t>
            </w:r>
            <w:r w:rsidR="00AF1B85" w:rsidRPr="0066365A">
              <w:rPr>
                <w:rFonts w:asciiTheme="minorHAnsi" w:eastAsia="Times New Roman" w:hAnsiTheme="minorHAnsi"/>
                <w:iCs/>
                <w:szCs w:val="17"/>
                <w:lang w:eastAsia="en-US"/>
              </w:rPr>
              <w:t xml:space="preserve"> </w:t>
            </w:r>
          </w:p>
        </w:tc>
        <w:tc>
          <w:tcPr>
            <w:tcW w:w="2325" w:type="dxa"/>
          </w:tcPr>
          <w:p w14:paraId="58EC6AB9" w14:textId="77777777" w:rsidR="005621D5" w:rsidRDefault="00444A5A" w:rsidP="00D15A00">
            <w:pPr>
              <w:keepLines/>
              <w:spacing w:before="40" w:after="40" w:line="200" w:lineRule="atLeast"/>
              <w:rPr>
                <w:rFonts w:asciiTheme="minorHAnsi" w:eastAsia="Times New Roman" w:hAnsiTheme="minorHAnsi"/>
                <w:iCs/>
                <w:color w:val="000000" w:themeColor="text1" w:themeShade="BF"/>
                <w:szCs w:val="17"/>
                <w:lang w:eastAsia="en-US"/>
              </w:rPr>
            </w:pPr>
            <w:r>
              <w:rPr>
                <w:rFonts w:asciiTheme="minorHAnsi" w:eastAsia="Times New Roman" w:hAnsiTheme="minorHAnsi"/>
                <w:iCs/>
                <w:szCs w:val="17"/>
                <w:lang w:eastAsia="en-US"/>
              </w:rPr>
              <w:t xml:space="preserve">To inform </w:t>
            </w:r>
            <w:r w:rsidR="00D06002">
              <w:rPr>
                <w:rFonts w:asciiTheme="minorHAnsi" w:eastAsia="Times New Roman" w:hAnsiTheme="minorHAnsi"/>
                <w:iCs/>
                <w:szCs w:val="17"/>
                <w:lang w:eastAsia="en-US"/>
              </w:rPr>
              <w:t>Australia</w:t>
            </w:r>
            <w:r>
              <w:rPr>
                <w:rFonts w:asciiTheme="minorHAnsi" w:eastAsia="Times New Roman" w:hAnsiTheme="minorHAnsi"/>
                <w:iCs/>
                <w:szCs w:val="17"/>
                <w:lang w:eastAsia="en-US"/>
              </w:rPr>
              <w:t xml:space="preserve"> education priorities</w:t>
            </w:r>
            <w:r>
              <w:rPr>
                <w:rFonts w:asciiTheme="minorHAnsi" w:eastAsia="Times New Roman" w:hAnsiTheme="minorHAnsi"/>
                <w:iCs/>
                <w:color w:val="000000" w:themeColor="text1" w:themeShade="BF"/>
                <w:szCs w:val="17"/>
                <w:lang w:eastAsia="en-US"/>
              </w:rPr>
              <w:t xml:space="preserve"> </w:t>
            </w:r>
          </w:p>
          <w:p w14:paraId="00C71A72" w14:textId="77777777" w:rsidR="00801B13" w:rsidRDefault="00801B13" w:rsidP="005A60BF">
            <w:pPr>
              <w:keepLines/>
              <w:spacing w:before="40" w:after="40" w:line="200" w:lineRule="atLeast"/>
              <w:rPr>
                <w:rFonts w:asciiTheme="minorHAnsi" w:eastAsia="Times New Roman" w:hAnsiTheme="minorHAnsi"/>
                <w:iCs/>
                <w:szCs w:val="17"/>
                <w:lang w:eastAsia="en-US"/>
              </w:rPr>
            </w:pPr>
          </w:p>
          <w:p w14:paraId="714E35B8" w14:textId="77777777" w:rsidR="005621D5" w:rsidRPr="00F80511" w:rsidRDefault="005621D5" w:rsidP="005A60B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To inform </w:t>
            </w:r>
            <w:r w:rsidR="00D06002">
              <w:rPr>
                <w:rFonts w:asciiTheme="minorHAnsi" w:eastAsia="Times New Roman" w:hAnsiTheme="minorHAnsi"/>
                <w:iCs/>
                <w:szCs w:val="17"/>
                <w:lang w:eastAsia="en-US"/>
              </w:rPr>
              <w:t>Australia</w:t>
            </w:r>
            <w:r>
              <w:rPr>
                <w:rFonts w:asciiTheme="minorHAnsi" w:eastAsia="Times New Roman" w:hAnsiTheme="minorHAnsi"/>
                <w:iCs/>
                <w:szCs w:val="17"/>
                <w:lang w:eastAsia="en-US"/>
              </w:rPr>
              <w:t xml:space="preserve"> </w:t>
            </w:r>
            <w:r w:rsidR="005A60BF">
              <w:rPr>
                <w:rFonts w:asciiTheme="minorHAnsi" w:eastAsia="Times New Roman" w:hAnsiTheme="minorHAnsi"/>
                <w:iCs/>
                <w:szCs w:val="17"/>
                <w:lang w:eastAsia="en-US"/>
              </w:rPr>
              <w:t>Infrastructure</w:t>
            </w:r>
            <w:r>
              <w:rPr>
                <w:rFonts w:asciiTheme="minorHAnsi" w:eastAsia="Times New Roman" w:hAnsiTheme="minorHAnsi"/>
                <w:iCs/>
                <w:szCs w:val="17"/>
                <w:lang w:eastAsia="en-US"/>
              </w:rPr>
              <w:t xml:space="preserve"> priorities</w:t>
            </w:r>
          </w:p>
        </w:tc>
        <w:tc>
          <w:tcPr>
            <w:tcW w:w="2740" w:type="dxa"/>
          </w:tcPr>
          <w:p w14:paraId="606FB76C" w14:textId="77777777" w:rsidR="00E35EEA" w:rsidRDefault="00D06002" w:rsidP="00E35EE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Australia</w:t>
            </w:r>
            <w:r w:rsidR="00E35EEA">
              <w:rPr>
                <w:rFonts w:asciiTheme="minorHAnsi" w:eastAsia="Times New Roman" w:hAnsiTheme="minorHAnsi"/>
                <w:iCs/>
                <w:szCs w:val="17"/>
                <w:lang w:eastAsia="en-US"/>
              </w:rPr>
              <w:t xml:space="preserve"> led</w:t>
            </w:r>
          </w:p>
          <w:p w14:paraId="38DC9F0C" w14:textId="77777777" w:rsidR="005621D5" w:rsidRDefault="005621D5" w:rsidP="00D15A00">
            <w:pPr>
              <w:keepLines/>
              <w:spacing w:before="40" w:after="40" w:line="200" w:lineRule="atLeast"/>
              <w:rPr>
                <w:rFonts w:asciiTheme="minorHAnsi" w:eastAsia="Times New Roman" w:hAnsiTheme="minorHAnsi"/>
                <w:iCs/>
                <w:szCs w:val="17"/>
                <w:lang w:eastAsia="en-US"/>
              </w:rPr>
            </w:pPr>
          </w:p>
          <w:p w14:paraId="02CE7005" w14:textId="77777777" w:rsidR="00B14F7F" w:rsidRDefault="00B14F7F" w:rsidP="00D15A00">
            <w:pPr>
              <w:keepLines/>
              <w:spacing w:before="40" w:after="40" w:line="200" w:lineRule="atLeast"/>
              <w:rPr>
                <w:rFonts w:asciiTheme="minorHAnsi" w:eastAsia="Times New Roman" w:hAnsiTheme="minorHAnsi"/>
                <w:iCs/>
                <w:szCs w:val="17"/>
                <w:lang w:eastAsia="en-US"/>
              </w:rPr>
            </w:pPr>
          </w:p>
          <w:p w14:paraId="44AC2F6E" w14:textId="77777777" w:rsidR="00AF1B85" w:rsidRDefault="00D06002"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Australia</w:t>
            </w:r>
            <w:r w:rsidR="005621D5">
              <w:rPr>
                <w:rFonts w:asciiTheme="minorHAnsi" w:eastAsia="Times New Roman" w:hAnsiTheme="minorHAnsi"/>
                <w:iCs/>
                <w:szCs w:val="17"/>
                <w:lang w:eastAsia="en-US"/>
              </w:rPr>
              <w:t xml:space="preserve"> led</w:t>
            </w:r>
            <w:r w:rsidR="00AF1B85" w:rsidRPr="00812509">
              <w:rPr>
                <w:rFonts w:asciiTheme="minorHAnsi" w:eastAsia="Times New Roman" w:hAnsiTheme="minorHAnsi"/>
                <w:iCs/>
                <w:szCs w:val="17"/>
                <w:lang w:eastAsia="en-US"/>
              </w:rPr>
              <w:t xml:space="preserve"> </w:t>
            </w:r>
          </w:p>
          <w:p w14:paraId="1CA470F9" w14:textId="77777777" w:rsidR="00801B13" w:rsidRPr="00812509" w:rsidRDefault="00801B13" w:rsidP="00D15A00">
            <w:pPr>
              <w:keepLines/>
              <w:spacing w:before="40" w:after="40" w:line="200" w:lineRule="atLeast"/>
              <w:rPr>
                <w:rFonts w:asciiTheme="minorHAnsi" w:eastAsia="Times New Roman" w:hAnsiTheme="minorHAnsi"/>
                <w:iCs/>
                <w:szCs w:val="17"/>
                <w:lang w:eastAsia="en-US"/>
              </w:rPr>
            </w:pPr>
          </w:p>
        </w:tc>
      </w:tr>
      <w:tr w:rsidR="00801B13" w:rsidRPr="00C61187" w14:paraId="2A6EF93C" w14:textId="77777777" w:rsidTr="005E606B">
        <w:tc>
          <w:tcPr>
            <w:tcW w:w="2444" w:type="dxa"/>
          </w:tcPr>
          <w:p w14:paraId="5DAABD35" w14:textId="77777777" w:rsidR="00801B13" w:rsidRDefault="00801B13" w:rsidP="00444A5A">
            <w:pPr>
              <w:keepLines/>
              <w:spacing w:before="40" w:after="40" w:line="200" w:lineRule="atLeast"/>
              <w:rPr>
                <w:rFonts w:asciiTheme="minorHAnsi" w:eastAsia="Times New Roman" w:hAnsiTheme="minorHAnsi"/>
                <w:iCs/>
                <w:szCs w:val="17"/>
                <w:lang w:eastAsia="en-US"/>
              </w:rPr>
            </w:pPr>
          </w:p>
          <w:p w14:paraId="7A299236" w14:textId="77777777" w:rsidR="00801B13" w:rsidRDefault="00801B13" w:rsidP="00444A5A">
            <w:pPr>
              <w:keepLines/>
              <w:spacing w:before="40" w:after="40" w:line="200" w:lineRule="atLeast"/>
              <w:rPr>
                <w:rFonts w:eastAsia="Times New Roman"/>
                <w:iCs/>
                <w:szCs w:val="17"/>
              </w:rPr>
            </w:pPr>
            <w:r w:rsidRPr="00801B13">
              <w:rPr>
                <w:rFonts w:asciiTheme="minorHAnsi" w:eastAsia="Times New Roman" w:hAnsiTheme="minorHAnsi"/>
                <w:iCs/>
                <w:szCs w:val="17"/>
                <w:lang w:eastAsia="en-US"/>
              </w:rPr>
              <w:t>Public Sector investment review</w:t>
            </w:r>
          </w:p>
        </w:tc>
        <w:tc>
          <w:tcPr>
            <w:tcW w:w="2356" w:type="dxa"/>
          </w:tcPr>
          <w:p w14:paraId="27DB1A67" w14:textId="77777777" w:rsidR="00801B13" w:rsidRDefault="00801B13" w:rsidP="00444A5A">
            <w:pPr>
              <w:keepLines/>
              <w:spacing w:before="40" w:after="40" w:line="200" w:lineRule="atLeast"/>
              <w:rPr>
                <w:rFonts w:eastAsia="Times New Roman"/>
                <w:iCs/>
                <w:szCs w:val="17"/>
              </w:rPr>
            </w:pPr>
          </w:p>
          <w:p w14:paraId="1B90B3C4" w14:textId="77777777" w:rsidR="00801B13" w:rsidRDefault="00801B13" w:rsidP="00444A5A">
            <w:pPr>
              <w:keepLines/>
              <w:spacing w:before="40" w:after="40" w:line="200" w:lineRule="atLeast"/>
              <w:rPr>
                <w:rFonts w:eastAsia="Times New Roman"/>
                <w:iCs/>
                <w:szCs w:val="17"/>
              </w:rPr>
            </w:pPr>
            <w:r w:rsidRPr="00801B13">
              <w:rPr>
                <w:rFonts w:asciiTheme="minorHAnsi" w:eastAsia="Times New Roman" w:hAnsiTheme="minorHAnsi"/>
                <w:iCs/>
                <w:szCs w:val="17"/>
                <w:lang w:eastAsia="en-US"/>
              </w:rPr>
              <w:t>INI943 Nauru Public Sector Reform</w:t>
            </w:r>
          </w:p>
        </w:tc>
        <w:tc>
          <w:tcPr>
            <w:tcW w:w="2042" w:type="dxa"/>
          </w:tcPr>
          <w:p w14:paraId="194D3195" w14:textId="77777777" w:rsidR="00801B13" w:rsidRDefault="00801B13" w:rsidP="00444A5A">
            <w:pPr>
              <w:keepLines/>
              <w:spacing w:before="40" w:after="40" w:line="200" w:lineRule="atLeast"/>
              <w:rPr>
                <w:rFonts w:eastAsia="Times New Roman"/>
                <w:iCs/>
                <w:szCs w:val="17"/>
              </w:rPr>
            </w:pPr>
          </w:p>
          <w:p w14:paraId="4173F0A1" w14:textId="77777777" w:rsidR="00801B13" w:rsidRDefault="00801B13" w:rsidP="00444A5A">
            <w:pPr>
              <w:keepLines/>
              <w:spacing w:before="40" w:after="40" w:line="200" w:lineRule="atLeast"/>
              <w:rPr>
                <w:rFonts w:eastAsia="Times New Roman"/>
                <w:iCs/>
                <w:szCs w:val="17"/>
              </w:rPr>
            </w:pPr>
            <w:r>
              <w:rPr>
                <w:rFonts w:asciiTheme="minorHAnsi" w:eastAsia="Times New Roman" w:hAnsiTheme="minorHAnsi"/>
                <w:iCs/>
                <w:szCs w:val="17"/>
                <w:lang w:eastAsia="en-US"/>
              </w:rPr>
              <w:t>January 2018</w:t>
            </w:r>
          </w:p>
        </w:tc>
        <w:tc>
          <w:tcPr>
            <w:tcW w:w="2208" w:type="dxa"/>
          </w:tcPr>
          <w:p w14:paraId="17E31F9E" w14:textId="77777777" w:rsidR="00801B13" w:rsidRDefault="00801B13" w:rsidP="00444A5A">
            <w:pPr>
              <w:keepLines/>
              <w:spacing w:before="40" w:after="40" w:line="200" w:lineRule="atLeast"/>
              <w:rPr>
                <w:rFonts w:eastAsia="Times New Roman"/>
                <w:iCs/>
                <w:szCs w:val="17"/>
              </w:rPr>
            </w:pPr>
          </w:p>
          <w:p w14:paraId="7F409CAD" w14:textId="77777777" w:rsidR="00801B13" w:rsidRDefault="00801B13" w:rsidP="00444A5A">
            <w:pPr>
              <w:keepLines/>
              <w:spacing w:before="40" w:after="40" w:line="200" w:lineRule="atLeast"/>
              <w:rPr>
                <w:rFonts w:eastAsia="Times New Roman"/>
                <w:iCs/>
                <w:szCs w:val="17"/>
              </w:rPr>
            </w:pPr>
            <w:r>
              <w:rPr>
                <w:rFonts w:asciiTheme="minorHAnsi" w:eastAsia="Times New Roman" w:hAnsiTheme="minorHAnsi"/>
                <w:iCs/>
                <w:szCs w:val="17"/>
                <w:lang w:eastAsia="en-US"/>
              </w:rPr>
              <w:t>September 2018</w:t>
            </w:r>
          </w:p>
        </w:tc>
        <w:tc>
          <w:tcPr>
            <w:tcW w:w="2325" w:type="dxa"/>
          </w:tcPr>
          <w:p w14:paraId="6CC7A676" w14:textId="77777777" w:rsidR="00801B13" w:rsidRDefault="00801B13" w:rsidP="00444A5A">
            <w:pPr>
              <w:keepLines/>
              <w:spacing w:before="40" w:after="40" w:line="200" w:lineRule="atLeast"/>
              <w:rPr>
                <w:rFonts w:eastAsia="Times New Roman"/>
                <w:iCs/>
                <w:szCs w:val="17"/>
              </w:rPr>
            </w:pPr>
          </w:p>
          <w:p w14:paraId="4249E265" w14:textId="77777777" w:rsidR="00801B13" w:rsidRPr="00CF6DA0" w:rsidRDefault="00801B13" w:rsidP="00801B13">
            <w:pPr>
              <w:keepLines/>
              <w:spacing w:before="40" w:after="40" w:line="200" w:lineRule="atLeast"/>
              <w:rPr>
                <w:rFonts w:eastAsia="Times New Roman"/>
                <w:iCs/>
                <w:szCs w:val="17"/>
              </w:rPr>
            </w:pPr>
            <w:r>
              <w:rPr>
                <w:rFonts w:asciiTheme="minorHAnsi" w:eastAsia="Times New Roman" w:hAnsiTheme="minorHAnsi"/>
                <w:iCs/>
                <w:szCs w:val="17"/>
                <w:lang w:eastAsia="en-US"/>
              </w:rPr>
              <w:t xml:space="preserve">To inform </w:t>
            </w:r>
            <w:r w:rsidR="00D06002">
              <w:rPr>
                <w:rFonts w:asciiTheme="minorHAnsi" w:eastAsia="Times New Roman" w:hAnsiTheme="minorHAnsi"/>
                <w:iCs/>
                <w:szCs w:val="17"/>
                <w:lang w:eastAsia="en-US"/>
              </w:rPr>
              <w:t>Australia</w:t>
            </w:r>
            <w:r>
              <w:rPr>
                <w:rFonts w:asciiTheme="minorHAnsi" w:eastAsia="Times New Roman" w:hAnsiTheme="minorHAnsi"/>
                <w:iCs/>
                <w:szCs w:val="17"/>
                <w:lang w:eastAsia="en-US"/>
              </w:rPr>
              <w:t xml:space="preserve"> PFM priorities</w:t>
            </w:r>
          </w:p>
        </w:tc>
        <w:tc>
          <w:tcPr>
            <w:tcW w:w="2740" w:type="dxa"/>
          </w:tcPr>
          <w:p w14:paraId="277F1B54" w14:textId="77777777" w:rsidR="00801B13" w:rsidRDefault="00801B13" w:rsidP="00444A5A">
            <w:pPr>
              <w:keepLines/>
              <w:spacing w:before="40" w:after="40" w:line="200" w:lineRule="atLeast"/>
              <w:rPr>
                <w:rFonts w:eastAsia="Times New Roman"/>
                <w:iCs/>
                <w:szCs w:val="17"/>
              </w:rPr>
            </w:pPr>
          </w:p>
          <w:p w14:paraId="524828CD" w14:textId="77777777" w:rsidR="00B14F7F" w:rsidRDefault="00D06002" w:rsidP="00B14F7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Australia</w:t>
            </w:r>
            <w:r w:rsidR="00B14F7F">
              <w:rPr>
                <w:rFonts w:asciiTheme="minorHAnsi" w:eastAsia="Times New Roman" w:hAnsiTheme="minorHAnsi"/>
                <w:iCs/>
                <w:szCs w:val="17"/>
                <w:lang w:eastAsia="en-US"/>
              </w:rPr>
              <w:t xml:space="preserve"> led</w:t>
            </w:r>
            <w:r w:rsidR="00B14F7F" w:rsidRPr="00812509">
              <w:rPr>
                <w:rFonts w:asciiTheme="minorHAnsi" w:eastAsia="Times New Roman" w:hAnsiTheme="minorHAnsi"/>
                <w:iCs/>
                <w:szCs w:val="17"/>
                <w:lang w:eastAsia="en-US"/>
              </w:rPr>
              <w:t xml:space="preserve"> </w:t>
            </w:r>
          </w:p>
          <w:p w14:paraId="35521EA9" w14:textId="77777777" w:rsidR="00B14F7F" w:rsidRDefault="00B14F7F" w:rsidP="00444A5A">
            <w:pPr>
              <w:keepLines/>
              <w:spacing w:before="40" w:after="40" w:line="200" w:lineRule="atLeast"/>
              <w:rPr>
                <w:rFonts w:eastAsia="Times New Roman"/>
                <w:iCs/>
                <w:szCs w:val="17"/>
              </w:rPr>
            </w:pPr>
          </w:p>
        </w:tc>
      </w:tr>
      <w:tr w:rsidR="00801B13" w:rsidRPr="00C61187" w14:paraId="24FE8FC0" w14:textId="77777777" w:rsidTr="005E606B">
        <w:tc>
          <w:tcPr>
            <w:tcW w:w="2444" w:type="dxa"/>
          </w:tcPr>
          <w:p w14:paraId="7E5C4357" w14:textId="77777777" w:rsidR="00801B13" w:rsidRDefault="00801B13" w:rsidP="00444A5A">
            <w:pPr>
              <w:keepLines/>
              <w:spacing w:before="40" w:after="40" w:line="200" w:lineRule="atLeast"/>
              <w:rPr>
                <w:rFonts w:eastAsia="Times New Roman"/>
                <w:iCs/>
                <w:szCs w:val="17"/>
              </w:rPr>
            </w:pPr>
          </w:p>
        </w:tc>
        <w:tc>
          <w:tcPr>
            <w:tcW w:w="2356" w:type="dxa"/>
          </w:tcPr>
          <w:p w14:paraId="34906AED" w14:textId="77777777" w:rsidR="00801B13" w:rsidRDefault="00801B13" w:rsidP="00444A5A">
            <w:pPr>
              <w:keepLines/>
              <w:spacing w:before="40" w:after="40" w:line="200" w:lineRule="atLeast"/>
              <w:rPr>
                <w:rFonts w:eastAsia="Times New Roman"/>
                <w:iCs/>
                <w:szCs w:val="17"/>
              </w:rPr>
            </w:pPr>
          </w:p>
        </w:tc>
        <w:tc>
          <w:tcPr>
            <w:tcW w:w="2042" w:type="dxa"/>
          </w:tcPr>
          <w:p w14:paraId="2362C590" w14:textId="77777777" w:rsidR="00801B13" w:rsidRDefault="00801B13" w:rsidP="00444A5A">
            <w:pPr>
              <w:keepLines/>
              <w:spacing w:before="40" w:after="40" w:line="200" w:lineRule="atLeast"/>
              <w:rPr>
                <w:rFonts w:eastAsia="Times New Roman"/>
                <w:iCs/>
                <w:szCs w:val="17"/>
              </w:rPr>
            </w:pPr>
          </w:p>
        </w:tc>
        <w:tc>
          <w:tcPr>
            <w:tcW w:w="2208" w:type="dxa"/>
          </w:tcPr>
          <w:p w14:paraId="1F41F962" w14:textId="77777777" w:rsidR="00801B13" w:rsidRDefault="00801B13" w:rsidP="00444A5A">
            <w:pPr>
              <w:keepLines/>
              <w:spacing w:before="40" w:after="40" w:line="200" w:lineRule="atLeast"/>
              <w:rPr>
                <w:rFonts w:eastAsia="Times New Roman"/>
                <w:iCs/>
                <w:szCs w:val="17"/>
              </w:rPr>
            </w:pPr>
          </w:p>
        </w:tc>
        <w:tc>
          <w:tcPr>
            <w:tcW w:w="2325" w:type="dxa"/>
          </w:tcPr>
          <w:p w14:paraId="4108F6CC" w14:textId="77777777" w:rsidR="00801B13" w:rsidRPr="00CF6DA0" w:rsidRDefault="00801B13" w:rsidP="00444A5A">
            <w:pPr>
              <w:keepLines/>
              <w:spacing w:before="40" w:after="40" w:line="200" w:lineRule="atLeast"/>
              <w:rPr>
                <w:rFonts w:eastAsia="Times New Roman"/>
                <w:iCs/>
                <w:szCs w:val="17"/>
              </w:rPr>
            </w:pPr>
          </w:p>
        </w:tc>
        <w:tc>
          <w:tcPr>
            <w:tcW w:w="2740" w:type="dxa"/>
          </w:tcPr>
          <w:p w14:paraId="0FF0D3EB" w14:textId="77777777" w:rsidR="00801B13" w:rsidRDefault="00801B13" w:rsidP="00444A5A">
            <w:pPr>
              <w:keepLines/>
              <w:spacing w:before="40" w:after="40" w:line="200" w:lineRule="atLeast"/>
              <w:rPr>
                <w:rFonts w:eastAsia="Times New Roman"/>
                <w:iCs/>
                <w:szCs w:val="17"/>
              </w:rPr>
            </w:pPr>
          </w:p>
        </w:tc>
      </w:tr>
    </w:tbl>
    <w:p w14:paraId="54DD8720" w14:textId="77777777" w:rsidR="0059146A" w:rsidRPr="0059146A" w:rsidRDefault="0059146A" w:rsidP="005B5769">
      <w:pPr>
        <w:pStyle w:val="ListBullet"/>
        <w:tabs>
          <w:tab w:val="clear" w:pos="284"/>
        </w:tabs>
      </w:pPr>
    </w:p>
    <w:p w14:paraId="5195B050" w14:textId="77777777" w:rsidR="0059146A" w:rsidRDefault="0059146A" w:rsidP="005B5769">
      <w:pPr>
        <w:pStyle w:val="ListBullet"/>
        <w:tabs>
          <w:tab w:val="clear" w:pos="284"/>
        </w:tabs>
      </w:pPr>
    </w:p>
    <w:p w14:paraId="7699D728" w14:textId="77777777" w:rsidR="005E606B" w:rsidRDefault="005E606B" w:rsidP="005B5769">
      <w:pPr>
        <w:pStyle w:val="ListBullet"/>
        <w:tabs>
          <w:tab w:val="clear" w:pos="284"/>
        </w:tabs>
        <w:sectPr w:rsidR="005E606B" w:rsidSect="00D2653F">
          <w:headerReference w:type="default" r:id="rId30"/>
          <w:headerReference w:type="first" r:id="rId31"/>
          <w:pgSz w:w="16838" w:h="11906" w:orient="landscape" w:code="9"/>
          <w:pgMar w:top="1134" w:right="1952" w:bottom="1134" w:left="851" w:header="1107" w:footer="567" w:gutter="0"/>
          <w:cols w:space="397"/>
          <w:docGrid w:linePitch="360"/>
        </w:sectPr>
      </w:pPr>
    </w:p>
    <w:p w14:paraId="06E02188" w14:textId="77777777" w:rsidR="005E606B" w:rsidRPr="00A8197B" w:rsidRDefault="005E606B" w:rsidP="00A8197B">
      <w:pPr>
        <w:pStyle w:val="Subtitle"/>
      </w:pPr>
      <w:r w:rsidRPr="00A8197B">
        <w:t xml:space="preserve">Annex </w:t>
      </w:r>
      <w:r w:rsidR="00184F1E">
        <w:t>D</w:t>
      </w:r>
      <w:r w:rsidRPr="00A8197B">
        <w:t xml:space="preserve"> - Aid Quality Check ratings</w:t>
      </w:r>
    </w:p>
    <w:p w14:paraId="5F730598" w14:textId="77777777" w:rsidR="005E606B" w:rsidRPr="00A8197B" w:rsidRDefault="005E606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AQC ratings</w:t>
      </w:r>
    </w:p>
    <w:p w14:paraId="5AAA71FB" w14:textId="77777777" w:rsidR="009020CC" w:rsidRDefault="009020CC" w:rsidP="009020CC">
      <w:r w:rsidRPr="00C61187">
        <w:t>AQC investment performance over the previous 12 months and where available last</w:t>
      </w:r>
      <w:r>
        <w:t xml:space="preserve"> year’s AQC ratings</w:t>
      </w:r>
      <w:r w:rsidRPr="00C61187">
        <w:t>.</w:t>
      </w:r>
    </w:p>
    <w:tbl>
      <w:tblPr>
        <w:tblW w:w="12540" w:type="dxa"/>
        <w:tblLook w:val="04A0" w:firstRow="1" w:lastRow="0" w:firstColumn="1" w:lastColumn="0" w:noHBand="0" w:noVBand="1"/>
      </w:tblPr>
      <w:tblGrid>
        <w:gridCol w:w="3300"/>
        <w:gridCol w:w="1340"/>
        <w:gridCol w:w="1180"/>
        <w:gridCol w:w="960"/>
        <w:gridCol w:w="960"/>
        <w:gridCol w:w="960"/>
        <w:gridCol w:w="960"/>
        <w:gridCol w:w="960"/>
        <w:gridCol w:w="960"/>
        <w:gridCol w:w="960"/>
      </w:tblGrid>
      <w:tr w:rsidR="00DE7320" w:rsidRPr="00DE7320" w14:paraId="7B2D6B82" w14:textId="77777777" w:rsidTr="00DE7320">
        <w:trPr>
          <w:trHeight w:val="1185"/>
        </w:trPr>
        <w:tc>
          <w:tcPr>
            <w:tcW w:w="3300" w:type="dxa"/>
            <w:tcBorders>
              <w:top w:val="single" w:sz="8" w:space="0" w:color="auto"/>
              <w:left w:val="nil"/>
              <w:bottom w:val="single" w:sz="8" w:space="0" w:color="auto"/>
              <w:right w:val="nil"/>
            </w:tcBorders>
            <w:shd w:val="clear" w:color="auto" w:fill="auto"/>
            <w:vAlign w:val="center"/>
            <w:hideMark/>
          </w:tcPr>
          <w:p w14:paraId="57E39B40" w14:textId="77777777" w:rsidR="00DE7320" w:rsidRPr="00DE7320" w:rsidRDefault="00DE7320" w:rsidP="00DE732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DE7320">
              <w:rPr>
                <w:rFonts w:ascii="Calibri Light" w:eastAsia="Times New Roman" w:hAnsi="Calibri Light" w:cs="Times New Roman"/>
                <w:b/>
                <w:bCs/>
                <w:iCs/>
                <w:noProof/>
                <w:color w:val="495965"/>
                <w:sz w:val="17"/>
                <w:szCs w:val="17"/>
                <w:lang w:val="en-AU" w:eastAsia="en-AU"/>
              </w:rPr>
              <w:drawing>
                <wp:anchor distT="0" distB="0" distL="114300" distR="114300" simplePos="0" relativeHeight="251676672" behindDoc="0" locked="0" layoutInCell="1" allowOverlap="1" wp14:anchorId="3D011B52" wp14:editId="6E81F89F">
                  <wp:simplePos x="0" y="0"/>
                  <wp:positionH relativeFrom="column">
                    <wp:posOffset>0</wp:posOffset>
                  </wp:positionH>
                  <wp:positionV relativeFrom="paragraph">
                    <wp:posOffset>0</wp:posOffset>
                  </wp:positionV>
                  <wp:extent cx="3714750" cy="228600"/>
                  <wp:effectExtent l="0" t="0" r="0" b="0"/>
                  <wp:wrapNone/>
                  <wp:docPr id="38" name="Picture 38" hidden="1"/>
                  <wp:cNvGraphicFramePr/>
                  <a:graphic xmlns:a="http://schemas.openxmlformats.org/drawingml/2006/main">
                    <a:graphicData uri="http://schemas.openxmlformats.org/drawingml/2006/picture">
                      <pic:pic xmlns:pic="http://schemas.openxmlformats.org/drawingml/2006/picture">
                        <pic:nvPicPr>
                          <pic:cNvPr id="2"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DE7320">
              <w:rPr>
                <w:rFonts w:ascii="Calibri Light" w:eastAsia="Times New Roman" w:hAnsi="Calibri Light" w:cs="Times New Roman"/>
                <w:b/>
                <w:bCs/>
                <w:iCs/>
                <w:color w:val="495965"/>
                <w:sz w:val="17"/>
                <w:szCs w:val="17"/>
                <w:lang w:eastAsia="en-AU"/>
              </w:rPr>
              <w:t>Investment name</w:t>
            </w:r>
          </w:p>
        </w:tc>
        <w:tc>
          <w:tcPr>
            <w:tcW w:w="1340" w:type="dxa"/>
            <w:tcBorders>
              <w:top w:val="single" w:sz="8" w:space="0" w:color="auto"/>
              <w:left w:val="nil"/>
              <w:bottom w:val="single" w:sz="8" w:space="0" w:color="auto"/>
              <w:right w:val="nil"/>
            </w:tcBorders>
            <w:shd w:val="clear" w:color="auto" w:fill="auto"/>
            <w:vAlign w:val="center"/>
            <w:hideMark/>
          </w:tcPr>
          <w:p w14:paraId="51C7C3C2" w14:textId="77777777" w:rsidR="00DE7320" w:rsidRPr="00DE7320" w:rsidRDefault="00DE7320" w:rsidP="00DE7320">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DE7320">
              <w:rPr>
                <w:rFonts w:ascii="Calibri Light" w:eastAsia="Times New Roman" w:hAnsi="Calibri Light" w:cs="Times New Roman"/>
                <w:b/>
                <w:bCs/>
                <w:iCs/>
                <w:color w:val="495965"/>
                <w:sz w:val="17"/>
                <w:szCs w:val="17"/>
                <w:lang w:eastAsia="en-AU"/>
              </w:rPr>
              <w:t>Approved budget and duration</w:t>
            </w:r>
          </w:p>
        </w:tc>
        <w:tc>
          <w:tcPr>
            <w:tcW w:w="1180" w:type="dxa"/>
            <w:tcBorders>
              <w:top w:val="single" w:sz="8" w:space="0" w:color="auto"/>
              <w:left w:val="nil"/>
              <w:bottom w:val="single" w:sz="8" w:space="0" w:color="auto"/>
              <w:right w:val="nil"/>
            </w:tcBorders>
            <w:shd w:val="clear" w:color="auto" w:fill="auto"/>
            <w:vAlign w:val="center"/>
            <w:hideMark/>
          </w:tcPr>
          <w:p w14:paraId="77ADDDB0" w14:textId="77777777" w:rsidR="00DE7320" w:rsidRPr="00DE7320" w:rsidRDefault="00DE7320" w:rsidP="00DE7320">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DE7320">
              <w:rPr>
                <w:rFonts w:ascii="Calibri Light" w:eastAsia="Times New Roman" w:hAnsi="Calibri Light" w:cs="Times New Roman"/>
                <w:b/>
                <w:bCs/>
                <w:iCs/>
                <w:color w:val="495965"/>
                <w:sz w:val="17"/>
                <w:szCs w:val="17"/>
                <w:lang w:eastAsia="en-AU"/>
              </w:rPr>
              <w:t>year on year</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641E9E93" w14:textId="77777777" w:rsidR="00DE7320" w:rsidRPr="00DE7320" w:rsidRDefault="00DE7320" w:rsidP="00DE732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DE7320">
              <w:rPr>
                <w:rFonts w:ascii="Calibri Light" w:eastAsia="Times New Roman" w:hAnsi="Calibri Light" w:cs="Times New Roman"/>
                <w:b/>
                <w:bCs/>
                <w:iCs/>
                <w:color w:val="495965"/>
                <w:sz w:val="17"/>
                <w:szCs w:val="17"/>
                <w:lang w:eastAsia="en-AU"/>
              </w:rPr>
              <w:t>Relevance</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05B64E23" w14:textId="77777777" w:rsidR="00DE7320" w:rsidRPr="00DE7320" w:rsidRDefault="00DE7320" w:rsidP="00DE732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DE7320">
              <w:rPr>
                <w:rFonts w:ascii="Calibri Light" w:eastAsia="Times New Roman" w:hAnsi="Calibri Light" w:cs="Times New Roman"/>
                <w:b/>
                <w:bCs/>
                <w:iCs/>
                <w:color w:val="495965"/>
                <w:sz w:val="17"/>
                <w:szCs w:val="17"/>
                <w:lang w:eastAsia="en-AU"/>
              </w:rPr>
              <w:t>Effectiveness</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3DE05B4C" w14:textId="77777777" w:rsidR="00DE7320" w:rsidRPr="00DE7320" w:rsidRDefault="00DE7320" w:rsidP="00DE732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DE7320">
              <w:rPr>
                <w:rFonts w:ascii="Calibri Light" w:eastAsia="Times New Roman" w:hAnsi="Calibri Light" w:cs="Times New Roman"/>
                <w:b/>
                <w:bCs/>
                <w:iCs/>
                <w:color w:val="495965"/>
                <w:sz w:val="17"/>
                <w:szCs w:val="17"/>
                <w:lang w:eastAsia="en-AU"/>
              </w:rPr>
              <w:t>Efficiency</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631B507E" w14:textId="77777777" w:rsidR="00DE7320" w:rsidRPr="00DE7320" w:rsidRDefault="00DE7320" w:rsidP="00DE732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DE7320">
              <w:rPr>
                <w:rFonts w:ascii="Calibri Light" w:eastAsia="Times New Roman" w:hAnsi="Calibri Light" w:cs="Times New Roman"/>
                <w:b/>
                <w:bCs/>
                <w:iCs/>
                <w:color w:val="495965"/>
                <w:sz w:val="17"/>
                <w:szCs w:val="17"/>
                <w:lang w:eastAsia="en-AU"/>
              </w:rPr>
              <w:t>Monitoring and Evaluation</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29EBE278" w14:textId="77777777" w:rsidR="00DE7320" w:rsidRPr="00DE7320" w:rsidRDefault="00DE7320" w:rsidP="00DE732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DE7320">
              <w:rPr>
                <w:rFonts w:ascii="Calibri Light" w:eastAsia="Times New Roman" w:hAnsi="Calibri Light" w:cs="Times New Roman"/>
                <w:b/>
                <w:bCs/>
                <w:iCs/>
                <w:color w:val="495965"/>
                <w:sz w:val="17"/>
                <w:szCs w:val="17"/>
                <w:lang w:eastAsia="en-AU"/>
              </w:rPr>
              <w:t>Sustainability</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595BD043" w14:textId="77777777" w:rsidR="00DE7320" w:rsidRPr="00DE7320" w:rsidRDefault="00DE7320" w:rsidP="00DE732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DE7320">
              <w:rPr>
                <w:rFonts w:ascii="Calibri Light" w:eastAsia="Times New Roman" w:hAnsi="Calibri Light" w:cs="Times New Roman"/>
                <w:b/>
                <w:bCs/>
                <w:iCs/>
                <w:color w:val="495965"/>
                <w:sz w:val="17"/>
                <w:szCs w:val="17"/>
                <w:lang w:eastAsia="en-AU"/>
              </w:rPr>
              <w:t>Gender equality</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32517CCC" w14:textId="77777777" w:rsidR="00DE7320" w:rsidRPr="00DE7320" w:rsidRDefault="00DE7320" w:rsidP="00DE732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DE7320">
              <w:rPr>
                <w:rFonts w:ascii="Calibri Light" w:eastAsia="Times New Roman" w:hAnsi="Calibri Light" w:cs="Times New Roman"/>
                <w:b/>
                <w:bCs/>
                <w:iCs/>
                <w:color w:val="495965"/>
                <w:sz w:val="17"/>
                <w:szCs w:val="17"/>
                <w:lang w:eastAsia="en-AU"/>
              </w:rPr>
              <w:t>Risks  and Safeguards</w:t>
            </w:r>
          </w:p>
        </w:tc>
      </w:tr>
      <w:tr w:rsidR="00DE7320" w:rsidRPr="00DE7320" w14:paraId="56BEC7CE" w14:textId="77777777" w:rsidTr="00B05B31">
        <w:trPr>
          <w:trHeight w:val="300"/>
        </w:trPr>
        <w:tc>
          <w:tcPr>
            <w:tcW w:w="3300" w:type="dxa"/>
            <w:tcBorders>
              <w:top w:val="nil"/>
              <w:left w:val="nil"/>
              <w:bottom w:val="nil"/>
              <w:right w:val="nil"/>
            </w:tcBorders>
            <w:shd w:val="clear" w:color="auto" w:fill="auto"/>
            <w:vAlign w:val="center"/>
            <w:hideMark/>
          </w:tcPr>
          <w:p w14:paraId="18824C6C" w14:textId="77777777" w:rsidR="00DE7320" w:rsidRPr="00DE7320" w:rsidRDefault="00DE7320" w:rsidP="00DE7320">
            <w:pPr>
              <w:suppressAutoHyphens w:val="0"/>
              <w:spacing w:before="0" w:after="0" w:line="240" w:lineRule="auto"/>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Nauru Infrastructure and Services (INI949)</w:t>
            </w:r>
          </w:p>
        </w:tc>
        <w:tc>
          <w:tcPr>
            <w:tcW w:w="1340" w:type="dxa"/>
            <w:tcBorders>
              <w:top w:val="nil"/>
              <w:left w:val="nil"/>
              <w:bottom w:val="nil"/>
              <w:right w:val="nil"/>
            </w:tcBorders>
            <w:shd w:val="clear" w:color="auto" w:fill="auto"/>
            <w:vAlign w:val="center"/>
            <w:hideMark/>
          </w:tcPr>
          <w:p w14:paraId="59BA77D1" w14:textId="77777777" w:rsidR="00DE7320" w:rsidRPr="007B4D5B" w:rsidRDefault="00DE7320" w:rsidP="00DE7320">
            <w:pPr>
              <w:suppressAutoHyphens w:val="0"/>
              <w:spacing w:before="0" w:after="0" w:line="240" w:lineRule="auto"/>
              <w:jc w:val="center"/>
              <w:rPr>
                <w:rFonts w:ascii="Calibri Light" w:eastAsia="Times New Roman" w:hAnsi="Calibri Light" w:cs="Times New Roman"/>
                <w:iCs/>
                <w:color w:val="495965"/>
                <w:sz w:val="17"/>
                <w:szCs w:val="17"/>
                <w:lang w:eastAsia="en-AU"/>
              </w:rPr>
            </w:pPr>
            <w:r w:rsidRPr="007B4D5B">
              <w:rPr>
                <w:rFonts w:ascii="Calibri Light" w:eastAsia="Times New Roman" w:hAnsi="Calibri Light" w:cs="Times New Roman"/>
                <w:iCs/>
                <w:color w:val="495965"/>
                <w:sz w:val="17"/>
                <w:szCs w:val="17"/>
                <w:lang w:eastAsia="en-AU"/>
              </w:rPr>
              <w:t xml:space="preserve">$61.4m </w:t>
            </w:r>
          </w:p>
        </w:tc>
        <w:tc>
          <w:tcPr>
            <w:tcW w:w="1180" w:type="dxa"/>
            <w:tcBorders>
              <w:top w:val="nil"/>
              <w:left w:val="nil"/>
              <w:bottom w:val="nil"/>
              <w:right w:val="nil"/>
            </w:tcBorders>
            <w:shd w:val="clear" w:color="auto" w:fill="auto"/>
            <w:vAlign w:val="center"/>
            <w:hideMark/>
          </w:tcPr>
          <w:p w14:paraId="619369AF" w14:textId="77777777" w:rsidR="00DE7320" w:rsidRPr="00DE7320" w:rsidRDefault="00DE7320" w:rsidP="00574D6B">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201</w:t>
            </w:r>
            <w:r w:rsidR="00574D6B">
              <w:rPr>
                <w:rFonts w:ascii="Calibri Light" w:eastAsia="Times New Roman" w:hAnsi="Calibri Light" w:cs="Times New Roman"/>
                <w:iCs/>
                <w:color w:val="495965"/>
                <w:sz w:val="17"/>
                <w:szCs w:val="17"/>
                <w:lang w:eastAsia="en-AU"/>
              </w:rPr>
              <w:t>8</w:t>
            </w:r>
            <w:r w:rsidRPr="00DE7320">
              <w:rPr>
                <w:rFonts w:ascii="Calibri Light" w:eastAsia="Times New Roman" w:hAnsi="Calibri Light" w:cs="Times New Roman"/>
                <w:iCs/>
                <w:color w:val="495965"/>
                <w:sz w:val="17"/>
                <w:szCs w:val="17"/>
                <w:lang w:eastAsia="en-AU"/>
              </w:rPr>
              <w:t xml:space="preserve"> AQC</w:t>
            </w:r>
          </w:p>
        </w:tc>
        <w:tc>
          <w:tcPr>
            <w:tcW w:w="960" w:type="dxa"/>
            <w:tcBorders>
              <w:top w:val="nil"/>
              <w:left w:val="nil"/>
              <w:bottom w:val="nil"/>
              <w:right w:val="nil"/>
            </w:tcBorders>
            <w:shd w:val="clear" w:color="000000" w:fill="92D050"/>
            <w:noWrap/>
            <w:vAlign w:val="center"/>
            <w:hideMark/>
          </w:tcPr>
          <w:p w14:paraId="6F4A59D4"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92D050"/>
            <w:noWrap/>
            <w:vAlign w:val="center"/>
            <w:hideMark/>
          </w:tcPr>
          <w:p w14:paraId="12651281"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FFFF00"/>
            <w:noWrap/>
            <w:vAlign w:val="center"/>
            <w:hideMark/>
          </w:tcPr>
          <w:p w14:paraId="4A839556"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14:paraId="3504E01B"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14:paraId="171639D0"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auto" w:fill="FFFF00"/>
            <w:noWrap/>
            <w:vAlign w:val="center"/>
            <w:hideMark/>
          </w:tcPr>
          <w:p w14:paraId="4AB49769" w14:textId="77777777" w:rsidR="00DE7320" w:rsidRPr="00DE7320" w:rsidRDefault="0026231B"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FFFF"/>
            <w:vAlign w:val="center"/>
            <w:hideMark/>
          </w:tcPr>
          <w:p w14:paraId="0D216F7D"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N/A</w:t>
            </w:r>
          </w:p>
        </w:tc>
      </w:tr>
      <w:tr w:rsidR="00DE7320" w:rsidRPr="00DE7320" w14:paraId="2F885A3A" w14:textId="77777777" w:rsidTr="003A5E88">
        <w:trPr>
          <w:trHeight w:val="315"/>
        </w:trPr>
        <w:tc>
          <w:tcPr>
            <w:tcW w:w="3300" w:type="dxa"/>
            <w:tcBorders>
              <w:top w:val="nil"/>
              <w:left w:val="nil"/>
              <w:bottom w:val="single" w:sz="8" w:space="0" w:color="auto"/>
              <w:right w:val="nil"/>
            </w:tcBorders>
            <w:shd w:val="clear" w:color="auto" w:fill="auto"/>
            <w:vAlign w:val="center"/>
            <w:hideMark/>
          </w:tcPr>
          <w:p w14:paraId="700408EB" w14:textId="77777777" w:rsidR="00DE7320" w:rsidRPr="00DE7320" w:rsidRDefault="00DE7320" w:rsidP="00DE7320">
            <w:pPr>
              <w:suppressAutoHyphens w:val="0"/>
              <w:spacing w:before="0" w:after="0" w:line="240" w:lineRule="auto"/>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color w:val="495965"/>
                <w:sz w:val="17"/>
                <w:szCs w:val="17"/>
                <w:lang w:val="en-AU" w:eastAsia="en-AU"/>
              </w:rPr>
              <w:t> </w:t>
            </w:r>
          </w:p>
        </w:tc>
        <w:tc>
          <w:tcPr>
            <w:tcW w:w="1340" w:type="dxa"/>
            <w:tcBorders>
              <w:top w:val="nil"/>
              <w:left w:val="nil"/>
              <w:bottom w:val="single" w:sz="8" w:space="0" w:color="auto"/>
              <w:right w:val="nil"/>
            </w:tcBorders>
            <w:shd w:val="clear" w:color="auto" w:fill="auto"/>
            <w:vAlign w:val="center"/>
            <w:hideMark/>
          </w:tcPr>
          <w:p w14:paraId="65D70C77" w14:textId="77777777" w:rsidR="00DE7320" w:rsidRPr="007B4D5B" w:rsidRDefault="00DE7320" w:rsidP="00DE7320">
            <w:pPr>
              <w:suppressAutoHyphens w:val="0"/>
              <w:spacing w:before="0" w:after="0" w:line="240" w:lineRule="auto"/>
              <w:jc w:val="center"/>
              <w:rPr>
                <w:rFonts w:ascii="Calibri Light" w:eastAsia="Times New Roman" w:hAnsi="Calibri Light" w:cs="Times New Roman"/>
                <w:iCs/>
                <w:color w:val="495965"/>
                <w:sz w:val="17"/>
                <w:szCs w:val="17"/>
                <w:lang w:eastAsia="en-AU"/>
              </w:rPr>
            </w:pPr>
            <w:r w:rsidRPr="00DE7320">
              <w:rPr>
                <w:rFonts w:ascii="Calibri Light" w:eastAsia="Times New Roman" w:hAnsi="Calibri Light" w:cs="Times New Roman"/>
                <w:iCs/>
                <w:color w:val="495965"/>
                <w:sz w:val="17"/>
                <w:szCs w:val="17"/>
                <w:lang w:eastAsia="en-AU"/>
              </w:rPr>
              <w:t xml:space="preserve">2009-18 </w:t>
            </w:r>
          </w:p>
        </w:tc>
        <w:tc>
          <w:tcPr>
            <w:tcW w:w="1180" w:type="dxa"/>
            <w:tcBorders>
              <w:top w:val="nil"/>
              <w:left w:val="nil"/>
              <w:bottom w:val="single" w:sz="8" w:space="0" w:color="auto"/>
              <w:right w:val="nil"/>
            </w:tcBorders>
            <w:shd w:val="clear" w:color="auto" w:fill="auto"/>
            <w:vAlign w:val="center"/>
            <w:hideMark/>
          </w:tcPr>
          <w:p w14:paraId="06061D0E" w14:textId="77777777" w:rsidR="00DE7320" w:rsidRPr="00DE7320" w:rsidRDefault="00DE7320" w:rsidP="00574D6B">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201</w:t>
            </w:r>
            <w:r w:rsidR="00574D6B">
              <w:rPr>
                <w:rFonts w:ascii="Calibri Light" w:eastAsia="Times New Roman" w:hAnsi="Calibri Light" w:cs="Times New Roman"/>
                <w:iCs/>
                <w:color w:val="495965"/>
                <w:sz w:val="17"/>
                <w:szCs w:val="17"/>
                <w:lang w:eastAsia="en-AU"/>
              </w:rPr>
              <w:t>7</w:t>
            </w:r>
            <w:r w:rsidRPr="00DE7320">
              <w:rPr>
                <w:rFonts w:ascii="Calibri Light" w:eastAsia="Times New Roman" w:hAnsi="Calibri Light" w:cs="Times New Roman"/>
                <w:iCs/>
                <w:color w:val="495965"/>
                <w:sz w:val="17"/>
                <w:szCs w:val="17"/>
                <w:lang w:eastAsia="en-AU"/>
              </w:rPr>
              <w:t xml:space="preserve"> AQC</w:t>
            </w:r>
          </w:p>
        </w:tc>
        <w:tc>
          <w:tcPr>
            <w:tcW w:w="960" w:type="dxa"/>
            <w:tcBorders>
              <w:top w:val="nil"/>
              <w:left w:val="nil"/>
              <w:bottom w:val="single" w:sz="8" w:space="0" w:color="auto"/>
              <w:right w:val="nil"/>
            </w:tcBorders>
            <w:shd w:val="clear" w:color="auto" w:fill="FFFF00"/>
            <w:noWrap/>
            <w:vAlign w:val="center"/>
            <w:hideMark/>
          </w:tcPr>
          <w:p w14:paraId="3395642C" w14:textId="77777777" w:rsidR="00DE7320" w:rsidRPr="00DE7320" w:rsidRDefault="0007518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4</w:t>
            </w:r>
          </w:p>
        </w:tc>
        <w:tc>
          <w:tcPr>
            <w:tcW w:w="960" w:type="dxa"/>
            <w:tcBorders>
              <w:top w:val="nil"/>
              <w:left w:val="nil"/>
              <w:bottom w:val="single" w:sz="8" w:space="0" w:color="auto"/>
              <w:right w:val="nil"/>
            </w:tcBorders>
            <w:shd w:val="clear" w:color="000000" w:fill="FFFF00"/>
            <w:noWrap/>
            <w:vAlign w:val="center"/>
            <w:hideMark/>
          </w:tcPr>
          <w:p w14:paraId="0530CDC5" w14:textId="77777777" w:rsidR="00DE7320" w:rsidRPr="00DE7320" w:rsidRDefault="00DE732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single" w:sz="8" w:space="0" w:color="auto"/>
              <w:right w:val="nil"/>
            </w:tcBorders>
            <w:shd w:val="clear" w:color="auto" w:fill="FFFF00"/>
            <w:noWrap/>
            <w:vAlign w:val="center"/>
            <w:hideMark/>
          </w:tcPr>
          <w:p w14:paraId="3C52B39E" w14:textId="77777777" w:rsidR="00DE7320" w:rsidRPr="00DE7320" w:rsidRDefault="0007518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4</w:t>
            </w:r>
          </w:p>
        </w:tc>
        <w:tc>
          <w:tcPr>
            <w:tcW w:w="960" w:type="dxa"/>
            <w:tcBorders>
              <w:top w:val="nil"/>
              <w:left w:val="nil"/>
              <w:bottom w:val="single" w:sz="8" w:space="0" w:color="auto"/>
              <w:right w:val="nil"/>
            </w:tcBorders>
            <w:shd w:val="clear" w:color="auto" w:fill="92D050"/>
            <w:noWrap/>
            <w:vAlign w:val="center"/>
            <w:hideMark/>
          </w:tcPr>
          <w:p w14:paraId="4BC17EF4" w14:textId="77777777" w:rsidR="00DE7320" w:rsidRPr="00DE7320" w:rsidRDefault="0007518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5</w:t>
            </w:r>
          </w:p>
        </w:tc>
        <w:tc>
          <w:tcPr>
            <w:tcW w:w="960" w:type="dxa"/>
            <w:tcBorders>
              <w:top w:val="nil"/>
              <w:left w:val="nil"/>
              <w:bottom w:val="single" w:sz="8" w:space="0" w:color="auto"/>
              <w:right w:val="nil"/>
            </w:tcBorders>
            <w:shd w:val="clear" w:color="auto" w:fill="FFFF00"/>
            <w:noWrap/>
            <w:vAlign w:val="center"/>
            <w:hideMark/>
          </w:tcPr>
          <w:p w14:paraId="59302637" w14:textId="77777777" w:rsidR="00DE7320" w:rsidRPr="00DE7320" w:rsidRDefault="0007518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4</w:t>
            </w:r>
          </w:p>
        </w:tc>
        <w:tc>
          <w:tcPr>
            <w:tcW w:w="960" w:type="dxa"/>
            <w:tcBorders>
              <w:top w:val="nil"/>
              <w:left w:val="nil"/>
              <w:bottom w:val="single" w:sz="8" w:space="0" w:color="auto"/>
              <w:right w:val="nil"/>
            </w:tcBorders>
            <w:shd w:val="clear" w:color="auto" w:fill="FF0000"/>
            <w:noWrap/>
            <w:vAlign w:val="center"/>
            <w:hideMark/>
          </w:tcPr>
          <w:p w14:paraId="2736E213" w14:textId="77777777" w:rsidR="00DE7320" w:rsidRPr="00DE7320" w:rsidRDefault="00075180"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2</w:t>
            </w:r>
          </w:p>
        </w:tc>
        <w:tc>
          <w:tcPr>
            <w:tcW w:w="960" w:type="dxa"/>
            <w:tcBorders>
              <w:top w:val="nil"/>
              <w:left w:val="nil"/>
              <w:bottom w:val="single" w:sz="8" w:space="0" w:color="auto"/>
              <w:right w:val="nil"/>
            </w:tcBorders>
            <w:shd w:val="clear" w:color="auto" w:fill="FFFFFF" w:themeFill="background1"/>
            <w:vAlign w:val="center"/>
            <w:hideMark/>
          </w:tcPr>
          <w:p w14:paraId="7F8BC16C" w14:textId="77777777" w:rsidR="00DE7320" w:rsidRPr="00DE7320" w:rsidRDefault="006E76CB" w:rsidP="00DE732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N/A</w:t>
            </w:r>
          </w:p>
        </w:tc>
      </w:tr>
      <w:tr w:rsidR="00574D6B" w:rsidRPr="00DE7320" w14:paraId="30A8A9A9" w14:textId="77777777" w:rsidTr="00D54A49">
        <w:trPr>
          <w:trHeight w:val="300"/>
        </w:trPr>
        <w:tc>
          <w:tcPr>
            <w:tcW w:w="3300" w:type="dxa"/>
            <w:tcBorders>
              <w:top w:val="nil"/>
              <w:left w:val="nil"/>
              <w:bottom w:val="nil"/>
              <w:right w:val="nil"/>
            </w:tcBorders>
            <w:shd w:val="clear" w:color="auto" w:fill="auto"/>
            <w:vAlign w:val="center"/>
            <w:hideMark/>
          </w:tcPr>
          <w:p w14:paraId="1CFA1EA4" w14:textId="77777777" w:rsidR="00574D6B" w:rsidRPr="00DE7320" w:rsidRDefault="00574D6B" w:rsidP="00574D6B">
            <w:pPr>
              <w:suppressAutoHyphens w:val="0"/>
              <w:spacing w:before="0" w:after="0" w:line="240" w:lineRule="auto"/>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Nauru Public Sector Reform (INI943)</w:t>
            </w:r>
          </w:p>
        </w:tc>
        <w:tc>
          <w:tcPr>
            <w:tcW w:w="1340" w:type="dxa"/>
            <w:tcBorders>
              <w:top w:val="nil"/>
              <w:left w:val="nil"/>
              <w:bottom w:val="nil"/>
              <w:right w:val="nil"/>
            </w:tcBorders>
            <w:shd w:val="clear" w:color="auto" w:fill="auto"/>
            <w:vAlign w:val="center"/>
            <w:hideMark/>
          </w:tcPr>
          <w:p w14:paraId="42763C90" w14:textId="77777777" w:rsidR="00574D6B" w:rsidRPr="007B4D5B" w:rsidRDefault="00574D6B" w:rsidP="00574D6B">
            <w:pPr>
              <w:suppressAutoHyphens w:val="0"/>
              <w:spacing w:before="0" w:after="0" w:line="240" w:lineRule="auto"/>
              <w:jc w:val="center"/>
              <w:rPr>
                <w:rFonts w:ascii="Calibri Light" w:eastAsia="Times New Roman" w:hAnsi="Calibri Light" w:cs="Times New Roman"/>
                <w:iCs/>
                <w:color w:val="495965"/>
                <w:sz w:val="17"/>
                <w:szCs w:val="17"/>
                <w:lang w:eastAsia="en-AU"/>
              </w:rPr>
            </w:pPr>
            <w:r w:rsidRPr="007B4D5B">
              <w:rPr>
                <w:rFonts w:ascii="Calibri Light" w:eastAsia="Times New Roman" w:hAnsi="Calibri Light" w:cs="Times New Roman"/>
                <w:iCs/>
                <w:color w:val="495965"/>
                <w:sz w:val="17"/>
                <w:szCs w:val="17"/>
                <w:lang w:eastAsia="en-AU"/>
              </w:rPr>
              <w:t xml:space="preserve">$31.4m </w:t>
            </w:r>
          </w:p>
        </w:tc>
        <w:tc>
          <w:tcPr>
            <w:tcW w:w="1180" w:type="dxa"/>
            <w:tcBorders>
              <w:top w:val="nil"/>
              <w:left w:val="nil"/>
              <w:bottom w:val="nil"/>
              <w:right w:val="nil"/>
            </w:tcBorders>
            <w:shd w:val="clear" w:color="auto" w:fill="auto"/>
            <w:vAlign w:val="center"/>
            <w:hideMark/>
          </w:tcPr>
          <w:p w14:paraId="4CFE48FD" w14:textId="77777777" w:rsidR="00574D6B" w:rsidRPr="00DE7320" w:rsidRDefault="00574D6B" w:rsidP="00574D6B">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201</w:t>
            </w:r>
            <w:r>
              <w:rPr>
                <w:rFonts w:ascii="Calibri Light" w:eastAsia="Times New Roman" w:hAnsi="Calibri Light" w:cs="Times New Roman"/>
                <w:iCs/>
                <w:color w:val="495965"/>
                <w:sz w:val="17"/>
                <w:szCs w:val="17"/>
                <w:lang w:eastAsia="en-AU"/>
              </w:rPr>
              <w:t>8</w:t>
            </w:r>
            <w:r w:rsidRPr="00DE7320">
              <w:rPr>
                <w:rFonts w:ascii="Calibri Light" w:eastAsia="Times New Roman" w:hAnsi="Calibri Light" w:cs="Times New Roman"/>
                <w:iCs/>
                <w:color w:val="495965"/>
                <w:sz w:val="17"/>
                <w:szCs w:val="17"/>
                <w:lang w:eastAsia="en-AU"/>
              </w:rPr>
              <w:t xml:space="preserve"> AQC</w:t>
            </w:r>
          </w:p>
        </w:tc>
        <w:tc>
          <w:tcPr>
            <w:tcW w:w="960" w:type="dxa"/>
            <w:tcBorders>
              <w:top w:val="nil"/>
              <w:left w:val="nil"/>
              <w:bottom w:val="nil"/>
              <w:right w:val="nil"/>
            </w:tcBorders>
            <w:shd w:val="clear" w:color="auto" w:fill="92D050"/>
            <w:noWrap/>
            <w:vAlign w:val="center"/>
            <w:hideMark/>
          </w:tcPr>
          <w:p w14:paraId="5242E23C" w14:textId="77777777" w:rsidR="00574D6B" w:rsidRPr="00DE7320" w:rsidRDefault="00D54A49"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auto" w:fill="FFFF00"/>
            <w:noWrap/>
            <w:vAlign w:val="center"/>
            <w:hideMark/>
          </w:tcPr>
          <w:p w14:paraId="6AEDE6D8" w14:textId="77777777" w:rsidR="00574D6B" w:rsidRPr="00DE7320" w:rsidRDefault="00D54A49"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14:paraId="43BDDE82" w14:textId="77777777" w:rsidR="00574D6B" w:rsidRPr="00DE7320" w:rsidRDefault="00574D6B"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auto" w:fill="FF9900"/>
            <w:noWrap/>
            <w:vAlign w:val="center"/>
            <w:hideMark/>
          </w:tcPr>
          <w:p w14:paraId="660E0CBF" w14:textId="77777777" w:rsidR="00574D6B" w:rsidRPr="00DE7320" w:rsidRDefault="00D54A49"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3</w:t>
            </w:r>
          </w:p>
        </w:tc>
        <w:tc>
          <w:tcPr>
            <w:tcW w:w="960" w:type="dxa"/>
            <w:tcBorders>
              <w:top w:val="nil"/>
              <w:left w:val="nil"/>
              <w:bottom w:val="nil"/>
              <w:right w:val="nil"/>
            </w:tcBorders>
            <w:shd w:val="clear" w:color="auto" w:fill="92D050"/>
            <w:noWrap/>
            <w:vAlign w:val="center"/>
            <w:hideMark/>
          </w:tcPr>
          <w:p w14:paraId="440BEE54" w14:textId="77777777" w:rsidR="00574D6B" w:rsidRPr="00DE7320" w:rsidRDefault="006A1C99"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auto" w:fill="FF9900"/>
            <w:noWrap/>
            <w:vAlign w:val="center"/>
            <w:hideMark/>
          </w:tcPr>
          <w:p w14:paraId="18C2D86C" w14:textId="77777777" w:rsidR="00574D6B" w:rsidRPr="00DE7320" w:rsidRDefault="00D54A49"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3</w:t>
            </w:r>
          </w:p>
        </w:tc>
        <w:tc>
          <w:tcPr>
            <w:tcW w:w="960" w:type="dxa"/>
            <w:tcBorders>
              <w:top w:val="nil"/>
              <w:left w:val="nil"/>
              <w:bottom w:val="nil"/>
              <w:right w:val="nil"/>
            </w:tcBorders>
            <w:shd w:val="clear" w:color="000000" w:fill="FFFFFF"/>
            <w:vAlign w:val="center"/>
            <w:hideMark/>
          </w:tcPr>
          <w:p w14:paraId="05F55ACA" w14:textId="77777777" w:rsidR="00574D6B" w:rsidRPr="00DE7320" w:rsidRDefault="00574D6B"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N/A</w:t>
            </w:r>
          </w:p>
        </w:tc>
      </w:tr>
      <w:tr w:rsidR="00574D6B" w:rsidRPr="00DE7320" w14:paraId="240FC43A" w14:textId="77777777" w:rsidTr="00164CF3">
        <w:trPr>
          <w:trHeight w:val="315"/>
        </w:trPr>
        <w:tc>
          <w:tcPr>
            <w:tcW w:w="3300" w:type="dxa"/>
            <w:tcBorders>
              <w:top w:val="nil"/>
              <w:left w:val="nil"/>
              <w:bottom w:val="single" w:sz="8" w:space="0" w:color="auto"/>
              <w:right w:val="nil"/>
            </w:tcBorders>
            <w:shd w:val="clear" w:color="auto" w:fill="auto"/>
            <w:vAlign w:val="center"/>
            <w:hideMark/>
          </w:tcPr>
          <w:p w14:paraId="51818DAA" w14:textId="77777777" w:rsidR="00574D6B" w:rsidRPr="00DE7320" w:rsidRDefault="00574D6B" w:rsidP="00574D6B">
            <w:pPr>
              <w:suppressAutoHyphens w:val="0"/>
              <w:spacing w:before="0" w:after="0" w:line="240" w:lineRule="auto"/>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color w:val="495965"/>
                <w:sz w:val="17"/>
                <w:szCs w:val="17"/>
                <w:lang w:val="en-AU" w:eastAsia="en-AU"/>
              </w:rPr>
              <w:t> </w:t>
            </w:r>
          </w:p>
        </w:tc>
        <w:tc>
          <w:tcPr>
            <w:tcW w:w="1340" w:type="dxa"/>
            <w:tcBorders>
              <w:top w:val="nil"/>
              <w:left w:val="nil"/>
              <w:bottom w:val="single" w:sz="8" w:space="0" w:color="auto"/>
              <w:right w:val="nil"/>
            </w:tcBorders>
            <w:shd w:val="clear" w:color="auto" w:fill="auto"/>
            <w:vAlign w:val="center"/>
            <w:hideMark/>
          </w:tcPr>
          <w:p w14:paraId="7224815B" w14:textId="77777777" w:rsidR="00574D6B" w:rsidRPr="00DE7320" w:rsidRDefault="00574D6B" w:rsidP="00574D6B">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 xml:space="preserve">2009-18 </w:t>
            </w:r>
          </w:p>
        </w:tc>
        <w:tc>
          <w:tcPr>
            <w:tcW w:w="1180" w:type="dxa"/>
            <w:tcBorders>
              <w:top w:val="nil"/>
              <w:left w:val="nil"/>
              <w:bottom w:val="single" w:sz="8" w:space="0" w:color="auto"/>
              <w:right w:val="nil"/>
            </w:tcBorders>
            <w:shd w:val="clear" w:color="auto" w:fill="auto"/>
            <w:vAlign w:val="center"/>
            <w:hideMark/>
          </w:tcPr>
          <w:p w14:paraId="7D836EA6" w14:textId="77777777" w:rsidR="00574D6B" w:rsidRPr="00DE7320" w:rsidRDefault="00574D6B" w:rsidP="00574D6B">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201</w:t>
            </w:r>
            <w:r>
              <w:rPr>
                <w:rFonts w:ascii="Calibri Light" w:eastAsia="Times New Roman" w:hAnsi="Calibri Light" w:cs="Times New Roman"/>
                <w:iCs/>
                <w:color w:val="495965"/>
                <w:sz w:val="17"/>
                <w:szCs w:val="17"/>
                <w:lang w:eastAsia="en-AU"/>
              </w:rPr>
              <w:t>7</w:t>
            </w:r>
            <w:r w:rsidRPr="00DE7320">
              <w:rPr>
                <w:rFonts w:ascii="Calibri Light" w:eastAsia="Times New Roman" w:hAnsi="Calibri Light" w:cs="Times New Roman"/>
                <w:iCs/>
                <w:color w:val="495965"/>
                <w:sz w:val="17"/>
                <w:szCs w:val="17"/>
                <w:lang w:eastAsia="en-AU"/>
              </w:rPr>
              <w:t xml:space="preserve"> AQC</w:t>
            </w:r>
          </w:p>
        </w:tc>
        <w:tc>
          <w:tcPr>
            <w:tcW w:w="960" w:type="dxa"/>
            <w:tcBorders>
              <w:top w:val="nil"/>
              <w:left w:val="nil"/>
              <w:bottom w:val="single" w:sz="8" w:space="0" w:color="auto"/>
              <w:right w:val="nil"/>
            </w:tcBorders>
            <w:shd w:val="clear" w:color="000000" w:fill="92D050"/>
            <w:noWrap/>
            <w:vAlign w:val="center"/>
            <w:hideMark/>
          </w:tcPr>
          <w:p w14:paraId="3638DA67" w14:textId="77777777" w:rsidR="00574D6B" w:rsidRPr="00DE7320" w:rsidRDefault="00574D6B"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5</w:t>
            </w:r>
          </w:p>
        </w:tc>
        <w:tc>
          <w:tcPr>
            <w:tcW w:w="960" w:type="dxa"/>
            <w:tcBorders>
              <w:top w:val="nil"/>
              <w:left w:val="nil"/>
              <w:bottom w:val="single" w:sz="8" w:space="0" w:color="auto"/>
              <w:right w:val="nil"/>
            </w:tcBorders>
            <w:shd w:val="clear" w:color="000000" w:fill="FFFF00"/>
            <w:noWrap/>
            <w:vAlign w:val="center"/>
            <w:hideMark/>
          </w:tcPr>
          <w:p w14:paraId="3E1F8440" w14:textId="77777777" w:rsidR="00574D6B" w:rsidRPr="00DE7320" w:rsidRDefault="00574D6B"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single" w:sz="8" w:space="0" w:color="auto"/>
              <w:right w:val="nil"/>
            </w:tcBorders>
            <w:shd w:val="clear" w:color="000000" w:fill="92D050"/>
            <w:noWrap/>
            <w:vAlign w:val="center"/>
            <w:hideMark/>
          </w:tcPr>
          <w:p w14:paraId="5A215521" w14:textId="77777777" w:rsidR="00574D6B" w:rsidRPr="00DE7320" w:rsidRDefault="00574D6B"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5</w:t>
            </w:r>
          </w:p>
        </w:tc>
        <w:tc>
          <w:tcPr>
            <w:tcW w:w="960" w:type="dxa"/>
            <w:tcBorders>
              <w:top w:val="nil"/>
              <w:left w:val="nil"/>
              <w:bottom w:val="single" w:sz="8" w:space="0" w:color="auto"/>
              <w:right w:val="nil"/>
            </w:tcBorders>
            <w:shd w:val="clear" w:color="000000" w:fill="FFFF00"/>
            <w:noWrap/>
            <w:vAlign w:val="center"/>
            <w:hideMark/>
          </w:tcPr>
          <w:p w14:paraId="4BCBB093" w14:textId="77777777" w:rsidR="00574D6B" w:rsidRPr="00DE7320" w:rsidRDefault="00574D6B"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single" w:sz="8" w:space="0" w:color="auto"/>
              <w:right w:val="nil"/>
            </w:tcBorders>
            <w:shd w:val="clear" w:color="000000" w:fill="FFFF00"/>
            <w:noWrap/>
            <w:vAlign w:val="center"/>
            <w:hideMark/>
          </w:tcPr>
          <w:p w14:paraId="6041CC38" w14:textId="77777777" w:rsidR="00574D6B" w:rsidRPr="00DE7320" w:rsidRDefault="00574D6B"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single" w:sz="8" w:space="0" w:color="auto"/>
              <w:right w:val="nil"/>
            </w:tcBorders>
            <w:shd w:val="clear" w:color="000000" w:fill="FF0000"/>
            <w:noWrap/>
            <w:vAlign w:val="center"/>
            <w:hideMark/>
          </w:tcPr>
          <w:p w14:paraId="574471DC" w14:textId="77777777" w:rsidR="00574D6B" w:rsidRPr="00DE7320" w:rsidRDefault="00574D6B"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w:t>
            </w:r>
          </w:p>
        </w:tc>
        <w:tc>
          <w:tcPr>
            <w:tcW w:w="960" w:type="dxa"/>
            <w:tcBorders>
              <w:top w:val="nil"/>
              <w:left w:val="nil"/>
              <w:bottom w:val="single" w:sz="8" w:space="0" w:color="auto"/>
              <w:right w:val="nil"/>
            </w:tcBorders>
            <w:shd w:val="clear" w:color="auto" w:fill="FFFFFF" w:themeFill="background1"/>
            <w:vAlign w:val="center"/>
            <w:hideMark/>
          </w:tcPr>
          <w:p w14:paraId="77D0E5E0" w14:textId="77777777" w:rsidR="00574D6B" w:rsidRPr="00DE7320" w:rsidRDefault="00164CF3"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N/A</w:t>
            </w:r>
          </w:p>
        </w:tc>
      </w:tr>
      <w:tr w:rsidR="00574D6B" w:rsidRPr="00DE7320" w14:paraId="1295C7A3" w14:textId="77777777" w:rsidTr="00A17BE5">
        <w:trPr>
          <w:trHeight w:val="300"/>
        </w:trPr>
        <w:tc>
          <w:tcPr>
            <w:tcW w:w="3300" w:type="dxa"/>
            <w:tcBorders>
              <w:top w:val="nil"/>
              <w:left w:val="nil"/>
              <w:bottom w:val="nil"/>
              <w:right w:val="nil"/>
            </w:tcBorders>
            <w:shd w:val="clear" w:color="auto" w:fill="auto"/>
            <w:vAlign w:val="center"/>
            <w:hideMark/>
          </w:tcPr>
          <w:p w14:paraId="0BE7B6AC" w14:textId="77777777" w:rsidR="00574D6B" w:rsidRPr="00DE7320" w:rsidRDefault="00574D6B" w:rsidP="00574D6B">
            <w:pPr>
              <w:suppressAutoHyphens w:val="0"/>
              <w:spacing w:before="0" w:after="0" w:line="240" w:lineRule="auto"/>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Nauru Improved Education (INI950)</w:t>
            </w:r>
          </w:p>
        </w:tc>
        <w:tc>
          <w:tcPr>
            <w:tcW w:w="1340" w:type="dxa"/>
            <w:tcBorders>
              <w:top w:val="nil"/>
              <w:left w:val="nil"/>
              <w:bottom w:val="nil"/>
              <w:right w:val="nil"/>
            </w:tcBorders>
            <w:shd w:val="clear" w:color="auto" w:fill="auto"/>
            <w:vAlign w:val="center"/>
            <w:hideMark/>
          </w:tcPr>
          <w:p w14:paraId="5357908B" w14:textId="77777777" w:rsidR="00574D6B" w:rsidRPr="00DE7320" w:rsidRDefault="00574D6B" w:rsidP="00574D6B">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$26.1m</w:t>
            </w:r>
          </w:p>
        </w:tc>
        <w:tc>
          <w:tcPr>
            <w:tcW w:w="1180" w:type="dxa"/>
            <w:tcBorders>
              <w:top w:val="nil"/>
              <w:left w:val="nil"/>
              <w:bottom w:val="nil"/>
              <w:right w:val="nil"/>
            </w:tcBorders>
            <w:shd w:val="clear" w:color="auto" w:fill="auto"/>
            <w:vAlign w:val="center"/>
            <w:hideMark/>
          </w:tcPr>
          <w:p w14:paraId="6150F6D7" w14:textId="77777777" w:rsidR="00574D6B" w:rsidRPr="00DE7320" w:rsidRDefault="00574D6B" w:rsidP="00574D6B">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201</w:t>
            </w:r>
            <w:r>
              <w:rPr>
                <w:rFonts w:ascii="Calibri Light" w:eastAsia="Times New Roman" w:hAnsi="Calibri Light" w:cs="Times New Roman"/>
                <w:iCs/>
                <w:color w:val="495965"/>
                <w:sz w:val="17"/>
                <w:szCs w:val="17"/>
                <w:lang w:eastAsia="en-AU"/>
              </w:rPr>
              <w:t>8</w:t>
            </w:r>
            <w:r w:rsidRPr="00DE7320">
              <w:rPr>
                <w:rFonts w:ascii="Calibri Light" w:eastAsia="Times New Roman" w:hAnsi="Calibri Light" w:cs="Times New Roman"/>
                <w:iCs/>
                <w:color w:val="495965"/>
                <w:sz w:val="17"/>
                <w:szCs w:val="17"/>
                <w:lang w:eastAsia="en-AU"/>
              </w:rPr>
              <w:t xml:space="preserve"> AQC</w:t>
            </w:r>
          </w:p>
        </w:tc>
        <w:tc>
          <w:tcPr>
            <w:tcW w:w="960" w:type="dxa"/>
            <w:tcBorders>
              <w:top w:val="nil"/>
              <w:left w:val="nil"/>
              <w:bottom w:val="nil"/>
              <w:right w:val="nil"/>
            </w:tcBorders>
            <w:shd w:val="clear" w:color="000000" w:fill="92D050"/>
            <w:noWrap/>
            <w:vAlign w:val="center"/>
            <w:hideMark/>
          </w:tcPr>
          <w:p w14:paraId="7A1A87D8" w14:textId="77777777" w:rsidR="00574D6B" w:rsidRPr="00DE7320" w:rsidRDefault="00574D6B"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FFFF00"/>
            <w:noWrap/>
            <w:vAlign w:val="center"/>
            <w:hideMark/>
          </w:tcPr>
          <w:p w14:paraId="66DA5F54" w14:textId="77777777" w:rsidR="00574D6B" w:rsidRPr="00DE7320" w:rsidRDefault="00574D6B"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14:paraId="62880F14" w14:textId="77777777" w:rsidR="00574D6B" w:rsidRPr="00DE7320" w:rsidRDefault="00574D6B"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auto" w:fill="FFFF00"/>
            <w:noWrap/>
            <w:vAlign w:val="center"/>
            <w:hideMark/>
          </w:tcPr>
          <w:p w14:paraId="18B74BE2" w14:textId="77777777" w:rsidR="00574D6B" w:rsidRPr="00DE7320" w:rsidRDefault="00CE451F"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auto" w:fill="FFFF00"/>
            <w:noWrap/>
            <w:vAlign w:val="center"/>
            <w:hideMark/>
          </w:tcPr>
          <w:p w14:paraId="4AE6D9DE" w14:textId="77777777" w:rsidR="00574D6B" w:rsidRPr="00DE7320" w:rsidRDefault="00A17BE5"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auto" w:fill="FFFF00"/>
            <w:noWrap/>
            <w:vAlign w:val="center"/>
            <w:hideMark/>
          </w:tcPr>
          <w:p w14:paraId="1540FF67" w14:textId="77777777" w:rsidR="00574D6B" w:rsidRPr="00DE7320" w:rsidRDefault="00CE451F"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FFFF"/>
            <w:vAlign w:val="center"/>
            <w:hideMark/>
          </w:tcPr>
          <w:p w14:paraId="7992DF84" w14:textId="77777777" w:rsidR="00574D6B" w:rsidRPr="00DE7320" w:rsidRDefault="00574D6B"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N/A</w:t>
            </w:r>
          </w:p>
        </w:tc>
      </w:tr>
      <w:tr w:rsidR="00574D6B" w:rsidRPr="00DE7320" w14:paraId="15A505BA" w14:textId="77777777" w:rsidTr="006E2DE1">
        <w:trPr>
          <w:trHeight w:val="315"/>
        </w:trPr>
        <w:tc>
          <w:tcPr>
            <w:tcW w:w="3300" w:type="dxa"/>
            <w:tcBorders>
              <w:top w:val="nil"/>
              <w:left w:val="nil"/>
              <w:bottom w:val="single" w:sz="8" w:space="0" w:color="auto"/>
              <w:right w:val="nil"/>
            </w:tcBorders>
            <w:shd w:val="clear" w:color="auto" w:fill="auto"/>
            <w:vAlign w:val="center"/>
            <w:hideMark/>
          </w:tcPr>
          <w:p w14:paraId="17187549" w14:textId="77777777" w:rsidR="00574D6B" w:rsidRPr="00DE7320" w:rsidRDefault="00574D6B" w:rsidP="00574D6B">
            <w:pPr>
              <w:suppressAutoHyphens w:val="0"/>
              <w:spacing w:before="0" w:after="0" w:line="240" w:lineRule="auto"/>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color w:val="495965"/>
                <w:sz w:val="17"/>
                <w:szCs w:val="17"/>
                <w:lang w:val="en-AU" w:eastAsia="en-AU"/>
              </w:rPr>
              <w:t> </w:t>
            </w:r>
          </w:p>
        </w:tc>
        <w:tc>
          <w:tcPr>
            <w:tcW w:w="1340" w:type="dxa"/>
            <w:tcBorders>
              <w:top w:val="nil"/>
              <w:left w:val="nil"/>
              <w:bottom w:val="nil"/>
              <w:right w:val="nil"/>
            </w:tcBorders>
            <w:shd w:val="clear" w:color="auto" w:fill="auto"/>
            <w:vAlign w:val="center"/>
            <w:hideMark/>
          </w:tcPr>
          <w:p w14:paraId="2058266C" w14:textId="77777777" w:rsidR="00574D6B" w:rsidRPr="00DE7320" w:rsidRDefault="00574D6B" w:rsidP="00574D6B">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2009-18</w:t>
            </w:r>
          </w:p>
        </w:tc>
        <w:tc>
          <w:tcPr>
            <w:tcW w:w="1180" w:type="dxa"/>
            <w:tcBorders>
              <w:top w:val="nil"/>
              <w:left w:val="nil"/>
              <w:bottom w:val="nil"/>
              <w:right w:val="nil"/>
            </w:tcBorders>
            <w:shd w:val="clear" w:color="auto" w:fill="auto"/>
            <w:vAlign w:val="center"/>
            <w:hideMark/>
          </w:tcPr>
          <w:p w14:paraId="70C6B9D9" w14:textId="77777777" w:rsidR="00574D6B" w:rsidRPr="00DE7320" w:rsidRDefault="00574D6B" w:rsidP="00574D6B">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201</w:t>
            </w:r>
            <w:r>
              <w:rPr>
                <w:rFonts w:ascii="Calibri Light" w:eastAsia="Times New Roman" w:hAnsi="Calibri Light" w:cs="Times New Roman"/>
                <w:iCs/>
                <w:color w:val="495965"/>
                <w:sz w:val="17"/>
                <w:szCs w:val="17"/>
                <w:lang w:eastAsia="en-AU"/>
              </w:rPr>
              <w:t>7</w:t>
            </w:r>
            <w:r w:rsidRPr="00DE7320">
              <w:rPr>
                <w:rFonts w:ascii="Calibri Light" w:eastAsia="Times New Roman" w:hAnsi="Calibri Light" w:cs="Times New Roman"/>
                <w:iCs/>
                <w:color w:val="495965"/>
                <w:sz w:val="17"/>
                <w:szCs w:val="17"/>
                <w:lang w:eastAsia="en-AU"/>
              </w:rPr>
              <w:t xml:space="preserve"> AQC</w:t>
            </w:r>
          </w:p>
        </w:tc>
        <w:tc>
          <w:tcPr>
            <w:tcW w:w="960" w:type="dxa"/>
            <w:tcBorders>
              <w:top w:val="nil"/>
              <w:left w:val="nil"/>
              <w:bottom w:val="nil"/>
              <w:right w:val="nil"/>
            </w:tcBorders>
            <w:shd w:val="clear" w:color="000000" w:fill="92D050"/>
            <w:noWrap/>
            <w:vAlign w:val="center"/>
            <w:hideMark/>
          </w:tcPr>
          <w:p w14:paraId="12D4B804" w14:textId="77777777" w:rsidR="00574D6B" w:rsidRPr="00DE7320" w:rsidRDefault="0038076E"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 xml:space="preserve">    </w:t>
            </w:r>
            <w:r w:rsidR="00574D6B" w:rsidRPr="00DE7320">
              <w:rPr>
                <w:rFonts w:ascii="Calibri Light" w:eastAsia="Times New Roman" w:hAnsi="Calibri Light" w:cs="Times New Roman"/>
                <w:iCs/>
                <w:color w:val="495965"/>
                <w:sz w:val="17"/>
                <w:szCs w:val="17"/>
                <w:lang w:eastAsia="en-AU"/>
              </w:rPr>
              <w:t> </w:t>
            </w:r>
            <w:r>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000000" w:fill="FFFF00"/>
            <w:noWrap/>
            <w:vAlign w:val="center"/>
            <w:hideMark/>
          </w:tcPr>
          <w:p w14:paraId="05A42070" w14:textId="77777777" w:rsidR="00574D6B" w:rsidRPr="00DE7320" w:rsidRDefault="00574D6B"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FF00"/>
            <w:noWrap/>
            <w:vAlign w:val="center"/>
            <w:hideMark/>
          </w:tcPr>
          <w:p w14:paraId="047D17E5" w14:textId="77777777" w:rsidR="00574D6B" w:rsidRPr="00DE7320" w:rsidRDefault="00574D6B"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nil"/>
              <w:right w:val="nil"/>
            </w:tcBorders>
            <w:shd w:val="clear" w:color="000000" w:fill="FFC000"/>
            <w:noWrap/>
            <w:vAlign w:val="center"/>
            <w:hideMark/>
          </w:tcPr>
          <w:p w14:paraId="4E0A704D" w14:textId="77777777" w:rsidR="00574D6B" w:rsidRPr="00DE7320" w:rsidRDefault="00574D6B"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3</w:t>
            </w:r>
          </w:p>
        </w:tc>
        <w:tc>
          <w:tcPr>
            <w:tcW w:w="960" w:type="dxa"/>
            <w:tcBorders>
              <w:top w:val="nil"/>
              <w:left w:val="nil"/>
              <w:bottom w:val="nil"/>
              <w:right w:val="nil"/>
            </w:tcBorders>
            <w:shd w:val="clear" w:color="000000" w:fill="92D050"/>
            <w:noWrap/>
            <w:vAlign w:val="center"/>
            <w:hideMark/>
          </w:tcPr>
          <w:p w14:paraId="01831816" w14:textId="77777777" w:rsidR="00574D6B" w:rsidRPr="00DE7320" w:rsidRDefault="00574D6B"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5</w:t>
            </w:r>
          </w:p>
        </w:tc>
        <w:tc>
          <w:tcPr>
            <w:tcW w:w="960" w:type="dxa"/>
            <w:tcBorders>
              <w:top w:val="nil"/>
              <w:left w:val="nil"/>
              <w:bottom w:val="nil"/>
              <w:right w:val="nil"/>
            </w:tcBorders>
            <w:shd w:val="clear" w:color="auto" w:fill="FF0000"/>
            <w:noWrap/>
            <w:vAlign w:val="center"/>
            <w:hideMark/>
          </w:tcPr>
          <w:p w14:paraId="1D3FBCDD" w14:textId="77777777" w:rsidR="00574D6B" w:rsidRPr="00DE7320" w:rsidRDefault="006E2DE1"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2</w:t>
            </w:r>
          </w:p>
        </w:tc>
        <w:tc>
          <w:tcPr>
            <w:tcW w:w="960" w:type="dxa"/>
            <w:tcBorders>
              <w:top w:val="nil"/>
              <w:left w:val="nil"/>
              <w:bottom w:val="nil"/>
              <w:right w:val="nil"/>
            </w:tcBorders>
            <w:shd w:val="clear" w:color="auto" w:fill="FFFFFF" w:themeFill="background1"/>
            <w:vAlign w:val="center"/>
            <w:hideMark/>
          </w:tcPr>
          <w:p w14:paraId="313D3EF5" w14:textId="77777777" w:rsidR="00574D6B" w:rsidRPr="00DE7320" w:rsidRDefault="006E2DE1"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N/A</w:t>
            </w:r>
          </w:p>
        </w:tc>
      </w:tr>
      <w:tr w:rsidR="00574D6B" w:rsidRPr="00DE7320" w14:paraId="78BC4CBA" w14:textId="77777777" w:rsidTr="00A17BE5">
        <w:trPr>
          <w:trHeight w:val="300"/>
        </w:trPr>
        <w:tc>
          <w:tcPr>
            <w:tcW w:w="3300" w:type="dxa"/>
            <w:tcBorders>
              <w:top w:val="nil"/>
              <w:left w:val="nil"/>
              <w:bottom w:val="nil"/>
              <w:right w:val="nil"/>
            </w:tcBorders>
            <w:shd w:val="clear" w:color="auto" w:fill="auto"/>
            <w:vAlign w:val="center"/>
            <w:hideMark/>
          </w:tcPr>
          <w:p w14:paraId="76D95BB0" w14:textId="77777777" w:rsidR="00574D6B" w:rsidRPr="00DE7320" w:rsidRDefault="00574D6B" w:rsidP="00574D6B">
            <w:pPr>
              <w:suppressAutoHyphens w:val="0"/>
              <w:spacing w:before="0" w:after="0" w:line="240" w:lineRule="auto"/>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Nauru Improved Health (INI970)</w:t>
            </w:r>
          </w:p>
        </w:tc>
        <w:tc>
          <w:tcPr>
            <w:tcW w:w="1340" w:type="dxa"/>
            <w:tcBorders>
              <w:top w:val="single" w:sz="8" w:space="0" w:color="auto"/>
              <w:left w:val="nil"/>
              <w:bottom w:val="nil"/>
              <w:right w:val="nil"/>
            </w:tcBorders>
            <w:shd w:val="clear" w:color="auto" w:fill="auto"/>
            <w:vAlign w:val="center"/>
            <w:hideMark/>
          </w:tcPr>
          <w:p w14:paraId="0B9F7074" w14:textId="77777777" w:rsidR="00574D6B" w:rsidRPr="00DE7320" w:rsidRDefault="00A17BE5" w:rsidP="00574D6B">
            <w:pPr>
              <w:suppressAutoHyphens w:val="0"/>
              <w:spacing w:before="0" w:after="0" w:line="240" w:lineRule="auto"/>
              <w:jc w:val="center"/>
              <w:rPr>
                <w:rFonts w:ascii="Franklin Gothic Book" w:eastAsia="Times New Roman" w:hAnsi="Franklin Gothic Book" w:cs="Times New Roman"/>
                <w:color w:val="495965"/>
                <w:sz w:val="17"/>
                <w:szCs w:val="17"/>
                <w:lang w:val="en-AU" w:eastAsia="en-AU"/>
              </w:rPr>
            </w:pPr>
            <w:r>
              <w:rPr>
                <w:rFonts w:ascii="Calibri Light" w:eastAsia="Times New Roman" w:hAnsi="Calibri Light" w:cs="Times New Roman"/>
                <w:iCs/>
                <w:color w:val="495965"/>
                <w:sz w:val="17"/>
                <w:szCs w:val="17"/>
                <w:lang w:eastAsia="en-AU"/>
              </w:rPr>
              <w:t>$22.4</w:t>
            </w:r>
            <w:r w:rsidR="00574D6B" w:rsidRPr="007B4D5B">
              <w:rPr>
                <w:rFonts w:ascii="Calibri Light" w:eastAsia="Times New Roman" w:hAnsi="Calibri Light" w:cs="Times New Roman"/>
                <w:iCs/>
                <w:color w:val="495965"/>
                <w:sz w:val="17"/>
                <w:szCs w:val="17"/>
                <w:lang w:eastAsia="en-AU"/>
              </w:rPr>
              <w:t>m</w:t>
            </w:r>
          </w:p>
        </w:tc>
        <w:tc>
          <w:tcPr>
            <w:tcW w:w="1180" w:type="dxa"/>
            <w:tcBorders>
              <w:top w:val="single" w:sz="8" w:space="0" w:color="auto"/>
              <w:left w:val="nil"/>
              <w:bottom w:val="nil"/>
              <w:right w:val="nil"/>
            </w:tcBorders>
            <w:shd w:val="clear" w:color="auto" w:fill="auto"/>
            <w:vAlign w:val="center"/>
            <w:hideMark/>
          </w:tcPr>
          <w:p w14:paraId="7EA9D798" w14:textId="77777777" w:rsidR="00574D6B" w:rsidRPr="00DE7320" w:rsidRDefault="00574D6B" w:rsidP="00574D6B">
            <w:pPr>
              <w:suppressAutoHyphens w:val="0"/>
              <w:spacing w:before="0" w:after="0" w:line="240" w:lineRule="auto"/>
              <w:jc w:val="center"/>
              <w:rPr>
                <w:rFonts w:ascii="Franklin Gothic Book" w:eastAsia="Times New Roman" w:hAnsi="Franklin Gothic Book"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201</w:t>
            </w:r>
            <w:r>
              <w:rPr>
                <w:rFonts w:ascii="Calibri Light" w:eastAsia="Times New Roman" w:hAnsi="Calibri Light" w:cs="Times New Roman"/>
                <w:iCs/>
                <w:color w:val="495965"/>
                <w:sz w:val="17"/>
                <w:szCs w:val="17"/>
                <w:lang w:eastAsia="en-AU"/>
              </w:rPr>
              <w:t>8</w:t>
            </w:r>
            <w:r w:rsidRPr="00DE7320">
              <w:rPr>
                <w:rFonts w:ascii="Calibri Light" w:eastAsia="Times New Roman" w:hAnsi="Calibri Light" w:cs="Times New Roman"/>
                <w:iCs/>
                <w:color w:val="495965"/>
                <w:sz w:val="17"/>
                <w:szCs w:val="17"/>
                <w:lang w:eastAsia="en-AU"/>
              </w:rPr>
              <w:t xml:space="preserve"> </w:t>
            </w:r>
            <w:r w:rsidR="00A17BE5">
              <w:rPr>
                <w:rFonts w:ascii="Calibri Light" w:eastAsia="Times New Roman" w:hAnsi="Calibri Light" w:cs="Times New Roman"/>
                <w:iCs/>
                <w:color w:val="495965"/>
                <w:sz w:val="17"/>
                <w:szCs w:val="17"/>
                <w:lang w:eastAsia="en-AU"/>
              </w:rPr>
              <w:t>F</w:t>
            </w:r>
            <w:r w:rsidRPr="00DE7320">
              <w:rPr>
                <w:rFonts w:ascii="Calibri Light" w:eastAsia="Times New Roman" w:hAnsi="Calibri Light" w:cs="Times New Roman"/>
                <w:iCs/>
                <w:color w:val="495965"/>
                <w:sz w:val="17"/>
                <w:szCs w:val="17"/>
                <w:lang w:eastAsia="en-AU"/>
              </w:rPr>
              <w:t>AQC</w:t>
            </w:r>
          </w:p>
        </w:tc>
        <w:tc>
          <w:tcPr>
            <w:tcW w:w="960" w:type="dxa"/>
            <w:tcBorders>
              <w:top w:val="single" w:sz="8" w:space="0" w:color="auto"/>
              <w:left w:val="nil"/>
              <w:bottom w:val="nil"/>
              <w:right w:val="nil"/>
            </w:tcBorders>
            <w:shd w:val="clear" w:color="000000" w:fill="FFFF00"/>
            <w:noWrap/>
            <w:vAlign w:val="center"/>
            <w:hideMark/>
          </w:tcPr>
          <w:p w14:paraId="54C0F108" w14:textId="77777777" w:rsidR="00574D6B" w:rsidRPr="00DE7320" w:rsidRDefault="00574D6B"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single" w:sz="8" w:space="0" w:color="auto"/>
              <w:left w:val="nil"/>
              <w:bottom w:val="nil"/>
              <w:right w:val="nil"/>
            </w:tcBorders>
            <w:shd w:val="clear" w:color="auto" w:fill="FF9900"/>
            <w:noWrap/>
            <w:vAlign w:val="center"/>
            <w:hideMark/>
          </w:tcPr>
          <w:p w14:paraId="08EBA1D7" w14:textId="77777777" w:rsidR="00574D6B" w:rsidRPr="00DE7320" w:rsidRDefault="00A17BE5"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3</w:t>
            </w:r>
          </w:p>
        </w:tc>
        <w:tc>
          <w:tcPr>
            <w:tcW w:w="960" w:type="dxa"/>
            <w:tcBorders>
              <w:top w:val="single" w:sz="8" w:space="0" w:color="auto"/>
              <w:left w:val="nil"/>
              <w:bottom w:val="nil"/>
              <w:right w:val="nil"/>
            </w:tcBorders>
            <w:shd w:val="clear" w:color="000000" w:fill="FF0000"/>
            <w:noWrap/>
            <w:vAlign w:val="center"/>
            <w:hideMark/>
          </w:tcPr>
          <w:p w14:paraId="52AC7817" w14:textId="77777777" w:rsidR="00574D6B" w:rsidRPr="00DE7320" w:rsidRDefault="00574D6B"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w:t>
            </w:r>
          </w:p>
        </w:tc>
        <w:tc>
          <w:tcPr>
            <w:tcW w:w="960" w:type="dxa"/>
            <w:tcBorders>
              <w:top w:val="single" w:sz="8" w:space="0" w:color="auto"/>
              <w:left w:val="nil"/>
              <w:bottom w:val="nil"/>
              <w:right w:val="nil"/>
            </w:tcBorders>
            <w:shd w:val="clear" w:color="000000" w:fill="FFC000"/>
            <w:noWrap/>
            <w:vAlign w:val="center"/>
            <w:hideMark/>
          </w:tcPr>
          <w:p w14:paraId="3D87F308" w14:textId="77777777" w:rsidR="00574D6B" w:rsidRPr="00DE7320" w:rsidRDefault="00574D6B"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3</w:t>
            </w:r>
          </w:p>
        </w:tc>
        <w:tc>
          <w:tcPr>
            <w:tcW w:w="960" w:type="dxa"/>
            <w:tcBorders>
              <w:top w:val="single" w:sz="8" w:space="0" w:color="auto"/>
              <w:left w:val="nil"/>
              <w:bottom w:val="nil"/>
              <w:right w:val="nil"/>
            </w:tcBorders>
            <w:shd w:val="clear" w:color="000000" w:fill="FFC000"/>
            <w:noWrap/>
            <w:vAlign w:val="center"/>
            <w:hideMark/>
          </w:tcPr>
          <w:p w14:paraId="23834A3B" w14:textId="77777777" w:rsidR="00574D6B" w:rsidRPr="00DE7320" w:rsidRDefault="00574D6B"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3</w:t>
            </w:r>
          </w:p>
        </w:tc>
        <w:tc>
          <w:tcPr>
            <w:tcW w:w="960" w:type="dxa"/>
            <w:tcBorders>
              <w:top w:val="single" w:sz="8" w:space="0" w:color="auto"/>
              <w:left w:val="nil"/>
              <w:bottom w:val="nil"/>
              <w:right w:val="nil"/>
            </w:tcBorders>
            <w:shd w:val="clear" w:color="auto" w:fill="FFFF00"/>
            <w:noWrap/>
            <w:vAlign w:val="center"/>
            <w:hideMark/>
          </w:tcPr>
          <w:p w14:paraId="7EC3887B" w14:textId="77777777" w:rsidR="00574D6B" w:rsidRPr="00DE7320" w:rsidRDefault="00A275A1"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4</w:t>
            </w:r>
          </w:p>
        </w:tc>
        <w:tc>
          <w:tcPr>
            <w:tcW w:w="960" w:type="dxa"/>
            <w:tcBorders>
              <w:top w:val="single" w:sz="8" w:space="0" w:color="auto"/>
              <w:left w:val="nil"/>
              <w:bottom w:val="nil"/>
              <w:right w:val="nil"/>
            </w:tcBorders>
            <w:shd w:val="clear" w:color="000000" w:fill="FFFFFF"/>
            <w:vAlign w:val="center"/>
            <w:hideMark/>
          </w:tcPr>
          <w:p w14:paraId="2E57C8BA" w14:textId="77777777" w:rsidR="00574D6B" w:rsidRPr="00DE7320" w:rsidRDefault="00D54A49"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N/A</w:t>
            </w:r>
          </w:p>
        </w:tc>
      </w:tr>
      <w:tr w:rsidR="00574D6B" w:rsidRPr="00DE7320" w14:paraId="4275389E" w14:textId="77777777" w:rsidTr="005B0D73">
        <w:trPr>
          <w:trHeight w:val="315"/>
        </w:trPr>
        <w:tc>
          <w:tcPr>
            <w:tcW w:w="3300" w:type="dxa"/>
            <w:tcBorders>
              <w:top w:val="nil"/>
              <w:left w:val="nil"/>
              <w:bottom w:val="single" w:sz="12" w:space="0" w:color="000000"/>
              <w:right w:val="nil"/>
            </w:tcBorders>
            <w:shd w:val="clear" w:color="auto" w:fill="auto"/>
            <w:vAlign w:val="center"/>
            <w:hideMark/>
          </w:tcPr>
          <w:p w14:paraId="6AD86E82" w14:textId="77777777" w:rsidR="00574D6B" w:rsidRPr="00DE7320" w:rsidRDefault="00574D6B" w:rsidP="00574D6B">
            <w:pPr>
              <w:suppressAutoHyphens w:val="0"/>
              <w:spacing w:before="0" w:after="0" w:line="240" w:lineRule="auto"/>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color w:val="495965"/>
                <w:sz w:val="17"/>
                <w:szCs w:val="17"/>
                <w:lang w:eastAsia="en-AU"/>
              </w:rPr>
              <w:t> </w:t>
            </w:r>
          </w:p>
        </w:tc>
        <w:tc>
          <w:tcPr>
            <w:tcW w:w="1340" w:type="dxa"/>
            <w:tcBorders>
              <w:top w:val="nil"/>
              <w:left w:val="nil"/>
              <w:bottom w:val="single" w:sz="12" w:space="0" w:color="000000"/>
              <w:right w:val="nil"/>
            </w:tcBorders>
            <w:shd w:val="clear" w:color="auto" w:fill="auto"/>
            <w:vAlign w:val="center"/>
            <w:hideMark/>
          </w:tcPr>
          <w:p w14:paraId="0C1463A5" w14:textId="77777777" w:rsidR="00574D6B" w:rsidRPr="00DE7320" w:rsidRDefault="00574D6B" w:rsidP="00574D6B">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color w:val="495965"/>
                <w:sz w:val="17"/>
                <w:szCs w:val="17"/>
                <w:lang w:eastAsia="en-AU"/>
              </w:rPr>
              <w:t>2009 -18</w:t>
            </w:r>
          </w:p>
        </w:tc>
        <w:tc>
          <w:tcPr>
            <w:tcW w:w="1180" w:type="dxa"/>
            <w:tcBorders>
              <w:top w:val="nil"/>
              <w:left w:val="nil"/>
              <w:bottom w:val="single" w:sz="12" w:space="0" w:color="000000"/>
              <w:right w:val="nil"/>
            </w:tcBorders>
            <w:shd w:val="clear" w:color="auto" w:fill="auto"/>
            <w:vAlign w:val="center"/>
            <w:hideMark/>
          </w:tcPr>
          <w:p w14:paraId="053F7282" w14:textId="77777777" w:rsidR="00574D6B" w:rsidRPr="00DE7320" w:rsidRDefault="00574D6B" w:rsidP="00574D6B">
            <w:pPr>
              <w:suppressAutoHyphens w:val="0"/>
              <w:spacing w:before="0" w:after="0" w:line="240" w:lineRule="auto"/>
              <w:jc w:val="center"/>
              <w:rPr>
                <w:rFonts w:ascii="Franklin Gothic Book" w:eastAsia="Times New Roman" w:hAnsi="Franklin Gothic Book"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201</w:t>
            </w:r>
            <w:r>
              <w:rPr>
                <w:rFonts w:ascii="Calibri Light" w:eastAsia="Times New Roman" w:hAnsi="Calibri Light" w:cs="Times New Roman"/>
                <w:iCs/>
                <w:color w:val="495965"/>
                <w:sz w:val="17"/>
                <w:szCs w:val="17"/>
                <w:lang w:eastAsia="en-AU"/>
              </w:rPr>
              <w:t>7</w:t>
            </w:r>
            <w:r w:rsidRPr="00DE7320">
              <w:rPr>
                <w:rFonts w:ascii="Calibri Light" w:eastAsia="Times New Roman" w:hAnsi="Calibri Light" w:cs="Times New Roman"/>
                <w:iCs/>
                <w:color w:val="495965"/>
                <w:sz w:val="17"/>
                <w:szCs w:val="17"/>
                <w:lang w:eastAsia="en-AU"/>
              </w:rPr>
              <w:t xml:space="preserve"> AQC</w:t>
            </w:r>
          </w:p>
        </w:tc>
        <w:tc>
          <w:tcPr>
            <w:tcW w:w="960" w:type="dxa"/>
            <w:tcBorders>
              <w:top w:val="nil"/>
              <w:left w:val="nil"/>
              <w:bottom w:val="single" w:sz="12" w:space="0" w:color="000000"/>
              <w:right w:val="nil"/>
            </w:tcBorders>
            <w:shd w:val="clear" w:color="auto" w:fill="FFFF00"/>
            <w:noWrap/>
            <w:vAlign w:val="center"/>
            <w:hideMark/>
          </w:tcPr>
          <w:p w14:paraId="6E18963A" w14:textId="77777777" w:rsidR="00574D6B" w:rsidRPr="00DE7320" w:rsidRDefault="005B0D73"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4</w:t>
            </w:r>
          </w:p>
        </w:tc>
        <w:tc>
          <w:tcPr>
            <w:tcW w:w="960" w:type="dxa"/>
            <w:tcBorders>
              <w:top w:val="nil"/>
              <w:left w:val="nil"/>
              <w:bottom w:val="single" w:sz="12" w:space="0" w:color="000000"/>
              <w:right w:val="nil"/>
            </w:tcBorders>
            <w:shd w:val="clear" w:color="auto" w:fill="FF0000"/>
            <w:noWrap/>
            <w:vAlign w:val="center"/>
            <w:hideMark/>
          </w:tcPr>
          <w:p w14:paraId="40482755" w14:textId="77777777" w:rsidR="00574D6B" w:rsidRPr="00DE7320" w:rsidRDefault="005B0D73"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2</w:t>
            </w:r>
          </w:p>
        </w:tc>
        <w:tc>
          <w:tcPr>
            <w:tcW w:w="960" w:type="dxa"/>
            <w:tcBorders>
              <w:top w:val="nil"/>
              <w:left w:val="nil"/>
              <w:bottom w:val="single" w:sz="12" w:space="0" w:color="000000"/>
              <w:right w:val="nil"/>
            </w:tcBorders>
            <w:shd w:val="clear" w:color="auto" w:fill="FF0000"/>
            <w:noWrap/>
            <w:vAlign w:val="center"/>
            <w:hideMark/>
          </w:tcPr>
          <w:p w14:paraId="2B19AFE3" w14:textId="77777777" w:rsidR="00574D6B" w:rsidRPr="00DE7320" w:rsidRDefault="005B0D73"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2</w:t>
            </w:r>
          </w:p>
        </w:tc>
        <w:tc>
          <w:tcPr>
            <w:tcW w:w="960" w:type="dxa"/>
            <w:tcBorders>
              <w:top w:val="nil"/>
              <w:left w:val="nil"/>
              <w:bottom w:val="single" w:sz="12" w:space="0" w:color="000000"/>
              <w:right w:val="nil"/>
            </w:tcBorders>
            <w:shd w:val="clear" w:color="000000" w:fill="FFC000"/>
            <w:noWrap/>
            <w:vAlign w:val="center"/>
            <w:hideMark/>
          </w:tcPr>
          <w:p w14:paraId="137D604C" w14:textId="77777777" w:rsidR="00574D6B" w:rsidRPr="00DE7320" w:rsidRDefault="00574D6B"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3</w:t>
            </w:r>
          </w:p>
        </w:tc>
        <w:tc>
          <w:tcPr>
            <w:tcW w:w="960" w:type="dxa"/>
            <w:tcBorders>
              <w:top w:val="nil"/>
              <w:left w:val="nil"/>
              <w:bottom w:val="single" w:sz="12" w:space="0" w:color="000000"/>
              <w:right w:val="nil"/>
            </w:tcBorders>
            <w:shd w:val="clear" w:color="000000" w:fill="FFC000"/>
            <w:noWrap/>
            <w:vAlign w:val="center"/>
            <w:hideMark/>
          </w:tcPr>
          <w:p w14:paraId="4BE40C5D" w14:textId="77777777" w:rsidR="00574D6B" w:rsidRPr="00DE7320" w:rsidRDefault="00574D6B"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3</w:t>
            </w:r>
          </w:p>
        </w:tc>
        <w:tc>
          <w:tcPr>
            <w:tcW w:w="960" w:type="dxa"/>
            <w:tcBorders>
              <w:top w:val="nil"/>
              <w:left w:val="nil"/>
              <w:bottom w:val="single" w:sz="12" w:space="0" w:color="000000"/>
              <w:right w:val="nil"/>
            </w:tcBorders>
            <w:shd w:val="clear" w:color="000000" w:fill="FFFF00"/>
            <w:noWrap/>
            <w:vAlign w:val="center"/>
            <w:hideMark/>
          </w:tcPr>
          <w:p w14:paraId="06BB33F0" w14:textId="77777777" w:rsidR="00574D6B" w:rsidRPr="00DE7320" w:rsidRDefault="00574D6B"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DE7320">
              <w:rPr>
                <w:rFonts w:ascii="Calibri Light" w:eastAsia="Times New Roman" w:hAnsi="Calibri Light" w:cs="Times New Roman"/>
                <w:iCs/>
                <w:color w:val="495965"/>
                <w:sz w:val="17"/>
                <w:szCs w:val="17"/>
                <w:lang w:eastAsia="en-AU"/>
              </w:rPr>
              <w:t>4</w:t>
            </w:r>
          </w:p>
        </w:tc>
        <w:tc>
          <w:tcPr>
            <w:tcW w:w="960" w:type="dxa"/>
            <w:tcBorders>
              <w:top w:val="nil"/>
              <w:left w:val="nil"/>
              <w:bottom w:val="single" w:sz="12" w:space="0" w:color="000000"/>
              <w:right w:val="nil"/>
            </w:tcBorders>
            <w:shd w:val="clear" w:color="auto" w:fill="FFFFFF" w:themeFill="background1"/>
            <w:vAlign w:val="center"/>
            <w:hideMark/>
          </w:tcPr>
          <w:p w14:paraId="56C44418" w14:textId="77777777" w:rsidR="00574D6B" w:rsidRPr="00DE7320" w:rsidRDefault="005B0D73" w:rsidP="00574D6B">
            <w:pPr>
              <w:suppressAutoHyphens w:val="0"/>
              <w:spacing w:before="0" w:after="0" w:line="240" w:lineRule="auto"/>
              <w:jc w:val="right"/>
              <w:rPr>
                <w:rFonts w:ascii="Calibri Light" w:eastAsia="Times New Roman" w:hAnsi="Calibri Light" w:cs="Times New Roman"/>
                <w:color w:val="495965"/>
                <w:sz w:val="17"/>
                <w:szCs w:val="17"/>
                <w:lang w:val="en-AU" w:eastAsia="en-AU"/>
              </w:rPr>
            </w:pPr>
            <w:r>
              <w:rPr>
                <w:rFonts w:ascii="Calibri Light" w:eastAsia="Times New Roman" w:hAnsi="Calibri Light" w:cs="Times New Roman"/>
                <w:iCs/>
                <w:color w:val="495965"/>
                <w:sz w:val="17"/>
                <w:szCs w:val="17"/>
                <w:lang w:eastAsia="en-AU"/>
              </w:rPr>
              <w:t>N/A</w:t>
            </w:r>
          </w:p>
        </w:tc>
      </w:tr>
    </w:tbl>
    <w:p w14:paraId="2609CE75" w14:textId="77777777" w:rsidR="00DE7320" w:rsidRDefault="00DE7320" w:rsidP="009020CC">
      <w:pPr>
        <w:spacing w:before="20" w:after="20" w:line="180" w:lineRule="atLeast"/>
        <w:jc w:val="both"/>
        <w:rPr>
          <w:rFonts w:eastAsia="Times New Roman"/>
          <w:b/>
          <w:sz w:val="16"/>
          <w:szCs w:val="14"/>
        </w:rPr>
      </w:pPr>
    </w:p>
    <w:p w14:paraId="614215CD" w14:textId="77777777" w:rsidR="009020CC" w:rsidRPr="00812509" w:rsidRDefault="009020CC" w:rsidP="009020CC">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3F4B3543" w14:textId="77777777" w:rsidR="009020CC" w:rsidRPr="00812509" w:rsidRDefault="009020CC" w:rsidP="009020CC">
      <w:pPr>
        <w:spacing w:before="20" w:after="20" w:line="180" w:lineRule="atLeast"/>
        <w:jc w:val="both"/>
        <w:rPr>
          <w:rFonts w:eastAsia="Times New Roman"/>
          <w:b/>
          <w:sz w:val="16"/>
          <w:szCs w:val="14"/>
        </w:rPr>
      </w:pPr>
      <w:r w:rsidRPr="00812509">
        <w:rPr>
          <w:rFonts w:eastAsia="Times New Roman"/>
          <w:b/>
          <w:sz w:val="16"/>
          <w:szCs w:val="14"/>
        </w:rPr>
        <w:t>Satisfactory (4, 5 and 6)</w:t>
      </w:r>
    </w:p>
    <w:p w14:paraId="4347125F" w14:textId="77777777" w:rsidR="009020CC" w:rsidRPr="00812509" w:rsidRDefault="009020CC" w:rsidP="009020CC">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003B38FB">
        <w:rPr>
          <w:rFonts w:eastAsia="Times New Roman"/>
          <w:b/>
          <w:sz w:val="16"/>
          <w:szCs w:val="14"/>
        </w:rPr>
        <w:br/>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14:paraId="1898A7D9" w14:textId="77777777" w:rsidR="009020CC" w:rsidRPr="00812509" w:rsidRDefault="009020CC" w:rsidP="009020CC">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14:paraId="336BE170" w14:textId="77777777" w:rsidR="009020CC" w:rsidRPr="00812509" w:rsidRDefault="009020CC" w:rsidP="009020CC">
      <w:pPr>
        <w:spacing w:before="20" w:after="20" w:line="180" w:lineRule="atLeast"/>
        <w:rPr>
          <w:rFonts w:eastAsia="Times New Roman"/>
          <w:b/>
          <w:sz w:val="16"/>
          <w:szCs w:val="14"/>
        </w:rPr>
      </w:pPr>
      <w:r w:rsidRPr="00812509">
        <w:rPr>
          <w:rFonts w:eastAsia="Times New Roman"/>
          <w:b/>
          <w:sz w:val="16"/>
          <w:szCs w:val="14"/>
        </w:rPr>
        <w:t>Less than satisfactory (1, 2 and 3)</w:t>
      </w:r>
    </w:p>
    <w:p w14:paraId="4CB4429B" w14:textId="77777777" w:rsidR="009020CC" w:rsidRPr="00812509" w:rsidRDefault="009020CC" w:rsidP="009020CC">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3A6C01A3" w14:textId="77777777" w:rsidR="00A92CF2" w:rsidRDefault="009020CC" w:rsidP="00A37CAC">
      <w:pPr>
        <w:spacing w:before="20" w:after="20" w:line="180" w:lineRule="atLeast"/>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003B38FB">
        <w:rPr>
          <w:rFonts w:eastAsia="Times New Roman"/>
          <w:b/>
          <w:sz w:val="16"/>
          <w:szCs w:val="14"/>
        </w:rPr>
        <w:br/>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14:paraId="5C878F13" w14:textId="77777777" w:rsidR="00A37CAC" w:rsidRDefault="00A37CAC" w:rsidP="00A37CAC">
      <w:pPr>
        <w:spacing w:before="20" w:after="20" w:line="180" w:lineRule="atLeast"/>
        <w:rPr>
          <w:rFonts w:eastAsia="Times New Roman"/>
          <w:b/>
          <w:sz w:val="16"/>
          <w:szCs w:val="14"/>
        </w:rPr>
      </w:pPr>
    </w:p>
    <w:p w14:paraId="5788A2F8" w14:textId="77777777" w:rsidR="00A37CAC" w:rsidRDefault="00A37CAC" w:rsidP="00A37CAC">
      <w:pPr>
        <w:spacing w:before="20" w:after="20" w:line="180" w:lineRule="atLeast"/>
        <w:sectPr w:rsidR="00A37CAC" w:rsidSect="00A37CAC">
          <w:headerReference w:type="default" r:id="rId32"/>
          <w:pgSz w:w="16838" w:h="11906" w:orient="landscape" w:code="9"/>
          <w:pgMar w:top="1134" w:right="1525" w:bottom="1134" w:left="851" w:header="1418" w:footer="193" w:gutter="0"/>
          <w:cols w:space="397"/>
          <w:docGrid w:linePitch="360"/>
        </w:sectPr>
      </w:pPr>
    </w:p>
    <w:p w14:paraId="2FE0E07B" w14:textId="77777777" w:rsidR="00A37CAC" w:rsidRDefault="00A37CAC" w:rsidP="00A37CAC">
      <w:pPr>
        <w:spacing w:before="20" w:after="20" w:line="180" w:lineRule="atLeast"/>
        <w:rPr>
          <w:rFonts w:eastAsiaTheme="majorEastAsia" w:cstheme="majorBidi"/>
          <w:bCs/>
          <w:iCs/>
          <w:caps/>
          <w:spacing w:val="-10"/>
          <w:kern w:val="28"/>
          <w:sz w:val="38"/>
          <w:szCs w:val="24"/>
        </w:rPr>
      </w:pPr>
      <w:r>
        <w:rPr>
          <w:rFonts w:eastAsiaTheme="majorEastAsia" w:cstheme="majorBidi"/>
          <w:bCs/>
          <w:iCs/>
          <w:caps/>
          <w:spacing w:val="-10"/>
          <w:kern w:val="28"/>
          <w:sz w:val="38"/>
          <w:szCs w:val="24"/>
        </w:rPr>
        <w:t>ANNEX E - PERFORMANCE ASSESSMENT FRAMEWORK</w:t>
      </w:r>
    </w:p>
    <w:tbl>
      <w:tblPr>
        <w:tblStyle w:val="TableGrid"/>
        <w:tblW w:w="14319" w:type="dxa"/>
        <w:tblInd w:w="-147" w:type="dxa"/>
        <w:tblLayout w:type="fixed"/>
        <w:tblLook w:val="04A0" w:firstRow="1" w:lastRow="0" w:firstColumn="1" w:lastColumn="0" w:noHBand="0" w:noVBand="1"/>
      </w:tblPr>
      <w:tblGrid>
        <w:gridCol w:w="2977"/>
        <w:gridCol w:w="5812"/>
        <w:gridCol w:w="5530"/>
      </w:tblGrid>
      <w:tr w:rsidR="00A37CAC" w:rsidRPr="003F23D3" w14:paraId="0313F02B" w14:textId="77777777" w:rsidTr="00A37CAC">
        <w:trPr>
          <w:tblHeader/>
        </w:trPr>
        <w:tc>
          <w:tcPr>
            <w:tcW w:w="2977" w:type="dxa"/>
            <w:vMerge w:val="restart"/>
            <w:shd w:val="clear" w:color="auto" w:fill="ADDEC1" w:themeFill="accent6" w:themeFillTint="66"/>
            <w:vAlign w:val="center"/>
          </w:tcPr>
          <w:p w14:paraId="6110A719" w14:textId="77777777" w:rsidR="00A37CAC" w:rsidRPr="00C23E21" w:rsidRDefault="00A37CAC" w:rsidP="00A37CAC">
            <w:pPr>
              <w:spacing w:before="40" w:after="0"/>
              <w:jc w:val="center"/>
              <w:rPr>
                <w:b/>
                <w:color w:val="000000" w:themeColor="text1"/>
                <w:sz w:val="20"/>
                <w:szCs w:val="20"/>
                <w:lang w:val="en-AU"/>
              </w:rPr>
            </w:pPr>
            <w:r>
              <w:rPr>
                <w:b/>
                <w:color w:val="000000" w:themeColor="text1"/>
                <w:sz w:val="20"/>
                <w:szCs w:val="20"/>
                <w:lang w:val="en-AU"/>
              </w:rPr>
              <w:t>OBJECTIVE</w:t>
            </w:r>
          </w:p>
        </w:tc>
        <w:tc>
          <w:tcPr>
            <w:tcW w:w="11342" w:type="dxa"/>
            <w:gridSpan w:val="2"/>
            <w:shd w:val="clear" w:color="auto" w:fill="ADDEC1" w:themeFill="accent6" w:themeFillTint="66"/>
          </w:tcPr>
          <w:p w14:paraId="56E750CF" w14:textId="77777777" w:rsidR="00A37CAC" w:rsidRPr="00C23E21" w:rsidRDefault="00A37CAC" w:rsidP="00A37CAC">
            <w:pPr>
              <w:spacing w:before="40" w:after="40"/>
              <w:jc w:val="center"/>
              <w:rPr>
                <w:b/>
                <w:color w:val="000000" w:themeColor="text1"/>
                <w:sz w:val="20"/>
                <w:szCs w:val="20"/>
                <w:lang w:val="en-AU"/>
              </w:rPr>
            </w:pPr>
            <w:r w:rsidRPr="00C23E21">
              <w:rPr>
                <w:b/>
                <w:color w:val="000000" w:themeColor="text1"/>
                <w:sz w:val="20"/>
                <w:szCs w:val="20"/>
                <w:lang w:val="en-AU"/>
              </w:rPr>
              <w:t xml:space="preserve">MILESTONES / BENCHMARKS </w:t>
            </w:r>
          </w:p>
        </w:tc>
      </w:tr>
      <w:tr w:rsidR="00A37CAC" w:rsidRPr="003F23D3" w14:paraId="65E692D7" w14:textId="77777777" w:rsidTr="00A37CAC">
        <w:trPr>
          <w:tblHeader/>
        </w:trPr>
        <w:tc>
          <w:tcPr>
            <w:tcW w:w="2977" w:type="dxa"/>
            <w:vMerge/>
            <w:shd w:val="clear" w:color="auto" w:fill="ADDEC1" w:themeFill="accent6" w:themeFillTint="66"/>
          </w:tcPr>
          <w:p w14:paraId="2EF1425E" w14:textId="77777777" w:rsidR="00A37CAC" w:rsidRPr="00C23E21" w:rsidRDefault="00A37CAC" w:rsidP="00A37CAC">
            <w:pPr>
              <w:spacing w:before="40" w:after="40"/>
              <w:jc w:val="center"/>
              <w:rPr>
                <w:b/>
                <w:color w:val="002060"/>
                <w:sz w:val="20"/>
                <w:szCs w:val="20"/>
                <w:lang w:val="en-AU"/>
              </w:rPr>
            </w:pPr>
          </w:p>
        </w:tc>
        <w:tc>
          <w:tcPr>
            <w:tcW w:w="5812" w:type="dxa"/>
            <w:shd w:val="clear" w:color="auto" w:fill="E0F3EF" w:themeFill="accent1" w:themeFillTint="33"/>
          </w:tcPr>
          <w:p w14:paraId="788BD216" w14:textId="77777777" w:rsidR="00A37CAC" w:rsidRPr="00C23E21" w:rsidRDefault="00A37CAC" w:rsidP="00A37CAC">
            <w:pPr>
              <w:spacing w:before="40" w:after="40"/>
              <w:jc w:val="center"/>
              <w:rPr>
                <w:b/>
                <w:color w:val="000000" w:themeColor="text1"/>
                <w:sz w:val="20"/>
                <w:szCs w:val="20"/>
                <w:lang w:val="en-AU"/>
              </w:rPr>
            </w:pPr>
            <w:r w:rsidRPr="00C23E21">
              <w:rPr>
                <w:b/>
                <w:color w:val="000000" w:themeColor="text1"/>
                <w:sz w:val="20"/>
                <w:szCs w:val="20"/>
                <w:lang w:val="en-AU"/>
              </w:rPr>
              <w:t xml:space="preserve">2017-18 </w:t>
            </w:r>
          </w:p>
        </w:tc>
        <w:tc>
          <w:tcPr>
            <w:tcW w:w="5530" w:type="dxa"/>
            <w:shd w:val="clear" w:color="auto" w:fill="E0F3EF" w:themeFill="accent1" w:themeFillTint="33"/>
          </w:tcPr>
          <w:p w14:paraId="270780D7" w14:textId="77777777" w:rsidR="00A37CAC" w:rsidRPr="00C23E21" w:rsidRDefault="00A37CAC" w:rsidP="00A37CAC">
            <w:pPr>
              <w:spacing w:before="40" w:after="40"/>
              <w:jc w:val="center"/>
              <w:rPr>
                <w:b/>
                <w:color w:val="000000" w:themeColor="text1"/>
                <w:sz w:val="20"/>
                <w:szCs w:val="20"/>
                <w:lang w:val="en-AU"/>
              </w:rPr>
            </w:pPr>
            <w:r w:rsidRPr="00C23E21">
              <w:rPr>
                <w:b/>
                <w:color w:val="000000" w:themeColor="text1"/>
                <w:sz w:val="20"/>
                <w:szCs w:val="20"/>
                <w:lang w:val="en-AU"/>
              </w:rPr>
              <w:t xml:space="preserve">2018-19 </w:t>
            </w:r>
          </w:p>
        </w:tc>
      </w:tr>
      <w:tr w:rsidR="00A37CAC" w:rsidRPr="003F23D3" w14:paraId="5A77C491" w14:textId="77777777" w:rsidTr="00A37CAC">
        <w:trPr>
          <w:trHeight w:val="281"/>
        </w:trPr>
        <w:tc>
          <w:tcPr>
            <w:tcW w:w="14319" w:type="dxa"/>
            <w:gridSpan w:val="3"/>
            <w:shd w:val="clear" w:color="auto" w:fill="F6E6DE" w:themeFill="accent2" w:themeFillTint="33"/>
          </w:tcPr>
          <w:p w14:paraId="599C4108" w14:textId="77777777" w:rsidR="00A37CAC" w:rsidRPr="00C23E21" w:rsidRDefault="00A37CAC" w:rsidP="00A37CAC">
            <w:pPr>
              <w:spacing w:before="40" w:after="0"/>
              <w:rPr>
                <w:color w:val="B35D31" w:themeColor="accent2" w:themeShade="BF"/>
                <w:sz w:val="20"/>
                <w:szCs w:val="20"/>
                <w:lang w:val="en-AU"/>
              </w:rPr>
            </w:pPr>
            <w:r w:rsidRPr="00C23E21">
              <w:rPr>
                <w:b/>
                <w:color w:val="000000" w:themeColor="text1"/>
                <w:sz w:val="20"/>
                <w:szCs w:val="20"/>
                <w:lang w:val="en-AU"/>
              </w:rPr>
              <w:t>MORE EFFECTIVE PUBLIC SECTOR MANAGEMENT</w:t>
            </w:r>
          </w:p>
        </w:tc>
      </w:tr>
      <w:tr w:rsidR="00A37CAC" w:rsidRPr="009B2445" w14:paraId="00D6092C" w14:textId="77777777" w:rsidTr="00A37CAC">
        <w:tc>
          <w:tcPr>
            <w:tcW w:w="2977" w:type="dxa"/>
          </w:tcPr>
          <w:p w14:paraId="3FBCE7C3" w14:textId="77777777" w:rsidR="00A37CAC" w:rsidRPr="00AD250E" w:rsidRDefault="00A37CAC" w:rsidP="00A37CAC">
            <w:pPr>
              <w:spacing w:before="40" w:after="40"/>
              <w:rPr>
                <w:sz w:val="16"/>
                <w:szCs w:val="16"/>
              </w:rPr>
            </w:pPr>
            <w:r w:rsidRPr="00AD250E">
              <w:rPr>
                <w:b/>
                <w:color w:val="000000" w:themeColor="text1"/>
                <w:sz w:val="16"/>
                <w:szCs w:val="16"/>
                <w:lang w:val="en-AU"/>
              </w:rPr>
              <w:t>Objective 1.0</w:t>
            </w:r>
            <w:r w:rsidRPr="00AD250E">
              <w:rPr>
                <w:color w:val="000000" w:themeColor="text1"/>
                <w:sz w:val="16"/>
                <w:szCs w:val="16"/>
                <w:lang w:val="en-AU"/>
              </w:rPr>
              <w:t xml:space="preserve"> </w:t>
            </w:r>
            <w:r w:rsidRPr="00AD250E">
              <w:rPr>
                <w:b/>
                <w:color w:val="000000" w:themeColor="text1"/>
                <w:sz w:val="16"/>
                <w:szCs w:val="16"/>
                <w:lang w:val="en-AU"/>
              </w:rPr>
              <w:t>-</w:t>
            </w:r>
            <w:r w:rsidRPr="00AD250E">
              <w:rPr>
                <w:color w:val="000000" w:themeColor="text1"/>
                <w:sz w:val="16"/>
                <w:szCs w:val="16"/>
                <w:lang w:val="en-AU"/>
              </w:rPr>
              <w:t xml:space="preserve"> Strengthened financial management capacity and economic governance to maximise the benefits of available revenue</w:t>
            </w:r>
          </w:p>
        </w:tc>
        <w:tc>
          <w:tcPr>
            <w:tcW w:w="5812" w:type="dxa"/>
          </w:tcPr>
          <w:p w14:paraId="4D13EBB2" w14:textId="77777777" w:rsidR="00A37CAC" w:rsidRPr="00AD250E" w:rsidRDefault="00A37CAC" w:rsidP="005468D2">
            <w:pPr>
              <w:pStyle w:val="ListParagraph"/>
              <w:numPr>
                <w:ilvl w:val="0"/>
                <w:numId w:val="13"/>
              </w:numPr>
              <w:suppressAutoHyphens w:val="0"/>
              <w:spacing w:before="40" w:after="40" w:line="240" w:lineRule="auto"/>
              <w:ind w:left="323" w:hanging="323"/>
              <w:contextualSpacing w:val="0"/>
              <w:rPr>
                <w:color w:val="000000" w:themeColor="text1"/>
                <w:sz w:val="16"/>
                <w:szCs w:val="16"/>
                <w:lang w:val="en-AU"/>
              </w:rPr>
            </w:pPr>
            <w:r w:rsidRPr="00AD250E">
              <w:rPr>
                <w:i/>
                <w:color w:val="000000" w:themeColor="text1"/>
                <w:sz w:val="16"/>
                <w:szCs w:val="16"/>
                <w:lang w:val="en-AU"/>
              </w:rPr>
              <w:t>Operational Account</w:t>
            </w:r>
            <w:r w:rsidRPr="00AD250E">
              <w:rPr>
                <w:color w:val="000000" w:themeColor="text1"/>
                <w:sz w:val="16"/>
                <w:szCs w:val="16"/>
                <w:lang w:val="en-AU"/>
              </w:rPr>
              <w:t xml:space="preserve"> – conduct biannual “audits” that lead to recommendations that are implemented appropriately</w:t>
            </w:r>
          </w:p>
          <w:p w14:paraId="1045ECED" w14:textId="77777777" w:rsidR="00A37CAC" w:rsidRPr="00AD250E" w:rsidRDefault="00A37CAC" w:rsidP="005468D2">
            <w:pPr>
              <w:pStyle w:val="ListParagraph"/>
              <w:numPr>
                <w:ilvl w:val="0"/>
                <w:numId w:val="13"/>
              </w:numPr>
              <w:suppressAutoHyphens w:val="0"/>
              <w:spacing w:before="40" w:after="40" w:line="240" w:lineRule="auto"/>
              <w:ind w:left="323" w:hanging="323"/>
              <w:contextualSpacing w:val="0"/>
              <w:rPr>
                <w:color w:val="000000" w:themeColor="text1"/>
                <w:sz w:val="16"/>
                <w:szCs w:val="16"/>
                <w:lang w:val="en-AU"/>
              </w:rPr>
            </w:pPr>
            <w:r w:rsidRPr="00AD250E">
              <w:rPr>
                <w:i/>
                <w:color w:val="000000" w:themeColor="text1"/>
                <w:sz w:val="16"/>
                <w:szCs w:val="16"/>
                <w:lang w:val="en-AU"/>
              </w:rPr>
              <w:t>Procurement</w:t>
            </w:r>
            <w:r w:rsidRPr="00AD250E">
              <w:rPr>
                <w:color w:val="000000" w:themeColor="text1"/>
                <w:sz w:val="16"/>
                <w:szCs w:val="16"/>
                <w:lang w:val="en-AU"/>
              </w:rPr>
              <w:t xml:space="preserve"> – IPA tender commenced, selected and operational; finalised procurement guidelines</w:t>
            </w:r>
          </w:p>
          <w:p w14:paraId="659EEABB" w14:textId="77777777" w:rsidR="00A37CAC" w:rsidRPr="00AD250E" w:rsidRDefault="00A37CAC" w:rsidP="005468D2">
            <w:pPr>
              <w:pStyle w:val="ListParagraph"/>
              <w:numPr>
                <w:ilvl w:val="0"/>
                <w:numId w:val="13"/>
              </w:numPr>
              <w:suppressAutoHyphens w:val="0"/>
              <w:spacing w:before="40" w:after="40" w:line="240" w:lineRule="auto"/>
              <w:ind w:left="323" w:hanging="323"/>
              <w:contextualSpacing w:val="0"/>
              <w:rPr>
                <w:color w:val="000000" w:themeColor="text1"/>
                <w:sz w:val="16"/>
                <w:szCs w:val="16"/>
                <w:lang w:val="en-AU"/>
              </w:rPr>
            </w:pPr>
            <w:r w:rsidRPr="00AD250E">
              <w:rPr>
                <w:i/>
                <w:color w:val="000000" w:themeColor="text1"/>
                <w:sz w:val="16"/>
                <w:szCs w:val="16"/>
                <w:lang w:val="en-AU"/>
              </w:rPr>
              <w:t>Provision of technical advice</w:t>
            </w:r>
            <w:r w:rsidRPr="00AD250E">
              <w:rPr>
                <w:color w:val="000000" w:themeColor="text1"/>
                <w:sz w:val="16"/>
                <w:szCs w:val="16"/>
                <w:lang w:val="en-AU"/>
              </w:rPr>
              <w:t xml:space="preserve"> to support public financial management that meets partner government expectations</w:t>
            </w:r>
          </w:p>
        </w:tc>
        <w:tc>
          <w:tcPr>
            <w:tcW w:w="5530" w:type="dxa"/>
          </w:tcPr>
          <w:p w14:paraId="1C9FEF56" w14:textId="77777777" w:rsidR="00A37CAC" w:rsidRPr="00AD250E" w:rsidRDefault="00A37CAC" w:rsidP="005468D2">
            <w:pPr>
              <w:numPr>
                <w:ilvl w:val="0"/>
                <w:numId w:val="13"/>
              </w:numPr>
              <w:suppressAutoHyphens w:val="0"/>
              <w:spacing w:before="40" w:after="40" w:line="240" w:lineRule="auto"/>
              <w:ind w:left="323" w:hanging="323"/>
              <w:rPr>
                <w:color w:val="000000" w:themeColor="text1"/>
                <w:sz w:val="16"/>
                <w:szCs w:val="16"/>
                <w:lang w:val="en-AU"/>
              </w:rPr>
            </w:pPr>
            <w:r w:rsidRPr="00AD250E">
              <w:rPr>
                <w:i/>
                <w:color w:val="000000" w:themeColor="text1"/>
                <w:sz w:val="16"/>
                <w:szCs w:val="16"/>
                <w:lang w:val="en-AU"/>
              </w:rPr>
              <w:t>Operational Account</w:t>
            </w:r>
            <w:r w:rsidRPr="00AD250E">
              <w:rPr>
                <w:color w:val="000000" w:themeColor="text1"/>
                <w:sz w:val="16"/>
                <w:szCs w:val="16"/>
                <w:lang w:val="en-AU"/>
              </w:rPr>
              <w:t xml:space="preserve"> – conduct biannual “audits” that lead to recommendations that are implemented appropriately</w:t>
            </w:r>
          </w:p>
          <w:p w14:paraId="3EAD8332" w14:textId="77777777" w:rsidR="00A37CAC" w:rsidRPr="00AD250E" w:rsidRDefault="00A37CAC" w:rsidP="005468D2">
            <w:pPr>
              <w:pStyle w:val="ListParagraph"/>
              <w:numPr>
                <w:ilvl w:val="0"/>
                <w:numId w:val="13"/>
              </w:numPr>
              <w:suppressAutoHyphens w:val="0"/>
              <w:spacing w:before="40" w:after="40" w:line="240" w:lineRule="auto"/>
              <w:ind w:left="323" w:hanging="323"/>
              <w:contextualSpacing w:val="0"/>
              <w:rPr>
                <w:color w:val="000000" w:themeColor="text1"/>
                <w:sz w:val="16"/>
                <w:szCs w:val="16"/>
                <w:lang w:val="en-AU"/>
              </w:rPr>
            </w:pPr>
            <w:r w:rsidRPr="00AD250E">
              <w:rPr>
                <w:i/>
                <w:color w:val="000000" w:themeColor="text1"/>
                <w:sz w:val="16"/>
                <w:szCs w:val="16"/>
                <w:lang w:val="en-AU"/>
              </w:rPr>
              <w:t>Procurement</w:t>
            </w:r>
            <w:r w:rsidRPr="00AD250E">
              <w:rPr>
                <w:color w:val="000000" w:themeColor="text1"/>
                <w:sz w:val="16"/>
                <w:szCs w:val="16"/>
                <w:lang w:val="en-AU"/>
              </w:rPr>
              <w:t xml:space="preserve"> – IPA tender finalised, selected and operational</w:t>
            </w:r>
          </w:p>
          <w:p w14:paraId="218EDD8C" w14:textId="77777777" w:rsidR="00A37CAC" w:rsidRPr="00AD250E" w:rsidRDefault="00A37CAC" w:rsidP="005468D2">
            <w:pPr>
              <w:pStyle w:val="ListParagraph"/>
              <w:numPr>
                <w:ilvl w:val="0"/>
                <w:numId w:val="13"/>
              </w:numPr>
              <w:suppressAutoHyphens w:val="0"/>
              <w:spacing w:before="40" w:after="40" w:line="240" w:lineRule="auto"/>
              <w:ind w:left="323" w:hanging="323"/>
              <w:contextualSpacing w:val="0"/>
              <w:rPr>
                <w:color w:val="000000" w:themeColor="text1"/>
                <w:sz w:val="16"/>
                <w:szCs w:val="16"/>
                <w:lang w:val="en-AU"/>
              </w:rPr>
            </w:pPr>
            <w:r w:rsidRPr="00AD250E">
              <w:rPr>
                <w:color w:val="000000" w:themeColor="text1"/>
                <w:sz w:val="16"/>
                <w:szCs w:val="16"/>
                <w:lang w:val="en-AU"/>
              </w:rPr>
              <w:t>Provision of technical advice</w:t>
            </w:r>
            <w:r w:rsidRPr="00AD250E">
              <w:rPr>
                <w:i/>
                <w:color w:val="000000" w:themeColor="text1"/>
                <w:sz w:val="16"/>
                <w:szCs w:val="16"/>
                <w:lang w:val="en-AU"/>
              </w:rPr>
              <w:t xml:space="preserve"> to support public financial management that meets partner government expectations</w:t>
            </w:r>
          </w:p>
        </w:tc>
      </w:tr>
      <w:tr w:rsidR="00A37CAC" w:rsidRPr="003F23D3" w14:paraId="320EAF61" w14:textId="77777777" w:rsidTr="00A37CAC">
        <w:tc>
          <w:tcPr>
            <w:tcW w:w="14319" w:type="dxa"/>
            <w:gridSpan w:val="3"/>
            <w:shd w:val="clear" w:color="auto" w:fill="F6E6DE" w:themeFill="accent2" w:themeFillTint="33"/>
          </w:tcPr>
          <w:p w14:paraId="2E2A9123" w14:textId="77777777" w:rsidR="00A37CAC" w:rsidRPr="00C23E21" w:rsidRDefault="00A37CAC" w:rsidP="00A37CAC">
            <w:pPr>
              <w:spacing w:before="40" w:after="40"/>
              <w:rPr>
                <w:b/>
                <w:color w:val="D3875F" w:themeColor="accent2"/>
                <w:sz w:val="20"/>
                <w:szCs w:val="20"/>
                <w:lang w:val="en-AU"/>
              </w:rPr>
            </w:pPr>
            <w:r w:rsidRPr="00C23E21">
              <w:rPr>
                <w:b/>
                <w:color w:val="000000" w:themeColor="text1"/>
                <w:sz w:val="20"/>
                <w:szCs w:val="20"/>
                <w:lang w:val="en-AU"/>
              </w:rPr>
              <w:t>INVESTMENT IN NATION BUILDING INFRASTRUCTURE</w:t>
            </w:r>
          </w:p>
        </w:tc>
      </w:tr>
      <w:tr w:rsidR="00A37CAC" w:rsidRPr="003F23D3" w14:paraId="0869987E" w14:textId="77777777" w:rsidTr="00A37CAC">
        <w:tc>
          <w:tcPr>
            <w:tcW w:w="2977" w:type="dxa"/>
          </w:tcPr>
          <w:p w14:paraId="786ADC09" w14:textId="77777777" w:rsidR="00A37CAC" w:rsidRPr="00AD250E" w:rsidRDefault="00A37CAC" w:rsidP="00A37CAC">
            <w:pPr>
              <w:spacing w:before="40" w:after="40"/>
              <w:ind w:left="32"/>
              <w:rPr>
                <w:color w:val="000000" w:themeColor="text1"/>
                <w:sz w:val="16"/>
                <w:szCs w:val="16"/>
                <w:lang w:val="en-AU"/>
              </w:rPr>
            </w:pPr>
            <w:r w:rsidRPr="00AD250E">
              <w:rPr>
                <w:b/>
                <w:color w:val="000000" w:themeColor="text1"/>
                <w:sz w:val="16"/>
                <w:szCs w:val="16"/>
                <w:lang w:val="en-AU"/>
              </w:rPr>
              <w:t>Objective 2.0 -</w:t>
            </w:r>
            <w:r w:rsidRPr="00AD250E">
              <w:rPr>
                <w:color w:val="000000" w:themeColor="text1"/>
                <w:sz w:val="16"/>
                <w:szCs w:val="16"/>
                <w:lang w:val="en-AU"/>
              </w:rPr>
              <w:t xml:space="preserve"> Construction and maintenance of economic infrastructure to support human development and foster commerce and trade)</w:t>
            </w:r>
          </w:p>
        </w:tc>
        <w:tc>
          <w:tcPr>
            <w:tcW w:w="5812" w:type="dxa"/>
          </w:tcPr>
          <w:p w14:paraId="36884BE1" w14:textId="77777777" w:rsidR="00A37CAC" w:rsidRPr="00AD250E" w:rsidRDefault="00A37CAC" w:rsidP="005468D2">
            <w:pPr>
              <w:pStyle w:val="ListParagraph"/>
              <w:numPr>
                <w:ilvl w:val="0"/>
                <w:numId w:val="13"/>
              </w:numPr>
              <w:suppressAutoHyphens w:val="0"/>
              <w:spacing w:before="40" w:after="40" w:line="240" w:lineRule="auto"/>
              <w:ind w:left="323" w:hanging="323"/>
              <w:contextualSpacing w:val="0"/>
              <w:rPr>
                <w:i/>
                <w:color w:val="000000" w:themeColor="text1"/>
                <w:sz w:val="16"/>
                <w:szCs w:val="16"/>
                <w:lang w:val="en-AU"/>
              </w:rPr>
            </w:pPr>
            <w:r w:rsidRPr="00AD250E">
              <w:rPr>
                <w:i/>
                <w:color w:val="000000" w:themeColor="text1"/>
                <w:sz w:val="16"/>
                <w:szCs w:val="16"/>
                <w:lang w:val="en-AU"/>
              </w:rPr>
              <w:t xml:space="preserve">Electricity supply – </w:t>
            </w:r>
            <w:r w:rsidRPr="00AD250E">
              <w:rPr>
                <w:color w:val="000000" w:themeColor="text1"/>
                <w:sz w:val="16"/>
                <w:szCs w:val="16"/>
                <w:lang w:val="en-AU"/>
              </w:rPr>
              <w:t>delivery, installation and effective operation of 2 generators by NUC</w:t>
            </w:r>
          </w:p>
          <w:p w14:paraId="25D3C9B0" w14:textId="77777777" w:rsidR="00A37CAC" w:rsidRPr="00AD250E" w:rsidRDefault="00A37CAC" w:rsidP="005468D2">
            <w:pPr>
              <w:pStyle w:val="ListParagraph"/>
              <w:numPr>
                <w:ilvl w:val="0"/>
                <w:numId w:val="13"/>
              </w:numPr>
              <w:suppressAutoHyphens w:val="0"/>
              <w:spacing w:before="40" w:after="40" w:line="240" w:lineRule="auto"/>
              <w:ind w:left="323" w:hanging="323"/>
              <w:contextualSpacing w:val="0"/>
              <w:rPr>
                <w:color w:val="000000" w:themeColor="text1"/>
                <w:sz w:val="16"/>
                <w:szCs w:val="16"/>
                <w:lang w:val="en-AU"/>
              </w:rPr>
            </w:pPr>
            <w:r w:rsidRPr="00AD250E">
              <w:rPr>
                <w:i/>
                <w:color w:val="000000" w:themeColor="text1"/>
                <w:sz w:val="16"/>
                <w:szCs w:val="16"/>
                <w:lang w:val="en-AU"/>
              </w:rPr>
              <w:t>Port Redevelopment -</w:t>
            </w:r>
            <w:r w:rsidRPr="00AD250E">
              <w:rPr>
                <w:color w:val="000000" w:themeColor="text1"/>
                <w:sz w:val="16"/>
                <w:szCs w:val="16"/>
                <w:lang w:val="en-AU"/>
              </w:rPr>
              <w:t xml:space="preserve"> Nauru Port Reform and Redevelopment Project works commence, with fit for purpose design </w:t>
            </w:r>
          </w:p>
          <w:p w14:paraId="48ED1B56" w14:textId="77777777" w:rsidR="00A37CAC" w:rsidRPr="00AD250E" w:rsidRDefault="00A37CAC" w:rsidP="005468D2">
            <w:pPr>
              <w:pStyle w:val="ListParagraph"/>
              <w:numPr>
                <w:ilvl w:val="0"/>
                <w:numId w:val="13"/>
              </w:numPr>
              <w:suppressAutoHyphens w:val="0"/>
              <w:spacing w:before="40" w:after="40" w:line="240" w:lineRule="auto"/>
              <w:ind w:left="323" w:hanging="323"/>
              <w:contextualSpacing w:val="0"/>
              <w:rPr>
                <w:color w:val="000000" w:themeColor="text1"/>
                <w:sz w:val="16"/>
                <w:szCs w:val="16"/>
                <w:lang w:val="en-AU"/>
              </w:rPr>
            </w:pPr>
            <w:r w:rsidRPr="00AD250E">
              <w:rPr>
                <w:i/>
                <w:color w:val="000000" w:themeColor="text1"/>
                <w:sz w:val="16"/>
                <w:szCs w:val="16"/>
                <w:lang w:val="en-AU"/>
              </w:rPr>
              <w:t>Indoor Sports Facility</w:t>
            </w:r>
            <w:r w:rsidRPr="00AD250E">
              <w:rPr>
                <w:color w:val="000000" w:themeColor="text1"/>
                <w:sz w:val="16"/>
                <w:szCs w:val="16"/>
                <w:lang w:val="en-AU"/>
              </w:rPr>
              <w:t xml:space="preserve"> – design finalised and approved, construction commences</w:t>
            </w:r>
          </w:p>
          <w:p w14:paraId="4B3E8723" w14:textId="77777777" w:rsidR="00A37CAC" w:rsidRPr="00AD250E" w:rsidRDefault="00A37CAC" w:rsidP="005468D2">
            <w:pPr>
              <w:pStyle w:val="ListParagraph"/>
              <w:numPr>
                <w:ilvl w:val="0"/>
                <w:numId w:val="13"/>
              </w:numPr>
              <w:suppressAutoHyphens w:val="0"/>
              <w:spacing w:before="40" w:after="40" w:line="240" w:lineRule="auto"/>
              <w:ind w:left="323" w:hanging="323"/>
              <w:contextualSpacing w:val="0"/>
              <w:rPr>
                <w:color w:val="000000" w:themeColor="text1"/>
                <w:sz w:val="16"/>
                <w:szCs w:val="16"/>
                <w:lang w:val="en-AU"/>
              </w:rPr>
            </w:pPr>
            <w:r w:rsidRPr="00AD250E">
              <w:rPr>
                <w:i/>
                <w:color w:val="000000" w:themeColor="text1"/>
                <w:sz w:val="16"/>
                <w:szCs w:val="16"/>
                <w:lang w:val="en-AU"/>
              </w:rPr>
              <w:t>Learning Village</w:t>
            </w:r>
            <w:r w:rsidRPr="00AD250E">
              <w:rPr>
                <w:color w:val="000000" w:themeColor="text1"/>
                <w:sz w:val="16"/>
                <w:szCs w:val="16"/>
                <w:lang w:val="en-AU"/>
              </w:rPr>
              <w:t xml:space="preserve"> - construction completed; higher education agencies finalise course curriculums for forward teaching period; and library established </w:t>
            </w:r>
          </w:p>
        </w:tc>
        <w:tc>
          <w:tcPr>
            <w:tcW w:w="5530" w:type="dxa"/>
          </w:tcPr>
          <w:p w14:paraId="38D31BD6" w14:textId="77777777" w:rsidR="00A37CAC" w:rsidRPr="00AD250E" w:rsidRDefault="00A37CAC" w:rsidP="005468D2">
            <w:pPr>
              <w:pStyle w:val="ListParagraph"/>
              <w:numPr>
                <w:ilvl w:val="0"/>
                <w:numId w:val="13"/>
              </w:numPr>
              <w:suppressAutoHyphens w:val="0"/>
              <w:spacing w:before="40" w:after="40" w:line="240" w:lineRule="auto"/>
              <w:ind w:left="323" w:hanging="323"/>
              <w:contextualSpacing w:val="0"/>
              <w:rPr>
                <w:color w:val="000000" w:themeColor="text1"/>
                <w:sz w:val="16"/>
                <w:szCs w:val="16"/>
                <w:lang w:val="en-AU"/>
              </w:rPr>
            </w:pPr>
            <w:r w:rsidRPr="00AD250E">
              <w:rPr>
                <w:i/>
                <w:color w:val="000000" w:themeColor="text1"/>
                <w:sz w:val="16"/>
                <w:szCs w:val="16"/>
                <w:lang w:val="en-AU"/>
              </w:rPr>
              <w:t>Electricity supply</w:t>
            </w:r>
            <w:r w:rsidRPr="00AD250E">
              <w:rPr>
                <w:color w:val="000000" w:themeColor="text1"/>
                <w:sz w:val="16"/>
                <w:szCs w:val="16"/>
                <w:lang w:val="en-AU"/>
              </w:rPr>
              <w:t xml:space="preserve"> - effective maintenance of generators; documented reliable power supply; and proposals submitted for solar farm installation </w:t>
            </w:r>
          </w:p>
          <w:p w14:paraId="15DFBD95" w14:textId="77777777" w:rsidR="00A37CAC" w:rsidRPr="00AD250E" w:rsidRDefault="00A37CAC" w:rsidP="005468D2">
            <w:pPr>
              <w:pStyle w:val="ListParagraph"/>
              <w:numPr>
                <w:ilvl w:val="0"/>
                <w:numId w:val="13"/>
              </w:numPr>
              <w:suppressAutoHyphens w:val="0"/>
              <w:spacing w:before="40" w:after="40" w:line="240" w:lineRule="auto"/>
              <w:ind w:left="323" w:hanging="323"/>
              <w:contextualSpacing w:val="0"/>
              <w:rPr>
                <w:color w:val="000000" w:themeColor="text1"/>
                <w:sz w:val="16"/>
                <w:szCs w:val="16"/>
                <w:lang w:val="en-AU"/>
              </w:rPr>
            </w:pPr>
            <w:r w:rsidRPr="00AD250E">
              <w:rPr>
                <w:i/>
                <w:color w:val="000000" w:themeColor="text1"/>
                <w:sz w:val="16"/>
                <w:szCs w:val="16"/>
                <w:lang w:val="en-AU"/>
              </w:rPr>
              <w:t>Port Redevelopment</w:t>
            </w:r>
            <w:r w:rsidRPr="00AD250E">
              <w:rPr>
                <w:color w:val="000000" w:themeColor="text1"/>
                <w:sz w:val="16"/>
                <w:szCs w:val="16"/>
                <w:lang w:val="en-AU"/>
              </w:rPr>
              <w:t xml:space="preserve"> - Progress on redevelopment works on track; with improved port operations</w:t>
            </w:r>
          </w:p>
          <w:p w14:paraId="4378B2A1" w14:textId="77777777" w:rsidR="00A37CAC" w:rsidRPr="00AD250E" w:rsidRDefault="00A37CAC" w:rsidP="005468D2">
            <w:pPr>
              <w:pStyle w:val="ListParagraph"/>
              <w:numPr>
                <w:ilvl w:val="0"/>
                <w:numId w:val="13"/>
              </w:numPr>
              <w:suppressAutoHyphens w:val="0"/>
              <w:spacing w:before="40" w:after="40" w:line="240" w:lineRule="auto"/>
              <w:ind w:left="323" w:hanging="323"/>
              <w:contextualSpacing w:val="0"/>
              <w:rPr>
                <w:color w:val="000000" w:themeColor="text1"/>
                <w:sz w:val="16"/>
                <w:szCs w:val="16"/>
                <w:lang w:val="en-AU"/>
              </w:rPr>
            </w:pPr>
            <w:r w:rsidRPr="00AD250E">
              <w:rPr>
                <w:i/>
                <w:color w:val="000000" w:themeColor="text1"/>
                <w:sz w:val="16"/>
                <w:szCs w:val="16"/>
                <w:lang w:val="en-AU"/>
              </w:rPr>
              <w:t>Indoor Sports Facility</w:t>
            </w:r>
            <w:r w:rsidRPr="00AD250E">
              <w:rPr>
                <w:color w:val="000000" w:themeColor="text1"/>
                <w:sz w:val="16"/>
                <w:szCs w:val="16"/>
                <w:lang w:val="en-AU"/>
              </w:rPr>
              <w:t xml:space="preserve"> – managed, maintained and well utilised by men, women, boys and girls and disadvantaged groups</w:t>
            </w:r>
          </w:p>
        </w:tc>
      </w:tr>
      <w:tr w:rsidR="00A37CAC" w:rsidRPr="003F23D3" w14:paraId="1E4F3C1B" w14:textId="77777777" w:rsidTr="00A37CAC">
        <w:tc>
          <w:tcPr>
            <w:tcW w:w="14319" w:type="dxa"/>
            <w:gridSpan w:val="3"/>
            <w:shd w:val="clear" w:color="auto" w:fill="F6E6DE" w:themeFill="accent2" w:themeFillTint="33"/>
          </w:tcPr>
          <w:p w14:paraId="560BD09F" w14:textId="77777777" w:rsidR="00A37CAC" w:rsidRPr="00C23E21" w:rsidRDefault="00A37CAC" w:rsidP="00A37CAC">
            <w:pPr>
              <w:spacing w:before="40" w:after="40"/>
              <w:rPr>
                <w:b/>
                <w:color w:val="D3875F" w:themeColor="accent2"/>
                <w:sz w:val="20"/>
                <w:szCs w:val="20"/>
                <w:lang w:val="en-AU"/>
              </w:rPr>
            </w:pPr>
            <w:r w:rsidRPr="00C23E21">
              <w:rPr>
                <w:b/>
                <w:color w:val="000000" w:themeColor="text1"/>
                <w:sz w:val="20"/>
                <w:szCs w:val="20"/>
                <w:lang w:val="en-AU"/>
              </w:rPr>
              <w:t>STRENGTHENED PROVISION OF EDUCATION SERVICES</w:t>
            </w:r>
          </w:p>
        </w:tc>
      </w:tr>
      <w:tr w:rsidR="00A37CAC" w:rsidRPr="003F23D3" w14:paraId="03255E32" w14:textId="77777777" w:rsidTr="00A37CAC">
        <w:tc>
          <w:tcPr>
            <w:tcW w:w="2977" w:type="dxa"/>
          </w:tcPr>
          <w:p w14:paraId="60C19134" w14:textId="77777777" w:rsidR="00A37CAC" w:rsidRPr="00AD250E" w:rsidRDefault="00A37CAC" w:rsidP="00A37CAC">
            <w:pPr>
              <w:spacing w:before="40" w:after="40"/>
              <w:rPr>
                <w:color w:val="000000" w:themeColor="text1"/>
                <w:sz w:val="16"/>
                <w:szCs w:val="16"/>
                <w:lang w:val="en-AU"/>
              </w:rPr>
            </w:pPr>
            <w:r w:rsidRPr="00AD250E">
              <w:rPr>
                <w:b/>
                <w:color w:val="000000" w:themeColor="text1"/>
                <w:sz w:val="16"/>
                <w:szCs w:val="16"/>
                <w:lang w:val="en-AU"/>
              </w:rPr>
              <w:t xml:space="preserve">Objective 3.0 - </w:t>
            </w:r>
            <w:r w:rsidRPr="00AD250E">
              <w:rPr>
                <w:color w:val="000000" w:themeColor="text1"/>
                <w:sz w:val="16"/>
                <w:szCs w:val="16"/>
                <w:lang w:val="en-AU"/>
              </w:rPr>
              <w:t>Implementation of education pathways that develop locally and regionally relevant skills</w:t>
            </w:r>
          </w:p>
        </w:tc>
        <w:tc>
          <w:tcPr>
            <w:tcW w:w="5812" w:type="dxa"/>
          </w:tcPr>
          <w:p w14:paraId="7CEC56F9" w14:textId="77777777" w:rsidR="00A37CAC" w:rsidRPr="00AD250E" w:rsidRDefault="00A37CAC" w:rsidP="005468D2">
            <w:pPr>
              <w:pStyle w:val="ListParagraph"/>
              <w:numPr>
                <w:ilvl w:val="0"/>
                <w:numId w:val="13"/>
              </w:numPr>
              <w:suppressAutoHyphens w:val="0"/>
              <w:spacing w:before="40" w:after="40" w:line="240" w:lineRule="auto"/>
              <w:ind w:left="323" w:hanging="323"/>
              <w:contextualSpacing w:val="0"/>
              <w:rPr>
                <w:i/>
                <w:sz w:val="16"/>
                <w:szCs w:val="16"/>
                <w:lang w:val="en-AU"/>
              </w:rPr>
            </w:pPr>
            <w:r>
              <w:rPr>
                <w:i/>
                <w:color w:val="000000" w:themeColor="text1"/>
                <w:sz w:val="16"/>
                <w:szCs w:val="16"/>
                <w:lang w:val="en-AU"/>
              </w:rPr>
              <w:t>Nauru</w:t>
            </w:r>
            <w:r w:rsidRPr="00AD250E">
              <w:rPr>
                <w:i/>
                <w:color w:val="000000" w:themeColor="text1"/>
                <w:sz w:val="16"/>
                <w:szCs w:val="16"/>
                <w:lang w:val="en-AU"/>
              </w:rPr>
              <w:t xml:space="preserve"> Education Strategic Plan</w:t>
            </w:r>
            <w:r w:rsidRPr="00AD250E">
              <w:rPr>
                <w:color w:val="000000" w:themeColor="text1"/>
                <w:sz w:val="16"/>
                <w:szCs w:val="16"/>
                <w:lang w:val="en-AU"/>
              </w:rPr>
              <w:t xml:space="preserve"> - Recruit and mobilise Education Advi</w:t>
            </w:r>
            <w:r>
              <w:rPr>
                <w:color w:val="000000" w:themeColor="text1"/>
                <w:sz w:val="16"/>
                <w:szCs w:val="16"/>
                <w:lang w:val="en-AU"/>
              </w:rPr>
              <w:t>ser to support delivery of the</w:t>
            </w:r>
            <w:r w:rsidRPr="00AD250E">
              <w:rPr>
                <w:color w:val="000000" w:themeColor="text1"/>
                <w:sz w:val="16"/>
                <w:szCs w:val="16"/>
                <w:lang w:val="en-AU"/>
              </w:rPr>
              <w:t xml:space="preserve"> Education Strategic Plan</w:t>
            </w:r>
          </w:p>
          <w:p w14:paraId="11D17B8E" w14:textId="77777777" w:rsidR="00A37CAC" w:rsidRPr="00AD250E" w:rsidRDefault="00A37CAC" w:rsidP="005468D2">
            <w:pPr>
              <w:pStyle w:val="ListParagraph"/>
              <w:numPr>
                <w:ilvl w:val="0"/>
                <w:numId w:val="13"/>
              </w:numPr>
              <w:suppressAutoHyphens w:val="0"/>
              <w:spacing w:before="40" w:after="40" w:line="240" w:lineRule="auto"/>
              <w:ind w:left="323" w:hanging="323"/>
              <w:contextualSpacing w:val="0"/>
              <w:rPr>
                <w:i/>
                <w:color w:val="auto"/>
                <w:sz w:val="16"/>
                <w:szCs w:val="16"/>
                <w:lang w:val="en-AU"/>
              </w:rPr>
            </w:pPr>
            <w:r w:rsidRPr="00AD250E">
              <w:rPr>
                <w:i/>
                <w:color w:val="000000" w:themeColor="text1"/>
                <w:sz w:val="16"/>
                <w:szCs w:val="16"/>
                <w:lang w:val="en-AU"/>
              </w:rPr>
              <w:t>Operational Account</w:t>
            </w:r>
            <w:r w:rsidRPr="00AD250E">
              <w:rPr>
                <w:color w:val="000000" w:themeColor="text1"/>
                <w:sz w:val="16"/>
                <w:szCs w:val="16"/>
                <w:lang w:val="en-AU"/>
              </w:rPr>
              <w:t xml:space="preserve"> – funds administered appropriately on an agreed basis for activities to support the Education Strategic Plan</w:t>
            </w:r>
          </w:p>
          <w:p w14:paraId="2C7DBC0C" w14:textId="77777777" w:rsidR="00A37CAC" w:rsidRPr="00AD250E" w:rsidRDefault="00A37CAC" w:rsidP="005468D2">
            <w:pPr>
              <w:pStyle w:val="ListParagraph"/>
              <w:numPr>
                <w:ilvl w:val="0"/>
                <w:numId w:val="13"/>
              </w:numPr>
              <w:suppressAutoHyphens w:val="0"/>
              <w:spacing w:before="40" w:after="40" w:line="240" w:lineRule="auto"/>
              <w:ind w:left="323" w:hanging="323"/>
              <w:contextualSpacing w:val="0"/>
              <w:rPr>
                <w:i/>
                <w:sz w:val="16"/>
                <w:szCs w:val="16"/>
                <w:lang w:val="en-AU"/>
              </w:rPr>
            </w:pPr>
            <w:r w:rsidRPr="00AD250E">
              <w:rPr>
                <w:i/>
                <w:color w:val="000000" w:themeColor="text1"/>
                <w:sz w:val="16"/>
                <w:szCs w:val="16"/>
                <w:lang w:val="en-AU"/>
              </w:rPr>
              <w:t>TVET</w:t>
            </w:r>
            <w:r w:rsidRPr="00AD250E">
              <w:rPr>
                <w:color w:val="000000" w:themeColor="text1"/>
                <w:sz w:val="16"/>
                <w:szCs w:val="16"/>
                <w:lang w:val="en-AU"/>
              </w:rPr>
              <w:t xml:space="preserve"> – a range of courses for in-demand qualifications are delivered to adult learners in Nauru</w:t>
            </w:r>
          </w:p>
        </w:tc>
        <w:tc>
          <w:tcPr>
            <w:tcW w:w="5530" w:type="dxa"/>
          </w:tcPr>
          <w:p w14:paraId="6EA3DA72" w14:textId="77777777" w:rsidR="00A37CAC" w:rsidRPr="00AD250E" w:rsidRDefault="00A37CAC" w:rsidP="005468D2">
            <w:pPr>
              <w:pStyle w:val="ListParagraph"/>
              <w:numPr>
                <w:ilvl w:val="0"/>
                <w:numId w:val="13"/>
              </w:numPr>
              <w:suppressAutoHyphens w:val="0"/>
              <w:spacing w:before="40" w:after="40" w:line="240" w:lineRule="auto"/>
              <w:ind w:left="323" w:hanging="323"/>
              <w:rPr>
                <w:sz w:val="16"/>
                <w:szCs w:val="16"/>
                <w:lang w:val="en-AU"/>
              </w:rPr>
            </w:pPr>
            <w:r>
              <w:rPr>
                <w:i/>
                <w:color w:val="000000" w:themeColor="text1"/>
                <w:sz w:val="16"/>
                <w:szCs w:val="16"/>
                <w:lang w:val="en-AU"/>
              </w:rPr>
              <w:t>Nauru</w:t>
            </w:r>
            <w:r w:rsidRPr="00AD250E">
              <w:rPr>
                <w:i/>
                <w:color w:val="000000" w:themeColor="text1"/>
                <w:sz w:val="16"/>
                <w:szCs w:val="16"/>
                <w:lang w:val="en-AU"/>
              </w:rPr>
              <w:t xml:space="preserve"> Education Strategic Plan – </w:t>
            </w:r>
            <w:r w:rsidRPr="00AD250E">
              <w:rPr>
                <w:color w:val="000000" w:themeColor="text1"/>
                <w:sz w:val="16"/>
                <w:szCs w:val="16"/>
                <w:lang w:val="en-AU"/>
              </w:rPr>
              <w:t xml:space="preserve">benchmarks to be determined in consultation with Education Adviser </w:t>
            </w:r>
          </w:p>
          <w:p w14:paraId="1F002933" w14:textId="77777777" w:rsidR="00A37CAC" w:rsidRPr="00AD250E" w:rsidRDefault="00A37CAC" w:rsidP="005468D2">
            <w:pPr>
              <w:pStyle w:val="ListParagraph"/>
              <w:numPr>
                <w:ilvl w:val="0"/>
                <w:numId w:val="13"/>
              </w:numPr>
              <w:suppressAutoHyphens w:val="0"/>
              <w:spacing w:before="40" w:after="40" w:line="240" w:lineRule="auto"/>
              <w:ind w:left="323" w:hanging="323"/>
              <w:contextualSpacing w:val="0"/>
              <w:rPr>
                <w:i/>
                <w:color w:val="auto"/>
                <w:sz w:val="16"/>
                <w:szCs w:val="16"/>
                <w:lang w:val="en-AU"/>
              </w:rPr>
            </w:pPr>
            <w:r w:rsidRPr="00AD250E">
              <w:rPr>
                <w:i/>
                <w:color w:val="000000" w:themeColor="text1"/>
                <w:sz w:val="16"/>
                <w:szCs w:val="16"/>
                <w:lang w:val="en-AU"/>
              </w:rPr>
              <w:t>Operational Account</w:t>
            </w:r>
            <w:r w:rsidRPr="00AD250E">
              <w:rPr>
                <w:color w:val="000000" w:themeColor="text1"/>
                <w:sz w:val="16"/>
                <w:szCs w:val="16"/>
                <w:lang w:val="en-AU"/>
              </w:rPr>
              <w:t xml:space="preserve"> – funds administered appropriately on an agreed basis for activities to support the Education Strategic Plan</w:t>
            </w:r>
          </w:p>
          <w:p w14:paraId="64393EA6" w14:textId="77777777" w:rsidR="00A37CAC" w:rsidRPr="00AD250E" w:rsidRDefault="00A37CAC" w:rsidP="005468D2">
            <w:pPr>
              <w:pStyle w:val="ListParagraph"/>
              <w:numPr>
                <w:ilvl w:val="0"/>
                <w:numId w:val="13"/>
              </w:numPr>
              <w:suppressAutoHyphens w:val="0"/>
              <w:spacing w:before="40" w:after="40" w:line="240" w:lineRule="auto"/>
              <w:ind w:left="323" w:hanging="323"/>
              <w:contextualSpacing w:val="0"/>
              <w:rPr>
                <w:sz w:val="16"/>
                <w:szCs w:val="16"/>
                <w:lang w:val="en-AU"/>
              </w:rPr>
            </w:pPr>
            <w:r w:rsidRPr="00AD250E">
              <w:rPr>
                <w:i/>
                <w:color w:val="000000" w:themeColor="text1"/>
                <w:sz w:val="16"/>
                <w:szCs w:val="16"/>
                <w:lang w:val="en-AU"/>
              </w:rPr>
              <w:t>TVET</w:t>
            </w:r>
            <w:r w:rsidRPr="00AD250E">
              <w:rPr>
                <w:color w:val="000000" w:themeColor="text1"/>
                <w:sz w:val="16"/>
                <w:szCs w:val="16"/>
                <w:lang w:val="en-AU"/>
              </w:rPr>
              <w:t xml:space="preserve"> – a range of courses for in-demand qualifications are delivered to adult learners in Nauru</w:t>
            </w:r>
          </w:p>
        </w:tc>
      </w:tr>
      <w:tr w:rsidR="00A37CAC" w:rsidRPr="003F23D3" w14:paraId="1F561916" w14:textId="77777777" w:rsidTr="00A37CAC">
        <w:tc>
          <w:tcPr>
            <w:tcW w:w="14319" w:type="dxa"/>
            <w:gridSpan w:val="3"/>
            <w:shd w:val="clear" w:color="auto" w:fill="F6E6DE" w:themeFill="accent2" w:themeFillTint="33"/>
          </w:tcPr>
          <w:p w14:paraId="4B9B4941" w14:textId="77777777" w:rsidR="00A37CAC" w:rsidRPr="00C23E21" w:rsidRDefault="00A37CAC" w:rsidP="00A37CAC">
            <w:pPr>
              <w:spacing w:before="40" w:after="40"/>
              <w:rPr>
                <w:b/>
                <w:color w:val="D3875F" w:themeColor="accent2"/>
                <w:sz w:val="20"/>
                <w:szCs w:val="20"/>
                <w:lang w:val="en-AU"/>
              </w:rPr>
            </w:pPr>
            <w:r w:rsidRPr="00C23E21">
              <w:rPr>
                <w:b/>
                <w:color w:val="000000" w:themeColor="text1"/>
                <w:sz w:val="20"/>
                <w:szCs w:val="20"/>
                <w:lang w:val="en-AU"/>
              </w:rPr>
              <w:t>STRENGTHENED PROVISION OF HEALTH SERVICES</w:t>
            </w:r>
          </w:p>
        </w:tc>
      </w:tr>
      <w:tr w:rsidR="00A37CAC" w:rsidRPr="003F23D3" w14:paraId="34E958CD" w14:textId="77777777" w:rsidTr="00A37CAC">
        <w:tc>
          <w:tcPr>
            <w:tcW w:w="2977" w:type="dxa"/>
          </w:tcPr>
          <w:p w14:paraId="450D1CA3" w14:textId="77777777" w:rsidR="00A37CAC" w:rsidRPr="00AD250E" w:rsidRDefault="00A37CAC" w:rsidP="00A37CAC">
            <w:pPr>
              <w:spacing w:before="40" w:after="40"/>
              <w:rPr>
                <w:sz w:val="16"/>
                <w:szCs w:val="16"/>
              </w:rPr>
            </w:pPr>
            <w:r w:rsidRPr="00AD250E">
              <w:rPr>
                <w:b/>
                <w:color w:val="000000" w:themeColor="text1"/>
                <w:sz w:val="16"/>
                <w:szCs w:val="16"/>
                <w:lang w:val="en-AU"/>
              </w:rPr>
              <w:t xml:space="preserve">Objective 4.0 - </w:t>
            </w:r>
            <w:r w:rsidRPr="00AD250E">
              <w:rPr>
                <w:color w:val="000000" w:themeColor="text1"/>
                <w:sz w:val="16"/>
                <w:szCs w:val="16"/>
                <w:lang w:val="en-AU"/>
              </w:rPr>
              <w:t>Systems and services are responsive to people’s health needs through: (i) strengthening health system management; (ii) supporting primary health care; (iii) curative care; and (iv) support services and networking</w:t>
            </w:r>
          </w:p>
        </w:tc>
        <w:tc>
          <w:tcPr>
            <w:tcW w:w="5812" w:type="dxa"/>
          </w:tcPr>
          <w:p w14:paraId="2310632C" w14:textId="77777777" w:rsidR="00A37CAC" w:rsidRPr="00AD250E" w:rsidRDefault="00A37CAC" w:rsidP="005468D2">
            <w:pPr>
              <w:pStyle w:val="ListParagraph"/>
              <w:numPr>
                <w:ilvl w:val="0"/>
                <w:numId w:val="13"/>
              </w:numPr>
              <w:suppressAutoHyphens w:val="0"/>
              <w:spacing w:before="40" w:after="40" w:line="240" w:lineRule="auto"/>
              <w:ind w:left="323" w:hanging="323"/>
              <w:contextualSpacing w:val="0"/>
              <w:rPr>
                <w:i/>
                <w:color w:val="auto"/>
                <w:sz w:val="16"/>
                <w:szCs w:val="16"/>
                <w:lang w:val="en-AU"/>
              </w:rPr>
            </w:pPr>
            <w:r w:rsidRPr="00AD250E">
              <w:rPr>
                <w:i/>
                <w:color w:val="000000" w:themeColor="text1"/>
                <w:sz w:val="16"/>
                <w:szCs w:val="16"/>
                <w:lang w:val="en-AU"/>
              </w:rPr>
              <w:t>Operational Account</w:t>
            </w:r>
            <w:r w:rsidRPr="00AD250E">
              <w:rPr>
                <w:color w:val="000000" w:themeColor="text1"/>
                <w:sz w:val="16"/>
                <w:szCs w:val="16"/>
                <w:lang w:val="en-AU"/>
              </w:rPr>
              <w:t xml:space="preserve"> – funds administered appropriately on an agreed basis for activities to support the Health Annual Operational Plan</w:t>
            </w:r>
          </w:p>
          <w:p w14:paraId="46B94D2D" w14:textId="77777777" w:rsidR="00A37CAC" w:rsidRPr="00AD250E" w:rsidRDefault="00A37CAC" w:rsidP="005468D2">
            <w:pPr>
              <w:pStyle w:val="ListParagraph"/>
              <w:numPr>
                <w:ilvl w:val="0"/>
                <w:numId w:val="13"/>
              </w:numPr>
              <w:suppressAutoHyphens w:val="0"/>
              <w:spacing w:before="40" w:after="40" w:line="240" w:lineRule="auto"/>
              <w:ind w:left="323" w:hanging="323"/>
              <w:contextualSpacing w:val="0"/>
              <w:rPr>
                <w:color w:val="auto"/>
                <w:sz w:val="16"/>
                <w:szCs w:val="16"/>
                <w:lang w:val="en-AU"/>
              </w:rPr>
            </w:pPr>
            <w:r w:rsidRPr="00AD250E">
              <w:rPr>
                <w:i/>
                <w:color w:val="auto"/>
                <w:sz w:val="16"/>
                <w:szCs w:val="16"/>
                <w:lang w:val="en-AU"/>
              </w:rPr>
              <w:t xml:space="preserve">Hospital facilities </w:t>
            </w:r>
            <w:r w:rsidRPr="00AD250E">
              <w:rPr>
                <w:color w:val="auto"/>
                <w:sz w:val="16"/>
                <w:szCs w:val="16"/>
                <w:lang w:val="en-AU"/>
              </w:rPr>
              <w:t>– implementations of Masterplan Review recommendations commence</w:t>
            </w:r>
          </w:p>
          <w:p w14:paraId="4DD2880B" w14:textId="77777777" w:rsidR="00A37CAC" w:rsidRPr="00AD250E" w:rsidRDefault="00A37CAC" w:rsidP="005468D2">
            <w:pPr>
              <w:pStyle w:val="ListParagraph"/>
              <w:numPr>
                <w:ilvl w:val="0"/>
                <w:numId w:val="13"/>
              </w:numPr>
              <w:suppressAutoHyphens w:val="0"/>
              <w:spacing w:before="40" w:after="40" w:line="240" w:lineRule="auto"/>
              <w:ind w:left="323" w:hanging="323"/>
              <w:contextualSpacing w:val="0"/>
              <w:rPr>
                <w:color w:val="000000" w:themeColor="text1"/>
                <w:sz w:val="16"/>
                <w:szCs w:val="16"/>
                <w:lang w:val="en-AU"/>
              </w:rPr>
            </w:pPr>
            <w:r w:rsidRPr="00AD250E">
              <w:rPr>
                <w:i/>
                <w:color w:val="auto"/>
                <w:sz w:val="16"/>
                <w:szCs w:val="16"/>
                <w:lang w:val="en-AU"/>
              </w:rPr>
              <w:t xml:space="preserve">Review – </w:t>
            </w:r>
            <w:r w:rsidR="00D06002">
              <w:rPr>
                <w:color w:val="auto"/>
                <w:sz w:val="16"/>
                <w:szCs w:val="16"/>
                <w:lang w:val="en-AU"/>
              </w:rPr>
              <w:t>Australia</w:t>
            </w:r>
            <w:r w:rsidRPr="00AD250E">
              <w:rPr>
                <w:color w:val="auto"/>
                <w:sz w:val="16"/>
                <w:szCs w:val="16"/>
                <w:lang w:val="en-AU"/>
              </w:rPr>
              <w:t xml:space="preserve"> review and redesign of the health investment completed and implemented</w:t>
            </w:r>
          </w:p>
        </w:tc>
        <w:tc>
          <w:tcPr>
            <w:tcW w:w="5530" w:type="dxa"/>
          </w:tcPr>
          <w:p w14:paraId="20B9FFE4" w14:textId="77777777" w:rsidR="00A37CAC" w:rsidRPr="00AD250E" w:rsidRDefault="00A37CAC" w:rsidP="005468D2">
            <w:pPr>
              <w:pStyle w:val="ListParagraph"/>
              <w:numPr>
                <w:ilvl w:val="0"/>
                <w:numId w:val="13"/>
              </w:numPr>
              <w:suppressAutoHyphens w:val="0"/>
              <w:spacing w:before="40" w:after="40" w:line="240" w:lineRule="auto"/>
              <w:ind w:left="323" w:hanging="323"/>
              <w:contextualSpacing w:val="0"/>
              <w:rPr>
                <w:i/>
                <w:color w:val="auto"/>
                <w:sz w:val="16"/>
                <w:szCs w:val="16"/>
                <w:lang w:val="en-AU"/>
              </w:rPr>
            </w:pPr>
            <w:r w:rsidRPr="00AD250E">
              <w:rPr>
                <w:i/>
                <w:color w:val="000000" w:themeColor="text1"/>
                <w:sz w:val="16"/>
                <w:szCs w:val="16"/>
                <w:lang w:val="en-AU"/>
              </w:rPr>
              <w:t>Operational Account</w:t>
            </w:r>
            <w:r w:rsidRPr="00AD250E">
              <w:rPr>
                <w:color w:val="000000" w:themeColor="text1"/>
                <w:sz w:val="16"/>
                <w:szCs w:val="16"/>
                <w:lang w:val="en-AU"/>
              </w:rPr>
              <w:t xml:space="preserve"> – funds administered appropriately on an agreed basis for activities to support the Health Annual Operational Plan</w:t>
            </w:r>
          </w:p>
          <w:p w14:paraId="1A9A84E7" w14:textId="77777777" w:rsidR="00A37CAC" w:rsidRPr="00AD250E" w:rsidRDefault="00A37CAC" w:rsidP="005468D2">
            <w:pPr>
              <w:pStyle w:val="ListParagraph"/>
              <w:numPr>
                <w:ilvl w:val="0"/>
                <w:numId w:val="13"/>
              </w:numPr>
              <w:suppressAutoHyphens w:val="0"/>
              <w:spacing w:before="40" w:after="40" w:line="240" w:lineRule="auto"/>
              <w:ind w:left="323" w:hanging="323"/>
              <w:contextualSpacing w:val="0"/>
              <w:rPr>
                <w:color w:val="000000" w:themeColor="text1"/>
                <w:sz w:val="16"/>
                <w:szCs w:val="16"/>
                <w:lang w:val="en-AU"/>
              </w:rPr>
            </w:pPr>
            <w:r w:rsidRPr="00AD250E">
              <w:rPr>
                <w:color w:val="000000" w:themeColor="text1"/>
                <w:sz w:val="16"/>
                <w:szCs w:val="16"/>
                <w:lang w:val="en-AU"/>
              </w:rPr>
              <w:t>Improve the health sector response and services to victims of domestic violence and establish child protection services in communities</w:t>
            </w:r>
          </w:p>
        </w:tc>
      </w:tr>
    </w:tbl>
    <w:p w14:paraId="770083DD" w14:textId="77777777" w:rsidR="00A37CAC" w:rsidRPr="005C78DB" w:rsidRDefault="00A37CAC" w:rsidP="00A37CAC">
      <w:pPr>
        <w:spacing w:before="20" w:after="20" w:line="180" w:lineRule="atLeast"/>
      </w:pPr>
      <w:r>
        <w:rPr>
          <w:color w:val="000000" w:themeColor="text1"/>
          <w:sz w:val="20"/>
          <w:szCs w:val="20"/>
          <w:lang w:val="en-AU"/>
        </w:rPr>
        <w:t xml:space="preserve">Note: all objectives include </w:t>
      </w:r>
      <w:r w:rsidRPr="00AD250E">
        <w:rPr>
          <w:color w:val="000000" w:themeColor="text1"/>
          <w:sz w:val="20"/>
          <w:szCs w:val="20"/>
          <w:lang w:val="en-AU"/>
        </w:rPr>
        <w:t>cross-cutting elements</w:t>
      </w:r>
      <w:r>
        <w:rPr>
          <w:color w:val="000000" w:themeColor="text1"/>
          <w:sz w:val="20"/>
          <w:szCs w:val="20"/>
          <w:lang w:val="en-AU"/>
        </w:rPr>
        <w:t xml:space="preserve"> of gender equality, climate change and disability inclusive development</w:t>
      </w:r>
    </w:p>
    <w:sectPr w:rsidR="00A37CAC" w:rsidRPr="005C78DB" w:rsidSect="00A37CAC">
      <w:headerReference w:type="default" r:id="rId33"/>
      <w:pgSz w:w="16838" w:h="11906" w:orient="landscape" w:code="9"/>
      <w:pgMar w:top="1134" w:right="1525" w:bottom="1134" w:left="851" w:header="1418" w:footer="1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EDDF6" w14:textId="77777777" w:rsidR="00A030A0" w:rsidRDefault="00A030A0" w:rsidP="00EF4574">
      <w:pPr>
        <w:spacing w:before="0" w:after="0" w:line="240" w:lineRule="auto"/>
      </w:pPr>
      <w:r>
        <w:separator/>
      </w:r>
    </w:p>
  </w:endnote>
  <w:endnote w:type="continuationSeparator" w:id="0">
    <w:p w14:paraId="0097D061" w14:textId="77777777" w:rsidR="00A030A0" w:rsidRDefault="00A030A0" w:rsidP="00EF4574">
      <w:pPr>
        <w:spacing w:before="0" w:after="0" w:line="240" w:lineRule="auto"/>
      </w:pPr>
      <w:r>
        <w:continuationSeparator/>
      </w:r>
    </w:p>
  </w:endnote>
  <w:endnote w:type="continuationNotice" w:id="1">
    <w:p w14:paraId="3BA8CF4A" w14:textId="77777777" w:rsidR="00A030A0" w:rsidRDefault="00A030A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56CFB" w14:textId="77777777" w:rsidR="00497DA1" w:rsidRDefault="00497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8C196" w14:textId="77777777" w:rsidR="00A030A0" w:rsidRDefault="00A030A0" w:rsidP="004839E3">
    <w:pPr>
      <w:pStyle w:val="Footer"/>
      <w:rPr>
        <w:lang w:val="en-AU"/>
      </w:rPr>
    </w:pPr>
  </w:p>
  <w:p w14:paraId="10777A8D" w14:textId="77777777" w:rsidR="00A030A0" w:rsidRDefault="00A030A0" w:rsidP="004839E3">
    <w:pPr>
      <w:pStyle w:val="Footer"/>
    </w:pPr>
  </w:p>
  <w:p w14:paraId="52A52BA5" w14:textId="77777777" w:rsidR="00A030A0" w:rsidRPr="00CD0E4B" w:rsidRDefault="00A030A0" w:rsidP="004839E3">
    <w:pPr>
      <w:pStyle w:val="Footer"/>
    </w:pPr>
    <w:r w:rsidRPr="00CD0E4B">
      <w:rPr>
        <w:noProof/>
        <w:lang w:val="en-AU" w:eastAsia="en-AU"/>
      </w:rPr>
      <w:drawing>
        <wp:inline distT="0" distB="0" distL="0" distR="0" wp14:anchorId="7CBF6AE8" wp14:editId="5675467C">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25882A2A" w14:textId="77777777" w:rsidR="00A030A0" w:rsidRPr="00CD0E4B" w:rsidRDefault="00A030A0" w:rsidP="004839E3">
    <w:pPr>
      <w:pStyle w:val="Footer"/>
      <w:rPr>
        <w:color w:val="ACD08C" w:themeColor="accent3"/>
      </w:rPr>
    </w:pPr>
    <w:r w:rsidRPr="00CD0E4B">
      <w:rPr>
        <w:color w:val="ACD08C" w:themeColor="accent3"/>
      </w:rPr>
      <w:t>DFAT.GOV.AU</w:t>
    </w:r>
  </w:p>
  <w:p w14:paraId="73C66333" w14:textId="77777777" w:rsidR="00A030A0" w:rsidRPr="004839E3" w:rsidRDefault="00A030A0"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A9DB4" w14:textId="77777777" w:rsidR="00A030A0" w:rsidRPr="004839E3" w:rsidRDefault="00A030A0"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7C02E60F" wp14:editId="1640CDE1">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14:paraId="7D90CC6B" w14:textId="77777777" w:rsidR="00A030A0" w:rsidRDefault="00A030A0" w:rsidP="004839E3">
    <w:pPr>
      <w:spacing w:before="0" w:after="0" w:line="240" w:lineRule="exact"/>
      <w:ind w:right="284"/>
      <w:jc w:val="right"/>
    </w:pPr>
    <w:r w:rsidRPr="004839E3">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217746"/>
      <w:docPartObj>
        <w:docPartGallery w:val="Page Numbers (Bottom of Page)"/>
        <w:docPartUnique/>
      </w:docPartObj>
    </w:sdtPr>
    <w:sdtEndPr>
      <w:rPr>
        <w:noProof/>
      </w:rPr>
    </w:sdtEndPr>
    <w:sdtContent>
      <w:p w14:paraId="10C8BF0D" w14:textId="75A4847A" w:rsidR="00A030A0" w:rsidRDefault="00A030A0">
        <w:pPr>
          <w:pStyle w:val="Footer"/>
          <w:jc w:val="center"/>
        </w:pPr>
        <w:r>
          <w:fldChar w:fldCharType="begin"/>
        </w:r>
        <w:r>
          <w:instrText xml:space="preserve"> PAGE   \* MERGEFORMAT </w:instrText>
        </w:r>
        <w:r>
          <w:fldChar w:fldCharType="separate"/>
        </w:r>
        <w:r w:rsidR="003F27DA">
          <w:rPr>
            <w:noProof/>
          </w:rPr>
          <w:t>6</w:t>
        </w:r>
        <w:r>
          <w:rPr>
            <w:noProof/>
          </w:rPr>
          <w:fldChar w:fldCharType="end"/>
        </w:r>
      </w:p>
    </w:sdtContent>
  </w:sdt>
  <w:p w14:paraId="00561651" w14:textId="77777777" w:rsidR="00A030A0" w:rsidRPr="004839E3" w:rsidRDefault="00A030A0"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B5347" w14:textId="77777777" w:rsidR="00A030A0" w:rsidRPr="008C5A0E" w:rsidRDefault="00A030A0" w:rsidP="001D663E">
      <w:pPr>
        <w:pStyle w:val="Footer"/>
        <w:pBdr>
          <w:top w:val="single" w:sz="4" w:space="1" w:color="495965" w:themeColor="text2"/>
        </w:pBdr>
      </w:pPr>
    </w:p>
  </w:footnote>
  <w:footnote w:type="continuationSeparator" w:id="0">
    <w:p w14:paraId="551BA52B" w14:textId="77777777" w:rsidR="00A030A0" w:rsidRDefault="00A030A0" w:rsidP="00EF4574">
      <w:pPr>
        <w:spacing w:before="0" w:after="0" w:line="240" w:lineRule="auto"/>
      </w:pPr>
      <w:r>
        <w:continuationSeparator/>
      </w:r>
    </w:p>
  </w:footnote>
  <w:footnote w:type="continuationNotice" w:id="1">
    <w:p w14:paraId="2501C9F4" w14:textId="77777777" w:rsidR="00A030A0" w:rsidRDefault="00A030A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5CF6A" w14:textId="77777777" w:rsidR="00497DA1" w:rsidRDefault="00497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C506B" w14:textId="77777777" w:rsidR="00A030A0" w:rsidRPr="00333501" w:rsidRDefault="00A030A0" w:rsidP="008F56A8">
    <w:pPr>
      <w:pStyle w:val="Header"/>
      <w:jc w:val="left"/>
    </w:pPr>
    <w:r>
      <w:rPr>
        <w:noProof/>
        <w:lang w:val="en-AU" w:eastAsia="en-AU"/>
      </w:rPr>
      <w:drawing>
        <wp:anchor distT="0" distB="0" distL="114300" distR="114300" simplePos="0" relativeHeight="251671552" behindDoc="1" locked="1" layoutInCell="1" allowOverlap="1" wp14:anchorId="39E3E4D8" wp14:editId="76CEF5FA">
          <wp:simplePos x="0" y="0"/>
          <wp:positionH relativeFrom="page">
            <wp:posOffset>1378585</wp:posOffset>
          </wp:positionH>
          <wp:positionV relativeFrom="page">
            <wp:posOffset>272415</wp:posOffset>
          </wp:positionV>
          <wp:extent cx="10248900" cy="10235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27257" w14:textId="77777777" w:rsidR="00A030A0" w:rsidRPr="003D352D" w:rsidRDefault="00A030A0" w:rsidP="003D352D">
    <w:pPr>
      <w:pStyle w:val="Header"/>
      <w:jc w:val="left"/>
    </w:pPr>
    <w:r>
      <w:rPr>
        <w:noProof/>
        <w:lang w:val="en-AU" w:eastAsia="en-AU"/>
      </w:rPr>
      <w:drawing>
        <wp:anchor distT="0" distB="0" distL="114300" distR="114300" simplePos="0" relativeHeight="251669504" behindDoc="1" locked="1" layoutInCell="1" allowOverlap="1" wp14:anchorId="6C1DD4CB" wp14:editId="4F79501A">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4BF57" w14:textId="77777777" w:rsidR="00A030A0" w:rsidRPr="00333501" w:rsidRDefault="00A030A0" w:rsidP="008F56A8">
    <w:pPr>
      <w:pStyle w:val="Header"/>
      <w:jc w:val="left"/>
    </w:pPr>
    <w:r>
      <w:rPr>
        <w:noProof/>
        <w:lang w:val="en-AU" w:eastAsia="en-AU"/>
      </w:rPr>
      <w:drawing>
        <wp:anchor distT="0" distB="0" distL="114300" distR="114300" simplePos="0" relativeHeight="251685888" behindDoc="1" locked="1" layoutInCell="1" allowOverlap="1" wp14:anchorId="4F26F11A" wp14:editId="23FC4D69">
          <wp:simplePos x="0" y="0"/>
          <wp:positionH relativeFrom="margin">
            <wp:posOffset>-652145</wp:posOffset>
          </wp:positionH>
          <wp:positionV relativeFrom="page">
            <wp:posOffset>122555</wp:posOffset>
          </wp:positionV>
          <wp:extent cx="7409815" cy="10589895"/>
          <wp:effectExtent l="0" t="0" r="635" b="190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BCFC8" w14:textId="77777777" w:rsidR="00A030A0" w:rsidRPr="003D352D" w:rsidRDefault="00A030A0" w:rsidP="003D352D">
    <w:pPr>
      <w:pStyle w:val="Header"/>
      <w:jc w:val="left"/>
    </w:pPr>
    <w:r>
      <w:rPr>
        <w:noProof/>
        <w:lang w:val="en-AU" w:eastAsia="en-AU"/>
      </w:rPr>
      <w:drawing>
        <wp:anchor distT="0" distB="0" distL="114300" distR="114300" simplePos="0" relativeHeight="251673600" behindDoc="1" locked="1" layoutInCell="1" allowOverlap="1" wp14:anchorId="21327C41" wp14:editId="28D58B8D">
          <wp:simplePos x="0" y="0"/>
          <wp:positionH relativeFrom="page">
            <wp:posOffset>0</wp:posOffset>
          </wp:positionH>
          <wp:positionV relativeFrom="page">
            <wp:posOffset>0</wp:posOffset>
          </wp:positionV>
          <wp:extent cx="10694035" cy="7465695"/>
          <wp:effectExtent l="0" t="0" r="0" b="1905"/>
          <wp:wrapNone/>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FF89A" w14:textId="77777777" w:rsidR="00A030A0" w:rsidRPr="00333501" w:rsidRDefault="00A030A0" w:rsidP="008F56A8">
    <w:pPr>
      <w:pStyle w:val="Header"/>
      <w:jc w:val="left"/>
    </w:pPr>
    <w:r>
      <w:rPr>
        <w:noProof/>
        <w:lang w:val="en-AU" w:eastAsia="en-AU"/>
      </w:rPr>
      <w:drawing>
        <wp:anchor distT="0" distB="0" distL="114300" distR="114300" simplePos="0" relativeHeight="251687936" behindDoc="1" locked="1" layoutInCell="1" allowOverlap="1" wp14:anchorId="23577412" wp14:editId="6D0C93D4">
          <wp:simplePos x="0" y="0"/>
          <wp:positionH relativeFrom="page">
            <wp:posOffset>40640</wp:posOffset>
          </wp:positionH>
          <wp:positionV relativeFrom="margin">
            <wp:posOffset>-721995</wp:posOffset>
          </wp:positionV>
          <wp:extent cx="10754360" cy="7082790"/>
          <wp:effectExtent l="0" t="0" r="889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3A8C0" w14:textId="77777777" w:rsidR="00A030A0" w:rsidRPr="003D352D" w:rsidRDefault="00A030A0" w:rsidP="003D352D">
    <w:pPr>
      <w:pStyle w:val="Header"/>
      <w:jc w:val="left"/>
    </w:pPr>
    <w:r>
      <w:rPr>
        <w:noProof/>
        <w:lang w:val="en-AU" w:eastAsia="en-AU"/>
      </w:rPr>
      <w:drawing>
        <wp:anchor distT="0" distB="0" distL="114300" distR="114300" simplePos="0" relativeHeight="251675648" behindDoc="1" locked="1" layoutInCell="1" allowOverlap="1" wp14:anchorId="16901C30" wp14:editId="31960DC4">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BC34B" w14:textId="77777777" w:rsidR="00A030A0" w:rsidRPr="00784031" w:rsidRDefault="00A030A0" w:rsidP="00F80511">
    <w:pPr>
      <w:tabs>
        <w:tab w:val="left" w:pos="9260"/>
      </w:tabs>
      <w:spacing w:before="20" w:after="20" w:line="180" w:lineRule="atLeast"/>
      <w:rPr>
        <w:rFonts w:eastAsiaTheme="majorEastAsia" w:cstheme="majorBidi"/>
        <w:bCs/>
        <w:iCs/>
        <w:caps/>
        <w:spacing w:val="-10"/>
        <w:kern w:val="28"/>
        <w:sz w:val="38"/>
        <w:szCs w:val="24"/>
      </w:rPr>
    </w:pPr>
    <w:r>
      <w:rPr>
        <w:noProof/>
        <w:lang w:val="en-AU" w:eastAsia="en-AU"/>
      </w:rPr>
      <w:drawing>
        <wp:anchor distT="0" distB="0" distL="114300" distR="114300" simplePos="0" relativeHeight="251696128" behindDoc="1" locked="1" layoutInCell="1" allowOverlap="1" wp14:anchorId="649AF81C" wp14:editId="282D3732">
          <wp:simplePos x="0" y="0"/>
          <wp:positionH relativeFrom="page">
            <wp:align>left</wp:align>
          </wp:positionH>
          <wp:positionV relativeFrom="page">
            <wp:posOffset>52070</wp:posOffset>
          </wp:positionV>
          <wp:extent cx="10820400" cy="7486650"/>
          <wp:effectExtent l="0" t="0" r="0" b="0"/>
          <wp:wrapNone/>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20400" cy="7486650"/>
                  </a:xfrm>
                  <a:prstGeom prst="rect">
                    <a:avLst/>
                  </a:prstGeom>
                </pic:spPr>
              </pic:pic>
            </a:graphicData>
          </a:graphic>
          <wp14:sizeRelH relativeFrom="margin">
            <wp14:pctWidth>0</wp14:pctWidth>
          </wp14:sizeRelH>
          <wp14:sizeRelV relativeFrom="margin">
            <wp14:pctHeight>0</wp14:pctHeight>
          </wp14:sizeRelV>
        </wp:anchor>
      </w:drawing>
    </w:r>
  </w:p>
  <w:p w14:paraId="048FEC5E" w14:textId="77777777" w:rsidR="00A030A0" w:rsidRPr="00333501" w:rsidRDefault="00A030A0" w:rsidP="00F80511">
    <w:pPr>
      <w:pStyle w:val="Header"/>
      <w:tabs>
        <w:tab w:val="clear" w:pos="4513"/>
        <w:tab w:val="clear" w:pos="9026"/>
        <w:tab w:val="left" w:pos="9650"/>
      </w:tabs>
      <w:jc w:val="left"/>
    </w:pPr>
    <w:r>
      <w:rPr>
        <w:noProof/>
        <w:lang w:val="en-AU" w:eastAsia="en-AU"/>
      </w:rPr>
      <w:drawing>
        <wp:anchor distT="0" distB="0" distL="114300" distR="114300" simplePos="0" relativeHeight="251692032" behindDoc="1" locked="1" layoutInCell="1" allowOverlap="1" wp14:anchorId="69AB37A7" wp14:editId="6882EE3D">
          <wp:simplePos x="0" y="0"/>
          <wp:positionH relativeFrom="page">
            <wp:posOffset>95250</wp:posOffset>
          </wp:positionH>
          <wp:positionV relativeFrom="page">
            <wp:posOffset>7696200</wp:posOffset>
          </wp:positionV>
          <wp:extent cx="10572750" cy="7696200"/>
          <wp:effectExtent l="0" t="0" r="0" b="0"/>
          <wp:wrapNone/>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572750" cy="76962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336A9" w14:textId="77777777" w:rsidR="00A030A0" w:rsidRPr="00784031" w:rsidRDefault="00A030A0" w:rsidP="00F80511">
    <w:pPr>
      <w:tabs>
        <w:tab w:val="left" w:pos="9260"/>
      </w:tabs>
      <w:spacing w:before="20" w:after="20" w:line="180" w:lineRule="atLeast"/>
      <w:rPr>
        <w:rFonts w:eastAsiaTheme="majorEastAsia" w:cstheme="majorBidi"/>
        <w:bCs/>
        <w:iCs/>
        <w:caps/>
        <w:spacing w:val="-10"/>
        <w:kern w:val="28"/>
        <w:sz w:val="38"/>
        <w:szCs w:val="24"/>
      </w:rPr>
    </w:pPr>
  </w:p>
  <w:p w14:paraId="5744DD5D" w14:textId="77777777" w:rsidR="00A030A0" w:rsidRPr="00333501" w:rsidRDefault="00A030A0" w:rsidP="00F80511">
    <w:pPr>
      <w:pStyle w:val="Header"/>
      <w:tabs>
        <w:tab w:val="clear" w:pos="4513"/>
        <w:tab w:val="clear" w:pos="9026"/>
        <w:tab w:val="left" w:pos="9650"/>
      </w:tabs>
      <w:jc w:val="left"/>
    </w:pPr>
    <w:r>
      <w:rPr>
        <w:noProof/>
        <w:lang w:val="en-AU" w:eastAsia="en-AU"/>
      </w:rPr>
      <w:drawing>
        <wp:anchor distT="0" distB="0" distL="114300" distR="114300" simplePos="0" relativeHeight="251694080" behindDoc="1" locked="1" layoutInCell="1" allowOverlap="1" wp14:anchorId="01FA7B92" wp14:editId="0163489D">
          <wp:simplePos x="0" y="0"/>
          <wp:positionH relativeFrom="page">
            <wp:align>left</wp:align>
          </wp:positionH>
          <wp:positionV relativeFrom="page">
            <wp:align>bottom</wp:align>
          </wp:positionV>
          <wp:extent cx="10820400" cy="7486650"/>
          <wp:effectExtent l="0" t="0" r="0"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20400" cy="748665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DC45D8C"/>
    <w:multiLevelType w:val="hybridMultilevel"/>
    <w:tmpl w:val="07E06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7C6F2A"/>
    <w:multiLevelType w:val="hybridMultilevel"/>
    <w:tmpl w:val="D0144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2E7F7673"/>
    <w:multiLevelType w:val="hybridMultilevel"/>
    <w:tmpl w:val="C78CF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206BC8"/>
    <w:multiLevelType w:val="hybridMultilevel"/>
    <w:tmpl w:val="6BC24F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F473C0"/>
    <w:multiLevelType w:val="hybridMultilevel"/>
    <w:tmpl w:val="FD648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5D3C1EA7"/>
    <w:multiLevelType w:val="multilevel"/>
    <w:tmpl w:val="43428892"/>
    <w:numStyleLink w:val="BulletsList"/>
  </w:abstractNum>
  <w:abstractNum w:abstractNumId="1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2"/>
  </w:num>
  <w:num w:numId="2">
    <w:abstractNumId w:val="0"/>
  </w:num>
  <w:num w:numId="3">
    <w:abstractNumId w:val="4"/>
  </w:num>
  <w:num w:numId="4">
    <w:abstractNumId w:val="9"/>
  </w:num>
  <w:num w:numId="5">
    <w:abstractNumId w:val="11"/>
  </w:num>
  <w:num w:numId="6">
    <w:abstractNumId w:val="4"/>
  </w:num>
  <w:num w:numId="7">
    <w:abstractNumId w:val="10"/>
  </w:num>
  <w:num w:numId="8">
    <w:abstractNumId w:val="0"/>
  </w:num>
  <w:num w:numId="9">
    <w:abstractNumId w:val="8"/>
  </w:num>
  <w:num w:numId="10">
    <w:abstractNumId w:val="3"/>
  </w:num>
  <w:num w:numId="11">
    <w:abstractNumId w:val="2"/>
  </w:num>
  <w:num w:numId="12">
    <w:abstractNumId w:val="5"/>
  </w:num>
  <w:num w:numId="13">
    <w:abstractNumId w:val="7"/>
  </w:num>
  <w:num w:numId="14">
    <w:abstractNumId w:val="6"/>
  </w:num>
  <w:num w:numId="1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9AA"/>
    <w:rsid w:val="00001DA8"/>
    <w:rsid w:val="0000272D"/>
    <w:rsid w:val="00003B48"/>
    <w:rsid w:val="00004424"/>
    <w:rsid w:val="000046A6"/>
    <w:rsid w:val="000062C1"/>
    <w:rsid w:val="00015316"/>
    <w:rsid w:val="0002080A"/>
    <w:rsid w:val="00022FEB"/>
    <w:rsid w:val="0002782F"/>
    <w:rsid w:val="000305D0"/>
    <w:rsid w:val="00031512"/>
    <w:rsid w:val="000317A6"/>
    <w:rsid w:val="000369D7"/>
    <w:rsid w:val="00042563"/>
    <w:rsid w:val="00044A26"/>
    <w:rsid w:val="00045523"/>
    <w:rsid w:val="00046A87"/>
    <w:rsid w:val="000471D6"/>
    <w:rsid w:val="00054E4D"/>
    <w:rsid w:val="00057C66"/>
    <w:rsid w:val="00060073"/>
    <w:rsid w:val="00060268"/>
    <w:rsid w:val="000614CB"/>
    <w:rsid w:val="000621CA"/>
    <w:rsid w:val="00066E6B"/>
    <w:rsid w:val="00067309"/>
    <w:rsid w:val="000729BE"/>
    <w:rsid w:val="00075180"/>
    <w:rsid w:val="00076806"/>
    <w:rsid w:val="00080E5B"/>
    <w:rsid w:val="00084483"/>
    <w:rsid w:val="00087219"/>
    <w:rsid w:val="00093DB6"/>
    <w:rsid w:val="0009425F"/>
    <w:rsid w:val="00096A7A"/>
    <w:rsid w:val="000975C4"/>
    <w:rsid w:val="000A0195"/>
    <w:rsid w:val="000A7FD2"/>
    <w:rsid w:val="000B6BD0"/>
    <w:rsid w:val="000C2FE2"/>
    <w:rsid w:val="000C38B9"/>
    <w:rsid w:val="000C46B9"/>
    <w:rsid w:val="000C6E77"/>
    <w:rsid w:val="000C7346"/>
    <w:rsid w:val="000C77F6"/>
    <w:rsid w:val="000D03E0"/>
    <w:rsid w:val="000D0935"/>
    <w:rsid w:val="000D361E"/>
    <w:rsid w:val="000D64FD"/>
    <w:rsid w:val="000D66D6"/>
    <w:rsid w:val="000D7D35"/>
    <w:rsid w:val="000E1E2C"/>
    <w:rsid w:val="000E314A"/>
    <w:rsid w:val="000E3511"/>
    <w:rsid w:val="000E3F70"/>
    <w:rsid w:val="000E4E1A"/>
    <w:rsid w:val="000E64AF"/>
    <w:rsid w:val="000F04CE"/>
    <w:rsid w:val="000F11D7"/>
    <w:rsid w:val="001000A0"/>
    <w:rsid w:val="0011135C"/>
    <w:rsid w:val="001114EB"/>
    <w:rsid w:val="00115151"/>
    <w:rsid w:val="00116F4A"/>
    <w:rsid w:val="001203A7"/>
    <w:rsid w:val="00121033"/>
    <w:rsid w:val="001235CF"/>
    <w:rsid w:val="00126A80"/>
    <w:rsid w:val="00131E12"/>
    <w:rsid w:val="001355E0"/>
    <w:rsid w:val="00140792"/>
    <w:rsid w:val="00141119"/>
    <w:rsid w:val="00141AA1"/>
    <w:rsid w:val="00144994"/>
    <w:rsid w:val="00146CE5"/>
    <w:rsid w:val="001540FA"/>
    <w:rsid w:val="001541EA"/>
    <w:rsid w:val="00155078"/>
    <w:rsid w:val="001556A4"/>
    <w:rsid w:val="00162DE2"/>
    <w:rsid w:val="00163197"/>
    <w:rsid w:val="001643B1"/>
    <w:rsid w:val="00164CF3"/>
    <w:rsid w:val="00164FE3"/>
    <w:rsid w:val="00166560"/>
    <w:rsid w:val="00166DDA"/>
    <w:rsid w:val="001700E5"/>
    <w:rsid w:val="00174238"/>
    <w:rsid w:val="0017501C"/>
    <w:rsid w:val="00177B49"/>
    <w:rsid w:val="001815E4"/>
    <w:rsid w:val="00181735"/>
    <w:rsid w:val="001827E8"/>
    <w:rsid w:val="00182FEF"/>
    <w:rsid w:val="00184F1E"/>
    <w:rsid w:val="0018628B"/>
    <w:rsid w:val="0018656B"/>
    <w:rsid w:val="001877BC"/>
    <w:rsid w:val="00195D58"/>
    <w:rsid w:val="0019600D"/>
    <w:rsid w:val="00196FD2"/>
    <w:rsid w:val="001B130A"/>
    <w:rsid w:val="001B1B04"/>
    <w:rsid w:val="001B21D9"/>
    <w:rsid w:val="001B2708"/>
    <w:rsid w:val="001B337C"/>
    <w:rsid w:val="001B468A"/>
    <w:rsid w:val="001B5836"/>
    <w:rsid w:val="001B642D"/>
    <w:rsid w:val="001C208F"/>
    <w:rsid w:val="001C3F3A"/>
    <w:rsid w:val="001C3F40"/>
    <w:rsid w:val="001D5875"/>
    <w:rsid w:val="001D663E"/>
    <w:rsid w:val="001D712D"/>
    <w:rsid w:val="001E1DC0"/>
    <w:rsid w:val="001F086F"/>
    <w:rsid w:val="00200EFB"/>
    <w:rsid w:val="00203933"/>
    <w:rsid w:val="00210857"/>
    <w:rsid w:val="00222B04"/>
    <w:rsid w:val="00222ECB"/>
    <w:rsid w:val="002238FB"/>
    <w:rsid w:val="00224FB2"/>
    <w:rsid w:val="00225674"/>
    <w:rsid w:val="00234453"/>
    <w:rsid w:val="00235929"/>
    <w:rsid w:val="002359DC"/>
    <w:rsid w:val="00236A53"/>
    <w:rsid w:val="002373FC"/>
    <w:rsid w:val="002414AE"/>
    <w:rsid w:val="00242434"/>
    <w:rsid w:val="002448BD"/>
    <w:rsid w:val="00246B89"/>
    <w:rsid w:val="0025738E"/>
    <w:rsid w:val="0026231B"/>
    <w:rsid w:val="00264F02"/>
    <w:rsid w:val="00267EAB"/>
    <w:rsid w:val="0027229C"/>
    <w:rsid w:val="00274929"/>
    <w:rsid w:val="00275C88"/>
    <w:rsid w:val="00275DB7"/>
    <w:rsid w:val="0028120D"/>
    <w:rsid w:val="00281EF3"/>
    <w:rsid w:val="00283BF7"/>
    <w:rsid w:val="00284957"/>
    <w:rsid w:val="0028602A"/>
    <w:rsid w:val="00286493"/>
    <w:rsid w:val="00290350"/>
    <w:rsid w:val="00292B9E"/>
    <w:rsid w:val="00295FE1"/>
    <w:rsid w:val="00297CAA"/>
    <w:rsid w:val="002A2553"/>
    <w:rsid w:val="002A328A"/>
    <w:rsid w:val="002A47D8"/>
    <w:rsid w:val="002A4A0E"/>
    <w:rsid w:val="002A51CA"/>
    <w:rsid w:val="002A62C8"/>
    <w:rsid w:val="002B1315"/>
    <w:rsid w:val="002B358A"/>
    <w:rsid w:val="002B3E95"/>
    <w:rsid w:val="002B5E10"/>
    <w:rsid w:val="002C2B96"/>
    <w:rsid w:val="002C386C"/>
    <w:rsid w:val="002C73AA"/>
    <w:rsid w:val="002D04D9"/>
    <w:rsid w:val="002D190E"/>
    <w:rsid w:val="002D2074"/>
    <w:rsid w:val="002D24BD"/>
    <w:rsid w:val="002D5B84"/>
    <w:rsid w:val="002D5F27"/>
    <w:rsid w:val="002D7CC8"/>
    <w:rsid w:val="002E171C"/>
    <w:rsid w:val="002E198C"/>
    <w:rsid w:val="002E516D"/>
    <w:rsid w:val="002F0BA6"/>
    <w:rsid w:val="002F18D1"/>
    <w:rsid w:val="002F4F55"/>
    <w:rsid w:val="002F5C66"/>
    <w:rsid w:val="003002C0"/>
    <w:rsid w:val="00301144"/>
    <w:rsid w:val="00302057"/>
    <w:rsid w:val="00303F6D"/>
    <w:rsid w:val="003057BB"/>
    <w:rsid w:val="00312887"/>
    <w:rsid w:val="00312AAB"/>
    <w:rsid w:val="00313FE2"/>
    <w:rsid w:val="003148B7"/>
    <w:rsid w:val="003158C3"/>
    <w:rsid w:val="00315AEB"/>
    <w:rsid w:val="00320F48"/>
    <w:rsid w:val="00321D1D"/>
    <w:rsid w:val="003222ED"/>
    <w:rsid w:val="00322C64"/>
    <w:rsid w:val="003255BD"/>
    <w:rsid w:val="003274CD"/>
    <w:rsid w:val="00330FEF"/>
    <w:rsid w:val="00333501"/>
    <w:rsid w:val="003374D9"/>
    <w:rsid w:val="00341855"/>
    <w:rsid w:val="003457C4"/>
    <w:rsid w:val="00346ADE"/>
    <w:rsid w:val="0035119D"/>
    <w:rsid w:val="0035290F"/>
    <w:rsid w:val="00353365"/>
    <w:rsid w:val="00354256"/>
    <w:rsid w:val="0035439D"/>
    <w:rsid w:val="00355299"/>
    <w:rsid w:val="00360489"/>
    <w:rsid w:val="003615E2"/>
    <w:rsid w:val="00361E0F"/>
    <w:rsid w:val="0036434C"/>
    <w:rsid w:val="00366F67"/>
    <w:rsid w:val="003721CC"/>
    <w:rsid w:val="003733F2"/>
    <w:rsid w:val="00380104"/>
    <w:rsid w:val="0038010E"/>
    <w:rsid w:val="0038076E"/>
    <w:rsid w:val="003814DA"/>
    <w:rsid w:val="00382A8D"/>
    <w:rsid w:val="0038450C"/>
    <w:rsid w:val="00385A73"/>
    <w:rsid w:val="00391E4E"/>
    <w:rsid w:val="00392A6A"/>
    <w:rsid w:val="003931B7"/>
    <w:rsid w:val="00394DC2"/>
    <w:rsid w:val="003A1523"/>
    <w:rsid w:val="003A1AF5"/>
    <w:rsid w:val="003A35C5"/>
    <w:rsid w:val="003A421A"/>
    <w:rsid w:val="003A54BB"/>
    <w:rsid w:val="003A5E88"/>
    <w:rsid w:val="003A658B"/>
    <w:rsid w:val="003B38FB"/>
    <w:rsid w:val="003B4855"/>
    <w:rsid w:val="003B4F12"/>
    <w:rsid w:val="003B5005"/>
    <w:rsid w:val="003B54B4"/>
    <w:rsid w:val="003B75DA"/>
    <w:rsid w:val="003C14B0"/>
    <w:rsid w:val="003C7216"/>
    <w:rsid w:val="003C76B0"/>
    <w:rsid w:val="003C7C0E"/>
    <w:rsid w:val="003D352D"/>
    <w:rsid w:val="003D6F17"/>
    <w:rsid w:val="003E06D6"/>
    <w:rsid w:val="003E1E44"/>
    <w:rsid w:val="003E2DE5"/>
    <w:rsid w:val="003E305C"/>
    <w:rsid w:val="003E4F0B"/>
    <w:rsid w:val="003E526E"/>
    <w:rsid w:val="003E7BBD"/>
    <w:rsid w:val="003E7D6B"/>
    <w:rsid w:val="003F27DA"/>
    <w:rsid w:val="003F5591"/>
    <w:rsid w:val="003F5949"/>
    <w:rsid w:val="00400B0F"/>
    <w:rsid w:val="00402514"/>
    <w:rsid w:val="00402ACC"/>
    <w:rsid w:val="0040404D"/>
    <w:rsid w:val="004071F1"/>
    <w:rsid w:val="00411F98"/>
    <w:rsid w:val="004120EC"/>
    <w:rsid w:val="00412C28"/>
    <w:rsid w:val="00417E6D"/>
    <w:rsid w:val="004230AC"/>
    <w:rsid w:val="00423F31"/>
    <w:rsid w:val="004309BD"/>
    <w:rsid w:val="00431899"/>
    <w:rsid w:val="004323B4"/>
    <w:rsid w:val="004347F5"/>
    <w:rsid w:val="00436395"/>
    <w:rsid w:val="00440982"/>
    <w:rsid w:val="00444A5A"/>
    <w:rsid w:val="004476FE"/>
    <w:rsid w:val="004477B8"/>
    <w:rsid w:val="00447BB3"/>
    <w:rsid w:val="004511DA"/>
    <w:rsid w:val="004526A4"/>
    <w:rsid w:val="00454D81"/>
    <w:rsid w:val="00454DB5"/>
    <w:rsid w:val="00467C5E"/>
    <w:rsid w:val="00467DCA"/>
    <w:rsid w:val="00470694"/>
    <w:rsid w:val="00471355"/>
    <w:rsid w:val="00474495"/>
    <w:rsid w:val="0047730B"/>
    <w:rsid w:val="00480422"/>
    <w:rsid w:val="004808DA"/>
    <w:rsid w:val="00480CF2"/>
    <w:rsid w:val="00482D06"/>
    <w:rsid w:val="004839E3"/>
    <w:rsid w:val="00483F15"/>
    <w:rsid w:val="004858F3"/>
    <w:rsid w:val="00486804"/>
    <w:rsid w:val="00487707"/>
    <w:rsid w:val="0048799B"/>
    <w:rsid w:val="00490BBC"/>
    <w:rsid w:val="00492491"/>
    <w:rsid w:val="00493CE7"/>
    <w:rsid w:val="0049425F"/>
    <w:rsid w:val="00495F4D"/>
    <w:rsid w:val="00496179"/>
    <w:rsid w:val="004977A1"/>
    <w:rsid w:val="00497DA1"/>
    <w:rsid w:val="004A260E"/>
    <w:rsid w:val="004A2734"/>
    <w:rsid w:val="004A2C91"/>
    <w:rsid w:val="004A3D6E"/>
    <w:rsid w:val="004A7BE8"/>
    <w:rsid w:val="004B00B8"/>
    <w:rsid w:val="004B0B24"/>
    <w:rsid w:val="004B2D29"/>
    <w:rsid w:val="004B3775"/>
    <w:rsid w:val="004B6C21"/>
    <w:rsid w:val="004C344B"/>
    <w:rsid w:val="004C38A0"/>
    <w:rsid w:val="004C3F8E"/>
    <w:rsid w:val="004C6EFA"/>
    <w:rsid w:val="004D05C7"/>
    <w:rsid w:val="004D0BA0"/>
    <w:rsid w:val="004D16CA"/>
    <w:rsid w:val="004D2C45"/>
    <w:rsid w:val="004D30CB"/>
    <w:rsid w:val="004D440C"/>
    <w:rsid w:val="004D4EBC"/>
    <w:rsid w:val="004D7DE3"/>
    <w:rsid w:val="004E0264"/>
    <w:rsid w:val="004E058F"/>
    <w:rsid w:val="004E229C"/>
    <w:rsid w:val="004E2668"/>
    <w:rsid w:val="004E3B87"/>
    <w:rsid w:val="004E6D2E"/>
    <w:rsid w:val="004F027D"/>
    <w:rsid w:val="004F0741"/>
    <w:rsid w:val="00500C4F"/>
    <w:rsid w:val="005014C4"/>
    <w:rsid w:val="00505510"/>
    <w:rsid w:val="00510469"/>
    <w:rsid w:val="00510921"/>
    <w:rsid w:val="00510AD3"/>
    <w:rsid w:val="00513348"/>
    <w:rsid w:val="00514211"/>
    <w:rsid w:val="005159DB"/>
    <w:rsid w:val="00521DCE"/>
    <w:rsid w:val="005224D8"/>
    <w:rsid w:val="00530906"/>
    <w:rsid w:val="0053157C"/>
    <w:rsid w:val="00533B5D"/>
    <w:rsid w:val="00534D1D"/>
    <w:rsid w:val="005351D3"/>
    <w:rsid w:val="005403BA"/>
    <w:rsid w:val="005468D2"/>
    <w:rsid w:val="0054765B"/>
    <w:rsid w:val="00547963"/>
    <w:rsid w:val="00547B43"/>
    <w:rsid w:val="005511BF"/>
    <w:rsid w:val="005526C7"/>
    <w:rsid w:val="00552D85"/>
    <w:rsid w:val="00553A0F"/>
    <w:rsid w:val="00554170"/>
    <w:rsid w:val="005556F4"/>
    <w:rsid w:val="00560790"/>
    <w:rsid w:val="00561373"/>
    <w:rsid w:val="005621D5"/>
    <w:rsid w:val="0056387D"/>
    <w:rsid w:val="00572F69"/>
    <w:rsid w:val="00574C83"/>
    <w:rsid w:val="00574D6B"/>
    <w:rsid w:val="00583C3A"/>
    <w:rsid w:val="005858DA"/>
    <w:rsid w:val="00586FD8"/>
    <w:rsid w:val="005872CD"/>
    <w:rsid w:val="005872E0"/>
    <w:rsid w:val="005906CF"/>
    <w:rsid w:val="0059146A"/>
    <w:rsid w:val="005976B7"/>
    <w:rsid w:val="0059789B"/>
    <w:rsid w:val="005A169E"/>
    <w:rsid w:val="005A1A2F"/>
    <w:rsid w:val="005A2C75"/>
    <w:rsid w:val="005A60BF"/>
    <w:rsid w:val="005B0D73"/>
    <w:rsid w:val="005B3142"/>
    <w:rsid w:val="005B5769"/>
    <w:rsid w:val="005B67DF"/>
    <w:rsid w:val="005B6CF8"/>
    <w:rsid w:val="005C141E"/>
    <w:rsid w:val="005C3222"/>
    <w:rsid w:val="005C497D"/>
    <w:rsid w:val="005C4F4C"/>
    <w:rsid w:val="005C6E1B"/>
    <w:rsid w:val="005C78DB"/>
    <w:rsid w:val="005D2290"/>
    <w:rsid w:val="005D3655"/>
    <w:rsid w:val="005D5C51"/>
    <w:rsid w:val="005D5DDA"/>
    <w:rsid w:val="005E0D42"/>
    <w:rsid w:val="005E2CE9"/>
    <w:rsid w:val="005E3332"/>
    <w:rsid w:val="005E5E5D"/>
    <w:rsid w:val="005E606B"/>
    <w:rsid w:val="005F395C"/>
    <w:rsid w:val="005F4B11"/>
    <w:rsid w:val="005F73F0"/>
    <w:rsid w:val="00600AC8"/>
    <w:rsid w:val="00601839"/>
    <w:rsid w:val="00604AAE"/>
    <w:rsid w:val="006053D6"/>
    <w:rsid w:val="00607376"/>
    <w:rsid w:val="00607888"/>
    <w:rsid w:val="00610297"/>
    <w:rsid w:val="00611F5A"/>
    <w:rsid w:val="00612CC0"/>
    <w:rsid w:val="00615648"/>
    <w:rsid w:val="00617F26"/>
    <w:rsid w:val="0062015B"/>
    <w:rsid w:val="00620A26"/>
    <w:rsid w:val="00620F1A"/>
    <w:rsid w:val="00621A8F"/>
    <w:rsid w:val="00622A28"/>
    <w:rsid w:val="006232D1"/>
    <w:rsid w:val="00623BA1"/>
    <w:rsid w:val="0062547B"/>
    <w:rsid w:val="006262D6"/>
    <w:rsid w:val="00627F4E"/>
    <w:rsid w:val="00630C7C"/>
    <w:rsid w:val="006346BC"/>
    <w:rsid w:val="006376B5"/>
    <w:rsid w:val="00640F66"/>
    <w:rsid w:val="00642B35"/>
    <w:rsid w:val="00644492"/>
    <w:rsid w:val="006460C0"/>
    <w:rsid w:val="00650D96"/>
    <w:rsid w:val="0065263F"/>
    <w:rsid w:val="006608F1"/>
    <w:rsid w:val="00661616"/>
    <w:rsid w:val="0066333D"/>
    <w:rsid w:val="0066365A"/>
    <w:rsid w:val="0066652A"/>
    <w:rsid w:val="00666B18"/>
    <w:rsid w:val="00671210"/>
    <w:rsid w:val="006731EA"/>
    <w:rsid w:val="00673BEF"/>
    <w:rsid w:val="006742FA"/>
    <w:rsid w:val="006800FE"/>
    <w:rsid w:val="00680522"/>
    <w:rsid w:val="00681F08"/>
    <w:rsid w:val="00682167"/>
    <w:rsid w:val="00682985"/>
    <w:rsid w:val="0068452B"/>
    <w:rsid w:val="00684DD8"/>
    <w:rsid w:val="00686B62"/>
    <w:rsid w:val="006879B9"/>
    <w:rsid w:val="00691252"/>
    <w:rsid w:val="00692D65"/>
    <w:rsid w:val="00695730"/>
    <w:rsid w:val="006961DE"/>
    <w:rsid w:val="0069698D"/>
    <w:rsid w:val="006978B7"/>
    <w:rsid w:val="006A03AE"/>
    <w:rsid w:val="006A0739"/>
    <w:rsid w:val="006A0AF2"/>
    <w:rsid w:val="006A1C99"/>
    <w:rsid w:val="006A4ACB"/>
    <w:rsid w:val="006A6AE6"/>
    <w:rsid w:val="006A7A30"/>
    <w:rsid w:val="006A7A76"/>
    <w:rsid w:val="006B1B41"/>
    <w:rsid w:val="006B23C6"/>
    <w:rsid w:val="006B36DF"/>
    <w:rsid w:val="006B4361"/>
    <w:rsid w:val="006B5A5C"/>
    <w:rsid w:val="006B69C5"/>
    <w:rsid w:val="006B6CA3"/>
    <w:rsid w:val="006C24BA"/>
    <w:rsid w:val="006C298E"/>
    <w:rsid w:val="006C42AF"/>
    <w:rsid w:val="006C5276"/>
    <w:rsid w:val="006D309D"/>
    <w:rsid w:val="006D74E2"/>
    <w:rsid w:val="006E054B"/>
    <w:rsid w:val="006E2263"/>
    <w:rsid w:val="006E2A11"/>
    <w:rsid w:val="006E2DE1"/>
    <w:rsid w:val="006E76CB"/>
    <w:rsid w:val="006E79D4"/>
    <w:rsid w:val="006F0558"/>
    <w:rsid w:val="006F27B1"/>
    <w:rsid w:val="006F388D"/>
    <w:rsid w:val="006F4462"/>
    <w:rsid w:val="00700409"/>
    <w:rsid w:val="007027D4"/>
    <w:rsid w:val="00703BAC"/>
    <w:rsid w:val="007074DC"/>
    <w:rsid w:val="00710D2A"/>
    <w:rsid w:val="00711D8E"/>
    <w:rsid w:val="00712672"/>
    <w:rsid w:val="00713D5C"/>
    <w:rsid w:val="00714D1F"/>
    <w:rsid w:val="00721EA2"/>
    <w:rsid w:val="00723353"/>
    <w:rsid w:val="007278A6"/>
    <w:rsid w:val="00731124"/>
    <w:rsid w:val="00734E3F"/>
    <w:rsid w:val="00736985"/>
    <w:rsid w:val="00736C0A"/>
    <w:rsid w:val="0074050B"/>
    <w:rsid w:val="007423D4"/>
    <w:rsid w:val="00744685"/>
    <w:rsid w:val="00745DF5"/>
    <w:rsid w:val="007539FA"/>
    <w:rsid w:val="00754A1A"/>
    <w:rsid w:val="0075525C"/>
    <w:rsid w:val="007566A8"/>
    <w:rsid w:val="0076250F"/>
    <w:rsid w:val="007641B3"/>
    <w:rsid w:val="007663EA"/>
    <w:rsid w:val="00767A81"/>
    <w:rsid w:val="00771981"/>
    <w:rsid w:val="00771B53"/>
    <w:rsid w:val="0077755C"/>
    <w:rsid w:val="007803C7"/>
    <w:rsid w:val="00780C2C"/>
    <w:rsid w:val="00781C66"/>
    <w:rsid w:val="00782AD7"/>
    <w:rsid w:val="007833CF"/>
    <w:rsid w:val="007839B6"/>
    <w:rsid w:val="00784031"/>
    <w:rsid w:val="00784070"/>
    <w:rsid w:val="0078661B"/>
    <w:rsid w:val="007908B5"/>
    <w:rsid w:val="00791BA1"/>
    <w:rsid w:val="00795B07"/>
    <w:rsid w:val="0079759A"/>
    <w:rsid w:val="00797A5A"/>
    <w:rsid w:val="007A2C03"/>
    <w:rsid w:val="007A3DB5"/>
    <w:rsid w:val="007A4226"/>
    <w:rsid w:val="007A5AD0"/>
    <w:rsid w:val="007A6119"/>
    <w:rsid w:val="007A61AD"/>
    <w:rsid w:val="007A694B"/>
    <w:rsid w:val="007B1350"/>
    <w:rsid w:val="007B4D5B"/>
    <w:rsid w:val="007B5738"/>
    <w:rsid w:val="007B60D5"/>
    <w:rsid w:val="007B6200"/>
    <w:rsid w:val="007C1B83"/>
    <w:rsid w:val="007C4B9A"/>
    <w:rsid w:val="007C7BE8"/>
    <w:rsid w:val="007D272D"/>
    <w:rsid w:val="007D49E3"/>
    <w:rsid w:val="007E2AE7"/>
    <w:rsid w:val="007E43A6"/>
    <w:rsid w:val="007E6188"/>
    <w:rsid w:val="007E6A46"/>
    <w:rsid w:val="007E6AAB"/>
    <w:rsid w:val="007F3395"/>
    <w:rsid w:val="007F4D42"/>
    <w:rsid w:val="0080082B"/>
    <w:rsid w:val="00801B13"/>
    <w:rsid w:val="00801B9F"/>
    <w:rsid w:val="00804B6B"/>
    <w:rsid w:val="00805776"/>
    <w:rsid w:val="008057FD"/>
    <w:rsid w:val="0081127D"/>
    <w:rsid w:val="00811ED0"/>
    <w:rsid w:val="00812509"/>
    <w:rsid w:val="008130EE"/>
    <w:rsid w:val="008133D9"/>
    <w:rsid w:val="008147F0"/>
    <w:rsid w:val="00815ACA"/>
    <w:rsid w:val="00816B57"/>
    <w:rsid w:val="00817C37"/>
    <w:rsid w:val="0082058E"/>
    <w:rsid w:val="00824F97"/>
    <w:rsid w:val="00825058"/>
    <w:rsid w:val="008324A8"/>
    <w:rsid w:val="008329F7"/>
    <w:rsid w:val="008358CE"/>
    <w:rsid w:val="0084272C"/>
    <w:rsid w:val="00844C48"/>
    <w:rsid w:val="008475F0"/>
    <w:rsid w:val="00851D1B"/>
    <w:rsid w:val="008533E2"/>
    <w:rsid w:val="008538D2"/>
    <w:rsid w:val="008556C8"/>
    <w:rsid w:val="00856583"/>
    <w:rsid w:val="008637AB"/>
    <w:rsid w:val="00864210"/>
    <w:rsid w:val="0086537E"/>
    <w:rsid w:val="0087057D"/>
    <w:rsid w:val="0087305C"/>
    <w:rsid w:val="0087365D"/>
    <w:rsid w:val="008754A0"/>
    <w:rsid w:val="008805D5"/>
    <w:rsid w:val="008902F9"/>
    <w:rsid w:val="0089762D"/>
    <w:rsid w:val="0089774C"/>
    <w:rsid w:val="008A0C2A"/>
    <w:rsid w:val="008A1A3C"/>
    <w:rsid w:val="008A2854"/>
    <w:rsid w:val="008A321F"/>
    <w:rsid w:val="008A33E9"/>
    <w:rsid w:val="008A48E5"/>
    <w:rsid w:val="008A5AFE"/>
    <w:rsid w:val="008B04DA"/>
    <w:rsid w:val="008B1BF9"/>
    <w:rsid w:val="008B3BB0"/>
    <w:rsid w:val="008B4B5B"/>
    <w:rsid w:val="008B68D7"/>
    <w:rsid w:val="008B6CEF"/>
    <w:rsid w:val="008B7588"/>
    <w:rsid w:val="008C2F58"/>
    <w:rsid w:val="008C492B"/>
    <w:rsid w:val="008C5A0E"/>
    <w:rsid w:val="008D3584"/>
    <w:rsid w:val="008D387A"/>
    <w:rsid w:val="008D4779"/>
    <w:rsid w:val="008D510D"/>
    <w:rsid w:val="008D5817"/>
    <w:rsid w:val="008E0959"/>
    <w:rsid w:val="008E478D"/>
    <w:rsid w:val="008E5A0D"/>
    <w:rsid w:val="008E71C6"/>
    <w:rsid w:val="008F56A8"/>
    <w:rsid w:val="008F5BA6"/>
    <w:rsid w:val="008F63FC"/>
    <w:rsid w:val="008F665C"/>
    <w:rsid w:val="009020CC"/>
    <w:rsid w:val="00902813"/>
    <w:rsid w:val="00911056"/>
    <w:rsid w:val="00912213"/>
    <w:rsid w:val="00912367"/>
    <w:rsid w:val="0091453A"/>
    <w:rsid w:val="0091478B"/>
    <w:rsid w:val="00916FB1"/>
    <w:rsid w:val="00917666"/>
    <w:rsid w:val="00926AAB"/>
    <w:rsid w:val="009301C8"/>
    <w:rsid w:val="00937162"/>
    <w:rsid w:val="0094061C"/>
    <w:rsid w:val="00941A6B"/>
    <w:rsid w:val="0094231B"/>
    <w:rsid w:val="0094421D"/>
    <w:rsid w:val="009445CD"/>
    <w:rsid w:val="0094477B"/>
    <w:rsid w:val="00947B5C"/>
    <w:rsid w:val="00951BE2"/>
    <w:rsid w:val="009533F0"/>
    <w:rsid w:val="00954755"/>
    <w:rsid w:val="00955A4B"/>
    <w:rsid w:val="00955D0D"/>
    <w:rsid w:val="00957F96"/>
    <w:rsid w:val="009625EB"/>
    <w:rsid w:val="00962FA8"/>
    <w:rsid w:val="00965D11"/>
    <w:rsid w:val="00966CEF"/>
    <w:rsid w:val="009710BC"/>
    <w:rsid w:val="009726AB"/>
    <w:rsid w:val="00975B64"/>
    <w:rsid w:val="00975B8C"/>
    <w:rsid w:val="00976651"/>
    <w:rsid w:val="00976EC4"/>
    <w:rsid w:val="00982F66"/>
    <w:rsid w:val="00982FEF"/>
    <w:rsid w:val="00983F9A"/>
    <w:rsid w:val="0098788E"/>
    <w:rsid w:val="009903F3"/>
    <w:rsid w:val="009927B5"/>
    <w:rsid w:val="00992C76"/>
    <w:rsid w:val="00994D70"/>
    <w:rsid w:val="009A0CA5"/>
    <w:rsid w:val="009A1108"/>
    <w:rsid w:val="009A1E4C"/>
    <w:rsid w:val="009A293E"/>
    <w:rsid w:val="009A56F2"/>
    <w:rsid w:val="009A6606"/>
    <w:rsid w:val="009A7AA1"/>
    <w:rsid w:val="009B1075"/>
    <w:rsid w:val="009B12F9"/>
    <w:rsid w:val="009B1D55"/>
    <w:rsid w:val="009B499A"/>
    <w:rsid w:val="009B4D3B"/>
    <w:rsid w:val="009B75DD"/>
    <w:rsid w:val="009C326F"/>
    <w:rsid w:val="009C44E0"/>
    <w:rsid w:val="009C4B2B"/>
    <w:rsid w:val="009D0A2A"/>
    <w:rsid w:val="009D2E83"/>
    <w:rsid w:val="009D49FE"/>
    <w:rsid w:val="009D5848"/>
    <w:rsid w:val="009D60AF"/>
    <w:rsid w:val="009D7407"/>
    <w:rsid w:val="009D7767"/>
    <w:rsid w:val="009E0866"/>
    <w:rsid w:val="009F0376"/>
    <w:rsid w:val="009F0B0B"/>
    <w:rsid w:val="009F1C6E"/>
    <w:rsid w:val="009F23DE"/>
    <w:rsid w:val="009F4F05"/>
    <w:rsid w:val="009F5488"/>
    <w:rsid w:val="009F6423"/>
    <w:rsid w:val="00A011C7"/>
    <w:rsid w:val="00A030A0"/>
    <w:rsid w:val="00A03E53"/>
    <w:rsid w:val="00A06319"/>
    <w:rsid w:val="00A07A78"/>
    <w:rsid w:val="00A10283"/>
    <w:rsid w:val="00A11B7E"/>
    <w:rsid w:val="00A135A9"/>
    <w:rsid w:val="00A138D6"/>
    <w:rsid w:val="00A177BE"/>
    <w:rsid w:val="00A17BE5"/>
    <w:rsid w:val="00A21CB9"/>
    <w:rsid w:val="00A238FA"/>
    <w:rsid w:val="00A24A62"/>
    <w:rsid w:val="00A2552D"/>
    <w:rsid w:val="00A275A1"/>
    <w:rsid w:val="00A27F9D"/>
    <w:rsid w:val="00A30153"/>
    <w:rsid w:val="00A31C9F"/>
    <w:rsid w:val="00A3359A"/>
    <w:rsid w:val="00A3616D"/>
    <w:rsid w:val="00A3734B"/>
    <w:rsid w:val="00A37CAC"/>
    <w:rsid w:val="00A40E06"/>
    <w:rsid w:val="00A4144F"/>
    <w:rsid w:val="00A43A51"/>
    <w:rsid w:val="00A47BF8"/>
    <w:rsid w:val="00A50F38"/>
    <w:rsid w:val="00A55E89"/>
    <w:rsid w:val="00A56F14"/>
    <w:rsid w:val="00A65B22"/>
    <w:rsid w:val="00A752BF"/>
    <w:rsid w:val="00A8003F"/>
    <w:rsid w:val="00A80F95"/>
    <w:rsid w:val="00A8197B"/>
    <w:rsid w:val="00A82491"/>
    <w:rsid w:val="00A83725"/>
    <w:rsid w:val="00A84162"/>
    <w:rsid w:val="00A84DA9"/>
    <w:rsid w:val="00A86E86"/>
    <w:rsid w:val="00A92CF2"/>
    <w:rsid w:val="00A92F4D"/>
    <w:rsid w:val="00A94E8A"/>
    <w:rsid w:val="00AA2F0F"/>
    <w:rsid w:val="00AA7BE3"/>
    <w:rsid w:val="00AB04FC"/>
    <w:rsid w:val="00AB0992"/>
    <w:rsid w:val="00AB193E"/>
    <w:rsid w:val="00AB5E7F"/>
    <w:rsid w:val="00AB64BB"/>
    <w:rsid w:val="00AB6D85"/>
    <w:rsid w:val="00AC164A"/>
    <w:rsid w:val="00AC181B"/>
    <w:rsid w:val="00AC3092"/>
    <w:rsid w:val="00AC7F0D"/>
    <w:rsid w:val="00AD250E"/>
    <w:rsid w:val="00AD2B67"/>
    <w:rsid w:val="00AD7C05"/>
    <w:rsid w:val="00AE1BCE"/>
    <w:rsid w:val="00AE7090"/>
    <w:rsid w:val="00AF0F3F"/>
    <w:rsid w:val="00AF1B85"/>
    <w:rsid w:val="00AF2050"/>
    <w:rsid w:val="00AF4428"/>
    <w:rsid w:val="00AF4E27"/>
    <w:rsid w:val="00AF5622"/>
    <w:rsid w:val="00AF7B8A"/>
    <w:rsid w:val="00B02BCB"/>
    <w:rsid w:val="00B03CA8"/>
    <w:rsid w:val="00B04FC5"/>
    <w:rsid w:val="00B05B31"/>
    <w:rsid w:val="00B12980"/>
    <w:rsid w:val="00B148EA"/>
    <w:rsid w:val="00B14F7F"/>
    <w:rsid w:val="00B1502B"/>
    <w:rsid w:val="00B22B04"/>
    <w:rsid w:val="00B240C9"/>
    <w:rsid w:val="00B24B60"/>
    <w:rsid w:val="00B250EB"/>
    <w:rsid w:val="00B263B5"/>
    <w:rsid w:val="00B26858"/>
    <w:rsid w:val="00B27F93"/>
    <w:rsid w:val="00B3024F"/>
    <w:rsid w:val="00B331DC"/>
    <w:rsid w:val="00B33A2D"/>
    <w:rsid w:val="00B37A0F"/>
    <w:rsid w:val="00B412E3"/>
    <w:rsid w:val="00B42A77"/>
    <w:rsid w:val="00B433BF"/>
    <w:rsid w:val="00B438D3"/>
    <w:rsid w:val="00B43C1F"/>
    <w:rsid w:val="00B446D7"/>
    <w:rsid w:val="00B45953"/>
    <w:rsid w:val="00B45F5A"/>
    <w:rsid w:val="00B51155"/>
    <w:rsid w:val="00B52B60"/>
    <w:rsid w:val="00B54557"/>
    <w:rsid w:val="00B559C7"/>
    <w:rsid w:val="00B55E19"/>
    <w:rsid w:val="00B738C7"/>
    <w:rsid w:val="00B73F3B"/>
    <w:rsid w:val="00B754C8"/>
    <w:rsid w:val="00B772DE"/>
    <w:rsid w:val="00B77CC4"/>
    <w:rsid w:val="00B81A8D"/>
    <w:rsid w:val="00B82FE1"/>
    <w:rsid w:val="00B837FB"/>
    <w:rsid w:val="00B8475C"/>
    <w:rsid w:val="00B86E6C"/>
    <w:rsid w:val="00B907C7"/>
    <w:rsid w:val="00B91009"/>
    <w:rsid w:val="00B94314"/>
    <w:rsid w:val="00B95FBA"/>
    <w:rsid w:val="00B9603C"/>
    <w:rsid w:val="00BA0B16"/>
    <w:rsid w:val="00BA1588"/>
    <w:rsid w:val="00BA4A91"/>
    <w:rsid w:val="00BA4B6D"/>
    <w:rsid w:val="00BA5F03"/>
    <w:rsid w:val="00BA6868"/>
    <w:rsid w:val="00BA78C2"/>
    <w:rsid w:val="00BB26C5"/>
    <w:rsid w:val="00BB347F"/>
    <w:rsid w:val="00BB6BB8"/>
    <w:rsid w:val="00BC03F2"/>
    <w:rsid w:val="00BC3D3D"/>
    <w:rsid w:val="00BC5707"/>
    <w:rsid w:val="00BC77DF"/>
    <w:rsid w:val="00BD04A5"/>
    <w:rsid w:val="00BD05FE"/>
    <w:rsid w:val="00BD1333"/>
    <w:rsid w:val="00BD2D67"/>
    <w:rsid w:val="00BD48DA"/>
    <w:rsid w:val="00BD6183"/>
    <w:rsid w:val="00BE1BEB"/>
    <w:rsid w:val="00BE26C5"/>
    <w:rsid w:val="00BE4641"/>
    <w:rsid w:val="00BE6B2E"/>
    <w:rsid w:val="00BF2736"/>
    <w:rsid w:val="00BF3260"/>
    <w:rsid w:val="00BF4DE6"/>
    <w:rsid w:val="00BF5C36"/>
    <w:rsid w:val="00C01FB0"/>
    <w:rsid w:val="00C038DD"/>
    <w:rsid w:val="00C05275"/>
    <w:rsid w:val="00C05D6D"/>
    <w:rsid w:val="00C105E8"/>
    <w:rsid w:val="00C1342B"/>
    <w:rsid w:val="00C14A10"/>
    <w:rsid w:val="00C14DDD"/>
    <w:rsid w:val="00C15CAC"/>
    <w:rsid w:val="00C16718"/>
    <w:rsid w:val="00C16A89"/>
    <w:rsid w:val="00C172DC"/>
    <w:rsid w:val="00C20ED5"/>
    <w:rsid w:val="00C23E21"/>
    <w:rsid w:val="00C24252"/>
    <w:rsid w:val="00C302AD"/>
    <w:rsid w:val="00C320A6"/>
    <w:rsid w:val="00C33FF4"/>
    <w:rsid w:val="00C34A83"/>
    <w:rsid w:val="00C34C7A"/>
    <w:rsid w:val="00C359FE"/>
    <w:rsid w:val="00C37F6A"/>
    <w:rsid w:val="00C42C66"/>
    <w:rsid w:val="00C42CDE"/>
    <w:rsid w:val="00C42DCA"/>
    <w:rsid w:val="00C43DB1"/>
    <w:rsid w:val="00C44A16"/>
    <w:rsid w:val="00C479F5"/>
    <w:rsid w:val="00C50696"/>
    <w:rsid w:val="00C509EA"/>
    <w:rsid w:val="00C5182A"/>
    <w:rsid w:val="00C51874"/>
    <w:rsid w:val="00C51D09"/>
    <w:rsid w:val="00C523F9"/>
    <w:rsid w:val="00C53543"/>
    <w:rsid w:val="00C61F55"/>
    <w:rsid w:val="00C627F8"/>
    <w:rsid w:val="00C62D84"/>
    <w:rsid w:val="00C63EE9"/>
    <w:rsid w:val="00C6459A"/>
    <w:rsid w:val="00C64831"/>
    <w:rsid w:val="00C65C08"/>
    <w:rsid w:val="00C6626C"/>
    <w:rsid w:val="00C67E26"/>
    <w:rsid w:val="00C7139B"/>
    <w:rsid w:val="00C7185A"/>
    <w:rsid w:val="00C74220"/>
    <w:rsid w:val="00C81073"/>
    <w:rsid w:val="00C83435"/>
    <w:rsid w:val="00C86125"/>
    <w:rsid w:val="00C86795"/>
    <w:rsid w:val="00C86E6B"/>
    <w:rsid w:val="00C92E94"/>
    <w:rsid w:val="00C94F62"/>
    <w:rsid w:val="00CA37B1"/>
    <w:rsid w:val="00CA4012"/>
    <w:rsid w:val="00CA6AD3"/>
    <w:rsid w:val="00CA77D7"/>
    <w:rsid w:val="00CB1959"/>
    <w:rsid w:val="00CB46FD"/>
    <w:rsid w:val="00CB5EAC"/>
    <w:rsid w:val="00CB61F3"/>
    <w:rsid w:val="00CC2CF7"/>
    <w:rsid w:val="00CC4767"/>
    <w:rsid w:val="00CC4DEB"/>
    <w:rsid w:val="00CC5B65"/>
    <w:rsid w:val="00CD0CC7"/>
    <w:rsid w:val="00CD0E4B"/>
    <w:rsid w:val="00CD1652"/>
    <w:rsid w:val="00CD2D22"/>
    <w:rsid w:val="00CD4269"/>
    <w:rsid w:val="00CD4291"/>
    <w:rsid w:val="00CD47D9"/>
    <w:rsid w:val="00CD4F30"/>
    <w:rsid w:val="00CE0155"/>
    <w:rsid w:val="00CE2BEE"/>
    <w:rsid w:val="00CE3D2D"/>
    <w:rsid w:val="00CE451F"/>
    <w:rsid w:val="00CE6A18"/>
    <w:rsid w:val="00CE6A32"/>
    <w:rsid w:val="00CE7633"/>
    <w:rsid w:val="00CE7AAB"/>
    <w:rsid w:val="00CE7DD2"/>
    <w:rsid w:val="00CE7F25"/>
    <w:rsid w:val="00CF38CD"/>
    <w:rsid w:val="00CF3A7A"/>
    <w:rsid w:val="00CF5108"/>
    <w:rsid w:val="00CF670F"/>
    <w:rsid w:val="00CF6DA0"/>
    <w:rsid w:val="00D00802"/>
    <w:rsid w:val="00D01E53"/>
    <w:rsid w:val="00D0296C"/>
    <w:rsid w:val="00D0433E"/>
    <w:rsid w:val="00D05352"/>
    <w:rsid w:val="00D06002"/>
    <w:rsid w:val="00D06DB9"/>
    <w:rsid w:val="00D1069E"/>
    <w:rsid w:val="00D1295D"/>
    <w:rsid w:val="00D146A2"/>
    <w:rsid w:val="00D15A00"/>
    <w:rsid w:val="00D16EC5"/>
    <w:rsid w:val="00D178CF"/>
    <w:rsid w:val="00D21BAB"/>
    <w:rsid w:val="00D2335E"/>
    <w:rsid w:val="00D239AE"/>
    <w:rsid w:val="00D2437D"/>
    <w:rsid w:val="00D25151"/>
    <w:rsid w:val="00D2653F"/>
    <w:rsid w:val="00D3246C"/>
    <w:rsid w:val="00D32F71"/>
    <w:rsid w:val="00D33C78"/>
    <w:rsid w:val="00D459E7"/>
    <w:rsid w:val="00D46DAF"/>
    <w:rsid w:val="00D531E2"/>
    <w:rsid w:val="00D540C4"/>
    <w:rsid w:val="00D54A49"/>
    <w:rsid w:val="00D6002C"/>
    <w:rsid w:val="00D603F1"/>
    <w:rsid w:val="00D64BD1"/>
    <w:rsid w:val="00D676D5"/>
    <w:rsid w:val="00D67B52"/>
    <w:rsid w:val="00D71017"/>
    <w:rsid w:val="00D72760"/>
    <w:rsid w:val="00D72AC6"/>
    <w:rsid w:val="00D75D1C"/>
    <w:rsid w:val="00D765F4"/>
    <w:rsid w:val="00D8074F"/>
    <w:rsid w:val="00D949DC"/>
    <w:rsid w:val="00DA1D14"/>
    <w:rsid w:val="00DA1D69"/>
    <w:rsid w:val="00DA2F4A"/>
    <w:rsid w:val="00DA7257"/>
    <w:rsid w:val="00DB23DE"/>
    <w:rsid w:val="00DB42E8"/>
    <w:rsid w:val="00DB4DEB"/>
    <w:rsid w:val="00DB779F"/>
    <w:rsid w:val="00DC0355"/>
    <w:rsid w:val="00DD1986"/>
    <w:rsid w:val="00DD36A5"/>
    <w:rsid w:val="00DD3FAF"/>
    <w:rsid w:val="00DD5DCE"/>
    <w:rsid w:val="00DE0367"/>
    <w:rsid w:val="00DE084C"/>
    <w:rsid w:val="00DE3187"/>
    <w:rsid w:val="00DE4CF1"/>
    <w:rsid w:val="00DE6197"/>
    <w:rsid w:val="00DE66FF"/>
    <w:rsid w:val="00DE7320"/>
    <w:rsid w:val="00DE7B80"/>
    <w:rsid w:val="00DF1EE3"/>
    <w:rsid w:val="00DF33FB"/>
    <w:rsid w:val="00DF7F8D"/>
    <w:rsid w:val="00E00CE6"/>
    <w:rsid w:val="00E013DF"/>
    <w:rsid w:val="00E03850"/>
    <w:rsid w:val="00E04AC4"/>
    <w:rsid w:val="00E15595"/>
    <w:rsid w:val="00E16AF9"/>
    <w:rsid w:val="00E200DB"/>
    <w:rsid w:val="00E211BF"/>
    <w:rsid w:val="00E21787"/>
    <w:rsid w:val="00E236B1"/>
    <w:rsid w:val="00E2465D"/>
    <w:rsid w:val="00E25F73"/>
    <w:rsid w:val="00E33B04"/>
    <w:rsid w:val="00E3471D"/>
    <w:rsid w:val="00E357B7"/>
    <w:rsid w:val="00E35EEA"/>
    <w:rsid w:val="00E45B01"/>
    <w:rsid w:val="00E46D2F"/>
    <w:rsid w:val="00E5032E"/>
    <w:rsid w:val="00E51890"/>
    <w:rsid w:val="00E52B7B"/>
    <w:rsid w:val="00E53800"/>
    <w:rsid w:val="00E54E27"/>
    <w:rsid w:val="00E607EB"/>
    <w:rsid w:val="00E6081F"/>
    <w:rsid w:val="00E610A6"/>
    <w:rsid w:val="00E62850"/>
    <w:rsid w:val="00E642E3"/>
    <w:rsid w:val="00E65105"/>
    <w:rsid w:val="00E65C75"/>
    <w:rsid w:val="00E65EA1"/>
    <w:rsid w:val="00E6695C"/>
    <w:rsid w:val="00E71866"/>
    <w:rsid w:val="00E73738"/>
    <w:rsid w:val="00E74A68"/>
    <w:rsid w:val="00E753D0"/>
    <w:rsid w:val="00E82624"/>
    <w:rsid w:val="00E87C22"/>
    <w:rsid w:val="00E908C3"/>
    <w:rsid w:val="00E91A26"/>
    <w:rsid w:val="00E9314A"/>
    <w:rsid w:val="00E97310"/>
    <w:rsid w:val="00EA04B2"/>
    <w:rsid w:val="00EA0645"/>
    <w:rsid w:val="00EA20F3"/>
    <w:rsid w:val="00EA3271"/>
    <w:rsid w:val="00EA7846"/>
    <w:rsid w:val="00EB0786"/>
    <w:rsid w:val="00EB199D"/>
    <w:rsid w:val="00EB3C20"/>
    <w:rsid w:val="00EC0D65"/>
    <w:rsid w:val="00ED1CD6"/>
    <w:rsid w:val="00ED2831"/>
    <w:rsid w:val="00ED3A84"/>
    <w:rsid w:val="00ED43D1"/>
    <w:rsid w:val="00EE107B"/>
    <w:rsid w:val="00EE14D8"/>
    <w:rsid w:val="00EE4C0A"/>
    <w:rsid w:val="00EE4EE1"/>
    <w:rsid w:val="00EF152F"/>
    <w:rsid w:val="00EF1B35"/>
    <w:rsid w:val="00EF4574"/>
    <w:rsid w:val="00EF4AD9"/>
    <w:rsid w:val="00EF4BA3"/>
    <w:rsid w:val="00EF50A9"/>
    <w:rsid w:val="00EF5C88"/>
    <w:rsid w:val="00F03C07"/>
    <w:rsid w:val="00F042CC"/>
    <w:rsid w:val="00F04EDD"/>
    <w:rsid w:val="00F06182"/>
    <w:rsid w:val="00F10E96"/>
    <w:rsid w:val="00F12102"/>
    <w:rsid w:val="00F1695A"/>
    <w:rsid w:val="00F2003D"/>
    <w:rsid w:val="00F21471"/>
    <w:rsid w:val="00F22117"/>
    <w:rsid w:val="00F222F5"/>
    <w:rsid w:val="00F23099"/>
    <w:rsid w:val="00F2684E"/>
    <w:rsid w:val="00F3674A"/>
    <w:rsid w:val="00F4140A"/>
    <w:rsid w:val="00F43FD8"/>
    <w:rsid w:val="00F478CA"/>
    <w:rsid w:val="00F53430"/>
    <w:rsid w:val="00F5404C"/>
    <w:rsid w:val="00F6077F"/>
    <w:rsid w:val="00F619B4"/>
    <w:rsid w:val="00F62EEA"/>
    <w:rsid w:val="00F660E6"/>
    <w:rsid w:val="00F70122"/>
    <w:rsid w:val="00F729EF"/>
    <w:rsid w:val="00F77CAE"/>
    <w:rsid w:val="00F80511"/>
    <w:rsid w:val="00F8188D"/>
    <w:rsid w:val="00F82271"/>
    <w:rsid w:val="00F83428"/>
    <w:rsid w:val="00F86C37"/>
    <w:rsid w:val="00F8769F"/>
    <w:rsid w:val="00F90589"/>
    <w:rsid w:val="00F92647"/>
    <w:rsid w:val="00F937A6"/>
    <w:rsid w:val="00F94D4B"/>
    <w:rsid w:val="00F96BB9"/>
    <w:rsid w:val="00FA02D2"/>
    <w:rsid w:val="00FA144B"/>
    <w:rsid w:val="00FA22A4"/>
    <w:rsid w:val="00FA44DF"/>
    <w:rsid w:val="00FA7305"/>
    <w:rsid w:val="00FA792A"/>
    <w:rsid w:val="00FB4F75"/>
    <w:rsid w:val="00FC739D"/>
    <w:rsid w:val="00FD0BC3"/>
    <w:rsid w:val="00FD0D80"/>
    <w:rsid w:val="00FD2608"/>
    <w:rsid w:val="00FD306D"/>
    <w:rsid w:val="00FD30B7"/>
    <w:rsid w:val="00FD3DF5"/>
    <w:rsid w:val="00FD46FB"/>
    <w:rsid w:val="00FD50E1"/>
    <w:rsid w:val="00FE5004"/>
    <w:rsid w:val="00FE58AC"/>
    <w:rsid w:val="00FE5992"/>
    <w:rsid w:val="00FE6D51"/>
    <w:rsid w:val="00FF09F3"/>
    <w:rsid w:val="00FF0C20"/>
    <w:rsid w:val="00FF31C9"/>
    <w:rsid w:val="00FF3200"/>
    <w:rsid w:val="00FF33B9"/>
    <w:rsid w:val="00FF5A17"/>
    <w:rsid w:val="00FF758A"/>
    <w:rsid w:val="00FF7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CD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PPR1">
    <w:name w:val="APPR1"/>
    <w:basedOn w:val="TableNormal"/>
    <w:uiPriority w:val="99"/>
    <w:rsid w:val="009020CC"/>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styleId="CommentReference">
    <w:name w:val="annotation reference"/>
    <w:basedOn w:val="DefaultParagraphFont"/>
    <w:uiPriority w:val="99"/>
    <w:semiHidden/>
    <w:unhideWhenUsed/>
    <w:rsid w:val="000621CA"/>
    <w:rPr>
      <w:sz w:val="16"/>
      <w:szCs w:val="16"/>
    </w:rPr>
  </w:style>
  <w:style w:type="paragraph" w:styleId="CommentText">
    <w:name w:val="annotation text"/>
    <w:basedOn w:val="Normal"/>
    <w:link w:val="CommentTextChar"/>
    <w:uiPriority w:val="99"/>
    <w:semiHidden/>
    <w:unhideWhenUsed/>
    <w:rsid w:val="000621CA"/>
    <w:pPr>
      <w:spacing w:line="240" w:lineRule="auto"/>
    </w:pPr>
    <w:rPr>
      <w:sz w:val="20"/>
      <w:szCs w:val="20"/>
    </w:rPr>
  </w:style>
  <w:style w:type="character" w:customStyle="1" w:styleId="CommentTextChar">
    <w:name w:val="Comment Text Char"/>
    <w:basedOn w:val="DefaultParagraphFont"/>
    <w:link w:val="CommentText"/>
    <w:uiPriority w:val="99"/>
    <w:semiHidden/>
    <w:rsid w:val="000621CA"/>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0621CA"/>
    <w:rPr>
      <w:b/>
      <w:bCs/>
    </w:rPr>
  </w:style>
  <w:style w:type="character" w:customStyle="1" w:styleId="CommentSubjectChar">
    <w:name w:val="Comment Subject Char"/>
    <w:basedOn w:val="CommentTextChar"/>
    <w:link w:val="CommentSubject"/>
    <w:uiPriority w:val="99"/>
    <w:semiHidden/>
    <w:rsid w:val="000621CA"/>
    <w:rPr>
      <w:b/>
      <w:bCs/>
      <w:color w:val="495965" w:themeColor="text2"/>
      <w:sz w:val="20"/>
      <w:szCs w:val="20"/>
      <w:lang w:val="en-GB"/>
    </w:rPr>
  </w:style>
  <w:style w:type="paragraph" w:styleId="ListParagraph">
    <w:name w:val="List Paragraph"/>
    <w:basedOn w:val="Normal"/>
    <w:uiPriority w:val="34"/>
    <w:qFormat/>
    <w:rsid w:val="00D603F1"/>
    <w:pPr>
      <w:ind w:left="720"/>
      <w:contextualSpacing/>
    </w:pPr>
  </w:style>
  <w:style w:type="paragraph" w:styleId="Revision">
    <w:name w:val="Revision"/>
    <w:hidden/>
    <w:uiPriority w:val="99"/>
    <w:semiHidden/>
    <w:rsid w:val="005E0D42"/>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0828">
      <w:bodyDiv w:val="1"/>
      <w:marLeft w:val="0"/>
      <w:marRight w:val="0"/>
      <w:marTop w:val="0"/>
      <w:marBottom w:val="0"/>
      <w:divBdr>
        <w:top w:val="none" w:sz="0" w:space="0" w:color="auto"/>
        <w:left w:val="none" w:sz="0" w:space="0" w:color="auto"/>
        <w:bottom w:val="none" w:sz="0" w:space="0" w:color="auto"/>
        <w:right w:val="none" w:sz="0" w:space="0" w:color="auto"/>
      </w:divBdr>
    </w:div>
    <w:div w:id="201986595">
      <w:bodyDiv w:val="1"/>
      <w:marLeft w:val="0"/>
      <w:marRight w:val="0"/>
      <w:marTop w:val="0"/>
      <w:marBottom w:val="0"/>
      <w:divBdr>
        <w:top w:val="none" w:sz="0" w:space="0" w:color="auto"/>
        <w:left w:val="none" w:sz="0" w:space="0" w:color="auto"/>
        <w:bottom w:val="none" w:sz="0" w:space="0" w:color="auto"/>
        <w:right w:val="none" w:sz="0" w:space="0" w:color="auto"/>
      </w:divBdr>
      <w:divsChild>
        <w:div w:id="1263025180">
          <w:marLeft w:val="547"/>
          <w:marRight w:val="0"/>
          <w:marTop w:val="115"/>
          <w:marBottom w:val="0"/>
          <w:divBdr>
            <w:top w:val="none" w:sz="0" w:space="0" w:color="auto"/>
            <w:left w:val="none" w:sz="0" w:space="0" w:color="auto"/>
            <w:bottom w:val="none" w:sz="0" w:space="0" w:color="auto"/>
            <w:right w:val="none" w:sz="0" w:space="0" w:color="auto"/>
          </w:divBdr>
        </w:div>
      </w:divsChild>
    </w:div>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476578821">
      <w:bodyDiv w:val="1"/>
      <w:marLeft w:val="0"/>
      <w:marRight w:val="0"/>
      <w:marTop w:val="0"/>
      <w:marBottom w:val="0"/>
      <w:divBdr>
        <w:top w:val="none" w:sz="0" w:space="0" w:color="auto"/>
        <w:left w:val="none" w:sz="0" w:space="0" w:color="auto"/>
        <w:bottom w:val="none" w:sz="0" w:space="0" w:color="auto"/>
        <w:right w:val="none" w:sz="0" w:space="0" w:color="auto"/>
      </w:divBdr>
    </w:div>
    <w:div w:id="1143548401">
      <w:bodyDiv w:val="1"/>
      <w:marLeft w:val="0"/>
      <w:marRight w:val="0"/>
      <w:marTop w:val="0"/>
      <w:marBottom w:val="0"/>
      <w:divBdr>
        <w:top w:val="none" w:sz="0" w:space="0" w:color="auto"/>
        <w:left w:val="none" w:sz="0" w:space="0" w:color="auto"/>
        <w:bottom w:val="none" w:sz="0" w:space="0" w:color="auto"/>
        <w:right w:val="none" w:sz="0" w:space="0" w:color="auto"/>
      </w:divBdr>
    </w:div>
    <w:div w:id="1356737639">
      <w:bodyDiv w:val="1"/>
      <w:marLeft w:val="0"/>
      <w:marRight w:val="0"/>
      <w:marTop w:val="0"/>
      <w:marBottom w:val="0"/>
      <w:divBdr>
        <w:top w:val="none" w:sz="0" w:space="0" w:color="auto"/>
        <w:left w:val="none" w:sz="0" w:space="0" w:color="auto"/>
        <w:bottom w:val="none" w:sz="0" w:space="0" w:color="auto"/>
        <w:right w:val="none" w:sz="0" w:space="0" w:color="auto"/>
      </w:divBdr>
    </w:div>
    <w:div w:id="162079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image" Target="media/image14.png"/><Relationship Id="rId33" Type="http://schemas.openxmlformats.org/officeDocument/2006/relationships/header" Target="header9.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header" Target="header8.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png"/><Relationship Id="rId28" Type="http://schemas.openxmlformats.org/officeDocument/2006/relationships/footer" Target="footer4.xml"/><Relationship Id="rId36"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EAB741-1301-4EA6-AE86-75398F58B7D5}"/>
</file>

<file path=customXml/itemProps2.xml><?xml version="1.0" encoding="utf-8"?>
<ds:datastoreItem xmlns:ds="http://schemas.openxmlformats.org/officeDocument/2006/customXml" ds:itemID="{8C7D185A-34B3-40BB-B3BC-31F81EDB866F}"/>
</file>

<file path=customXml/itemProps3.xml><?xml version="1.0" encoding="utf-8"?>
<ds:datastoreItem xmlns:ds="http://schemas.openxmlformats.org/officeDocument/2006/customXml" ds:itemID="{73B49861-FB8B-4902-BE4B-022FC8250170}"/>
</file>

<file path=customXml/itemProps4.xml><?xml version="1.0" encoding="utf-8"?>
<ds:datastoreItem xmlns:ds="http://schemas.openxmlformats.org/officeDocument/2006/customXml" ds:itemID="{FDC8A0E5-63EC-4F3D-8856-DB0A4F846C1F}"/>
</file>

<file path=docProps/app.xml><?xml version="1.0" encoding="utf-8"?>
<Properties xmlns="http://schemas.openxmlformats.org/officeDocument/2006/extended-properties" xmlns:vt="http://schemas.openxmlformats.org/officeDocument/2006/docPropsVTypes">
  <Template>Normal.dotm</Template>
  <TotalTime>0</TotalTime>
  <Pages>1</Pages>
  <Words>5284</Words>
  <Characters>30125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Nauru Aid Program Performance Report 2017-18</dc:title>
  <dc:creator/>
  <cp:lastModifiedBy/>
  <cp:revision>1</cp:revision>
  <dcterms:created xsi:type="dcterms:W3CDTF">2018-09-26T06:32:00Z</dcterms:created>
  <dcterms:modified xsi:type="dcterms:W3CDTF">2018-09-26T06:32:00Z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a590a661-7ece-4902-b5a5-3fb5b65f0b89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1197300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