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C0A3252" w14:textId="77777777" w:rsidR="003D352D" w:rsidRDefault="00A56F14" w:rsidP="00D146A2">
      <w:r>
        <w:rPr>
          <w:noProof/>
          <w:lang w:val="en-AU" w:eastAsia="en-AU"/>
        </w:rPr>
        <w:drawing>
          <wp:anchor distT="0" distB="0" distL="114300" distR="114300" simplePos="0" relativeHeight="251661312" behindDoc="1" locked="1" layoutInCell="1" allowOverlap="1" wp14:anchorId="1F6A2801" wp14:editId="468D7C37">
            <wp:simplePos x="0" y="0"/>
            <wp:positionH relativeFrom="page">
              <wp:posOffset>872490</wp:posOffset>
            </wp:positionH>
            <wp:positionV relativeFrom="page">
              <wp:posOffset>1561465</wp:posOffset>
            </wp:positionV>
            <wp:extent cx="3167380" cy="5543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9264" behindDoc="1" locked="1" layoutInCell="1" allowOverlap="1" wp14:anchorId="3CE31941" wp14:editId="6F4CB331">
            <wp:simplePos x="0" y="0"/>
            <wp:positionH relativeFrom="page">
              <wp:posOffset>-23495</wp:posOffset>
            </wp:positionH>
            <wp:positionV relativeFrom="page">
              <wp:posOffset>15875</wp:posOffset>
            </wp:positionV>
            <wp:extent cx="7585075" cy="106940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12">
                      <a:extLst>
                        <a:ext uri="{28A0092B-C50C-407E-A947-70E740481C1C}">
                          <a14:useLocalDpi xmlns:a14="http://schemas.microsoft.com/office/drawing/2010/main" val="0"/>
                        </a:ext>
                      </a:extLst>
                    </a:blip>
                    <a:stretch>
                      <a:fillRect/>
                    </a:stretch>
                  </pic:blipFill>
                  <pic:spPr>
                    <a:xfrm>
                      <a:off x="0" y="0"/>
                      <a:ext cx="7585075" cy="10694035"/>
                    </a:xfrm>
                    <a:prstGeom prst="rect">
                      <a:avLst/>
                    </a:prstGeom>
                  </pic:spPr>
                </pic:pic>
              </a:graphicData>
            </a:graphic>
            <wp14:sizeRelH relativeFrom="margin">
              <wp14:pctWidth>0</wp14:pctWidth>
            </wp14:sizeRelH>
            <wp14:sizeRelV relativeFrom="margin">
              <wp14:pctHeight>0</wp14:pctHeight>
            </wp14:sizeRelV>
          </wp:anchor>
        </w:drawing>
      </w:r>
    </w:p>
    <w:p w14:paraId="4E3925B1" w14:textId="77777777" w:rsidR="003D352D" w:rsidRDefault="003D352D" w:rsidP="00D146A2"/>
    <w:p w14:paraId="0167D018" w14:textId="77777777" w:rsidR="003D352D" w:rsidRDefault="003D352D" w:rsidP="00D146A2"/>
    <w:p w14:paraId="06A6E590" w14:textId="77777777" w:rsidR="003D352D" w:rsidRDefault="003D352D" w:rsidP="00D146A2"/>
    <w:p w14:paraId="4BC18BAC" w14:textId="77777777" w:rsidR="003D352D" w:rsidRDefault="003D352D" w:rsidP="00D146A2"/>
    <w:p w14:paraId="5B1819F6" w14:textId="77777777" w:rsidR="003D352D" w:rsidRDefault="003D352D" w:rsidP="00D146A2"/>
    <w:p w14:paraId="46A8D01A" w14:textId="77777777" w:rsidR="003D352D" w:rsidRDefault="003D352D" w:rsidP="00D146A2"/>
    <w:p w14:paraId="55445833" w14:textId="77777777" w:rsidR="003D352D" w:rsidRDefault="003D352D" w:rsidP="00D146A2"/>
    <w:p w14:paraId="39F885CD" w14:textId="77777777" w:rsidR="003D352D" w:rsidRDefault="003D352D" w:rsidP="00D146A2"/>
    <w:p w14:paraId="0E31EB2F" w14:textId="77777777" w:rsidR="003D352D" w:rsidRDefault="003D352D" w:rsidP="00D146A2"/>
    <w:p w14:paraId="2C181828" w14:textId="77777777" w:rsidR="003D352D" w:rsidRDefault="003D352D" w:rsidP="00D146A2"/>
    <w:p w14:paraId="33638535" w14:textId="77777777" w:rsidR="003D352D" w:rsidRDefault="003D352D" w:rsidP="00D146A2"/>
    <w:p w14:paraId="0BFA1175" w14:textId="77777777" w:rsidR="003D352D" w:rsidRDefault="003D352D" w:rsidP="00D146A2"/>
    <w:p w14:paraId="137C68C2" w14:textId="77777777" w:rsidR="003D352D" w:rsidRDefault="003D352D" w:rsidP="00D146A2"/>
    <w:p w14:paraId="26CB973F" w14:textId="77777777" w:rsidR="003D352D" w:rsidRDefault="003D352D" w:rsidP="00D146A2"/>
    <w:p w14:paraId="6B760B46" w14:textId="77777777" w:rsidR="003D352D" w:rsidRDefault="003D352D" w:rsidP="00D146A2"/>
    <w:p w14:paraId="2A9B6FE5" w14:textId="77777777" w:rsidR="003D352D" w:rsidRPr="0059146A" w:rsidRDefault="003D352D" w:rsidP="0059146A"/>
    <w:p w14:paraId="28207A96" w14:textId="77777777" w:rsidR="003D352D" w:rsidRPr="0059146A" w:rsidRDefault="003D352D" w:rsidP="0059146A"/>
    <w:p w14:paraId="010B9088" w14:textId="77777777" w:rsidR="003D352D" w:rsidRPr="0059146A" w:rsidRDefault="003D352D" w:rsidP="0059146A"/>
    <w:p w14:paraId="33B46230" w14:textId="77777777" w:rsidR="003D352D" w:rsidRPr="0059146A" w:rsidRDefault="003D352D" w:rsidP="0059146A"/>
    <w:p w14:paraId="2A27886F" w14:textId="77777777" w:rsidR="003D352D" w:rsidRPr="0059146A" w:rsidRDefault="003D352D" w:rsidP="0059146A"/>
    <w:p w14:paraId="49A9C3C2" w14:textId="77777777" w:rsidR="003D352D" w:rsidRPr="0059146A" w:rsidRDefault="003D352D" w:rsidP="0059146A"/>
    <w:p w14:paraId="10C7B8DE" w14:textId="77777777" w:rsidR="00A56F14" w:rsidRPr="0059146A" w:rsidRDefault="00A56F14" w:rsidP="00A56F14"/>
    <w:p w14:paraId="590BCE1A" w14:textId="77777777" w:rsidR="00A56F14" w:rsidRPr="0059146A" w:rsidRDefault="00A56F14" w:rsidP="0059146A"/>
    <w:p w14:paraId="34EE90CA" w14:textId="77777777" w:rsidR="00A56F14" w:rsidRDefault="00A56F14" w:rsidP="0059146A"/>
    <w:p w14:paraId="3F356AF4" w14:textId="77777777" w:rsidR="0059146A" w:rsidRDefault="0059146A" w:rsidP="0059146A"/>
    <w:p w14:paraId="7F54D6BF" w14:textId="77777777" w:rsidR="0059146A" w:rsidRDefault="0059146A" w:rsidP="0059146A"/>
    <w:p w14:paraId="74BF61DB" w14:textId="77777777" w:rsidR="0059146A" w:rsidRDefault="0059146A" w:rsidP="0059146A"/>
    <w:p w14:paraId="6D1A1427" w14:textId="77777777" w:rsidR="0059146A" w:rsidRPr="0059146A" w:rsidRDefault="0059146A" w:rsidP="0059146A"/>
    <w:p w14:paraId="1C841747" w14:textId="77777777" w:rsidR="003D352D" w:rsidRDefault="00A56F14" w:rsidP="003D352D">
      <w:pPr>
        <w:pStyle w:val="Title"/>
        <w:spacing w:after="120" w:line="600" w:lineRule="exact"/>
        <w:rPr>
          <w:spacing w:val="-20"/>
          <w:sz w:val="60"/>
        </w:rPr>
      </w:pPr>
      <w:r>
        <w:rPr>
          <w:spacing w:val="-20"/>
          <w:sz w:val="60"/>
        </w:rPr>
        <w:lastRenderedPageBreak/>
        <w:t>Aid program performance</w:t>
      </w:r>
      <w:r w:rsidR="003D352D" w:rsidRPr="003D352D">
        <w:rPr>
          <w:spacing w:val="-20"/>
          <w:sz w:val="60"/>
        </w:rPr>
        <w:t xml:space="preserve"> </w:t>
      </w:r>
      <w:r>
        <w:rPr>
          <w:spacing w:val="-20"/>
          <w:sz w:val="60"/>
        </w:rPr>
        <w:t>report 201</w:t>
      </w:r>
      <w:r w:rsidR="003E305C">
        <w:rPr>
          <w:spacing w:val="-20"/>
          <w:sz w:val="60"/>
        </w:rPr>
        <w:t>6</w:t>
      </w:r>
      <w:r>
        <w:rPr>
          <w:spacing w:val="-20"/>
          <w:sz w:val="60"/>
        </w:rPr>
        <w:t>-1</w:t>
      </w:r>
      <w:r w:rsidR="003E305C">
        <w:rPr>
          <w:spacing w:val="-20"/>
          <w:sz w:val="60"/>
        </w:rPr>
        <w:t>7</w:t>
      </w:r>
    </w:p>
    <w:p w14:paraId="127DC30E" w14:textId="77777777" w:rsidR="0059146A" w:rsidRDefault="00BA5F03" w:rsidP="00A56F14">
      <w:pPr>
        <w:rPr>
          <w:sz w:val="24"/>
        </w:rPr>
        <w:sectPr w:rsidR="0059146A" w:rsidSect="00A56F14">
          <w:headerReference w:type="default" r:id="rId13"/>
          <w:footerReference w:type="default" r:id="rId14"/>
          <w:headerReference w:type="first" r:id="rId15"/>
          <w:footerReference w:type="first" r:id="rId16"/>
          <w:pgSz w:w="11906" w:h="16838" w:code="9"/>
          <w:pgMar w:top="1952" w:right="1134" w:bottom="851" w:left="1134" w:header="1814" w:footer="567" w:gutter="0"/>
          <w:cols w:space="397"/>
          <w:titlePg/>
          <w:docGrid w:linePitch="360"/>
        </w:sectPr>
      </w:pPr>
      <w:r>
        <w:rPr>
          <w:sz w:val="40"/>
        </w:rPr>
        <w:t>Nauru</w:t>
      </w:r>
      <w:r w:rsidR="0059146A">
        <w:rPr>
          <w:sz w:val="40"/>
        </w:rPr>
        <w:br/>
      </w:r>
      <w:r w:rsidR="0059146A" w:rsidRPr="0059146A">
        <w:rPr>
          <w:sz w:val="24"/>
        </w:rPr>
        <w:t>September 201</w:t>
      </w:r>
      <w:r w:rsidR="003E305C">
        <w:rPr>
          <w:sz w:val="24"/>
        </w:rPr>
        <w:t>7</w:t>
      </w:r>
    </w:p>
    <w:p w14:paraId="7DB0B5C4" w14:textId="77777777" w:rsidR="005B5769" w:rsidRPr="00B438D3" w:rsidRDefault="00552D85" w:rsidP="00B438D3">
      <w:pPr>
        <w:pStyle w:val="Title"/>
      </w:pPr>
      <w:r>
        <w:lastRenderedPageBreak/>
        <w:t>nauru</w:t>
      </w:r>
      <w:r w:rsidR="005B5769" w:rsidRPr="00B438D3">
        <w:t xml:space="preserve"> Aid Program Performance Information 201</w:t>
      </w:r>
      <w:r w:rsidR="003E305C">
        <w:t>6</w:t>
      </w:r>
      <w:r w:rsidR="005B5769" w:rsidRPr="00B438D3">
        <w:t>-1</w:t>
      </w:r>
      <w:r w:rsidR="003E305C">
        <w:t>7</w:t>
      </w:r>
    </w:p>
    <w:p w14:paraId="7F3A1D8E" w14:textId="77777777" w:rsidR="005B5769" w:rsidRPr="00C4114C" w:rsidRDefault="005B5769" w:rsidP="007E6AAB">
      <w:pPr>
        <w:pStyle w:val="Subtitle"/>
        <w:spacing w:after="120"/>
      </w:pPr>
      <w:r w:rsidRPr="00A3734B">
        <w:rPr>
          <w:rFonts w:asciiTheme="majorHAnsi" w:hAnsiTheme="majorHAnsi"/>
          <w:bCs w:val="0"/>
          <w:iCs w:val="0"/>
          <w:spacing w:val="0"/>
          <w:kern w:val="0"/>
          <w:szCs w:val="26"/>
        </w:rPr>
        <w:t>Summary</w:t>
      </w:r>
    </w:p>
    <w:p w14:paraId="738CCC71" w14:textId="0A84CC43" w:rsidR="00CD1652" w:rsidRPr="00B73F3B" w:rsidRDefault="00CD1652" w:rsidP="00CD1652">
      <w:r w:rsidRPr="00B73F3B">
        <w:t xml:space="preserve">This report summarises the performance of Australia’s aid program in </w:t>
      </w:r>
      <w:r w:rsidR="00BA5F03" w:rsidRPr="00B73F3B">
        <w:t>Nauru</w:t>
      </w:r>
      <w:r w:rsidRPr="00B73F3B">
        <w:t xml:space="preserve"> from July 2016 to June 2017 against </w:t>
      </w:r>
      <w:r w:rsidR="003E7BBD" w:rsidRPr="00B73F3B">
        <w:t xml:space="preserve">jointly agreed objectives outlined in the </w:t>
      </w:r>
      <w:r w:rsidR="00BA5F03" w:rsidRPr="00B73F3B">
        <w:t>Nauru</w:t>
      </w:r>
      <w:r w:rsidRPr="00B73F3B">
        <w:t xml:space="preserve"> Aid Investment Plan </w:t>
      </w:r>
      <w:r w:rsidR="005872E0" w:rsidRPr="00B73F3B">
        <w:t>2015-16 to 2018-19 and the Aid Partnership Arrangement</w:t>
      </w:r>
      <w:r w:rsidR="002A328A">
        <w:t xml:space="preserve"> (APA)</w:t>
      </w:r>
      <w:r w:rsidR="005872E0" w:rsidRPr="00B73F3B">
        <w:t xml:space="preserve"> 2016-2019</w:t>
      </w:r>
      <w:r w:rsidR="0035439D" w:rsidRPr="00B73F3B">
        <w:t>.</w:t>
      </w:r>
      <w:r w:rsidRPr="00C61187">
        <w:t xml:space="preserve"> </w:t>
      </w:r>
      <w:r w:rsidR="00CF3A7A" w:rsidRPr="00B73F3B">
        <w:t xml:space="preserve">The APA maps bilateral development </w:t>
      </w:r>
      <w:r w:rsidR="002A328A">
        <w:t>assistance</w:t>
      </w:r>
      <w:r w:rsidR="002A328A" w:rsidRPr="00B73F3B">
        <w:t xml:space="preserve"> </w:t>
      </w:r>
      <w:r w:rsidR="00CF3A7A" w:rsidRPr="00B73F3B">
        <w:t xml:space="preserve">against Nauru’s National Sustainable Development Strategy (NSDS). </w:t>
      </w:r>
    </w:p>
    <w:p w14:paraId="7B8BEEA1" w14:textId="535419F6" w:rsidR="005872E0" w:rsidRPr="0091453A" w:rsidRDefault="005872E0" w:rsidP="00CD1652">
      <w:r w:rsidRPr="00B73F3B">
        <w:t>Australia’s development cooperation program in Nauru</w:t>
      </w:r>
      <w:r w:rsidR="00EF1B35" w:rsidRPr="00B73F3B">
        <w:t xml:space="preserve"> </w:t>
      </w:r>
      <w:r w:rsidR="00C320A6" w:rsidRPr="00B73F3B">
        <w:t>supports the objectives of a socially stable and economically resilient Nauru that has effective and accountable</w:t>
      </w:r>
      <w:r w:rsidR="008A321F" w:rsidRPr="00B73F3B">
        <w:t xml:space="preserve"> public sector</w:t>
      </w:r>
      <w:r w:rsidR="00C320A6" w:rsidRPr="00B73F3B">
        <w:t xml:space="preserve"> management</w:t>
      </w:r>
      <w:r w:rsidR="002A328A">
        <w:t xml:space="preserve"> and</w:t>
      </w:r>
      <w:r w:rsidR="008A321F" w:rsidRPr="00B73F3B">
        <w:t xml:space="preserve"> invests in nation-building infrastructure</w:t>
      </w:r>
      <w:r w:rsidR="008A321F" w:rsidRPr="0091453A">
        <w:t xml:space="preserve">, and </w:t>
      </w:r>
      <w:r w:rsidR="00617F26" w:rsidRPr="0091453A">
        <w:t>quality</w:t>
      </w:r>
      <w:r w:rsidR="008A321F" w:rsidRPr="0091453A">
        <w:t xml:space="preserve"> education and health</w:t>
      </w:r>
      <w:r w:rsidR="00617F26" w:rsidRPr="0091453A">
        <w:t xml:space="preserve"> services</w:t>
      </w:r>
      <w:r w:rsidR="008A321F" w:rsidRPr="0091453A">
        <w:t xml:space="preserve">. </w:t>
      </w:r>
      <w:r w:rsidR="00617F26" w:rsidRPr="0091453A">
        <w:t xml:space="preserve">The Australian Federal Police and Attorney-General’s Department </w:t>
      </w:r>
      <w:r w:rsidR="00C320A6" w:rsidRPr="0091453A">
        <w:t xml:space="preserve">also </w:t>
      </w:r>
      <w:r w:rsidR="00617F26" w:rsidRPr="0091453A">
        <w:t>provide o</w:t>
      </w:r>
      <w:r w:rsidR="002373FC" w:rsidRPr="0091453A">
        <w:t xml:space="preserve">ngoing </w:t>
      </w:r>
      <w:r w:rsidR="002A328A" w:rsidRPr="0091453A">
        <w:t xml:space="preserve">assistance </w:t>
      </w:r>
      <w:r w:rsidR="002373FC" w:rsidRPr="0091453A">
        <w:t>to the law and justice sector.</w:t>
      </w:r>
      <w:r w:rsidRPr="0091453A">
        <w:t xml:space="preserve"> </w:t>
      </w:r>
      <w:r w:rsidR="002E516D" w:rsidRPr="0091453A">
        <w:t xml:space="preserve">The Department of Immigration and Border Protection </w:t>
      </w:r>
      <w:r w:rsidR="00F478CA" w:rsidRPr="0091453A">
        <w:t>continued to</w:t>
      </w:r>
      <w:r w:rsidR="002E516D" w:rsidRPr="0091453A">
        <w:t xml:space="preserve"> </w:t>
      </w:r>
      <w:r w:rsidR="00F478CA" w:rsidRPr="0091453A">
        <w:t>provide funding for additional capacity support in</w:t>
      </w:r>
      <w:r w:rsidR="002E516D" w:rsidRPr="0091453A">
        <w:t xml:space="preserve"> </w:t>
      </w:r>
      <w:r w:rsidR="00F478CA" w:rsidRPr="0091453A">
        <w:t>Nauru’s</w:t>
      </w:r>
      <w:r w:rsidR="002E516D" w:rsidRPr="0091453A">
        <w:t xml:space="preserve"> education, health and law enforcement sectors during the period, along </w:t>
      </w:r>
      <w:r w:rsidR="00F478CA" w:rsidRPr="0091453A">
        <w:t xml:space="preserve">with the development of </w:t>
      </w:r>
      <w:r w:rsidR="002E516D" w:rsidRPr="0091453A">
        <w:t>various essential infrastructure</w:t>
      </w:r>
      <w:r w:rsidR="00F478CA" w:rsidRPr="0091453A">
        <w:t>.</w:t>
      </w:r>
      <w:r w:rsidR="002E516D" w:rsidRPr="0091453A">
        <w:t xml:space="preserve"> </w:t>
      </w:r>
      <w:r w:rsidR="00F478CA" w:rsidRPr="0091453A">
        <w:t>T</w:t>
      </w:r>
      <w:r w:rsidR="002E516D" w:rsidRPr="0091453A">
        <w:t>his is</w:t>
      </w:r>
      <w:r w:rsidR="00F478CA" w:rsidRPr="0091453A">
        <w:t xml:space="preserve"> however,</w:t>
      </w:r>
      <w:r w:rsidR="002E516D" w:rsidRPr="0091453A">
        <w:t xml:space="preserve"> not counted as official development assistance (ODA) and is therefore not </w:t>
      </w:r>
      <w:r w:rsidR="00F478CA" w:rsidRPr="0091453A">
        <w:t>covered</w:t>
      </w:r>
      <w:r w:rsidR="002E516D" w:rsidRPr="0091453A">
        <w:t xml:space="preserve"> in this </w:t>
      </w:r>
      <w:r w:rsidR="00F478CA" w:rsidRPr="0091453A">
        <w:t xml:space="preserve">performance </w:t>
      </w:r>
      <w:r w:rsidR="002E516D" w:rsidRPr="0091453A">
        <w:t>report.</w:t>
      </w:r>
    </w:p>
    <w:p w14:paraId="424E7FC3" w14:textId="4A847965" w:rsidR="005872E0" w:rsidRPr="00B73F3B" w:rsidRDefault="005872E0" w:rsidP="00CD1652">
      <w:r w:rsidRPr="0091453A">
        <w:t>In 201</w:t>
      </w:r>
      <w:r w:rsidR="00115151" w:rsidRPr="0091453A">
        <w:t>6</w:t>
      </w:r>
      <w:r w:rsidRPr="0091453A">
        <w:t>-1</w:t>
      </w:r>
      <w:r w:rsidR="00115151" w:rsidRPr="0091453A">
        <w:t>7</w:t>
      </w:r>
      <w:r w:rsidRPr="0091453A">
        <w:t xml:space="preserve"> Australia provided $2</w:t>
      </w:r>
      <w:r w:rsidR="00982FEF" w:rsidRPr="0091453A">
        <w:t>2</w:t>
      </w:r>
      <w:r w:rsidRPr="0091453A">
        <w:t>.</w:t>
      </w:r>
      <w:r w:rsidR="00982FEF" w:rsidRPr="0091453A">
        <w:t>4</w:t>
      </w:r>
      <w:r w:rsidRPr="0091453A">
        <w:t xml:space="preserve"> million in </w:t>
      </w:r>
      <w:r w:rsidR="002E516D" w:rsidRPr="0091453A">
        <w:t>ODA</w:t>
      </w:r>
      <w:r w:rsidRPr="0091453A">
        <w:t xml:space="preserve"> to Nauru – equivalent to </w:t>
      </w:r>
      <w:r w:rsidR="00115151" w:rsidRPr="0091453A">
        <w:t>17</w:t>
      </w:r>
      <w:r w:rsidRPr="0091453A">
        <w:t xml:space="preserve"> per cent of the Government of Nauru’s budget </w:t>
      </w:r>
      <w:r w:rsidR="00F92647" w:rsidRPr="0091453A">
        <w:t xml:space="preserve">expenditure </w:t>
      </w:r>
      <w:r w:rsidRPr="0091453A">
        <w:t>of $</w:t>
      </w:r>
      <w:r w:rsidR="00115151" w:rsidRPr="00B73F3B">
        <w:t>144</w:t>
      </w:r>
      <w:r w:rsidRPr="00B73F3B">
        <w:t xml:space="preserve"> million.  Australia is Nauru’s major development partner</w:t>
      </w:r>
      <w:r w:rsidR="00CF3A7A" w:rsidRPr="00B73F3B">
        <w:t xml:space="preserve">; other bilateral partners include </w:t>
      </w:r>
      <w:r w:rsidRPr="00B73F3B">
        <w:t>Taiwan</w:t>
      </w:r>
      <w:r w:rsidR="002C386C" w:rsidRPr="00B73F3B">
        <w:t xml:space="preserve"> ($12.2m), Japan ($3.2m), New Zealand ($1.6m)</w:t>
      </w:r>
      <w:r w:rsidR="00CE2BEE" w:rsidRPr="00B73F3B">
        <w:t>,</w:t>
      </w:r>
      <w:r w:rsidRPr="00B73F3B">
        <w:t xml:space="preserve"> and the European Union</w:t>
      </w:r>
      <w:r w:rsidR="002C386C" w:rsidRPr="00B73F3B">
        <w:t xml:space="preserve"> ($0.6m)</w:t>
      </w:r>
      <w:r w:rsidR="00CE2BEE" w:rsidRPr="00B73F3B">
        <w:t>. The Asian Development Bank</w:t>
      </w:r>
      <w:r w:rsidR="002A328A">
        <w:t xml:space="preserve"> (ADB)</w:t>
      </w:r>
      <w:r w:rsidR="0035439D" w:rsidRPr="00B73F3B">
        <w:t xml:space="preserve"> </w:t>
      </w:r>
      <w:r w:rsidRPr="00B73F3B">
        <w:t>and regional instit</w:t>
      </w:r>
      <w:r w:rsidR="00CE2BEE" w:rsidRPr="00B73F3B">
        <w:t>utions are also key partners</w:t>
      </w:r>
      <w:r w:rsidRPr="00B73F3B">
        <w:t xml:space="preserve"> for Nauru.  </w:t>
      </w:r>
    </w:p>
    <w:p w14:paraId="58883D9F" w14:textId="0F3F449E" w:rsidR="00235929" w:rsidRPr="00B73F3B" w:rsidRDefault="00235929" w:rsidP="0091453A">
      <w:pPr>
        <w:spacing w:after="0"/>
      </w:pPr>
      <w:r w:rsidRPr="00B73F3B">
        <w:t xml:space="preserve">The principal </w:t>
      </w:r>
      <w:r w:rsidR="00B73F3B">
        <w:t>deliver</w:t>
      </w:r>
      <w:r w:rsidR="002A328A">
        <w:t>y</w:t>
      </w:r>
      <w:r w:rsidR="00B73F3B">
        <w:t xml:space="preserve"> mechanisms for </w:t>
      </w:r>
      <w:r w:rsidRPr="00B73F3B">
        <w:t>the program</w:t>
      </w:r>
      <w:r w:rsidR="00CE2BEE" w:rsidRPr="00B73F3B">
        <w:t xml:space="preserve"> are in-line and capacity-building </w:t>
      </w:r>
      <w:r w:rsidR="002A328A">
        <w:t>adviser</w:t>
      </w:r>
      <w:r w:rsidR="00CE2BEE" w:rsidRPr="00B73F3B">
        <w:t xml:space="preserve">s, direct funding </w:t>
      </w:r>
      <w:r w:rsidR="005858DA" w:rsidRPr="00B73F3B">
        <w:t>through</w:t>
      </w:r>
      <w:r w:rsidR="00CE2BEE" w:rsidRPr="00B73F3B">
        <w:t xml:space="preserve"> government systems</w:t>
      </w:r>
      <w:r w:rsidR="005858DA" w:rsidRPr="00B73F3B">
        <w:t xml:space="preserve"> for implementation of health and education strategic plans</w:t>
      </w:r>
      <w:r w:rsidR="00CE2BEE" w:rsidRPr="00B73F3B">
        <w:t xml:space="preserve">, and funding of infrastructure both in partnership with the Nauruan Government and with the </w:t>
      </w:r>
      <w:r w:rsidR="002A328A">
        <w:t>ADB</w:t>
      </w:r>
      <w:r w:rsidR="00CE2BEE" w:rsidRPr="00B73F3B">
        <w:t xml:space="preserve">. </w:t>
      </w:r>
    </w:p>
    <w:p w14:paraId="7DB0D82C" w14:textId="77777777" w:rsidR="00184F1E" w:rsidRPr="002A51CA" w:rsidRDefault="00184F1E" w:rsidP="0091453A">
      <w:pPr>
        <w:pStyle w:val="ListBullet"/>
        <w:tabs>
          <w:tab w:val="clear" w:pos="284"/>
        </w:tabs>
        <w:spacing w:before="120"/>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t>Expenditure</w:t>
      </w:r>
    </w:p>
    <w:p w14:paraId="3EC96D91" w14:textId="23C1559F" w:rsidR="009020CC" w:rsidRDefault="009020CC" w:rsidP="009020CC">
      <w:r w:rsidRPr="00B73F3B">
        <w:t xml:space="preserve">Australia provided a total of $22.4 million in </w:t>
      </w:r>
      <w:r w:rsidR="0035439D" w:rsidRPr="00B73F3B">
        <w:t xml:space="preserve">ODA </w:t>
      </w:r>
      <w:r w:rsidRPr="00B73F3B">
        <w:t>to Nauru in 2016-17</w:t>
      </w:r>
      <w:r w:rsidR="00C038DD" w:rsidRPr="00B73F3B">
        <w:t xml:space="preserve"> (see Table 1)</w:t>
      </w:r>
      <w:r w:rsidR="00604AAE" w:rsidRPr="00B73F3B">
        <w:t xml:space="preserve">. </w:t>
      </w:r>
      <w:r w:rsidR="001C208F" w:rsidRPr="00B73F3B">
        <w:t xml:space="preserve"> </w:t>
      </w:r>
      <w:r w:rsidR="00604AAE" w:rsidRPr="00B73F3B">
        <w:t xml:space="preserve">Approximately </w:t>
      </w:r>
      <w:r w:rsidR="001C208F" w:rsidRPr="00B73F3B">
        <w:t xml:space="preserve">         </w:t>
      </w:r>
      <w:r w:rsidR="00C65C08" w:rsidRPr="00B73F3B">
        <w:t>$</w:t>
      </w:r>
      <w:r w:rsidR="00FF31C9" w:rsidRPr="00B73F3B">
        <w:t>5</w:t>
      </w:r>
      <w:r w:rsidR="00C65C08" w:rsidRPr="00B73F3B">
        <w:t xml:space="preserve">.8 </w:t>
      </w:r>
      <w:r w:rsidRPr="00B73F3B">
        <w:t xml:space="preserve">million in bilateral assistance was re-programmed </w:t>
      </w:r>
      <w:r w:rsidR="008A33E9" w:rsidRPr="00B73F3B">
        <w:t>late in</w:t>
      </w:r>
      <w:r w:rsidRPr="00B73F3B">
        <w:t xml:space="preserve"> the year due to delay </w:t>
      </w:r>
      <w:r w:rsidR="008A33E9" w:rsidRPr="00B73F3B">
        <w:t>of</w:t>
      </w:r>
      <w:r w:rsidRPr="00B73F3B">
        <w:t xml:space="preserve"> </w:t>
      </w:r>
      <w:r w:rsidR="00604AAE" w:rsidRPr="00B73F3B">
        <w:t xml:space="preserve">Nauru’s </w:t>
      </w:r>
      <w:r w:rsidRPr="00B73F3B">
        <w:t>port redevelopment</w:t>
      </w:r>
      <w:r w:rsidR="004F0741" w:rsidRPr="00B73F3B">
        <w:t xml:space="preserve"> </w:t>
      </w:r>
      <w:r w:rsidR="001C208F" w:rsidRPr="00B73F3B">
        <w:t>program</w:t>
      </w:r>
      <w:r w:rsidRPr="00B73F3B">
        <w:t xml:space="preserve"> </w:t>
      </w:r>
      <w:r w:rsidR="008A33E9" w:rsidRPr="00B73F3B">
        <w:t xml:space="preserve">and slow expenditure in the health </w:t>
      </w:r>
      <w:r w:rsidR="00C65C08" w:rsidRPr="00B73F3B">
        <w:t xml:space="preserve">and education </w:t>
      </w:r>
      <w:r w:rsidR="008A33E9" w:rsidRPr="00B73F3B">
        <w:t>sector</w:t>
      </w:r>
      <w:r w:rsidR="00C65C08" w:rsidRPr="00B73F3B">
        <w:t xml:space="preserve">s. </w:t>
      </w:r>
      <w:r w:rsidR="00CF3A7A" w:rsidRPr="00B73F3B">
        <w:t xml:space="preserve">Of this </w:t>
      </w:r>
      <w:r w:rsidR="00C65C08" w:rsidRPr="00B73F3B">
        <w:t xml:space="preserve">$3.3 </w:t>
      </w:r>
      <w:r w:rsidRPr="00B73F3B">
        <w:t>million was re-programmed</w:t>
      </w:r>
      <w:r w:rsidR="004F0741" w:rsidRPr="00B73F3B">
        <w:t xml:space="preserve"> towards </w:t>
      </w:r>
      <w:r w:rsidR="00C65C08" w:rsidRPr="00B73F3B">
        <w:t xml:space="preserve">funding </w:t>
      </w:r>
      <w:r w:rsidR="004F0741" w:rsidRPr="00B73F3B">
        <w:t>reform of the Nauru Port Authority</w:t>
      </w:r>
      <w:r w:rsidR="00C65C08" w:rsidRPr="00B73F3B">
        <w:t xml:space="preserve"> and an additional payment of $2.5 million </w:t>
      </w:r>
      <w:r w:rsidR="00C65C08" w:rsidRPr="00B73F3B">
        <w:lastRenderedPageBreak/>
        <w:t xml:space="preserve">was made to the </w:t>
      </w:r>
      <w:r w:rsidR="001C208F" w:rsidRPr="00B73F3B">
        <w:t>Intergenerational</w:t>
      </w:r>
      <w:r w:rsidR="00C65C08" w:rsidRPr="00B73F3B">
        <w:t xml:space="preserve"> Trust Fund</w:t>
      </w:r>
      <w:r w:rsidR="002A328A">
        <w:t xml:space="preserve"> for the People of Nauru (Nauru Trust Fund)</w:t>
      </w:r>
      <w:r w:rsidR="00DF7F8D" w:rsidRPr="00B73F3B">
        <w:t>.</w:t>
      </w:r>
      <w:r w:rsidR="003E7BBD">
        <w:rPr>
          <w:color w:val="auto"/>
        </w:rPr>
        <w:t xml:space="preserve"> </w:t>
      </w:r>
      <w:r w:rsidR="00234453">
        <w:rPr>
          <w:color w:val="auto"/>
        </w:rPr>
        <w:br/>
      </w:r>
    </w:p>
    <w:p w14:paraId="6DC38D10" w14:textId="78B06B88" w:rsidR="00184F1E" w:rsidRDefault="00184F1E" w:rsidP="00184F1E">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9B499A">
        <w:rPr>
          <w:b/>
          <w:noProof/>
          <w:sz w:val="24"/>
        </w:rPr>
        <w:t>1</w:t>
      </w:r>
      <w:r w:rsidRPr="008C2F58">
        <w:rPr>
          <w:b/>
          <w:noProof/>
          <w:sz w:val="24"/>
        </w:rPr>
        <w:fldChar w:fldCharType="end"/>
      </w:r>
      <w:r w:rsidRPr="008C2F58">
        <w:rPr>
          <w:b/>
          <w:sz w:val="24"/>
        </w:rPr>
        <w:t xml:space="preserve"> </w:t>
      </w:r>
      <w:r w:rsidR="001C208F">
        <w:rPr>
          <w:b/>
          <w:sz w:val="24"/>
        </w:rPr>
        <w:t xml:space="preserve"> </w:t>
      </w:r>
      <w:r w:rsidRPr="008C2F58">
        <w:rPr>
          <w:b/>
          <w:sz w:val="24"/>
        </w:rPr>
        <w:t>Total ODA Expenditure</w:t>
      </w:r>
      <w:r w:rsidR="004230AC">
        <w:rPr>
          <w:b/>
          <w:sz w:val="24"/>
        </w:rPr>
        <w:t xml:space="preserve"> to Nauru</w:t>
      </w:r>
      <w:r w:rsidR="00C20ED5">
        <w:rPr>
          <w:b/>
          <w:sz w:val="24"/>
        </w:rPr>
        <w:t xml:space="preserve"> in</w:t>
      </w:r>
      <w:r w:rsidR="001C208F">
        <w:rPr>
          <w:b/>
          <w:sz w:val="24"/>
        </w:rPr>
        <w:t xml:space="preserve"> FY</w:t>
      </w:r>
      <w:r w:rsidR="00C20ED5">
        <w:rPr>
          <w:b/>
          <w:sz w:val="24"/>
        </w:rPr>
        <w:t xml:space="preserve"> </w:t>
      </w:r>
      <w:r w:rsidRPr="008C2F58">
        <w:rPr>
          <w:b/>
          <w:sz w:val="24"/>
        </w:rPr>
        <w:t>201</w:t>
      </w:r>
      <w:r>
        <w:rPr>
          <w:b/>
          <w:sz w:val="24"/>
        </w:rPr>
        <w:t>6</w:t>
      </w:r>
      <w:r w:rsidRPr="008C2F58">
        <w:rPr>
          <w:b/>
          <w:sz w:val="24"/>
        </w:rPr>
        <w:t>-1</w:t>
      </w:r>
      <w:r>
        <w:rPr>
          <w:b/>
          <w:sz w:val="24"/>
        </w:rPr>
        <w:t>7</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1423"/>
        <w:gridCol w:w="1417"/>
      </w:tblGrid>
      <w:tr w:rsidR="00CD1652" w14:paraId="6B915C43" w14:textId="77777777" w:rsidTr="00CD1652">
        <w:tc>
          <w:tcPr>
            <w:tcW w:w="6374" w:type="dxa"/>
          </w:tcPr>
          <w:p w14:paraId="020786D1" w14:textId="4159FC97" w:rsidR="00CD1652" w:rsidRPr="001C208F" w:rsidRDefault="001C208F" w:rsidP="006232D1">
            <w:pPr>
              <w:spacing w:after="0"/>
              <w:rPr>
                <w:b/>
              </w:rPr>
            </w:pPr>
            <w:r>
              <w:rPr>
                <w:b/>
              </w:rPr>
              <w:t>Objective</w:t>
            </w:r>
            <w:r w:rsidR="00234453">
              <w:rPr>
                <w:b/>
              </w:rPr>
              <w:t>s</w:t>
            </w:r>
          </w:p>
        </w:tc>
        <w:tc>
          <w:tcPr>
            <w:tcW w:w="1423" w:type="dxa"/>
          </w:tcPr>
          <w:p w14:paraId="75CBB7E5" w14:textId="77777777" w:rsidR="00CD1652" w:rsidRPr="000C77F6" w:rsidRDefault="00CD1652" w:rsidP="008A33E9">
            <w:pPr>
              <w:rPr>
                <w:b/>
                <w:sz w:val="24"/>
              </w:rPr>
            </w:pPr>
            <w:r w:rsidRPr="001C208F">
              <w:rPr>
                <w:b/>
                <w:sz w:val="20"/>
              </w:rPr>
              <w:t>A$ million</w:t>
            </w:r>
          </w:p>
        </w:tc>
        <w:tc>
          <w:tcPr>
            <w:tcW w:w="1417" w:type="dxa"/>
          </w:tcPr>
          <w:p w14:paraId="235AC056" w14:textId="77777777" w:rsidR="00CD1652" w:rsidRPr="000C77F6" w:rsidRDefault="00CD1652" w:rsidP="009020CC">
            <w:pPr>
              <w:jc w:val="center"/>
              <w:rPr>
                <w:b/>
                <w:sz w:val="24"/>
              </w:rPr>
            </w:pPr>
            <w:r w:rsidRPr="001C208F">
              <w:rPr>
                <w:b/>
                <w:sz w:val="20"/>
              </w:rPr>
              <w:t>% of total ODA</w:t>
            </w:r>
          </w:p>
        </w:tc>
      </w:tr>
      <w:tr w:rsidR="009020CC" w14:paraId="495E6439" w14:textId="77777777" w:rsidTr="00CD1652">
        <w:tc>
          <w:tcPr>
            <w:tcW w:w="6374" w:type="dxa"/>
          </w:tcPr>
          <w:p w14:paraId="428D58F2" w14:textId="71F55B45" w:rsidR="009020CC" w:rsidRPr="003222ED" w:rsidRDefault="003222ED" w:rsidP="00937162">
            <w:pPr>
              <w:rPr>
                <w:b/>
              </w:rPr>
            </w:pPr>
            <w:r w:rsidRPr="003222ED">
              <w:t xml:space="preserve">1 </w:t>
            </w:r>
            <w:r w:rsidR="008A33E9">
              <w:t xml:space="preserve"> </w:t>
            </w:r>
            <w:r w:rsidRPr="003222ED">
              <w:t xml:space="preserve"> </w:t>
            </w:r>
            <w:r w:rsidR="009020CC" w:rsidRPr="003222ED">
              <w:t xml:space="preserve">Public Sector </w:t>
            </w:r>
            <w:r w:rsidR="002373FC">
              <w:t xml:space="preserve">Management  </w:t>
            </w:r>
            <w:r w:rsidR="008A33E9" w:rsidRPr="008A33E9">
              <w:rPr>
                <w:sz w:val="20"/>
                <w:szCs w:val="20"/>
              </w:rPr>
              <w:t>(including Nauru Trust Fund)</w:t>
            </w:r>
          </w:p>
        </w:tc>
        <w:tc>
          <w:tcPr>
            <w:tcW w:w="1423" w:type="dxa"/>
          </w:tcPr>
          <w:p w14:paraId="439A1740" w14:textId="294FE234" w:rsidR="009020CC" w:rsidRDefault="009020CC" w:rsidP="006232D1">
            <w:pPr>
              <w:jc w:val="center"/>
              <w:rPr>
                <w:b/>
                <w:sz w:val="24"/>
              </w:rPr>
            </w:pPr>
            <w:r w:rsidRPr="00A716D8">
              <w:rPr>
                <w:sz w:val="24"/>
              </w:rPr>
              <w:t>6.1</w:t>
            </w:r>
          </w:p>
        </w:tc>
        <w:tc>
          <w:tcPr>
            <w:tcW w:w="1417" w:type="dxa"/>
          </w:tcPr>
          <w:p w14:paraId="097ADC34" w14:textId="68D6FED9" w:rsidR="009020CC" w:rsidRDefault="00937162" w:rsidP="006232D1">
            <w:pPr>
              <w:jc w:val="center"/>
              <w:rPr>
                <w:b/>
                <w:sz w:val="24"/>
              </w:rPr>
            </w:pPr>
            <w:r>
              <w:rPr>
                <w:sz w:val="24"/>
              </w:rPr>
              <w:t>27</w:t>
            </w:r>
          </w:p>
        </w:tc>
      </w:tr>
      <w:tr w:rsidR="009020CC" w14:paraId="2E6FFB2F" w14:textId="77777777" w:rsidTr="00CD1652">
        <w:tc>
          <w:tcPr>
            <w:tcW w:w="6374" w:type="dxa"/>
          </w:tcPr>
          <w:p w14:paraId="4537B46D" w14:textId="1AFBB9A7" w:rsidR="009020CC" w:rsidRPr="003222ED" w:rsidRDefault="003222ED" w:rsidP="001C208F">
            <w:pPr>
              <w:rPr>
                <w:b/>
              </w:rPr>
            </w:pPr>
            <w:r w:rsidRPr="003222ED">
              <w:t xml:space="preserve">2 </w:t>
            </w:r>
            <w:r w:rsidR="008A33E9">
              <w:t xml:space="preserve"> </w:t>
            </w:r>
            <w:r w:rsidRPr="003222ED">
              <w:t xml:space="preserve"> </w:t>
            </w:r>
            <w:r w:rsidR="00937162">
              <w:t xml:space="preserve">Infrastructure </w:t>
            </w:r>
          </w:p>
        </w:tc>
        <w:tc>
          <w:tcPr>
            <w:tcW w:w="1423" w:type="dxa"/>
          </w:tcPr>
          <w:p w14:paraId="05118BA6" w14:textId="78A5A27B" w:rsidR="009020CC" w:rsidRDefault="009020CC" w:rsidP="007E6AAB">
            <w:pPr>
              <w:jc w:val="center"/>
              <w:rPr>
                <w:b/>
                <w:sz w:val="24"/>
              </w:rPr>
            </w:pPr>
            <w:r w:rsidRPr="00A716D8">
              <w:rPr>
                <w:sz w:val="24"/>
              </w:rPr>
              <w:t>5.6</w:t>
            </w:r>
          </w:p>
        </w:tc>
        <w:tc>
          <w:tcPr>
            <w:tcW w:w="1417" w:type="dxa"/>
          </w:tcPr>
          <w:p w14:paraId="0D270ED0" w14:textId="2353A54F" w:rsidR="009020CC" w:rsidRDefault="00436395" w:rsidP="007E6AAB">
            <w:pPr>
              <w:jc w:val="center"/>
              <w:rPr>
                <w:b/>
                <w:sz w:val="24"/>
              </w:rPr>
            </w:pPr>
            <w:r>
              <w:rPr>
                <w:sz w:val="24"/>
              </w:rPr>
              <w:t>25</w:t>
            </w:r>
          </w:p>
        </w:tc>
      </w:tr>
      <w:tr w:rsidR="009020CC" w14:paraId="4B175E1F" w14:textId="77777777" w:rsidTr="00CD1652">
        <w:tc>
          <w:tcPr>
            <w:tcW w:w="6374" w:type="dxa"/>
          </w:tcPr>
          <w:p w14:paraId="190407B4" w14:textId="4B7B2115" w:rsidR="009020CC" w:rsidRPr="003222ED" w:rsidRDefault="003222ED" w:rsidP="001C208F">
            <w:pPr>
              <w:rPr>
                <w:b/>
              </w:rPr>
            </w:pPr>
            <w:r w:rsidRPr="003222ED">
              <w:t>3</w:t>
            </w:r>
            <w:r w:rsidR="00937162">
              <w:t>.a</w:t>
            </w:r>
            <w:r w:rsidRPr="003222ED">
              <w:t xml:space="preserve">  </w:t>
            </w:r>
            <w:r w:rsidR="002373FC">
              <w:t>Human d</w:t>
            </w:r>
            <w:r w:rsidR="003E7BBD">
              <w:t>evelopment:</w:t>
            </w:r>
            <w:r w:rsidR="003E7BBD" w:rsidRPr="003222ED">
              <w:t xml:space="preserve"> </w:t>
            </w:r>
            <w:r w:rsidR="009020CC" w:rsidRPr="003222ED">
              <w:t>Education</w:t>
            </w:r>
          </w:p>
        </w:tc>
        <w:tc>
          <w:tcPr>
            <w:tcW w:w="1423" w:type="dxa"/>
          </w:tcPr>
          <w:p w14:paraId="4AA83EC2" w14:textId="05572E5D" w:rsidR="009020CC" w:rsidRDefault="009020CC" w:rsidP="007E6AAB">
            <w:pPr>
              <w:jc w:val="center"/>
              <w:rPr>
                <w:b/>
                <w:sz w:val="24"/>
              </w:rPr>
            </w:pPr>
            <w:r w:rsidRPr="00A716D8">
              <w:rPr>
                <w:sz w:val="24"/>
              </w:rPr>
              <w:t>3.2</w:t>
            </w:r>
          </w:p>
        </w:tc>
        <w:tc>
          <w:tcPr>
            <w:tcW w:w="1417" w:type="dxa"/>
          </w:tcPr>
          <w:p w14:paraId="337C856C" w14:textId="32728271" w:rsidR="009020CC" w:rsidRDefault="00436395" w:rsidP="007E6AAB">
            <w:pPr>
              <w:jc w:val="center"/>
              <w:rPr>
                <w:b/>
                <w:sz w:val="24"/>
              </w:rPr>
            </w:pPr>
            <w:r>
              <w:rPr>
                <w:sz w:val="24"/>
              </w:rPr>
              <w:t>14</w:t>
            </w:r>
          </w:p>
        </w:tc>
      </w:tr>
      <w:tr w:rsidR="009020CC" w14:paraId="4D6FEB23" w14:textId="77777777" w:rsidTr="00CD1652">
        <w:tc>
          <w:tcPr>
            <w:tcW w:w="6374" w:type="dxa"/>
          </w:tcPr>
          <w:p w14:paraId="5A829597" w14:textId="18F6B499" w:rsidR="009020CC" w:rsidRPr="003222ED" w:rsidRDefault="003222ED" w:rsidP="001C208F">
            <w:pPr>
              <w:rPr>
                <w:b/>
              </w:rPr>
            </w:pPr>
            <w:r w:rsidRPr="003222ED">
              <w:t>3</w:t>
            </w:r>
            <w:r w:rsidR="00937162">
              <w:t>.b</w:t>
            </w:r>
            <w:r w:rsidR="008A33E9">
              <w:t xml:space="preserve"> </w:t>
            </w:r>
            <w:r w:rsidRPr="003222ED">
              <w:t xml:space="preserve"> </w:t>
            </w:r>
            <w:r w:rsidR="002373FC">
              <w:t>Human d</w:t>
            </w:r>
            <w:r w:rsidR="003E7BBD">
              <w:t xml:space="preserve">evelopment: </w:t>
            </w:r>
            <w:r w:rsidR="009020CC" w:rsidRPr="003222ED">
              <w:t>Health</w:t>
            </w:r>
          </w:p>
        </w:tc>
        <w:tc>
          <w:tcPr>
            <w:tcW w:w="1423" w:type="dxa"/>
          </w:tcPr>
          <w:p w14:paraId="5EB1A2E3" w14:textId="7C9A6BFD" w:rsidR="009020CC" w:rsidRDefault="009020CC" w:rsidP="007E6AAB">
            <w:pPr>
              <w:jc w:val="center"/>
              <w:rPr>
                <w:b/>
                <w:sz w:val="24"/>
              </w:rPr>
            </w:pPr>
            <w:r w:rsidRPr="00A716D8">
              <w:rPr>
                <w:sz w:val="24"/>
              </w:rPr>
              <w:t>1.0</w:t>
            </w:r>
          </w:p>
        </w:tc>
        <w:tc>
          <w:tcPr>
            <w:tcW w:w="1417" w:type="dxa"/>
          </w:tcPr>
          <w:p w14:paraId="5FC2C0EB" w14:textId="0040084B" w:rsidR="009020CC" w:rsidRDefault="00436395" w:rsidP="007E6AAB">
            <w:pPr>
              <w:jc w:val="center"/>
              <w:rPr>
                <w:b/>
                <w:sz w:val="24"/>
              </w:rPr>
            </w:pPr>
            <w:r>
              <w:rPr>
                <w:sz w:val="24"/>
              </w:rPr>
              <w:t>4</w:t>
            </w:r>
          </w:p>
        </w:tc>
      </w:tr>
      <w:tr w:rsidR="009020CC" w14:paraId="1CEDEB75" w14:textId="77777777" w:rsidTr="00CD1652">
        <w:tc>
          <w:tcPr>
            <w:tcW w:w="6374" w:type="dxa"/>
          </w:tcPr>
          <w:p w14:paraId="599C698B" w14:textId="1F7F8655" w:rsidR="009020CC" w:rsidRPr="003222ED" w:rsidRDefault="009020CC" w:rsidP="007E6AAB">
            <w:pPr>
              <w:spacing w:after="0"/>
              <w:rPr>
                <w:b/>
              </w:rPr>
            </w:pPr>
            <w:r w:rsidRPr="003222ED">
              <w:t xml:space="preserve">Program </w:t>
            </w:r>
            <w:r w:rsidR="00937162">
              <w:t>m</w:t>
            </w:r>
            <w:r w:rsidRPr="003222ED">
              <w:t xml:space="preserve">anagement, </w:t>
            </w:r>
            <w:r w:rsidR="00937162">
              <w:t>coordination and e</w:t>
            </w:r>
            <w:r w:rsidRPr="003222ED">
              <w:t>valuation</w:t>
            </w:r>
          </w:p>
        </w:tc>
        <w:tc>
          <w:tcPr>
            <w:tcW w:w="1423" w:type="dxa"/>
          </w:tcPr>
          <w:p w14:paraId="6089CC71" w14:textId="4B2DD0AE" w:rsidR="009020CC" w:rsidRDefault="009020CC" w:rsidP="007E6AAB">
            <w:pPr>
              <w:jc w:val="center"/>
              <w:rPr>
                <w:b/>
                <w:sz w:val="24"/>
              </w:rPr>
            </w:pPr>
            <w:r w:rsidRPr="00A716D8">
              <w:rPr>
                <w:sz w:val="24"/>
              </w:rPr>
              <w:t>3.4</w:t>
            </w:r>
          </w:p>
        </w:tc>
        <w:tc>
          <w:tcPr>
            <w:tcW w:w="1417" w:type="dxa"/>
          </w:tcPr>
          <w:p w14:paraId="2174E7D0" w14:textId="6AE6AA8C" w:rsidR="009020CC" w:rsidRDefault="00937162" w:rsidP="007E6AAB">
            <w:pPr>
              <w:jc w:val="center"/>
              <w:rPr>
                <w:b/>
                <w:sz w:val="24"/>
              </w:rPr>
            </w:pPr>
            <w:r>
              <w:rPr>
                <w:sz w:val="24"/>
              </w:rPr>
              <w:t>15</w:t>
            </w:r>
          </w:p>
        </w:tc>
      </w:tr>
      <w:tr w:rsidR="009020CC" w14:paraId="2D3A5D4E" w14:textId="77777777" w:rsidTr="00CD1652">
        <w:tc>
          <w:tcPr>
            <w:tcW w:w="6374" w:type="dxa"/>
          </w:tcPr>
          <w:p w14:paraId="6E6EB99F" w14:textId="77777777" w:rsidR="009020CC" w:rsidRPr="003222ED" w:rsidRDefault="009020CC" w:rsidP="00E6695C">
            <w:pPr>
              <w:rPr>
                <w:b/>
              </w:rPr>
            </w:pPr>
            <w:r w:rsidRPr="003222ED">
              <w:rPr>
                <w:b/>
              </w:rPr>
              <w:t>Sub-Total Bilateral</w:t>
            </w:r>
          </w:p>
        </w:tc>
        <w:tc>
          <w:tcPr>
            <w:tcW w:w="1423" w:type="dxa"/>
          </w:tcPr>
          <w:p w14:paraId="28D40BF7" w14:textId="34233B7A" w:rsidR="009020CC" w:rsidRDefault="009020CC" w:rsidP="005403BA">
            <w:pPr>
              <w:jc w:val="center"/>
              <w:rPr>
                <w:b/>
                <w:sz w:val="24"/>
              </w:rPr>
            </w:pPr>
            <w:r>
              <w:rPr>
                <w:b/>
                <w:sz w:val="24"/>
              </w:rPr>
              <w:t>19.2</w:t>
            </w:r>
          </w:p>
        </w:tc>
        <w:tc>
          <w:tcPr>
            <w:tcW w:w="1417" w:type="dxa"/>
          </w:tcPr>
          <w:p w14:paraId="69DBB84D" w14:textId="443C3BBF" w:rsidR="009020CC" w:rsidRDefault="00937162" w:rsidP="005403BA">
            <w:pPr>
              <w:jc w:val="center"/>
              <w:rPr>
                <w:b/>
                <w:sz w:val="24"/>
              </w:rPr>
            </w:pPr>
            <w:r>
              <w:rPr>
                <w:b/>
                <w:sz w:val="24"/>
              </w:rPr>
              <w:t>86</w:t>
            </w:r>
          </w:p>
        </w:tc>
      </w:tr>
      <w:tr w:rsidR="009020CC" w14:paraId="6FC7E173" w14:textId="77777777" w:rsidTr="00CD1652">
        <w:tc>
          <w:tcPr>
            <w:tcW w:w="6374" w:type="dxa"/>
          </w:tcPr>
          <w:p w14:paraId="331A526D" w14:textId="77777777" w:rsidR="009020CC" w:rsidRPr="003222ED" w:rsidRDefault="009020CC" w:rsidP="007E6AAB">
            <w:pPr>
              <w:spacing w:before="60"/>
            </w:pPr>
            <w:r w:rsidRPr="003222ED">
              <w:t>Regional</w:t>
            </w:r>
          </w:p>
        </w:tc>
        <w:tc>
          <w:tcPr>
            <w:tcW w:w="1423" w:type="dxa"/>
          </w:tcPr>
          <w:p w14:paraId="13D8F851" w14:textId="37AB8225" w:rsidR="009020CC" w:rsidRPr="003222ED" w:rsidRDefault="009020CC" w:rsidP="007E6AAB">
            <w:pPr>
              <w:spacing w:before="60"/>
              <w:jc w:val="center"/>
              <w:rPr>
                <w:sz w:val="24"/>
              </w:rPr>
            </w:pPr>
            <w:r w:rsidRPr="003222ED">
              <w:rPr>
                <w:sz w:val="24"/>
              </w:rPr>
              <w:t>2.1</w:t>
            </w:r>
          </w:p>
        </w:tc>
        <w:tc>
          <w:tcPr>
            <w:tcW w:w="1417" w:type="dxa"/>
          </w:tcPr>
          <w:p w14:paraId="05BAF14E" w14:textId="3ACEAA47" w:rsidR="009020CC" w:rsidRPr="003222ED" w:rsidRDefault="00937162" w:rsidP="007E6AAB">
            <w:pPr>
              <w:spacing w:before="60"/>
              <w:jc w:val="center"/>
              <w:rPr>
                <w:sz w:val="24"/>
              </w:rPr>
            </w:pPr>
            <w:r>
              <w:rPr>
                <w:sz w:val="24"/>
              </w:rPr>
              <w:t>9</w:t>
            </w:r>
          </w:p>
        </w:tc>
      </w:tr>
      <w:tr w:rsidR="009020CC" w14:paraId="75ED8BC1" w14:textId="77777777" w:rsidTr="00CD1652">
        <w:tc>
          <w:tcPr>
            <w:tcW w:w="6374" w:type="dxa"/>
          </w:tcPr>
          <w:p w14:paraId="6220E7BF" w14:textId="2567299B" w:rsidR="009020CC" w:rsidRPr="003222ED" w:rsidRDefault="00937162" w:rsidP="007E6AAB">
            <w:pPr>
              <w:spacing w:before="0"/>
            </w:pPr>
            <w:r>
              <w:t>Other g</w:t>
            </w:r>
            <w:r w:rsidR="009020CC" w:rsidRPr="003222ED">
              <w:t xml:space="preserve">overnment </w:t>
            </w:r>
            <w:r>
              <w:t>d</w:t>
            </w:r>
            <w:r w:rsidR="009020CC" w:rsidRPr="003222ED">
              <w:t>epartments</w:t>
            </w:r>
          </w:p>
        </w:tc>
        <w:tc>
          <w:tcPr>
            <w:tcW w:w="1423" w:type="dxa"/>
          </w:tcPr>
          <w:p w14:paraId="236764AD" w14:textId="49ACA49A" w:rsidR="009020CC" w:rsidRPr="003222ED" w:rsidRDefault="009020CC" w:rsidP="007E6AAB">
            <w:pPr>
              <w:spacing w:before="60"/>
              <w:jc w:val="center"/>
              <w:rPr>
                <w:sz w:val="24"/>
              </w:rPr>
            </w:pPr>
            <w:r w:rsidRPr="003222ED">
              <w:rPr>
                <w:sz w:val="24"/>
              </w:rPr>
              <w:t>1.1</w:t>
            </w:r>
          </w:p>
        </w:tc>
        <w:tc>
          <w:tcPr>
            <w:tcW w:w="1417" w:type="dxa"/>
          </w:tcPr>
          <w:p w14:paraId="508E15F7" w14:textId="6CE08136" w:rsidR="009020CC" w:rsidRPr="003222ED" w:rsidRDefault="00937162" w:rsidP="007E6AAB">
            <w:pPr>
              <w:spacing w:before="60"/>
              <w:jc w:val="center"/>
              <w:rPr>
                <w:sz w:val="24"/>
              </w:rPr>
            </w:pPr>
            <w:r>
              <w:rPr>
                <w:sz w:val="24"/>
              </w:rPr>
              <w:t>5</w:t>
            </w:r>
          </w:p>
        </w:tc>
      </w:tr>
      <w:tr w:rsidR="009020CC" w14:paraId="2B86469F" w14:textId="77777777" w:rsidTr="00CD1652">
        <w:tc>
          <w:tcPr>
            <w:tcW w:w="6374" w:type="dxa"/>
          </w:tcPr>
          <w:p w14:paraId="351761F3" w14:textId="77777777" w:rsidR="009020CC" w:rsidRPr="003222ED" w:rsidRDefault="009020CC" w:rsidP="006232D1">
            <w:pPr>
              <w:spacing w:before="0"/>
              <w:rPr>
                <w:b/>
              </w:rPr>
            </w:pPr>
            <w:r w:rsidRPr="003222ED">
              <w:rPr>
                <w:b/>
              </w:rPr>
              <w:t>Total ODA Expenditure</w:t>
            </w:r>
          </w:p>
        </w:tc>
        <w:tc>
          <w:tcPr>
            <w:tcW w:w="1423" w:type="dxa"/>
          </w:tcPr>
          <w:p w14:paraId="5D158469" w14:textId="77D4C4BC" w:rsidR="009020CC" w:rsidRDefault="009020CC" w:rsidP="005403BA">
            <w:pPr>
              <w:spacing w:before="60"/>
              <w:jc w:val="center"/>
              <w:rPr>
                <w:b/>
                <w:sz w:val="24"/>
              </w:rPr>
            </w:pPr>
            <w:r>
              <w:rPr>
                <w:b/>
                <w:sz w:val="24"/>
              </w:rPr>
              <w:t>22.4</w:t>
            </w:r>
          </w:p>
        </w:tc>
        <w:tc>
          <w:tcPr>
            <w:tcW w:w="1417" w:type="dxa"/>
          </w:tcPr>
          <w:p w14:paraId="1D85A7E2" w14:textId="61509712" w:rsidR="009020CC" w:rsidRDefault="00937162" w:rsidP="005403BA">
            <w:pPr>
              <w:spacing w:before="60"/>
              <w:jc w:val="center"/>
              <w:rPr>
                <w:b/>
                <w:sz w:val="24"/>
              </w:rPr>
            </w:pPr>
            <w:r>
              <w:rPr>
                <w:b/>
                <w:sz w:val="24"/>
              </w:rPr>
              <w:t>100</w:t>
            </w:r>
          </w:p>
        </w:tc>
      </w:tr>
    </w:tbl>
    <w:p w14:paraId="594FFA1B" w14:textId="77777777" w:rsidR="005B5769" w:rsidRPr="00A3734B" w:rsidRDefault="005B5769" w:rsidP="002A4A0E">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sidRPr="00A3734B">
        <w:rPr>
          <w:rFonts w:asciiTheme="majorHAnsi" w:eastAsiaTheme="majorEastAsia" w:hAnsiTheme="majorHAnsi" w:cstheme="majorBidi"/>
          <w:caps/>
          <w:color w:val="495965" w:themeColor="text2"/>
          <w:sz w:val="38"/>
          <w:szCs w:val="26"/>
          <w:lang w:val="en-GB" w:eastAsia="en-US"/>
        </w:rPr>
        <w:t>Performance against Strategic Objectives</w:t>
      </w:r>
    </w:p>
    <w:tbl>
      <w:tblPr>
        <w:tblStyle w:val="APPR"/>
        <w:tblW w:w="5000" w:type="pct"/>
        <w:tblLook w:val="0000" w:firstRow="0" w:lastRow="0" w:firstColumn="0" w:lastColumn="0" w:noHBand="0" w:noVBand="0"/>
      </w:tblPr>
      <w:tblGrid>
        <w:gridCol w:w="5387"/>
        <w:gridCol w:w="1588"/>
        <w:gridCol w:w="430"/>
        <w:gridCol w:w="1526"/>
        <w:gridCol w:w="707"/>
      </w:tblGrid>
      <w:tr w:rsidR="002A4A0E" w:rsidRPr="00812509" w14:paraId="2771F5A6" w14:textId="77777777" w:rsidTr="00714D1F">
        <w:trPr>
          <w:cnfStyle w:val="000000010000" w:firstRow="0" w:lastRow="0" w:firstColumn="0" w:lastColumn="0" w:oddVBand="0" w:evenVBand="0" w:oddHBand="0" w:evenHBand="1" w:firstRowFirstColumn="0" w:firstRowLastColumn="0" w:lastRowFirstColumn="0" w:lastRowLastColumn="0"/>
          <w:trHeight w:val="651"/>
        </w:trPr>
        <w:tc>
          <w:tcPr>
            <w:tcW w:w="5345" w:type="dxa"/>
          </w:tcPr>
          <w:p w14:paraId="6C3ACE6C" w14:textId="77777777" w:rsidR="002A4A0E" w:rsidRPr="00812509" w:rsidRDefault="002A4A0E" w:rsidP="00E65105">
            <w:pPr>
              <w:pStyle w:val="TableTextColumnHeading"/>
            </w:pPr>
            <w:r w:rsidRPr="00812509">
              <w:rPr>
                <w:noProof/>
              </w:rPr>
              <w:drawing>
                <wp:anchor distT="0" distB="0" distL="114300" distR="114300" simplePos="0" relativeHeight="251674624" behindDoc="0" locked="0" layoutInCell="1" allowOverlap="1" wp14:anchorId="6C83642C" wp14:editId="07A6D21E">
                  <wp:simplePos x="0" y="0"/>
                  <wp:positionH relativeFrom="column">
                    <wp:posOffset>0</wp:posOffset>
                  </wp:positionH>
                  <wp:positionV relativeFrom="paragraph">
                    <wp:posOffset>0</wp:posOffset>
                  </wp:positionV>
                  <wp:extent cx="1857375" cy="228600"/>
                  <wp:effectExtent l="0" t="0" r="9525" b="0"/>
                  <wp:wrapNone/>
                  <wp:docPr id="20" name="Picture 2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t>Objective</w:t>
            </w:r>
          </w:p>
        </w:tc>
        <w:tc>
          <w:tcPr>
            <w:tcW w:w="1560" w:type="dxa"/>
          </w:tcPr>
          <w:p w14:paraId="270E05AA" w14:textId="77777777" w:rsidR="002A4A0E" w:rsidRPr="00812509" w:rsidRDefault="002A4A0E" w:rsidP="00E65105">
            <w:pPr>
              <w:pStyle w:val="TableTextColumnHeading"/>
            </w:pPr>
            <w:r w:rsidRPr="00812509">
              <w:t>Previous Rating</w:t>
            </w:r>
          </w:p>
        </w:tc>
        <w:tc>
          <w:tcPr>
            <w:tcW w:w="402" w:type="dxa"/>
          </w:tcPr>
          <w:p w14:paraId="5FFC0B1F" w14:textId="77777777" w:rsidR="002A4A0E" w:rsidRPr="00812509" w:rsidRDefault="002A4A0E" w:rsidP="00E65105">
            <w:pPr>
              <w:pStyle w:val="TableTextColumnHeading"/>
            </w:pPr>
          </w:p>
        </w:tc>
        <w:tc>
          <w:tcPr>
            <w:tcW w:w="1498" w:type="dxa"/>
          </w:tcPr>
          <w:p w14:paraId="63437F39" w14:textId="77777777" w:rsidR="002A4A0E" w:rsidRPr="00812509" w:rsidRDefault="002A4A0E" w:rsidP="00E65105">
            <w:pPr>
              <w:pStyle w:val="TableTextColumnHeading"/>
            </w:pPr>
            <w:r w:rsidRPr="00812509">
              <w:t>Current Rating</w:t>
            </w:r>
          </w:p>
        </w:tc>
        <w:tc>
          <w:tcPr>
            <w:tcW w:w="665" w:type="dxa"/>
          </w:tcPr>
          <w:p w14:paraId="2F749B2E" w14:textId="77777777" w:rsidR="002A4A0E" w:rsidRPr="002A4A0E" w:rsidRDefault="002A4A0E" w:rsidP="00E65105">
            <w:pPr>
              <w:pStyle w:val="TableTextColumnHeading"/>
            </w:pPr>
          </w:p>
        </w:tc>
      </w:tr>
      <w:tr w:rsidR="005E0D42" w:rsidRPr="00812509" w14:paraId="26A4E3A3" w14:textId="77777777" w:rsidTr="00234453">
        <w:trPr>
          <w:cnfStyle w:val="000000010000" w:firstRow="0" w:lastRow="0" w:firstColumn="0" w:lastColumn="0" w:oddVBand="0" w:evenVBand="0" w:oddHBand="0" w:evenHBand="1" w:firstRowFirstColumn="0" w:firstRowLastColumn="0" w:lastRowFirstColumn="0" w:lastRowLastColumn="0"/>
        </w:trPr>
        <w:tc>
          <w:tcPr>
            <w:tcW w:w="5345" w:type="dxa"/>
          </w:tcPr>
          <w:p w14:paraId="59E9B526" w14:textId="30C9C9C6" w:rsidR="002A4A0E" w:rsidRPr="00812509" w:rsidRDefault="002A4A0E" w:rsidP="00234453">
            <w:pPr>
              <w:pStyle w:val="TableTextEntries"/>
              <w:rPr>
                <w:rFonts w:asciiTheme="minorHAnsi" w:hAnsiTheme="minorHAnsi"/>
              </w:rPr>
            </w:pPr>
            <w:r w:rsidRPr="00812509">
              <w:rPr>
                <w:rFonts w:asciiTheme="minorHAnsi" w:hAnsiTheme="minorHAnsi"/>
              </w:rPr>
              <w:t>Objective 1</w:t>
            </w:r>
            <w:r w:rsidR="005F395C">
              <w:rPr>
                <w:lang w:val="en-US"/>
              </w:rPr>
              <w:t xml:space="preserve">   </w:t>
            </w:r>
            <w:r w:rsidR="005F395C">
              <w:rPr>
                <w:rFonts w:asciiTheme="minorHAnsi" w:hAnsiTheme="minorHAnsi"/>
              </w:rPr>
              <w:t xml:space="preserve">Public </w:t>
            </w:r>
            <w:r w:rsidR="00234453">
              <w:rPr>
                <w:rFonts w:asciiTheme="minorHAnsi" w:hAnsiTheme="minorHAnsi"/>
              </w:rPr>
              <w:t>s</w:t>
            </w:r>
            <w:r w:rsidR="005F395C">
              <w:rPr>
                <w:rFonts w:asciiTheme="minorHAnsi" w:hAnsiTheme="minorHAnsi"/>
              </w:rPr>
              <w:t xml:space="preserve">ector </w:t>
            </w:r>
            <w:r w:rsidR="00234453">
              <w:rPr>
                <w:rFonts w:asciiTheme="minorHAnsi" w:hAnsiTheme="minorHAnsi"/>
              </w:rPr>
              <w:t>m</w:t>
            </w:r>
            <w:r w:rsidR="005F395C">
              <w:rPr>
                <w:rFonts w:asciiTheme="minorHAnsi" w:hAnsiTheme="minorHAnsi"/>
              </w:rPr>
              <w:t>anagement</w:t>
            </w:r>
          </w:p>
        </w:tc>
        <w:tc>
          <w:tcPr>
            <w:tcW w:w="1560" w:type="dxa"/>
            <w:shd w:val="clear" w:color="auto" w:fill="72AF2F"/>
            <w:noWrap/>
          </w:tcPr>
          <w:p w14:paraId="75D75675" w14:textId="77777777" w:rsidR="002A4A0E" w:rsidRPr="00812509" w:rsidRDefault="002A4A0E" w:rsidP="002A4A0E">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402" w:type="dxa"/>
          </w:tcPr>
          <w:p w14:paraId="611CB6AB" w14:textId="77777777" w:rsidR="002A4A0E" w:rsidRPr="00812509" w:rsidRDefault="002A4A0E" w:rsidP="007A6119">
            <w:pPr>
              <w:pStyle w:val="TableTextEntries"/>
              <w:jc w:val="center"/>
              <w:rPr>
                <w:rFonts w:asciiTheme="minorHAnsi" w:hAnsiTheme="minorHAnsi"/>
                <w:color w:val="FFFFFF" w:themeColor="background1"/>
              </w:rPr>
            </w:pPr>
          </w:p>
        </w:tc>
        <w:tc>
          <w:tcPr>
            <w:tcW w:w="1498" w:type="dxa"/>
            <w:shd w:val="clear" w:color="auto" w:fill="7FB64D" w:themeFill="accent3" w:themeFillShade="BF"/>
            <w:noWrap/>
          </w:tcPr>
          <w:p w14:paraId="2598BB2E" w14:textId="77777777" w:rsidR="002A4A0E" w:rsidRPr="00812509" w:rsidRDefault="008A33E9">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665" w:type="dxa"/>
            <w:shd w:val="clear" w:color="auto" w:fill="auto"/>
          </w:tcPr>
          <w:p w14:paraId="6F518D41" w14:textId="77777777" w:rsidR="002A4A0E" w:rsidRPr="002A4A0E" w:rsidRDefault="002A4A0E" w:rsidP="00184F1E">
            <w:pPr>
              <w:pStyle w:val="TableTextEntries"/>
              <w:jc w:val="center"/>
              <w:rPr>
                <w:rFonts w:asciiTheme="minorHAnsi" w:hAnsiTheme="minorHAnsi"/>
                <w:color w:val="FFFFFF" w:themeColor="background1"/>
              </w:rPr>
            </w:pPr>
          </w:p>
        </w:tc>
      </w:tr>
      <w:tr w:rsidR="005E0D42" w:rsidRPr="00812509" w14:paraId="62FA77E9" w14:textId="77777777" w:rsidTr="00234453">
        <w:trPr>
          <w:cnfStyle w:val="000000010000" w:firstRow="0" w:lastRow="0" w:firstColumn="0" w:lastColumn="0" w:oddVBand="0" w:evenVBand="0" w:oddHBand="0" w:evenHBand="1" w:firstRowFirstColumn="0" w:firstRowLastColumn="0" w:lastRowFirstColumn="0" w:lastRowLastColumn="0"/>
        </w:trPr>
        <w:tc>
          <w:tcPr>
            <w:tcW w:w="5345" w:type="dxa"/>
          </w:tcPr>
          <w:p w14:paraId="1EBDA2C8" w14:textId="484E7617" w:rsidR="00417E6D" w:rsidRPr="00812509" w:rsidRDefault="00417E6D" w:rsidP="00234453">
            <w:pPr>
              <w:pStyle w:val="TableTextEntries"/>
              <w:rPr>
                <w:rFonts w:asciiTheme="minorHAnsi" w:hAnsiTheme="minorHAnsi"/>
              </w:rPr>
            </w:pPr>
            <w:r w:rsidRPr="00812509">
              <w:rPr>
                <w:rFonts w:asciiTheme="minorHAnsi" w:hAnsiTheme="minorHAnsi"/>
              </w:rPr>
              <w:t>Objective 2</w:t>
            </w:r>
            <w:r>
              <w:rPr>
                <w:rFonts w:asciiTheme="minorHAnsi" w:hAnsiTheme="minorHAnsi"/>
              </w:rPr>
              <w:t xml:space="preserve"> </w:t>
            </w:r>
            <w:r>
              <w:rPr>
                <w:lang w:val="en-US"/>
              </w:rPr>
              <w:t xml:space="preserve">  </w:t>
            </w:r>
            <w:r>
              <w:rPr>
                <w:rFonts w:asciiTheme="minorHAnsi" w:hAnsiTheme="minorHAnsi"/>
              </w:rPr>
              <w:t>Infrastructure</w:t>
            </w:r>
          </w:p>
        </w:tc>
        <w:tc>
          <w:tcPr>
            <w:tcW w:w="1560" w:type="dxa"/>
            <w:shd w:val="clear" w:color="auto" w:fill="7FB64D" w:themeFill="accent3" w:themeFillShade="BF"/>
            <w:noWrap/>
          </w:tcPr>
          <w:p w14:paraId="6C1A9FD4" w14:textId="77777777" w:rsidR="00417E6D" w:rsidRPr="00812509" w:rsidRDefault="00417E6D" w:rsidP="00417E6D">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402" w:type="dxa"/>
          </w:tcPr>
          <w:p w14:paraId="54728BAA" w14:textId="77777777" w:rsidR="00417E6D" w:rsidRPr="00812509" w:rsidRDefault="00417E6D" w:rsidP="00417E6D">
            <w:pPr>
              <w:pStyle w:val="TableTextEntries"/>
              <w:jc w:val="center"/>
              <w:rPr>
                <w:rFonts w:asciiTheme="minorHAnsi" w:hAnsiTheme="minorHAnsi"/>
                <w:color w:val="FFFFFF" w:themeColor="background1"/>
              </w:rPr>
            </w:pPr>
          </w:p>
        </w:tc>
        <w:tc>
          <w:tcPr>
            <w:tcW w:w="1498" w:type="dxa"/>
            <w:shd w:val="clear" w:color="auto" w:fill="72AF2F"/>
            <w:noWrap/>
          </w:tcPr>
          <w:p w14:paraId="4964D824" w14:textId="77777777" w:rsidR="00417E6D" w:rsidRPr="00812509" w:rsidRDefault="00417E6D" w:rsidP="00417E6D">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665" w:type="dxa"/>
            <w:shd w:val="clear" w:color="auto" w:fill="auto"/>
          </w:tcPr>
          <w:p w14:paraId="3CC4BFAF" w14:textId="77777777" w:rsidR="00417E6D" w:rsidRPr="002A4A0E" w:rsidRDefault="00417E6D" w:rsidP="00417E6D">
            <w:pPr>
              <w:pStyle w:val="TableTextEntries"/>
              <w:jc w:val="center"/>
              <w:rPr>
                <w:rFonts w:asciiTheme="minorHAnsi" w:hAnsiTheme="minorHAnsi"/>
                <w:color w:val="FFFFFF" w:themeColor="background1"/>
              </w:rPr>
            </w:pPr>
          </w:p>
        </w:tc>
      </w:tr>
      <w:tr w:rsidR="002A4A0E" w:rsidRPr="00812509" w14:paraId="712FBBAF" w14:textId="77777777" w:rsidTr="00714D1F">
        <w:trPr>
          <w:cnfStyle w:val="000000010000" w:firstRow="0" w:lastRow="0" w:firstColumn="0" w:lastColumn="0" w:oddVBand="0" w:evenVBand="0" w:oddHBand="0" w:evenHBand="1" w:firstRowFirstColumn="0" w:firstRowLastColumn="0" w:lastRowFirstColumn="0" w:lastRowLastColumn="0"/>
        </w:trPr>
        <w:tc>
          <w:tcPr>
            <w:tcW w:w="5345" w:type="dxa"/>
          </w:tcPr>
          <w:p w14:paraId="3DD70F98" w14:textId="6E387ADA" w:rsidR="002A4A0E" w:rsidRPr="00812509" w:rsidRDefault="002A4A0E" w:rsidP="00234453">
            <w:pPr>
              <w:pStyle w:val="TableTextEntries"/>
              <w:rPr>
                <w:rFonts w:asciiTheme="minorHAnsi" w:hAnsiTheme="minorHAnsi"/>
              </w:rPr>
            </w:pPr>
            <w:r w:rsidRPr="00812509">
              <w:rPr>
                <w:rFonts w:asciiTheme="minorHAnsi" w:hAnsiTheme="minorHAnsi"/>
              </w:rPr>
              <w:t>Objective 3</w:t>
            </w:r>
            <w:r w:rsidR="005F395C">
              <w:rPr>
                <w:rFonts w:asciiTheme="minorHAnsi" w:hAnsiTheme="minorHAnsi"/>
              </w:rPr>
              <w:t xml:space="preserve"> </w:t>
            </w:r>
            <w:r w:rsidR="005F395C">
              <w:rPr>
                <w:lang w:val="en-US"/>
              </w:rPr>
              <w:t xml:space="preserve">  </w:t>
            </w:r>
            <w:r w:rsidR="00234453" w:rsidRPr="00714D1F">
              <w:rPr>
                <w:rFonts w:asciiTheme="minorHAnsi" w:hAnsiTheme="minorHAnsi"/>
              </w:rPr>
              <w:t xml:space="preserve">Human </w:t>
            </w:r>
            <w:r w:rsidR="00714D1F">
              <w:rPr>
                <w:rFonts w:asciiTheme="minorHAnsi" w:hAnsiTheme="minorHAnsi"/>
              </w:rPr>
              <w:t>D</w:t>
            </w:r>
            <w:r w:rsidR="005F395C" w:rsidRPr="005F395C">
              <w:rPr>
                <w:rFonts w:asciiTheme="minorHAnsi" w:hAnsiTheme="minorHAnsi"/>
              </w:rPr>
              <w:t xml:space="preserve">evelopment </w:t>
            </w:r>
          </w:p>
        </w:tc>
        <w:tc>
          <w:tcPr>
            <w:tcW w:w="1560" w:type="dxa"/>
            <w:shd w:val="clear" w:color="auto" w:fill="auto"/>
            <w:noWrap/>
          </w:tcPr>
          <w:p w14:paraId="7E7E0DE9" w14:textId="77777777" w:rsidR="002A4A0E" w:rsidRPr="00812509" w:rsidRDefault="005F395C" w:rsidP="002A4A0E">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Amber</w:t>
            </w:r>
          </w:p>
        </w:tc>
        <w:tc>
          <w:tcPr>
            <w:tcW w:w="402" w:type="dxa"/>
            <w:shd w:val="clear" w:color="auto" w:fill="auto"/>
          </w:tcPr>
          <w:p w14:paraId="44E89FBA" w14:textId="77777777" w:rsidR="002A4A0E" w:rsidRPr="00812509" w:rsidRDefault="002A4A0E" w:rsidP="007A6119">
            <w:pPr>
              <w:pStyle w:val="TableTextEntries"/>
              <w:jc w:val="center"/>
              <w:rPr>
                <w:rFonts w:asciiTheme="minorHAnsi" w:hAnsiTheme="minorHAnsi"/>
                <w:color w:val="FFFFFF" w:themeColor="background1"/>
              </w:rPr>
            </w:pPr>
          </w:p>
        </w:tc>
        <w:tc>
          <w:tcPr>
            <w:tcW w:w="1498" w:type="dxa"/>
            <w:shd w:val="clear" w:color="auto" w:fill="auto"/>
            <w:noWrap/>
          </w:tcPr>
          <w:p w14:paraId="2B44749E" w14:textId="77777777" w:rsidR="002A4A0E" w:rsidRPr="00812509" w:rsidRDefault="002A4A0E">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Red</w:t>
            </w:r>
          </w:p>
        </w:tc>
        <w:tc>
          <w:tcPr>
            <w:tcW w:w="665" w:type="dxa"/>
            <w:shd w:val="clear" w:color="auto" w:fill="auto"/>
          </w:tcPr>
          <w:p w14:paraId="7C3AA743" w14:textId="77777777" w:rsidR="002A4A0E" w:rsidRPr="002A4A0E" w:rsidRDefault="002A4A0E" w:rsidP="00184F1E">
            <w:pPr>
              <w:pStyle w:val="TableTextEntries"/>
              <w:jc w:val="center"/>
              <w:rPr>
                <w:rFonts w:asciiTheme="minorHAnsi" w:hAnsiTheme="minorHAnsi"/>
                <w:color w:val="FFFFFF" w:themeColor="background1"/>
              </w:rPr>
            </w:pPr>
          </w:p>
        </w:tc>
      </w:tr>
      <w:tr w:rsidR="00CF3A7A" w:rsidRPr="00812509" w14:paraId="641A5BCC" w14:textId="77777777" w:rsidTr="00CF3A7A">
        <w:trPr>
          <w:cnfStyle w:val="000000010000" w:firstRow="0" w:lastRow="0" w:firstColumn="0" w:lastColumn="0" w:oddVBand="0" w:evenVBand="0" w:oddHBand="0" w:evenHBand="1" w:firstRowFirstColumn="0" w:firstRowLastColumn="0" w:lastRowFirstColumn="0" w:lastRowLastColumn="0"/>
        </w:trPr>
        <w:tc>
          <w:tcPr>
            <w:tcW w:w="5345" w:type="dxa"/>
          </w:tcPr>
          <w:p w14:paraId="6D94DEB3" w14:textId="7C63AAB6" w:rsidR="00CF3A7A" w:rsidRDefault="00CF3A7A" w:rsidP="00CF3A7A">
            <w:pPr>
              <w:pStyle w:val="TableTextEntries"/>
              <w:rPr>
                <w:rFonts w:asciiTheme="minorHAnsi" w:hAnsiTheme="minorHAnsi"/>
              </w:rPr>
            </w:pPr>
            <w:r>
              <w:rPr>
                <w:rFonts w:asciiTheme="minorHAnsi" w:hAnsiTheme="minorHAnsi"/>
              </w:rPr>
              <w:t xml:space="preserve">                         Improved Health</w:t>
            </w:r>
          </w:p>
        </w:tc>
        <w:tc>
          <w:tcPr>
            <w:tcW w:w="1560" w:type="dxa"/>
            <w:shd w:val="clear" w:color="auto" w:fill="FF6600"/>
            <w:noWrap/>
          </w:tcPr>
          <w:p w14:paraId="033061A2" w14:textId="169901A7" w:rsidR="00CF3A7A" w:rsidRDefault="00CF3A7A" w:rsidP="00CF3A7A">
            <w:pPr>
              <w:pStyle w:val="TableTextEntries"/>
              <w:jc w:val="center"/>
              <w:rPr>
                <w:rFonts w:asciiTheme="minorHAnsi" w:hAnsiTheme="minorHAnsi"/>
                <w:color w:val="FFFFFF" w:themeColor="background1"/>
              </w:rPr>
            </w:pPr>
            <w:r>
              <w:rPr>
                <w:rFonts w:asciiTheme="minorHAnsi" w:hAnsiTheme="minorHAnsi"/>
                <w:color w:val="FFFFFF" w:themeColor="background1"/>
              </w:rPr>
              <w:t>Amber</w:t>
            </w:r>
          </w:p>
        </w:tc>
        <w:tc>
          <w:tcPr>
            <w:tcW w:w="402" w:type="dxa"/>
          </w:tcPr>
          <w:p w14:paraId="721E26D7" w14:textId="77777777" w:rsidR="00CF3A7A" w:rsidRPr="00812509" w:rsidRDefault="00CF3A7A" w:rsidP="00CF3A7A">
            <w:pPr>
              <w:pStyle w:val="TableTextEntries"/>
              <w:jc w:val="center"/>
              <w:rPr>
                <w:rFonts w:asciiTheme="minorHAnsi" w:hAnsiTheme="minorHAnsi"/>
                <w:color w:val="FFFFFF" w:themeColor="background1"/>
              </w:rPr>
            </w:pPr>
          </w:p>
        </w:tc>
        <w:tc>
          <w:tcPr>
            <w:tcW w:w="1498" w:type="dxa"/>
            <w:shd w:val="clear" w:color="auto" w:fill="FF0000"/>
            <w:noWrap/>
          </w:tcPr>
          <w:p w14:paraId="09C4FFA5" w14:textId="06E12F20" w:rsidR="00CF3A7A" w:rsidRPr="00CF3A7A" w:rsidRDefault="00CF3A7A" w:rsidP="00CF3A7A">
            <w:pPr>
              <w:pStyle w:val="TableTextEntries"/>
              <w:jc w:val="center"/>
              <w:rPr>
                <w:rFonts w:asciiTheme="minorHAnsi" w:hAnsiTheme="minorHAnsi"/>
                <w:color w:val="FFFFFF" w:themeColor="background1"/>
              </w:rPr>
            </w:pPr>
            <w:r w:rsidRPr="00CF3A7A">
              <w:rPr>
                <w:rFonts w:asciiTheme="minorHAnsi" w:hAnsiTheme="minorHAnsi"/>
                <w:color w:val="FFFFFF" w:themeColor="background1"/>
              </w:rPr>
              <w:t>Red</w:t>
            </w:r>
          </w:p>
        </w:tc>
        <w:tc>
          <w:tcPr>
            <w:tcW w:w="665" w:type="dxa"/>
            <w:shd w:val="clear" w:color="auto" w:fill="auto"/>
          </w:tcPr>
          <w:p w14:paraId="659018F5" w14:textId="77777777" w:rsidR="00CF3A7A" w:rsidRPr="002A4A0E" w:rsidRDefault="00CF3A7A" w:rsidP="00CF3A7A">
            <w:pPr>
              <w:pStyle w:val="TableTextEntries"/>
              <w:jc w:val="center"/>
              <w:rPr>
                <w:rFonts w:asciiTheme="minorHAnsi" w:hAnsiTheme="minorHAnsi"/>
                <w:color w:val="FFFFFF" w:themeColor="background1"/>
              </w:rPr>
            </w:pPr>
          </w:p>
        </w:tc>
      </w:tr>
      <w:tr w:rsidR="00CF3A7A" w:rsidRPr="00812509" w14:paraId="4DE339A1" w14:textId="77777777" w:rsidTr="00234453">
        <w:trPr>
          <w:cnfStyle w:val="000000010000" w:firstRow="0" w:lastRow="0" w:firstColumn="0" w:lastColumn="0" w:oddVBand="0" w:evenVBand="0" w:oddHBand="0" w:evenHBand="1" w:firstRowFirstColumn="0" w:firstRowLastColumn="0" w:lastRowFirstColumn="0" w:lastRowLastColumn="0"/>
        </w:trPr>
        <w:tc>
          <w:tcPr>
            <w:tcW w:w="5345" w:type="dxa"/>
          </w:tcPr>
          <w:p w14:paraId="4F401CA3" w14:textId="77777777" w:rsidR="00CF3A7A" w:rsidRPr="00812509" w:rsidRDefault="00CF3A7A" w:rsidP="00CF3A7A">
            <w:pPr>
              <w:pStyle w:val="TableTextEntries"/>
              <w:rPr>
                <w:rFonts w:asciiTheme="minorHAnsi" w:hAnsiTheme="minorHAnsi"/>
              </w:rPr>
            </w:pPr>
            <w:r>
              <w:rPr>
                <w:rFonts w:asciiTheme="minorHAnsi" w:hAnsiTheme="minorHAnsi"/>
              </w:rPr>
              <w:t xml:space="preserve">                         Improved E</w:t>
            </w:r>
            <w:r w:rsidRPr="00D91EA9">
              <w:rPr>
                <w:rFonts w:asciiTheme="minorHAnsi" w:hAnsiTheme="minorHAnsi"/>
              </w:rPr>
              <w:t>ducation</w:t>
            </w:r>
          </w:p>
        </w:tc>
        <w:tc>
          <w:tcPr>
            <w:tcW w:w="1560" w:type="dxa"/>
            <w:shd w:val="clear" w:color="auto" w:fill="FF6600"/>
            <w:noWrap/>
          </w:tcPr>
          <w:p w14:paraId="699780FD" w14:textId="77777777" w:rsidR="00CF3A7A" w:rsidRPr="00812509" w:rsidRDefault="00CF3A7A" w:rsidP="00CF3A7A">
            <w:pPr>
              <w:pStyle w:val="TableTextEntries"/>
              <w:jc w:val="center"/>
              <w:rPr>
                <w:rFonts w:asciiTheme="minorHAnsi" w:hAnsiTheme="minorHAnsi"/>
                <w:color w:val="FFFFFF" w:themeColor="background1"/>
              </w:rPr>
            </w:pPr>
            <w:r>
              <w:rPr>
                <w:rFonts w:asciiTheme="minorHAnsi" w:hAnsiTheme="minorHAnsi"/>
                <w:color w:val="FFFFFF" w:themeColor="background1"/>
              </w:rPr>
              <w:t>Amber</w:t>
            </w:r>
          </w:p>
        </w:tc>
        <w:tc>
          <w:tcPr>
            <w:tcW w:w="402" w:type="dxa"/>
          </w:tcPr>
          <w:p w14:paraId="743C59B3" w14:textId="77777777" w:rsidR="00CF3A7A" w:rsidRPr="00812509" w:rsidRDefault="00CF3A7A" w:rsidP="00CF3A7A">
            <w:pPr>
              <w:pStyle w:val="TableTextEntries"/>
              <w:jc w:val="center"/>
              <w:rPr>
                <w:rFonts w:asciiTheme="minorHAnsi" w:hAnsiTheme="minorHAnsi"/>
                <w:color w:val="FFFFFF" w:themeColor="background1"/>
              </w:rPr>
            </w:pPr>
          </w:p>
        </w:tc>
        <w:tc>
          <w:tcPr>
            <w:tcW w:w="1498" w:type="dxa"/>
            <w:shd w:val="clear" w:color="auto" w:fill="FF6600"/>
            <w:noWrap/>
          </w:tcPr>
          <w:p w14:paraId="4A4A2887" w14:textId="77777777" w:rsidR="00CF3A7A" w:rsidRPr="00812509" w:rsidRDefault="00CF3A7A" w:rsidP="00CF3A7A">
            <w:pPr>
              <w:pStyle w:val="TableTextEntries"/>
              <w:jc w:val="center"/>
              <w:rPr>
                <w:rFonts w:asciiTheme="minorHAnsi" w:hAnsiTheme="minorHAnsi"/>
                <w:color w:val="FFFFFF" w:themeColor="background1"/>
              </w:rPr>
            </w:pPr>
            <w:r>
              <w:rPr>
                <w:rFonts w:asciiTheme="minorHAnsi" w:hAnsiTheme="minorHAnsi"/>
                <w:color w:val="FFFFFF" w:themeColor="background1"/>
              </w:rPr>
              <w:t>Amber</w:t>
            </w:r>
          </w:p>
        </w:tc>
        <w:tc>
          <w:tcPr>
            <w:tcW w:w="665" w:type="dxa"/>
            <w:shd w:val="clear" w:color="auto" w:fill="auto"/>
          </w:tcPr>
          <w:p w14:paraId="1A01B0AA" w14:textId="77777777" w:rsidR="00CF3A7A" w:rsidRPr="002A4A0E" w:rsidRDefault="00CF3A7A" w:rsidP="00CF3A7A">
            <w:pPr>
              <w:pStyle w:val="TableTextEntries"/>
              <w:jc w:val="center"/>
              <w:rPr>
                <w:rFonts w:asciiTheme="minorHAnsi" w:hAnsiTheme="minorHAnsi"/>
                <w:color w:val="FFFFFF" w:themeColor="background1"/>
              </w:rPr>
            </w:pPr>
          </w:p>
        </w:tc>
      </w:tr>
    </w:tbl>
    <w:p w14:paraId="2DCC192F" w14:textId="77777777" w:rsidR="005B5769" w:rsidRPr="00812509" w:rsidRDefault="005B5769" w:rsidP="002A4A0E">
      <w:pPr>
        <w:pStyle w:val="Note"/>
        <w:rPr>
          <w:rFonts w:asciiTheme="minorHAnsi" w:hAnsiTheme="minorHAnsi"/>
          <w:sz w:val="16"/>
        </w:rPr>
      </w:pPr>
      <w:r w:rsidRPr="00812509">
        <w:rPr>
          <w:rFonts w:asciiTheme="minorHAnsi" w:hAnsiTheme="minorHAnsi"/>
          <w:sz w:val="16"/>
        </w:rPr>
        <w:t xml:space="preserve">Note: </w:t>
      </w:r>
    </w:p>
    <w:p w14:paraId="09EEFC8A" w14:textId="77777777" w:rsidR="005B5769" w:rsidRPr="00812509" w:rsidRDefault="005B5769">
      <w:pPr>
        <w:pStyle w:val="Note"/>
        <w:rPr>
          <w:rFonts w:asciiTheme="minorHAnsi" w:hAnsiTheme="minorHAnsi"/>
          <w:sz w:val="16"/>
        </w:rPr>
      </w:pPr>
      <w:r w:rsidRPr="00812509">
        <w:rPr>
          <w:rFonts w:asciiTheme="minorHAnsi" w:hAnsiTheme="minorHAnsi"/>
          <w:color w:val="72AF2F"/>
          <w:sz w:val="16"/>
        </w:rPr>
        <w:sym w:font="Webdings" w:char="F067"/>
      </w:r>
      <w:r w:rsidRPr="00812509">
        <w:rPr>
          <w:rFonts w:asciiTheme="minorHAnsi" w:hAnsiTheme="minorHAnsi"/>
          <w:sz w:val="16"/>
        </w:rPr>
        <w:t> </w:t>
      </w:r>
      <w:r w:rsidRPr="00812509">
        <w:rPr>
          <w:rFonts w:asciiTheme="minorHAnsi" w:hAnsiTheme="minorHAnsi"/>
          <w:sz w:val="16"/>
        </w:rPr>
        <w:t xml:space="preserve"> Green. Progress is as expected at this stage of implementation and it is likely that the objective will be achieved. Standard program management practices are sufficient.</w:t>
      </w:r>
    </w:p>
    <w:p w14:paraId="305AF328" w14:textId="77777777" w:rsidR="005B5769" w:rsidRPr="00812509" w:rsidRDefault="005B5769">
      <w:pPr>
        <w:pStyle w:val="Note"/>
        <w:rPr>
          <w:rFonts w:asciiTheme="minorHAnsi" w:hAnsiTheme="minorHAnsi"/>
          <w:sz w:val="16"/>
        </w:rPr>
      </w:pPr>
      <w:r w:rsidRPr="00812509">
        <w:rPr>
          <w:rFonts w:asciiTheme="minorHAnsi" w:hAnsiTheme="minorHAnsi"/>
          <w:color w:val="E36C0A"/>
          <w:sz w:val="16"/>
        </w:rPr>
        <w:sym w:font="Webdings" w:char="F067"/>
      </w:r>
      <w:r w:rsidRPr="00812509">
        <w:rPr>
          <w:rFonts w:asciiTheme="minorHAnsi" w:hAnsiTheme="minorHAnsi"/>
          <w:sz w:val="16"/>
        </w:rPr>
        <w:t> </w:t>
      </w:r>
      <w:r w:rsidRPr="00812509">
        <w:rPr>
          <w:rFonts w:asciiTheme="minorHAnsi" w:hAnsiTheme="minorHAnsi"/>
          <w:sz w:val="16"/>
        </w:rPr>
        <w:t xml:space="preserve"> Amber. Progress is somewhat less than expected at this stage of implementation and restorative action will be necessary if the objective is to be achieved. Close performance monitoring is recommended.</w:t>
      </w:r>
    </w:p>
    <w:p w14:paraId="2C2F01C6" w14:textId="77777777" w:rsidR="005B5769" w:rsidRDefault="005B5769">
      <w:pPr>
        <w:pStyle w:val="Note"/>
        <w:rPr>
          <w:rFonts w:asciiTheme="minorHAnsi" w:hAnsiTheme="minorHAnsi"/>
          <w:sz w:val="16"/>
        </w:rPr>
      </w:pPr>
      <w:r w:rsidRPr="00812509">
        <w:rPr>
          <w:rFonts w:asciiTheme="minorHAnsi" w:hAnsiTheme="minorHAnsi"/>
          <w:color w:val="FF0000"/>
          <w:sz w:val="16"/>
        </w:rPr>
        <w:sym w:font="Webdings" w:char="F067"/>
      </w:r>
      <w:r w:rsidRPr="00812509">
        <w:rPr>
          <w:rFonts w:asciiTheme="minorHAnsi" w:hAnsiTheme="minorHAnsi"/>
          <w:sz w:val="16"/>
        </w:rPr>
        <w:t> </w:t>
      </w:r>
      <w:r w:rsidRPr="00812509">
        <w:rPr>
          <w:rFonts w:asciiTheme="minorHAnsi" w:hAnsiTheme="minorHAnsi"/>
          <w:sz w:val="16"/>
        </w:rPr>
        <w:t xml:space="preserve"> Red. Progress is significantly less than expected at this stage of implementation and the objective is not likely to be met given available resources and priorities. Recasting the objective may be required.</w:t>
      </w:r>
    </w:p>
    <w:p w14:paraId="2263E445" w14:textId="77777777" w:rsidR="00CD1652" w:rsidRPr="00754A1A" w:rsidRDefault="00CD1652" w:rsidP="000D7D35">
      <w:pPr>
        <w:spacing w:before="0" w:after="0"/>
        <w:rPr>
          <w:rFonts w:asciiTheme="majorHAnsi" w:eastAsiaTheme="majorEastAsia" w:hAnsiTheme="majorHAnsi" w:cstheme="majorBidi"/>
          <w:caps/>
        </w:rPr>
      </w:pPr>
    </w:p>
    <w:p w14:paraId="6D38EEA6" w14:textId="01DB821F" w:rsidR="00695730" w:rsidRDefault="00417E6D" w:rsidP="003222ED">
      <w:pPr>
        <w:ind w:left="-142"/>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t>Objective 1</w:t>
      </w:r>
      <w:r w:rsidR="00EE14D8">
        <w:rPr>
          <w:rFonts w:asciiTheme="majorHAnsi" w:eastAsiaTheme="majorEastAsia" w:hAnsiTheme="majorHAnsi" w:cstheme="majorBidi"/>
          <w:caps/>
          <w:sz w:val="38"/>
          <w:szCs w:val="26"/>
        </w:rPr>
        <w:t>:</w:t>
      </w:r>
      <w:r>
        <w:rPr>
          <w:rFonts w:asciiTheme="majorHAnsi" w:eastAsiaTheme="majorEastAsia" w:hAnsiTheme="majorHAnsi" w:cstheme="majorBidi"/>
          <w:caps/>
          <w:sz w:val="38"/>
          <w:szCs w:val="26"/>
        </w:rPr>
        <w:t xml:space="preserve"> </w:t>
      </w:r>
      <w:r w:rsidR="003D6F17">
        <w:rPr>
          <w:rFonts w:asciiTheme="majorHAnsi" w:eastAsiaTheme="majorEastAsia" w:hAnsiTheme="majorHAnsi" w:cstheme="majorBidi"/>
          <w:caps/>
          <w:sz w:val="38"/>
          <w:szCs w:val="26"/>
        </w:rPr>
        <w:t>more</w:t>
      </w:r>
      <w:r>
        <w:rPr>
          <w:rFonts w:asciiTheme="majorHAnsi" w:eastAsiaTheme="majorEastAsia" w:hAnsiTheme="majorHAnsi" w:cstheme="majorBidi"/>
          <w:caps/>
          <w:sz w:val="38"/>
          <w:szCs w:val="26"/>
        </w:rPr>
        <w:t xml:space="preserve"> EFFECTIVE PUBLIC SECTOR MANAGEMENT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7"/>
        <w:gridCol w:w="1718"/>
        <w:gridCol w:w="1476"/>
        <w:gridCol w:w="1476"/>
        <w:gridCol w:w="1476"/>
      </w:tblGrid>
      <w:tr w:rsidR="006742FA" w:rsidRPr="00695730" w14:paraId="5276EC65" w14:textId="77777777" w:rsidTr="003222ED">
        <w:tc>
          <w:tcPr>
            <w:tcW w:w="2017" w:type="dxa"/>
          </w:tcPr>
          <w:p w14:paraId="3C28505D" w14:textId="77777777" w:rsidR="006742FA" w:rsidRPr="00695730" w:rsidRDefault="006742FA" w:rsidP="00695730">
            <w:pPr>
              <w:suppressAutoHyphens w:val="0"/>
              <w:spacing w:before="8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25D76C31" wp14:editId="545E5C7B">
                  <wp:extent cx="1137600" cy="720000"/>
                  <wp:effectExtent l="0" t="0" r="571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8">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718" w:type="dxa"/>
          </w:tcPr>
          <w:p w14:paraId="719FD593" w14:textId="77777777" w:rsidR="006742FA" w:rsidRPr="00695730" w:rsidRDefault="006742FA" w:rsidP="00695730">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430EBBDE" wp14:editId="2749FDAE">
                  <wp:extent cx="609600" cy="609600"/>
                  <wp:effectExtent l="0" t="0" r="0" b="0"/>
                  <wp:docPr id="41" name="Picture 41"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476" w:type="dxa"/>
          </w:tcPr>
          <w:p w14:paraId="1BD167C8" w14:textId="77777777" w:rsidR="006742FA" w:rsidRPr="00695730" w:rsidRDefault="006742FA" w:rsidP="00695730">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5C95C15E" wp14:editId="78282616">
                  <wp:extent cx="612000" cy="6120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DF 17.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476" w:type="dxa"/>
          </w:tcPr>
          <w:p w14:paraId="4B873567" w14:textId="77777777" w:rsidR="006742FA" w:rsidRPr="00695730" w:rsidRDefault="006742FA" w:rsidP="00695730">
            <w:pPr>
              <w:suppressAutoHyphens w:val="0"/>
              <w:spacing w:before="160" w:after="80" w:line="240" w:lineRule="auto"/>
              <w:jc w:val="center"/>
              <w:rPr>
                <w:rFonts w:asciiTheme="majorHAnsi" w:eastAsiaTheme="majorEastAsia" w:hAnsiTheme="majorHAnsi" w:cstheme="majorBidi"/>
                <w:caps/>
                <w:sz w:val="38"/>
                <w:szCs w:val="26"/>
              </w:rPr>
            </w:pPr>
          </w:p>
        </w:tc>
        <w:tc>
          <w:tcPr>
            <w:tcW w:w="1476" w:type="dxa"/>
          </w:tcPr>
          <w:p w14:paraId="1D1890C7" w14:textId="77777777" w:rsidR="006742FA" w:rsidRPr="00695730" w:rsidRDefault="006742FA" w:rsidP="00695730">
            <w:pPr>
              <w:suppressAutoHyphens w:val="0"/>
              <w:spacing w:before="160" w:after="80" w:line="240" w:lineRule="auto"/>
              <w:jc w:val="center"/>
              <w:rPr>
                <w:rFonts w:asciiTheme="majorHAnsi" w:eastAsiaTheme="majorEastAsia" w:hAnsiTheme="majorHAnsi" w:cstheme="majorBidi"/>
                <w:caps/>
                <w:sz w:val="38"/>
                <w:szCs w:val="26"/>
              </w:rPr>
            </w:pPr>
          </w:p>
        </w:tc>
      </w:tr>
    </w:tbl>
    <w:p w14:paraId="3757D12F" w14:textId="23E57783" w:rsidR="003D6F17" w:rsidRPr="00B73F3B" w:rsidRDefault="008A33E9" w:rsidP="00B73F3B">
      <w:r w:rsidRPr="00B73F3B">
        <w:t xml:space="preserve">The objective of more effective public sector management was again rated green in 2016-17.  </w:t>
      </w:r>
      <w:r w:rsidR="003D6F17" w:rsidRPr="00B73F3B">
        <w:t xml:space="preserve">The investment is the continuation of Australia’s multi-year commitment to public sector accountability, providing increased capacity and driving progress on critical reform measures. </w:t>
      </w:r>
    </w:p>
    <w:p w14:paraId="3F00C088" w14:textId="4D4E4306" w:rsidR="008A33E9" w:rsidRPr="00B73F3B" w:rsidRDefault="00811ED0" w:rsidP="00B73F3B">
      <w:r w:rsidRPr="00B73F3B">
        <w:t xml:space="preserve">Through </w:t>
      </w:r>
      <w:r w:rsidR="008A33E9" w:rsidRPr="00B73F3B">
        <w:t>this investment</w:t>
      </w:r>
      <w:r w:rsidR="003D6F17" w:rsidRPr="00B73F3B">
        <w:t xml:space="preserve"> Australia has supported </w:t>
      </w:r>
      <w:r w:rsidR="00C33FF4" w:rsidRPr="00B73F3B">
        <w:t>improve</w:t>
      </w:r>
      <w:r w:rsidR="00917666" w:rsidRPr="00B73F3B">
        <w:t>ments in</w:t>
      </w:r>
      <w:r w:rsidR="008A33E9" w:rsidRPr="00B73F3B">
        <w:t xml:space="preserve"> Nauru's overall </w:t>
      </w:r>
      <w:r w:rsidR="00710D2A" w:rsidRPr="00B73F3B">
        <w:t xml:space="preserve">public </w:t>
      </w:r>
      <w:r w:rsidR="00C33FF4" w:rsidRPr="00B73F3B">
        <w:t>financial</w:t>
      </w:r>
      <w:r w:rsidR="00710D2A" w:rsidRPr="00B73F3B">
        <w:t xml:space="preserve"> management</w:t>
      </w:r>
      <w:r w:rsidR="00F90589" w:rsidRPr="00B73F3B">
        <w:t xml:space="preserve"> </w:t>
      </w:r>
      <w:r w:rsidR="003D6F17" w:rsidRPr="00B73F3B">
        <w:t xml:space="preserve">– </w:t>
      </w:r>
      <w:r w:rsidR="00F90589" w:rsidRPr="00B73F3B">
        <w:t>particularly</w:t>
      </w:r>
      <w:r w:rsidR="00710D2A" w:rsidRPr="00B73F3B">
        <w:t xml:space="preserve"> </w:t>
      </w:r>
      <w:r w:rsidR="003D6F17" w:rsidRPr="00B73F3B">
        <w:t xml:space="preserve">in </w:t>
      </w:r>
      <w:r w:rsidR="00F90589" w:rsidRPr="00B73F3B">
        <w:lastRenderedPageBreak/>
        <w:t>budgeting, revenue collection and planning</w:t>
      </w:r>
      <w:r w:rsidR="00C33FF4" w:rsidRPr="00B73F3B">
        <w:t xml:space="preserve">. </w:t>
      </w:r>
      <w:r w:rsidR="000D7D35" w:rsidRPr="00B73F3B">
        <w:t>T</w:t>
      </w:r>
      <w:r w:rsidR="003D6F17" w:rsidRPr="00B73F3B">
        <w:t xml:space="preserve">he primary </w:t>
      </w:r>
      <w:r w:rsidR="00CF3A7A" w:rsidRPr="00B73F3B">
        <w:t xml:space="preserve">delivery </w:t>
      </w:r>
      <w:r w:rsidR="003D6F17" w:rsidRPr="00B73F3B">
        <w:t xml:space="preserve">mechanism </w:t>
      </w:r>
      <w:r w:rsidR="00CF3A7A" w:rsidRPr="00B73F3B">
        <w:t xml:space="preserve">continues to be </w:t>
      </w:r>
      <w:r w:rsidR="003D6F17" w:rsidRPr="00B73F3B">
        <w:t>provision of skilled personnel to fill senior management roles in the Nauru Ministry of Finance through the Pacific Technic</w:t>
      </w:r>
      <w:r w:rsidR="004E229C" w:rsidRPr="00B73F3B">
        <w:t xml:space="preserve">al Assistance Mechanism (PACTAM). </w:t>
      </w:r>
      <w:r w:rsidR="003D6F17" w:rsidRPr="00B73F3B">
        <w:t xml:space="preserve">PACTAM advisers have </w:t>
      </w:r>
      <w:r w:rsidR="00C33FF4" w:rsidRPr="00B73F3B">
        <w:t>led improvements in budget preparation</w:t>
      </w:r>
      <w:r w:rsidR="00917666" w:rsidRPr="00B73F3B">
        <w:t xml:space="preserve"> and execution</w:t>
      </w:r>
      <w:r w:rsidR="00C33FF4" w:rsidRPr="00B73F3B">
        <w:t>,</w:t>
      </w:r>
      <w:r w:rsidR="003D6F17" w:rsidRPr="00B73F3B">
        <w:t xml:space="preserve"> </w:t>
      </w:r>
      <w:r w:rsidR="00C33FF4" w:rsidRPr="00B73F3B">
        <w:t>helped reform the customs system and</w:t>
      </w:r>
      <w:r w:rsidR="0079759A" w:rsidRPr="00B73F3B">
        <w:t xml:space="preserve"> increas</w:t>
      </w:r>
      <w:r w:rsidR="003D6F17" w:rsidRPr="00B73F3B">
        <w:t xml:space="preserve">e </w:t>
      </w:r>
      <w:r w:rsidR="00C33FF4" w:rsidRPr="00B73F3B">
        <w:t xml:space="preserve">customs </w:t>
      </w:r>
      <w:r w:rsidR="003D6F17" w:rsidRPr="00B73F3B">
        <w:t xml:space="preserve">revenue </w:t>
      </w:r>
      <w:r w:rsidR="00CF6DA0" w:rsidRPr="00B73F3B">
        <w:t xml:space="preserve">(equivalent to </w:t>
      </w:r>
      <w:r w:rsidR="00C33FF4" w:rsidRPr="00B73F3B">
        <w:t>6.8</w:t>
      </w:r>
      <w:r w:rsidR="00CF3A7A" w:rsidRPr="00B73F3B">
        <w:t xml:space="preserve"> per cent </w:t>
      </w:r>
      <w:r w:rsidR="00CF6DA0" w:rsidRPr="00B73F3B">
        <w:t>of GDP)</w:t>
      </w:r>
      <w:r w:rsidR="004E229C" w:rsidRPr="00B73F3B">
        <w:t xml:space="preserve">, and </w:t>
      </w:r>
      <w:r w:rsidR="00C33FF4" w:rsidRPr="00B73F3B">
        <w:t xml:space="preserve">have </w:t>
      </w:r>
      <w:r w:rsidR="003C7C0E" w:rsidRPr="00B73F3B">
        <w:t>supported implementation of Nauru’s first tax system</w:t>
      </w:r>
      <w:r w:rsidR="00917666" w:rsidRPr="00B73F3B">
        <w:t>,</w:t>
      </w:r>
      <w:r w:rsidR="003C7C0E" w:rsidRPr="00B73F3B">
        <w:t xml:space="preserve"> </w:t>
      </w:r>
      <w:r w:rsidR="002C73AA" w:rsidRPr="00B73F3B">
        <w:t xml:space="preserve">including the introduction of a </w:t>
      </w:r>
      <w:r w:rsidR="000D7D35" w:rsidRPr="00B73F3B">
        <w:t xml:space="preserve">new </w:t>
      </w:r>
      <w:r w:rsidR="002C73AA" w:rsidRPr="00B73F3B">
        <w:t>business profits tax</w:t>
      </w:r>
      <w:r w:rsidR="00C33FF4" w:rsidRPr="00B73F3B">
        <w:t xml:space="preserve"> in 2016-17</w:t>
      </w:r>
      <w:r w:rsidR="003C7C0E" w:rsidRPr="00B73F3B">
        <w:t xml:space="preserve">. They </w:t>
      </w:r>
      <w:r w:rsidR="004E229C" w:rsidRPr="00B73F3B">
        <w:t>have also</w:t>
      </w:r>
      <w:r w:rsidR="0079759A" w:rsidRPr="00B73F3B">
        <w:t xml:space="preserve"> </w:t>
      </w:r>
      <w:r w:rsidR="00561373" w:rsidRPr="00B73F3B">
        <w:t>increas</w:t>
      </w:r>
      <w:r w:rsidR="004E229C" w:rsidRPr="00B73F3B">
        <w:t>ed</w:t>
      </w:r>
      <w:r w:rsidR="00561373" w:rsidRPr="00B73F3B">
        <w:t xml:space="preserve"> </w:t>
      </w:r>
      <w:r w:rsidR="003C7C0E" w:rsidRPr="00B73F3B">
        <w:t>the number and compliance of</w:t>
      </w:r>
      <w:r w:rsidR="00561373" w:rsidRPr="00B73F3B">
        <w:t xml:space="preserve"> government </w:t>
      </w:r>
      <w:r w:rsidR="00C33FF4" w:rsidRPr="00B73F3B">
        <w:t xml:space="preserve">departments </w:t>
      </w:r>
      <w:r w:rsidR="004E229C" w:rsidRPr="00B73F3B">
        <w:t xml:space="preserve">utilising </w:t>
      </w:r>
      <w:r w:rsidR="00C33FF4" w:rsidRPr="00B73F3B">
        <w:t>the F</w:t>
      </w:r>
      <w:r w:rsidR="0079759A" w:rsidRPr="00B73F3B">
        <w:t xml:space="preserve">inancial </w:t>
      </w:r>
      <w:r w:rsidR="00C33FF4" w:rsidRPr="00B73F3B">
        <w:t>M</w:t>
      </w:r>
      <w:r w:rsidR="0079759A" w:rsidRPr="00B73F3B">
        <w:t xml:space="preserve">anagement </w:t>
      </w:r>
      <w:r w:rsidR="00C33FF4" w:rsidRPr="00B73F3B">
        <w:t>I</w:t>
      </w:r>
      <w:r w:rsidR="0079759A" w:rsidRPr="00B73F3B">
        <w:t xml:space="preserve">nformation </w:t>
      </w:r>
      <w:r w:rsidR="00C33FF4" w:rsidRPr="00B73F3B">
        <w:t>S</w:t>
      </w:r>
      <w:r w:rsidR="0079759A" w:rsidRPr="00B73F3B">
        <w:t>ystem</w:t>
      </w:r>
      <w:r w:rsidR="002A328A">
        <w:t xml:space="preserve"> (FMIS)</w:t>
      </w:r>
      <w:r w:rsidR="003C7C0E" w:rsidRPr="00B73F3B">
        <w:t xml:space="preserve"> </w:t>
      </w:r>
      <w:r w:rsidR="00C33FF4" w:rsidRPr="00B73F3B">
        <w:t xml:space="preserve">and play a key role in safeguarding the administration of Australian development funding. </w:t>
      </w:r>
    </w:p>
    <w:p w14:paraId="1AE6EDB0" w14:textId="72DA30EF" w:rsidR="004B2D29" w:rsidRPr="00B73F3B" w:rsidRDefault="00811ED0" w:rsidP="00B73F3B">
      <w:r w:rsidRPr="00B73F3B">
        <w:t xml:space="preserve">Australia is also contributing to </w:t>
      </w:r>
      <w:r w:rsidR="006B6CA3" w:rsidRPr="00B73F3B">
        <w:t xml:space="preserve">the </w:t>
      </w:r>
      <w:r w:rsidRPr="00B73F3B">
        <w:t>Nauru</w:t>
      </w:r>
      <w:r w:rsidR="006B6CA3" w:rsidRPr="00B73F3B">
        <w:t xml:space="preserve"> T</w:t>
      </w:r>
      <w:r w:rsidR="003057BB" w:rsidRPr="00B73F3B">
        <w:t xml:space="preserve">rust </w:t>
      </w:r>
      <w:r w:rsidR="006B6CA3" w:rsidRPr="00B73F3B">
        <w:t>F</w:t>
      </w:r>
      <w:r w:rsidR="003057BB" w:rsidRPr="00B73F3B">
        <w:t>und</w:t>
      </w:r>
      <w:r w:rsidR="004B2D29" w:rsidRPr="00B73F3B">
        <w:t xml:space="preserve">, which is a good example of strong governance, accountability and collaboration between </w:t>
      </w:r>
      <w:r w:rsidR="002373FC" w:rsidRPr="00B73F3B">
        <w:t>Australia, Nauru, Taiwan and the ADB</w:t>
      </w:r>
      <w:r w:rsidR="004B2D29" w:rsidRPr="00B73F3B">
        <w:t>.</w:t>
      </w:r>
      <w:r w:rsidR="006B6CA3" w:rsidRPr="00B73F3B">
        <w:t xml:space="preserve"> </w:t>
      </w:r>
      <w:r w:rsidR="004B2D29" w:rsidRPr="00B73F3B">
        <w:t xml:space="preserve"> Australia</w:t>
      </w:r>
      <w:r w:rsidR="002373FC" w:rsidRPr="00B73F3B">
        <w:t xml:space="preserve"> </w:t>
      </w:r>
      <w:r w:rsidR="004B2D29" w:rsidRPr="00B73F3B">
        <w:t>contribut</w:t>
      </w:r>
      <w:r w:rsidR="000D7D35" w:rsidRPr="00B73F3B">
        <w:t>ed</w:t>
      </w:r>
      <w:r w:rsidR="004B2D29" w:rsidRPr="00B73F3B">
        <w:t xml:space="preserve"> $5 million to the fund</w:t>
      </w:r>
      <w:r w:rsidR="000D7D35" w:rsidRPr="00B73F3B">
        <w:t xml:space="preserve"> this year</w:t>
      </w:r>
      <w:r w:rsidR="004B2D29" w:rsidRPr="00B73F3B">
        <w:t xml:space="preserve">, and </w:t>
      </w:r>
      <w:r w:rsidR="00F90589" w:rsidRPr="00B73F3B">
        <w:t>maintains</w:t>
      </w:r>
      <w:r w:rsidR="004B2D29" w:rsidRPr="00B73F3B">
        <w:t xml:space="preserve"> </w:t>
      </w:r>
      <w:r w:rsidR="00F1695A" w:rsidRPr="00B73F3B">
        <w:t>active engage</w:t>
      </w:r>
      <w:r w:rsidR="00F90589" w:rsidRPr="00B73F3B">
        <w:t>ment</w:t>
      </w:r>
      <w:r w:rsidR="00F1695A" w:rsidRPr="00B73F3B">
        <w:t xml:space="preserve"> </w:t>
      </w:r>
      <w:r w:rsidR="004B2D29" w:rsidRPr="00B73F3B">
        <w:t xml:space="preserve">on its board. The Government of Nauru </w:t>
      </w:r>
      <w:r w:rsidR="002373FC" w:rsidRPr="00B73F3B">
        <w:t>has</w:t>
      </w:r>
      <w:r w:rsidR="00195D58" w:rsidRPr="00B73F3B">
        <w:t xml:space="preserve"> </w:t>
      </w:r>
      <w:r w:rsidR="002373FC" w:rsidRPr="00B73F3B">
        <w:t>m</w:t>
      </w:r>
      <w:r w:rsidR="0079759A" w:rsidRPr="00B73F3B">
        <w:t>aintained</w:t>
      </w:r>
      <w:r w:rsidR="002373FC" w:rsidRPr="00B73F3B">
        <w:t xml:space="preserve"> its annual contributions</w:t>
      </w:r>
      <w:r w:rsidR="0079759A" w:rsidRPr="00B73F3B">
        <w:t>, based on a proportion of</w:t>
      </w:r>
      <w:r w:rsidR="004B2D29" w:rsidRPr="00B73F3B">
        <w:t xml:space="preserve"> annual</w:t>
      </w:r>
      <w:r w:rsidR="0079759A" w:rsidRPr="00B73F3B">
        <w:t xml:space="preserve"> government</w:t>
      </w:r>
      <w:r w:rsidR="004B2D29" w:rsidRPr="00B73F3B">
        <w:t xml:space="preserve"> revenue. The</w:t>
      </w:r>
      <w:r w:rsidR="002E198C">
        <w:t xml:space="preserve"> total value of the</w:t>
      </w:r>
      <w:r w:rsidR="004B2D29" w:rsidRPr="00B73F3B">
        <w:t xml:space="preserve"> </w:t>
      </w:r>
      <w:r w:rsidR="002E198C">
        <w:t xml:space="preserve">Nauru Trust Fund </w:t>
      </w:r>
      <w:r w:rsidR="00BE26C5">
        <w:t>grew by $23.2 million during the period and</w:t>
      </w:r>
      <w:r w:rsidR="004B2D29" w:rsidRPr="00B73F3B">
        <w:t xml:space="preserve"> now exceeds $</w:t>
      </w:r>
      <w:r w:rsidR="00BE26C5" w:rsidRPr="00B73F3B">
        <w:t>5</w:t>
      </w:r>
      <w:r w:rsidR="00BE26C5">
        <w:t>8</w:t>
      </w:r>
      <w:r w:rsidR="00BE26C5" w:rsidRPr="00B73F3B">
        <w:t xml:space="preserve"> </w:t>
      </w:r>
      <w:r w:rsidR="004B2D29" w:rsidRPr="00B73F3B">
        <w:t>million</w:t>
      </w:r>
      <w:r w:rsidR="002A328A">
        <w:t xml:space="preserve">. As the fund </w:t>
      </w:r>
      <w:r w:rsidR="002E198C">
        <w:t>matures</w:t>
      </w:r>
      <w:r w:rsidR="002A328A">
        <w:t xml:space="preserve"> through further contributions and earnings, it</w:t>
      </w:r>
      <w:r w:rsidR="004B2D29" w:rsidRPr="00B73F3B">
        <w:t xml:space="preserve"> will </w:t>
      </w:r>
      <w:r w:rsidR="001C3F40" w:rsidRPr="00B73F3B">
        <w:t>support</w:t>
      </w:r>
      <w:r w:rsidR="004B2D29" w:rsidRPr="00B73F3B">
        <w:t xml:space="preserve"> </w:t>
      </w:r>
      <w:r w:rsidR="00F1695A" w:rsidRPr="00B73F3B">
        <w:t xml:space="preserve">Nauru’s long-term fiscal </w:t>
      </w:r>
      <w:r w:rsidR="0079759A" w:rsidRPr="00B73F3B">
        <w:t>sustainability.</w:t>
      </w:r>
      <w:r w:rsidR="00F1695A" w:rsidRPr="00B73F3B">
        <w:t xml:space="preserve"> </w:t>
      </w:r>
    </w:p>
    <w:p w14:paraId="283928F8" w14:textId="199049B0" w:rsidR="0087057D" w:rsidRPr="00B73F3B" w:rsidRDefault="00CF3A7A" w:rsidP="00B73F3B">
      <w:r w:rsidRPr="00B73F3B">
        <w:t xml:space="preserve">Reforms </w:t>
      </w:r>
      <w:r w:rsidR="008A33E9" w:rsidRPr="00B73F3B">
        <w:t>continu</w:t>
      </w:r>
      <w:r w:rsidRPr="00B73F3B">
        <w:t xml:space="preserve">ed </w:t>
      </w:r>
      <w:r w:rsidR="008A33E9" w:rsidRPr="00B73F3B">
        <w:t xml:space="preserve">through close engagement with the </w:t>
      </w:r>
      <w:r w:rsidR="002A328A">
        <w:t>ADB</w:t>
      </w:r>
      <w:r w:rsidR="008A33E9" w:rsidRPr="00B73F3B">
        <w:t>, International Monetary Fund</w:t>
      </w:r>
      <w:r w:rsidR="00917666" w:rsidRPr="00B73F3B">
        <w:t xml:space="preserve"> (IMF)</w:t>
      </w:r>
      <w:r w:rsidR="008A33E9" w:rsidRPr="00B73F3B">
        <w:t xml:space="preserve"> and its Pacific Financi</w:t>
      </w:r>
      <w:r w:rsidR="003D6F17" w:rsidRPr="00B73F3B">
        <w:t>al Technical Assistance Centre</w:t>
      </w:r>
      <w:r w:rsidR="002A328A">
        <w:t xml:space="preserve"> (PFTAC)</w:t>
      </w:r>
      <w:r w:rsidR="008A33E9" w:rsidRPr="00B73F3B">
        <w:t>.</w:t>
      </w:r>
      <w:r w:rsidR="00195D58" w:rsidRPr="00B73F3B">
        <w:t xml:space="preserve"> Nauru received its first IMF Article IV Consultation mission in January 2017</w:t>
      </w:r>
      <w:r w:rsidR="003D6F17" w:rsidRPr="00B73F3B">
        <w:t>, which is a major milestone for a developing economy</w:t>
      </w:r>
      <w:r w:rsidR="00195D58" w:rsidRPr="00B73F3B">
        <w:t>.</w:t>
      </w:r>
      <w:r w:rsidR="00F90589" w:rsidRPr="00B73F3B">
        <w:t xml:space="preserve"> </w:t>
      </w:r>
      <w:r w:rsidR="003D6F17" w:rsidRPr="00B73F3B">
        <w:t xml:space="preserve">The </w:t>
      </w:r>
      <w:r w:rsidR="006B6CA3" w:rsidRPr="00B73F3B">
        <w:t xml:space="preserve">Government of </w:t>
      </w:r>
      <w:r w:rsidR="003D6F17" w:rsidRPr="00B73F3B">
        <w:t xml:space="preserve">Nauru also conducted a </w:t>
      </w:r>
      <w:r w:rsidR="00F90589" w:rsidRPr="00B73F3B">
        <w:t xml:space="preserve">Public Expenditure Financial Accountability (PEFA) self-assessment in November 2016, supported by </w:t>
      </w:r>
      <w:r w:rsidR="003D6F17" w:rsidRPr="00B73F3B">
        <w:t>the IMF</w:t>
      </w:r>
      <w:r w:rsidR="00F90589" w:rsidRPr="00B73F3B">
        <w:t xml:space="preserve"> and co-conducted with a DFAT </w:t>
      </w:r>
      <w:r w:rsidR="003D6F17" w:rsidRPr="00B73F3B">
        <w:t>Assessment of National Systems</w:t>
      </w:r>
      <w:r w:rsidR="00F90589" w:rsidRPr="00B73F3B">
        <w:t>.</w:t>
      </w:r>
      <w:r w:rsidR="00703BAC" w:rsidRPr="00B73F3B">
        <w:t xml:space="preserve"> Active engagement with the Government of Nauru on the recommendations of these assessments will remain a continuing priority for DFAT in this sector, supported by the in-line PACTAM </w:t>
      </w:r>
      <w:r w:rsidR="002A328A">
        <w:t>adviser</w:t>
      </w:r>
      <w:r w:rsidR="00703BAC" w:rsidRPr="00B73F3B">
        <w:t xml:space="preserve">s. </w:t>
      </w:r>
    </w:p>
    <w:p w14:paraId="33E57621" w14:textId="77777777" w:rsidR="00CD1652" w:rsidRPr="00417E6D" w:rsidRDefault="00417E6D" w:rsidP="00F80511">
      <w:pPr>
        <w:spacing w:after="200" w:line="276" w:lineRule="auto"/>
        <w:rPr>
          <w:rFonts w:asciiTheme="majorHAnsi" w:eastAsiaTheme="majorEastAsia" w:hAnsiTheme="majorHAnsi" w:cstheme="majorBidi"/>
          <w:caps/>
          <w:sz w:val="38"/>
          <w:szCs w:val="26"/>
        </w:rPr>
      </w:pPr>
      <w:r w:rsidRPr="002A51CA">
        <w:rPr>
          <w:rFonts w:asciiTheme="majorHAnsi" w:eastAsiaTheme="majorEastAsia" w:hAnsiTheme="majorHAnsi" w:cstheme="majorBidi"/>
          <w:caps/>
          <w:sz w:val="38"/>
          <w:szCs w:val="26"/>
        </w:rPr>
        <w:t xml:space="preserve">Objective </w:t>
      </w:r>
      <w:r w:rsidRPr="00417E6D">
        <w:rPr>
          <w:rFonts w:asciiTheme="majorHAnsi" w:eastAsiaTheme="majorEastAsia" w:hAnsiTheme="majorHAnsi" w:cstheme="majorBidi"/>
          <w:caps/>
          <w:sz w:val="38"/>
          <w:szCs w:val="26"/>
        </w:rPr>
        <w:t>2</w:t>
      </w:r>
      <w:r w:rsidR="003D6F17">
        <w:rPr>
          <w:rFonts w:asciiTheme="majorHAnsi" w:eastAsiaTheme="majorEastAsia" w:hAnsiTheme="majorHAnsi" w:cstheme="majorBidi"/>
          <w:caps/>
          <w:sz w:val="38"/>
          <w:szCs w:val="26"/>
        </w:rPr>
        <w:t>:</w:t>
      </w:r>
      <w:r w:rsidRPr="00417E6D">
        <w:rPr>
          <w:rFonts w:asciiTheme="majorHAnsi" w:eastAsiaTheme="majorEastAsia" w:hAnsiTheme="majorHAnsi" w:cstheme="majorBidi"/>
          <w:caps/>
          <w:sz w:val="38"/>
          <w:szCs w:val="26"/>
        </w:rPr>
        <w:t xml:space="preserve"> Investing in Infrastructure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467"/>
        <w:gridCol w:w="1493"/>
        <w:gridCol w:w="1609"/>
        <w:gridCol w:w="1610"/>
        <w:gridCol w:w="1443"/>
      </w:tblGrid>
      <w:tr w:rsidR="007D272D" w:rsidRPr="00695730" w14:paraId="5DA1D889" w14:textId="77777777" w:rsidTr="007D272D">
        <w:tc>
          <w:tcPr>
            <w:tcW w:w="2016" w:type="dxa"/>
          </w:tcPr>
          <w:p w14:paraId="04F1A722" w14:textId="77777777" w:rsidR="007D272D" w:rsidRPr="00695730" w:rsidRDefault="007D272D" w:rsidP="00982FEF">
            <w:pPr>
              <w:suppressAutoHyphens w:val="0"/>
              <w:spacing w:before="8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374A0C42" wp14:editId="2EC519F8">
                  <wp:extent cx="1137600" cy="720000"/>
                  <wp:effectExtent l="0" t="0" r="5715"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8">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467" w:type="dxa"/>
          </w:tcPr>
          <w:p w14:paraId="45A58058" w14:textId="77777777" w:rsidR="007D272D" w:rsidRPr="00695730" w:rsidRDefault="007D272D" w:rsidP="007D272D">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5A81F856" wp14:editId="4720F2C1">
                  <wp:extent cx="612000" cy="6120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DG 6.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493" w:type="dxa"/>
          </w:tcPr>
          <w:p w14:paraId="79398443" w14:textId="77777777" w:rsidR="007D272D" w:rsidRDefault="007D272D" w:rsidP="00982FEF">
            <w:pPr>
              <w:suppressAutoHyphens w:val="0"/>
              <w:spacing w:before="160" w:after="80" w:line="240" w:lineRule="auto"/>
              <w:jc w:val="center"/>
              <w:rPr>
                <w:noProof/>
                <w:lang w:val="en-AU" w:eastAsia="en-AU"/>
              </w:rPr>
            </w:pPr>
            <w:r>
              <w:rPr>
                <w:noProof/>
                <w:lang w:val="en-AU" w:eastAsia="en-AU"/>
              </w:rPr>
              <w:drawing>
                <wp:inline distT="0" distB="0" distL="0" distR="0" wp14:anchorId="560DA516" wp14:editId="64832810">
                  <wp:extent cx="612000" cy="6120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 7.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609" w:type="dxa"/>
          </w:tcPr>
          <w:p w14:paraId="2E93E571" w14:textId="77777777" w:rsidR="007D272D" w:rsidRDefault="007D272D" w:rsidP="00982FEF">
            <w:pPr>
              <w:suppressAutoHyphens w:val="0"/>
              <w:spacing w:before="160" w:after="80" w:line="240" w:lineRule="auto"/>
              <w:jc w:val="center"/>
              <w:rPr>
                <w:noProof/>
                <w:lang w:val="en-AU" w:eastAsia="en-AU"/>
              </w:rPr>
            </w:pPr>
            <w:r>
              <w:rPr>
                <w:noProof/>
                <w:lang w:val="en-AU" w:eastAsia="en-AU"/>
              </w:rPr>
              <w:drawing>
                <wp:inline distT="0" distB="0" distL="0" distR="0" wp14:anchorId="16A4DD4F" wp14:editId="4DCADDF7">
                  <wp:extent cx="609600" cy="609600"/>
                  <wp:effectExtent l="0" t="0" r="0" b="0"/>
                  <wp:docPr id="47" name="Picture 47"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610" w:type="dxa"/>
          </w:tcPr>
          <w:p w14:paraId="7AD5F77D" w14:textId="79216F46" w:rsidR="007D272D" w:rsidRPr="00695730" w:rsidRDefault="00926AAB" w:rsidP="00982FEF">
            <w:pPr>
              <w:suppressAutoHyphens w:val="0"/>
              <w:spacing w:before="160" w:after="80" w:line="240" w:lineRule="auto"/>
              <w:jc w:val="center"/>
              <w:rPr>
                <w:rFonts w:asciiTheme="majorHAnsi" w:eastAsiaTheme="majorEastAsia" w:hAnsiTheme="majorHAnsi" w:cstheme="majorBidi"/>
                <w:caps/>
                <w:sz w:val="38"/>
                <w:szCs w:val="26"/>
              </w:rPr>
            </w:pPr>
            <w:r w:rsidRPr="00926AAB">
              <w:rPr>
                <w:rFonts w:asciiTheme="majorHAnsi" w:eastAsiaTheme="majorEastAsia" w:hAnsiTheme="majorHAnsi" w:cstheme="majorBidi"/>
                <w:caps/>
                <w:noProof/>
                <w:sz w:val="38"/>
                <w:szCs w:val="26"/>
                <w:lang w:val="en-AU" w:eastAsia="en-AU"/>
              </w:rPr>
              <w:drawing>
                <wp:inline distT="0" distB="0" distL="0" distR="0" wp14:anchorId="02B8E9BE" wp14:editId="43368775">
                  <wp:extent cx="612000" cy="612000"/>
                  <wp:effectExtent l="0" t="0" r="0" b="0"/>
                  <wp:docPr id="2" name="Picture 2" descr="\\TITAN\CHCH\Desktop\Aregnaul\Desktop\sdg-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AN\CHCH\Desktop\Aregnaul\Desktop\sdg-09.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1443" w:type="dxa"/>
          </w:tcPr>
          <w:p w14:paraId="7D8475A3" w14:textId="77777777" w:rsidR="007D272D" w:rsidRDefault="007D272D" w:rsidP="00982FEF">
            <w:pPr>
              <w:suppressAutoHyphens w:val="0"/>
              <w:spacing w:before="160" w:after="80" w:line="240" w:lineRule="auto"/>
              <w:jc w:val="center"/>
              <w:rPr>
                <w:noProof/>
                <w:lang w:val="en-AU" w:eastAsia="en-AU"/>
              </w:rPr>
            </w:pPr>
            <w:r>
              <w:rPr>
                <w:noProof/>
                <w:lang w:val="en-AU" w:eastAsia="en-AU"/>
              </w:rPr>
              <w:drawing>
                <wp:inline distT="0" distB="0" distL="0" distR="0" wp14:anchorId="5522A0C0" wp14:editId="2C7DD672">
                  <wp:extent cx="612000" cy="6120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r>
    </w:tbl>
    <w:p w14:paraId="24FCF662" w14:textId="33480851" w:rsidR="00B559C7" w:rsidRPr="00B73F3B" w:rsidRDefault="00B559C7" w:rsidP="00B73F3B">
      <w:r w:rsidRPr="00B73F3B">
        <w:t xml:space="preserve">DFAT rated this objective green again in 2016-17. </w:t>
      </w:r>
      <w:r w:rsidR="006742FA" w:rsidRPr="00B73F3B">
        <w:t>A</w:t>
      </w:r>
      <w:r w:rsidR="003222ED" w:rsidRPr="00B73F3B">
        <w:t xml:space="preserve"> key priorit</w:t>
      </w:r>
      <w:r w:rsidR="006742FA" w:rsidRPr="00B73F3B">
        <w:t>y</w:t>
      </w:r>
      <w:r w:rsidR="003222ED" w:rsidRPr="00B73F3B">
        <w:t xml:space="preserve"> of the Aid Investment Plan is to invest in </w:t>
      </w:r>
      <w:r w:rsidR="003C7216" w:rsidRPr="00B73F3B">
        <w:t>nation-</w:t>
      </w:r>
      <w:r w:rsidR="003222ED" w:rsidRPr="00B73F3B">
        <w:t xml:space="preserve">building infrastructure to </w:t>
      </w:r>
      <w:r w:rsidR="002F0BA6" w:rsidRPr="00B73F3B">
        <w:t>promote Nauru’s long-term prospects</w:t>
      </w:r>
      <w:r w:rsidRPr="00B73F3B">
        <w:t>,</w:t>
      </w:r>
      <w:r w:rsidR="002F0BA6" w:rsidRPr="00B73F3B">
        <w:t xml:space="preserve"> and </w:t>
      </w:r>
      <w:r w:rsidRPr="00B73F3B">
        <w:t xml:space="preserve">to </w:t>
      </w:r>
      <w:r w:rsidR="002F0BA6" w:rsidRPr="00B73F3B">
        <w:t xml:space="preserve">enable its government to </w:t>
      </w:r>
      <w:r w:rsidRPr="00B73F3B">
        <w:t xml:space="preserve">provide </w:t>
      </w:r>
      <w:r w:rsidR="00917666" w:rsidRPr="00B73F3B">
        <w:t>essential</w:t>
      </w:r>
      <w:r w:rsidRPr="00B73F3B">
        <w:t xml:space="preserve"> services, such as power and water. </w:t>
      </w:r>
    </w:p>
    <w:p w14:paraId="1784D5AF" w14:textId="346A975D" w:rsidR="00B45F5A" w:rsidRPr="00B73F3B" w:rsidRDefault="001B468A" w:rsidP="00B73F3B">
      <w:r w:rsidRPr="00B73F3B">
        <w:lastRenderedPageBreak/>
        <w:t xml:space="preserve">In 2016-17, </w:t>
      </w:r>
      <w:r w:rsidR="00121033" w:rsidRPr="00B73F3B">
        <w:t xml:space="preserve">a range of infrastructure and utilities projects made </w:t>
      </w:r>
      <w:r w:rsidR="00917666" w:rsidRPr="00B73F3B">
        <w:t xml:space="preserve">good </w:t>
      </w:r>
      <w:r w:rsidR="00121033" w:rsidRPr="00B73F3B">
        <w:t xml:space="preserve">progress. </w:t>
      </w:r>
      <w:r w:rsidRPr="00B73F3B">
        <w:t xml:space="preserve">Our ongoing </w:t>
      </w:r>
      <w:r w:rsidR="00003B48" w:rsidRPr="00B73F3B">
        <w:t xml:space="preserve">technical </w:t>
      </w:r>
      <w:r w:rsidRPr="00B73F3B">
        <w:t xml:space="preserve">support to the </w:t>
      </w:r>
      <w:r w:rsidR="003222ED" w:rsidRPr="00B73F3B">
        <w:t xml:space="preserve">Nauru Utilities </w:t>
      </w:r>
      <w:r w:rsidR="00640F66" w:rsidRPr="00B73F3B">
        <w:t>Corporation</w:t>
      </w:r>
      <w:r w:rsidR="003222ED" w:rsidRPr="00B73F3B">
        <w:t xml:space="preserve"> (NUC) </w:t>
      </w:r>
      <w:r w:rsidR="00824F97" w:rsidRPr="00B73F3B">
        <w:t>is improving power generation and drinking-water production</w:t>
      </w:r>
      <w:r w:rsidR="00561373" w:rsidRPr="00B73F3B">
        <w:t xml:space="preserve"> for Nauru’s population</w:t>
      </w:r>
      <w:r w:rsidR="00824F97" w:rsidRPr="00B73F3B">
        <w:t xml:space="preserve">. The CEO of </w:t>
      </w:r>
      <w:r w:rsidR="006742FA" w:rsidRPr="00B73F3B">
        <w:t>NUC</w:t>
      </w:r>
      <w:r w:rsidR="00824F97" w:rsidRPr="00B73F3B">
        <w:t xml:space="preserve">, a PACTAM </w:t>
      </w:r>
      <w:r w:rsidR="002A328A">
        <w:t>adviser</w:t>
      </w:r>
      <w:r w:rsidR="00824F97" w:rsidRPr="00B73F3B">
        <w:t>,</w:t>
      </w:r>
      <w:r w:rsidR="00B45F5A" w:rsidRPr="00B73F3B">
        <w:t xml:space="preserve"> </w:t>
      </w:r>
      <w:r w:rsidR="00A138D6" w:rsidRPr="00B73F3B">
        <w:t>i</w:t>
      </w:r>
      <w:r w:rsidR="00B45F5A" w:rsidRPr="00B73F3B">
        <w:t>s</w:t>
      </w:r>
      <w:r w:rsidR="00824F97" w:rsidRPr="00B73F3B">
        <w:t xml:space="preserve"> </w:t>
      </w:r>
      <w:r w:rsidR="006742FA" w:rsidRPr="00B73F3B">
        <w:t xml:space="preserve">ahead of schedule on implementation of </w:t>
      </w:r>
      <w:r w:rsidR="00A138D6" w:rsidRPr="00B73F3B">
        <w:t>NUC’</w:t>
      </w:r>
      <w:r w:rsidR="00303F6D" w:rsidRPr="00B73F3B">
        <w:t>s</w:t>
      </w:r>
      <w:r w:rsidR="006742FA" w:rsidRPr="00B73F3B">
        <w:t xml:space="preserve"> Strategic Plan</w:t>
      </w:r>
      <w:r w:rsidR="00A138D6" w:rsidRPr="00B73F3B">
        <w:t xml:space="preserve"> 2015-2020</w:t>
      </w:r>
      <w:r w:rsidR="00BC03F2" w:rsidRPr="00B73F3B">
        <w:t>, having achieved</w:t>
      </w:r>
      <w:r w:rsidR="001203A7" w:rsidRPr="00B73F3B">
        <w:t xml:space="preserve"> </w:t>
      </w:r>
      <w:r w:rsidR="00BC03F2" w:rsidRPr="00B73F3B">
        <w:t>s</w:t>
      </w:r>
      <w:r w:rsidR="001203A7" w:rsidRPr="00B73F3B">
        <w:t>ignificant reductions in</w:t>
      </w:r>
      <w:r w:rsidR="00917666" w:rsidRPr="00B73F3B">
        <w:t xml:space="preserve"> the</w:t>
      </w:r>
      <w:r w:rsidR="001203A7" w:rsidRPr="00B73F3B">
        <w:t xml:space="preserve"> frequency</w:t>
      </w:r>
      <w:r w:rsidR="00FD3DF5" w:rsidRPr="00B73F3B">
        <w:t xml:space="preserve"> (53</w:t>
      </w:r>
      <w:r w:rsidR="00CF3A7A" w:rsidRPr="00B73F3B">
        <w:t xml:space="preserve"> per cent) </w:t>
      </w:r>
      <w:r w:rsidR="001203A7" w:rsidRPr="00B73F3B">
        <w:t>and duration</w:t>
      </w:r>
      <w:r w:rsidR="00FD3DF5" w:rsidRPr="00B73F3B">
        <w:t xml:space="preserve"> (50</w:t>
      </w:r>
      <w:r w:rsidR="00CF3A7A" w:rsidRPr="00B73F3B">
        <w:t xml:space="preserve"> per cent</w:t>
      </w:r>
      <w:r w:rsidR="00FD3DF5" w:rsidRPr="00B73F3B">
        <w:t>)</w:t>
      </w:r>
      <w:r w:rsidR="001203A7" w:rsidRPr="00B73F3B">
        <w:t xml:space="preserve"> of power outages</w:t>
      </w:r>
      <w:r w:rsidR="00FD3DF5" w:rsidRPr="00B73F3B">
        <w:t xml:space="preserve"> in the last year</w:t>
      </w:r>
      <w:r w:rsidR="00A138D6" w:rsidRPr="00B73F3B">
        <w:t>.</w:t>
      </w:r>
      <w:r w:rsidR="00003B48" w:rsidRPr="00B73F3B">
        <w:t xml:space="preserve"> </w:t>
      </w:r>
      <w:r w:rsidR="00A138D6" w:rsidRPr="00B73F3B">
        <w:t>NUC has</w:t>
      </w:r>
      <w:r w:rsidR="00003B48" w:rsidRPr="00B73F3B">
        <w:t xml:space="preserve"> </w:t>
      </w:r>
      <w:r w:rsidR="00A138D6" w:rsidRPr="00B73F3B">
        <w:t>improved organisational effectiveness</w:t>
      </w:r>
      <w:r w:rsidR="00003B48" w:rsidRPr="00B73F3B">
        <w:t xml:space="preserve"> through increas</w:t>
      </w:r>
      <w:r w:rsidR="00B45F5A" w:rsidRPr="00B73F3B">
        <w:t xml:space="preserve">ing the ‘on-time attendance’ </w:t>
      </w:r>
      <w:r w:rsidR="00A138D6" w:rsidRPr="00B73F3B">
        <w:t>of</w:t>
      </w:r>
      <w:r w:rsidR="00B45F5A" w:rsidRPr="00B73F3B">
        <w:t xml:space="preserve"> employees</w:t>
      </w:r>
      <w:r w:rsidR="00003B48" w:rsidRPr="00B73F3B">
        <w:t xml:space="preserve"> </w:t>
      </w:r>
      <w:r w:rsidR="00B45F5A" w:rsidRPr="00B73F3B">
        <w:t>and provision of training in critical operational areas</w:t>
      </w:r>
      <w:r w:rsidR="006742FA" w:rsidRPr="00B73F3B">
        <w:t xml:space="preserve">. </w:t>
      </w:r>
      <w:r w:rsidR="004309BD" w:rsidRPr="00B73F3B">
        <w:t>T</w:t>
      </w:r>
      <w:r w:rsidR="00303F6D" w:rsidRPr="00B73F3B">
        <w:t xml:space="preserve">wo new 2.8MW diesel generators, </w:t>
      </w:r>
      <w:r w:rsidR="004309BD" w:rsidRPr="00B73F3B">
        <w:t>procured in partnership with NUC and the ADB</w:t>
      </w:r>
      <w:r w:rsidR="00303F6D" w:rsidRPr="00B73F3B">
        <w:t>,</w:t>
      </w:r>
      <w:r w:rsidR="004309BD" w:rsidRPr="00B73F3B">
        <w:t xml:space="preserve"> will be commissioned by October 2017</w:t>
      </w:r>
      <w:r w:rsidR="00A138D6" w:rsidRPr="00B73F3B">
        <w:t>. The generators will</w:t>
      </w:r>
      <w:r w:rsidR="00B45F5A" w:rsidRPr="00B73F3B">
        <w:t xml:space="preserve"> provide</w:t>
      </w:r>
      <w:r w:rsidR="004309BD" w:rsidRPr="00B73F3B">
        <w:t xml:space="preserve"> more reliable and efficient baseload power for the next 30 years</w:t>
      </w:r>
      <w:r w:rsidR="00B45F5A" w:rsidRPr="00B73F3B">
        <w:t xml:space="preserve">, supporting </w:t>
      </w:r>
      <w:r w:rsidR="00A138D6" w:rsidRPr="00B73F3B">
        <w:t>NUC’s goal of</w:t>
      </w:r>
      <w:r w:rsidR="00B45F5A" w:rsidRPr="00B73F3B">
        <w:t xml:space="preserve"> 50</w:t>
      </w:r>
      <w:r w:rsidR="00A138D6" w:rsidRPr="00B73F3B">
        <w:t xml:space="preserve"> per cent</w:t>
      </w:r>
      <w:r w:rsidR="00B45F5A" w:rsidRPr="00B73F3B">
        <w:t xml:space="preserve"> renewable energy </w:t>
      </w:r>
      <w:r w:rsidR="00A138D6" w:rsidRPr="00B73F3B">
        <w:t xml:space="preserve">generation </w:t>
      </w:r>
      <w:r w:rsidR="00B45F5A" w:rsidRPr="00B73F3B">
        <w:t>by 2030.</w:t>
      </w:r>
    </w:p>
    <w:p w14:paraId="5E066A5F" w14:textId="39C26CAE" w:rsidR="001B468A" w:rsidRPr="00B73F3B" w:rsidRDefault="00303F6D" w:rsidP="00B73F3B">
      <w:r w:rsidRPr="00B73F3B">
        <w:t>W</w:t>
      </w:r>
      <w:r w:rsidR="00713D5C" w:rsidRPr="00B73F3B">
        <w:t xml:space="preserve">e are </w:t>
      </w:r>
      <w:r w:rsidR="00087219" w:rsidRPr="00B73F3B">
        <w:t>also contributing to the development</w:t>
      </w:r>
      <w:r w:rsidR="00713D5C" w:rsidRPr="00B73F3B">
        <w:t xml:space="preserve"> </w:t>
      </w:r>
      <w:r w:rsidR="00087219" w:rsidRPr="00B73F3B">
        <w:t>of</w:t>
      </w:r>
      <w:r w:rsidR="00713D5C" w:rsidRPr="00B73F3B">
        <w:t xml:space="preserve"> infrastructure </w:t>
      </w:r>
      <w:r w:rsidR="00087219" w:rsidRPr="00B73F3B">
        <w:t>for</w:t>
      </w:r>
      <w:r w:rsidRPr="00B73F3B">
        <w:t xml:space="preserve"> education and health. </w:t>
      </w:r>
      <w:r w:rsidR="004309BD" w:rsidRPr="00B73F3B">
        <w:t>C</w:t>
      </w:r>
      <w:r w:rsidR="001B468A" w:rsidRPr="00B73F3B">
        <w:t xml:space="preserve">onstruction </w:t>
      </w:r>
      <w:r w:rsidR="002F5C66" w:rsidRPr="00B73F3B">
        <w:t xml:space="preserve">commenced in October 2016 </w:t>
      </w:r>
      <w:r w:rsidR="004309BD" w:rsidRPr="00B73F3B">
        <w:t>for</w:t>
      </w:r>
      <w:r w:rsidR="001B468A" w:rsidRPr="00B73F3B">
        <w:t xml:space="preserve"> the $5 million third stage of </w:t>
      </w:r>
      <w:r w:rsidRPr="00B73F3B">
        <w:t xml:space="preserve">Nauru’s Learning Village, </w:t>
      </w:r>
      <w:r w:rsidR="004309BD" w:rsidRPr="00B73F3B">
        <w:t xml:space="preserve">which will provide </w:t>
      </w:r>
      <w:r w:rsidR="00917666" w:rsidRPr="00B73F3B">
        <w:t xml:space="preserve">better </w:t>
      </w:r>
      <w:r w:rsidR="004309BD" w:rsidRPr="00B73F3B">
        <w:t xml:space="preserve">access to tertiary education </w:t>
      </w:r>
      <w:r w:rsidR="00087219" w:rsidRPr="00B73F3B">
        <w:t xml:space="preserve">on-island </w:t>
      </w:r>
      <w:r w:rsidR="004309BD" w:rsidRPr="00B73F3B">
        <w:t>through a</w:t>
      </w:r>
      <w:r w:rsidR="001B468A" w:rsidRPr="00B73F3B">
        <w:t xml:space="preserve"> new campus for the University of the South Pacific and</w:t>
      </w:r>
      <w:r w:rsidRPr="00B73F3B">
        <w:t xml:space="preserve"> </w:t>
      </w:r>
      <w:r w:rsidR="002A328A">
        <w:t xml:space="preserve">possibly </w:t>
      </w:r>
      <w:r w:rsidR="001B468A" w:rsidRPr="00B73F3B">
        <w:t>other tertiary</w:t>
      </w:r>
      <w:r w:rsidRPr="00B73F3B">
        <w:t xml:space="preserve"> </w:t>
      </w:r>
      <w:r w:rsidR="001B468A" w:rsidRPr="00B73F3B">
        <w:t>institutions, and a national librar</w:t>
      </w:r>
      <w:r w:rsidR="004309BD" w:rsidRPr="00B73F3B">
        <w:t xml:space="preserve">y. </w:t>
      </w:r>
      <w:r w:rsidR="001B468A" w:rsidRPr="00B73F3B">
        <w:t>The Republic of Nauru Hospital Redevelopment Phase 2</w:t>
      </w:r>
      <w:r w:rsidR="004309BD" w:rsidRPr="00B73F3B">
        <w:t xml:space="preserve"> ($28.4m)</w:t>
      </w:r>
      <w:r w:rsidR="001B468A" w:rsidRPr="00B73F3B">
        <w:t xml:space="preserve"> was</w:t>
      </w:r>
      <w:r w:rsidR="00312AAB" w:rsidRPr="00B73F3B">
        <w:t xml:space="preserve"> </w:t>
      </w:r>
      <w:r w:rsidR="00087219" w:rsidRPr="00B73F3B">
        <w:t>completed in February 2017</w:t>
      </w:r>
      <w:r w:rsidR="004309BD" w:rsidRPr="00B73F3B">
        <w:t xml:space="preserve"> </w:t>
      </w:r>
      <w:r w:rsidR="00087219" w:rsidRPr="00B73F3B">
        <w:t>and</w:t>
      </w:r>
      <w:r w:rsidR="004309BD" w:rsidRPr="00B73F3B">
        <w:t xml:space="preserve"> </w:t>
      </w:r>
      <w:r w:rsidR="002F4F55" w:rsidRPr="00B73F3B">
        <w:t>has expanded</w:t>
      </w:r>
      <w:r w:rsidR="00713D5C" w:rsidRPr="00B73F3B">
        <w:t xml:space="preserve"> service</w:t>
      </w:r>
      <w:r w:rsidR="002F4F55" w:rsidRPr="00B73F3B">
        <w:t xml:space="preserve"> capacity</w:t>
      </w:r>
      <w:r w:rsidR="00713D5C" w:rsidRPr="00B73F3B">
        <w:t xml:space="preserve"> through</w:t>
      </w:r>
      <w:r w:rsidR="002F4F55" w:rsidRPr="00B73F3B">
        <w:t xml:space="preserve"> the opening of new </w:t>
      </w:r>
      <w:r w:rsidR="00917666" w:rsidRPr="00B73F3B">
        <w:t xml:space="preserve">paediatric, </w:t>
      </w:r>
      <w:r w:rsidR="002F4F55" w:rsidRPr="00B73F3B">
        <w:t>medical and surgical wings and enhanced capacity for pathology and</w:t>
      </w:r>
      <w:r w:rsidR="00713D5C" w:rsidRPr="00B73F3B">
        <w:t xml:space="preserve"> radiology</w:t>
      </w:r>
      <w:r w:rsidR="002F4F55" w:rsidRPr="00B73F3B">
        <w:t>.</w:t>
      </w:r>
      <w:r w:rsidR="002F5C66" w:rsidRPr="00B73F3B">
        <w:t xml:space="preserve"> </w:t>
      </w:r>
      <w:r w:rsidR="00087219" w:rsidRPr="00B73F3B">
        <w:t xml:space="preserve">DFAT also provided </w:t>
      </w:r>
      <w:r w:rsidR="002F5C66" w:rsidRPr="00B73F3B">
        <w:t>funding to refurbish existing community sporting facilities in June 2017, as part of the long-running Epon K</w:t>
      </w:r>
      <w:r w:rsidR="00087219" w:rsidRPr="00B73F3B">
        <w:t>e</w:t>
      </w:r>
      <w:r w:rsidR="002F5C66" w:rsidRPr="00B73F3B">
        <w:t>ramen (community sports) program.</w:t>
      </w:r>
    </w:p>
    <w:p w14:paraId="372BA983" w14:textId="1E2F94AB" w:rsidR="003222ED" w:rsidRPr="00B73F3B" w:rsidRDefault="007B5738" w:rsidP="00B73F3B">
      <w:r w:rsidRPr="00B73F3B">
        <w:t>Australia is</w:t>
      </w:r>
      <w:r w:rsidR="001203A7" w:rsidRPr="00B73F3B">
        <w:t xml:space="preserve"> planning to support further infrastructure development</w:t>
      </w:r>
      <w:r w:rsidR="00087219" w:rsidRPr="00B73F3B">
        <w:t xml:space="preserve"> in Nauru over the coming years</w:t>
      </w:r>
      <w:r w:rsidR="002A328A">
        <w:t>. We have been engaged in planning for</w:t>
      </w:r>
      <w:r w:rsidR="00087219" w:rsidRPr="00B73F3B">
        <w:t xml:space="preserve"> </w:t>
      </w:r>
      <w:r w:rsidR="003222ED" w:rsidRPr="00B73F3B">
        <w:t xml:space="preserve">the </w:t>
      </w:r>
      <w:r w:rsidR="00087219" w:rsidRPr="00B73F3B">
        <w:t>r</w:t>
      </w:r>
      <w:r w:rsidR="003222ED" w:rsidRPr="00B73F3B">
        <w:t xml:space="preserve">eform and </w:t>
      </w:r>
      <w:r w:rsidR="00087219" w:rsidRPr="00B73F3B">
        <w:t>r</w:t>
      </w:r>
      <w:r w:rsidR="003222ED" w:rsidRPr="00B73F3B">
        <w:t xml:space="preserve">edevelopment </w:t>
      </w:r>
      <w:r w:rsidR="00087219" w:rsidRPr="00B73F3B">
        <w:t xml:space="preserve">of Nauru’s </w:t>
      </w:r>
      <w:r w:rsidR="00917666" w:rsidRPr="00B73F3B">
        <w:t>seaport</w:t>
      </w:r>
      <w:r w:rsidRPr="00B73F3B">
        <w:t xml:space="preserve">, a critical </w:t>
      </w:r>
      <w:r w:rsidR="004309BD" w:rsidRPr="00B73F3B">
        <w:t xml:space="preserve">asset for the island nation. </w:t>
      </w:r>
      <w:r w:rsidR="00640F66" w:rsidRPr="00B73F3B">
        <w:t>Australia</w:t>
      </w:r>
      <w:r w:rsidR="001203A7" w:rsidRPr="00B73F3B">
        <w:t xml:space="preserve"> </w:t>
      </w:r>
      <w:r w:rsidR="00640F66" w:rsidRPr="00B73F3B">
        <w:t xml:space="preserve">contributed $3.3 million to the ADB-led port reform and institutional strengthening </w:t>
      </w:r>
      <w:r w:rsidR="00D06DB9" w:rsidRPr="00B73F3B">
        <w:t>component</w:t>
      </w:r>
      <w:r w:rsidRPr="00B73F3B">
        <w:t xml:space="preserve">, </w:t>
      </w:r>
      <w:r w:rsidR="009C44E0" w:rsidRPr="00B73F3B">
        <w:t>which will commence ahead of the</w:t>
      </w:r>
      <w:r w:rsidR="00087219" w:rsidRPr="00B73F3B">
        <w:t xml:space="preserve"> proposed</w:t>
      </w:r>
      <w:r w:rsidR="009C44E0" w:rsidRPr="00B73F3B">
        <w:t xml:space="preserve"> engineering work</w:t>
      </w:r>
      <w:r w:rsidR="004309BD" w:rsidRPr="00B73F3B">
        <w:t>, pending final design approval and agreement on co-financing arrangements</w:t>
      </w:r>
      <w:r w:rsidR="00640F66" w:rsidRPr="00B73F3B">
        <w:t xml:space="preserve">. </w:t>
      </w:r>
      <w:r w:rsidR="009625EB" w:rsidRPr="00B73F3B">
        <w:t xml:space="preserve">Separately, </w:t>
      </w:r>
      <w:r w:rsidR="00640F66" w:rsidRPr="00B73F3B">
        <w:t>Australia has</w:t>
      </w:r>
      <w:r w:rsidR="00312AAB" w:rsidRPr="00B73F3B">
        <w:t xml:space="preserve"> commenced consultation and design work for </w:t>
      </w:r>
      <w:r w:rsidR="00640F66" w:rsidRPr="00B73F3B">
        <w:t>a new ind</w:t>
      </w:r>
      <w:r w:rsidR="003222ED" w:rsidRPr="00B73F3B">
        <w:t xml:space="preserve">oor sporting complex </w:t>
      </w:r>
      <w:r w:rsidR="009C44E0" w:rsidRPr="00B73F3B">
        <w:t>for Nauru</w:t>
      </w:r>
      <w:r w:rsidR="003222ED" w:rsidRPr="00B73F3B">
        <w:t>.</w:t>
      </w:r>
      <w:r w:rsidR="009C44E0" w:rsidRPr="00B73F3B">
        <w:t xml:space="preserve"> </w:t>
      </w:r>
      <w:r w:rsidR="001B468A" w:rsidRPr="00B73F3B">
        <w:t>Concept designs for new nurses quarters have also been prepared as part of an anticipated third phase of the hospital redevelopment.</w:t>
      </w:r>
    </w:p>
    <w:p w14:paraId="2112C8C1" w14:textId="31E84BAF" w:rsidR="001203A7" w:rsidRPr="00B73F3B" w:rsidRDefault="004309BD" w:rsidP="00B73F3B">
      <w:r w:rsidRPr="00B73F3B">
        <w:t>Consideration of ongoing maintenance requirements, development partner co-financing and appropriate DFAT resourcing to manage new infrastructure development in Nauru remain constraint</w:t>
      </w:r>
      <w:r w:rsidR="002A328A">
        <w:t>s</w:t>
      </w:r>
      <w:r w:rsidRPr="00B73F3B">
        <w:t xml:space="preserve"> for the program. </w:t>
      </w:r>
    </w:p>
    <w:p w14:paraId="7D11297F" w14:textId="77777777" w:rsidR="00B73F3B" w:rsidRDefault="00B73F3B">
      <w:pPr>
        <w:suppressAutoHyphens w:val="0"/>
        <w:spacing w:before="0" w:after="120" w:line="440" w:lineRule="atLeast"/>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br w:type="page"/>
      </w:r>
    </w:p>
    <w:p w14:paraId="367F43CB" w14:textId="732C143C" w:rsidR="00417E6D" w:rsidRDefault="00417E6D" w:rsidP="00CF3A7A">
      <w:pPr>
        <w:spacing w:after="200" w:line="240" w:lineRule="auto"/>
        <w:rPr>
          <w:rFonts w:asciiTheme="majorHAnsi" w:eastAsiaTheme="majorEastAsia" w:hAnsiTheme="majorHAnsi" w:cstheme="majorBidi"/>
          <w:caps/>
          <w:sz w:val="38"/>
          <w:szCs w:val="26"/>
        </w:rPr>
      </w:pPr>
      <w:r w:rsidRPr="002A51CA">
        <w:rPr>
          <w:rFonts w:asciiTheme="majorHAnsi" w:eastAsiaTheme="majorEastAsia" w:hAnsiTheme="majorHAnsi" w:cstheme="majorBidi"/>
          <w:caps/>
          <w:sz w:val="38"/>
          <w:szCs w:val="26"/>
        </w:rPr>
        <w:lastRenderedPageBreak/>
        <w:t xml:space="preserve">Objective </w:t>
      </w:r>
      <w:r w:rsidR="00FA02D2">
        <w:rPr>
          <w:rFonts w:asciiTheme="majorHAnsi" w:eastAsiaTheme="majorEastAsia" w:hAnsiTheme="majorHAnsi" w:cstheme="majorBidi"/>
          <w:caps/>
          <w:sz w:val="38"/>
          <w:szCs w:val="26"/>
        </w:rPr>
        <w:t xml:space="preserve">3: </w:t>
      </w:r>
      <w:r w:rsidR="00F94D4B">
        <w:rPr>
          <w:rFonts w:asciiTheme="majorHAnsi" w:eastAsiaTheme="majorEastAsia" w:hAnsiTheme="majorHAnsi" w:cstheme="majorBidi"/>
          <w:caps/>
          <w:sz w:val="38"/>
          <w:szCs w:val="26"/>
        </w:rPr>
        <w:t xml:space="preserve"> </w:t>
      </w:r>
      <w:r w:rsidRPr="00417E6D">
        <w:rPr>
          <w:rFonts w:asciiTheme="majorHAnsi" w:eastAsiaTheme="majorEastAsia" w:hAnsiTheme="majorHAnsi" w:cstheme="majorBidi"/>
          <w:caps/>
          <w:sz w:val="38"/>
          <w:szCs w:val="26"/>
        </w:rPr>
        <w:t xml:space="preserve">Supporting human development </w:t>
      </w:r>
      <w:r w:rsidR="00F94D4B">
        <w:rPr>
          <w:rFonts w:asciiTheme="majorHAnsi" w:eastAsiaTheme="majorEastAsia" w:hAnsiTheme="majorHAnsi" w:cstheme="majorBidi"/>
          <w:caps/>
          <w:sz w:val="38"/>
          <w:szCs w:val="26"/>
        </w:rPr>
        <w:t>-</w:t>
      </w:r>
      <w:r w:rsidR="00CF3A7A">
        <w:rPr>
          <w:rFonts w:asciiTheme="majorHAnsi" w:eastAsiaTheme="majorEastAsia" w:hAnsiTheme="majorHAnsi" w:cstheme="majorBidi"/>
          <w:caps/>
          <w:sz w:val="38"/>
          <w:szCs w:val="26"/>
        </w:rPr>
        <w:tab/>
      </w:r>
      <w:r w:rsidR="00CF3A7A">
        <w:rPr>
          <w:rFonts w:asciiTheme="majorHAnsi" w:eastAsiaTheme="majorEastAsia" w:hAnsiTheme="majorHAnsi" w:cstheme="majorBidi"/>
          <w:caps/>
          <w:sz w:val="38"/>
          <w:szCs w:val="26"/>
        </w:rPr>
        <w:tab/>
      </w:r>
      <w:r w:rsidR="00CF3A7A">
        <w:rPr>
          <w:rFonts w:asciiTheme="majorHAnsi" w:eastAsiaTheme="majorEastAsia" w:hAnsiTheme="majorHAnsi" w:cstheme="majorBidi"/>
          <w:caps/>
          <w:sz w:val="38"/>
          <w:szCs w:val="26"/>
        </w:rPr>
        <w:tab/>
      </w:r>
      <w:r w:rsidR="00CF3A7A">
        <w:rPr>
          <w:rFonts w:asciiTheme="majorHAnsi" w:eastAsiaTheme="majorEastAsia" w:hAnsiTheme="majorHAnsi" w:cstheme="majorBidi"/>
          <w:caps/>
          <w:sz w:val="38"/>
          <w:szCs w:val="26"/>
        </w:rPr>
        <w:tab/>
      </w:r>
      <w:r w:rsidR="00CF3A7A">
        <w:rPr>
          <w:rFonts w:asciiTheme="majorHAnsi" w:eastAsiaTheme="majorEastAsia" w:hAnsiTheme="majorHAnsi" w:cstheme="majorBidi"/>
          <w:caps/>
          <w:sz w:val="38"/>
          <w:szCs w:val="26"/>
        </w:rPr>
        <w:tab/>
      </w:r>
      <w:r w:rsidRPr="00417E6D">
        <w:rPr>
          <w:rFonts w:asciiTheme="majorHAnsi" w:eastAsiaTheme="majorEastAsia" w:hAnsiTheme="majorHAnsi" w:cstheme="majorBidi"/>
          <w:caps/>
          <w:sz w:val="38"/>
          <w:szCs w:val="26"/>
        </w:rPr>
        <w:t>health and education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6"/>
        <w:gridCol w:w="1906"/>
      </w:tblGrid>
      <w:tr w:rsidR="003222ED" w:rsidRPr="00695730" w14:paraId="108D222F" w14:textId="77777777" w:rsidTr="003222ED">
        <w:tc>
          <w:tcPr>
            <w:tcW w:w="2016" w:type="dxa"/>
          </w:tcPr>
          <w:p w14:paraId="4B588DAD" w14:textId="77777777" w:rsidR="003222ED" w:rsidRPr="00695730" w:rsidRDefault="003222ED" w:rsidP="003222ED">
            <w:pPr>
              <w:suppressAutoHyphens w:val="0"/>
              <w:spacing w:before="8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72988E15" wp14:editId="618F9E15">
                  <wp:extent cx="1137600" cy="720000"/>
                  <wp:effectExtent l="0" t="0" r="5715"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8">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6" w:type="dxa"/>
          </w:tcPr>
          <w:p w14:paraId="1F3FF1E7" w14:textId="77777777" w:rsidR="003222ED" w:rsidRPr="00695730" w:rsidRDefault="003222ED" w:rsidP="00CB61F3">
            <w:pPr>
              <w:suppressAutoHyphens w:val="0"/>
              <w:spacing w:before="160" w:after="80" w:line="240" w:lineRule="auto"/>
              <w:ind w:left="280"/>
              <w:jc w:val="center"/>
              <w:rPr>
                <w:rFonts w:asciiTheme="majorHAnsi" w:eastAsiaTheme="majorEastAsia" w:hAnsiTheme="majorHAnsi" w:cstheme="majorBidi"/>
                <w:caps/>
                <w:sz w:val="38"/>
                <w:szCs w:val="26"/>
              </w:rPr>
            </w:pPr>
            <w:r w:rsidRPr="00695730">
              <w:rPr>
                <w:rFonts w:ascii="Franklin Gothic Book" w:eastAsia="Times New Roman" w:hAnsi="Franklin Gothic Book" w:cs="Times New Roman"/>
                <w:noProof/>
                <w:color w:val="auto"/>
                <w:sz w:val="21"/>
                <w:szCs w:val="24"/>
                <w:lang w:val="en-AU" w:eastAsia="en-AU"/>
              </w:rPr>
              <w:drawing>
                <wp:inline distT="0" distB="0" distL="0" distR="0" wp14:anchorId="5DB07F8B" wp14:editId="5719D142">
                  <wp:extent cx="612000" cy="612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 3.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14:paraId="732FEC67" w14:textId="77777777" w:rsidR="003222ED" w:rsidRPr="00695730" w:rsidRDefault="003222ED" w:rsidP="003222ED">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Franklin Gothic Book" w:eastAsia="Times New Roman" w:hAnsi="Franklin Gothic Book" w:cs="Times New Roman"/>
                <w:noProof/>
                <w:color w:val="auto"/>
                <w:sz w:val="21"/>
                <w:szCs w:val="24"/>
                <w:lang w:val="en-AU" w:eastAsia="en-AU"/>
              </w:rPr>
              <w:drawing>
                <wp:inline distT="0" distB="0" distL="0" distR="0" wp14:anchorId="147DC20C" wp14:editId="3789FD82">
                  <wp:extent cx="612000" cy="612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r>
    </w:tbl>
    <w:p w14:paraId="116514CF" w14:textId="3776338C" w:rsidR="00FA02D2" w:rsidRDefault="00FA02D2" w:rsidP="00640F66">
      <w:r>
        <w:t>DFAT rates this objective as red</w:t>
      </w:r>
      <w:r w:rsidR="00F53430">
        <w:t xml:space="preserve"> for health and </w:t>
      </w:r>
      <w:r w:rsidR="00CF3A7A">
        <w:t>amber</w:t>
      </w:r>
      <w:r>
        <w:t xml:space="preserve"> </w:t>
      </w:r>
      <w:r w:rsidR="00F53430">
        <w:t>for education</w:t>
      </w:r>
      <w:r>
        <w:t xml:space="preserve"> </w:t>
      </w:r>
      <w:r w:rsidR="00F53430">
        <w:t>in 2016-17</w:t>
      </w:r>
      <w:r w:rsidRPr="00CB61F3">
        <w:t xml:space="preserve">. The </w:t>
      </w:r>
      <w:r w:rsidR="00F94D4B">
        <w:t>health sector</w:t>
      </w:r>
      <w:r w:rsidR="00F94D4B" w:rsidRPr="00CB61F3">
        <w:t xml:space="preserve"> program </w:t>
      </w:r>
      <w:r w:rsidR="00F53430">
        <w:t xml:space="preserve">in particular </w:t>
      </w:r>
      <w:r w:rsidR="00F94D4B" w:rsidRPr="00CB61F3">
        <w:t xml:space="preserve">underperformed, </w:t>
      </w:r>
      <w:r w:rsidR="00CB61F3">
        <w:t>with</w:t>
      </w:r>
      <w:r w:rsidR="00DF7F8D" w:rsidRPr="00CB61F3">
        <w:t xml:space="preserve"> </w:t>
      </w:r>
      <w:r w:rsidR="00B27F93">
        <w:t xml:space="preserve">activities and </w:t>
      </w:r>
      <w:r w:rsidR="00DF7F8D" w:rsidRPr="00CB61F3">
        <w:t xml:space="preserve">programs </w:t>
      </w:r>
      <w:r w:rsidR="00CB61F3" w:rsidRPr="00CB61F3">
        <w:t>supported by</w:t>
      </w:r>
      <w:r>
        <w:t xml:space="preserve"> our direct funding</w:t>
      </w:r>
      <w:r w:rsidR="005A1A2F">
        <w:t xml:space="preserve"> </w:t>
      </w:r>
      <w:r>
        <w:t>($2.9</w:t>
      </w:r>
      <w:r w:rsidR="009A1E4C">
        <w:t xml:space="preserve"> million</w:t>
      </w:r>
      <w:r>
        <w:t xml:space="preserve"> in 2015-16)</w:t>
      </w:r>
      <w:r w:rsidR="00CB61F3">
        <w:t xml:space="preserve"> being significantly behind schedule</w:t>
      </w:r>
      <w:r>
        <w:t xml:space="preserve">. DFAT has since developed and disseminated a management plan to address these shortcomings. </w:t>
      </w:r>
    </w:p>
    <w:p w14:paraId="5BA4344A" w14:textId="67B004F9" w:rsidR="00640F66" w:rsidRDefault="00640F66" w:rsidP="00640F66">
      <w:r w:rsidRPr="00640F66">
        <w:t>The Nauru</w:t>
      </w:r>
      <w:r w:rsidR="00C105E8">
        <w:t xml:space="preserve"> </w:t>
      </w:r>
      <w:r w:rsidRPr="00640F66">
        <w:t xml:space="preserve">Improved Health Program focuses on strengthening </w:t>
      </w:r>
      <w:r w:rsidR="00E65C75">
        <w:t xml:space="preserve">health </w:t>
      </w:r>
      <w:r w:rsidR="009A6606">
        <w:t>system</w:t>
      </w:r>
      <w:r w:rsidR="00E65C75">
        <w:t>s</w:t>
      </w:r>
      <w:r w:rsidR="009A6606">
        <w:t>, in particular, budget prioritisation, strategic planning and supporting primary and curative healthcare.</w:t>
      </w:r>
      <w:r w:rsidR="007074DC">
        <w:t xml:space="preserve"> </w:t>
      </w:r>
      <w:r w:rsidRPr="00640F66">
        <w:t xml:space="preserve">Australia’s support to the Nauru Ministry </w:t>
      </w:r>
      <w:r w:rsidR="009A6606">
        <w:t>of Health and Medical Services</w:t>
      </w:r>
      <w:r w:rsidR="002E198C">
        <w:t xml:space="preserve"> (MHMS)</w:t>
      </w:r>
      <w:r w:rsidR="009A6606">
        <w:t xml:space="preserve"> </w:t>
      </w:r>
      <w:r w:rsidRPr="00640F66">
        <w:t xml:space="preserve">included addressing personnel, policy and financial gaps through the provision of technical advisers, </w:t>
      </w:r>
      <w:r w:rsidR="00E65C75">
        <w:t>training,</w:t>
      </w:r>
      <w:r w:rsidR="00E65C75" w:rsidRPr="00640F66">
        <w:t xml:space="preserve"> </w:t>
      </w:r>
      <w:r w:rsidRPr="00640F66">
        <w:t xml:space="preserve">funding for pharmaceuticals and the implementation of key programs such as the public health and </w:t>
      </w:r>
      <w:r w:rsidR="006B1B41">
        <w:t>non-communicable disease</w:t>
      </w:r>
      <w:r w:rsidR="006B1B41" w:rsidRPr="00640F66">
        <w:t xml:space="preserve"> </w:t>
      </w:r>
      <w:r w:rsidRPr="00640F66">
        <w:t>strateg</w:t>
      </w:r>
      <w:r w:rsidR="00E65C75">
        <w:t>ies</w:t>
      </w:r>
      <w:r w:rsidRPr="00640F66">
        <w:t>.</w:t>
      </w:r>
      <w:r w:rsidR="00A135A9">
        <w:t xml:space="preserve"> Allocated funding from DFAT to support delivery of public health services and development of the Health Information Management System was mostly unexpended over the period. This was largely due to significant staffing changes in MHMS and delays in finalising critical technical assistance positions to support progress on these jointly agreed priorities (see Program Quality section below).</w:t>
      </w:r>
      <w:r w:rsidRPr="00640F66">
        <w:t xml:space="preserve"> </w:t>
      </w:r>
      <w:r w:rsidR="00D459E7">
        <w:t xml:space="preserve">These measures complement the redevelopment of parts of the Republic of Nauru Hospital (see </w:t>
      </w:r>
      <w:r w:rsidR="00F53430">
        <w:t xml:space="preserve">Objective 2 </w:t>
      </w:r>
      <w:r w:rsidR="00D459E7">
        <w:t>above).</w:t>
      </w:r>
    </w:p>
    <w:p w14:paraId="4576E43B" w14:textId="2641717E" w:rsidR="009A6606" w:rsidRDefault="00E65C75" w:rsidP="00B45F5A">
      <w:pPr>
        <w:spacing w:after="120"/>
      </w:pPr>
      <w:r w:rsidRPr="009A6606">
        <w:t xml:space="preserve">Australia </w:t>
      </w:r>
      <w:r>
        <w:t>supports implementation of</w:t>
      </w:r>
      <w:r w:rsidR="009A6606" w:rsidRPr="009A6606">
        <w:t xml:space="preserve"> Nauru’</w:t>
      </w:r>
      <w:r w:rsidR="003E526E">
        <w:t xml:space="preserve">s Education Sector Strategy 2017-2021 with </w:t>
      </w:r>
      <w:r w:rsidR="009A6606" w:rsidRPr="009A6606">
        <w:t xml:space="preserve">direct funding to the Nauru </w:t>
      </w:r>
      <w:r w:rsidR="0091453A">
        <w:t>Ministry</w:t>
      </w:r>
      <w:r w:rsidR="0091453A" w:rsidRPr="009A6606">
        <w:t xml:space="preserve"> </w:t>
      </w:r>
      <w:r w:rsidR="009A6606" w:rsidRPr="009A6606">
        <w:t>of Education</w:t>
      </w:r>
      <w:r w:rsidR="009A6606">
        <w:t xml:space="preserve"> through an operational account. In cooperation with Australia, the Government of Nauru uses this account to implement </w:t>
      </w:r>
      <w:r w:rsidR="003E526E">
        <w:t>their</w:t>
      </w:r>
      <w:r w:rsidR="009A6606">
        <w:t xml:space="preserve"> education strategy, which aims to provide educational pathways that are relevant locally and regionally.</w:t>
      </w:r>
      <w:r w:rsidR="00B45F5A">
        <w:t xml:space="preserve"> </w:t>
      </w:r>
      <w:r w:rsidR="00851D1B">
        <w:t xml:space="preserve">DFAT </w:t>
      </w:r>
      <w:r w:rsidR="003E526E">
        <w:t>support</w:t>
      </w:r>
      <w:r w:rsidR="00851D1B">
        <w:t xml:space="preserve"> contributed to</w:t>
      </w:r>
      <w:r w:rsidR="003E526E">
        <w:t xml:space="preserve"> development of</w:t>
      </w:r>
      <w:r w:rsidR="00CB61F3">
        <w:t xml:space="preserve"> a new Technical and Vocational Education and Training </w:t>
      </w:r>
      <w:r w:rsidR="00851D1B">
        <w:t xml:space="preserve">Strategic Plan </w:t>
      </w:r>
      <w:r w:rsidR="00CB61F3">
        <w:t>that</w:t>
      </w:r>
      <w:r w:rsidR="00851D1B">
        <w:t xml:space="preserve"> was </w:t>
      </w:r>
      <w:r w:rsidR="003E526E">
        <w:t>approved by</w:t>
      </w:r>
      <w:r w:rsidR="002E198C">
        <w:t xml:space="preserve"> the Nauruan</w:t>
      </w:r>
      <w:r w:rsidR="00851D1B">
        <w:t xml:space="preserve"> Cabinet in April 2017. </w:t>
      </w:r>
      <w:r w:rsidR="003733F2">
        <w:t>Further support</w:t>
      </w:r>
      <w:r w:rsidR="00851D1B">
        <w:t xml:space="preserve"> </w:t>
      </w:r>
      <w:r w:rsidR="003E526E">
        <w:t>will</w:t>
      </w:r>
      <w:r w:rsidR="00851D1B">
        <w:t xml:space="preserve"> </w:t>
      </w:r>
      <w:r w:rsidR="003E526E">
        <w:t>expand technical and vocational training on Nauru for secondary and post-secondary students</w:t>
      </w:r>
      <w:r w:rsidR="003733F2">
        <w:t xml:space="preserve"> unlocking</w:t>
      </w:r>
      <w:r w:rsidR="00851D1B">
        <w:t xml:space="preserve"> domestic and regional employment</w:t>
      </w:r>
      <w:r w:rsidR="003733F2" w:rsidRPr="003733F2">
        <w:t xml:space="preserve"> </w:t>
      </w:r>
      <w:r w:rsidR="003733F2">
        <w:t>opportunities</w:t>
      </w:r>
      <w:r w:rsidR="003E526E">
        <w:t>.</w:t>
      </w:r>
    </w:p>
    <w:p w14:paraId="7D1E941B" w14:textId="2AC6307F" w:rsidR="0084272C" w:rsidRDefault="0084272C" w:rsidP="00F80511">
      <w:pPr>
        <w:spacing w:after="120"/>
      </w:pPr>
      <w:r>
        <w:t>Through</w:t>
      </w:r>
      <w:r w:rsidR="003222ED" w:rsidRPr="003222ED">
        <w:t xml:space="preserve"> DFAT’s support</w:t>
      </w:r>
      <w:r>
        <w:t xml:space="preserve"> to the education sector</w:t>
      </w:r>
      <w:r w:rsidR="003222ED" w:rsidRPr="003222ED">
        <w:t xml:space="preserve">, </w:t>
      </w:r>
      <w:r w:rsidR="006879B9">
        <w:t>Nauru</w:t>
      </w:r>
      <w:r w:rsidR="003222ED" w:rsidRPr="003222ED">
        <w:t xml:space="preserve"> recruited</w:t>
      </w:r>
      <w:r w:rsidR="00BC77DF">
        <w:t xml:space="preserve"> 79</w:t>
      </w:r>
      <w:r w:rsidR="003222ED" w:rsidRPr="003222ED">
        <w:t xml:space="preserve"> qualified teachers</w:t>
      </w:r>
      <w:r w:rsidR="001235CF">
        <w:t xml:space="preserve"> from</w:t>
      </w:r>
      <w:r w:rsidR="002E198C">
        <w:t xml:space="preserve"> other</w:t>
      </w:r>
      <w:r w:rsidR="001235CF">
        <w:t xml:space="preserve"> Pacific </w:t>
      </w:r>
      <w:r w:rsidR="002E198C">
        <w:t xml:space="preserve">countries </w:t>
      </w:r>
      <w:r w:rsidR="00BC77DF">
        <w:t>in 2016 and 2017</w:t>
      </w:r>
      <w:r w:rsidR="001235CF">
        <w:t xml:space="preserve"> to fill existing vacancies</w:t>
      </w:r>
      <w:r w:rsidR="00975B64">
        <w:t xml:space="preserve">. Nauru </w:t>
      </w:r>
      <w:r w:rsidR="00E65C75">
        <w:t>is continuing</w:t>
      </w:r>
      <w:r w:rsidR="00975B64">
        <w:t xml:space="preserve"> an innovative, </w:t>
      </w:r>
      <w:r w:rsidR="007074DC">
        <w:t>online, i</w:t>
      </w:r>
      <w:r w:rsidR="007074DC" w:rsidRPr="003222ED">
        <w:t>n-country program</w:t>
      </w:r>
      <w:r w:rsidR="007074DC">
        <w:t xml:space="preserve"> </w:t>
      </w:r>
      <w:r w:rsidR="00975B64">
        <w:t>that</w:t>
      </w:r>
      <w:r w:rsidR="007074DC">
        <w:t xml:space="preserve"> </w:t>
      </w:r>
      <w:r w:rsidR="007074DC" w:rsidRPr="003222ED">
        <w:t>has</w:t>
      </w:r>
      <w:r w:rsidR="007074DC">
        <w:t xml:space="preserve"> </w:t>
      </w:r>
      <w:r w:rsidR="00E21787">
        <w:t xml:space="preserve">enabled </w:t>
      </w:r>
      <w:r w:rsidR="007074DC" w:rsidRPr="003222ED">
        <w:t>21</w:t>
      </w:r>
      <w:r w:rsidR="007074DC">
        <w:t xml:space="preserve"> </w:t>
      </w:r>
      <w:r w:rsidR="00B27F93">
        <w:t>Nauru</w:t>
      </w:r>
      <w:r w:rsidR="002E198C">
        <w:t>an</w:t>
      </w:r>
      <w:r w:rsidR="00B27F93">
        <w:t xml:space="preserve"> </w:t>
      </w:r>
      <w:r w:rsidR="007074DC">
        <w:t xml:space="preserve">students </w:t>
      </w:r>
      <w:r w:rsidR="00E65C75">
        <w:t xml:space="preserve">to </w:t>
      </w:r>
      <w:r w:rsidR="007074DC">
        <w:t>graduate with</w:t>
      </w:r>
      <w:r w:rsidR="007074DC" w:rsidRPr="003222ED">
        <w:t xml:space="preserve"> Associate Degrees in Teaching (Pacific Focus) and </w:t>
      </w:r>
      <w:r w:rsidR="007074DC" w:rsidRPr="006A03AE">
        <w:t>four</w:t>
      </w:r>
      <w:r w:rsidR="007074DC" w:rsidRPr="003222ED">
        <w:t xml:space="preserve"> </w:t>
      </w:r>
      <w:r w:rsidR="00CB61F3">
        <w:t>with</w:t>
      </w:r>
      <w:r w:rsidR="007074DC" w:rsidRPr="003222ED">
        <w:t xml:space="preserve"> Diplomas in Community </w:t>
      </w:r>
      <w:r w:rsidR="007074DC" w:rsidRPr="003222ED">
        <w:lastRenderedPageBreak/>
        <w:t>Wellbeing.</w:t>
      </w:r>
      <w:r w:rsidR="007074DC">
        <w:t xml:space="preserve"> </w:t>
      </w:r>
      <w:r w:rsidR="003733F2">
        <w:t xml:space="preserve"> T</w:t>
      </w:r>
      <w:r w:rsidR="00CB61F3">
        <w:t>o date t</w:t>
      </w:r>
      <w:r w:rsidR="007074DC">
        <w:t xml:space="preserve">his program has boosted the </w:t>
      </w:r>
      <w:r w:rsidR="004D7DE3">
        <w:t>proportion of Nauruan teachers with a diploma-level qualification by 10</w:t>
      </w:r>
      <w:r w:rsidR="003733F2">
        <w:t xml:space="preserve"> per cent</w:t>
      </w:r>
      <w:r w:rsidR="004D7DE3">
        <w:t>.</w:t>
      </w:r>
    </w:p>
    <w:p w14:paraId="1924C67F" w14:textId="5F4C2918" w:rsidR="008329F7" w:rsidRDefault="007074DC" w:rsidP="00E15595">
      <w:pPr>
        <w:spacing w:after="120"/>
      </w:pPr>
      <w:r>
        <w:t xml:space="preserve">Separately, </w:t>
      </w:r>
      <w:r w:rsidR="00E15595">
        <w:t>under the Australia Award</w:t>
      </w:r>
      <w:r w:rsidR="002E198C">
        <w:t>s</w:t>
      </w:r>
      <w:r w:rsidR="00E15595">
        <w:t xml:space="preserve"> Scholarship</w:t>
      </w:r>
      <w:r w:rsidR="00F62EEA">
        <w:t xml:space="preserve"> and Australia Awards Pacific Scholarship</w:t>
      </w:r>
      <w:r w:rsidR="00E15595">
        <w:t xml:space="preserve"> program</w:t>
      </w:r>
      <w:r w:rsidR="00F62EEA">
        <w:t>s</w:t>
      </w:r>
      <w:r w:rsidR="00E15595">
        <w:t xml:space="preserve">, </w:t>
      </w:r>
      <w:r w:rsidR="00F62EEA">
        <w:t xml:space="preserve">11 </w:t>
      </w:r>
      <w:r>
        <w:t>students graduated over 2016-17</w:t>
      </w:r>
      <w:r w:rsidRPr="003222ED">
        <w:t xml:space="preserve"> in the areas of</w:t>
      </w:r>
      <w:r w:rsidR="00F62EEA">
        <w:t xml:space="preserve"> education, development, arts, science,</w:t>
      </w:r>
      <w:r w:rsidRPr="003222ED">
        <w:t xml:space="preserve"> </w:t>
      </w:r>
      <w:r>
        <w:t>h</w:t>
      </w:r>
      <w:r w:rsidRPr="003222ED">
        <w:t xml:space="preserve">ealth and </w:t>
      </w:r>
      <w:r>
        <w:t>c</w:t>
      </w:r>
      <w:r w:rsidRPr="003222ED">
        <w:t xml:space="preserve">ommerce. </w:t>
      </w:r>
      <w:r w:rsidRPr="001235CF">
        <w:t>A cohort of</w:t>
      </w:r>
      <w:r w:rsidR="002E198C" w:rsidRPr="002E198C">
        <w:t xml:space="preserve"> </w:t>
      </w:r>
      <w:r w:rsidR="002E198C">
        <w:t>a further</w:t>
      </w:r>
      <w:r w:rsidRPr="001235CF">
        <w:t xml:space="preserve"> 18 students (ten women and eight men) commenced studies</w:t>
      </w:r>
      <w:r>
        <w:t xml:space="preserve"> </w:t>
      </w:r>
      <w:r w:rsidR="00E15595">
        <w:t xml:space="preserve">for </w:t>
      </w:r>
      <w:r w:rsidR="002E198C">
        <w:t>advanced certificate</w:t>
      </w:r>
      <w:r w:rsidR="00E15595">
        <w:t xml:space="preserve">, </w:t>
      </w:r>
      <w:r w:rsidR="002E198C">
        <w:t>b</w:t>
      </w:r>
      <w:r w:rsidR="002E198C" w:rsidRPr="001235CF">
        <w:t xml:space="preserve">achelor </w:t>
      </w:r>
      <w:r w:rsidRPr="001235CF">
        <w:t xml:space="preserve">and </w:t>
      </w:r>
      <w:r w:rsidR="002E198C">
        <w:t>m</w:t>
      </w:r>
      <w:r w:rsidR="002E198C" w:rsidRPr="001235CF">
        <w:t xml:space="preserve">aster </w:t>
      </w:r>
      <w:r w:rsidRPr="001235CF">
        <w:t>degrees</w:t>
      </w:r>
      <w:r>
        <w:t xml:space="preserve"> in 2017.</w:t>
      </w:r>
    </w:p>
    <w:p w14:paraId="32DFC530" w14:textId="0F2AB643" w:rsidR="003615E2" w:rsidRDefault="00BC77DF" w:rsidP="00CE6A18">
      <w:pPr>
        <w:spacing w:after="120"/>
      </w:pPr>
      <w:r>
        <w:t xml:space="preserve">Despite </w:t>
      </w:r>
      <w:r w:rsidR="00E15595">
        <w:t>some good</w:t>
      </w:r>
      <w:r>
        <w:t xml:space="preserve"> progress in a number of initiatives</w:t>
      </w:r>
      <w:r w:rsidR="00E15595">
        <w:t>, education and health indicators remain below regional standards.</w:t>
      </w:r>
      <w:r w:rsidR="00CE6A18">
        <w:t xml:space="preserve"> Progress in these sectors is often constrained by </w:t>
      </w:r>
      <w:r w:rsidR="00F53430">
        <w:t>a lack of actionable data</w:t>
      </w:r>
      <w:r w:rsidR="00CE6A18">
        <w:t xml:space="preserve"> </w:t>
      </w:r>
      <w:r w:rsidR="002E198C">
        <w:t xml:space="preserve">on which to base policy-making </w:t>
      </w:r>
      <w:r w:rsidR="00CE6A18">
        <w:t xml:space="preserve">and ongoing human resource constraints. The </w:t>
      </w:r>
      <w:r w:rsidR="00CB61F3">
        <w:t>development</w:t>
      </w:r>
      <w:r w:rsidR="00CE6A18">
        <w:t xml:space="preserve"> of Australian-standard infrastructure</w:t>
      </w:r>
      <w:r w:rsidR="002E198C">
        <w:t xml:space="preserve">, </w:t>
      </w:r>
      <w:r w:rsidR="00CE6A18">
        <w:t xml:space="preserve">such as the </w:t>
      </w:r>
      <w:r w:rsidR="00CB61F3">
        <w:t>Republic of Nauru</w:t>
      </w:r>
      <w:r w:rsidR="00CE6A18">
        <w:t xml:space="preserve"> Hospital and the Learning Village</w:t>
      </w:r>
      <w:r w:rsidR="002E198C">
        <w:t>,</w:t>
      </w:r>
      <w:r w:rsidR="00CE6A18">
        <w:t xml:space="preserve"> present</w:t>
      </w:r>
      <w:r w:rsidR="003733F2">
        <w:t>s</w:t>
      </w:r>
      <w:r w:rsidR="00CE6A18">
        <w:t xml:space="preserve"> </w:t>
      </w:r>
      <w:r w:rsidR="00CE6A18" w:rsidRPr="00CE6A18">
        <w:t>a significant opportunity for improved health</w:t>
      </w:r>
      <w:r w:rsidR="00CE6A18">
        <w:t xml:space="preserve"> and education</w:t>
      </w:r>
      <w:r w:rsidR="00CE6A18" w:rsidRPr="00CE6A18">
        <w:t xml:space="preserve"> outcomes over the coming years</w:t>
      </w:r>
      <w:r w:rsidR="002E198C">
        <w:t>, although regular maintenance will be critical</w:t>
      </w:r>
      <w:r w:rsidR="00F53430">
        <w:t xml:space="preserve">. This will be </w:t>
      </w:r>
      <w:r w:rsidR="00CE6A18">
        <w:t>complemented by technical assistance for operational planning and reporting</w:t>
      </w:r>
      <w:r w:rsidR="00F53430">
        <w:t xml:space="preserve">, as well as </w:t>
      </w:r>
      <w:r w:rsidR="00CE6A18">
        <w:t xml:space="preserve">capacity building for </w:t>
      </w:r>
      <w:r w:rsidR="003733F2">
        <w:t>departmental staff</w:t>
      </w:r>
      <w:r w:rsidR="00CE6A18">
        <w:t xml:space="preserve">. </w:t>
      </w:r>
    </w:p>
    <w:p w14:paraId="4D9C8E1D" w14:textId="77777777" w:rsidR="005B5769" w:rsidRPr="00015316" w:rsidRDefault="005B5769" w:rsidP="00044A26">
      <w:pPr>
        <w:pStyle w:val="ListBullet"/>
        <w:keepNext/>
        <w:tabs>
          <w:tab w:val="clear" w:pos="284"/>
        </w:tabs>
        <w:spacing w:before="400"/>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Mutual Obligations</w:t>
      </w:r>
    </w:p>
    <w:p w14:paraId="0A04D9E9" w14:textId="1D5C38FC" w:rsidR="005F395C" w:rsidRPr="00E65C75" w:rsidRDefault="005F395C" w:rsidP="00E65C75">
      <w:pPr>
        <w:spacing w:after="120"/>
      </w:pPr>
      <w:r w:rsidRPr="00E65C75">
        <w:t>Australia continues to deliver effective and predictable development assistance in line with the Government of Nauru’s National Sustainable Development Strategy</w:t>
      </w:r>
      <w:r w:rsidR="0038010E">
        <w:t>,</w:t>
      </w:r>
      <w:r w:rsidR="0038010E" w:rsidRPr="00E65C75">
        <w:t xml:space="preserve"> </w:t>
      </w:r>
      <w:r w:rsidRPr="00E65C75">
        <w:t>sector strategies</w:t>
      </w:r>
      <w:r w:rsidR="00C37F6A" w:rsidRPr="00E65C75">
        <w:t xml:space="preserve">, the </w:t>
      </w:r>
      <w:r w:rsidR="009B12F9" w:rsidRPr="00E65C75">
        <w:t>Nauru Aid Investment Plan 2015-16 to 2018-19</w:t>
      </w:r>
      <w:r w:rsidR="0038010E">
        <w:t>,</w:t>
      </w:r>
      <w:r w:rsidR="009B12F9" w:rsidRPr="00E65C75">
        <w:t xml:space="preserve"> and the new </w:t>
      </w:r>
      <w:r w:rsidR="009B12F9" w:rsidRPr="0091453A">
        <w:t>Aid Partnership Arrangement 2016-2019</w:t>
      </w:r>
      <w:r w:rsidRPr="00B412E3">
        <w:t>.</w:t>
      </w:r>
      <w:r w:rsidRPr="00E65C75">
        <w:t xml:space="preserve"> As highlighted in the 2015</w:t>
      </w:r>
      <w:r w:rsidR="002E198C">
        <w:t>-16</w:t>
      </w:r>
      <w:r w:rsidRPr="00E65C75">
        <w:t xml:space="preserve"> APPR, the Government of Nauru has continued to increase its expenditure in education and health, however planning and resourcing for infrastructure maintenance requires more attention. </w:t>
      </w:r>
      <w:r w:rsidR="006E2A11">
        <w:t>Nauru and Australia have maintained each party’s MOU obligations to contribute to the Nauru Trust Fund.</w:t>
      </w:r>
    </w:p>
    <w:p w14:paraId="77287E48" w14:textId="4BB22368" w:rsidR="005F395C" w:rsidRPr="00E65C75" w:rsidRDefault="005F395C" w:rsidP="00E65C75">
      <w:pPr>
        <w:spacing w:after="120"/>
      </w:pPr>
      <w:r w:rsidRPr="00E65C75">
        <w:t xml:space="preserve">The Governments of Australia and Nauru have jointly committed to improving Nauru’s procurement and financial systems to ensure that </w:t>
      </w:r>
      <w:r w:rsidR="0038010E">
        <w:t>Nauru</w:t>
      </w:r>
      <w:r w:rsidRPr="00E65C75">
        <w:t xml:space="preserve"> and development partner funds are disbursed economically and ethically, and provide the grea</w:t>
      </w:r>
      <w:r w:rsidR="00D1069E" w:rsidRPr="00E65C75">
        <w:t xml:space="preserve">test possible value for money. </w:t>
      </w:r>
      <w:r w:rsidR="00D1069E">
        <w:t>DFAT also maintains a</w:t>
      </w:r>
      <w:r w:rsidRPr="00E65C75">
        <w:t xml:space="preserve"> zero-tolerance approach to fraudulent and corrupt actions against Australia’s develo</w:t>
      </w:r>
      <w:r w:rsidR="00D1069E" w:rsidRPr="00E65C75">
        <w:t>pment program with Nauru</w:t>
      </w:r>
      <w:r w:rsidR="006608F1" w:rsidRPr="00E65C75">
        <w:t xml:space="preserve">, overseen through six-monthly audits of </w:t>
      </w:r>
      <w:r w:rsidR="006E2A11">
        <w:t>the</w:t>
      </w:r>
      <w:r w:rsidR="006608F1" w:rsidRPr="00E65C75">
        <w:t xml:space="preserve"> operational account</w:t>
      </w:r>
      <w:r w:rsidRPr="00E65C75">
        <w:t xml:space="preserve">. </w:t>
      </w:r>
      <w:r w:rsidR="009B12F9" w:rsidRPr="00E65C75">
        <w:t>Two</w:t>
      </w:r>
      <w:r w:rsidRPr="00E65C75">
        <w:t xml:space="preserve"> </w:t>
      </w:r>
      <w:r w:rsidR="00F53430">
        <w:t xml:space="preserve">reported </w:t>
      </w:r>
      <w:r w:rsidRPr="00E65C75">
        <w:t>instance</w:t>
      </w:r>
      <w:r w:rsidR="009B12F9" w:rsidRPr="00E65C75">
        <w:t>s</w:t>
      </w:r>
      <w:r w:rsidRPr="00E65C75">
        <w:t xml:space="preserve"> of possible</w:t>
      </w:r>
      <w:r w:rsidR="006608F1" w:rsidRPr="00E65C75">
        <w:t xml:space="preserve"> fraud</w:t>
      </w:r>
      <w:r w:rsidRPr="00E65C75">
        <w:t xml:space="preserve"> </w:t>
      </w:r>
      <w:r w:rsidR="006608F1" w:rsidRPr="00E65C75">
        <w:t>were</w:t>
      </w:r>
      <w:r w:rsidRPr="00E65C75">
        <w:t xml:space="preserve"> favourably resolved</w:t>
      </w:r>
      <w:r w:rsidR="006608F1" w:rsidRPr="00E65C75">
        <w:t xml:space="preserve"> in </w:t>
      </w:r>
      <w:r w:rsidR="00F53430">
        <w:t>2016-17</w:t>
      </w:r>
      <w:r w:rsidR="00A3734B">
        <w:t>, with none outstanding for the program</w:t>
      </w:r>
      <w:r w:rsidR="00D1069E" w:rsidRPr="00E65C75">
        <w:t xml:space="preserve">. </w:t>
      </w:r>
      <w:r w:rsidR="00D1069E">
        <w:t>T</w:t>
      </w:r>
      <w:r w:rsidR="009B12F9" w:rsidRPr="0038010E">
        <w:t>wo</w:t>
      </w:r>
      <w:r w:rsidRPr="00E65C75">
        <w:t xml:space="preserve"> interim </w:t>
      </w:r>
      <w:r w:rsidR="00D1069E">
        <w:t>i</w:t>
      </w:r>
      <w:r w:rsidRPr="0038010E">
        <w:t xml:space="preserve">ndependent </w:t>
      </w:r>
      <w:r w:rsidR="00D1069E">
        <w:t>p</w:t>
      </w:r>
      <w:r w:rsidRPr="0038010E">
        <w:t xml:space="preserve">rocurement </w:t>
      </w:r>
      <w:r w:rsidR="00D1069E">
        <w:t>a</w:t>
      </w:r>
      <w:r w:rsidRPr="0038010E">
        <w:t>gent</w:t>
      </w:r>
      <w:r w:rsidR="009B12F9" w:rsidRPr="0038010E">
        <w:t>s</w:t>
      </w:r>
      <w:r w:rsidRPr="00E65C75">
        <w:t xml:space="preserve"> </w:t>
      </w:r>
      <w:r w:rsidR="005556F4" w:rsidRPr="00E65C75">
        <w:t>were</w:t>
      </w:r>
      <w:r w:rsidRPr="00E65C75">
        <w:t xml:space="preserve"> </w:t>
      </w:r>
      <w:r w:rsidR="009B12F9" w:rsidRPr="00E65C75">
        <w:t xml:space="preserve">terminated </w:t>
      </w:r>
      <w:r w:rsidR="006E2A11">
        <w:t xml:space="preserve">by </w:t>
      </w:r>
      <w:r w:rsidR="002E198C">
        <w:t xml:space="preserve">the Government </w:t>
      </w:r>
      <w:r w:rsidR="009B12F9" w:rsidRPr="00E65C75">
        <w:t>in the last year for poor performance</w:t>
      </w:r>
      <w:r w:rsidR="008B04DA" w:rsidRPr="00E65C75">
        <w:t>,</w:t>
      </w:r>
      <w:r w:rsidR="00D1069E" w:rsidRPr="00E65C75">
        <w:t xml:space="preserve"> </w:t>
      </w:r>
      <w:r w:rsidR="00D1069E">
        <w:t>and</w:t>
      </w:r>
      <w:r w:rsidR="008B04DA" w:rsidRPr="00E65C75">
        <w:t xml:space="preserve"> </w:t>
      </w:r>
      <w:r w:rsidRPr="00E65C75">
        <w:t>A</w:t>
      </w:r>
      <w:r w:rsidR="009B12F9" w:rsidRPr="00E65C75">
        <w:t>ustralia has been hel</w:t>
      </w:r>
      <w:r w:rsidR="00D1069E" w:rsidRPr="00E65C75">
        <w:t xml:space="preserve">ping to review and complete </w:t>
      </w:r>
      <w:r w:rsidR="00D1069E">
        <w:t>Nauru’s</w:t>
      </w:r>
      <w:r w:rsidR="00D1069E" w:rsidRPr="00E65C75">
        <w:t xml:space="preserve"> </w:t>
      </w:r>
      <w:r w:rsidR="009B12F9" w:rsidRPr="00E65C75">
        <w:t>procurement guidelines ahead of a</w:t>
      </w:r>
      <w:r w:rsidR="00A83725" w:rsidRPr="00E65C75">
        <w:t xml:space="preserve">n open tender for </w:t>
      </w:r>
      <w:r w:rsidR="00F53430">
        <w:t xml:space="preserve">a </w:t>
      </w:r>
      <w:r w:rsidR="00A83725">
        <w:t>replacement</w:t>
      </w:r>
      <w:r w:rsidRPr="00E65C75">
        <w:t xml:space="preserve">. </w:t>
      </w:r>
    </w:p>
    <w:p w14:paraId="67818AA9" w14:textId="2ECEA49B" w:rsidR="006608F1" w:rsidRPr="006E2A11" w:rsidRDefault="00F53430" w:rsidP="00E65C75">
      <w:pPr>
        <w:spacing w:after="120"/>
      </w:pPr>
      <w:r>
        <w:lastRenderedPageBreak/>
        <w:t>Nauru remains active in regional and global climate change discussion</w:t>
      </w:r>
      <w:r w:rsidR="00586FD8">
        <w:t>s</w:t>
      </w:r>
      <w:r>
        <w:t xml:space="preserve"> – as an island nation that experiences drought and will be affected by rising sea levels. In </w:t>
      </w:r>
      <w:r w:rsidR="002E198C">
        <w:t xml:space="preserve">June </w:t>
      </w:r>
      <w:r>
        <w:t xml:space="preserve">2017 </w:t>
      </w:r>
      <w:r w:rsidR="006608F1" w:rsidRPr="00E65C75">
        <w:t>Nauru signed the</w:t>
      </w:r>
      <w:r w:rsidR="005556F4" w:rsidRPr="00E65C75">
        <w:t xml:space="preserve"> regional</w:t>
      </w:r>
      <w:r w:rsidR="006608F1" w:rsidRPr="00E65C75">
        <w:t xml:space="preserve"> PACER Plus agreement after years of negotiations</w:t>
      </w:r>
      <w:r w:rsidR="00A83725">
        <w:t>,</w:t>
      </w:r>
      <w:r w:rsidR="006608F1" w:rsidRPr="00E65C75">
        <w:t xml:space="preserve"> and will receive associated support from Australia to strengthen tax and customs systems ahead of implementing the agreed reductions in tariff barriers.</w:t>
      </w:r>
      <w:r w:rsidR="005556F4" w:rsidRPr="00E65C75">
        <w:t xml:space="preserve"> </w:t>
      </w:r>
      <w:r>
        <w:t>Also i</w:t>
      </w:r>
      <w:r w:rsidR="005556F4" w:rsidRPr="00E65C75">
        <w:t xml:space="preserve">n April 2017, Nauru and Australia signed a Memorandum of Understanding </w:t>
      </w:r>
      <w:r w:rsidR="002E198C">
        <w:t>for the</w:t>
      </w:r>
      <w:r w:rsidR="005556F4" w:rsidRPr="00E65C75">
        <w:t xml:space="preserve"> Northern Australia Workers Pilot Program, offering Nauruans an expanded range of </w:t>
      </w:r>
      <w:r w:rsidR="003A1523" w:rsidRPr="00E65C75">
        <w:t xml:space="preserve">Australia-based </w:t>
      </w:r>
      <w:r w:rsidR="005556F4" w:rsidRPr="00E65C75">
        <w:t xml:space="preserve">employment opportunities </w:t>
      </w:r>
      <w:r w:rsidR="003A1523" w:rsidRPr="00E65C75">
        <w:t xml:space="preserve">in comparison with the </w:t>
      </w:r>
      <w:r w:rsidR="0074050B" w:rsidRPr="00E65C75">
        <w:t>existing Seasonal Worker Programme</w:t>
      </w:r>
      <w:r w:rsidR="005556F4" w:rsidRPr="00E65C75">
        <w:t xml:space="preserve">. </w:t>
      </w:r>
      <w:r w:rsidR="007E43A6">
        <w:t>C</w:t>
      </w:r>
      <w:r w:rsidR="005556F4" w:rsidRPr="006E2A11">
        <w:t>apacity building support for recruitment, training and networking to maximise participation in th</w:t>
      </w:r>
      <w:r w:rsidR="0074050B" w:rsidRPr="006E2A11">
        <w:t>ese</w:t>
      </w:r>
      <w:r w:rsidR="005556F4" w:rsidRPr="006E2A11">
        <w:t xml:space="preserve"> program</w:t>
      </w:r>
      <w:r w:rsidR="0074050B" w:rsidRPr="006E2A11">
        <w:t>s</w:t>
      </w:r>
      <w:r w:rsidR="005556F4" w:rsidRPr="006E2A11">
        <w:t xml:space="preserve"> and subsequent labour mobility initiatives</w:t>
      </w:r>
      <w:r w:rsidR="007E43A6" w:rsidRPr="006E2A11">
        <w:t xml:space="preserve"> will be a key priority of DFAT’s engagement in the coming years</w:t>
      </w:r>
      <w:r w:rsidR="005556F4" w:rsidRPr="006E2A11">
        <w:t>.</w:t>
      </w:r>
    </w:p>
    <w:p w14:paraId="6FB174FF" w14:textId="77777777" w:rsidR="005B5769" w:rsidRPr="00015316" w:rsidRDefault="005B5769" w:rsidP="00015316">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Program Quality</w:t>
      </w:r>
    </w:p>
    <w:p w14:paraId="05E2414B" w14:textId="4641A1C6" w:rsidR="009020CC" w:rsidRPr="00AE28C8" w:rsidRDefault="009020CC" w:rsidP="006E2A11">
      <w:pPr>
        <w:spacing w:after="120"/>
      </w:pPr>
      <w:r w:rsidRPr="00AE28C8">
        <w:t xml:space="preserve">Aid Quality Check ratings for 2016-17 </w:t>
      </w:r>
      <w:r w:rsidR="0091478B">
        <w:t>indicated varying levels of progress across Australia’s key investments.</w:t>
      </w:r>
      <w:r w:rsidRPr="00AE28C8">
        <w:t xml:space="preserve"> </w:t>
      </w:r>
      <w:r w:rsidR="0091478B">
        <w:t xml:space="preserve">Our </w:t>
      </w:r>
      <w:r w:rsidRPr="00AE28C8">
        <w:t xml:space="preserve">support </w:t>
      </w:r>
      <w:r w:rsidR="00D603F1">
        <w:t>continues to be</w:t>
      </w:r>
      <w:r w:rsidR="00D603F1" w:rsidRPr="00AE28C8">
        <w:t xml:space="preserve"> </w:t>
      </w:r>
      <w:r w:rsidRPr="00AE28C8">
        <w:t>well</w:t>
      </w:r>
      <w:r w:rsidR="006E2A11">
        <w:t xml:space="preserve"> </w:t>
      </w:r>
      <w:r w:rsidRPr="00AE28C8">
        <w:t xml:space="preserve">aligned with existing national policies on sustainability, sectoral strategies and </w:t>
      </w:r>
      <w:r w:rsidRPr="006E2A11">
        <w:t>Sustainable Development Goal</w:t>
      </w:r>
      <w:r w:rsidRPr="00AE28C8">
        <w:t xml:space="preserve"> indicators. </w:t>
      </w:r>
      <w:r w:rsidR="00AB04FC">
        <w:t>DFAT has prioritised monitoring and evaluation systems going forward.</w:t>
      </w:r>
    </w:p>
    <w:p w14:paraId="53EF8807" w14:textId="72450760" w:rsidR="009020CC" w:rsidRPr="00AE28C8" w:rsidRDefault="004F027D" w:rsidP="006E2A11">
      <w:pPr>
        <w:spacing w:after="120"/>
      </w:pPr>
      <w:r w:rsidRPr="00AE28C8">
        <w:t>The five</w:t>
      </w:r>
      <w:r>
        <w:t xml:space="preserve"> PACTAM</w:t>
      </w:r>
      <w:r w:rsidRPr="00AE28C8">
        <w:t xml:space="preserve"> Advisers in the Ministry of Finance have contributed markedly to stability</w:t>
      </w:r>
      <w:r w:rsidR="00AB04FC">
        <w:t xml:space="preserve"> and reform within the sector. </w:t>
      </w:r>
      <w:r>
        <w:t xml:space="preserve">When compared against the overall cost </w:t>
      </w:r>
      <w:r w:rsidRPr="00AE28C8">
        <w:t xml:space="preserve">(around 6.5 per cent of the </w:t>
      </w:r>
      <w:r>
        <w:t>bilateral budget), t</w:t>
      </w:r>
      <w:r w:rsidR="009020CC" w:rsidRPr="00AE28C8">
        <w:t>he</w:t>
      </w:r>
      <w:r>
        <w:t>ir</w:t>
      </w:r>
      <w:r w:rsidR="009020CC" w:rsidRPr="00AE28C8">
        <w:t xml:space="preserve"> </w:t>
      </w:r>
      <w:r>
        <w:t>demonstrated</w:t>
      </w:r>
      <w:r w:rsidRPr="00AE28C8">
        <w:t xml:space="preserve"> </w:t>
      </w:r>
      <w:r w:rsidR="009020CC" w:rsidRPr="00AE28C8">
        <w:t>impact and</w:t>
      </w:r>
      <w:r>
        <w:t>, therefore,</w:t>
      </w:r>
      <w:r w:rsidR="009020CC" w:rsidRPr="00AE28C8">
        <w:t xml:space="preserve"> value for money is quite high</w:t>
      </w:r>
      <w:r w:rsidR="00AB04FC">
        <w:t xml:space="preserve">. </w:t>
      </w:r>
      <w:r w:rsidR="00C62D84">
        <w:t>For these reasons,</w:t>
      </w:r>
      <w:r w:rsidR="00B412E3">
        <w:t xml:space="preserve"> the</w:t>
      </w:r>
      <w:r w:rsidR="00C62D84" w:rsidRPr="00C62D84">
        <w:t xml:space="preserve"> </w:t>
      </w:r>
      <w:r w:rsidR="00AB04FC">
        <w:t>p</w:t>
      </w:r>
      <w:r w:rsidR="00C62D84" w:rsidRPr="00C62D84">
        <w:t xml:space="preserve">ublic </w:t>
      </w:r>
      <w:r w:rsidR="00AB04FC">
        <w:t>s</w:t>
      </w:r>
      <w:r w:rsidR="00C62D84" w:rsidRPr="00C62D84">
        <w:t xml:space="preserve">ector </w:t>
      </w:r>
      <w:r w:rsidR="00AB04FC">
        <w:t>m</w:t>
      </w:r>
      <w:r w:rsidR="00C62D84" w:rsidRPr="00C62D84">
        <w:t>anagement</w:t>
      </w:r>
      <w:r w:rsidR="00AB04FC">
        <w:t xml:space="preserve"> objective</w:t>
      </w:r>
      <w:r w:rsidR="00C62D84" w:rsidRPr="00C62D84">
        <w:t xml:space="preserve"> continued to rate</w:t>
      </w:r>
      <w:r w:rsidR="00C62D84">
        <w:t xml:space="preserve"> as</w:t>
      </w:r>
      <w:r w:rsidR="004347F5">
        <w:t xml:space="preserve"> a good or adequate DFAT investment</w:t>
      </w:r>
      <w:r w:rsidR="00C62D84">
        <w:t xml:space="preserve"> against</w:t>
      </w:r>
      <w:r w:rsidR="00C62D84" w:rsidRPr="00C62D84">
        <w:t xml:space="preserve"> most </w:t>
      </w:r>
      <w:r w:rsidR="00C62D84">
        <w:t>criteria.</w:t>
      </w:r>
      <w:r w:rsidR="00C62D84" w:rsidRPr="00C62D84">
        <w:t xml:space="preserve">  </w:t>
      </w:r>
    </w:p>
    <w:p w14:paraId="27424DB6" w14:textId="37504059" w:rsidR="00AB04FC" w:rsidRDefault="00AB04FC" w:rsidP="0038010E">
      <w:pPr>
        <w:spacing w:after="120"/>
      </w:pPr>
      <w:r>
        <w:t>The ratings for i</w:t>
      </w:r>
      <w:r w:rsidR="009020CC" w:rsidRPr="00AE28C8">
        <w:t xml:space="preserve">nvesting in </w:t>
      </w:r>
      <w:r>
        <w:t>i</w:t>
      </w:r>
      <w:r w:rsidR="009020CC" w:rsidRPr="00AE28C8">
        <w:t>nfrastructure are ge</w:t>
      </w:r>
      <w:r>
        <w:t xml:space="preserve">nerally improved from 2015-16. </w:t>
      </w:r>
      <w:r w:rsidR="009020CC" w:rsidRPr="00AE28C8">
        <w:t xml:space="preserve">The arrival in July 2017 of </w:t>
      </w:r>
      <w:r w:rsidR="00F660E6">
        <w:t>two</w:t>
      </w:r>
      <w:r w:rsidR="009020CC" w:rsidRPr="00AE28C8">
        <w:t xml:space="preserve"> 2.</w:t>
      </w:r>
      <w:r w:rsidR="00B412E3">
        <w:t>8</w:t>
      </w:r>
      <w:r w:rsidR="009020CC" w:rsidRPr="00AE28C8">
        <w:t xml:space="preserve"> MW diesel generator</w:t>
      </w:r>
      <w:r w:rsidR="00F660E6">
        <w:t>s</w:t>
      </w:r>
      <w:r w:rsidR="009020CC" w:rsidRPr="00AE28C8">
        <w:t xml:space="preserve"> marks the final phase</w:t>
      </w:r>
      <w:r w:rsidR="00A011C7">
        <w:t xml:space="preserve"> of the</w:t>
      </w:r>
      <w:r w:rsidR="009020CC" w:rsidRPr="00AE28C8">
        <w:t xml:space="preserve"> $6.4 million project co-</w:t>
      </w:r>
      <w:r>
        <w:t xml:space="preserve">funded with the ADB. </w:t>
      </w:r>
      <w:r w:rsidR="009020CC" w:rsidRPr="00AE28C8">
        <w:t xml:space="preserve">DFAT has </w:t>
      </w:r>
      <w:r w:rsidR="0075525C">
        <w:t xml:space="preserve">also </w:t>
      </w:r>
      <w:r w:rsidR="009020CC" w:rsidRPr="00AE28C8">
        <w:t>supported the</w:t>
      </w:r>
      <w:r w:rsidR="0075525C">
        <w:t xml:space="preserve"> complementary</w:t>
      </w:r>
      <w:r w:rsidR="009020CC" w:rsidRPr="00AE28C8">
        <w:t xml:space="preserve"> position of</w:t>
      </w:r>
      <w:r w:rsidR="00B412E3">
        <w:t xml:space="preserve"> the</w:t>
      </w:r>
      <w:r w:rsidR="009020CC" w:rsidRPr="00AE28C8">
        <w:t xml:space="preserve"> </w:t>
      </w:r>
      <w:r w:rsidR="00B412E3">
        <w:t>NUC</w:t>
      </w:r>
      <w:r w:rsidR="009020CC" w:rsidRPr="00AE28C8">
        <w:t xml:space="preserve"> CEO through PACTAM since 2013</w:t>
      </w:r>
      <w:r w:rsidR="00D603F1">
        <w:t>, which has</w:t>
      </w:r>
      <w:r w:rsidR="0075525C">
        <w:t xml:space="preserve"> resulted in strong improvements </w:t>
      </w:r>
      <w:r w:rsidR="00F660E6">
        <w:t>in the Corporation’s performance</w:t>
      </w:r>
      <w:r w:rsidR="00D603F1">
        <w:t>.</w:t>
      </w:r>
      <w:r w:rsidR="00D603F1" w:rsidRPr="00AE28C8">
        <w:t xml:space="preserve"> </w:t>
      </w:r>
    </w:p>
    <w:p w14:paraId="35ABF870" w14:textId="7D2835FD" w:rsidR="009020CC" w:rsidRDefault="007074DC" w:rsidP="00F660E6">
      <w:pPr>
        <w:spacing w:after="120"/>
      </w:pPr>
      <w:r>
        <w:t>C</w:t>
      </w:r>
      <w:r w:rsidRPr="003222ED">
        <w:t xml:space="preserve">ompletion </w:t>
      </w:r>
      <w:r>
        <w:t>of the Learning Village has been delayed from July to November 2017, however the q</w:t>
      </w:r>
      <w:r w:rsidRPr="003222ED">
        <w:t>uality of work is very high and feedback</w:t>
      </w:r>
      <w:r>
        <w:t xml:space="preserve"> from stakeholders</w:t>
      </w:r>
      <w:r w:rsidRPr="003222ED">
        <w:t xml:space="preserve"> is very positive.</w:t>
      </w:r>
      <w:r w:rsidR="00A011C7">
        <w:t xml:space="preserve"> </w:t>
      </w:r>
      <w:r w:rsidR="009020CC" w:rsidRPr="00AE28C8">
        <w:t>Stage 2 of the redevelopment of th</w:t>
      </w:r>
      <w:r w:rsidR="009020CC">
        <w:t xml:space="preserve">e </w:t>
      </w:r>
      <w:r w:rsidR="00F660E6">
        <w:t>Republic of Nauru H</w:t>
      </w:r>
      <w:r w:rsidR="009020CC">
        <w:t>ospital was completed</w:t>
      </w:r>
      <w:r w:rsidR="00F660E6">
        <w:t xml:space="preserve"> on schedule</w:t>
      </w:r>
      <w:r w:rsidR="009020CC">
        <w:t xml:space="preserve"> </w:t>
      </w:r>
      <w:r w:rsidR="009020CC" w:rsidRPr="00AE28C8">
        <w:t>in February 2017</w:t>
      </w:r>
      <w:r w:rsidR="00D603F1">
        <w:t xml:space="preserve">. The works were </w:t>
      </w:r>
      <w:r w:rsidR="00F660E6">
        <w:t>assessed</w:t>
      </w:r>
      <w:r w:rsidR="00D603F1">
        <w:t xml:space="preserve"> to be of</w:t>
      </w:r>
      <w:r w:rsidR="009020CC" w:rsidRPr="00AE28C8">
        <w:t xml:space="preserve"> good quality, generally using robust materials, fittings and fixtures, and constructed to the required standards, complying with applicable building codes and health facilities guidelines</w:t>
      </w:r>
      <w:r w:rsidR="00F660E6">
        <w:t>, including for disability access</w:t>
      </w:r>
      <w:r w:rsidR="009020CC" w:rsidRPr="00AE28C8">
        <w:t>.</w:t>
      </w:r>
      <w:r w:rsidR="004347F5">
        <w:t xml:space="preserve"> </w:t>
      </w:r>
    </w:p>
    <w:p w14:paraId="7CCC81B0" w14:textId="59DB644D" w:rsidR="00DD5DCE" w:rsidRDefault="00D603F1" w:rsidP="00DD5DCE">
      <w:r w:rsidRPr="00AE28C8">
        <w:lastRenderedPageBreak/>
        <w:t xml:space="preserve">In 2016-17, </w:t>
      </w:r>
      <w:r>
        <w:t xml:space="preserve">our health </w:t>
      </w:r>
      <w:r w:rsidRPr="00AE28C8">
        <w:t>investment was rated poor for effectiveness and efficiency</w:t>
      </w:r>
      <w:r>
        <w:t xml:space="preserve">, </w:t>
      </w:r>
      <w:r w:rsidRPr="00AE28C8">
        <w:t>largely</w:t>
      </w:r>
      <w:r w:rsidR="00286493">
        <w:t xml:space="preserve"> driven by the inability </w:t>
      </w:r>
      <w:r w:rsidR="00805776">
        <w:t xml:space="preserve">of </w:t>
      </w:r>
      <w:r w:rsidR="00286493">
        <w:t xml:space="preserve">MHMS to </w:t>
      </w:r>
      <w:r w:rsidR="00805776">
        <w:t xml:space="preserve">implement programs funded by </w:t>
      </w:r>
      <w:r w:rsidR="00286493">
        <w:t xml:space="preserve">Australia’s direct budget support. </w:t>
      </w:r>
      <w:r w:rsidR="00F660E6">
        <w:t xml:space="preserve">It was acknowledged that MHMS capacity constraints were exacerbated </w:t>
      </w:r>
      <w:r w:rsidR="008556C8">
        <w:t xml:space="preserve">by the ongoing hospital redevelopment works and the additional demands of the parallel refugee health services. </w:t>
      </w:r>
      <w:r w:rsidRPr="00AE28C8">
        <w:t>Despite this there were successes</w:t>
      </w:r>
      <w:r w:rsidR="00286493">
        <w:t>, including</w:t>
      </w:r>
      <w:r>
        <w:t xml:space="preserve"> positive progres</w:t>
      </w:r>
      <w:r w:rsidR="00286493">
        <w:t xml:space="preserve">s against </w:t>
      </w:r>
      <w:r w:rsidR="008556C8">
        <w:t>some</w:t>
      </w:r>
      <w:r w:rsidR="00286493">
        <w:t xml:space="preserve"> key indicators, </w:t>
      </w:r>
      <w:r w:rsidR="00C67E26">
        <w:t xml:space="preserve">such as </w:t>
      </w:r>
      <w:r w:rsidR="00286493">
        <w:t>under-</w:t>
      </w:r>
      <w:r w:rsidRPr="00AE28C8">
        <w:t>five mortality, infant mortality and maternal</w:t>
      </w:r>
      <w:r w:rsidR="008556C8">
        <w:t xml:space="preserve"> mortality – there were</w:t>
      </w:r>
      <w:r w:rsidRPr="00AE28C8">
        <w:t xml:space="preserve"> </w:t>
      </w:r>
      <w:r w:rsidR="008556C8" w:rsidRPr="00AE28C8">
        <w:t xml:space="preserve">no </w:t>
      </w:r>
      <w:r w:rsidRPr="00AE28C8">
        <w:t xml:space="preserve">deaths in the reporting period.  </w:t>
      </w:r>
    </w:p>
    <w:p w14:paraId="4C982862" w14:textId="24689F91" w:rsidR="00D603F1" w:rsidRPr="00AE28C8" w:rsidRDefault="00286493" w:rsidP="008556C8">
      <w:r>
        <w:t xml:space="preserve">Our education investments have </w:t>
      </w:r>
      <w:r w:rsidR="00D603F1" w:rsidRPr="00AE28C8">
        <w:t>maintained generally good to adequate ratings for relevance, effectiveness and efficiency compared to 2015-16. The Department of Education made reasonable progress on a number of key outcomes supported by this investment. The sector has been relatively responsive</w:t>
      </w:r>
      <w:r w:rsidR="00B412E3">
        <w:t>,</w:t>
      </w:r>
      <w:r w:rsidR="00D603F1" w:rsidRPr="00AE28C8">
        <w:t xml:space="preserve"> utilising the flexibility afforded b</w:t>
      </w:r>
      <w:r w:rsidR="00392A6A">
        <w:t>y the d</w:t>
      </w:r>
      <w:r>
        <w:t xml:space="preserve">irect </w:t>
      </w:r>
      <w:r w:rsidR="00392A6A">
        <w:t>f</w:t>
      </w:r>
      <w:r>
        <w:t xml:space="preserve">unding </w:t>
      </w:r>
      <w:r w:rsidR="00392A6A">
        <w:t>a</w:t>
      </w:r>
      <w:r>
        <w:t>greement</w:t>
      </w:r>
      <w:r w:rsidR="00D603F1" w:rsidRPr="00AE28C8">
        <w:t>.</w:t>
      </w:r>
    </w:p>
    <w:p w14:paraId="045223BA" w14:textId="62C0B486" w:rsidR="00572F69" w:rsidRDefault="00572F69" w:rsidP="00572F69">
      <w:r w:rsidRPr="00D6002C">
        <w:t>In the domestic security sector, the Australian Federal Police (AFP) continued to implement the Nauru Police</w:t>
      </w:r>
      <w:r w:rsidR="00D6002C" w:rsidRPr="00D6002C">
        <w:t xml:space="preserve"> Force Police</w:t>
      </w:r>
      <w:r w:rsidR="00B412E3">
        <w:t xml:space="preserve"> (NPF)</w:t>
      </w:r>
      <w:r w:rsidR="00D6002C" w:rsidRPr="00D6002C">
        <w:t xml:space="preserve"> Capacity Program</w:t>
      </w:r>
      <w:r w:rsidRPr="00D6002C">
        <w:t>, which has supported the development and implementation of effective governance systems,</w:t>
      </w:r>
      <w:r w:rsidR="007E43A6">
        <w:t xml:space="preserve"> information-sharing procedures,</w:t>
      </w:r>
      <w:r w:rsidRPr="00D6002C">
        <w:t xml:space="preserve"> training</w:t>
      </w:r>
      <w:r w:rsidR="00D6002C" w:rsidRPr="00D6002C">
        <w:t>,</w:t>
      </w:r>
      <w:r w:rsidRPr="00D6002C">
        <w:t xml:space="preserve"> and the provision of critical policing resources. During the reporting period</w:t>
      </w:r>
      <w:r w:rsidR="00D6002C" w:rsidRPr="00D6002C">
        <w:t>,</w:t>
      </w:r>
      <w:r w:rsidRPr="00D6002C">
        <w:t xml:space="preserve"> the AFP has delivered subject</w:t>
      </w:r>
      <w:r w:rsidR="00B412E3">
        <w:t>-</w:t>
      </w:r>
      <w:r w:rsidRPr="00D6002C">
        <w:t xml:space="preserve">specific training to NPF members in the areas of </w:t>
      </w:r>
      <w:r w:rsidR="00D6002C" w:rsidRPr="00D6002C">
        <w:t>h</w:t>
      </w:r>
      <w:r w:rsidRPr="00D6002C">
        <w:t xml:space="preserve">uman </w:t>
      </w:r>
      <w:r w:rsidR="00D6002C" w:rsidRPr="00D6002C">
        <w:t>r</w:t>
      </w:r>
      <w:r w:rsidRPr="00D6002C">
        <w:t xml:space="preserve">ights, </w:t>
      </w:r>
      <w:r w:rsidR="00D6002C" w:rsidRPr="00D6002C">
        <w:t>d</w:t>
      </w:r>
      <w:r w:rsidRPr="00D6002C">
        <w:t xml:space="preserve">river </w:t>
      </w:r>
      <w:r w:rsidR="00D6002C" w:rsidRPr="00D6002C">
        <w:t>t</w:t>
      </w:r>
      <w:r w:rsidRPr="00D6002C">
        <w:t xml:space="preserve">raining, </w:t>
      </w:r>
      <w:r w:rsidR="00D6002C" w:rsidRPr="00D6002C">
        <w:t>c</w:t>
      </w:r>
      <w:r w:rsidRPr="00D6002C">
        <w:t xml:space="preserve">rime </w:t>
      </w:r>
      <w:r w:rsidR="00D6002C" w:rsidRPr="00D6002C">
        <w:t>s</w:t>
      </w:r>
      <w:r w:rsidRPr="00D6002C">
        <w:t xml:space="preserve">cene </w:t>
      </w:r>
      <w:r w:rsidR="00D6002C" w:rsidRPr="00D6002C">
        <w:t>f</w:t>
      </w:r>
      <w:r w:rsidRPr="00D6002C">
        <w:t xml:space="preserve">irst </w:t>
      </w:r>
      <w:r w:rsidR="00D6002C" w:rsidRPr="00D6002C">
        <w:t>respon</w:t>
      </w:r>
      <w:r w:rsidR="004511DA">
        <w:t>der</w:t>
      </w:r>
      <w:r w:rsidRPr="00D6002C">
        <w:t xml:space="preserve">, </w:t>
      </w:r>
      <w:r w:rsidR="00D6002C" w:rsidRPr="00D6002C">
        <w:t xml:space="preserve">public order management, interviewing vulnerable witnesses, intelligence and watch house procedures. </w:t>
      </w:r>
      <w:r w:rsidRPr="00D6002C">
        <w:t xml:space="preserve">Separately, under the Pacific Police Development Program, Australia’s Attorney-General’s Department worked with Nauru’s Department of Justice and Border Control to </w:t>
      </w:r>
      <w:r w:rsidR="004511DA">
        <w:t>prepare training</w:t>
      </w:r>
      <w:r w:rsidRPr="00D6002C">
        <w:t xml:space="preserve"> </w:t>
      </w:r>
      <w:r w:rsidR="004511DA">
        <w:t>to support implementation of the new</w:t>
      </w:r>
      <w:r w:rsidRPr="00D6002C">
        <w:t xml:space="preserve"> </w:t>
      </w:r>
      <w:r w:rsidRPr="00F042CC">
        <w:rPr>
          <w:i/>
        </w:rPr>
        <w:t>Crimes Act 2016</w:t>
      </w:r>
      <w:r w:rsidRPr="00D6002C">
        <w:t>.</w:t>
      </w:r>
      <w:r>
        <w:t xml:space="preserve"> </w:t>
      </w:r>
    </w:p>
    <w:p w14:paraId="5E314E2A" w14:textId="631F61A3" w:rsidR="003814DA" w:rsidRDefault="00392A6A" w:rsidP="00392A6A">
      <w:r>
        <w:t xml:space="preserve">The Pacific Women Shaping Pacific Development program </w:t>
      </w:r>
      <w:r w:rsidR="00805776">
        <w:t>is developing</w:t>
      </w:r>
      <w:r>
        <w:t xml:space="preserve"> Nauru’s second </w:t>
      </w:r>
      <w:r w:rsidR="00F53430">
        <w:t xml:space="preserve">gender </w:t>
      </w:r>
      <w:r>
        <w:t>country plan (2017-</w:t>
      </w:r>
      <w:r w:rsidR="00F53430">
        <w:t>20</w:t>
      </w:r>
      <w:r>
        <w:t xml:space="preserve">), following a team mission to Nauru in May 2017. </w:t>
      </w:r>
      <w:r w:rsidR="003814DA">
        <w:t>Over the 10-year life span of</w:t>
      </w:r>
      <w:r>
        <w:t xml:space="preserve"> this program</w:t>
      </w:r>
      <w:r w:rsidR="003814DA">
        <w:t>, DFAT has allocated $5.1 million for initiatives supporting women’s empowerment in Nauru</w:t>
      </w:r>
      <w:r w:rsidR="00650D96">
        <w:t>.</w:t>
      </w:r>
      <w:r w:rsidR="003814DA">
        <w:t xml:space="preserve"> </w:t>
      </w:r>
      <w:r w:rsidR="00805776">
        <w:t xml:space="preserve">Australia </w:t>
      </w:r>
      <w:r w:rsidR="00B33A2D">
        <w:t>collabora</w:t>
      </w:r>
      <w:r>
        <w:t xml:space="preserve">ted with UN Women to deliver training packages </w:t>
      </w:r>
      <w:r w:rsidR="00B33A2D">
        <w:t xml:space="preserve">to encourage women in leadership and support their participation in the 2016 </w:t>
      </w:r>
      <w:r w:rsidR="00B33A2D" w:rsidRPr="00F042CC">
        <w:t>Nauru elections.</w:t>
      </w:r>
      <w:r w:rsidR="00B412E3" w:rsidRPr="00F042CC">
        <w:t xml:space="preserve"> </w:t>
      </w:r>
      <w:r w:rsidR="00E52B7B" w:rsidRPr="00F042CC">
        <w:t>Over the period, the Australian High Commission also sponsored a number of local community events to promote gender equality and female empowerment. This included a ‘Walk and Ride’ event for International Women’s Day (March 2017), a ‘Walk a mile in her shoes’ march for White Ribbon Day (November 2016) and a women’s networking afternoon tea with government officials and community representatives.</w:t>
      </w:r>
    </w:p>
    <w:p w14:paraId="249098EC" w14:textId="661517F4" w:rsidR="00D603F1" w:rsidRDefault="00D603F1" w:rsidP="00EA0645">
      <w:r w:rsidRPr="00AE28C8">
        <w:t>Ratings for Gender Equality generally declined across all four investments</w:t>
      </w:r>
      <w:r>
        <w:t>, based on a more rigorous assessment of performance and impact. Nevertheless,</w:t>
      </w:r>
      <w:r w:rsidRPr="00AE28C8">
        <w:t xml:space="preserve"> there have been </w:t>
      </w:r>
      <w:r w:rsidRPr="00AE28C8">
        <w:lastRenderedPageBreak/>
        <w:t>achievements</w:t>
      </w:r>
      <w:r>
        <w:t>, i</w:t>
      </w:r>
      <w:r w:rsidRPr="00AE28C8">
        <w:t>ncluding improv</w:t>
      </w:r>
      <w:r>
        <w:t>ing</w:t>
      </w:r>
      <w:r w:rsidRPr="00AE28C8">
        <w:t xml:space="preserve"> the health sector response and services to reduce domestic violence</w:t>
      </w:r>
      <w:r>
        <w:t>. This is being implemented through</w:t>
      </w:r>
      <w:r w:rsidR="0075525C">
        <w:t>:</w:t>
      </w:r>
      <w:r>
        <w:t xml:space="preserve"> </w:t>
      </w:r>
    </w:p>
    <w:p w14:paraId="5A474C48" w14:textId="3C276ECC" w:rsidR="00D603F1" w:rsidRDefault="00B412E3" w:rsidP="00EA0645">
      <w:pPr>
        <w:pStyle w:val="ListParagraph"/>
        <w:numPr>
          <w:ilvl w:val="0"/>
          <w:numId w:val="45"/>
        </w:numPr>
        <w:spacing w:before="0"/>
        <w:ind w:left="425" w:hanging="357"/>
      </w:pPr>
      <w:r>
        <w:t>p</w:t>
      </w:r>
      <w:r w:rsidRPr="00AE28C8">
        <w:t xml:space="preserve">rovision </w:t>
      </w:r>
      <w:r w:rsidR="00D603F1" w:rsidRPr="00AE28C8">
        <w:t>of counselling and support for victims of domestic violence and the development of protocols and a referral system for identifying</w:t>
      </w:r>
      <w:r w:rsidR="00D603F1">
        <w:t>, reporting and managing incidents of domestic violence</w:t>
      </w:r>
      <w:r>
        <w:t>; and</w:t>
      </w:r>
    </w:p>
    <w:p w14:paraId="7C4648FC" w14:textId="0845CFE4" w:rsidR="00B33A2D" w:rsidRDefault="00B412E3" w:rsidP="002C2B96">
      <w:pPr>
        <w:pStyle w:val="ListParagraph"/>
        <w:numPr>
          <w:ilvl w:val="0"/>
          <w:numId w:val="45"/>
        </w:numPr>
        <w:ind w:left="426"/>
      </w:pPr>
      <w:r>
        <w:t xml:space="preserve">placement </w:t>
      </w:r>
      <w:r w:rsidR="00D603F1">
        <w:t xml:space="preserve">in January 2017 of </w:t>
      </w:r>
      <w:r w:rsidR="00D603F1" w:rsidRPr="00AE28C8">
        <w:t>a Ge</w:t>
      </w:r>
      <w:r w:rsidR="002C2B96">
        <w:t>nder Based Violence Counsellor</w:t>
      </w:r>
      <w:r w:rsidR="00D603F1" w:rsidRPr="00AE28C8">
        <w:t xml:space="preserve"> based in the Ministry </w:t>
      </w:r>
      <w:r w:rsidR="00805776">
        <w:t>of Health</w:t>
      </w:r>
      <w:r w:rsidR="00D603F1" w:rsidRPr="00AE28C8">
        <w:t xml:space="preserve">. </w:t>
      </w:r>
    </w:p>
    <w:p w14:paraId="2F6ADBCA" w14:textId="027A55BC" w:rsidR="009020CC" w:rsidRDefault="009020CC" w:rsidP="009020CC">
      <w:r w:rsidRPr="00AE28C8">
        <w:t xml:space="preserve">DFAT continues to undertake regular independent reviews of transactions made through the </w:t>
      </w:r>
      <w:r w:rsidR="00392A6A">
        <w:t>o</w:t>
      </w:r>
      <w:r w:rsidRPr="00AE28C8">
        <w:t xml:space="preserve">perational </w:t>
      </w:r>
      <w:r w:rsidR="00392A6A">
        <w:t>a</w:t>
      </w:r>
      <w:r w:rsidRPr="00AE28C8">
        <w:t xml:space="preserve">ccount and in April 2017 the auditors were for the first time able to </w:t>
      </w:r>
      <w:r w:rsidRPr="00DD5DCE">
        <w:t xml:space="preserve">provide an </w:t>
      </w:r>
      <w:r w:rsidRPr="00E45B01">
        <w:t>opinion</w:t>
      </w:r>
      <w:r w:rsidR="00DD5DCE">
        <w:t xml:space="preserve"> (positive assessment) on the </w:t>
      </w:r>
      <w:r w:rsidR="002C2B96">
        <w:t>quality</w:t>
      </w:r>
      <w:r w:rsidR="00DD5DCE">
        <w:t xml:space="preserve"> of financial reporting</w:t>
      </w:r>
      <w:r w:rsidRPr="00AE28C8">
        <w:t xml:space="preserve"> </w:t>
      </w:r>
      <w:r w:rsidR="002C2B96">
        <w:t>for</w:t>
      </w:r>
      <w:r w:rsidRPr="00AE28C8">
        <w:t xml:space="preserve"> </w:t>
      </w:r>
      <w:r w:rsidR="00392A6A">
        <w:t>the account</w:t>
      </w:r>
      <w:r w:rsidRPr="00AE28C8">
        <w:t>. While this is a good outcome, further work is required to improve transparency and more effective</w:t>
      </w:r>
      <w:r w:rsidR="002C2B96">
        <w:t>ly</w:t>
      </w:r>
      <w:r w:rsidRPr="00AE28C8">
        <w:t xml:space="preserve"> u</w:t>
      </w:r>
      <w:r>
        <w:t>se bilateral program funds</w:t>
      </w:r>
      <w:r w:rsidR="002C2B96">
        <w:t xml:space="preserve"> to drive reform</w:t>
      </w:r>
      <w:r>
        <w:t xml:space="preserve">. </w:t>
      </w:r>
    </w:p>
    <w:p w14:paraId="317EB21F" w14:textId="77777777" w:rsidR="005B5769" w:rsidRPr="00015316" w:rsidRDefault="005B5769" w:rsidP="00015316">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 xml:space="preserve">Management </w:t>
      </w:r>
      <w:r w:rsidR="00E65105">
        <w:rPr>
          <w:rFonts w:asciiTheme="majorHAnsi" w:eastAsiaTheme="majorEastAsia" w:hAnsiTheme="majorHAnsi" w:cstheme="majorBidi"/>
          <w:caps/>
          <w:color w:val="495965" w:themeColor="text2"/>
          <w:sz w:val="38"/>
          <w:szCs w:val="26"/>
          <w:lang w:val="en-GB" w:eastAsia="en-US"/>
        </w:rPr>
        <w:t>actions</w:t>
      </w:r>
    </w:p>
    <w:p w14:paraId="64840BA7" w14:textId="6A9F6922" w:rsidR="009020CC" w:rsidRPr="00505E74" w:rsidRDefault="009020CC" w:rsidP="009020CC">
      <w:pPr>
        <w:pStyle w:val="ListBullet"/>
        <w:rPr>
          <w:rFonts w:asciiTheme="minorHAnsi" w:eastAsiaTheme="minorHAnsi" w:hAnsiTheme="minorHAnsi" w:cstheme="minorBidi"/>
          <w:color w:val="495965" w:themeColor="text2"/>
          <w:sz w:val="22"/>
          <w:szCs w:val="22"/>
          <w:lang w:val="en-GB" w:eastAsia="en-US"/>
        </w:rPr>
      </w:pPr>
      <w:r>
        <w:rPr>
          <w:rFonts w:asciiTheme="minorHAnsi" w:eastAsiaTheme="minorHAnsi" w:hAnsiTheme="minorHAnsi" w:cstheme="minorBidi"/>
          <w:color w:val="495965" w:themeColor="text2"/>
          <w:sz w:val="22"/>
          <w:szCs w:val="22"/>
          <w:lang w:val="en-GB" w:eastAsia="en-US"/>
        </w:rPr>
        <w:t>The Aid Quality Checks for 2016-17</w:t>
      </w:r>
      <w:r w:rsidRPr="00505E74">
        <w:rPr>
          <w:rFonts w:asciiTheme="minorHAnsi" w:eastAsiaTheme="minorHAnsi" w:hAnsiTheme="minorHAnsi" w:cstheme="minorBidi"/>
          <w:color w:val="495965" w:themeColor="text2"/>
          <w:sz w:val="22"/>
          <w:szCs w:val="22"/>
          <w:lang w:val="en-GB" w:eastAsia="en-US"/>
        </w:rPr>
        <w:t xml:space="preserve"> found that most of the ma</w:t>
      </w:r>
      <w:r>
        <w:rPr>
          <w:rFonts w:asciiTheme="minorHAnsi" w:eastAsiaTheme="minorHAnsi" w:hAnsiTheme="minorHAnsi" w:cstheme="minorBidi"/>
          <w:color w:val="495965" w:themeColor="text2"/>
          <w:sz w:val="22"/>
          <w:szCs w:val="22"/>
          <w:lang w:val="en-GB" w:eastAsia="en-US"/>
        </w:rPr>
        <w:t>nagement responses from the 2015-16</w:t>
      </w:r>
      <w:r w:rsidRPr="00505E74">
        <w:rPr>
          <w:rFonts w:asciiTheme="minorHAnsi" w:eastAsiaTheme="minorHAnsi" w:hAnsiTheme="minorHAnsi" w:cstheme="minorBidi"/>
          <w:color w:val="495965" w:themeColor="text2"/>
          <w:sz w:val="22"/>
          <w:szCs w:val="22"/>
          <w:lang w:val="en-GB" w:eastAsia="en-US"/>
        </w:rPr>
        <w:t xml:space="preserve"> APPR had been a</w:t>
      </w:r>
      <w:r w:rsidR="00E211BF">
        <w:rPr>
          <w:rFonts w:asciiTheme="minorHAnsi" w:eastAsiaTheme="minorHAnsi" w:hAnsiTheme="minorHAnsi" w:cstheme="minorBidi"/>
          <w:color w:val="495965" w:themeColor="text2"/>
          <w:sz w:val="22"/>
          <w:szCs w:val="22"/>
          <w:lang w:val="en-GB" w:eastAsia="en-US"/>
        </w:rPr>
        <w:t xml:space="preserve">chieved or partially achieved. </w:t>
      </w:r>
      <w:r w:rsidRPr="00505E74">
        <w:rPr>
          <w:rFonts w:asciiTheme="minorHAnsi" w:eastAsiaTheme="minorHAnsi" w:hAnsiTheme="minorHAnsi" w:cstheme="minorBidi"/>
          <w:color w:val="495965" w:themeColor="text2"/>
          <w:sz w:val="22"/>
          <w:szCs w:val="22"/>
          <w:lang w:val="en-GB" w:eastAsia="en-US"/>
        </w:rPr>
        <w:t xml:space="preserve">Some </w:t>
      </w:r>
      <w:r w:rsidR="00CE7633">
        <w:rPr>
          <w:rFonts w:asciiTheme="minorHAnsi" w:eastAsiaTheme="minorHAnsi" w:hAnsiTheme="minorHAnsi" w:cstheme="minorBidi"/>
          <w:color w:val="495965" w:themeColor="text2"/>
          <w:sz w:val="22"/>
          <w:szCs w:val="22"/>
          <w:lang w:val="en-GB" w:eastAsia="en-US"/>
        </w:rPr>
        <w:t>were</w:t>
      </w:r>
      <w:r w:rsidRPr="00505E74">
        <w:rPr>
          <w:rFonts w:asciiTheme="minorHAnsi" w:eastAsiaTheme="minorHAnsi" w:hAnsiTheme="minorHAnsi" w:cstheme="minorBidi"/>
          <w:color w:val="495965" w:themeColor="text2"/>
          <w:sz w:val="22"/>
          <w:szCs w:val="22"/>
          <w:lang w:val="en-GB" w:eastAsia="en-US"/>
        </w:rPr>
        <w:t xml:space="preserve"> postponed for </w:t>
      </w:r>
      <w:r w:rsidR="00CE7633">
        <w:rPr>
          <w:rFonts w:asciiTheme="minorHAnsi" w:eastAsiaTheme="minorHAnsi" w:hAnsiTheme="minorHAnsi" w:cstheme="minorBidi"/>
          <w:color w:val="495965" w:themeColor="text2"/>
          <w:sz w:val="22"/>
          <w:szCs w:val="22"/>
          <w:lang w:val="en-GB" w:eastAsia="en-US"/>
        </w:rPr>
        <w:t>operational</w:t>
      </w:r>
      <w:r w:rsidRPr="00505E74">
        <w:rPr>
          <w:rFonts w:asciiTheme="minorHAnsi" w:eastAsiaTheme="minorHAnsi" w:hAnsiTheme="minorHAnsi" w:cstheme="minorBidi"/>
          <w:color w:val="495965" w:themeColor="text2"/>
          <w:sz w:val="22"/>
          <w:szCs w:val="22"/>
          <w:lang w:val="en-GB" w:eastAsia="en-US"/>
        </w:rPr>
        <w:t xml:space="preserve"> reasons</w:t>
      </w:r>
      <w:r w:rsidR="00CE7633">
        <w:rPr>
          <w:rFonts w:asciiTheme="minorHAnsi" w:eastAsiaTheme="minorHAnsi" w:hAnsiTheme="minorHAnsi" w:cstheme="minorBidi"/>
          <w:color w:val="495965" w:themeColor="text2"/>
          <w:sz w:val="22"/>
          <w:szCs w:val="22"/>
          <w:lang w:val="en-GB" w:eastAsia="en-US"/>
        </w:rPr>
        <w:t>, some abandoned due to changes in circumstances or strategy,</w:t>
      </w:r>
      <w:r w:rsidRPr="00505E74">
        <w:rPr>
          <w:rFonts w:asciiTheme="minorHAnsi" w:eastAsiaTheme="minorHAnsi" w:hAnsiTheme="minorHAnsi" w:cstheme="minorBidi"/>
          <w:color w:val="495965" w:themeColor="text2"/>
          <w:sz w:val="22"/>
          <w:szCs w:val="22"/>
          <w:lang w:val="en-GB" w:eastAsia="en-US"/>
        </w:rPr>
        <w:t xml:space="preserve"> and </w:t>
      </w:r>
      <w:r w:rsidR="00CE7633">
        <w:rPr>
          <w:rFonts w:asciiTheme="minorHAnsi" w:eastAsiaTheme="minorHAnsi" w:hAnsiTheme="minorHAnsi" w:cstheme="minorBidi"/>
          <w:color w:val="495965" w:themeColor="text2"/>
          <w:sz w:val="22"/>
          <w:szCs w:val="22"/>
          <w:lang w:val="en-GB" w:eastAsia="en-US"/>
        </w:rPr>
        <w:t xml:space="preserve">some </w:t>
      </w:r>
      <w:r w:rsidRPr="00505E74">
        <w:rPr>
          <w:rFonts w:asciiTheme="minorHAnsi" w:eastAsiaTheme="minorHAnsi" w:hAnsiTheme="minorHAnsi" w:cstheme="minorBidi"/>
          <w:color w:val="495965" w:themeColor="text2"/>
          <w:sz w:val="22"/>
          <w:szCs w:val="22"/>
          <w:lang w:val="en-GB" w:eastAsia="en-US"/>
        </w:rPr>
        <w:t xml:space="preserve">remain to be addressed.  </w:t>
      </w:r>
    </w:p>
    <w:p w14:paraId="38BFEEF1" w14:textId="160945FF" w:rsidR="009020CC" w:rsidRDefault="009020CC" w:rsidP="009020CC">
      <w:pPr>
        <w:pStyle w:val="ListBullet"/>
        <w:rPr>
          <w:rFonts w:asciiTheme="minorHAnsi" w:eastAsiaTheme="minorHAnsi" w:hAnsiTheme="minorHAnsi" w:cstheme="minorBidi"/>
          <w:color w:val="495965" w:themeColor="text2"/>
          <w:sz w:val="22"/>
          <w:szCs w:val="22"/>
          <w:lang w:val="en-GB" w:eastAsia="en-US"/>
        </w:rPr>
      </w:pPr>
      <w:r>
        <w:rPr>
          <w:rFonts w:asciiTheme="minorHAnsi" w:eastAsiaTheme="minorHAnsi" w:hAnsiTheme="minorHAnsi" w:cstheme="minorBidi"/>
          <w:color w:val="495965" w:themeColor="text2"/>
          <w:sz w:val="22"/>
          <w:szCs w:val="22"/>
          <w:lang w:val="en-GB" w:eastAsia="en-US"/>
        </w:rPr>
        <w:t xml:space="preserve">Devolution of the </w:t>
      </w:r>
      <w:r w:rsidR="00330FEF">
        <w:rPr>
          <w:rFonts w:asciiTheme="minorHAnsi" w:eastAsiaTheme="minorHAnsi" w:hAnsiTheme="minorHAnsi" w:cstheme="minorBidi"/>
          <w:color w:val="495965" w:themeColor="text2"/>
          <w:sz w:val="22"/>
          <w:szCs w:val="22"/>
          <w:lang w:val="en-GB" w:eastAsia="en-US"/>
        </w:rPr>
        <w:t>development</w:t>
      </w:r>
      <w:r>
        <w:rPr>
          <w:rFonts w:asciiTheme="minorHAnsi" w:eastAsiaTheme="minorHAnsi" w:hAnsiTheme="minorHAnsi" w:cstheme="minorBidi"/>
          <w:color w:val="495965" w:themeColor="text2"/>
          <w:sz w:val="22"/>
          <w:szCs w:val="22"/>
          <w:lang w:val="en-GB" w:eastAsia="en-US"/>
        </w:rPr>
        <w:t xml:space="preserve"> program from </w:t>
      </w:r>
      <w:r w:rsidR="00330FEF">
        <w:rPr>
          <w:rFonts w:asciiTheme="minorHAnsi" w:eastAsiaTheme="minorHAnsi" w:hAnsiTheme="minorHAnsi" w:cstheme="minorBidi"/>
          <w:color w:val="495965" w:themeColor="text2"/>
          <w:sz w:val="22"/>
          <w:szCs w:val="22"/>
          <w:lang w:val="en-GB" w:eastAsia="en-US"/>
        </w:rPr>
        <w:t>Canberra</w:t>
      </w:r>
      <w:r>
        <w:rPr>
          <w:rFonts w:asciiTheme="minorHAnsi" w:eastAsiaTheme="minorHAnsi" w:hAnsiTheme="minorHAnsi" w:cstheme="minorBidi"/>
          <w:color w:val="495965" w:themeColor="text2"/>
          <w:sz w:val="22"/>
          <w:szCs w:val="22"/>
          <w:lang w:val="en-GB" w:eastAsia="en-US"/>
        </w:rPr>
        <w:t xml:space="preserve"> to </w:t>
      </w:r>
      <w:r w:rsidR="00045523">
        <w:rPr>
          <w:rFonts w:asciiTheme="minorHAnsi" w:eastAsiaTheme="minorHAnsi" w:hAnsiTheme="minorHAnsi" w:cstheme="minorBidi"/>
          <w:color w:val="495965" w:themeColor="text2"/>
          <w:sz w:val="22"/>
          <w:szCs w:val="22"/>
          <w:lang w:val="en-GB" w:eastAsia="en-US"/>
        </w:rPr>
        <w:t>the Australian High Commission in Nauru</w:t>
      </w:r>
      <w:r>
        <w:rPr>
          <w:rFonts w:asciiTheme="minorHAnsi" w:eastAsiaTheme="minorHAnsi" w:hAnsiTheme="minorHAnsi" w:cstheme="minorBidi"/>
          <w:color w:val="495965" w:themeColor="text2"/>
          <w:sz w:val="22"/>
          <w:szCs w:val="22"/>
          <w:lang w:val="en-GB" w:eastAsia="en-US"/>
        </w:rPr>
        <w:t xml:space="preserve"> was completed in 2016-17</w:t>
      </w:r>
      <w:r w:rsidR="0069698D">
        <w:rPr>
          <w:rFonts w:asciiTheme="minorHAnsi" w:eastAsiaTheme="minorHAnsi" w:hAnsiTheme="minorHAnsi" w:cstheme="minorBidi"/>
          <w:color w:val="495965" w:themeColor="text2"/>
          <w:sz w:val="22"/>
          <w:szCs w:val="22"/>
          <w:lang w:val="en-GB" w:eastAsia="en-US"/>
        </w:rPr>
        <w:t xml:space="preserve"> with the commencement of a long-term Second Secretary </w:t>
      </w:r>
      <w:r w:rsidR="000305D0">
        <w:rPr>
          <w:rFonts w:asciiTheme="minorHAnsi" w:eastAsiaTheme="minorHAnsi" w:hAnsiTheme="minorHAnsi" w:cstheme="minorBidi"/>
          <w:color w:val="495965" w:themeColor="text2"/>
          <w:sz w:val="22"/>
          <w:szCs w:val="22"/>
          <w:lang w:val="en-GB" w:eastAsia="en-US"/>
        </w:rPr>
        <w:t>(</w:t>
      </w:r>
      <w:r w:rsidR="0069698D">
        <w:rPr>
          <w:rFonts w:asciiTheme="minorHAnsi" w:eastAsiaTheme="minorHAnsi" w:hAnsiTheme="minorHAnsi" w:cstheme="minorBidi"/>
          <w:color w:val="495965" w:themeColor="text2"/>
          <w:sz w:val="22"/>
          <w:szCs w:val="22"/>
          <w:lang w:val="en-GB" w:eastAsia="en-US"/>
        </w:rPr>
        <w:t>Development</w:t>
      </w:r>
      <w:r w:rsidR="000305D0">
        <w:rPr>
          <w:rFonts w:asciiTheme="minorHAnsi" w:eastAsiaTheme="minorHAnsi" w:hAnsiTheme="minorHAnsi" w:cstheme="minorBidi"/>
          <w:color w:val="495965" w:themeColor="text2"/>
          <w:sz w:val="22"/>
          <w:szCs w:val="22"/>
          <w:lang w:val="en-GB" w:eastAsia="en-US"/>
        </w:rPr>
        <w:t>)</w:t>
      </w:r>
      <w:r w:rsidR="0069698D">
        <w:rPr>
          <w:rFonts w:asciiTheme="minorHAnsi" w:eastAsiaTheme="minorHAnsi" w:hAnsiTheme="minorHAnsi" w:cstheme="minorBidi"/>
          <w:color w:val="495965" w:themeColor="text2"/>
          <w:sz w:val="22"/>
          <w:szCs w:val="22"/>
          <w:lang w:val="en-GB" w:eastAsia="en-US"/>
        </w:rPr>
        <w:t xml:space="preserve"> and the recruitment of additional, more senior </w:t>
      </w:r>
      <w:r w:rsidR="00CE7633">
        <w:rPr>
          <w:rFonts w:asciiTheme="minorHAnsi" w:eastAsiaTheme="minorHAnsi" w:hAnsiTheme="minorHAnsi" w:cstheme="minorBidi"/>
          <w:color w:val="495965" w:themeColor="text2"/>
          <w:sz w:val="22"/>
          <w:szCs w:val="22"/>
          <w:lang w:val="en-GB" w:eastAsia="en-US"/>
        </w:rPr>
        <w:t>locally engaged</w:t>
      </w:r>
      <w:r w:rsidR="0069698D">
        <w:rPr>
          <w:rFonts w:asciiTheme="minorHAnsi" w:eastAsiaTheme="minorHAnsi" w:hAnsiTheme="minorHAnsi" w:cstheme="minorBidi"/>
          <w:color w:val="495965" w:themeColor="text2"/>
          <w:sz w:val="22"/>
          <w:szCs w:val="22"/>
          <w:lang w:val="en-GB" w:eastAsia="en-US"/>
        </w:rPr>
        <w:t xml:space="preserve"> program </w:t>
      </w:r>
      <w:r w:rsidR="00045523" w:rsidRPr="00045523">
        <w:rPr>
          <w:rFonts w:asciiTheme="minorHAnsi" w:eastAsiaTheme="minorHAnsi" w:hAnsiTheme="minorHAnsi" w:cstheme="minorBidi"/>
          <w:color w:val="495965" w:themeColor="text2"/>
          <w:sz w:val="22"/>
          <w:szCs w:val="22"/>
          <w:lang w:val="en-GB" w:eastAsia="en-US"/>
        </w:rPr>
        <w:t xml:space="preserve">managers </w:t>
      </w:r>
      <w:r w:rsidR="00C67E26">
        <w:rPr>
          <w:rFonts w:asciiTheme="minorHAnsi" w:eastAsiaTheme="minorHAnsi" w:hAnsiTheme="minorHAnsi" w:cstheme="minorBidi"/>
          <w:color w:val="495965" w:themeColor="text2"/>
          <w:sz w:val="22"/>
          <w:szCs w:val="22"/>
          <w:lang w:val="en-GB" w:eastAsia="en-US"/>
        </w:rPr>
        <w:t xml:space="preserve">supporting our public financial management, </w:t>
      </w:r>
      <w:r w:rsidR="00045523" w:rsidRPr="00045523">
        <w:rPr>
          <w:rFonts w:asciiTheme="minorHAnsi" w:eastAsiaTheme="minorHAnsi" w:hAnsiTheme="minorHAnsi" w:cstheme="minorBidi"/>
          <w:color w:val="495965" w:themeColor="text2"/>
          <w:sz w:val="22"/>
          <w:szCs w:val="22"/>
          <w:lang w:val="en-GB" w:eastAsia="en-US"/>
        </w:rPr>
        <w:t>education, health and infrastructure investments</w:t>
      </w:r>
      <w:r>
        <w:rPr>
          <w:rFonts w:asciiTheme="minorHAnsi" w:eastAsiaTheme="minorHAnsi" w:hAnsiTheme="minorHAnsi" w:cstheme="minorBidi"/>
          <w:color w:val="495965" w:themeColor="text2"/>
          <w:sz w:val="22"/>
          <w:szCs w:val="22"/>
          <w:lang w:val="en-GB" w:eastAsia="en-US"/>
        </w:rPr>
        <w:t>.</w:t>
      </w:r>
      <w:r w:rsidR="00045523">
        <w:rPr>
          <w:rFonts w:asciiTheme="minorHAnsi" w:eastAsiaTheme="minorHAnsi" w:hAnsiTheme="minorHAnsi" w:cstheme="minorBidi"/>
          <w:color w:val="495965" w:themeColor="text2"/>
          <w:sz w:val="22"/>
          <w:szCs w:val="22"/>
          <w:lang w:val="en-GB" w:eastAsia="en-US"/>
        </w:rPr>
        <w:t xml:space="preserve"> This </w:t>
      </w:r>
      <w:r w:rsidR="00A86E86">
        <w:rPr>
          <w:rFonts w:asciiTheme="minorHAnsi" w:eastAsiaTheme="minorHAnsi" w:hAnsiTheme="minorHAnsi" w:cstheme="minorBidi"/>
          <w:color w:val="495965" w:themeColor="text2"/>
          <w:sz w:val="22"/>
          <w:szCs w:val="22"/>
          <w:lang w:val="en-GB" w:eastAsia="en-US"/>
        </w:rPr>
        <w:t xml:space="preserve">will </w:t>
      </w:r>
      <w:r w:rsidR="00C67E26">
        <w:rPr>
          <w:rFonts w:asciiTheme="minorHAnsi" w:eastAsiaTheme="minorHAnsi" w:hAnsiTheme="minorHAnsi" w:cstheme="minorBidi"/>
          <w:color w:val="495965" w:themeColor="text2"/>
          <w:sz w:val="22"/>
          <w:szCs w:val="22"/>
          <w:lang w:val="en-GB" w:eastAsia="en-US"/>
        </w:rPr>
        <w:t xml:space="preserve">broaden our </w:t>
      </w:r>
      <w:r w:rsidR="00045523" w:rsidRPr="00045523">
        <w:rPr>
          <w:rFonts w:asciiTheme="minorHAnsi" w:eastAsiaTheme="minorHAnsi" w:hAnsiTheme="minorHAnsi" w:cstheme="minorBidi"/>
          <w:color w:val="495965" w:themeColor="text2"/>
          <w:sz w:val="22"/>
          <w:szCs w:val="22"/>
          <w:lang w:val="en-GB" w:eastAsia="en-US"/>
        </w:rPr>
        <w:t>engagement and policy dialogue</w:t>
      </w:r>
      <w:r w:rsidR="00CD47D9">
        <w:rPr>
          <w:rFonts w:asciiTheme="minorHAnsi" w:eastAsiaTheme="minorHAnsi" w:hAnsiTheme="minorHAnsi" w:cstheme="minorBidi"/>
          <w:color w:val="495965" w:themeColor="text2"/>
          <w:sz w:val="22"/>
          <w:szCs w:val="22"/>
          <w:lang w:val="en-GB" w:eastAsia="en-US"/>
        </w:rPr>
        <w:t xml:space="preserve"> </w:t>
      </w:r>
      <w:r w:rsidR="00A86E86">
        <w:rPr>
          <w:rFonts w:asciiTheme="minorHAnsi" w:eastAsiaTheme="minorHAnsi" w:hAnsiTheme="minorHAnsi" w:cstheme="minorBidi"/>
          <w:color w:val="495965" w:themeColor="text2"/>
          <w:sz w:val="22"/>
          <w:szCs w:val="22"/>
          <w:lang w:val="en-GB" w:eastAsia="en-US"/>
        </w:rPr>
        <w:t xml:space="preserve">supporting </w:t>
      </w:r>
      <w:r w:rsidR="00CD47D9">
        <w:rPr>
          <w:rFonts w:asciiTheme="minorHAnsi" w:eastAsiaTheme="minorHAnsi" w:hAnsiTheme="minorHAnsi" w:cstheme="minorBidi"/>
          <w:color w:val="495965" w:themeColor="text2"/>
          <w:sz w:val="22"/>
          <w:szCs w:val="22"/>
          <w:lang w:val="en-GB" w:eastAsia="en-US"/>
        </w:rPr>
        <w:t>DFAT’s priority investments and</w:t>
      </w:r>
      <w:r w:rsidR="00045523" w:rsidRPr="00045523">
        <w:rPr>
          <w:rFonts w:asciiTheme="minorHAnsi" w:eastAsiaTheme="minorHAnsi" w:hAnsiTheme="minorHAnsi" w:cstheme="minorBidi"/>
          <w:color w:val="495965" w:themeColor="text2"/>
          <w:sz w:val="22"/>
          <w:szCs w:val="22"/>
          <w:lang w:val="en-GB" w:eastAsia="en-US"/>
        </w:rPr>
        <w:t xml:space="preserve"> help institute a stronger performance and monitoring regime</w:t>
      </w:r>
      <w:r w:rsidR="00CD47D9">
        <w:rPr>
          <w:rFonts w:asciiTheme="minorHAnsi" w:eastAsiaTheme="minorHAnsi" w:hAnsiTheme="minorHAnsi" w:cstheme="minorBidi"/>
          <w:color w:val="495965" w:themeColor="text2"/>
          <w:sz w:val="22"/>
          <w:szCs w:val="22"/>
          <w:lang w:val="en-GB" w:eastAsia="en-US"/>
        </w:rPr>
        <w:t xml:space="preserve"> for our programs</w:t>
      </w:r>
      <w:r w:rsidR="00CE7633">
        <w:rPr>
          <w:rFonts w:asciiTheme="minorHAnsi" w:eastAsiaTheme="minorHAnsi" w:hAnsiTheme="minorHAnsi" w:cstheme="minorBidi"/>
          <w:color w:val="495965" w:themeColor="text2"/>
          <w:sz w:val="22"/>
          <w:szCs w:val="22"/>
          <w:lang w:val="en-GB" w:eastAsia="en-US"/>
        </w:rPr>
        <w:t>.</w:t>
      </w:r>
      <w:r w:rsidR="00045523" w:rsidRPr="00045523">
        <w:rPr>
          <w:rFonts w:asciiTheme="minorHAnsi" w:eastAsiaTheme="minorHAnsi" w:hAnsiTheme="minorHAnsi" w:cstheme="minorBidi"/>
          <w:color w:val="495965" w:themeColor="text2"/>
          <w:sz w:val="22"/>
          <w:szCs w:val="22"/>
          <w:lang w:val="en-GB" w:eastAsia="en-US"/>
        </w:rPr>
        <w:t xml:space="preserve"> </w:t>
      </w:r>
      <w:r w:rsidR="00994D70">
        <w:rPr>
          <w:rFonts w:asciiTheme="minorHAnsi" w:eastAsiaTheme="minorHAnsi" w:hAnsiTheme="minorHAnsi" w:cstheme="minorBidi"/>
          <w:color w:val="495965" w:themeColor="text2"/>
          <w:sz w:val="22"/>
          <w:szCs w:val="22"/>
          <w:lang w:val="en-GB" w:eastAsia="en-US"/>
        </w:rPr>
        <w:t xml:space="preserve">Ongoing training and mentoring </w:t>
      </w:r>
      <w:r w:rsidR="00CE7633">
        <w:rPr>
          <w:rFonts w:asciiTheme="minorHAnsi" w:eastAsiaTheme="minorHAnsi" w:hAnsiTheme="minorHAnsi" w:cstheme="minorBidi"/>
          <w:color w:val="495965" w:themeColor="text2"/>
          <w:sz w:val="22"/>
          <w:szCs w:val="22"/>
          <w:lang w:val="en-GB" w:eastAsia="en-US"/>
        </w:rPr>
        <w:t>is</w:t>
      </w:r>
      <w:r w:rsidR="004347F5">
        <w:rPr>
          <w:rFonts w:asciiTheme="minorHAnsi" w:eastAsiaTheme="minorHAnsi" w:hAnsiTheme="minorHAnsi" w:cstheme="minorBidi"/>
          <w:color w:val="495965" w:themeColor="text2"/>
          <w:sz w:val="22"/>
          <w:szCs w:val="22"/>
          <w:lang w:val="en-GB" w:eastAsia="en-US"/>
        </w:rPr>
        <w:t xml:space="preserve"> a priority</w:t>
      </w:r>
      <w:r w:rsidR="00994D70">
        <w:rPr>
          <w:rFonts w:asciiTheme="minorHAnsi" w:eastAsiaTheme="minorHAnsi" w:hAnsiTheme="minorHAnsi" w:cstheme="minorBidi"/>
          <w:color w:val="495965" w:themeColor="text2"/>
          <w:sz w:val="22"/>
          <w:szCs w:val="22"/>
          <w:lang w:val="en-GB" w:eastAsia="en-US"/>
        </w:rPr>
        <w:t xml:space="preserve"> to build the capacity of the development team</w:t>
      </w:r>
      <w:r w:rsidR="004347F5">
        <w:rPr>
          <w:rFonts w:asciiTheme="minorHAnsi" w:eastAsiaTheme="minorHAnsi" w:hAnsiTheme="minorHAnsi" w:cstheme="minorBidi"/>
          <w:color w:val="495965" w:themeColor="text2"/>
          <w:sz w:val="22"/>
          <w:szCs w:val="22"/>
          <w:lang w:val="en-GB" w:eastAsia="en-US"/>
        </w:rPr>
        <w:t xml:space="preserve"> over 2017 and 2018</w:t>
      </w:r>
      <w:r w:rsidR="00994D70">
        <w:rPr>
          <w:rFonts w:asciiTheme="minorHAnsi" w:eastAsiaTheme="minorHAnsi" w:hAnsiTheme="minorHAnsi" w:cstheme="minorBidi"/>
          <w:color w:val="495965" w:themeColor="text2"/>
          <w:sz w:val="22"/>
          <w:szCs w:val="22"/>
          <w:lang w:val="en-GB" w:eastAsia="en-US"/>
        </w:rPr>
        <w:t>.</w:t>
      </w:r>
      <w:r w:rsidR="00045523" w:rsidRPr="00045523">
        <w:rPr>
          <w:rFonts w:asciiTheme="minorHAnsi" w:eastAsiaTheme="minorHAnsi" w:hAnsiTheme="minorHAnsi" w:cstheme="minorBidi"/>
          <w:color w:val="495965" w:themeColor="text2"/>
          <w:sz w:val="22"/>
          <w:szCs w:val="22"/>
          <w:lang w:val="en-GB" w:eastAsia="en-US"/>
        </w:rPr>
        <w:t xml:space="preserve"> </w:t>
      </w:r>
    </w:p>
    <w:p w14:paraId="2861D462" w14:textId="6DDB83FB" w:rsidR="00C67E26" w:rsidRDefault="009020CC" w:rsidP="00B73F3B">
      <w:pPr>
        <w:pStyle w:val="ListBullet"/>
      </w:pPr>
      <w:r w:rsidRPr="00505E74">
        <w:rPr>
          <w:rFonts w:asciiTheme="minorHAnsi" w:eastAsiaTheme="minorHAnsi" w:hAnsiTheme="minorHAnsi" w:cstheme="minorBidi"/>
          <w:color w:val="495965" w:themeColor="text2"/>
          <w:sz w:val="22"/>
          <w:szCs w:val="22"/>
          <w:lang w:val="en-GB" w:eastAsia="en-US"/>
        </w:rPr>
        <w:t xml:space="preserve">In the health sector </w:t>
      </w:r>
      <w:r w:rsidR="00045523">
        <w:rPr>
          <w:rFonts w:asciiTheme="minorHAnsi" w:eastAsiaTheme="minorHAnsi" w:hAnsiTheme="minorHAnsi" w:cstheme="minorBidi"/>
          <w:color w:val="495965" w:themeColor="text2"/>
          <w:sz w:val="22"/>
          <w:szCs w:val="22"/>
          <w:lang w:val="en-GB" w:eastAsia="en-US"/>
        </w:rPr>
        <w:t>we are</w:t>
      </w:r>
      <w:r w:rsidRPr="00AB1443">
        <w:rPr>
          <w:rFonts w:asciiTheme="minorHAnsi" w:eastAsiaTheme="minorHAnsi" w:hAnsiTheme="minorHAnsi" w:cstheme="minorBidi"/>
          <w:color w:val="495965" w:themeColor="text2"/>
          <w:sz w:val="22"/>
          <w:szCs w:val="22"/>
          <w:lang w:val="en-GB" w:eastAsia="en-US"/>
        </w:rPr>
        <w:t xml:space="preserve"> focussing efforts on two activi</w:t>
      </w:r>
      <w:r w:rsidR="00C67E26">
        <w:rPr>
          <w:rFonts w:asciiTheme="minorHAnsi" w:eastAsiaTheme="minorHAnsi" w:hAnsiTheme="minorHAnsi" w:cstheme="minorBidi"/>
          <w:color w:val="495965" w:themeColor="text2"/>
          <w:sz w:val="22"/>
          <w:szCs w:val="22"/>
          <w:lang w:val="en-GB" w:eastAsia="en-US"/>
        </w:rPr>
        <w:t>ties to improve the investment</w:t>
      </w:r>
      <w:r w:rsidR="00B73F3B">
        <w:rPr>
          <w:rFonts w:asciiTheme="minorHAnsi" w:eastAsiaTheme="minorHAnsi" w:hAnsiTheme="minorHAnsi" w:cstheme="minorBidi"/>
          <w:color w:val="495965" w:themeColor="text2"/>
          <w:sz w:val="22"/>
          <w:szCs w:val="22"/>
          <w:lang w:val="en-GB" w:eastAsia="en-US"/>
        </w:rPr>
        <w:t xml:space="preserve">. </w:t>
      </w:r>
      <w:r w:rsidR="00C67E26" w:rsidRPr="00B73F3B">
        <w:rPr>
          <w:rFonts w:asciiTheme="minorHAnsi" w:eastAsiaTheme="minorHAnsi" w:hAnsiTheme="minorHAnsi" w:cstheme="minorBidi"/>
          <w:color w:val="495965" w:themeColor="text2"/>
          <w:sz w:val="22"/>
          <w:szCs w:val="22"/>
          <w:lang w:val="en-GB" w:eastAsia="en-US"/>
        </w:rPr>
        <w:t xml:space="preserve">We are working with </w:t>
      </w:r>
      <w:r w:rsidRPr="00AB1443">
        <w:rPr>
          <w:rFonts w:asciiTheme="minorHAnsi" w:eastAsiaTheme="minorHAnsi" w:hAnsiTheme="minorHAnsi" w:cstheme="minorBidi"/>
          <w:color w:val="495965" w:themeColor="text2"/>
          <w:sz w:val="22"/>
          <w:szCs w:val="22"/>
          <w:lang w:val="en-GB" w:eastAsia="en-US"/>
        </w:rPr>
        <w:t xml:space="preserve">the Government of Nauru to fill vacant </w:t>
      </w:r>
      <w:r w:rsidR="002A328A">
        <w:rPr>
          <w:rFonts w:asciiTheme="minorHAnsi" w:eastAsiaTheme="minorHAnsi" w:hAnsiTheme="minorHAnsi" w:cstheme="minorBidi"/>
          <w:color w:val="495965" w:themeColor="text2"/>
          <w:sz w:val="22"/>
          <w:szCs w:val="22"/>
          <w:lang w:val="en-GB" w:eastAsia="en-US"/>
        </w:rPr>
        <w:t>adviser</w:t>
      </w:r>
      <w:r w:rsidRPr="00AB1443">
        <w:rPr>
          <w:rFonts w:asciiTheme="minorHAnsi" w:eastAsiaTheme="minorHAnsi" w:hAnsiTheme="minorHAnsi" w:cstheme="minorBidi"/>
          <w:color w:val="495965" w:themeColor="text2"/>
          <w:sz w:val="22"/>
          <w:szCs w:val="22"/>
          <w:lang w:val="en-GB" w:eastAsia="en-US"/>
        </w:rPr>
        <w:t xml:space="preserve"> positions.</w:t>
      </w:r>
      <w:r w:rsidR="00A86E86" w:rsidRPr="00B73F3B">
        <w:rPr>
          <w:rFonts w:asciiTheme="minorHAnsi" w:eastAsiaTheme="minorHAnsi" w:hAnsiTheme="minorHAnsi" w:cstheme="minorBidi"/>
          <w:color w:val="495965" w:themeColor="text2"/>
          <w:sz w:val="22"/>
          <w:szCs w:val="22"/>
          <w:lang w:val="en-GB" w:eastAsia="en-US"/>
        </w:rPr>
        <w:t xml:space="preserve"> We have increased our capacity with the engagement of a </w:t>
      </w:r>
      <w:r w:rsidRPr="00AB1443">
        <w:rPr>
          <w:rFonts w:asciiTheme="minorHAnsi" w:eastAsiaTheme="minorHAnsi" w:hAnsiTheme="minorHAnsi" w:cstheme="minorBidi"/>
          <w:color w:val="495965" w:themeColor="text2"/>
          <w:sz w:val="22"/>
          <w:szCs w:val="22"/>
          <w:lang w:val="en-GB" w:eastAsia="en-US"/>
        </w:rPr>
        <w:t xml:space="preserve">part-time senior health </w:t>
      </w:r>
      <w:r w:rsidR="002A328A">
        <w:rPr>
          <w:rFonts w:asciiTheme="minorHAnsi" w:eastAsiaTheme="minorHAnsi" w:hAnsiTheme="minorHAnsi" w:cstheme="minorBidi"/>
          <w:color w:val="495965" w:themeColor="text2"/>
          <w:sz w:val="22"/>
          <w:szCs w:val="22"/>
          <w:lang w:val="en-GB" w:eastAsia="en-US"/>
        </w:rPr>
        <w:t>adviser</w:t>
      </w:r>
      <w:r w:rsidR="00994D70">
        <w:rPr>
          <w:rFonts w:asciiTheme="minorHAnsi" w:eastAsiaTheme="minorHAnsi" w:hAnsiTheme="minorHAnsi" w:cstheme="minorBidi"/>
          <w:color w:val="495965" w:themeColor="text2"/>
          <w:sz w:val="22"/>
          <w:szCs w:val="22"/>
          <w:lang w:val="en-GB" w:eastAsia="en-US"/>
        </w:rPr>
        <w:t>,</w:t>
      </w:r>
      <w:r w:rsidRPr="00AB1443">
        <w:rPr>
          <w:rFonts w:asciiTheme="minorHAnsi" w:eastAsiaTheme="minorHAnsi" w:hAnsiTheme="minorHAnsi" w:cstheme="minorBidi"/>
          <w:color w:val="495965" w:themeColor="text2"/>
          <w:sz w:val="22"/>
          <w:szCs w:val="22"/>
          <w:lang w:val="en-GB" w:eastAsia="en-US"/>
        </w:rPr>
        <w:t xml:space="preserve"> as well as a full-time locally</w:t>
      </w:r>
      <w:r w:rsidR="00C67E26" w:rsidRPr="00B73F3B">
        <w:rPr>
          <w:rFonts w:asciiTheme="minorHAnsi" w:eastAsiaTheme="minorHAnsi" w:hAnsiTheme="minorHAnsi" w:cstheme="minorBidi"/>
          <w:color w:val="495965" w:themeColor="text2"/>
          <w:sz w:val="22"/>
          <w:szCs w:val="22"/>
          <w:lang w:val="en-GB" w:eastAsia="en-US"/>
        </w:rPr>
        <w:t xml:space="preserve"> engaged health program manager</w:t>
      </w:r>
      <w:r w:rsidR="00B73F3B" w:rsidRPr="00B73F3B">
        <w:rPr>
          <w:rFonts w:asciiTheme="minorHAnsi" w:eastAsiaTheme="minorHAnsi" w:hAnsiTheme="minorHAnsi" w:cstheme="minorBidi"/>
          <w:color w:val="495965" w:themeColor="text2"/>
          <w:sz w:val="22"/>
          <w:szCs w:val="22"/>
          <w:lang w:val="en-GB" w:eastAsia="en-US"/>
        </w:rPr>
        <w:t xml:space="preserve">. </w:t>
      </w:r>
      <w:r>
        <w:rPr>
          <w:rFonts w:asciiTheme="minorHAnsi" w:eastAsiaTheme="minorHAnsi" w:hAnsiTheme="minorHAnsi" w:cstheme="minorBidi"/>
          <w:color w:val="495965" w:themeColor="text2"/>
          <w:sz w:val="22"/>
          <w:szCs w:val="22"/>
          <w:lang w:val="en-GB" w:eastAsia="en-US"/>
        </w:rPr>
        <w:t>Between September</w:t>
      </w:r>
      <w:r w:rsidRPr="00AB1443">
        <w:rPr>
          <w:rFonts w:asciiTheme="minorHAnsi" w:eastAsiaTheme="minorHAnsi" w:hAnsiTheme="minorHAnsi" w:cstheme="minorBidi"/>
          <w:color w:val="495965" w:themeColor="text2"/>
          <w:sz w:val="22"/>
          <w:szCs w:val="22"/>
          <w:lang w:val="en-GB" w:eastAsia="en-US"/>
        </w:rPr>
        <w:t xml:space="preserve"> and December 2017, </w:t>
      </w:r>
      <w:r w:rsidR="00994D70">
        <w:rPr>
          <w:rFonts w:asciiTheme="minorHAnsi" w:eastAsiaTheme="minorHAnsi" w:hAnsiTheme="minorHAnsi" w:cstheme="minorBidi"/>
          <w:color w:val="495965" w:themeColor="text2"/>
          <w:sz w:val="22"/>
          <w:szCs w:val="22"/>
          <w:lang w:val="en-GB" w:eastAsia="en-US"/>
        </w:rPr>
        <w:t>we</w:t>
      </w:r>
      <w:r w:rsidRPr="00AB1443">
        <w:rPr>
          <w:rFonts w:asciiTheme="minorHAnsi" w:eastAsiaTheme="minorHAnsi" w:hAnsiTheme="minorHAnsi" w:cstheme="minorBidi"/>
          <w:color w:val="495965" w:themeColor="text2"/>
          <w:sz w:val="22"/>
          <w:szCs w:val="22"/>
          <w:lang w:val="en-GB" w:eastAsia="en-US"/>
        </w:rPr>
        <w:t xml:space="preserve"> will commission an independent review of </w:t>
      </w:r>
      <w:r w:rsidR="00994D70">
        <w:rPr>
          <w:rFonts w:asciiTheme="minorHAnsi" w:eastAsiaTheme="minorHAnsi" w:hAnsiTheme="minorHAnsi" w:cstheme="minorBidi"/>
          <w:color w:val="495965" w:themeColor="text2"/>
          <w:sz w:val="22"/>
          <w:szCs w:val="22"/>
          <w:lang w:val="en-GB" w:eastAsia="en-US"/>
        </w:rPr>
        <w:t>our</w:t>
      </w:r>
      <w:r w:rsidRPr="00AB1443">
        <w:rPr>
          <w:rFonts w:asciiTheme="minorHAnsi" w:eastAsiaTheme="minorHAnsi" w:hAnsiTheme="minorHAnsi" w:cstheme="minorBidi"/>
          <w:color w:val="495965" w:themeColor="text2"/>
          <w:sz w:val="22"/>
          <w:szCs w:val="22"/>
          <w:lang w:val="en-GB" w:eastAsia="en-US"/>
        </w:rPr>
        <w:t xml:space="preserve"> health sector engagement.</w:t>
      </w:r>
      <w:r>
        <w:rPr>
          <w:rFonts w:asciiTheme="minorHAnsi" w:eastAsiaTheme="minorHAnsi" w:hAnsiTheme="minorHAnsi" w:cstheme="minorBidi"/>
          <w:color w:val="495965" w:themeColor="text2"/>
          <w:sz w:val="22"/>
          <w:szCs w:val="22"/>
          <w:lang w:val="en-GB" w:eastAsia="en-US"/>
        </w:rPr>
        <w:t xml:space="preserve"> The independent review will feed into a redesign of </w:t>
      </w:r>
      <w:r w:rsidR="00CE7633">
        <w:rPr>
          <w:rFonts w:asciiTheme="minorHAnsi" w:eastAsiaTheme="minorHAnsi" w:hAnsiTheme="minorHAnsi" w:cstheme="minorBidi"/>
          <w:color w:val="495965" w:themeColor="text2"/>
          <w:sz w:val="22"/>
          <w:szCs w:val="22"/>
          <w:lang w:val="en-GB" w:eastAsia="en-US"/>
        </w:rPr>
        <w:t>our</w:t>
      </w:r>
      <w:r>
        <w:rPr>
          <w:rFonts w:asciiTheme="minorHAnsi" w:eastAsiaTheme="minorHAnsi" w:hAnsiTheme="minorHAnsi" w:cstheme="minorBidi"/>
          <w:color w:val="495965" w:themeColor="text2"/>
          <w:sz w:val="22"/>
          <w:szCs w:val="22"/>
          <w:lang w:val="en-GB" w:eastAsia="en-US"/>
        </w:rPr>
        <w:t xml:space="preserve"> </w:t>
      </w:r>
      <w:r w:rsidR="003E06D6">
        <w:rPr>
          <w:rFonts w:asciiTheme="minorHAnsi" w:eastAsiaTheme="minorHAnsi" w:hAnsiTheme="minorHAnsi" w:cstheme="minorBidi"/>
          <w:color w:val="495965" w:themeColor="text2"/>
          <w:sz w:val="22"/>
          <w:szCs w:val="22"/>
          <w:lang w:val="en-GB" w:eastAsia="en-US"/>
        </w:rPr>
        <w:t>h</w:t>
      </w:r>
      <w:r>
        <w:rPr>
          <w:rFonts w:asciiTheme="minorHAnsi" w:eastAsiaTheme="minorHAnsi" w:hAnsiTheme="minorHAnsi" w:cstheme="minorBidi"/>
          <w:color w:val="495965" w:themeColor="text2"/>
          <w:sz w:val="22"/>
          <w:szCs w:val="22"/>
          <w:lang w:val="en-GB" w:eastAsia="en-US"/>
        </w:rPr>
        <w:t xml:space="preserve">ealth </w:t>
      </w:r>
      <w:r w:rsidR="003E06D6">
        <w:rPr>
          <w:rFonts w:asciiTheme="minorHAnsi" w:eastAsiaTheme="minorHAnsi" w:hAnsiTheme="minorHAnsi" w:cstheme="minorBidi"/>
          <w:color w:val="495965" w:themeColor="text2"/>
          <w:sz w:val="22"/>
          <w:szCs w:val="22"/>
          <w:lang w:val="en-GB" w:eastAsia="en-US"/>
        </w:rPr>
        <w:t>i</w:t>
      </w:r>
      <w:r>
        <w:rPr>
          <w:rFonts w:asciiTheme="minorHAnsi" w:eastAsiaTheme="minorHAnsi" w:hAnsiTheme="minorHAnsi" w:cstheme="minorBidi"/>
          <w:color w:val="495965" w:themeColor="text2"/>
          <w:sz w:val="22"/>
          <w:szCs w:val="22"/>
          <w:lang w:val="en-GB" w:eastAsia="en-US"/>
        </w:rPr>
        <w:t>nvestment</w:t>
      </w:r>
      <w:r w:rsidR="00CE7633">
        <w:rPr>
          <w:rFonts w:asciiTheme="minorHAnsi" w:eastAsiaTheme="minorHAnsi" w:hAnsiTheme="minorHAnsi" w:cstheme="minorBidi"/>
          <w:color w:val="495965" w:themeColor="text2"/>
          <w:sz w:val="22"/>
          <w:szCs w:val="22"/>
          <w:lang w:val="en-GB" w:eastAsia="en-US"/>
        </w:rPr>
        <w:t>s</w:t>
      </w:r>
      <w:r w:rsidR="007E2AE7">
        <w:rPr>
          <w:rFonts w:asciiTheme="minorHAnsi" w:eastAsiaTheme="minorHAnsi" w:hAnsiTheme="minorHAnsi" w:cstheme="minorBidi"/>
          <w:color w:val="495965" w:themeColor="text2"/>
          <w:sz w:val="22"/>
          <w:szCs w:val="22"/>
          <w:lang w:val="en-GB" w:eastAsia="en-US"/>
        </w:rPr>
        <w:t xml:space="preserve">, and contribute to a performance assessment framework for DFAT’s health sector investment. </w:t>
      </w:r>
    </w:p>
    <w:p w14:paraId="1525396C" w14:textId="6934009B" w:rsidR="00330FEF" w:rsidRDefault="009020CC" w:rsidP="00A86E86">
      <w:pPr>
        <w:pStyle w:val="ListBullet"/>
        <w:rPr>
          <w:rFonts w:asciiTheme="minorHAnsi" w:eastAsiaTheme="minorHAnsi" w:hAnsiTheme="minorHAnsi" w:cstheme="minorBidi"/>
          <w:color w:val="495965" w:themeColor="text2"/>
          <w:sz w:val="22"/>
          <w:szCs w:val="22"/>
          <w:lang w:val="en-GB" w:eastAsia="en-US"/>
        </w:rPr>
      </w:pPr>
      <w:r w:rsidRPr="00505E74">
        <w:rPr>
          <w:rFonts w:asciiTheme="minorHAnsi" w:eastAsiaTheme="minorHAnsi" w:hAnsiTheme="minorHAnsi" w:cstheme="minorBidi"/>
          <w:color w:val="495965" w:themeColor="text2"/>
          <w:sz w:val="22"/>
          <w:szCs w:val="22"/>
          <w:lang w:val="en-GB" w:eastAsia="en-US"/>
        </w:rPr>
        <w:t xml:space="preserve">In the education sector, </w:t>
      </w:r>
      <w:r w:rsidR="0069698D">
        <w:rPr>
          <w:rFonts w:asciiTheme="minorHAnsi" w:eastAsiaTheme="minorHAnsi" w:hAnsiTheme="minorHAnsi" w:cstheme="minorBidi"/>
          <w:color w:val="495965" w:themeColor="text2"/>
          <w:sz w:val="22"/>
          <w:szCs w:val="22"/>
          <w:lang w:val="en-GB" w:eastAsia="en-US"/>
        </w:rPr>
        <w:t xml:space="preserve">an </w:t>
      </w:r>
      <w:r w:rsidR="002A328A">
        <w:rPr>
          <w:rFonts w:asciiTheme="minorHAnsi" w:eastAsiaTheme="minorHAnsi" w:hAnsiTheme="minorHAnsi" w:cstheme="minorBidi"/>
          <w:color w:val="495965" w:themeColor="text2"/>
          <w:sz w:val="22"/>
          <w:szCs w:val="22"/>
          <w:lang w:val="en-GB" w:eastAsia="en-US"/>
        </w:rPr>
        <w:t>adviser</w:t>
      </w:r>
      <w:r w:rsidR="0069698D">
        <w:rPr>
          <w:rFonts w:asciiTheme="minorHAnsi" w:eastAsiaTheme="minorHAnsi" w:hAnsiTheme="minorHAnsi" w:cstheme="minorBidi"/>
          <w:color w:val="495965" w:themeColor="text2"/>
          <w:sz w:val="22"/>
          <w:szCs w:val="22"/>
          <w:lang w:val="en-GB" w:eastAsia="en-US"/>
        </w:rPr>
        <w:t xml:space="preserve"> </w:t>
      </w:r>
      <w:r w:rsidR="004347F5">
        <w:rPr>
          <w:rFonts w:asciiTheme="minorHAnsi" w:eastAsiaTheme="minorHAnsi" w:hAnsiTheme="minorHAnsi" w:cstheme="minorBidi"/>
          <w:color w:val="495965" w:themeColor="text2"/>
          <w:sz w:val="22"/>
          <w:szCs w:val="22"/>
          <w:lang w:val="en-GB" w:eastAsia="en-US"/>
        </w:rPr>
        <w:t>was</w:t>
      </w:r>
      <w:r w:rsidR="0069698D">
        <w:rPr>
          <w:rFonts w:asciiTheme="minorHAnsi" w:eastAsiaTheme="minorHAnsi" w:hAnsiTheme="minorHAnsi" w:cstheme="minorBidi"/>
          <w:color w:val="495965" w:themeColor="text2"/>
          <w:sz w:val="22"/>
          <w:szCs w:val="22"/>
          <w:lang w:val="en-GB" w:eastAsia="en-US"/>
        </w:rPr>
        <w:t xml:space="preserve"> recruited</w:t>
      </w:r>
      <w:r w:rsidR="004347F5">
        <w:rPr>
          <w:rFonts w:asciiTheme="minorHAnsi" w:eastAsiaTheme="minorHAnsi" w:hAnsiTheme="minorHAnsi" w:cstheme="minorBidi"/>
          <w:color w:val="495965" w:themeColor="text2"/>
          <w:sz w:val="22"/>
          <w:szCs w:val="22"/>
          <w:lang w:val="en-GB" w:eastAsia="en-US"/>
        </w:rPr>
        <w:t xml:space="preserve"> from June 2017</w:t>
      </w:r>
      <w:r w:rsidR="0069698D">
        <w:rPr>
          <w:rFonts w:asciiTheme="minorHAnsi" w:eastAsiaTheme="minorHAnsi" w:hAnsiTheme="minorHAnsi" w:cstheme="minorBidi"/>
          <w:color w:val="495965" w:themeColor="text2"/>
          <w:sz w:val="22"/>
          <w:szCs w:val="22"/>
          <w:lang w:val="en-GB" w:eastAsia="en-US"/>
        </w:rPr>
        <w:t xml:space="preserve"> to assist the </w:t>
      </w:r>
      <w:r w:rsidR="002E516D">
        <w:rPr>
          <w:rFonts w:asciiTheme="minorHAnsi" w:eastAsiaTheme="minorHAnsi" w:hAnsiTheme="minorHAnsi" w:cstheme="minorBidi"/>
          <w:color w:val="495965" w:themeColor="text2"/>
          <w:sz w:val="22"/>
          <w:szCs w:val="22"/>
          <w:lang w:val="en-GB" w:eastAsia="en-US"/>
        </w:rPr>
        <w:t>Department of Education</w:t>
      </w:r>
      <w:r w:rsidR="0069698D">
        <w:rPr>
          <w:rFonts w:asciiTheme="minorHAnsi" w:eastAsiaTheme="minorHAnsi" w:hAnsiTheme="minorHAnsi" w:cstheme="minorBidi"/>
          <w:color w:val="495965" w:themeColor="text2"/>
          <w:sz w:val="22"/>
          <w:szCs w:val="22"/>
          <w:lang w:val="en-GB" w:eastAsia="en-US"/>
        </w:rPr>
        <w:t xml:space="preserve"> to implement a new </w:t>
      </w:r>
      <w:r w:rsidR="003E06D6">
        <w:rPr>
          <w:rFonts w:asciiTheme="minorHAnsi" w:eastAsiaTheme="minorHAnsi" w:hAnsiTheme="minorHAnsi" w:cstheme="minorBidi"/>
          <w:color w:val="495965" w:themeColor="text2"/>
          <w:sz w:val="22"/>
          <w:szCs w:val="22"/>
          <w:lang w:val="en-GB" w:eastAsia="en-US"/>
        </w:rPr>
        <w:lastRenderedPageBreak/>
        <w:t>f</w:t>
      </w:r>
      <w:r w:rsidR="0069698D">
        <w:rPr>
          <w:rFonts w:asciiTheme="minorHAnsi" w:eastAsiaTheme="minorHAnsi" w:hAnsiTheme="minorHAnsi" w:cstheme="minorBidi"/>
          <w:color w:val="495965" w:themeColor="text2"/>
          <w:sz w:val="22"/>
          <w:szCs w:val="22"/>
          <w:lang w:val="en-GB" w:eastAsia="en-US"/>
        </w:rPr>
        <w:t>ive</w:t>
      </w:r>
      <w:r w:rsidR="003E06D6">
        <w:rPr>
          <w:rFonts w:asciiTheme="minorHAnsi" w:eastAsiaTheme="minorHAnsi" w:hAnsiTheme="minorHAnsi" w:cstheme="minorBidi"/>
          <w:color w:val="495965" w:themeColor="text2"/>
          <w:sz w:val="22"/>
          <w:szCs w:val="22"/>
          <w:lang w:val="en-GB" w:eastAsia="en-US"/>
        </w:rPr>
        <w:t>-y</w:t>
      </w:r>
      <w:r w:rsidR="0069698D">
        <w:rPr>
          <w:rFonts w:asciiTheme="minorHAnsi" w:eastAsiaTheme="minorHAnsi" w:hAnsiTheme="minorHAnsi" w:cstheme="minorBidi"/>
          <w:color w:val="495965" w:themeColor="text2"/>
          <w:sz w:val="22"/>
          <w:szCs w:val="22"/>
          <w:lang w:val="en-GB" w:eastAsia="en-US"/>
        </w:rPr>
        <w:t xml:space="preserve">ear </w:t>
      </w:r>
      <w:r w:rsidR="003E06D6">
        <w:rPr>
          <w:rFonts w:asciiTheme="minorHAnsi" w:eastAsiaTheme="minorHAnsi" w:hAnsiTheme="minorHAnsi" w:cstheme="minorBidi"/>
          <w:color w:val="495965" w:themeColor="text2"/>
          <w:sz w:val="22"/>
          <w:szCs w:val="22"/>
          <w:lang w:val="en-GB" w:eastAsia="en-US"/>
        </w:rPr>
        <w:t>e</w:t>
      </w:r>
      <w:r w:rsidR="0069698D">
        <w:rPr>
          <w:rFonts w:asciiTheme="minorHAnsi" w:eastAsiaTheme="minorHAnsi" w:hAnsiTheme="minorHAnsi" w:cstheme="minorBidi"/>
          <w:color w:val="495965" w:themeColor="text2"/>
          <w:sz w:val="22"/>
          <w:szCs w:val="22"/>
          <w:lang w:val="en-GB" w:eastAsia="en-US"/>
        </w:rPr>
        <w:t xml:space="preserve">ducation </w:t>
      </w:r>
      <w:r w:rsidR="003E06D6">
        <w:rPr>
          <w:rFonts w:asciiTheme="minorHAnsi" w:eastAsiaTheme="minorHAnsi" w:hAnsiTheme="minorHAnsi" w:cstheme="minorBidi"/>
          <w:color w:val="495965" w:themeColor="text2"/>
          <w:sz w:val="22"/>
          <w:szCs w:val="22"/>
          <w:lang w:val="en-GB" w:eastAsia="en-US"/>
        </w:rPr>
        <w:t>s</w:t>
      </w:r>
      <w:r w:rsidR="0069698D">
        <w:rPr>
          <w:rFonts w:asciiTheme="minorHAnsi" w:eastAsiaTheme="minorHAnsi" w:hAnsiTheme="minorHAnsi" w:cstheme="minorBidi"/>
          <w:color w:val="495965" w:themeColor="text2"/>
          <w:sz w:val="22"/>
          <w:szCs w:val="22"/>
          <w:lang w:val="en-GB" w:eastAsia="en-US"/>
        </w:rPr>
        <w:t xml:space="preserve">trategic </w:t>
      </w:r>
      <w:r w:rsidR="003E06D6">
        <w:rPr>
          <w:rFonts w:asciiTheme="minorHAnsi" w:eastAsiaTheme="minorHAnsi" w:hAnsiTheme="minorHAnsi" w:cstheme="minorBidi"/>
          <w:color w:val="495965" w:themeColor="text2"/>
          <w:sz w:val="22"/>
          <w:szCs w:val="22"/>
          <w:lang w:val="en-GB" w:eastAsia="en-US"/>
        </w:rPr>
        <w:t>p</w:t>
      </w:r>
      <w:r w:rsidR="0069698D">
        <w:rPr>
          <w:rFonts w:asciiTheme="minorHAnsi" w:eastAsiaTheme="minorHAnsi" w:hAnsiTheme="minorHAnsi" w:cstheme="minorBidi"/>
          <w:color w:val="495965" w:themeColor="text2"/>
          <w:sz w:val="22"/>
          <w:szCs w:val="22"/>
          <w:lang w:val="en-GB" w:eastAsia="en-US"/>
        </w:rPr>
        <w:t xml:space="preserve">lan. </w:t>
      </w:r>
      <w:r w:rsidR="00994D70">
        <w:rPr>
          <w:rFonts w:asciiTheme="minorHAnsi" w:eastAsiaTheme="minorHAnsi" w:hAnsiTheme="minorHAnsi" w:cstheme="minorBidi"/>
          <w:color w:val="495965" w:themeColor="text2"/>
          <w:sz w:val="22"/>
          <w:szCs w:val="22"/>
          <w:lang w:val="en-GB" w:eastAsia="en-US"/>
        </w:rPr>
        <w:t xml:space="preserve">A major focus of the </w:t>
      </w:r>
      <w:r w:rsidR="002A328A">
        <w:rPr>
          <w:rFonts w:asciiTheme="minorHAnsi" w:eastAsiaTheme="minorHAnsi" w:hAnsiTheme="minorHAnsi" w:cstheme="minorBidi"/>
          <w:color w:val="495965" w:themeColor="text2"/>
          <w:sz w:val="22"/>
          <w:szCs w:val="22"/>
          <w:lang w:val="en-GB" w:eastAsia="en-US"/>
        </w:rPr>
        <w:t>adviser</w:t>
      </w:r>
      <w:r w:rsidR="00994D70">
        <w:rPr>
          <w:rFonts w:asciiTheme="minorHAnsi" w:eastAsiaTheme="minorHAnsi" w:hAnsiTheme="minorHAnsi" w:cstheme="minorBidi"/>
          <w:color w:val="495965" w:themeColor="text2"/>
          <w:sz w:val="22"/>
          <w:szCs w:val="22"/>
          <w:lang w:val="en-GB" w:eastAsia="en-US"/>
        </w:rPr>
        <w:t xml:space="preserve"> will be to further develop and implement th</w:t>
      </w:r>
      <w:r w:rsidR="00CE7633">
        <w:rPr>
          <w:rFonts w:asciiTheme="minorHAnsi" w:eastAsiaTheme="minorHAnsi" w:hAnsiTheme="minorHAnsi" w:cstheme="minorBidi"/>
          <w:color w:val="495965" w:themeColor="text2"/>
          <w:sz w:val="22"/>
          <w:szCs w:val="22"/>
          <w:lang w:val="en-GB" w:eastAsia="en-US"/>
        </w:rPr>
        <w:t>e</w:t>
      </w:r>
      <w:r w:rsidR="00994D70">
        <w:rPr>
          <w:rFonts w:asciiTheme="minorHAnsi" w:eastAsiaTheme="minorHAnsi" w:hAnsiTheme="minorHAnsi" w:cstheme="minorBidi"/>
          <w:color w:val="495965" w:themeColor="text2"/>
          <w:sz w:val="22"/>
          <w:szCs w:val="22"/>
          <w:lang w:val="en-GB" w:eastAsia="en-US"/>
        </w:rPr>
        <w:t xml:space="preserve"> education performance assessment framework. </w:t>
      </w:r>
      <w:r w:rsidR="0069698D">
        <w:rPr>
          <w:rFonts w:asciiTheme="minorHAnsi" w:eastAsiaTheme="minorHAnsi" w:hAnsiTheme="minorHAnsi" w:cstheme="minorBidi"/>
          <w:color w:val="495965" w:themeColor="text2"/>
          <w:sz w:val="22"/>
          <w:szCs w:val="22"/>
          <w:lang w:val="en-GB" w:eastAsia="en-US"/>
        </w:rPr>
        <w:t>W</w:t>
      </w:r>
      <w:r w:rsidRPr="00AE28C8">
        <w:rPr>
          <w:rFonts w:asciiTheme="minorHAnsi" w:eastAsiaTheme="minorHAnsi" w:hAnsiTheme="minorHAnsi" w:cstheme="minorBidi"/>
          <w:color w:val="495965" w:themeColor="text2"/>
          <w:sz w:val="22"/>
          <w:szCs w:val="22"/>
          <w:lang w:val="en-GB" w:eastAsia="en-US"/>
        </w:rPr>
        <w:t>e will seek to establish a regular formal dialogue mechanism, such as a six</w:t>
      </w:r>
      <w:r w:rsidR="00A86E86">
        <w:rPr>
          <w:rFonts w:asciiTheme="minorHAnsi" w:eastAsiaTheme="minorHAnsi" w:hAnsiTheme="minorHAnsi" w:cstheme="minorBidi"/>
          <w:color w:val="495965" w:themeColor="text2"/>
          <w:sz w:val="22"/>
          <w:szCs w:val="22"/>
          <w:lang w:val="en-GB" w:eastAsia="en-US"/>
        </w:rPr>
        <w:t>-</w:t>
      </w:r>
      <w:r w:rsidRPr="00AE28C8">
        <w:rPr>
          <w:rFonts w:asciiTheme="minorHAnsi" w:eastAsiaTheme="minorHAnsi" w:hAnsiTheme="minorHAnsi" w:cstheme="minorBidi"/>
          <w:color w:val="495965" w:themeColor="text2"/>
          <w:sz w:val="22"/>
          <w:szCs w:val="22"/>
          <w:lang w:val="en-GB" w:eastAsia="en-US"/>
        </w:rPr>
        <w:t>monthly sector dialogue, th</w:t>
      </w:r>
      <w:r>
        <w:rPr>
          <w:rFonts w:asciiTheme="minorHAnsi" w:eastAsiaTheme="minorHAnsi" w:hAnsiTheme="minorHAnsi" w:cstheme="minorBidi"/>
          <w:color w:val="495965" w:themeColor="text2"/>
          <w:sz w:val="22"/>
          <w:szCs w:val="22"/>
          <w:lang w:val="en-GB" w:eastAsia="en-US"/>
        </w:rPr>
        <w:t xml:space="preserve">at would </w:t>
      </w:r>
      <w:r w:rsidR="004347F5">
        <w:rPr>
          <w:rFonts w:asciiTheme="minorHAnsi" w:eastAsiaTheme="minorHAnsi" w:hAnsiTheme="minorHAnsi" w:cstheme="minorBidi"/>
          <w:color w:val="495965" w:themeColor="text2"/>
          <w:sz w:val="22"/>
          <w:szCs w:val="22"/>
          <w:lang w:val="en-GB" w:eastAsia="en-US"/>
        </w:rPr>
        <w:t xml:space="preserve">include </w:t>
      </w:r>
      <w:r w:rsidR="00A86E86">
        <w:rPr>
          <w:rFonts w:asciiTheme="minorHAnsi" w:eastAsiaTheme="minorHAnsi" w:hAnsiTheme="minorHAnsi" w:cstheme="minorBidi"/>
          <w:color w:val="495965" w:themeColor="text2"/>
          <w:sz w:val="22"/>
          <w:szCs w:val="22"/>
          <w:lang w:val="en-GB" w:eastAsia="en-US"/>
        </w:rPr>
        <w:t xml:space="preserve">New Zealand as </w:t>
      </w:r>
      <w:r w:rsidR="004347F5">
        <w:rPr>
          <w:rFonts w:asciiTheme="minorHAnsi" w:eastAsiaTheme="minorHAnsi" w:hAnsiTheme="minorHAnsi" w:cstheme="minorBidi"/>
          <w:color w:val="495965" w:themeColor="text2"/>
          <w:sz w:val="22"/>
          <w:szCs w:val="22"/>
          <w:lang w:val="en-GB" w:eastAsia="en-US"/>
        </w:rPr>
        <w:t>t</w:t>
      </w:r>
      <w:r w:rsidR="00330FEF">
        <w:rPr>
          <w:rFonts w:asciiTheme="minorHAnsi" w:eastAsiaTheme="minorHAnsi" w:hAnsiTheme="minorHAnsi" w:cstheme="minorBidi"/>
          <w:color w:val="495965" w:themeColor="text2"/>
          <w:sz w:val="22"/>
          <w:szCs w:val="22"/>
          <w:lang w:val="en-GB" w:eastAsia="en-US"/>
        </w:rPr>
        <w:t>he other major education sector donor</w:t>
      </w:r>
      <w:r>
        <w:rPr>
          <w:rFonts w:asciiTheme="minorHAnsi" w:eastAsiaTheme="minorHAnsi" w:hAnsiTheme="minorHAnsi" w:cstheme="minorBidi"/>
          <w:color w:val="495965" w:themeColor="text2"/>
          <w:sz w:val="22"/>
          <w:szCs w:val="22"/>
          <w:lang w:val="en-GB" w:eastAsia="en-US"/>
        </w:rPr>
        <w:t xml:space="preserve">. </w:t>
      </w:r>
      <w:r w:rsidR="00A86E86">
        <w:rPr>
          <w:rFonts w:asciiTheme="minorHAnsi" w:eastAsiaTheme="minorHAnsi" w:hAnsiTheme="minorHAnsi" w:cstheme="minorBidi"/>
          <w:color w:val="495965" w:themeColor="text2"/>
          <w:sz w:val="22"/>
          <w:szCs w:val="22"/>
          <w:lang w:val="en-GB" w:eastAsia="en-US"/>
        </w:rPr>
        <w:t>E</w:t>
      </w:r>
      <w:r w:rsidR="006A7A76">
        <w:rPr>
          <w:rFonts w:asciiTheme="minorHAnsi" w:eastAsiaTheme="minorHAnsi" w:hAnsiTheme="minorHAnsi" w:cstheme="minorBidi"/>
          <w:color w:val="495965" w:themeColor="text2"/>
          <w:sz w:val="22"/>
          <w:szCs w:val="22"/>
          <w:lang w:val="en-GB" w:eastAsia="en-US"/>
        </w:rPr>
        <w:t>xpand</w:t>
      </w:r>
      <w:r w:rsidR="00A86E86">
        <w:rPr>
          <w:rFonts w:asciiTheme="minorHAnsi" w:eastAsiaTheme="minorHAnsi" w:hAnsiTheme="minorHAnsi" w:cstheme="minorBidi"/>
          <w:color w:val="495965" w:themeColor="text2"/>
          <w:sz w:val="22"/>
          <w:szCs w:val="22"/>
          <w:lang w:val="en-GB" w:eastAsia="en-US"/>
        </w:rPr>
        <w:t>ing</w:t>
      </w:r>
      <w:r w:rsidR="006A7A76">
        <w:rPr>
          <w:rFonts w:asciiTheme="minorHAnsi" w:eastAsiaTheme="minorHAnsi" w:hAnsiTheme="minorHAnsi" w:cstheme="minorBidi"/>
          <w:color w:val="495965" w:themeColor="text2"/>
          <w:sz w:val="22"/>
          <w:szCs w:val="22"/>
          <w:lang w:val="en-GB" w:eastAsia="en-US"/>
        </w:rPr>
        <w:t xml:space="preserve"> technical and vocational education</w:t>
      </w:r>
      <w:r w:rsidR="00A86E86">
        <w:rPr>
          <w:rFonts w:asciiTheme="minorHAnsi" w:eastAsiaTheme="minorHAnsi" w:hAnsiTheme="minorHAnsi" w:cstheme="minorBidi"/>
          <w:color w:val="495965" w:themeColor="text2"/>
          <w:sz w:val="22"/>
          <w:szCs w:val="22"/>
          <w:lang w:val="en-GB" w:eastAsia="en-US"/>
        </w:rPr>
        <w:t xml:space="preserve"> and training (TVET)</w:t>
      </w:r>
      <w:r w:rsidR="006A7A76">
        <w:rPr>
          <w:rFonts w:asciiTheme="minorHAnsi" w:eastAsiaTheme="minorHAnsi" w:hAnsiTheme="minorHAnsi" w:cstheme="minorBidi"/>
          <w:color w:val="495965" w:themeColor="text2"/>
          <w:sz w:val="22"/>
          <w:szCs w:val="22"/>
          <w:lang w:val="en-GB" w:eastAsia="en-US"/>
        </w:rPr>
        <w:t xml:space="preserve"> will be a particular focus in 2017-18</w:t>
      </w:r>
      <w:r w:rsidR="004347F5">
        <w:rPr>
          <w:rFonts w:asciiTheme="minorHAnsi" w:eastAsiaTheme="minorHAnsi" w:hAnsiTheme="minorHAnsi" w:cstheme="minorBidi"/>
          <w:color w:val="495965" w:themeColor="text2"/>
          <w:sz w:val="22"/>
          <w:szCs w:val="22"/>
          <w:lang w:val="en-GB" w:eastAsia="en-US"/>
        </w:rPr>
        <w:t xml:space="preserve">, noting the expanded </w:t>
      </w:r>
      <w:r w:rsidR="00CE7633">
        <w:rPr>
          <w:rFonts w:asciiTheme="minorHAnsi" w:eastAsiaTheme="minorHAnsi" w:hAnsiTheme="minorHAnsi" w:cstheme="minorBidi"/>
          <w:color w:val="495965" w:themeColor="text2"/>
          <w:sz w:val="22"/>
          <w:szCs w:val="22"/>
          <w:lang w:val="en-GB" w:eastAsia="en-US"/>
        </w:rPr>
        <w:t>capacity</w:t>
      </w:r>
      <w:r w:rsidR="004347F5">
        <w:rPr>
          <w:rFonts w:asciiTheme="minorHAnsi" w:eastAsiaTheme="minorHAnsi" w:hAnsiTheme="minorHAnsi" w:cstheme="minorBidi"/>
          <w:color w:val="495965" w:themeColor="text2"/>
          <w:sz w:val="22"/>
          <w:szCs w:val="22"/>
          <w:lang w:val="en-GB" w:eastAsia="en-US"/>
        </w:rPr>
        <w:t xml:space="preserve"> of the Learning Village campus.</w:t>
      </w:r>
    </w:p>
    <w:p w14:paraId="67084CA3" w14:textId="3487D5CB" w:rsidR="000317A6" w:rsidRDefault="00493CE7" w:rsidP="000317A6">
      <w:pPr>
        <w:pStyle w:val="ListBullet"/>
        <w:rPr>
          <w:rFonts w:asciiTheme="minorHAnsi" w:eastAsiaTheme="minorHAnsi" w:hAnsiTheme="minorHAnsi" w:cstheme="minorBidi"/>
          <w:color w:val="495965" w:themeColor="text2"/>
          <w:sz w:val="22"/>
          <w:szCs w:val="22"/>
          <w:lang w:val="en-GB" w:eastAsia="en-US"/>
        </w:rPr>
      </w:pPr>
      <w:r>
        <w:rPr>
          <w:rFonts w:asciiTheme="minorHAnsi" w:eastAsiaTheme="minorHAnsi" w:hAnsiTheme="minorHAnsi" w:cstheme="minorBidi"/>
          <w:color w:val="495965" w:themeColor="text2"/>
          <w:sz w:val="22"/>
          <w:szCs w:val="22"/>
          <w:lang w:val="en-GB" w:eastAsia="en-US"/>
        </w:rPr>
        <w:t>A new performance assessment framework was draft</w:t>
      </w:r>
      <w:r w:rsidR="00C67E26">
        <w:rPr>
          <w:rFonts w:asciiTheme="minorHAnsi" w:eastAsiaTheme="minorHAnsi" w:hAnsiTheme="minorHAnsi" w:cstheme="minorBidi"/>
          <w:color w:val="495965" w:themeColor="text2"/>
          <w:sz w:val="22"/>
          <w:szCs w:val="22"/>
          <w:lang w:val="en-GB" w:eastAsia="en-US"/>
        </w:rPr>
        <w:t>ed</w:t>
      </w:r>
      <w:r>
        <w:rPr>
          <w:rFonts w:asciiTheme="minorHAnsi" w:eastAsiaTheme="minorHAnsi" w:hAnsiTheme="minorHAnsi" w:cstheme="minorBidi"/>
          <w:color w:val="495965" w:themeColor="text2"/>
          <w:sz w:val="22"/>
          <w:szCs w:val="22"/>
          <w:lang w:val="en-GB" w:eastAsia="en-US"/>
        </w:rPr>
        <w:t xml:space="preserve"> in June 2017</w:t>
      </w:r>
      <w:r w:rsidR="00C67E26">
        <w:rPr>
          <w:rFonts w:asciiTheme="minorHAnsi" w:eastAsiaTheme="minorHAnsi" w:hAnsiTheme="minorHAnsi" w:cstheme="minorBidi"/>
          <w:color w:val="495965" w:themeColor="text2"/>
          <w:sz w:val="22"/>
          <w:szCs w:val="22"/>
          <w:lang w:val="en-GB" w:eastAsia="en-US"/>
        </w:rPr>
        <w:t xml:space="preserve"> </w:t>
      </w:r>
      <w:r w:rsidR="00C67E26" w:rsidRPr="00C67E26">
        <w:rPr>
          <w:rFonts w:asciiTheme="minorHAnsi" w:eastAsiaTheme="minorHAnsi" w:hAnsiTheme="minorHAnsi" w:cstheme="minorBidi"/>
          <w:color w:val="495965" w:themeColor="text2"/>
          <w:sz w:val="22"/>
          <w:szCs w:val="22"/>
          <w:lang w:val="en-GB" w:eastAsia="en-US"/>
        </w:rPr>
        <w:t>(see Annex E).</w:t>
      </w:r>
      <w:r>
        <w:rPr>
          <w:rFonts w:asciiTheme="minorHAnsi" w:eastAsiaTheme="minorHAnsi" w:hAnsiTheme="minorHAnsi" w:cstheme="minorBidi"/>
          <w:color w:val="495965" w:themeColor="text2"/>
          <w:sz w:val="22"/>
          <w:szCs w:val="22"/>
          <w:lang w:val="en-GB" w:eastAsia="en-US"/>
        </w:rPr>
        <w:t xml:space="preserve"> This will be further refined and utilised to improve monitoring and evaluation of the program. </w:t>
      </w:r>
      <w:r w:rsidR="000317A6" w:rsidRPr="000317A6">
        <w:rPr>
          <w:rFonts w:asciiTheme="minorHAnsi" w:eastAsiaTheme="minorHAnsi" w:hAnsiTheme="minorHAnsi" w:cstheme="minorBidi"/>
          <w:color w:val="495965" w:themeColor="text2"/>
          <w:sz w:val="22"/>
          <w:szCs w:val="22"/>
          <w:lang w:val="en-GB" w:eastAsia="en-US"/>
        </w:rPr>
        <w:t xml:space="preserve">DFAT will engage a part-time gender </w:t>
      </w:r>
      <w:r w:rsidR="002A328A">
        <w:rPr>
          <w:rFonts w:asciiTheme="minorHAnsi" w:eastAsiaTheme="minorHAnsi" w:hAnsiTheme="minorHAnsi" w:cstheme="minorBidi"/>
          <w:color w:val="495965" w:themeColor="text2"/>
          <w:sz w:val="22"/>
          <w:szCs w:val="22"/>
          <w:lang w:val="en-GB" w:eastAsia="en-US"/>
        </w:rPr>
        <w:t>adviser</w:t>
      </w:r>
      <w:r w:rsidR="000317A6" w:rsidRPr="000317A6">
        <w:rPr>
          <w:rFonts w:asciiTheme="minorHAnsi" w:eastAsiaTheme="minorHAnsi" w:hAnsiTheme="minorHAnsi" w:cstheme="minorBidi"/>
          <w:color w:val="495965" w:themeColor="text2"/>
          <w:sz w:val="22"/>
          <w:szCs w:val="22"/>
          <w:lang w:val="en-GB" w:eastAsia="en-US"/>
        </w:rPr>
        <w:t xml:space="preserve"> under the second </w:t>
      </w:r>
      <w:r w:rsidR="000317A6">
        <w:rPr>
          <w:rFonts w:asciiTheme="minorHAnsi" w:eastAsiaTheme="minorHAnsi" w:hAnsiTheme="minorHAnsi" w:cstheme="minorBidi"/>
          <w:color w:val="495965" w:themeColor="text2"/>
          <w:sz w:val="22"/>
          <w:szCs w:val="22"/>
          <w:lang w:val="en-GB" w:eastAsia="en-US"/>
        </w:rPr>
        <w:t xml:space="preserve">gender </w:t>
      </w:r>
      <w:r w:rsidR="000317A6" w:rsidRPr="000317A6">
        <w:rPr>
          <w:rFonts w:asciiTheme="minorHAnsi" w:eastAsiaTheme="minorHAnsi" w:hAnsiTheme="minorHAnsi" w:cstheme="minorBidi"/>
          <w:color w:val="495965" w:themeColor="text2"/>
          <w:sz w:val="22"/>
          <w:szCs w:val="22"/>
          <w:lang w:val="en-GB" w:eastAsia="en-US"/>
        </w:rPr>
        <w:t xml:space="preserve">country plan in late 2017 to </w:t>
      </w:r>
      <w:r w:rsidR="000317A6">
        <w:rPr>
          <w:rFonts w:asciiTheme="minorHAnsi" w:eastAsiaTheme="minorHAnsi" w:hAnsiTheme="minorHAnsi" w:cstheme="minorBidi"/>
          <w:color w:val="495965" w:themeColor="text2"/>
          <w:sz w:val="22"/>
          <w:szCs w:val="22"/>
          <w:lang w:val="en-GB" w:eastAsia="en-US"/>
        </w:rPr>
        <w:t>improve</w:t>
      </w:r>
      <w:r w:rsidR="000317A6" w:rsidRPr="000317A6">
        <w:rPr>
          <w:rFonts w:asciiTheme="minorHAnsi" w:eastAsiaTheme="minorHAnsi" w:hAnsiTheme="minorHAnsi" w:cstheme="minorBidi"/>
          <w:color w:val="495965" w:themeColor="text2"/>
          <w:sz w:val="22"/>
          <w:szCs w:val="22"/>
          <w:lang w:val="en-GB" w:eastAsia="en-US"/>
        </w:rPr>
        <w:t xml:space="preserve"> mainstreaming gender across the investments of education, health, infrastructure and public sector management.</w:t>
      </w:r>
    </w:p>
    <w:p w14:paraId="5E9463D8" w14:textId="542BE95D" w:rsidR="00E45B01" w:rsidRPr="00C1342B" w:rsidRDefault="00C67E26" w:rsidP="009020CC">
      <w:pPr>
        <w:pStyle w:val="ListBullet"/>
        <w:rPr>
          <w:rFonts w:asciiTheme="minorHAnsi" w:eastAsiaTheme="minorHAnsi" w:hAnsiTheme="minorHAnsi" w:cstheme="minorBidi"/>
          <w:color w:val="495965" w:themeColor="text2"/>
          <w:sz w:val="22"/>
          <w:szCs w:val="22"/>
          <w:lang w:val="en-GB" w:eastAsia="en-US"/>
        </w:rPr>
      </w:pPr>
      <w:r>
        <w:rPr>
          <w:rFonts w:asciiTheme="minorHAnsi" w:eastAsiaTheme="minorHAnsi" w:hAnsiTheme="minorHAnsi" w:cstheme="minorBidi"/>
          <w:color w:val="495965" w:themeColor="text2"/>
          <w:sz w:val="22"/>
          <w:szCs w:val="22"/>
          <w:lang w:val="en-GB" w:eastAsia="en-US"/>
        </w:rPr>
        <w:t xml:space="preserve">In terms of </w:t>
      </w:r>
      <w:r w:rsidR="009020CC" w:rsidRPr="00AE28C8">
        <w:rPr>
          <w:rFonts w:asciiTheme="minorHAnsi" w:eastAsiaTheme="minorHAnsi" w:hAnsiTheme="minorHAnsi" w:cstheme="minorBidi"/>
          <w:color w:val="495965" w:themeColor="text2"/>
          <w:sz w:val="22"/>
          <w:szCs w:val="22"/>
          <w:lang w:val="en-GB" w:eastAsia="en-US"/>
        </w:rPr>
        <w:t>public financial management</w:t>
      </w:r>
      <w:r>
        <w:rPr>
          <w:rFonts w:asciiTheme="minorHAnsi" w:eastAsiaTheme="minorHAnsi" w:hAnsiTheme="minorHAnsi" w:cstheme="minorBidi"/>
          <w:color w:val="495965" w:themeColor="text2"/>
          <w:sz w:val="22"/>
          <w:szCs w:val="22"/>
          <w:lang w:val="en-GB" w:eastAsia="en-US"/>
        </w:rPr>
        <w:t>,</w:t>
      </w:r>
      <w:r w:rsidR="009020CC" w:rsidRPr="00AE28C8">
        <w:rPr>
          <w:rFonts w:asciiTheme="minorHAnsi" w:eastAsiaTheme="minorHAnsi" w:hAnsiTheme="minorHAnsi" w:cstheme="minorBidi"/>
          <w:color w:val="495965" w:themeColor="text2"/>
          <w:sz w:val="22"/>
          <w:szCs w:val="22"/>
          <w:lang w:val="en-GB" w:eastAsia="en-US"/>
        </w:rPr>
        <w:t xml:space="preserve"> we will continue to support improved use of FMIS</w:t>
      </w:r>
      <w:r>
        <w:rPr>
          <w:rFonts w:asciiTheme="minorHAnsi" w:eastAsiaTheme="minorHAnsi" w:hAnsiTheme="minorHAnsi" w:cstheme="minorBidi"/>
          <w:color w:val="495965" w:themeColor="text2"/>
          <w:sz w:val="22"/>
          <w:szCs w:val="22"/>
          <w:lang w:val="en-GB" w:eastAsia="en-US"/>
        </w:rPr>
        <w:t xml:space="preserve">. This will </w:t>
      </w:r>
      <w:r w:rsidR="009020CC" w:rsidRPr="00AE28C8">
        <w:rPr>
          <w:rFonts w:asciiTheme="minorHAnsi" w:eastAsiaTheme="minorHAnsi" w:hAnsiTheme="minorHAnsi" w:cstheme="minorBidi"/>
          <w:color w:val="495965" w:themeColor="text2"/>
          <w:sz w:val="22"/>
          <w:szCs w:val="22"/>
          <w:lang w:val="en-GB" w:eastAsia="en-US"/>
        </w:rPr>
        <w:t>improv</w:t>
      </w:r>
      <w:r>
        <w:rPr>
          <w:rFonts w:asciiTheme="minorHAnsi" w:eastAsiaTheme="minorHAnsi" w:hAnsiTheme="minorHAnsi" w:cstheme="minorBidi"/>
          <w:color w:val="495965" w:themeColor="text2"/>
          <w:sz w:val="22"/>
          <w:szCs w:val="22"/>
          <w:lang w:val="en-GB" w:eastAsia="en-US"/>
        </w:rPr>
        <w:t xml:space="preserve">e </w:t>
      </w:r>
      <w:r w:rsidR="009020CC">
        <w:rPr>
          <w:rFonts w:asciiTheme="minorHAnsi" w:eastAsiaTheme="minorHAnsi" w:hAnsiTheme="minorHAnsi" w:cstheme="minorBidi"/>
          <w:color w:val="495965" w:themeColor="text2"/>
          <w:sz w:val="22"/>
          <w:szCs w:val="22"/>
          <w:lang w:val="en-GB" w:eastAsia="en-US"/>
        </w:rPr>
        <w:t xml:space="preserve">compliance for </w:t>
      </w:r>
      <w:r w:rsidR="006A7A76">
        <w:rPr>
          <w:rFonts w:asciiTheme="minorHAnsi" w:eastAsiaTheme="minorHAnsi" w:hAnsiTheme="minorHAnsi" w:cstheme="minorBidi"/>
          <w:color w:val="495965" w:themeColor="text2"/>
          <w:sz w:val="22"/>
          <w:szCs w:val="22"/>
          <w:lang w:val="en-GB" w:eastAsia="en-US"/>
        </w:rPr>
        <w:t xml:space="preserve">both </w:t>
      </w:r>
      <w:r w:rsidR="002E516D">
        <w:rPr>
          <w:rFonts w:asciiTheme="minorHAnsi" w:eastAsiaTheme="minorHAnsi" w:hAnsiTheme="minorHAnsi" w:cstheme="minorBidi"/>
          <w:color w:val="495965" w:themeColor="text2"/>
          <w:sz w:val="22"/>
          <w:szCs w:val="22"/>
          <w:lang w:val="en-GB" w:eastAsia="en-US"/>
        </w:rPr>
        <w:t xml:space="preserve">the </w:t>
      </w:r>
      <w:r w:rsidR="006A7A76">
        <w:rPr>
          <w:rFonts w:asciiTheme="minorHAnsi" w:eastAsiaTheme="minorHAnsi" w:hAnsiTheme="minorHAnsi" w:cstheme="minorBidi"/>
          <w:color w:val="495965" w:themeColor="text2"/>
          <w:sz w:val="22"/>
          <w:szCs w:val="22"/>
          <w:lang w:val="en-GB" w:eastAsia="en-US"/>
        </w:rPr>
        <w:t>Government</w:t>
      </w:r>
      <w:r w:rsidR="002E516D">
        <w:rPr>
          <w:rFonts w:asciiTheme="minorHAnsi" w:eastAsiaTheme="minorHAnsi" w:hAnsiTheme="minorHAnsi" w:cstheme="minorBidi"/>
          <w:color w:val="495965" w:themeColor="text2"/>
          <w:sz w:val="22"/>
          <w:szCs w:val="22"/>
          <w:lang w:val="en-GB" w:eastAsia="en-US"/>
        </w:rPr>
        <w:t>’s</w:t>
      </w:r>
      <w:r w:rsidR="006A7A76">
        <w:rPr>
          <w:rFonts w:asciiTheme="minorHAnsi" w:eastAsiaTheme="minorHAnsi" w:hAnsiTheme="minorHAnsi" w:cstheme="minorBidi"/>
          <w:color w:val="495965" w:themeColor="text2"/>
          <w:sz w:val="22"/>
          <w:szCs w:val="22"/>
          <w:lang w:val="en-GB" w:eastAsia="en-US"/>
        </w:rPr>
        <w:t xml:space="preserve"> budget and Australian </w:t>
      </w:r>
      <w:r w:rsidR="009020CC">
        <w:rPr>
          <w:rFonts w:asciiTheme="minorHAnsi" w:eastAsiaTheme="minorHAnsi" w:hAnsiTheme="minorHAnsi" w:cstheme="minorBidi"/>
          <w:color w:val="495965" w:themeColor="text2"/>
          <w:sz w:val="22"/>
          <w:szCs w:val="22"/>
          <w:lang w:val="en-GB" w:eastAsia="en-US"/>
        </w:rPr>
        <w:t xml:space="preserve">funds in the </w:t>
      </w:r>
      <w:r w:rsidR="00CE7633">
        <w:rPr>
          <w:rFonts w:asciiTheme="minorHAnsi" w:eastAsiaTheme="minorHAnsi" w:hAnsiTheme="minorHAnsi" w:cstheme="minorBidi"/>
          <w:color w:val="495965" w:themeColor="text2"/>
          <w:sz w:val="22"/>
          <w:szCs w:val="22"/>
          <w:lang w:val="en-GB" w:eastAsia="en-US"/>
        </w:rPr>
        <w:t>o</w:t>
      </w:r>
      <w:r w:rsidR="009020CC">
        <w:rPr>
          <w:rFonts w:asciiTheme="minorHAnsi" w:eastAsiaTheme="minorHAnsi" w:hAnsiTheme="minorHAnsi" w:cstheme="minorBidi"/>
          <w:color w:val="495965" w:themeColor="text2"/>
          <w:sz w:val="22"/>
          <w:szCs w:val="22"/>
          <w:lang w:val="en-GB" w:eastAsia="en-US"/>
        </w:rPr>
        <w:t xml:space="preserve">perational </w:t>
      </w:r>
      <w:r w:rsidR="00CE7633">
        <w:rPr>
          <w:rFonts w:asciiTheme="minorHAnsi" w:eastAsiaTheme="minorHAnsi" w:hAnsiTheme="minorHAnsi" w:cstheme="minorBidi"/>
          <w:color w:val="495965" w:themeColor="text2"/>
          <w:sz w:val="22"/>
          <w:szCs w:val="22"/>
          <w:lang w:val="en-GB" w:eastAsia="en-US"/>
        </w:rPr>
        <w:t>a</w:t>
      </w:r>
      <w:r w:rsidR="009020CC">
        <w:rPr>
          <w:rFonts w:asciiTheme="minorHAnsi" w:eastAsiaTheme="minorHAnsi" w:hAnsiTheme="minorHAnsi" w:cstheme="minorBidi"/>
          <w:color w:val="495965" w:themeColor="text2"/>
          <w:sz w:val="22"/>
          <w:szCs w:val="22"/>
          <w:lang w:val="en-GB" w:eastAsia="en-US"/>
        </w:rPr>
        <w:t>ccount</w:t>
      </w:r>
      <w:r w:rsidR="009020CC" w:rsidRPr="00AE28C8">
        <w:rPr>
          <w:rFonts w:asciiTheme="minorHAnsi" w:eastAsiaTheme="minorHAnsi" w:hAnsiTheme="minorHAnsi" w:cstheme="minorBidi"/>
          <w:color w:val="495965" w:themeColor="text2"/>
          <w:sz w:val="22"/>
          <w:szCs w:val="22"/>
          <w:lang w:val="en-GB" w:eastAsia="en-US"/>
        </w:rPr>
        <w:t>.</w:t>
      </w:r>
      <w:r w:rsidR="009020CC" w:rsidRPr="00C1342B">
        <w:rPr>
          <w:rFonts w:asciiTheme="minorHAnsi" w:eastAsiaTheme="minorHAnsi" w:hAnsiTheme="minorHAnsi" w:cstheme="minorBidi"/>
          <w:color w:val="495965" w:themeColor="text2"/>
          <w:sz w:val="22"/>
          <w:szCs w:val="22"/>
          <w:lang w:val="en-GB" w:eastAsia="en-US"/>
        </w:rPr>
        <w:t xml:space="preserve"> </w:t>
      </w:r>
      <w:r w:rsidR="00CE7633" w:rsidRPr="00C1342B">
        <w:rPr>
          <w:rFonts w:asciiTheme="minorHAnsi" w:eastAsiaTheme="minorHAnsi" w:hAnsiTheme="minorHAnsi" w:cstheme="minorBidi"/>
          <w:color w:val="495965" w:themeColor="text2"/>
          <w:sz w:val="22"/>
          <w:szCs w:val="22"/>
          <w:lang w:val="en-GB" w:eastAsia="en-US"/>
        </w:rPr>
        <w:t>We will seek to align our financial and economic</w:t>
      </w:r>
      <w:r w:rsidR="00C1342B" w:rsidRPr="00C1342B">
        <w:rPr>
          <w:rFonts w:asciiTheme="minorHAnsi" w:eastAsiaTheme="minorHAnsi" w:hAnsiTheme="minorHAnsi" w:cstheme="minorBidi"/>
          <w:color w:val="495965" w:themeColor="text2"/>
          <w:sz w:val="22"/>
          <w:szCs w:val="22"/>
          <w:lang w:val="en-GB" w:eastAsia="en-US"/>
        </w:rPr>
        <w:t xml:space="preserve"> initiatives with an ADB-Nauru policy reform program to be negotiated in late 2017.</w:t>
      </w:r>
    </w:p>
    <w:p w14:paraId="5897AC19" w14:textId="01362319" w:rsidR="00D00802" w:rsidRDefault="008133D9" w:rsidP="005B5769">
      <w:pPr>
        <w:pStyle w:val="ListBullet"/>
        <w:tabs>
          <w:tab w:val="clear" w:pos="284"/>
        </w:tabs>
        <w:sectPr w:rsidR="00D00802" w:rsidSect="005403BA">
          <w:headerReference w:type="default" r:id="rId27"/>
          <w:footerReference w:type="default" r:id="rId28"/>
          <w:pgSz w:w="11906" w:h="16838" w:code="9"/>
          <w:pgMar w:top="1811" w:right="1134" w:bottom="1418" w:left="1134" w:header="1565" w:footer="342" w:gutter="0"/>
          <w:cols w:space="397"/>
          <w:docGrid w:linePitch="360"/>
        </w:sectPr>
      </w:pPr>
      <w:r>
        <w:rPr>
          <w:rFonts w:asciiTheme="minorHAnsi" w:eastAsiaTheme="minorHAnsi" w:hAnsiTheme="minorHAnsi" w:cstheme="minorBidi"/>
          <w:color w:val="495965" w:themeColor="text2"/>
          <w:sz w:val="22"/>
          <w:szCs w:val="22"/>
          <w:lang w:val="en-GB" w:eastAsia="en-US"/>
        </w:rPr>
        <w:t>T</w:t>
      </w:r>
      <w:r w:rsidRPr="008133D9">
        <w:rPr>
          <w:rFonts w:asciiTheme="minorHAnsi" w:eastAsiaTheme="minorHAnsi" w:hAnsiTheme="minorHAnsi" w:cstheme="minorBidi"/>
          <w:color w:val="495965" w:themeColor="text2"/>
          <w:sz w:val="22"/>
          <w:szCs w:val="22"/>
          <w:lang w:val="en-GB" w:eastAsia="en-US"/>
        </w:rPr>
        <w:t>he Water Tanks Project that was funded in 2010-12 was de-listed as a fraud case in December 2016. At this time,</w:t>
      </w:r>
      <w:r w:rsidR="00AC7F0D">
        <w:rPr>
          <w:rFonts w:asciiTheme="minorHAnsi" w:eastAsiaTheme="minorHAnsi" w:hAnsiTheme="minorHAnsi" w:cstheme="minorBidi"/>
          <w:color w:val="495965" w:themeColor="text2"/>
          <w:sz w:val="22"/>
          <w:szCs w:val="22"/>
          <w:lang w:val="en-GB" w:eastAsia="en-US"/>
        </w:rPr>
        <w:t xml:space="preserve"> </w:t>
      </w:r>
      <w:r w:rsidRPr="008133D9">
        <w:rPr>
          <w:rFonts w:asciiTheme="minorHAnsi" w:eastAsiaTheme="minorHAnsi" w:hAnsiTheme="minorHAnsi" w:cstheme="minorBidi"/>
          <w:color w:val="495965" w:themeColor="text2"/>
          <w:sz w:val="22"/>
          <w:szCs w:val="22"/>
          <w:lang w:val="en-GB" w:eastAsia="en-US"/>
        </w:rPr>
        <w:t>106 concrete slabs have been prepared and a further 100 will be constructed through community contracts run by the Department of Com</w:t>
      </w:r>
      <w:r w:rsidR="00AC7F0D">
        <w:rPr>
          <w:rFonts w:asciiTheme="minorHAnsi" w:eastAsiaTheme="minorHAnsi" w:hAnsiTheme="minorHAnsi" w:cstheme="minorBidi"/>
          <w:color w:val="495965" w:themeColor="text2"/>
          <w:sz w:val="22"/>
          <w:szCs w:val="22"/>
          <w:lang w:val="en-GB" w:eastAsia="en-US"/>
        </w:rPr>
        <w:t>merce</w:t>
      </w:r>
      <w:r w:rsidR="002E516D">
        <w:rPr>
          <w:rFonts w:asciiTheme="minorHAnsi" w:eastAsiaTheme="minorHAnsi" w:hAnsiTheme="minorHAnsi" w:cstheme="minorBidi"/>
          <w:color w:val="495965" w:themeColor="text2"/>
          <w:sz w:val="22"/>
          <w:szCs w:val="22"/>
          <w:lang w:val="en-GB" w:eastAsia="en-US"/>
        </w:rPr>
        <w:t>,</w:t>
      </w:r>
      <w:r w:rsidR="00AC7F0D">
        <w:rPr>
          <w:rFonts w:asciiTheme="minorHAnsi" w:eastAsiaTheme="minorHAnsi" w:hAnsiTheme="minorHAnsi" w:cstheme="minorBidi"/>
          <w:color w:val="495965" w:themeColor="text2"/>
          <w:sz w:val="22"/>
          <w:szCs w:val="22"/>
          <w:lang w:val="en-GB" w:eastAsia="en-US"/>
        </w:rPr>
        <w:t xml:space="preserve"> Industry and Environment</w:t>
      </w:r>
      <w:r w:rsidRPr="008133D9">
        <w:rPr>
          <w:rFonts w:asciiTheme="minorHAnsi" w:eastAsiaTheme="minorHAnsi" w:hAnsiTheme="minorHAnsi" w:cstheme="minorBidi"/>
          <w:color w:val="495965" w:themeColor="text2"/>
          <w:sz w:val="22"/>
          <w:szCs w:val="22"/>
          <w:lang w:val="en-GB" w:eastAsia="en-US"/>
        </w:rPr>
        <w:t xml:space="preserve">. </w:t>
      </w:r>
      <w:r w:rsidR="009020CC" w:rsidRPr="00505E74">
        <w:rPr>
          <w:rFonts w:asciiTheme="minorHAnsi" w:eastAsiaTheme="minorHAnsi" w:hAnsiTheme="minorHAnsi" w:cstheme="minorBidi"/>
          <w:color w:val="495965" w:themeColor="text2"/>
          <w:sz w:val="22"/>
          <w:szCs w:val="22"/>
          <w:lang w:val="en-GB" w:eastAsia="en-US"/>
        </w:rPr>
        <w:t xml:space="preserve">DFAT will continue to work with </w:t>
      </w:r>
      <w:r w:rsidR="0069698D">
        <w:rPr>
          <w:rFonts w:asciiTheme="minorHAnsi" w:eastAsiaTheme="minorHAnsi" w:hAnsiTheme="minorHAnsi" w:cstheme="minorBidi"/>
          <w:color w:val="495965" w:themeColor="text2"/>
          <w:sz w:val="22"/>
          <w:szCs w:val="22"/>
          <w:lang w:val="en-GB" w:eastAsia="en-US"/>
        </w:rPr>
        <w:t xml:space="preserve">the </w:t>
      </w:r>
      <w:r w:rsidR="001235CF">
        <w:rPr>
          <w:rFonts w:asciiTheme="minorHAnsi" w:eastAsiaTheme="minorHAnsi" w:hAnsiTheme="minorHAnsi" w:cstheme="minorBidi"/>
          <w:color w:val="495965" w:themeColor="text2"/>
          <w:sz w:val="22"/>
          <w:szCs w:val="22"/>
          <w:lang w:val="en-GB" w:eastAsia="en-US"/>
        </w:rPr>
        <w:t>G</w:t>
      </w:r>
      <w:r w:rsidR="0069698D">
        <w:rPr>
          <w:rFonts w:asciiTheme="minorHAnsi" w:eastAsiaTheme="minorHAnsi" w:hAnsiTheme="minorHAnsi" w:cstheme="minorBidi"/>
          <w:color w:val="495965" w:themeColor="text2"/>
          <w:sz w:val="22"/>
          <w:szCs w:val="22"/>
          <w:lang w:val="en-GB" w:eastAsia="en-US"/>
        </w:rPr>
        <w:t>overnment of Nauru</w:t>
      </w:r>
      <w:r w:rsidR="009020CC" w:rsidRPr="00505E74">
        <w:rPr>
          <w:rFonts w:asciiTheme="minorHAnsi" w:eastAsiaTheme="minorHAnsi" w:hAnsiTheme="minorHAnsi" w:cstheme="minorBidi"/>
          <w:color w:val="495965" w:themeColor="text2"/>
          <w:sz w:val="22"/>
          <w:szCs w:val="22"/>
          <w:lang w:val="en-GB" w:eastAsia="en-US"/>
        </w:rPr>
        <w:t xml:space="preserve"> to address implementation issues with the Household Water Tanks project in order to achieve a satisfactory outcome for this climate change investment.  </w:t>
      </w:r>
    </w:p>
    <w:p w14:paraId="4DB21BBD" w14:textId="77777777" w:rsidR="00AF1B85" w:rsidRPr="00A8197B" w:rsidRDefault="00AF1B85" w:rsidP="00F80511">
      <w:pPr>
        <w:pStyle w:val="Subtitle"/>
        <w:spacing w:after="120"/>
      </w:pPr>
      <w:r w:rsidRPr="00A8197B">
        <w:lastRenderedPageBreak/>
        <w:t>Annex A - Progress in Addressing Management Responses</w:t>
      </w:r>
    </w:p>
    <w:p w14:paraId="44DF07A3" w14:textId="77777777" w:rsidR="00AF1B85" w:rsidRPr="00C61187" w:rsidRDefault="00AF1B85" w:rsidP="00A8197B">
      <w:r w:rsidRPr="00C61187">
        <w:t>Describe progress made against management responses in 201</w:t>
      </w:r>
      <w:r w:rsidR="003E305C">
        <w:t>5</w:t>
      </w:r>
      <w:r w:rsidRPr="00C61187">
        <w:t>-1</w:t>
      </w:r>
      <w:r w:rsidR="003E305C">
        <w:t>6</w:t>
      </w:r>
      <w:r w:rsidRPr="00C61187">
        <w:t xml:space="preserve"> report</w:t>
      </w:r>
    </w:p>
    <w:tbl>
      <w:tblPr>
        <w:tblStyle w:val="APPR"/>
        <w:tblpPr w:leftFromText="180" w:rightFromText="180" w:vertAnchor="text" w:tblpY="1"/>
        <w:tblW w:w="5074" w:type="pct"/>
        <w:tblLayout w:type="fixed"/>
        <w:tblLook w:val="0000" w:firstRow="0" w:lastRow="0" w:firstColumn="0" w:lastColumn="0" w:noHBand="0" w:noVBand="0"/>
      </w:tblPr>
      <w:tblGrid>
        <w:gridCol w:w="6326"/>
        <w:gridCol w:w="1179"/>
        <w:gridCol w:w="6738"/>
      </w:tblGrid>
      <w:tr w:rsidR="00AF1B85" w:rsidRPr="00812509" w14:paraId="73586C1F" w14:textId="77777777" w:rsidTr="00812509">
        <w:trPr>
          <w:cnfStyle w:val="000000010000" w:firstRow="0" w:lastRow="0" w:firstColumn="0" w:lastColumn="0" w:oddVBand="0" w:evenVBand="0" w:oddHBand="0" w:evenHBand="1" w:firstRowFirstColumn="0" w:firstRowLastColumn="0" w:lastRowFirstColumn="0" w:lastRowLastColumn="0"/>
        </w:trPr>
        <w:tc>
          <w:tcPr>
            <w:tcW w:w="6409" w:type="dxa"/>
          </w:tcPr>
          <w:p w14:paraId="3B34DA39" w14:textId="77777777" w:rsidR="00AF1B85" w:rsidRPr="00812509" w:rsidRDefault="00AF1B85" w:rsidP="003E305C">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Management responses identified in 201</w:t>
            </w:r>
            <w:r w:rsidR="003E305C">
              <w:rPr>
                <w:rFonts w:asciiTheme="minorHAnsi" w:eastAsia="Times New Roman" w:hAnsiTheme="minorHAnsi"/>
                <w:b/>
                <w:iCs/>
                <w:szCs w:val="17"/>
                <w:lang w:eastAsia="en-US"/>
              </w:rPr>
              <w:t>5</w:t>
            </w:r>
            <w:r w:rsidRPr="00812509">
              <w:rPr>
                <w:rFonts w:asciiTheme="minorHAnsi" w:eastAsia="Times New Roman" w:hAnsiTheme="minorHAnsi"/>
                <w:b/>
                <w:iCs/>
                <w:szCs w:val="17"/>
                <w:lang w:eastAsia="en-US"/>
              </w:rPr>
              <w:t>-1</w:t>
            </w:r>
            <w:r w:rsidR="003E305C">
              <w:rPr>
                <w:rFonts w:asciiTheme="minorHAnsi" w:eastAsia="Times New Roman" w:hAnsiTheme="minorHAnsi"/>
                <w:b/>
                <w:iCs/>
                <w:szCs w:val="17"/>
                <w:lang w:eastAsia="en-US"/>
              </w:rPr>
              <w:t>6</w:t>
            </w:r>
            <w:r w:rsidRPr="00812509">
              <w:rPr>
                <w:rFonts w:asciiTheme="minorHAnsi" w:eastAsia="Times New Roman" w:hAnsiTheme="minorHAnsi"/>
                <w:b/>
                <w:iCs/>
                <w:szCs w:val="17"/>
                <w:lang w:eastAsia="en-US"/>
              </w:rPr>
              <w:t xml:space="preserve"> APPR</w:t>
            </w:r>
            <w:r w:rsidRPr="00812509">
              <w:rPr>
                <w:rFonts w:asciiTheme="minorHAnsi" w:eastAsia="Times New Roman" w:hAnsiTheme="minorHAnsi"/>
                <w:b/>
                <w:iCs/>
                <w:szCs w:val="17"/>
                <w:lang w:eastAsia="en-US"/>
              </w:rPr>
              <w:tab/>
            </w:r>
          </w:p>
        </w:tc>
        <w:tc>
          <w:tcPr>
            <w:tcW w:w="1170" w:type="dxa"/>
          </w:tcPr>
          <w:p w14:paraId="75A486A9" w14:textId="77777777" w:rsidR="00AF1B85" w:rsidRPr="00812509" w:rsidRDefault="00AF1B85" w:rsidP="00812509">
            <w:pPr>
              <w:keepLines/>
              <w:spacing w:before="80" w:after="80" w:line="200" w:lineRule="atLeast"/>
              <w:jc w:val="center"/>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Rating</w:t>
            </w:r>
          </w:p>
        </w:tc>
        <w:tc>
          <w:tcPr>
            <w:tcW w:w="6829" w:type="dxa"/>
          </w:tcPr>
          <w:p w14:paraId="43CEE5F3" w14:textId="77777777" w:rsidR="00AF1B85" w:rsidRPr="00812509" w:rsidRDefault="00AF1B85" w:rsidP="003E305C">
            <w:pPr>
              <w:keepLines/>
              <w:spacing w:before="80" w:after="80" w:line="200" w:lineRule="atLeast"/>
              <w:jc w:val="center"/>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Progress made  in 201</w:t>
            </w:r>
            <w:r w:rsidR="003E305C">
              <w:rPr>
                <w:rFonts w:asciiTheme="minorHAnsi" w:eastAsia="Times New Roman" w:hAnsiTheme="minorHAnsi"/>
                <w:b/>
                <w:iCs/>
                <w:szCs w:val="17"/>
                <w:lang w:eastAsia="en-US"/>
              </w:rPr>
              <w:t>6</w:t>
            </w:r>
            <w:r w:rsidRPr="00812509">
              <w:rPr>
                <w:rFonts w:asciiTheme="minorHAnsi" w:eastAsia="Times New Roman" w:hAnsiTheme="minorHAnsi"/>
                <w:b/>
                <w:iCs/>
                <w:szCs w:val="17"/>
                <w:lang w:eastAsia="en-US"/>
              </w:rPr>
              <w:t>-1</w:t>
            </w:r>
            <w:r w:rsidR="003E305C">
              <w:rPr>
                <w:rFonts w:asciiTheme="minorHAnsi" w:eastAsia="Times New Roman" w:hAnsiTheme="minorHAnsi"/>
                <w:b/>
                <w:iCs/>
                <w:szCs w:val="17"/>
                <w:lang w:eastAsia="en-US"/>
              </w:rPr>
              <w:t>7</w:t>
            </w:r>
          </w:p>
        </w:tc>
      </w:tr>
      <w:tr w:rsidR="00AF1B85" w:rsidRPr="00812509" w14:paraId="6B556D26" w14:textId="77777777" w:rsidTr="00812509">
        <w:trPr>
          <w:cnfStyle w:val="000000010000" w:firstRow="0" w:lastRow="0" w:firstColumn="0" w:lastColumn="0" w:oddVBand="0" w:evenVBand="0" w:oddHBand="0" w:evenHBand="1" w:firstRowFirstColumn="0" w:firstRowLastColumn="0" w:lastRowFirstColumn="0" w:lastRowLastColumn="0"/>
        </w:trPr>
        <w:tc>
          <w:tcPr>
            <w:tcW w:w="6409" w:type="dxa"/>
          </w:tcPr>
          <w:p w14:paraId="2238E117" w14:textId="77777777" w:rsidR="00AF1B85" w:rsidRDefault="006A0AF2"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Devolution of management and oversight of the development cooperation program from Canberra to the Australian High Commission in Nauru</w:t>
            </w:r>
          </w:p>
          <w:p w14:paraId="7B2004B2" w14:textId="77777777" w:rsidR="006A0AF2" w:rsidRPr="00812509" w:rsidRDefault="006A0AF2" w:rsidP="00D15A00">
            <w:pPr>
              <w:keepLines/>
              <w:spacing w:before="40" w:after="40" w:line="200" w:lineRule="atLeast"/>
              <w:rPr>
                <w:rFonts w:asciiTheme="minorHAnsi" w:eastAsia="Times New Roman" w:hAnsiTheme="minorHAnsi"/>
                <w:iCs/>
                <w:szCs w:val="17"/>
                <w:lang w:eastAsia="en-US"/>
              </w:rPr>
            </w:pPr>
          </w:p>
        </w:tc>
        <w:tc>
          <w:tcPr>
            <w:tcW w:w="1170" w:type="dxa"/>
            <w:shd w:val="clear" w:color="auto" w:fill="72AF2F"/>
          </w:tcPr>
          <w:p w14:paraId="16611C99" w14:textId="77777777" w:rsidR="00AF1B85" w:rsidRPr="00812509" w:rsidRDefault="00AF1B85"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Achieved</w:t>
            </w:r>
          </w:p>
        </w:tc>
        <w:tc>
          <w:tcPr>
            <w:tcW w:w="6829" w:type="dxa"/>
          </w:tcPr>
          <w:p w14:paraId="2692DDD8" w14:textId="11377BD9" w:rsidR="00AF1B85" w:rsidRPr="00955A4B" w:rsidRDefault="006A0AF2" w:rsidP="009A56F2">
            <w:pPr>
              <w:keepLines/>
              <w:spacing w:before="40" w:after="40" w:line="200" w:lineRule="atLeast"/>
              <w:ind w:left="177"/>
              <w:rPr>
                <w:rFonts w:asciiTheme="minorHAnsi" w:eastAsia="Times New Roman" w:hAnsiTheme="minorHAnsi"/>
                <w:iCs/>
                <w:color w:val="auto"/>
                <w:szCs w:val="17"/>
                <w:lang w:eastAsia="en-US"/>
              </w:rPr>
            </w:pPr>
            <w:r w:rsidRPr="00955A4B">
              <w:rPr>
                <w:rFonts w:asciiTheme="minorHAnsi" w:eastAsia="Times New Roman" w:hAnsiTheme="minorHAnsi"/>
                <w:iCs/>
                <w:color w:val="auto"/>
                <w:szCs w:val="17"/>
                <w:lang w:eastAsia="en-US"/>
              </w:rPr>
              <w:t xml:space="preserve">A long term Second Secretary </w:t>
            </w:r>
            <w:r w:rsidR="005A169E">
              <w:rPr>
                <w:rFonts w:asciiTheme="minorHAnsi" w:eastAsia="Times New Roman" w:hAnsiTheme="minorHAnsi"/>
                <w:iCs/>
                <w:color w:val="auto"/>
                <w:szCs w:val="17"/>
                <w:lang w:eastAsia="en-US"/>
              </w:rPr>
              <w:t>(</w:t>
            </w:r>
            <w:r w:rsidRPr="00955A4B">
              <w:rPr>
                <w:rFonts w:asciiTheme="minorHAnsi" w:eastAsia="Times New Roman" w:hAnsiTheme="minorHAnsi"/>
                <w:iCs/>
                <w:color w:val="auto"/>
                <w:szCs w:val="17"/>
                <w:lang w:eastAsia="en-US"/>
              </w:rPr>
              <w:t>Development</w:t>
            </w:r>
            <w:r w:rsidR="005A169E">
              <w:rPr>
                <w:rFonts w:asciiTheme="minorHAnsi" w:eastAsia="Times New Roman" w:hAnsiTheme="minorHAnsi"/>
                <w:iCs/>
                <w:color w:val="auto"/>
                <w:szCs w:val="17"/>
                <w:lang w:eastAsia="en-US"/>
              </w:rPr>
              <w:t>)</w:t>
            </w:r>
            <w:r w:rsidRPr="00955A4B">
              <w:rPr>
                <w:rFonts w:asciiTheme="minorHAnsi" w:eastAsia="Times New Roman" w:hAnsiTheme="minorHAnsi"/>
                <w:iCs/>
                <w:color w:val="auto"/>
                <w:szCs w:val="17"/>
                <w:lang w:eastAsia="en-US"/>
              </w:rPr>
              <w:t xml:space="preserve"> has replaced revolving short term staff</w:t>
            </w:r>
            <w:r w:rsidR="005A169E">
              <w:rPr>
                <w:rFonts w:asciiTheme="minorHAnsi" w:eastAsia="Times New Roman" w:hAnsiTheme="minorHAnsi"/>
                <w:iCs/>
                <w:color w:val="auto"/>
                <w:szCs w:val="17"/>
                <w:lang w:eastAsia="en-US"/>
              </w:rPr>
              <w:t xml:space="preserve"> placements</w:t>
            </w:r>
            <w:r w:rsidRPr="00955A4B">
              <w:rPr>
                <w:rFonts w:asciiTheme="minorHAnsi" w:eastAsia="Times New Roman" w:hAnsiTheme="minorHAnsi"/>
                <w:iCs/>
                <w:color w:val="auto"/>
                <w:szCs w:val="17"/>
                <w:lang w:eastAsia="en-US"/>
              </w:rPr>
              <w:t xml:space="preserve">. A new staffing structure at the High Commission has been approved and established, and five new locally-engaged </w:t>
            </w:r>
            <w:r w:rsidR="009A56F2">
              <w:rPr>
                <w:rFonts w:asciiTheme="minorHAnsi" w:eastAsia="Times New Roman" w:hAnsiTheme="minorHAnsi"/>
                <w:iCs/>
                <w:color w:val="auto"/>
                <w:szCs w:val="17"/>
                <w:lang w:eastAsia="en-US"/>
              </w:rPr>
              <w:t>program managers</w:t>
            </w:r>
            <w:r w:rsidRPr="00955A4B">
              <w:rPr>
                <w:rFonts w:asciiTheme="minorHAnsi" w:eastAsia="Times New Roman" w:hAnsiTheme="minorHAnsi"/>
                <w:iCs/>
                <w:color w:val="auto"/>
                <w:szCs w:val="17"/>
                <w:lang w:eastAsia="en-US"/>
              </w:rPr>
              <w:t xml:space="preserve"> have been recruited or promoted into the development team. Staff are receiving training.</w:t>
            </w:r>
          </w:p>
        </w:tc>
      </w:tr>
      <w:tr w:rsidR="00AF1B85" w:rsidRPr="00812509" w14:paraId="58CDC4D3" w14:textId="77777777" w:rsidTr="00812509">
        <w:trPr>
          <w:cnfStyle w:val="000000010000" w:firstRow="0" w:lastRow="0" w:firstColumn="0" w:lastColumn="0" w:oddVBand="0" w:evenVBand="0" w:oddHBand="0" w:evenHBand="1" w:firstRowFirstColumn="0" w:firstRowLastColumn="0" w:lastRowFirstColumn="0" w:lastRowLastColumn="0"/>
        </w:trPr>
        <w:tc>
          <w:tcPr>
            <w:tcW w:w="6409" w:type="dxa"/>
          </w:tcPr>
          <w:p w14:paraId="47494829" w14:textId="77777777" w:rsidR="00AF1B85" w:rsidRPr="00812509" w:rsidRDefault="006A0AF2"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Prepare a Performance Assessment Framework</w:t>
            </w:r>
          </w:p>
        </w:tc>
        <w:tc>
          <w:tcPr>
            <w:tcW w:w="1170" w:type="dxa"/>
            <w:shd w:val="clear" w:color="auto" w:fill="72AF2F"/>
          </w:tcPr>
          <w:p w14:paraId="61622263" w14:textId="77777777" w:rsidR="00AF1B85" w:rsidRPr="00812509" w:rsidRDefault="00AF1B85"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Achieved</w:t>
            </w:r>
            <w:r w:rsidRPr="00812509">
              <w:rPr>
                <w:rFonts w:eastAsia="Times New Roman"/>
                <w:iCs/>
                <w:color w:val="FFFFFF" w:themeColor="background1"/>
                <w:szCs w:val="17"/>
              </w:rPr>
              <w:fldChar w:fldCharType="begin"/>
            </w:r>
            <w:r w:rsidRPr="00812509">
              <w:rPr>
                <w:rFonts w:asciiTheme="minorHAnsi" w:eastAsia="Times New Roman" w:hAnsiTheme="minorHAnsi"/>
                <w:iCs/>
                <w:color w:val="FFFFFF" w:themeColor="background1"/>
                <w:szCs w:val="17"/>
                <w:lang w:eastAsia="en-US"/>
              </w:rPr>
              <w:instrText xml:space="preserve"> AUTOTEXTLIST  \s "Rating bullet"\t "Right click to choose a rating" \* MERGEFORMAT </w:instrText>
            </w:r>
            <w:r w:rsidRPr="00812509">
              <w:rPr>
                <w:rFonts w:eastAsia="Times New Roman"/>
                <w:iCs/>
                <w:color w:val="FFFFFF" w:themeColor="background1"/>
                <w:szCs w:val="17"/>
              </w:rPr>
              <w:fldChar w:fldCharType="end"/>
            </w:r>
          </w:p>
        </w:tc>
        <w:tc>
          <w:tcPr>
            <w:tcW w:w="6829" w:type="dxa"/>
          </w:tcPr>
          <w:p w14:paraId="0CCE1379" w14:textId="77777777" w:rsidR="00AF1B85" w:rsidRPr="00955A4B" w:rsidRDefault="006A0AF2" w:rsidP="00955A4B">
            <w:pPr>
              <w:keepLines/>
              <w:spacing w:before="40" w:after="40" w:line="200" w:lineRule="atLeast"/>
              <w:ind w:left="177"/>
              <w:rPr>
                <w:rFonts w:asciiTheme="minorHAnsi" w:eastAsia="Times New Roman" w:hAnsiTheme="minorHAnsi"/>
                <w:iCs/>
                <w:color w:val="auto"/>
                <w:szCs w:val="17"/>
                <w:lang w:eastAsia="en-US"/>
              </w:rPr>
            </w:pPr>
            <w:r w:rsidRPr="00955A4B">
              <w:rPr>
                <w:rFonts w:asciiTheme="minorHAnsi" w:eastAsia="Times New Roman" w:hAnsiTheme="minorHAnsi"/>
                <w:iCs/>
                <w:color w:val="auto"/>
                <w:szCs w:val="17"/>
                <w:lang w:eastAsia="en-US"/>
              </w:rPr>
              <w:t>Completed (see Annex E)</w:t>
            </w:r>
          </w:p>
        </w:tc>
      </w:tr>
      <w:tr w:rsidR="009A56F2" w:rsidRPr="00812509" w14:paraId="7ADA07A5" w14:textId="77777777" w:rsidTr="00A37CAC">
        <w:trPr>
          <w:cnfStyle w:val="000000010000" w:firstRow="0" w:lastRow="0" w:firstColumn="0" w:lastColumn="0" w:oddVBand="0" w:evenVBand="0" w:oddHBand="0" w:evenHBand="1" w:firstRowFirstColumn="0" w:firstRowLastColumn="0" w:lastRowFirstColumn="0" w:lastRowLastColumn="0"/>
        </w:trPr>
        <w:tc>
          <w:tcPr>
            <w:tcW w:w="6409" w:type="dxa"/>
          </w:tcPr>
          <w:p w14:paraId="6904B182" w14:textId="77777777" w:rsidR="009A56F2" w:rsidRPr="009A56F2" w:rsidRDefault="009A56F2" w:rsidP="009A56F2">
            <w:pPr>
              <w:keepLines/>
              <w:spacing w:before="40" w:after="40" w:line="200" w:lineRule="atLeast"/>
              <w:rPr>
                <w:rFonts w:asciiTheme="minorHAnsi" w:eastAsia="Times New Roman" w:hAnsiTheme="minorHAnsi"/>
                <w:iCs/>
                <w:szCs w:val="17"/>
                <w:lang w:eastAsia="en-US"/>
              </w:rPr>
            </w:pPr>
            <w:r w:rsidRPr="009A56F2">
              <w:rPr>
                <w:rFonts w:asciiTheme="minorHAnsi" w:eastAsia="Times New Roman" w:hAnsiTheme="minorHAnsi"/>
                <w:iCs/>
                <w:szCs w:val="17"/>
                <w:lang w:eastAsia="en-US"/>
              </w:rPr>
              <w:t>Prepare a Performance Assessment Framework with the Department of Education</w:t>
            </w:r>
          </w:p>
        </w:tc>
        <w:tc>
          <w:tcPr>
            <w:tcW w:w="1170" w:type="dxa"/>
            <w:shd w:val="clear" w:color="auto" w:fill="FF9900"/>
          </w:tcPr>
          <w:p w14:paraId="741AC6C7" w14:textId="77777777" w:rsidR="009A56F2" w:rsidRPr="009A56F2" w:rsidRDefault="009A56F2" w:rsidP="00D15A00">
            <w:pPr>
              <w:keepLines/>
              <w:spacing w:before="40" w:after="40" w:line="200" w:lineRule="atLeast"/>
              <w:jc w:val="center"/>
              <w:rPr>
                <w:rFonts w:asciiTheme="minorHAnsi" w:eastAsia="Times New Roman" w:hAnsiTheme="minorHAnsi"/>
                <w:iCs/>
                <w:szCs w:val="17"/>
                <w:lang w:eastAsia="en-US"/>
              </w:rPr>
            </w:pPr>
            <w:r w:rsidRPr="009A56F2">
              <w:rPr>
                <w:rFonts w:asciiTheme="minorHAnsi" w:eastAsia="Times New Roman" w:hAnsiTheme="minorHAnsi"/>
                <w:iCs/>
                <w:color w:val="FFFFFF" w:themeColor="background1"/>
                <w:szCs w:val="17"/>
                <w:lang w:eastAsia="en-US"/>
              </w:rPr>
              <w:t>Partly achieved</w:t>
            </w:r>
          </w:p>
        </w:tc>
        <w:tc>
          <w:tcPr>
            <w:tcW w:w="6829" w:type="dxa"/>
          </w:tcPr>
          <w:p w14:paraId="4248B87A" w14:textId="53D28C3C" w:rsidR="009A56F2" w:rsidRPr="009A56F2" w:rsidRDefault="009A56F2" w:rsidP="005A169E">
            <w:pPr>
              <w:keepLines/>
              <w:spacing w:before="40" w:after="40" w:line="200" w:lineRule="atLeast"/>
              <w:ind w:left="177"/>
              <w:rPr>
                <w:rFonts w:asciiTheme="minorHAnsi" w:eastAsia="Times New Roman" w:hAnsiTheme="minorHAnsi"/>
                <w:iCs/>
                <w:szCs w:val="17"/>
                <w:lang w:eastAsia="en-US"/>
              </w:rPr>
            </w:pPr>
            <w:r w:rsidRPr="006731EA">
              <w:rPr>
                <w:rFonts w:asciiTheme="minorHAnsi" w:eastAsia="Times New Roman" w:hAnsiTheme="minorHAnsi"/>
                <w:iCs/>
                <w:color w:val="auto"/>
                <w:szCs w:val="17"/>
                <w:lang w:eastAsia="en-US"/>
              </w:rPr>
              <w:t>The Department of Education has completed a Five Year Strategic Plan which includes a monitoring and evaluation framework</w:t>
            </w:r>
            <w:r w:rsidR="005A169E">
              <w:rPr>
                <w:rFonts w:asciiTheme="minorHAnsi" w:eastAsia="Times New Roman" w:hAnsiTheme="minorHAnsi"/>
                <w:iCs/>
                <w:color w:val="auto"/>
                <w:szCs w:val="17"/>
                <w:lang w:eastAsia="en-US"/>
              </w:rPr>
              <w:t>.</w:t>
            </w:r>
            <w:r w:rsidRPr="006731EA">
              <w:rPr>
                <w:rFonts w:asciiTheme="minorHAnsi" w:eastAsia="Times New Roman" w:hAnsiTheme="minorHAnsi"/>
                <w:iCs/>
                <w:color w:val="auto"/>
                <w:szCs w:val="17"/>
                <w:lang w:eastAsia="en-US"/>
              </w:rPr>
              <w:t xml:space="preserve"> </w:t>
            </w:r>
            <w:r w:rsidR="005A169E">
              <w:rPr>
                <w:rFonts w:asciiTheme="minorHAnsi" w:eastAsia="Times New Roman" w:hAnsiTheme="minorHAnsi"/>
                <w:iCs/>
                <w:color w:val="auto"/>
                <w:szCs w:val="17"/>
                <w:lang w:eastAsia="en-US"/>
              </w:rPr>
              <w:t>H</w:t>
            </w:r>
            <w:r w:rsidRPr="006731EA">
              <w:rPr>
                <w:rFonts w:asciiTheme="minorHAnsi" w:eastAsia="Times New Roman" w:hAnsiTheme="minorHAnsi"/>
                <w:iCs/>
                <w:color w:val="auto"/>
                <w:szCs w:val="17"/>
                <w:lang w:eastAsia="en-US"/>
              </w:rPr>
              <w:t>owever</w:t>
            </w:r>
            <w:r w:rsidR="005A169E">
              <w:rPr>
                <w:rFonts w:asciiTheme="minorHAnsi" w:eastAsia="Times New Roman" w:hAnsiTheme="minorHAnsi"/>
                <w:iCs/>
                <w:color w:val="auto"/>
                <w:szCs w:val="17"/>
                <w:lang w:eastAsia="en-US"/>
              </w:rPr>
              <w:t>,</w:t>
            </w:r>
            <w:r w:rsidRPr="006731EA">
              <w:rPr>
                <w:rFonts w:asciiTheme="minorHAnsi" w:eastAsia="Times New Roman" w:hAnsiTheme="minorHAnsi"/>
                <w:iCs/>
                <w:color w:val="auto"/>
                <w:szCs w:val="17"/>
                <w:lang w:eastAsia="en-US"/>
              </w:rPr>
              <w:t xml:space="preserve"> plans to recruit an </w:t>
            </w:r>
            <w:r w:rsidR="002A328A">
              <w:rPr>
                <w:rFonts w:asciiTheme="minorHAnsi" w:eastAsia="Times New Roman" w:hAnsiTheme="minorHAnsi"/>
                <w:iCs/>
                <w:color w:val="auto"/>
                <w:szCs w:val="17"/>
                <w:lang w:eastAsia="en-US"/>
              </w:rPr>
              <w:t>adviser</w:t>
            </w:r>
            <w:r w:rsidRPr="006731EA">
              <w:rPr>
                <w:rFonts w:asciiTheme="minorHAnsi" w:eastAsia="Times New Roman" w:hAnsiTheme="minorHAnsi"/>
                <w:iCs/>
                <w:color w:val="auto"/>
                <w:szCs w:val="17"/>
                <w:lang w:eastAsia="en-US"/>
              </w:rPr>
              <w:t xml:space="preserve"> to assist with strategic plan implementation were delayed. The new </w:t>
            </w:r>
            <w:r w:rsidR="002A328A">
              <w:rPr>
                <w:rFonts w:asciiTheme="minorHAnsi" w:eastAsia="Times New Roman" w:hAnsiTheme="minorHAnsi"/>
                <w:iCs/>
                <w:color w:val="auto"/>
                <w:szCs w:val="17"/>
                <w:lang w:eastAsia="en-US"/>
              </w:rPr>
              <w:t>adviser</w:t>
            </w:r>
            <w:r w:rsidRPr="006731EA">
              <w:rPr>
                <w:rFonts w:asciiTheme="minorHAnsi" w:eastAsia="Times New Roman" w:hAnsiTheme="minorHAnsi"/>
                <w:iCs/>
                <w:color w:val="auto"/>
                <w:szCs w:val="17"/>
                <w:lang w:eastAsia="en-US"/>
              </w:rPr>
              <w:t xml:space="preserve"> has been recruited and will commence in August 2017</w:t>
            </w:r>
            <w:r w:rsidRPr="009A56F2">
              <w:rPr>
                <w:rFonts w:asciiTheme="minorHAnsi" w:eastAsia="Times New Roman" w:hAnsiTheme="minorHAnsi"/>
                <w:iCs/>
                <w:szCs w:val="17"/>
                <w:lang w:eastAsia="en-US"/>
              </w:rPr>
              <w:t>.</w:t>
            </w:r>
          </w:p>
        </w:tc>
      </w:tr>
      <w:tr w:rsidR="00AF1B85" w:rsidRPr="00812509" w14:paraId="57344B5F" w14:textId="77777777" w:rsidTr="00225674">
        <w:trPr>
          <w:cnfStyle w:val="000000010000" w:firstRow="0" w:lastRow="0" w:firstColumn="0" w:lastColumn="0" w:oddVBand="0" w:evenVBand="0" w:oddHBand="0" w:evenHBand="1" w:firstRowFirstColumn="0" w:firstRowLastColumn="0" w:lastRowFirstColumn="0" w:lastRowLastColumn="0"/>
        </w:trPr>
        <w:tc>
          <w:tcPr>
            <w:tcW w:w="6409" w:type="dxa"/>
          </w:tcPr>
          <w:p w14:paraId="1964314A" w14:textId="77777777" w:rsidR="00AF1B85" w:rsidRPr="00812509" w:rsidRDefault="006A0AF2"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Move to a </w:t>
            </w:r>
            <w:r w:rsidR="00225674">
              <w:rPr>
                <w:rFonts w:asciiTheme="minorHAnsi" w:eastAsia="Times New Roman" w:hAnsiTheme="minorHAnsi"/>
                <w:iCs/>
                <w:szCs w:val="17"/>
                <w:lang w:eastAsia="en-US"/>
              </w:rPr>
              <w:t xml:space="preserve">government </w:t>
            </w:r>
            <w:r>
              <w:rPr>
                <w:rFonts w:asciiTheme="minorHAnsi" w:eastAsia="Times New Roman" w:hAnsiTheme="minorHAnsi"/>
                <w:iCs/>
                <w:szCs w:val="17"/>
                <w:lang w:eastAsia="en-US"/>
              </w:rPr>
              <w:t>demand</w:t>
            </w:r>
            <w:r w:rsidR="00225674">
              <w:rPr>
                <w:rFonts w:asciiTheme="minorHAnsi" w:eastAsia="Times New Roman" w:hAnsiTheme="minorHAnsi"/>
                <w:iCs/>
                <w:szCs w:val="17"/>
                <w:lang w:eastAsia="en-US"/>
              </w:rPr>
              <w:t xml:space="preserve">-driven approach to scholarships </w:t>
            </w:r>
          </w:p>
        </w:tc>
        <w:tc>
          <w:tcPr>
            <w:tcW w:w="1170" w:type="dxa"/>
            <w:shd w:val="clear" w:color="auto" w:fill="FF0000"/>
          </w:tcPr>
          <w:p w14:paraId="33C3B089" w14:textId="77777777" w:rsidR="00AF1B85" w:rsidRPr="00812509" w:rsidRDefault="00225674" w:rsidP="00D15A00">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 xml:space="preserve">Not </w:t>
            </w:r>
            <w:r w:rsidR="00AF1B85" w:rsidRPr="00812509">
              <w:rPr>
                <w:rFonts w:asciiTheme="minorHAnsi" w:eastAsia="Times New Roman" w:hAnsiTheme="minorHAnsi"/>
                <w:iCs/>
                <w:color w:val="FFFFFF" w:themeColor="background1"/>
                <w:szCs w:val="17"/>
                <w:lang w:eastAsia="en-US"/>
              </w:rPr>
              <w:t>Achieved</w:t>
            </w:r>
          </w:p>
        </w:tc>
        <w:tc>
          <w:tcPr>
            <w:tcW w:w="6829" w:type="dxa"/>
          </w:tcPr>
          <w:p w14:paraId="75584AA3" w14:textId="4910E2DB" w:rsidR="00AF1B85" w:rsidRPr="00225674" w:rsidRDefault="00225674" w:rsidP="006731EA">
            <w:pPr>
              <w:keepLines/>
              <w:spacing w:before="40" w:after="40" w:line="200" w:lineRule="atLeast"/>
              <w:ind w:left="177"/>
              <w:rPr>
                <w:rFonts w:asciiTheme="minorHAnsi" w:eastAsia="Times New Roman" w:hAnsiTheme="minorHAnsi"/>
                <w:iCs/>
                <w:color w:val="auto"/>
                <w:szCs w:val="17"/>
                <w:lang w:eastAsia="en-US"/>
              </w:rPr>
            </w:pPr>
            <w:r w:rsidRPr="00225674">
              <w:rPr>
                <w:rFonts w:asciiTheme="minorHAnsi" w:eastAsia="Times New Roman" w:hAnsiTheme="minorHAnsi"/>
                <w:iCs/>
                <w:color w:val="auto"/>
                <w:szCs w:val="17"/>
                <w:lang w:eastAsia="en-US"/>
              </w:rPr>
              <w:t>To achieve this require</w:t>
            </w:r>
            <w:r w:rsidR="00D6002C">
              <w:rPr>
                <w:rFonts w:asciiTheme="minorHAnsi" w:eastAsia="Times New Roman" w:hAnsiTheme="minorHAnsi"/>
                <w:iCs/>
                <w:color w:val="auto"/>
                <w:szCs w:val="17"/>
                <w:lang w:eastAsia="en-US"/>
              </w:rPr>
              <w:t>s</w:t>
            </w:r>
            <w:r w:rsidRPr="00225674">
              <w:rPr>
                <w:rFonts w:asciiTheme="minorHAnsi" w:eastAsia="Times New Roman" w:hAnsiTheme="minorHAnsi"/>
                <w:iCs/>
                <w:color w:val="auto"/>
                <w:szCs w:val="17"/>
                <w:lang w:eastAsia="en-US"/>
              </w:rPr>
              <w:t xml:space="preserve"> major government agencies and state-owned enterprises to prepare human resource development plans in order for the government to determine their highest priority skills and professions. </w:t>
            </w:r>
            <w:r w:rsidR="006731EA">
              <w:rPr>
                <w:rFonts w:asciiTheme="minorHAnsi" w:eastAsia="Times New Roman" w:hAnsiTheme="minorHAnsi"/>
                <w:iCs/>
                <w:color w:val="auto"/>
                <w:szCs w:val="17"/>
                <w:lang w:eastAsia="en-US"/>
              </w:rPr>
              <w:t>This may not be achievable in the near future</w:t>
            </w:r>
            <w:r w:rsidR="004C344B">
              <w:rPr>
                <w:rFonts w:asciiTheme="minorHAnsi" w:eastAsia="Times New Roman" w:hAnsiTheme="minorHAnsi"/>
                <w:iCs/>
                <w:color w:val="auto"/>
                <w:szCs w:val="17"/>
                <w:lang w:eastAsia="en-US"/>
              </w:rPr>
              <w:t>.</w:t>
            </w:r>
          </w:p>
        </w:tc>
      </w:tr>
      <w:tr w:rsidR="00AF1B85" w:rsidRPr="00812509" w14:paraId="69E4D4FC" w14:textId="77777777" w:rsidTr="00A37CAC">
        <w:trPr>
          <w:cnfStyle w:val="000000010000" w:firstRow="0" w:lastRow="0" w:firstColumn="0" w:lastColumn="0" w:oddVBand="0" w:evenVBand="0" w:oddHBand="0" w:evenHBand="1" w:firstRowFirstColumn="0" w:firstRowLastColumn="0" w:lastRowFirstColumn="0" w:lastRowLastColumn="0"/>
        </w:trPr>
        <w:tc>
          <w:tcPr>
            <w:tcW w:w="6409" w:type="dxa"/>
          </w:tcPr>
          <w:p w14:paraId="0C3C549B" w14:textId="6F960E97" w:rsidR="00AF1B85" w:rsidRDefault="00225674"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C</w:t>
            </w:r>
            <w:r w:rsidR="006731EA">
              <w:rPr>
                <w:rFonts w:asciiTheme="minorHAnsi" w:eastAsia="Times New Roman" w:hAnsiTheme="minorHAnsi"/>
                <w:iCs/>
                <w:szCs w:val="17"/>
                <w:lang w:eastAsia="en-US"/>
              </w:rPr>
              <w:t>limate Change</w:t>
            </w:r>
            <w:r>
              <w:rPr>
                <w:rFonts w:asciiTheme="minorHAnsi" w:eastAsia="Times New Roman" w:hAnsiTheme="minorHAnsi"/>
                <w:iCs/>
                <w:szCs w:val="17"/>
                <w:lang w:eastAsia="en-US"/>
              </w:rPr>
              <w:t xml:space="preserve"> and Gender</w:t>
            </w:r>
          </w:p>
          <w:p w14:paraId="018670AA" w14:textId="77777777" w:rsidR="00225674" w:rsidRPr="00812509" w:rsidRDefault="00225674" w:rsidP="00D15A00">
            <w:pPr>
              <w:keepLines/>
              <w:spacing w:before="40" w:after="40" w:line="200" w:lineRule="atLeast"/>
              <w:rPr>
                <w:rFonts w:asciiTheme="minorHAnsi" w:eastAsia="Times New Roman" w:hAnsiTheme="minorHAnsi"/>
                <w:iCs/>
                <w:szCs w:val="17"/>
                <w:lang w:eastAsia="en-US"/>
              </w:rPr>
            </w:pPr>
          </w:p>
        </w:tc>
        <w:tc>
          <w:tcPr>
            <w:tcW w:w="1170" w:type="dxa"/>
            <w:shd w:val="clear" w:color="auto" w:fill="FF9900"/>
          </w:tcPr>
          <w:p w14:paraId="1D9CDFA2" w14:textId="77777777" w:rsidR="00AF1B85" w:rsidRPr="00812509" w:rsidRDefault="00AF1B85"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Partly achieved</w:t>
            </w:r>
          </w:p>
        </w:tc>
        <w:tc>
          <w:tcPr>
            <w:tcW w:w="6829" w:type="dxa"/>
          </w:tcPr>
          <w:p w14:paraId="263C1455" w14:textId="7CE6D2A9" w:rsidR="00AF1B85" w:rsidRPr="00225674" w:rsidRDefault="004C344B" w:rsidP="005A169E">
            <w:pPr>
              <w:keepLines/>
              <w:spacing w:before="40" w:after="40" w:line="200" w:lineRule="atLeast"/>
              <w:ind w:left="177"/>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DFAT support for gender-empowering activities remain largely separate to existing programming</w:t>
            </w:r>
            <w:r w:rsidR="005A169E">
              <w:rPr>
                <w:rFonts w:asciiTheme="minorHAnsi" w:eastAsia="Times New Roman" w:hAnsiTheme="minorHAnsi"/>
                <w:iCs/>
                <w:color w:val="auto"/>
                <w:szCs w:val="17"/>
                <w:lang w:eastAsia="en-US"/>
              </w:rPr>
              <w:t>.</w:t>
            </w:r>
            <w:r>
              <w:rPr>
                <w:rFonts w:asciiTheme="minorHAnsi" w:eastAsia="Times New Roman" w:hAnsiTheme="minorHAnsi"/>
                <w:iCs/>
                <w:color w:val="auto"/>
                <w:szCs w:val="17"/>
                <w:lang w:eastAsia="en-US"/>
              </w:rPr>
              <w:t xml:space="preserve"> </w:t>
            </w:r>
            <w:r w:rsidR="005A169E">
              <w:rPr>
                <w:rFonts w:asciiTheme="minorHAnsi" w:eastAsia="Times New Roman" w:hAnsiTheme="minorHAnsi"/>
                <w:iCs/>
                <w:color w:val="auto"/>
                <w:szCs w:val="17"/>
                <w:lang w:eastAsia="en-US"/>
              </w:rPr>
              <w:t>H</w:t>
            </w:r>
            <w:r>
              <w:rPr>
                <w:rFonts w:asciiTheme="minorHAnsi" w:eastAsia="Times New Roman" w:hAnsiTheme="minorHAnsi"/>
                <w:iCs/>
                <w:color w:val="auto"/>
                <w:szCs w:val="17"/>
                <w:lang w:eastAsia="en-US"/>
              </w:rPr>
              <w:t xml:space="preserve">owever, placement of in-line PACTAM </w:t>
            </w:r>
            <w:r w:rsidR="002A328A">
              <w:rPr>
                <w:rFonts w:asciiTheme="minorHAnsi" w:eastAsia="Times New Roman" w:hAnsiTheme="minorHAnsi"/>
                <w:iCs/>
                <w:color w:val="auto"/>
                <w:szCs w:val="17"/>
                <w:lang w:eastAsia="en-US"/>
              </w:rPr>
              <w:t>adviser</w:t>
            </w:r>
            <w:r>
              <w:rPr>
                <w:rFonts w:asciiTheme="minorHAnsi" w:eastAsia="Times New Roman" w:hAnsiTheme="minorHAnsi"/>
                <w:iCs/>
                <w:color w:val="auto"/>
                <w:szCs w:val="17"/>
                <w:lang w:eastAsia="en-US"/>
              </w:rPr>
              <w:t xml:space="preserve">s in the </w:t>
            </w:r>
            <w:r w:rsidR="006731EA">
              <w:rPr>
                <w:rFonts w:asciiTheme="minorHAnsi" w:eastAsia="Times New Roman" w:hAnsiTheme="minorHAnsi"/>
                <w:iCs/>
                <w:color w:val="auto"/>
                <w:szCs w:val="17"/>
                <w:lang w:eastAsia="en-US"/>
              </w:rPr>
              <w:t>departments</w:t>
            </w:r>
            <w:r>
              <w:rPr>
                <w:rFonts w:asciiTheme="minorHAnsi" w:eastAsia="Times New Roman" w:hAnsiTheme="minorHAnsi"/>
                <w:iCs/>
                <w:color w:val="auto"/>
                <w:szCs w:val="17"/>
                <w:lang w:eastAsia="en-US"/>
              </w:rPr>
              <w:t xml:space="preserve"> of </w:t>
            </w:r>
            <w:r w:rsidR="006731EA">
              <w:rPr>
                <w:rFonts w:asciiTheme="minorHAnsi" w:eastAsia="Times New Roman" w:hAnsiTheme="minorHAnsi"/>
                <w:iCs/>
                <w:color w:val="auto"/>
                <w:szCs w:val="17"/>
                <w:lang w:eastAsia="en-US"/>
              </w:rPr>
              <w:t>h</w:t>
            </w:r>
            <w:r>
              <w:rPr>
                <w:rFonts w:asciiTheme="minorHAnsi" w:eastAsia="Times New Roman" w:hAnsiTheme="minorHAnsi"/>
                <w:iCs/>
                <w:color w:val="auto"/>
                <w:szCs w:val="17"/>
                <w:lang w:eastAsia="en-US"/>
              </w:rPr>
              <w:t xml:space="preserve">ealth and </w:t>
            </w:r>
            <w:r w:rsidR="006731EA">
              <w:rPr>
                <w:rFonts w:asciiTheme="minorHAnsi" w:eastAsia="Times New Roman" w:hAnsiTheme="minorHAnsi"/>
                <w:iCs/>
                <w:color w:val="auto"/>
                <w:szCs w:val="17"/>
                <w:lang w:eastAsia="en-US"/>
              </w:rPr>
              <w:t>e</w:t>
            </w:r>
            <w:r>
              <w:rPr>
                <w:rFonts w:asciiTheme="minorHAnsi" w:eastAsia="Times New Roman" w:hAnsiTheme="minorHAnsi"/>
                <w:iCs/>
                <w:color w:val="auto"/>
                <w:szCs w:val="17"/>
                <w:lang w:eastAsia="en-US"/>
              </w:rPr>
              <w:t xml:space="preserve">ducation will provide for greater reporting of sex-disaggregated sectoral outcomes going forward. </w:t>
            </w:r>
            <w:r w:rsidRPr="004C344B">
              <w:rPr>
                <w:rFonts w:asciiTheme="minorHAnsi" w:eastAsia="Times New Roman" w:hAnsiTheme="minorHAnsi"/>
                <w:iCs/>
                <w:color w:val="auto"/>
                <w:szCs w:val="17"/>
                <w:lang w:eastAsia="en-US"/>
              </w:rPr>
              <w:t>The new hospital facility is designed to resist cyclones, has back-up power generators, improved drainage to reduce flooding and has an on-site reverse osmosis unit for producing water.</w:t>
            </w:r>
            <w:r>
              <w:rPr>
                <w:rFonts w:asciiTheme="minorHAnsi" w:eastAsia="Times New Roman" w:hAnsiTheme="minorHAnsi"/>
                <w:iCs/>
                <w:color w:val="auto"/>
                <w:szCs w:val="17"/>
                <w:lang w:eastAsia="en-US"/>
              </w:rPr>
              <w:t xml:space="preserve"> A transition towards 50</w:t>
            </w:r>
            <w:r w:rsidR="007C7BE8">
              <w:rPr>
                <w:rFonts w:asciiTheme="minorHAnsi" w:eastAsia="Times New Roman" w:hAnsiTheme="minorHAnsi"/>
                <w:iCs/>
                <w:color w:val="auto"/>
                <w:szCs w:val="17"/>
                <w:lang w:eastAsia="en-US"/>
              </w:rPr>
              <w:t xml:space="preserve"> per cent </w:t>
            </w:r>
            <w:r>
              <w:rPr>
                <w:rFonts w:asciiTheme="minorHAnsi" w:eastAsia="Times New Roman" w:hAnsiTheme="minorHAnsi"/>
                <w:iCs/>
                <w:color w:val="auto"/>
                <w:szCs w:val="17"/>
                <w:lang w:eastAsia="en-US"/>
              </w:rPr>
              <w:t>renewable energy by 2030 has also been prioritised through our ongoing support to the Nauru Utilities Corporation.</w:t>
            </w:r>
          </w:p>
        </w:tc>
      </w:tr>
      <w:tr w:rsidR="00AF1B85" w:rsidRPr="00812509" w14:paraId="73B46AE7" w14:textId="77777777" w:rsidTr="00812509">
        <w:trPr>
          <w:cnfStyle w:val="000000010000" w:firstRow="0" w:lastRow="0" w:firstColumn="0" w:lastColumn="0" w:oddVBand="0" w:evenVBand="0" w:oddHBand="0" w:evenHBand="1" w:firstRowFirstColumn="0" w:firstRowLastColumn="0" w:lastRowFirstColumn="0" w:lastRowLastColumn="0"/>
        </w:trPr>
        <w:tc>
          <w:tcPr>
            <w:tcW w:w="6409" w:type="dxa"/>
          </w:tcPr>
          <w:p w14:paraId="0ACBB06A" w14:textId="77777777" w:rsidR="00AF1B85" w:rsidRDefault="00225674"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Conduct a rapid “diagnostic” of </w:t>
            </w:r>
            <w:r w:rsidR="003374D9">
              <w:rPr>
                <w:rFonts w:asciiTheme="minorHAnsi" w:eastAsia="Times New Roman" w:hAnsiTheme="minorHAnsi"/>
                <w:iCs/>
                <w:szCs w:val="17"/>
                <w:lang w:eastAsia="en-US"/>
              </w:rPr>
              <w:t xml:space="preserve">Nauru’s </w:t>
            </w:r>
            <w:r>
              <w:rPr>
                <w:rFonts w:asciiTheme="minorHAnsi" w:eastAsia="Times New Roman" w:hAnsiTheme="minorHAnsi"/>
                <w:iCs/>
                <w:szCs w:val="17"/>
                <w:lang w:eastAsia="en-US"/>
              </w:rPr>
              <w:t xml:space="preserve">health </w:t>
            </w:r>
            <w:r w:rsidR="003374D9">
              <w:rPr>
                <w:rFonts w:asciiTheme="minorHAnsi" w:eastAsia="Times New Roman" w:hAnsiTheme="minorHAnsi"/>
                <w:iCs/>
                <w:szCs w:val="17"/>
                <w:lang w:eastAsia="en-US"/>
              </w:rPr>
              <w:t>sector</w:t>
            </w:r>
          </w:p>
          <w:p w14:paraId="433B7AAB" w14:textId="77777777" w:rsidR="00225674" w:rsidRPr="00812509" w:rsidRDefault="00225674" w:rsidP="00D15A00">
            <w:pPr>
              <w:keepLines/>
              <w:spacing w:before="40" w:after="40" w:line="200" w:lineRule="atLeast"/>
              <w:rPr>
                <w:rFonts w:asciiTheme="minorHAnsi" w:eastAsia="Times New Roman" w:hAnsiTheme="minorHAnsi"/>
                <w:iCs/>
                <w:szCs w:val="17"/>
                <w:lang w:eastAsia="en-US"/>
              </w:rPr>
            </w:pPr>
          </w:p>
        </w:tc>
        <w:tc>
          <w:tcPr>
            <w:tcW w:w="1170" w:type="dxa"/>
            <w:shd w:val="clear" w:color="auto" w:fill="FF0000"/>
          </w:tcPr>
          <w:p w14:paraId="5BDDD9BF" w14:textId="77777777" w:rsidR="00AF1B85" w:rsidRPr="00812509" w:rsidRDefault="00AF1B85"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Not achieved</w:t>
            </w:r>
          </w:p>
        </w:tc>
        <w:tc>
          <w:tcPr>
            <w:tcW w:w="6829" w:type="dxa"/>
          </w:tcPr>
          <w:p w14:paraId="68F7563E" w14:textId="4B938294" w:rsidR="00AF1B85" w:rsidRPr="00225674" w:rsidRDefault="00225674" w:rsidP="006731EA">
            <w:pPr>
              <w:keepLines/>
              <w:spacing w:before="40" w:after="40" w:line="200" w:lineRule="atLeast"/>
              <w:ind w:left="177"/>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 xml:space="preserve">It was determined that such a review was </w:t>
            </w:r>
            <w:r w:rsidR="009A56F2">
              <w:rPr>
                <w:rFonts w:asciiTheme="minorHAnsi" w:eastAsia="Times New Roman" w:hAnsiTheme="minorHAnsi"/>
                <w:iCs/>
                <w:color w:val="auto"/>
                <w:szCs w:val="17"/>
                <w:lang w:eastAsia="en-US"/>
              </w:rPr>
              <w:t xml:space="preserve">not </w:t>
            </w:r>
            <w:r>
              <w:rPr>
                <w:rFonts w:asciiTheme="minorHAnsi" w:eastAsia="Times New Roman" w:hAnsiTheme="minorHAnsi"/>
                <w:iCs/>
                <w:color w:val="auto"/>
                <w:szCs w:val="17"/>
                <w:lang w:eastAsia="en-US"/>
              </w:rPr>
              <w:t xml:space="preserve">practical in the past year.  A senior health </w:t>
            </w:r>
            <w:r w:rsidR="002A328A">
              <w:rPr>
                <w:rFonts w:asciiTheme="minorHAnsi" w:eastAsia="Times New Roman" w:hAnsiTheme="minorHAnsi"/>
                <w:iCs/>
                <w:color w:val="auto"/>
                <w:szCs w:val="17"/>
                <w:lang w:eastAsia="en-US"/>
              </w:rPr>
              <w:t>adviser</w:t>
            </w:r>
            <w:r>
              <w:rPr>
                <w:rFonts w:asciiTheme="minorHAnsi" w:eastAsia="Times New Roman" w:hAnsiTheme="minorHAnsi"/>
                <w:iCs/>
                <w:color w:val="auto"/>
                <w:szCs w:val="17"/>
                <w:lang w:eastAsia="en-US"/>
              </w:rPr>
              <w:t xml:space="preserve"> has been recruited to lead a review of </w:t>
            </w:r>
            <w:r w:rsidR="003374D9">
              <w:rPr>
                <w:rFonts w:asciiTheme="minorHAnsi" w:eastAsia="Times New Roman" w:hAnsiTheme="minorHAnsi"/>
                <w:iCs/>
                <w:color w:val="auto"/>
                <w:szCs w:val="17"/>
                <w:lang w:eastAsia="en-US"/>
              </w:rPr>
              <w:t xml:space="preserve">Nauru’s </w:t>
            </w:r>
            <w:r>
              <w:rPr>
                <w:rFonts w:asciiTheme="minorHAnsi" w:eastAsia="Times New Roman" w:hAnsiTheme="minorHAnsi"/>
                <w:iCs/>
                <w:color w:val="auto"/>
                <w:szCs w:val="17"/>
                <w:lang w:eastAsia="en-US"/>
              </w:rPr>
              <w:t xml:space="preserve">health sector </w:t>
            </w:r>
            <w:r w:rsidR="003374D9">
              <w:rPr>
                <w:rFonts w:asciiTheme="minorHAnsi" w:eastAsia="Times New Roman" w:hAnsiTheme="minorHAnsi"/>
                <w:iCs/>
                <w:color w:val="auto"/>
                <w:szCs w:val="17"/>
                <w:lang w:eastAsia="en-US"/>
              </w:rPr>
              <w:t xml:space="preserve">and Australia’s program interventions </w:t>
            </w:r>
            <w:r>
              <w:rPr>
                <w:rFonts w:asciiTheme="minorHAnsi" w:eastAsia="Times New Roman" w:hAnsiTheme="minorHAnsi"/>
                <w:iCs/>
                <w:color w:val="auto"/>
                <w:szCs w:val="17"/>
                <w:lang w:eastAsia="en-US"/>
              </w:rPr>
              <w:t>early in 2017-18.</w:t>
            </w:r>
          </w:p>
        </w:tc>
      </w:tr>
      <w:tr w:rsidR="00225674" w:rsidRPr="00812509" w14:paraId="4FEECF8F" w14:textId="77777777" w:rsidTr="00A37CAC">
        <w:trPr>
          <w:cnfStyle w:val="000000010000" w:firstRow="0" w:lastRow="0" w:firstColumn="0" w:lastColumn="0" w:oddVBand="0" w:evenVBand="0" w:oddHBand="0" w:evenHBand="1" w:firstRowFirstColumn="0" w:firstRowLastColumn="0" w:lastRowFirstColumn="0" w:lastRowLastColumn="0"/>
        </w:trPr>
        <w:tc>
          <w:tcPr>
            <w:tcW w:w="6409" w:type="dxa"/>
          </w:tcPr>
          <w:p w14:paraId="6B760CB6" w14:textId="77777777" w:rsidR="00225674" w:rsidRDefault="00225674" w:rsidP="00D15A00">
            <w:pPr>
              <w:keepLines/>
              <w:spacing w:before="40" w:after="40" w:line="200" w:lineRule="atLeast"/>
              <w:rPr>
                <w:rFonts w:eastAsia="Times New Roman"/>
                <w:iCs/>
                <w:szCs w:val="17"/>
              </w:rPr>
            </w:pPr>
            <w:r w:rsidRPr="007C7BE8">
              <w:rPr>
                <w:rFonts w:asciiTheme="minorHAnsi" w:eastAsia="Times New Roman" w:hAnsiTheme="minorHAnsi"/>
                <w:iCs/>
                <w:szCs w:val="17"/>
                <w:lang w:eastAsia="en-US"/>
              </w:rPr>
              <w:t>Complete the Household Water Tanks project</w:t>
            </w:r>
          </w:p>
        </w:tc>
        <w:tc>
          <w:tcPr>
            <w:tcW w:w="1170" w:type="dxa"/>
            <w:shd w:val="clear" w:color="auto" w:fill="FF9900"/>
          </w:tcPr>
          <w:p w14:paraId="2AD2986E" w14:textId="77777777" w:rsidR="00225674" w:rsidRPr="00812509" w:rsidRDefault="00225674" w:rsidP="00D15A00">
            <w:pPr>
              <w:keepLines/>
              <w:spacing w:before="40" w:after="40" w:line="200" w:lineRule="atLeast"/>
              <w:jc w:val="center"/>
              <w:rPr>
                <w:rFonts w:eastAsia="Times New Roman"/>
                <w:iCs/>
                <w:color w:val="FFFFFF" w:themeColor="background1"/>
                <w:szCs w:val="17"/>
              </w:rPr>
            </w:pPr>
            <w:r w:rsidRPr="00812509">
              <w:rPr>
                <w:rFonts w:asciiTheme="minorHAnsi" w:eastAsia="Times New Roman" w:hAnsiTheme="minorHAnsi"/>
                <w:iCs/>
                <w:color w:val="FFFFFF" w:themeColor="background1"/>
                <w:szCs w:val="17"/>
                <w:lang w:eastAsia="en-US"/>
              </w:rPr>
              <w:t>Partly achieved</w:t>
            </w:r>
          </w:p>
        </w:tc>
        <w:tc>
          <w:tcPr>
            <w:tcW w:w="6829" w:type="dxa"/>
          </w:tcPr>
          <w:p w14:paraId="6C2E869B" w14:textId="29844A01" w:rsidR="00225674" w:rsidRPr="00955A4B" w:rsidRDefault="00225674" w:rsidP="005A169E">
            <w:pPr>
              <w:keepLines/>
              <w:spacing w:before="40" w:after="40" w:line="200" w:lineRule="atLeast"/>
              <w:ind w:left="177"/>
              <w:rPr>
                <w:rFonts w:asciiTheme="minorHAnsi" w:eastAsia="Times New Roman" w:hAnsiTheme="minorHAnsi"/>
                <w:iCs/>
                <w:color w:val="auto"/>
                <w:szCs w:val="17"/>
                <w:lang w:eastAsia="en-US"/>
              </w:rPr>
            </w:pPr>
            <w:r w:rsidRPr="00955A4B">
              <w:rPr>
                <w:rFonts w:asciiTheme="minorHAnsi" w:eastAsia="Times New Roman" w:hAnsiTheme="minorHAnsi"/>
                <w:iCs/>
                <w:color w:val="auto"/>
                <w:szCs w:val="17"/>
                <w:lang w:eastAsia="en-US"/>
              </w:rPr>
              <w:t xml:space="preserve">The </w:t>
            </w:r>
            <w:r w:rsidR="007C7BE8">
              <w:rPr>
                <w:rFonts w:asciiTheme="minorHAnsi" w:eastAsia="Times New Roman" w:hAnsiTheme="minorHAnsi"/>
                <w:iCs/>
                <w:color w:val="auto"/>
                <w:szCs w:val="17"/>
                <w:lang w:eastAsia="en-US"/>
              </w:rPr>
              <w:t xml:space="preserve">reported possible </w:t>
            </w:r>
            <w:r w:rsidRPr="00955A4B">
              <w:rPr>
                <w:rFonts w:asciiTheme="minorHAnsi" w:eastAsia="Times New Roman" w:hAnsiTheme="minorHAnsi"/>
                <w:iCs/>
                <w:color w:val="auto"/>
                <w:szCs w:val="17"/>
                <w:lang w:eastAsia="en-US"/>
              </w:rPr>
              <w:t>fraud associated with this activity has been resolved</w:t>
            </w:r>
            <w:r w:rsidR="005A169E">
              <w:rPr>
                <w:rFonts w:asciiTheme="minorHAnsi" w:eastAsia="Times New Roman" w:hAnsiTheme="minorHAnsi"/>
                <w:iCs/>
                <w:color w:val="auto"/>
                <w:szCs w:val="17"/>
                <w:lang w:eastAsia="en-US"/>
              </w:rPr>
              <w:t>.</w:t>
            </w:r>
            <w:r w:rsidRPr="00955A4B">
              <w:rPr>
                <w:rFonts w:asciiTheme="minorHAnsi" w:eastAsia="Times New Roman" w:hAnsiTheme="minorHAnsi"/>
                <w:iCs/>
                <w:color w:val="auto"/>
                <w:szCs w:val="17"/>
                <w:lang w:eastAsia="en-US"/>
              </w:rPr>
              <w:t xml:space="preserve"> </w:t>
            </w:r>
            <w:r w:rsidR="005A169E">
              <w:rPr>
                <w:rFonts w:asciiTheme="minorHAnsi" w:eastAsia="Times New Roman" w:hAnsiTheme="minorHAnsi"/>
                <w:iCs/>
                <w:color w:val="auto"/>
                <w:szCs w:val="17"/>
                <w:lang w:eastAsia="en-US"/>
              </w:rPr>
              <w:t>H</w:t>
            </w:r>
            <w:r w:rsidRPr="00955A4B">
              <w:rPr>
                <w:rFonts w:asciiTheme="minorHAnsi" w:eastAsia="Times New Roman" w:hAnsiTheme="minorHAnsi"/>
                <w:iCs/>
                <w:color w:val="auto"/>
                <w:szCs w:val="17"/>
                <w:lang w:eastAsia="en-US"/>
              </w:rPr>
              <w:t>owever</w:t>
            </w:r>
            <w:r w:rsidR="005A169E">
              <w:rPr>
                <w:rFonts w:asciiTheme="minorHAnsi" w:eastAsia="Times New Roman" w:hAnsiTheme="minorHAnsi"/>
                <w:iCs/>
                <w:color w:val="auto"/>
                <w:szCs w:val="17"/>
                <w:lang w:eastAsia="en-US"/>
              </w:rPr>
              <w:t>,</w:t>
            </w:r>
            <w:r w:rsidRPr="00955A4B">
              <w:rPr>
                <w:rFonts w:asciiTheme="minorHAnsi" w:eastAsia="Times New Roman" w:hAnsiTheme="minorHAnsi"/>
                <w:iCs/>
                <w:color w:val="auto"/>
                <w:szCs w:val="17"/>
                <w:lang w:eastAsia="en-US"/>
              </w:rPr>
              <w:t xml:space="preserve"> a satisfactory plan to complete the procurement of the water tanks has not been achieved to date.</w:t>
            </w:r>
            <w:r w:rsidR="00955A4B" w:rsidRPr="00955A4B">
              <w:rPr>
                <w:rFonts w:asciiTheme="minorHAnsi" w:eastAsia="Times New Roman" w:hAnsiTheme="minorHAnsi"/>
                <w:iCs/>
                <w:color w:val="auto"/>
                <w:szCs w:val="17"/>
                <w:lang w:eastAsia="en-US"/>
              </w:rPr>
              <w:t xml:space="preserve"> The termination of the government’s independent procurement agent has contributed to the delay.</w:t>
            </w:r>
          </w:p>
        </w:tc>
      </w:tr>
    </w:tbl>
    <w:p w14:paraId="179D867B" w14:textId="77777777" w:rsidR="00AF1B85" w:rsidRPr="00812509" w:rsidRDefault="00AF1B85" w:rsidP="00AF1B85">
      <w:pPr>
        <w:spacing w:before="20" w:after="20" w:line="180" w:lineRule="atLeast"/>
        <w:jc w:val="both"/>
        <w:rPr>
          <w:rFonts w:eastAsia="Times New Roman"/>
          <w:b/>
          <w:sz w:val="16"/>
          <w:szCs w:val="14"/>
        </w:rPr>
      </w:pPr>
      <w:r w:rsidRPr="00812509">
        <w:rPr>
          <w:rFonts w:eastAsia="Times New Roman"/>
          <w:b/>
          <w:sz w:val="16"/>
          <w:szCs w:val="14"/>
        </w:rPr>
        <w:t xml:space="preserve">Note: </w:t>
      </w:r>
    </w:p>
    <w:p w14:paraId="113CD4E2" w14:textId="77777777"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w:t>
      </w:r>
      <w:r w:rsidRPr="00812509">
        <w:rPr>
          <w:rFonts w:eastAsia="Times New Roman"/>
          <w:b/>
          <w:sz w:val="16"/>
          <w:szCs w:val="14"/>
        </w:rPr>
        <w:t xml:space="preserve"> Achieved.  Significant progress has been made in addressing the issue </w:t>
      </w:r>
    </w:p>
    <w:p w14:paraId="65BF9E6B" w14:textId="77777777"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E36C0A"/>
          <w:sz w:val="16"/>
          <w:szCs w:val="14"/>
        </w:rPr>
        <w:sym w:font="Webdings" w:char="F067"/>
      </w:r>
      <w:r w:rsidRPr="00812509">
        <w:rPr>
          <w:rFonts w:eastAsia="Times New Roman"/>
          <w:b/>
          <w:sz w:val="16"/>
          <w:szCs w:val="14"/>
        </w:rPr>
        <w:t> </w:t>
      </w:r>
      <w:r w:rsidRPr="00812509">
        <w:rPr>
          <w:rFonts w:eastAsia="Times New Roman"/>
          <w:b/>
          <w:sz w:val="16"/>
          <w:szCs w:val="14"/>
        </w:rPr>
        <w:t xml:space="preserve"> Partly achieved.  Some progress has been made in addressing the issue, but the issue has not been resolved </w:t>
      </w:r>
    </w:p>
    <w:p w14:paraId="032D512E" w14:textId="77777777"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FF0000"/>
          <w:sz w:val="16"/>
          <w:szCs w:val="14"/>
        </w:rPr>
        <w:sym w:font="Webdings" w:char="F067"/>
      </w:r>
      <w:r w:rsidRPr="00812509">
        <w:rPr>
          <w:rFonts w:eastAsia="Times New Roman"/>
          <w:b/>
          <w:sz w:val="16"/>
          <w:szCs w:val="14"/>
        </w:rPr>
        <w:t> </w:t>
      </w:r>
      <w:r w:rsidRPr="00812509">
        <w:rPr>
          <w:rFonts w:eastAsia="Times New Roman"/>
          <w:b/>
          <w:sz w:val="16"/>
          <w:szCs w:val="14"/>
        </w:rPr>
        <w:t xml:space="preserve"> Not achieved. Progress in addressing the issue has been significantly below expectations</w:t>
      </w:r>
    </w:p>
    <w:p w14:paraId="7C90112C" w14:textId="77777777" w:rsidR="00D00802" w:rsidRDefault="00D00802" w:rsidP="005B5769">
      <w:pPr>
        <w:pStyle w:val="ListBullet"/>
        <w:tabs>
          <w:tab w:val="clear" w:pos="284"/>
        </w:tabs>
        <w:sectPr w:rsidR="00D00802" w:rsidSect="00D00802">
          <w:headerReference w:type="first" r:id="rId29"/>
          <w:pgSz w:w="16838" w:h="11906" w:orient="landscape" w:code="9"/>
          <w:pgMar w:top="1134" w:right="1952" w:bottom="1134" w:left="851" w:header="1107" w:footer="567" w:gutter="0"/>
          <w:cols w:space="397"/>
          <w:titlePg/>
          <w:docGrid w:linePitch="360"/>
        </w:sectPr>
      </w:pPr>
    </w:p>
    <w:p w14:paraId="3DEFBF6C" w14:textId="0915A700" w:rsidR="00184F1E" w:rsidRDefault="00184F1E" w:rsidP="003B38FB">
      <w:pPr>
        <w:pStyle w:val="Subtitle"/>
        <w:numPr>
          <w:ilvl w:val="0"/>
          <w:numId w:val="0"/>
        </w:numPr>
        <w:spacing w:after="240" w:line="240" w:lineRule="auto"/>
      </w:pPr>
      <w:r w:rsidRPr="00400B0F">
        <w:lastRenderedPageBreak/>
        <w:t xml:space="preserve">Annex B </w:t>
      </w:r>
      <w:r>
        <w:t>–</w:t>
      </w:r>
      <w:r w:rsidRPr="00400B0F">
        <w:t xml:space="preserve"> </w:t>
      </w:r>
      <w:r>
        <w:t>PERFORMANCE BENCHMARKS</w:t>
      </w:r>
      <w:r w:rsidR="003B38FB">
        <w:t xml:space="preserve"> </w:t>
      </w:r>
    </w:p>
    <w:p w14:paraId="1EB45F14" w14:textId="7D0DD6D7" w:rsidR="003B38FB" w:rsidRPr="003B38FB" w:rsidRDefault="003B38FB" w:rsidP="003B38FB">
      <w:pPr>
        <w:spacing w:before="0" w:line="240" w:lineRule="auto"/>
        <w:rPr>
          <w:b/>
        </w:rPr>
      </w:pPr>
      <w:r w:rsidRPr="003B38FB">
        <w:rPr>
          <w:b/>
        </w:rPr>
        <w:t>Progress towards Performance Benchmarks in 2016-17</w:t>
      </w:r>
    </w:p>
    <w:tbl>
      <w:tblPr>
        <w:tblW w:w="12920" w:type="dxa"/>
        <w:jc w:val="center"/>
        <w:tblLook w:val="04A0" w:firstRow="1" w:lastRow="0" w:firstColumn="1" w:lastColumn="0" w:noHBand="0" w:noVBand="1"/>
      </w:tblPr>
      <w:tblGrid>
        <w:gridCol w:w="2000"/>
        <w:gridCol w:w="3680"/>
        <w:gridCol w:w="1640"/>
        <w:gridCol w:w="5600"/>
      </w:tblGrid>
      <w:tr w:rsidR="00CD4F30" w:rsidRPr="00CD4F30" w14:paraId="5867D47E" w14:textId="77777777" w:rsidTr="00CD4F30">
        <w:trPr>
          <w:trHeight w:val="300"/>
          <w:jc w:val="center"/>
        </w:trPr>
        <w:tc>
          <w:tcPr>
            <w:tcW w:w="2000" w:type="dxa"/>
            <w:tcBorders>
              <w:top w:val="nil"/>
              <w:left w:val="nil"/>
              <w:bottom w:val="nil"/>
              <w:right w:val="nil"/>
            </w:tcBorders>
            <w:shd w:val="clear" w:color="auto" w:fill="auto"/>
            <w:vAlign w:val="center"/>
            <w:hideMark/>
          </w:tcPr>
          <w:p w14:paraId="551C00D2" w14:textId="77777777" w:rsidR="00CD4F30" w:rsidRPr="00CD4F30" w:rsidRDefault="00CD4F30" w:rsidP="00CD4F30">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CD4F30">
              <w:rPr>
                <w:rFonts w:ascii="Calibri Light" w:eastAsia="Times New Roman" w:hAnsi="Calibri Light" w:cs="Times New Roman"/>
                <w:b/>
                <w:bCs/>
                <w:iCs/>
                <w:color w:val="495965"/>
                <w:sz w:val="17"/>
                <w:szCs w:val="17"/>
                <w:lang w:eastAsia="en-AU"/>
              </w:rPr>
              <w:t>Aid objective</w:t>
            </w:r>
          </w:p>
        </w:tc>
        <w:tc>
          <w:tcPr>
            <w:tcW w:w="3680" w:type="dxa"/>
            <w:tcBorders>
              <w:top w:val="nil"/>
              <w:left w:val="nil"/>
              <w:bottom w:val="nil"/>
              <w:right w:val="nil"/>
            </w:tcBorders>
            <w:shd w:val="clear" w:color="auto" w:fill="auto"/>
            <w:vAlign w:val="center"/>
            <w:hideMark/>
          </w:tcPr>
          <w:p w14:paraId="2E58489D" w14:textId="77777777" w:rsidR="00CD4F30" w:rsidRPr="00CD4F30" w:rsidRDefault="00CD4F30" w:rsidP="00CD4F30">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CD4F30">
              <w:rPr>
                <w:rFonts w:ascii="Calibri Light" w:eastAsia="Times New Roman" w:hAnsi="Calibri Light" w:cs="Times New Roman"/>
                <w:b/>
                <w:bCs/>
                <w:iCs/>
                <w:color w:val="495965"/>
                <w:sz w:val="17"/>
                <w:szCs w:val="17"/>
                <w:lang w:eastAsia="en-AU"/>
              </w:rPr>
              <w:t xml:space="preserve">Performance Benchmark </w:t>
            </w:r>
          </w:p>
        </w:tc>
        <w:tc>
          <w:tcPr>
            <w:tcW w:w="1640" w:type="dxa"/>
            <w:tcBorders>
              <w:top w:val="nil"/>
              <w:left w:val="nil"/>
              <w:bottom w:val="nil"/>
              <w:right w:val="nil"/>
            </w:tcBorders>
            <w:shd w:val="clear" w:color="auto" w:fill="auto"/>
            <w:vAlign w:val="center"/>
            <w:hideMark/>
          </w:tcPr>
          <w:p w14:paraId="0BE67E17" w14:textId="77777777" w:rsidR="00CD4F30" w:rsidRPr="00CD4F30" w:rsidRDefault="00CD4F30" w:rsidP="00CD4F30">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CD4F30">
              <w:rPr>
                <w:rFonts w:ascii="Calibri Light" w:eastAsia="Times New Roman" w:hAnsi="Calibri Light" w:cs="Times New Roman"/>
                <w:b/>
                <w:bCs/>
                <w:iCs/>
                <w:color w:val="495965"/>
                <w:sz w:val="17"/>
                <w:szCs w:val="17"/>
                <w:lang w:eastAsia="en-AU"/>
              </w:rPr>
              <w:t>Rating</w:t>
            </w:r>
          </w:p>
        </w:tc>
        <w:tc>
          <w:tcPr>
            <w:tcW w:w="5600" w:type="dxa"/>
            <w:tcBorders>
              <w:top w:val="nil"/>
              <w:left w:val="nil"/>
              <w:bottom w:val="nil"/>
              <w:right w:val="nil"/>
            </w:tcBorders>
            <w:shd w:val="clear" w:color="auto" w:fill="auto"/>
            <w:vAlign w:val="center"/>
            <w:hideMark/>
          </w:tcPr>
          <w:p w14:paraId="247FDDAC" w14:textId="77777777" w:rsidR="00CD4F30" w:rsidRPr="00CD4F30" w:rsidRDefault="00CD4F30" w:rsidP="00CD4F30">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CD4F30">
              <w:rPr>
                <w:rFonts w:ascii="Calibri Light" w:eastAsia="Times New Roman" w:hAnsi="Calibri Light" w:cs="Times New Roman"/>
                <w:b/>
                <w:bCs/>
                <w:iCs/>
                <w:color w:val="495965"/>
                <w:sz w:val="17"/>
                <w:szCs w:val="17"/>
                <w:lang w:eastAsia="en-AU"/>
              </w:rPr>
              <w:t>Progress in 2016-17</w:t>
            </w:r>
          </w:p>
        </w:tc>
      </w:tr>
      <w:tr w:rsidR="00CD4F30" w:rsidRPr="00CD4F30" w14:paraId="0F4542DB" w14:textId="77777777" w:rsidTr="003B38FB">
        <w:trPr>
          <w:trHeight w:val="1575"/>
          <w:jc w:val="center"/>
        </w:trPr>
        <w:tc>
          <w:tcPr>
            <w:tcW w:w="2000" w:type="dxa"/>
            <w:tcBorders>
              <w:top w:val="nil"/>
              <w:left w:val="nil"/>
              <w:bottom w:val="nil"/>
              <w:right w:val="nil"/>
            </w:tcBorders>
            <w:shd w:val="clear" w:color="auto" w:fill="auto"/>
            <w:hideMark/>
          </w:tcPr>
          <w:p w14:paraId="224FCAC7" w14:textId="77777777" w:rsidR="00CD4F30" w:rsidRPr="00CD4F30" w:rsidRDefault="00CD4F30" w:rsidP="00CD4F30">
            <w:pPr>
              <w:suppressAutoHyphens w:val="0"/>
              <w:spacing w:before="0" w:after="0" w:line="240" w:lineRule="auto"/>
              <w:rPr>
                <w:rFonts w:ascii="Calibri Light" w:eastAsia="Times New Roman" w:hAnsi="Calibri Light" w:cs="Times New Roman"/>
                <w:color w:val="495965"/>
                <w:sz w:val="17"/>
                <w:szCs w:val="17"/>
                <w:lang w:val="en-AU" w:eastAsia="en-AU"/>
              </w:rPr>
            </w:pPr>
            <w:r w:rsidRPr="00CD4F30">
              <w:rPr>
                <w:rFonts w:ascii="Calibri Light" w:eastAsia="Times New Roman" w:hAnsi="Calibri Light" w:cs="Times New Roman"/>
                <w:color w:val="495965"/>
                <w:sz w:val="17"/>
                <w:lang w:eastAsia="en-AU"/>
              </w:rPr>
              <w:t>Strengthened provision of education and health services</w:t>
            </w:r>
          </w:p>
        </w:tc>
        <w:tc>
          <w:tcPr>
            <w:tcW w:w="3680" w:type="dxa"/>
            <w:tcBorders>
              <w:top w:val="nil"/>
              <w:left w:val="nil"/>
              <w:bottom w:val="nil"/>
              <w:right w:val="nil"/>
            </w:tcBorders>
            <w:shd w:val="clear" w:color="auto" w:fill="auto"/>
            <w:hideMark/>
          </w:tcPr>
          <w:p w14:paraId="6A23086F" w14:textId="77777777" w:rsidR="00CD4F30" w:rsidRPr="00CD4F30" w:rsidRDefault="00CD4F30" w:rsidP="00CD4F30">
            <w:pPr>
              <w:suppressAutoHyphens w:val="0"/>
              <w:spacing w:before="0" w:after="0" w:line="240" w:lineRule="auto"/>
              <w:rPr>
                <w:rFonts w:ascii="Calibri Light" w:eastAsia="Times New Roman" w:hAnsi="Calibri Light" w:cs="Times New Roman"/>
                <w:color w:val="495965"/>
                <w:sz w:val="17"/>
                <w:szCs w:val="17"/>
                <w:lang w:val="en-AU" w:eastAsia="en-AU"/>
              </w:rPr>
            </w:pPr>
            <w:r w:rsidRPr="00CD4F30">
              <w:rPr>
                <w:rFonts w:ascii="Calibri Light" w:eastAsia="Times New Roman" w:hAnsi="Calibri Light" w:cs="Times New Roman"/>
                <w:iCs/>
                <w:color w:val="495965"/>
                <w:sz w:val="17"/>
                <w:szCs w:val="17"/>
                <w:lang w:eastAsia="en-AU"/>
              </w:rPr>
              <w:t xml:space="preserve">• </w:t>
            </w:r>
            <w:r w:rsidRPr="00CD4F30">
              <w:rPr>
                <w:rFonts w:ascii="Calibri Light" w:eastAsia="Times New Roman" w:hAnsi="Calibri Light" w:cs="Times New Roman"/>
                <w:color w:val="495965"/>
                <w:sz w:val="16"/>
                <w:szCs w:val="16"/>
                <w:lang w:eastAsia="en-AU"/>
              </w:rPr>
              <w:t>Amount and timing of budget support for education and health is negotiated with the Government by 30 September 2016.  Payment of budget support made according to agreed times across the financial year</w:t>
            </w:r>
          </w:p>
        </w:tc>
        <w:tc>
          <w:tcPr>
            <w:tcW w:w="1640" w:type="dxa"/>
            <w:tcBorders>
              <w:top w:val="nil"/>
              <w:left w:val="nil"/>
              <w:bottom w:val="single" w:sz="4" w:space="0" w:color="FFFFFF"/>
              <w:right w:val="nil"/>
            </w:tcBorders>
            <w:shd w:val="clear" w:color="000000" w:fill="FF0000"/>
            <w:vAlign w:val="center"/>
            <w:hideMark/>
          </w:tcPr>
          <w:p w14:paraId="5D0789DA" w14:textId="77777777" w:rsidR="00CD4F30" w:rsidRPr="00CD4F30" w:rsidRDefault="00CD4F30" w:rsidP="00CD4F30">
            <w:pPr>
              <w:suppressAutoHyphens w:val="0"/>
              <w:spacing w:before="0" w:after="0" w:line="240" w:lineRule="auto"/>
              <w:jc w:val="center"/>
              <w:rPr>
                <w:rFonts w:ascii="Calibri Light" w:eastAsia="Times New Roman" w:hAnsi="Calibri Light" w:cs="Times New Roman"/>
                <w:color w:val="FFFFFF"/>
                <w:sz w:val="17"/>
                <w:szCs w:val="17"/>
                <w:lang w:val="en-AU" w:eastAsia="en-AU"/>
              </w:rPr>
            </w:pPr>
            <w:r w:rsidRPr="00CD4F30">
              <w:rPr>
                <w:rFonts w:ascii="Calibri Light" w:eastAsia="Times New Roman" w:hAnsi="Calibri Light" w:cs="Times New Roman"/>
                <w:color w:val="FFFFFF"/>
                <w:sz w:val="17"/>
                <w:szCs w:val="17"/>
                <w:lang w:eastAsia="en-AU"/>
              </w:rPr>
              <w:t>Not Achieved</w:t>
            </w:r>
          </w:p>
        </w:tc>
        <w:tc>
          <w:tcPr>
            <w:tcW w:w="5600" w:type="dxa"/>
            <w:tcBorders>
              <w:top w:val="nil"/>
              <w:left w:val="nil"/>
              <w:bottom w:val="nil"/>
              <w:right w:val="nil"/>
            </w:tcBorders>
            <w:shd w:val="clear" w:color="auto" w:fill="auto"/>
            <w:vAlign w:val="center"/>
            <w:hideMark/>
          </w:tcPr>
          <w:p w14:paraId="05404FE2" w14:textId="77777777" w:rsidR="00CD4F30" w:rsidRPr="00CD4F30" w:rsidRDefault="00CD4F30" w:rsidP="00CD4F30">
            <w:pPr>
              <w:suppressAutoHyphens w:val="0"/>
              <w:spacing w:before="0" w:after="0" w:line="240" w:lineRule="auto"/>
              <w:rPr>
                <w:rFonts w:ascii="Calibri Light" w:eastAsia="Times New Roman" w:hAnsi="Calibri Light" w:cs="Times New Roman"/>
                <w:color w:val="495965"/>
                <w:sz w:val="17"/>
                <w:szCs w:val="17"/>
                <w:lang w:val="en-AU" w:eastAsia="en-AU"/>
              </w:rPr>
            </w:pPr>
            <w:r w:rsidRPr="00CD4F30">
              <w:rPr>
                <w:rFonts w:ascii="Calibri Light" w:eastAsia="Times New Roman" w:hAnsi="Calibri Light" w:cs="Times New Roman"/>
                <w:iCs/>
                <w:color w:val="495965"/>
                <w:sz w:val="17"/>
                <w:szCs w:val="17"/>
                <w:lang w:eastAsia="en-AU"/>
              </w:rPr>
              <w:t>High operational account balances for both education and health delayed the finalisation of payments.  The payment for education was made in June 2017 only once the education operational account balance had reduced to an acceptable level.  A small contribution was made for health for a particular activity, but as health balances were still high there was not a requirement to make the full payment in 2016-17. We will continue to plan for and make payment of tranches based on realistic cashflow requirements.</w:t>
            </w:r>
          </w:p>
        </w:tc>
      </w:tr>
      <w:tr w:rsidR="00CD4F30" w:rsidRPr="00CD4F30" w14:paraId="6ACDF2F3" w14:textId="77777777" w:rsidTr="003B38FB">
        <w:trPr>
          <w:trHeight w:val="900"/>
          <w:jc w:val="center"/>
        </w:trPr>
        <w:tc>
          <w:tcPr>
            <w:tcW w:w="2000" w:type="dxa"/>
            <w:tcBorders>
              <w:top w:val="nil"/>
              <w:left w:val="nil"/>
              <w:bottom w:val="nil"/>
              <w:right w:val="nil"/>
            </w:tcBorders>
            <w:shd w:val="clear" w:color="auto" w:fill="auto"/>
            <w:vAlign w:val="center"/>
            <w:hideMark/>
          </w:tcPr>
          <w:p w14:paraId="6F229669" w14:textId="77777777" w:rsidR="00CD4F30" w:rsidRPr="00CD4F30" w:rsidRDefault="00CD4F30" w:rsidP="00CD4F30">
            <w:pPr>
              <w:suppressAutoHyphens w:val="0"/>
              <w:spacing w:before="0" w:after="0" w:line="240" w:lineRule="auto"/>
              <w:rPr>
                <w:rFonts w:ascii="Calibri Light" w:eastAsia="Times New Roman" w:hAnsi="Calibri Light" w:cs="Times New Roman"/>
                <w:color w:val="495965"/>
                <w:sz w:val="17"/>
                <w:szCs w:val="17"/>
                <w:lang w:val="en-AU" w:eastAsia="en-AU"/>
              </w:rPr>
            </w:pPr>
          </w:p>
        </w:tc>
        <w:tc>
          <w:tcPr>
            <w:tcW w:w="3680" w:type="dxa"/>
            <w:tcBorders>
              <w:top w:val="nil"/>
              <w:left w:val="nil"/>
              <w:bottom w:val="nil"/>
              <w:right w:val="nil"/>
            </w:tcBorders>
            <w:shd w:val="clear" w:color="auto" w:fill="auto"/>
            <w:vAlign w:val="center"/>
            <w:hideMark/>
          </w:tcPr>
          <w:p w14:paraId="1CF12598" w14:textId="77777777" w:rsidR="00CD4F30" w:rsidRPr="00CD4F30" w:rsidRDefault="00CD4F30" w:rsidP="00CD4F30">
            <w:pPr>
              <w:suppressAutoHyphens w:val="0"/>
              <w:spacing w:before="0" w:after="0" w:line="240" w:lineRule="auto"/>
              <w:rPr>
                <w:rFonts w:ascii="Calibri Light" w:eastAsia="Times New Roman" w:hAnsi="Calibri Light" w:cs="Times New Roman"/>
                <w:color w:val="495965"/>
                <w:sz w:val="17"/>
                <w:szCs w:val="17"/>
                <w:lang w:val="en-AU" w:eastAsia="en-AU"/>
              </w:rPr>
            </w:pPr>
            <w:r w:rsidRPr="00CD4F30">
              <w:rPr>
                <w:rFonts w:ascii="Calibri Light" w:eastAsia="Times New Roman" w:hAnsi="Calibri Light" w:cs="Times New Roman"/>
                <w:iCs/>
                <w:color w:val="495965"/>
                <w:sz w:val="17"/>
                <w:szCs w:val="17"/>
                <w:lang w:eastAsia="en-AU"/>
              </w:rPr>
              <w:t>• Conduct a rapid “diagnostic” of the health sector in 2016 to help map out key issues, opportunities and recommend options for priority actions</w:t>
            </w:r>
          </w:p>
        </w:tc>
        <w:tc>
          <w:tcPr>
            <w:tcW w:w="1640" w:type="dxa"/>
            <w:tcBorders>
              <w:top w:val="single" w:sz="4" w:space="0" w:color="FFFFFF"/>
              <w:left w:val="nil"/>
              <w:bottom w:val="single" w:sz="4" w:space="0" w:color="FFFFFF"/>
              <w:right w:val="nil"/>
            </w:tcBorders>
            <w:shd w:val="clear" w:color="000000" w:fill="FF0000"/>
            <w:vAlign w:val="center"/>
            <w:hideMark/>
          </w:tcPr>
          <w:p w14:paraId="6A3BFDFA" w14:textId="77777777" w:rsidR="00CD4F30" w:rsidRPr="003B38FB" w:rsidRDefault="00CD4F30" w:rsidP="00CD4F30">
            <w:pPr>
              <w:suppressAutoHyphens w:val="0"/>
              <w:spacing w:before="0" w:after="0" w:line="240" w:lineRule="auto"/>
              <w:jc w:val="center"/>
              <w:rPr>
                <w:rFonts w:ascii="Calibri Light" w:eastAsia="Times New Roman" w:hAnsi="Calibri Light" w:cs="Times New Roman"/>
                <w:color w:val="FFFFFF"/>
                <w:sz w:val="17"/>
                <w:szCs w:val="17"/>
                <w:lang w:eastAsia="en-AU"/>
              </w:rPr>
            </w:pPr>
            <w:r w:rsidRPr="00CD4F30">
              <w:rPr>
                <w:rFonts w:ascii="Calibri Light" w:eastAsia="Times New Roman" w:hAnsi="Calibri Light" w:cs="Times New Roman"/>
                <w:color w:val="FFFFFF"/>
                <w:sz w:val="17"/>
                <w:szCs w:val="17"/>
                <w:lang w:eastAsia="en-AU"/>
              </w:rPr>
              <w:t>Not Achieved</w:t>
            </w:r>
          </w:p>
        </w:tc>
        <w:tc>
          <w:tcPr>
            <w:tcW w:w="5600" w:type="dxa"/>
            <w:tcBorders>
              <w:top w:val="nil"/>
              <w:left w:val="nil"/>
              <w:bottom w:val="nil"/>
              <w:right w:val="nil"/>
            </w:tcBorders>
            <w:shd w:val="clear" w:color="auto" w:fill="auto"/>
            <w:vAlign w:val="center"/>
            <w:hideMark/>
          </w:tcPr>
          <w:p w14:paraId="1A8B3DC8" w14:textId="77777777" w:rsidR="00CD4F30" w:rsidRPr="00CD4F30" w:rsidRDefault="00CD4F30" w:rsidP="00CD4F30">
            <w:pPr>
              <w:suppressAutoHyphens w:val="0"/>
              <w:spacing w:before="0" w:after="0" w:line="240" w:lineRule="auto"/>
              <w:rPr>
                <w:rFonts w:ascii="Calibri Light" w:eastAsia="Times New Roman" w:hAnsi="Calibri Light" w:cs="Times New Roman"/>
                <w:color w:val="495965"/>
                <w:sz w:val="17"/>
                <w:szCs w:val="17"/>
                <w:lang w:val="en-AU" w:eastAsia="en-AU"/>
              </w:rPr>
            </w:pPr>
            <w:r w:rsidRPr="00CD4F30">
              <w:rPr>
                <w:rFonts w:ascii="Calibri Light" w:eastAsia="Times New Roman" w:hAnsi="Calibri Light" w:cs="Times New Roman"/>
                <w:iCs/>
                <w:color w:val="495965"/>
                <w:sz w:val="17"/>
                <w:szCs w:val="17"/>
                <w:lang w:eastAsia="en-AU"/>
              </w:rPr>
              <w:t>Agreement was not achieved on the terms of reference nor the timing of the diagnostic, due to significant MHMS restructures over the reporting period.  Other reviews such as the DFAT independent review will now be prioritised instead of the diagnostic.</w:t>
            </w:r>
          </w:p>
        </w:tc>
      </w:tr>
      <w:tr w:rsidR="00CD4F30" w:rsidRPr="00CD4F30" w14:paraId="62CDAC22" w14:textId="77777777" w:rsidTr="003B38FB">
        <w:trPr>
          <w:trHeight w:val="675"/>
          <w:jc w:val="center"/>
        </w:trPr>
        <w:tc>
          <w:tcPr>
            <w:tcW w:w="2000" w:type="dxa"/>
            <w:tcBorders>
              <w:top w:val="nil"/>
              <w:left w:val="nil"/>
              <w:bottom w:val="single" w:sz="4" w:space="0" w:color="auto"/>
              <w:right w:val="nil"/>
            </w:tcBorders>
            <w:shd w:val="clear" w:color="auto" w:fill="auto"/>
            <w:vAlign w:val="center"/>
            <w:hideMark/>
          </w:tcPr>
          <w:p w14:paraId="79EE578C" w14:textId="77777777" w:rsidR="00CD4F30" w:rsidRPr="00CD4F30" w:rsidRDefault="00CD4F30" w:rsidP="00CD4F30">
            <w:pPr>
              <w:suppressAutoHyphens w:val="0"/>
              <w:spacing w:before="0" w:after="0" w:line="240" w:lineRule="auto"/>
              <w:rPr>
                <w:rFonts w:ascii="Calibri Light" w:eastAsia="Times New Roman" w:hAnsi="Calibri Light" w:cs="Times New Roman"/>
                <w:color w:val="495965"/>
                <w:sz w:val="17"/>
                <w:szCs w:val="17"/>
                <w:lang w:val="en-AU" w:eastAsia="en-AU"/>
              </w:rPr>
            </w:pPr>
            <w:r w:rsidRPr="00CD4F30">
              <w:rPr>
                <w:rFonts w:ascii="Calibri Light" w:eastAsia="Times New Roman" w:hAnsi="Calibri Light" w:cs="Times New Roman"/>
                <w:color w:val="495965"/>
                <w:sz w:val="17"/>
                <w:szCs w:val="17"/>
                <w:lang w:val="en-AU" w:eastAsia="en-AU"/>
              </w:rPr>
              <w:t> </w:t>
            </w:r>
          </w:p>
        </w:tc>
        <w:tc>
          <w:tcPr>
            <w:tcW w:w="3680" w:type="dxa"/>
            <w:tcBorders>
              <w:top w:val="nil"/>
              <w:left w:val="nil"/>
              <w:bottom w:val="single" w:sz="4" w:space="0" w:color="auto"/>
              <w:right w:val="nil"/>
            </w:tcBorders>
            <w:shd w:val="clear" w:color="auto" w:fill="auto"/>
            <w:vAlign w:val="center"/>
            <w:hideMark/>
          </w:tcPr>
          <w:p w14:paraId="47A19F0E" w14:textId="77777777" w:rsidR="00CD4F30" w:rsidRPr="00CD4F30" w:rsidRDefault="00CD4F30" w:rsidP="00CD4F30">
            <w:pPr>
              <w:suppressAutoHyphens w:val="0"/>
              <w:spacing w:before="0" w:after="0" w:line="240" w:lineRule="auto"/>
              <w:rPr>
                <w:rFonts w:ascii="Calibri Light" w:eastAsia="Times New Roman" w:hAnsi="Calibri Light" w:cs="Times New Roman"/>
                <w:color w:val="495965"/>
                <w:sz w:val="17"/>
                <w:szCs w:val="17"/>
                <w:lang w:val="en-AU" w:eastAsia="en-AU"/>
              </w:rPr>
            </w:pPr>
            <w:r w:rsidRPr="00CD4F30">
              <w:rPr>
                <w:rFonts w:ascii="Calibri Light" w:eastAsia="Times New Roman" w:hAnsi="Calibri Light" w:cs="Times New Roman"/>
                <w:iCs/>
                <w:color w:val="495965"/>
                <w:sz w:val="17"/>
                <w:szCs w:val="17"/>
                <w:lang w:eastAsia="en-AU"/>
              </w:rPr>
              <w:t>• Provision of technical assistance that assists Government to deliver and implement health and education services</w:t>
            </w:r>
          </w:p>
        </w:tc>
        <w:tc>
          <w:tcPr>
            <w:tcW w:w="1640" w:type="dxa"/>
            <w:tcBorders>
              <w:top w:val="single" w:sz="4" w:space="0" w:color="FFFFFF"/>
              <w:left w:val="nil"/>
              <w:bottom w:val="single" w:sz="4" w:space="0" w:color="FFFFFF"/>
              <w:right w:val="nil"/>
            </w:tcBorders>
            <w:shd w:val="clear" w:color="000000" w:fill="FF0000"/>
            <w:vAlign w:val="center"/>
            <w:hideMark/>
          </w:tcPr>
          <w:p w14:paraId="1E5FA60B" w14:textId="77777777" w:rsidR="00CD4F30" w:rsidRPr="00CD4F30" w:rsidRDefault="00CD4F30" w:rsidP="00CD4F30">
            <w:pPr>
              <w:suppressAutoHyphens w:val="0"/>
              <w:spacing w:before="0" w:after="0" w:line="240" w:lineRule="auto"/>
              <w:jc w:val="center"/>
              <w:rPr>
                <w:rFonts w:ascii="Calibri Light" w:eastAsia="Times New Roman" w:hAnsi="Calibri Light" w:cs="Times New Roman"/>
                <w:color w:val="FFFFFF"/>
                <w:sz w:val="17"/>
                <w:szCs w:val="17"/>
                <w:lang w:val="en-AU" w:eastAsia="en-AU"/>
              </w:rPr>
            </w:pPr>
            <w:r w:rsidRPr="00CD4F30">
              <w:rPr>
                <w:rFonts w:ascii="Calibri Light" w:eastAsia="Times New Roman" w:hAnsi="Calibri Light" w:cs="Times New Roman"/>
                <w:color w:val="FFFFFF"/>
                <w:sz w:val="17"/>
                <w:szCs w:val="17"/>
                <w:lang w:eastAsia="en-AU"/>
              </w:rPr>
              <w:t>Not Achieved</w:t>
            </w:r>
          </w:p>
        </w:tc>
        <w:tc>
          <w:tcPr>
            <w:tcW w:w="5600" w:type="dxa"/>
            <w:tcBorders>
              <w:top w:val="nil"/>
              <w:left w:val="nil"/>
              <w:bottom w:val="single" w:sz="4" w:space="0" w:color="auto"/>
              <w:right w:val="nil"/>
            </w:tcBorders>
            <w:shd w:val="clear" w:color="auto" w:fill="auto"/>
            <w:vAlign w:val="center"/>
            <w:hideMark/>
          </w:tcPr>
          <w:p w14:paraId="5671B22F" w14:textId="77777777" w:rsidR="00CD4F30" w:rsidRPr="00CD4F30" w:rsidRDefault="00CD4F30" w:rsidP="00CD4F30">
            <w:pPr>
              <w:suppressAutoHyphens w:val="0"/>
              <w:spacing w:before="0" w:after="0" w:line="240" w:lineRule="auto"/>
              <w:rPr>
                <w:rFonts w:ascii="Calibri Light" w:eastAsia="Times New Roman" w:hAnsi="Calibri Light" w:cs="Times New Roman"/>
                <w:color w:val="495965"/>
                <w:sz w:val="17"/>
                <w:szCs w:val="17"/>
                <w:lang w:val="en-AU" w:eastAsia="en-AU"/>
              </w:rPr>
            </w:pPr>
            <w:r w:rsidRPr="00CD4F30">
              <w:rPr>
                <w:rFonts w:ascii="Calibri Light" w:eastAsia="Times New Roman" w:hAnsi="Calibri Light" w:cs="Times New Roman"/>
                <w:iCs/>
                <w:color w:val="495965"/>
                <w:sz w:val="17"/>
                <w:szCs w:val="17"/>
                <w:lang w:eastAsia="en-AU"/>
              </w:rPr>
              <w:t>Agreement was achieved on an education implementation adviser in late June 2017, the adviser is expected to start in August 2017.  Agreement has not been reached on technical assistance for health. Discussions are ongoing.</w:t>
            </w:r>
          </w:p>
        </w:tc>
      </w:tr>
      <w:tr w:rsidR="00CD4F30" w:rsidRPr="00CD4F30" w14:paraId="23730927" w14:textId="77777777" w:rsidTr="00CD4F30">
        <w:trPr>
          <w:trHeight w:val="900"/>
          <w:jc w:val="center"/>
        </w:trPr>
        <w:tc>
          <w:tcPr>
            <w:tcW w:w="2000" w:type="dxa"/>
            <w:tcBorders>
              <w:top w:val="nil"/>
              <w:left w:val="nil"/>
              <w:bottom w:val="nil"/>
              <w:right w:val="nil"/>
            </w:tcBorders>
            <w:shd w:val="clear" w:color="auto" w:fill="auto"/>
            <w:hideMark/>
          </w:tcPr>
          <w:p w14:paraId="0751863F" w14:textId="77777777" w:rsidR="00CD4F30" w:rsidRPr="00CD4F30" w:rsidRDefault="00CD4F30" w:rsidP="00CD4F30">
            <w:pPr>
              <w:suppressAutoHyphens w:val="0"/>
              <w:spacing w:before="0" w:after="0" w:line="240" w:lineRule="auto"/>
              <w:rPr>
                <w:rFonts w:ascii="Calibri Light" w:eastAsia="Times New Roman" w:hAnsi="Calibri Light" w:cs="Times New Roman"/>
                <w:color w:val="495965"/>
                <w:sz w:val="17"/>
                <w:szCs w:val="17"/>
                <w:lang w:val="en-AU" w:eastAsia="en-AU"/>
              </w:rPr>
            </w:pPr>
            <w:r w:rsidRPr="00CD4F30">
              <w:rPr>
                <w:rFonts w:ascii="Calibri Light" w:eastAsia="Times New Roman" w:hAnsi="Calibri Light" w:cs="Times New Roman"/>
                <w:iCs/>
                <w:color w:val="495965"/>
                <w:sz w:val="17"/>
                <w:szCs w:val="17"/>
                <w:lang w:eastAsia="en-AU"/>
              </w:rPr>
              <w:t>Strengthened governance and Public Service capability</w:t>
            </w:r>
          </w:p>
        </w:tc>
        <w:tc>
          <w:tcPr>
            <w:tcW w:w="3680" w:type="dxa"/>
            <w:tcBorders>
              <w:top w:val="nil"/>
              <w:left w:val="nil"/>
              <w:bottom w:val="nil"/>
              <w:right w:val="nil"/>
            </w:tcBorders>
            <w:shd w:val="clear" w:color="auto" w:fill="auto"/>
            <w:vAlign w:val="center"/>
            <w:hideMark/>
          </w:tcPr>
          <w:p w14:paraId="5D97D5F5" w14:textId="77777777" w:rsidR="00CD4F30" w:rsidRPr="00CD4F30" w:rsidRDefault="00CD4F30" w:rsidP="00CD4F30">
            <w:pPr>
              <w:suppressAutoHyphens w:val="0"/>
              <w:spacing w:before="0" w:after="0" w:line="240" w:lineRule="auto"/>
              <w:rPr>
                <w:rFonts w:ascii="Calibri Light" w:eastAsia="Times New Roman" w:hAnsi="Calibri Light" w:cs="Times New Roman"/>
                <w:color w:val="495965"/>
                <w:sz w:val="17"/>
                <w:szCs w:val="17"/>
                <w:lang w:val="en-AU" w:eastAsia="en-AU"/>
              </w:rPr>
            </w:pPr>
            <w:r w:rsidRPr="00CD4F30">
              <w:rPr>
                <w:rFonts w:ascii="Calibri Light" w:eastAsia="Times New Roman" w:hAnsi="Calibri Light" w:cs="Times New Roman"/>
                <w:iCs/>
                <w:color w:val="495965"/>
                <w:sz w:val="17"/>
                <w:szCs w:val="17"/>
                <w:lang w:eastAsia="en-AU"/>
              </w:rPr>
              <w:t>• Provision of relevant technical assistance that contributes to strengthening Nauru’s financial management and economic governance decision making</w:t>
            </w:r>
          </w:p>
        </w:tc>
        <w:tc>
          <w:tcPr>
            <w:tcW w:w="1640" w:type="dxa"/>
            <w:tcBorders>
              <w:top w:val="nil"/>
              <w:left w:val="nil"/>
              <w:bottom w:val="single" w:sz="4" w:space="0" w:color="FFFFFF"/>
              <w:right w:val="nil"/>
            </w:tcBorders>
            <w:shd w:val="clear" w:color="000000" w:fill="92D050"/>
            <w:vAlign w:val="center"/>
            <w:hideMark/>
          </w:tcPr>
          <w:p w14:paraId="24F80540" w14:textId="77777777" w:rsidR="00CD4F30" w:rsidRPr="00CD4F30" w:rsidRDefault="00CD4F30" w:rsidP="00CD4F30">
            <w:pPr>
              <w:suppressAutoHyphens w:val="0"/>
              <w:spacing w:before="0" w:after="0" w:line="240" w:lineRule="auto"/>
              <w:jc w:val="center"/>
              <w:rPr>
                <w:rFonts w:ascii="Calibri Light" w:eastAsia="Times New Roman" w:hAnsi="Calibri Light" w:cs="Times New Roman"/>
                <w:color w:val="FFFFFF"/>
                <w:sz w:val="17"/>
                <w:szCs w:val="17"/>
                <w:lang w:val="en-AU" w:eastAsia="en-AU"/>
              </w:rPr>
            </w:pPr>
            <w:r w:rsidRPr="00CD4F30">
              <w:rPr>
                <w:rFonts w:ascii="Calibri Light" w:eastAsia="Times New Roman" w:hAnsi="Calibri Light" w:cs="Times New Roman"/>
                <w:color w:val="FFFFFF"/>
                <w:sz w:val="17"/>
                <w:szCs w:val="17"/>
                <w:lang w:eastAsia="en-AU"/>
              </w:rPr>
              <w:t>Achieved</w:t>
            </w:r>
          </w:p>
        </w:tc>
        <w:tc>
          <w:tcPr>
            <w:tcW w:w="5600" w:type="dxa"/>
            <w:tcBorders>
              <w:top w:val="nil"/>
              <w:left w:val="nil"/>
              <w:bottom w:val="nil"/>
              <w:right w:val="nil"/>
            </w:tcBorders>
            <w:shd w:val="clear" w:color="auto" w:fill="auto"/>
            <w:hideMark/>
          </w:tcPr>
          <w:p w14:paraId="59EE3BA5" w14:textId="77777777" w:rsidR="00CD4F30" w:rsidRPr="00CD4F30" w:rsidRDefault="00CD4F30" w:rsidP="00CD4F30">
            <w:pPr>
              <w:suppressAutoHyphens w:val="0"/>
              <w:spacing w:before="0" w:after="0" w:line="240" w:lineRule="auto"/>
              <w:rPr>
                <w:rFonts w:ascii="Calibri Light" w:eastAsia="Times New Roman" w:hAnsi="Calibri Light" w:cs="Times New Roman"/>
                <w:color w:val="495965"/>
                <w:sz w:val="17"/>
                <w:szCs w:val="17"/>
                <w:lang w:val="en-AU" w:eastAsia="en-AU"/>
              </w:rPr>
            </w:pPr>
            <w:r w:rsidRPr="00CD4F30">
              <w:rPr>
                <w:rFonts w:ascii="Calibri Light" w:eastAsia="Times New Roman" w:hAnsi="Calibri Light" w:cs="Times New Roman"/>
                <w:iCs/>
                <w:color w:val="495965"/>
                <w:sz w:val="17"/>
                <w:szCs w:val="17"/>
                <w:lang w:eastAsia="en-AU"/>
              </w:rPr>
              <w:t>PACTAM advisers are in place and delivering on their agreed workplans.  Performance reviews undertaken by Scope Global are highly positive.</w:t>
            </w:r>
          </w:p>
        </w:tc>
      </w:tr>
      <w:tr w:rsidR="00CD4F30" w:rsidRPr="00CD4F30" w14:paraId="5AC49F35" w14:textId="77777777" w:rsidTr="003B38FB">
        <w:trPr>
          <w:trHeight w:val="1350"/>
          <w:jc w:val="center"/>
        </w:trPr>
        <w:tc>
          <w:tcPr>
            <w:tcW w:w="2000" w:type="dxa"/>
            <w:tcBorders>
              <w:top w:val="nil"/>
              <w:left w:val="nil"/>
              <w:bottom w:val="nil"/>
              <w:right w:val="nil"/>
            </w:tcBorders>
            <w:shd w:val="clear" w:color="auto" w:fill="auto"/>
            <w:vAlign w:val="center"/>
            <w:hideMark/>
          </w:tcPr>
          <w:p w14:paraId="0F32D957" w14:textId="77777777" w:rsidR="00CD4F30" w:rsidRPr="00CD4F30" w:rsidRDefault="00CD4F30" w:rsidP="00CD4F30">
            <w:pPr>
              <w:suppressAutoHyphens w:val="0"/>
              <w:spacing w:before="0" w:after="0" w:line="240" w:lineRule="auto"/>
              <w:rPr>
                <w:rFonts w:ascii="Calibri Light" w:eastAsia="Times New Roman" w:hAnsi="Calibri Light" w:cs="Times New Roman"/>
                <w:color w:val="495965"/>
                <w:sz w:val="17"/>
                <w:szCs w:val="17"/>
                <w:lang w:val="en-AU" w:eastAsia="en-AU"/>
              </w:rPr>
            </w:pPr>
          </w:p>
        </w:tc>
        <w:tc>
          <w:tcPr>
            <w:tcW w:w="3680" w:type="dxa"/>
            <w:tcBorders>
              <w:top w:val="nil"/>
              <w:left w:val="nil"/>
              <w:bottom w:val="nil"/>
              <w:right w:val="nil"/>
            </w:tcBorders>
            <w:shd w:val="clear" w:color="auto" w:fill="auto"/>
            <w:hideMark/>
          </w:tcPr>
          <w:p w14:paraId="2CC88C9D" w14:textId="77777777" w:rsidR="00CD4F30" w:rsidRPr="00CD4F30" w:rsidRDefault="00CD4F30" w:rsidP="00CD4F30">
            <w:pPr>
              <w:suppressAutoHyphens w:val="0"/>
              <w:spacing w:before="0" w:after="0" w:line="240" w:lineRule="auto"/>
              <w:rPr>
                <w:rFonts w:ascii="Calibri Light" w:eastAsia="Times New Roman" w:hAnsi="Calibri Light" w:cs="Times New Roman"/>
                <w:color w:val="495965"/>
                <w:sz w:val="17"/>
                <w:szCs w:val="17"/>
                <w:lang w:val="en-AU" w:eastAsia="en-AU"/>
              </w:rPr>
            </w:pPr>
            <w:r w:rsidRPr="00CD4F30">
              <w:rPr>
                <w:rFonts w:ascii="Calibri Light" w:eastAsia="Times New Roman" w:hAnsi="Calibri Light" w:cs="Times New Roman"/>
                <w:iCs/>
                <w:color w:val="495965"/>
                <w:sz w:val="17"/>
                <w:szCs w:val="17"/>
                <w:lang w:eastAsia="en-AU"/>
              </w:rPr>
              <w:t>• Conduct biannual reviews of the operational account to provide assurance that expenditure is appropriate; key controls are effective; and to drive business improvement</w:t>
            </w:r>
          </w:p>
        </w:tc>
        <w:tc>
          <w:tcPr>
            <w:tcW w:w="1640" w:type="dxa"/>
            <w:tcBorders>
              <w:top w:val="nil"/>
              <w:left w:val="nil"/>
              <w:bottom w:val="single" w:sz="4" w:space="0" w:color="FFFFFF"/>
              <w:right w:val="nil"/>
            </w:tcBorders>
            <w:shd w:val="clear" w:color="000000" w:fill="92D050"/>
            <w:vAlign w:val="center"/>
            <w:hideMark/>
          </w:tcPr>
          <w:p w14:paraId="24C72ABE" w14:textId="77777777" w:rsidR="00CD4F30" w:rsidRPr="00CD4F30" w:rsidRDefault="00CD4F30" w:rsidP="00CD4F30">
            <w:pPr>
              <w:suppressAutoHyphens w:val="0"/>
              <w:spacing w:before="0" w:after="0" w:line="240" w:lineRule="auto"/>
              <w:jc w:val="center"/>
              <w:rPr>
                <w:rFonts w:ascii="Calibri Light" w:eastAsia="Times New Roman" w:hAnsi="Calibri Light" w:cs="Times New Roman"/>
                <w:color w:val="FFFFFF"/>
                <w:sz w:val="17"/>
                <w:szCs w:val="17"/>
                <w:lang w:val="en-AU" w:eastAsia="en-AU"/>
              </w:rPr>
            </w:pPr>
            <w:r w:rsidRPr="00CD4F30">
              <w:rPr>
                <w:rFonts w:ascii="Calibri Light" w:eastAsia="Times New Roman" w:hAnsi="Calibri Light" w:cs="Times New Roman"/>
                <w:color w:val="FFFFFF"/>
                <w:sz w:val="17"/>
                <w:szCs w:val="17"/>
                <w:lang w:eastAsia="en-AU"/>
              </w:rPr>
              <w:t>Achieved</w:t>
            </w:r>
          </w:p>
        </w:tc>
        <w:tc>
          <w:tcPr>
            <w:tcW w:w="5600" w:type="dxa"/>
            <w:tcBorders>
              <w:top w:val="nil"/>
              <w:left w:val="nil"/>
              <w:bottom w:val="nil"/>
              <w:right w:val="nil"/>
            </w:tcBorders>
            <w:shd w:val="clear" w:color="auto" w:fill="auto"/>
            <w:vAlign w:val="center"/>
            <w:hideMark/>
          </w:tcPr>
          <w:p w14:paraId="07BF8E59" w14:textId="77777777" w:rsidR="00CD4F30" w:rsidRPr="00CD4F30" w:rsidRDefault="00CD4F30" w:rsidP="00CD4F30">
            <w:pPr>
              <w:suppressAutoHyphens w:val="0"/>
              <w:spacing w:before="0" w:after="0" w:line="240" w:lineRule="auto"/>
              <w:rPr>
                <w:rFonts w:ascii="Calibri Light" w:eastAsia="Times New Roman" w:hAnsi="Calibri Light" w:cs="Times New Roman"/>
                <w:color w:val="495965"/>
                <w:sz w:val="17"/>
                <w:szCs w:val="17"/>
                <w:lang w:val="en-AU" w:eastAsia="en-AU"/>
              </w:rPr>
            </w:pPr>
            <w:r w:rsidRPr="00CD4F30">
              <w:rPr>
                <w:rFonts w:ascii="Calibri Light" w:eastAsia="Times New Roman" w:hAnsi="Calibri Light" w:cs="Times New Roman"/>
                <w:iCs/>
                <w:color w:val="495965"/>
                <w:sz w:val="17"/>
                <w:szCs w:val="17"/>
                <w:lang w:eastAsia="en-AU"/>
              </w:rPr>
              <w:t>DFAT continues to undertake regular independent reviews of transactions made through the operational account and in April 2017, the auditors were for the first time able to provide an ‘opinion’ (positive assessment) on the robustness of operational account reporting.  While this is a good outcome, further work on a roadmap for improvement is expected to improve transparency and more effective use of bilateral program funds going forward.</w:t>
            </w:r>
          </w:p>
        </w:tc>
      </w:tr>
      <w:tr w:rsidR="00CD4F30" w:rsidRPr="00CD4F30" w14:paraId="353FD464" w14:textId="77777777" w:rsidTr="003B38FB">
        <w:trPr>
          <w:trHeight w:val="450"/>
          <w:jc w:val="center"/>
        </w:trPr>
        <w:tc>
          <w:tcPr>
            <w:tcW w:w="2000" w:type="dxa"/>
            <w:tcBorders>
              <w:top w:val="nil"/>
              <w:left w:val="nil"/>
              <w:bottom w:val="nil"/>
              <w:right w:val="nil"/>
            </w:tcBorders>
            <w:shd w:val="clear" w:color="auto" w:fill="auto"/>
            <w:vAlign w:val="center"/>
            <w:hideMark/>
          </w:tcPr>
          <w:p w14:paraId="441C9AE8" w14:textId="77777777" w:rsidR="00CD4F30" w:rsidRPr="00CD4F30" w:rsidRDefault="00CD4F30" w:rsidP="00CD4F30">
            <w:pPr>
              <w:suppressAutoHyphens w:val="0"/>
              <w:spacing w:before="0" w:after="0" w:line="240" w:lineRule="auto"/>
              <w:rPr>
                <w:rFonts w:ascii="Calibri Light" w:eastAsia="Times New Roman" w:hAnsi="Calibri Light" w:cs="Times New Roman"/>
                <w:color w:val="495965"/>
                <w:sz w:val="17"/>
                <w:szCs w:val="17"/>
                <w:lang w:val="en-AU" w:eastAsia="en-AU"/>
              </w:rPr>
            </w:pPr>
          </w:p>
        </w:tc>
        <w:tc>
          <w:tcPr>
            <w:tcW w:w="3680" w:type="dxa"/>
            <w:tcBorders>
              <w:top w:val="nil"/>
              <w:left w:val="nil"/>
              <w:bottom w:val="nil"/>
              <w:right w:val="nil"/>
            </w:tcBorders>
            <w:shd w:val="clear" w:color="auto" w:fill="auto"/>
            <w:vAlign w:val="center"/>
            <w:hideMark/>
          </w:tcPr>
          <w:p w14:paraId="186F8A47" w14:textId="77777777" w:rsidR="00CD4F30" w:rsidRPr="00CD4F30" w:rsidRDefault="00CD4F30" w:rsidP="00CD4F30">
            <w:pPr>
              <w:suppressAutoHyphens w:val="0"/>
              <w:spacing w:before="0" w:after="0" w:line="240" w:lineRule="auto"/>
              <w:rPr>
                <w:rFonts w:ascii="Calibri Light" w:eastAsia="Times New Roman" w:hAnsi="Calibri Light" w:cs="Times New Roman"/>
                <w:color w:val="495965"/>
                <w:sz w:val="17"/>
                <w:szCs w:val="17"/>
                <w:lang w:val="en-AU" w:eastAsia="en-AU"/>
              </w:rPr>
            </w:pPr>
            <w:r w:rsidRPr="00CD4F30">
              <w:rPr>
                <w:rFonts w:ascii="Calibri Light" w:eastAsia="Times New Roman" w:hAnsi="Calibri Light" w:cs="Times New Roman"/>
                <w:iCs/>
                <w:color w:val="495965"/>
                <w:sz w:val="17"/>
                <w:szCs w:val="17"/>
                <w:lang w:eastAsia="en-AU"/>
              </w:rPr>
              <w:t>• Conduct an Assessment of National Systems (ANS) review in August 2016</w:t>
            </w:r>
          </w:p>
        </w:tc>
        <w:tc>
          <w:tcPr>
            <w:tcW w:w="1640" w:type="dxa"/>
            <w:tcBorders>
              <w:top w:val="single" w:sz="4" w:space="0" w:color="FFFFFF"/>
              <w:left w:val="nil"/>
              <w:bottom w:val="single" w:sz="4" w:space="0" w:color="FFFFFF"/>
              <w:right w:val="nil"/>
            </w:tcBorders>
            <w:shd w:val="clear" w:color="000000" w:fill="92D050"/>
            <w:vAlign w:val="center"/>
            <w:hideMark/>
          </w:tcPr>
          <w:p w14:paraId="0A189106" w14:textId="77777777" w:rsidR="00CD4F30" w:rsidRPr="00CD4F30" w:rsidRDefault="00CD4F30" w:rsidP="00CD4F30">
            <w:pPr>
              <w:suppressAutoHyphens w:val="0"/>
              <w:spacing w:before="0" w:after="0" w:line="240" w:lineRule="auto"/>
              <w:jc w:val="center"/>
              <w:rPr>
                <w:rFonts w:ascii="Calibri Light" w:eastAsia="Times New Roman" w:hAnsi="Calibri Light" w:cs="Times New Roman"/>
                <w:color w:val="FFFFFF"/>
                <w:sz w:val="17"/>
                <w:szCs w:val="17"/>
                <w:lang w:val="en-AU" w:eastAsia="en-AU"/>
              </w:rPr>
            </w:pPr>
            <w:r w:rsidRPr="00CD4F30">
              <w:rPr>
                <w:rFonts w:ascii="Calibri Light" w:eastAsia="Times New Roman" w:hAnsi="Calibri Light" w:cs="Times New Roman"/>
                <w:color w:val="FFFFFF"/>
                <w:sz w:val="17"/>
                <w:szCs w:val="17"/>
                <w:lang w:eastAsia="en-AU"/>
              </w:rPr>
              <w:t>Achieved</w:t>
            </w:r>
          </w:p>
        </w:tc>
        <w:tc>
          <w:tcPr>
            <w:tcW w:w="5600" w:type="dxa"/>
            <w:tcBorders>
              <w:top w:val="nil"/>
              <w:left w:val="nil"/>
              <w:bottom w:val="nil"/>
              <w:right w:val="nil"/>
            </w:tcBorders>
            <w:shd w:val="clear" w:color="auto" w:fill="auto"/>
            <w:vAlign w:val="center"/>
            <w:hideMark/>
          </w:tcPr>
          <w:p w14:paraId="6B8054BD" w14:textId="77777777" w:rsidR="00CD4F30" w:rsidRPr="00CD4F30" w:rsidRDefault="00CD4F30" w:rsidP="00CD4F30">
            <w:pPr>
              <w:suppressAutoHyphens w:val="0"/>
              <w:spacing w:before="0" w:after="0" w:line="240" w:lineRule="auto"/>
              <w:rPr>
                <w:rFonts w:ascii="Calibri Light" w:eastAsia="Times New Roman" w:hAnsi="Calibri Light" w:cs="Times New Roman"/>
                <w:color w:val="495965"/>
                <w:sz w:val="17"/>
                <w:szCs w:val="17"/>
                <w:lang w:val="en-AU" w:eastAsia="en-AU"/>
              </w:rPr>
            </w:pPr>
            <w:r w:rsidRPr="00CD4F30">
              <w:rPr>
                <w:rFonts w:ascii="Calibri Light" w:eastAsia="Times New Roman" w:hAnsi="Calibri Light" w:cs="Times New Roman"/>
                <w:iCs/>
                <w:color w:val="495965"/>
                <w:sz w:val="17"/>
                <w:szCs w:val="17"/>
                <w:lang w:eastAsia="en-AU"/>
              </w:rPr>
              <w:t>The ANS review was conducted in August 2016, the report was finalised in July 2017 with a management response due in September 2017.</w:t>
            </w:r>
          </w:p>
        </w:tc>
      </w:tr>
      <w:tr w:rsidR="00CD4F30" w:rsidRPr="00CD4F30" w14:paraId="47160E35" w14:textId="77777777" w:rsidTr="003B38FB">
        <w:trPr>
          <w:trHeight w:val="900"/>
          <w:jc w:val="center"/>
        </w:trPr>
        <w:tc>
          <w:tcPr>
            <w:tcW w:w="2000" w:type="dxa"/>
            <w:tcBorders>
              <w:top w:val="nil"/>
              <w:left w:val="nil"/>
              <w:bottom w:val="single" w:sz="4" w:space="0" w:color="auto"/>
              <w:right w:val="nil"/>
            </w:tcBorders>
            <w:shd w:val="clear" w:color="auto" w:fill="auto"/>
            <w:vAlign w:val="center"/>
            <w:hideMark/>
          </w:tcPr>
          <w:p w14:paraId="6CC3D25F" w14:textId="77777777" w:rsidR="00CD4F30" w:rsidRPr="00CD4F30" w:rsidRDefault="00CD4F30" w:rsidP="00CD4F30">
            <w:pPr>
              <w:suppressAutoHyphens w:val="0"/>
              <w:spacing w:before="0" w:after="0" w:line="240" w:lineRule="auto"/>
              <w:rPr>
                <w:rFonts w:ascii="Calibri Light" w:eastAsia="Times New Roman" w:hAnsi="Calibri Light" w:cs="Times New Roman"/>
                <w:color w:val="495965"/>
                <w:sz w:val="17"/>
                <w:szCs w:val="17"/>
                <w:lang w:val="en-AU" w:eastAsia="en-AU"/>
              </w:rPr>
            </w:pPr>
            <w:r w:rsidRPr="00CD4F30">
              <w:rPr>
                <w:rFonts w:ascii="Calibri Light" w:eastAsia="Times New Roman" w:hAnsi="Calibri Light" w:cs="Times New Roman"/>
                <w:color w:val="495965"/>
                <w:sz w:val="17"/>
                <w:szCs w:val="17"/>
                <w:lang w:val="en-AU" w:eastAsia="en-AU"/>
              </w:rPr>
              <w:t> </w:t>
            </w:r>
          </w:p>
        </w:tc>
        <w:tc>
          <w:tcPr>
            <w:tcW w:w="3680" w:type="dxa"/>
            <w:tcBorders>
              <w:top w:val="nil"/>
              <w:left w:val="nil"/>
              <w:bottom w:val="single" w:sz="4" w:space="0" w:color="auto"/>
              <w:right w:val="nil"/>
            </w:tcBorders>
            <w:shd w:val="clear" w:color="auto" w:fill="auto"/>
            <w:vAlign w:val="center"/>
            <w:hideMark/>
          </w:tcPr>
          <w:p w14:paraId="2F6A82BF" w14:textId="77777777" w:rsidR="00CD4F30" w:rsidRPr="00CD4F30" w:rsidRDefault="00CD4F30" w:rsidP="00CD4F30">
            <w:pPr>
              <w:suppressAutoHyphens w:val="0"/>
              <w:spacing w:before="0" w:after="0" w:line="240" w:lineRule="auto"/>
              <w:rPr>
                <w:rFonts w:ascii="Calibri Light" w:eastAsia="Times New Roman" w:hAnsi="Calibri Light" w:cs="Times New Roman"/>
                <w:color w:val="495965"/>
                <w:sz w:val="17"/>
                <w:szCs w:val="17"/>
                <w:lang w:val="en-AU" w:eastAsia="en-AU"/>
              </w:rPr>
            </w:pPr>
            <w:r w:rsidRPr="00CD4F30">
              <w:rPr>
                <w:rFonts w:ascii="Calibri Light" w:eastAsia="Times New Roman" w:hAnsi="Calibri Light" w:cs="Times New Roman"/>
                <w:iCs/>
                <w:color w:val="495965"/>
                <w:sz w:val="17"/>
                <w:szCs w:val="17"/>
                <w:lang w:eastAsia="en-AU"/>
              </w:rPr>
              <w:t>• Tender for a Government of Nauru Independent Procurement Agent (IPA)</w:t>
            </w:r>
          </w:p>
        </w:tc>
        <w:tc>
          <w:tcPr>
            <w:tcW w:w="1640" w:type="dxa"/>
            <w:tcBorders>
              <w:top w:val="single" w:sz="4" w:space="0" w:color="FFFFFF"/>
              <w:left w:val="nil"/>
              <w:bottom w:val="single" w:sz="4" w:space="0" w:color="FFFFFF"/>
              <w:right w:val="nil"/>
            </w:tcBorders>
            <w:shd w:val="clear" w:color="000000" w:fill="FF9900"/>
            <w:vAlign w:val="center"/>
            <w:hideMark/>
          </w:tcPr>
          <w:p w14:paraId="24269329" w14:textId="77777777" w:rsidR="00CD4F30" w:rsidRPr="00CD4F30" w:rsidRDefault="00CD4F30" w:rsidP="00CD4F30">
            <w:pPr>
              <w:suppressAutoHyphens w:val="0"/>
              <w:spacing w:before="0" w:after="0" w:line="240" w:lineRule="auto"/>
              <w:jc w:val="center"/>
              <w:rPr>
                <w:rFonts w:ascii="Calibri Light" w:eastAsia="Times New Roman" w:hAnsi="Calibri Light" w:cs="Times New Roman"/>
                <w:color w:val="FFFFFF"/>
                <w:sz w:val="17"/>
                <w:szCs w:val="17"/>
                <w:lang w:val="en-AU" w:eastAsia="en-AU"/>
              </w:rPr>
            </w:pPr>
            <w:r w:rsidRPr="00CD4F30">
              <w:rPr>
                <w:rFonts w:ascii="Calibri Light" w:eastAsia="Times New Roman" w:hAnsi="Calibri Light" w:cs="Times New Roman"/>
                <w:color w:val="FFFFFF"/>
                <w:sz w:val="17"/>
                <w:szCs w:val="17"/>
                <w:lang w:eastAsia="en-AU"/>
              </w:rPr>
              <w:t>Partly Achieved</w:t>
            </w:r>
          </w:p>
        </w:tc>
        <w:tc>
          <w:tcPr>
            <w:tcW w:w="5600" w:type="dxa"/>
            <w:tcBorders>
              <w:top w:val="nil"/>
              <w:left w:val="nil"/>
              <w:bottom w:val="single" w:sz="4" w:space="0" w:color="auto"/>
              <w:right w:val="nil"/>
            </w:tcBorders>
            <w:shd w:val="clear" w:color="auto" w:fill="auto"/>
            <w:vAlign w:val="center"/>
            <w:hideMark/>
          </w:tcPr>
          <w:p w14:paraId="76E84117" w14:textId="77777777" w:rsidR="00CD4F30" w:rsidRPr="00CD4F30" w:rsidRDefault="00CD4F30" w:rsidP="00CD4F30">
            <w:pPr>
              <w:suppressAutoHyphens w:val="0"/>
              <w:spacing w:before="0" w:after="0" w:line="240" w:lineRule="auto"/>
              <w:rPr>
                <w:rFonts w:ascii="Calibri Light" w:eastAsia="Times New Roman" w:hAnsi="Calibri Light" w:cs="Times New Roman"/>
                <w:color w:val="495965"/>
                <w:sz w:val="17"/>
                <w:szCs w:val="17"/>
                <w:lang w:val="en-AU" w:eastAsia="en-AU"/>
              </w:rPr>
            </w:pPr>
            <w:r w:rsidRPr="00CD4F30">
              <w:rPr>
                <w:rFonts w:ascii="Calibri Light" w:eastAsia="Times New Roman" w:hAnsi="Calibri Light" w:cs="Times New Roman"/>
                <w:iCs/>
                <w:color w:val="495965"/>
                <w:sz w:val="17"/>
                <w:szCs w:val="17"/>
                <w:lang w:eastAsia="en-AU"/>
              </w:rPr>
              <w:t>A draft tender document has been produced, however there have been delays in finalising the document due to issues with the interim provider.  The consultant engaged for the tender of the IPA is also working on revising the procurement guidelines for Nauru.</w:t>
            </w:r>
          </w:p>
        </w:tc>
      </w:tr>
      <w:tr w:rsidR="00CD4F30" w:rsidRPr="00CD4F30" w14:paraId="31D78372" w14:textId="77777777" w:rsidTr="00CD4F30">
        <w:trPr>
          <w:cantSplit/>
          <w:trHeight w:val="450"/>
          <w:jc w:val="center"/>
        </w:trPr>
        <w:tc>
          <w:tcPr>
            <w:tcW w:w="2000" w:type="dxa"/>
            <w:tcBorders>
              <w:top w:val="nil"/>
              <w:left w:val="nil"/>
              <w:bottom w:val="nil"/>
              <w:right w:val="nil"/>
            </w:tcBorders>
            <w:shd w:val="clear" w:color="auto" w:fill="auto"/>
            <w:vAlign w:val="center"/>
            <w:hideMark/>
          </w:tcPr>
          <w:p w14:paraId="342BF506" w14:textId="77777777" w:rsidR="00CD4F30" w:rsidRPr="00CD4F30" w:rsidRDefault="00CD4F30" w:rsidP="00CD4F30">
            <w:pPr>
              <w:suppressAutoHyphens w:val="0"/>
              <w:spacing w:before="0" w:after="0" w:line="240" w:lineRule="auto"/>
              <w:rPr>
                <w:rFonts w:ascii="Calibri Light" w:eastAsia="Times New Roman" w:hAnsi="Calibri Light" w:cs="Times New Roman"/>
                <w:color w:val="495965"/>
                <w:sz w:val="17"/>
                <w:szCs w:val="17"/>
                <w:lang w:val="en-AU" w:eastAsia="en-AU"/>
              </w:rPr>
            </w:pPr>
            <w:r w:rsidRPr="00CD4F30">
              <w:rPr>
                <w:rFonts w:ascii="Calibri Light" w:eastAsia="Times New Roman" w:hAnsi="Calibri Light" w:cs="Times New Roman"/>
                <w:iCs/>
                <w:color w:val="495965"/>
                <w:sz w:val="17"/>
                <w:szCs w:val="17"/>
                <w:lang w:eastAsia="en-AU"/>
              </w:rPr>
              <w:t>Enhanced economic infrastructure</w:t>
            </w:r>
          </w:p>
        </w:tc>
        <w:tc>
          <w:tcPr>
            <w:tcW w:w="3680" w:type="dxa"/>
            <w:tcBorders>
              <w:top w:val="nil"/>
              <w:left w:val="nil"/>
              <w:bottom w:val="nil"/>
              <w:right w:val="nil"/>
            </w:tcBorders>
            <w:shd w:val="clear" w:color="auto" w:fill="auto"/>
            <w:vAlign w:val="center"/>
            <w:hideMark/>
          </w:tcPr>
          <w:p w14:paraId="1563C4FE" w14:textId="77777777" w:rsidR="00CD4F30" w:rsidRPr="00CD4F30" w:rsidRDefault="00CD4F30" w:rsidP="00CD4F30">
            <w:pPr>
              <w:suppressAutoHyphens w:val="0"/>
              <w:spacing w:before="0" w:after="0" w:line="240" w:lineRule="auto"/>
              <w:rPr>
                <w:rFonts w:ascii="Calibri Light" w:eastAsia="Times New Roman" w:hAnsi="Calibri Light" w:cs="Times New Roman"/>
                <w:color w:val="495965"/>
                <w:sz w:val="17"/>
                <w:szCs w:val="17"/>
                <w:lang w:val="en-AU" w:eastAsia="en-AU"/>
              </w:rPr>
            </w:pPr>
            <w:r w:rsidRPr="00CD4F30">
              <w:rPr>
                <w:rFonts w:ascii="Calibri Light" w:eastAsia="Times New Roman" w:hAnsi="Calibri Light" w:cs="Times New Roman"/>
                <w:iCs/>
                <w:color w:val="495965"/>
                <w:sz w:val="17"/>
                <w:szCs w:val="17"/>
                <w:lang w:eastAsia="en-AU"/>
              </w:rPr>
              <w:t>• Stage two of hospital redevelopment completed by February 2017</w:t>
            </w:r>
          </w:p>
        </w:tc>
        <w:tc>
          <w:tcPr>
            <w:tcW w:w="1640" w:type="dxa"/>
            <w:tcBorders>
              <w:top w:val="nil"/>
              <w:left w:val="nil"/>
              <w:bottom w:val="single" w:sz="4" w:space="0" w:color="FFFFFF"/>
              <w:right w:val="nil"/>
            </w:tcBorders>
            <w:shd w:val="clear" w:color="000000" w:fill="92D050"/>
            <w:vAlign w:val="center"/>
            <w:hideMark/>
          </w:tcPr>
          <w:p w14:paraId="2F8907A3" w14:textId="77777777" w:rsidR="00CD4F30" w:rsidRPr="00CD4F30" w:rsidRDefault="00CD4F30" w:rsidP="00CD4F30">
            <w:pPr>
              <w:suppressAutoHyphens w:val="0"/>
              <w:spacing w:before="0" w:after="0" w:line="240" w:lineRule="auto"/>
              <w:jc w:val="center"/>
              <w:rPr>
                <w:rFonts w:ascii="Calibri Light" w:eastAsia="Times New Roman" w:hAnsi="Calibri Light" w:cs="Times New Roman"/>
                <w:color w:val="FFFFFF"/>
                <w:sz w:val="17"/>
                <w:szCs w:val="17"/>
                <w:lang w:val="en-AU" w:eastAsia="en-AU"/>
              </w:rPr>
            </w:pPr>
            <w:r w:rsidRPr="00CD4F30">
              <w:rPr>
                <w:rFonts w:ascii="Calibri Light" w:eastAsia="Times New Roman" w:hAnsi="Calibri Light" w:cs="Times New Roman"/>
                <w:color w:val="FFFFFF"/>
                <w:sz w:val="17"/>
                <w:szCs w:val="17"/>
                <w:lang w:eastAsia="en-AU"/>
              </w:rPr>
              <w:t>Achieved</w:t>
            </w:r>
          </w:p>
        </w:tc>
        <w:tc>
          <w:tcPr>
            <w:tcW w:w="5600" w:type="dxa"/>
            <w:tcBorders>
              <w:top w:val="nil"/>
              <w:left w:val="nil"/>
              <w:bottom w:val="nil"/>
              <w:right w:val="nil"/>
            </w:tcBorders>
            <w:shd w:val="clear" w:color="auto" w:fill="auto"/>
            <w:vAlign w:val="center"/>
            <w:hideMark/>
          </w:tcPr>
          <w:p w14:paraId="36F6B701" w14:textId="77777777" w:rsidR="00CD4F30" w:rsidRPr="00CD4F30" w:rsidRDefault="00CD4F30" w:rsidP="00CD4F30">
            <w:pPr>
              <w:suppressAutoHyphens w:val="0"/>
              <w:spacing w:before="0" w:after="0" w:line="240" w:lineRule="auto"/>
              <w:rPr>
                <w:rFonts w:ascii="Calibri Light" w:eastAsia="Times New Roman" w:hAnsi="Calibri Light" w:cs="Times New Roman"/>
                <w:color w:val="495965"/>
                <w:sz w:val="17"/>
                <w:szCs w:val="17"/>
                <w:lang w:val="en-AU" w:eastAsia="en-AU"/>
              </w:rPr>
            </w:pPr>
            <w:r w:rsidRPr="00CD4F30">
              <w:rPr>
                <w:rFonts w:ascii="Calibri Light" w:eastAsia="Times New Roman" w:hAnsi="Calibri Light" w:cs="Times New Roman"/>
                <w:color w:val="495965"/>
                <w:sz w:val="17"/>
                <w:szCs w:val="17"/>
                <w:lang w:eastAsia="en-AU"/>
              </w:rPr>
              <w:t>Stage two was completed by the end of February 2017.  An independent review showed that the building was generally of good quality.</w:t>
            </w:r>
          </w:p>
        </w:tc>
      </w:tr>
      <w:tr w:rsidR="00CD4F30" w:rsidRPr="00CD4F30" w14:paraId="4D9BF3DA" w14:textId="77777777" w:rsidTr="00CD4F30">
        <w:trPr>
          <w:trHeight w:val="450"/>
          <w:jc w:val="center"/>
        </w:trPr>
        <w:tc>
          <w:tcPr>
            <w:tcW w:w="2000" w:type="dxa"/>
            <w:tcBorders>
              <w:top w:val="nil"/>
              <w:left w:val="nil"/>
              <w:bottom w:val="single" w:sz="4" w:space="0" w:color="auto"/>
              <w:right w:val="nil"/>
            </w:tcBorders>
            <w:shd w:val="clear" w:color="auto" w:fill="auto"/>
            <w:vAlign w:val="center"/>
            <w:hideMark/>
          </w:tcPr>
          <w:p w14:paraId="33DA7D56" w14:textId="77777777" w:rsidR="00CD4F30" w:rsidRPr="00CD4F30" w:rsidRDefault="00CD4F30" w:rsidP="00CD4F30">
            <w:pPr>
              <w:suppressAutoHyphens w:val="0"/>
              <w:spacing w:before="0" w:after="0" w:line="240" w:lineRule="auto"/>
              <w:rPr>
                <w:rFonts w:ascii="Calibri Light" w:eastAsia="Times New Roman" w:hAnsi="Calibri Light" w:cs="Times New Roman"/>
                <w:color w:val="495965"/>
                <w:sz w:val="17"/>
                <w:szCs w:val="17"/>
                <w:lang w:val="en-AU" w:eastAsia="en-AU"/>
              </w:rPr>
            </w:pPr>
            <w:r w:rsidRPr="00CD4F30">
              <w:rPr>
                <w:rFonts w:ascii="Calibri Light" w:eastAsia="Times New Roman" w:hAnsi="Calibri Light" w:cs="Times New Roman"/>
                <w:color w:val="495965"/>
                <w:sz w:val="17"/>
                <w:szCs w:val="17"/>
                <w:lang w:val="en-AU" w:eastAsia="en-AU"/>
              </w:rPr>
              <w:t> </w:t>
            </w:r>
          </w:p>
        </w:tc>
        <w:tc>
          <w:tcPr>
            <w:tcW w:w="3680" w:type="dxa"/>
            <w:tcBorders>
              <w:top w:val="nil"/>
              <w:left w:val="nil"/>
              <w:bottom w:val="single" w:sz="4" w:space="0" w:color="auto"/>
              <w:right w:val="nil"/>
            </w:tcBorders>
            <w:shd w:val="clear" w:color="auto" w:fill="auto"/>
            <w:vAlign w:val="center"/>
            <w:hideMark/>
          </w:tcPr>
          <w:p w14:paraId="60072CAC" w14:textId="77777777" w:rsidR="00CD4F30" w:rsidRPr="00CD4F30" w:rsidRDefault="00CD4F30" w:rsidP="00CD4F30">
            <w:pPr>
              <w:suppressAutoHyphens w:val="0"/>
              <w:spacing w:before="0" w:after="0" w:line="240" w:lineRule="auto"/>
              <w:rPr>
                <w:rFonts w:ascii="Calibri Light" w:eastAsia="Times New Roman" w:hAnsi="Calibri Light" w:cs="Times New Roman"/>
                <w:color w:val="495965"/>
                <w:sz w:val="17"/>
                <w:szCs w:val="17"/>
                <w:lang w:val="en-AU" w:eastAsia="en-AU"/>
              </w:rPr>
            </w:pPr>
            <w:r w:rsidRPr="00CD4F30">
              <w:rPr>
                <w:rFonts w:ascii="Calibri Light" w:eastAsia="Times New Roman" w:hAnsi="Calibri Light" w:cs="Times New Roman"/>
                <w:iCs/>
                <w:color w:val="495965"/>
                <w:sz w:val="17"/>
                <w:szCs w:val="17"/>
                <w:lang w:eastAsia="en-AU"/>
              </w:rPr>
              <w:t>• New generators delivered to NUC (through ADB) by March 2017, for installation by August 2017</w:t>
            </w:r>
          </w:p>
        </w:tc>
        <w:tc>
          <w:tcPr>
            <w:tcW w:w="1640" w:type="dxa"/>
            <w:tcBorders>
              <w:top w:val="nil"/>
              <w:left w:val="nil"/>
              <w:bottom w:val="single" w:sz="4" w:space="0" w:color="auto"/>
              <w:right w:val="nil"/>
            </w:tcBorders>
            <w:shd w:val="clear" w:color="000000" w:fill="FF9900"/>
            <w:vAlign w:val="center"/>
            <w:hideMark/>
          </w:tcPr>
          <w:p w14:paraId="0E49B9EC" w14:textId="77777777" w:rsidR="00CD4F30" w:rsidRPr="00CD4F30" w:rsidRDefault="00CD4F30" w:rsidP="00CD4F30">
            <w:pPr>
              <w:suppressAutoHyphens w:val="0"/>
              <w:spacing w:before="0" w:after="0" w:line="240" w:lineRule="auto"/>
              <w:jc w:val="center"/>
              <w:rPr>
                <w:rFonts w:ascii="Calibri Light" w:eastAsia="Times New Roman" w:hAnsi="Calibri Light" w:cs="Times New Roman"/>
                <w:color w:val="FFFFFF"/>
                <w:sz w:val="17"/>
                <w:szCs w:val="17"/>
                <w:lang w:val="en-AU" w:eastAsia="en-AU"/>
              </w:rPr>
            </w:pPr>
            <w:r w:rsidRPr="00CD4F30">
              <w:rPr>
                <w:rFonts w:ascii="Calibri Light" w:eastAsia="Times New Roman" w:hAnsi="Calibri Light" w:cs="Times New Roman"/>
                <w:color w:val="FFFFFF"/>
                <w:sz w:val="17"/>
                <w:szCs w:val="17"/>
                <w:lang w:eastAsia="en-AU"/>
              </w:rPr>
              <w:t>Partly Achieved</w:t>
            </w:r>
          </w:p>
        </w:tc>
        <w:tc>
          <w:tcPr>
            <w:tcW w:w="5600" w:type="dxa"/>
            <w:tcBorders>
              <w:top w:val="nil"/>
              <w:left w:val="nil"/>
              <w:bottom w:val="single" w:sz="4" w:space="0" w:color="auto"/>
              <w:right w:val="nil"/>
            </w:tcBorders>
            <w:shd w:val="clear" w:color="auto" w:fill="auto"/>
            <w:vAlign w:val="center"/>
            <w:hideMark/>
          </w:tcPr>
          <w:p w14:paraId="3D6E5ABE" w14:textId="77777777" w:rsidR="00CD4F30" w:rsidRPr="00CD4F30" w:rsidRDefault="00CD4F30" w:rsidP="00CD4F30">
            <w:pPr>
              <w:suppressAutoHyphens w:val="0"/>
              <w:spacing w:before="0" w:after="0" w:line="240" w:lineRule="auto"/>
              <w:rPr>
                <w:rFonts w:ascii="Calibri Light" w:eastAsia="Times New Roman" w:hAnsi="Calibri Light" w:cs="Times New Roman"/>
                <w:color w:val="495965"/>
                <w:sz w:val="17"/>
                <w:szCs w:val="17"/>
                <w:lang w:val="en-AU" w:eastAsia="en-AU"/>
              </w:rPr>
            </w:pPr>
            <w:r w:rsidRPr="00CD4F30">
              <w:rPr>
                <w:rFonts w:ascii="Calibri Light" w:eastAsia="Times New Roman" w:hAnsi="Calibri Light" w:cs="Times New Roman"/>
                <w:iCs/>
                <w:color w:val="495965"/>
                <w:sz w:val="17"/>
                <w:szCs w:val="17"/>
                <w:lang w:eastAsia="en-AU"/>
              </w:rPr>
              <w:t>The generators arrived on Nauru in late June and early July 2017 and will be commissioned by November 2017.</w:t>
            </w:r>
          </w:p>
        </w:tc>
      </w:tr>
      <w:tr w:rsidR="00CD4F30" w:rsidRPr="00CD4F30" w14:paraId="5F74419F" w14:textId="77777777" w:rsidTr="00CD4F30">
        <w:trPr>
          <w:trHeight w:val="915"/>
          <w:jc w:val="center"/>
        </w:trPr>
        <w:tc>
          <w:tcPr>
            <w:tcW w:w="2000" w:type="dxa"/>
            <w:tcBorders>
              <w:top w:val="nil"/>
              <w:left w:val="nil"/>
              <w:bottom w:val="single" w:sz="8" w:space="0" w:color="auto"/>
              <w:right w:val="nil"/>
            </w:tcBorders>
            <w:shd w:val="clear" w:color="auto" w:fill="auto"/>
            <w:hideMark/>
          </w:tcPr>
          <w:p w14:paraId="72E6E150" w14:textId="77777777" w:rsidR="00CD4F30" w:rsidRPr="00CD4F30" w:rsidRDefault="00CD4F30" w:rsidP="00CD4F30">
            <w:pPr>
              <w:suppressAutoHyphens w:val="0"/>
              <w:spacing w:before="0" w:after="0" w:line="240" w:lineRule="auto"/>
              <w:rPr>
                <w:rFonts w:ascii="Calibri Light" w:eastAsia="Times New Roman" w:hAnsi="Calibri Light" w:cs="Times New Roman"/>
                <w:color w:val="495965"/>
                <w:sz w:val="17"/>
                <w:szCs w:val="17"/>
                <w:lang w:val="en-AU" w:eastAsia="en-AU"/>
              </w:rPr>
            </w:pPr>
            <w:r w:rsidRPr="00CD4F30">
              <w:rPr>
                <w:rFonts w:ascii="Calibri Light" w:eastAsia="Times New Roman" w:hAnsi="Calibri Light" w:cs="Times New Roman"/>
                <w:iCs/>
                <w:color w:val="495965"/>
                <w:sz w:val="17"/>
                <w:szCs w:val="17"/>
                <w:lang w:eastAsia="en-AU"/>
              </w:rPr>
              <w:t>Portfolio adequately addresses gender equality considerations</w:t>
            </w:r>
          </w:p>
        </w:tc>
        <w:tc>
          <w:tcPr>
            <w:tcW w:w="3680" w:type="dxa"/>
            <w:tcBorders>
              <w:top w:val="nil"/>
              <w:left w:val="nil"/>
              <w:bottom w:val="single" w:sz="8" w:space="0" w:color="auto"/>
              <w:right w:val="nil"/>
            </w:tcBorders>
            <w:shd w:val="clear" w:color="auto" w:fill="auto"/>
            <w:vAlign w:val="center"/>
            <w:hideMark/>
          </w:tcPr>
          <w:p w14:paraId="1E5EA237" w14:textId="77777777" w:rsidR="00CD4F30" w:rsidRPr="00CD4F30" w:rsidRDefault="00CD4F30" w:rsidP="00CD4F30">
            <w:pPr>
              <w:suppressAutoHyphens w:val="0"/>
              <w:spacing w:before="0" w:after="0" w:line="240" w:lineRule="auto"/>
              <w:rPr>
                <w:rFonts w:ascii="Arial" w:eastAsia="Times New Roman" w:hAnsi="Arial" w:cs="Arial"/>
                <w:color w:val="495965"/>
                <w:sz w:val="17"/>
                <w:szCs w:val="17"/>
                <w:lang w:val="en-AU" w:eastAsia="en-AU"/>
              </w:rPr>
            </w:pPr>
            <w:r w:rsidRPr="00CD4F30">
              <w:rPr>
                <w:rFonts w:ascii="Arial" w:eastAsia="Times New Roman" w:hAnsi="Arial" w:cs="Arial"/>
                <w:color w:val="495965"/>
                <w:sz w:val="17"/>
                <w:szCs w:val="17"/>
                <w:lang w:eastAsia="en-AU"/>
              </w:rPr>
              <w:t xml:space="preserve">• </w:t>
            </w:r>
            <w:r w:rsidRPr="00CD4F30">
              <w:rPr>
                <w:rFonts w:ascii="Calibri Light" w:eastAsia="Times New Roman" w:hAnsi="Calibri Light" w:cs="Arial"/>
                <w:color w:val="495965"/>
                <w:sz w:val="17"/>
                <w:szCs w:val="17"/>
                <w:lang w:eastAsia="en-AU"/>
              </w:rPr>
              <w:t>80 per cent of activities adequately address gender issues (across Nauru’s four major investments in public sector management, infrastructure, health and education)</w:t>
            </w:r>
          </w:p>
        </w:tc>
        <w:tc>
          <w:tcPr>
            <w:tcW w:w="1640" w:type="dxa"/>
            <w:tcBorders>
              <w:top w:val="nil"/>
              <w:left w:val="nil"/>
              <w:bottom w:val="single" w:sz="8" w:space="0" w:color="auto"/>
              <w:right w:val="nil"/>
            </w:tcBorders>
            <w:shd w:val="clear" w:color="000000" w:fill="FF0000"/>
            <w:vAlign w:val="center"/>
            <w:hideMark/>
          </w:tcPr>
          <w:p w14:paraId="2F81DE0A" w14:textId="77777777" w:rsidR="00CD4F30" w:rsidRPr="00CD4F30" w:rsidRDefault="00CD4F30" w:rsidP="00CD4F30">
            <w:pPr>
              <w:suppressAutoHyphens w:val="0"/>
              <w:spacing w:before="0" w:after="0" w:line="240" w:lineRule="auto"/>
              <w:jc w:val="center"/>
              <w:rPr>
                <w:rFonts w:ascii="Calibri Light" w:eastAsia="Times New Roman" w:hAnsi="Calibri Light" w:cs="Times New Roman"/>
                <w:color w:val="FFFFFF"/>
                <w:sz w:val="17"/>
                <w:szCs w:val="17"/>
                <w:lang w:val="en-AU" w:eastAsia="en-AU"/>
              </w:rPr>
            </w:pPr>
            <w:r w:rsidRPr="00CD4F30">
              <w:rPr>
                <w:rFonts w:ascii="Calibri Light" w:eastAsia="Times New Roman" w:hAnsi="Calibri Light" w:cs="Times New Roman"/>
                <w:color w:val="FFFFFF"/>
                <w:sz w:val="17"/>
                <w:szCs w:val="17"/>
                <w:lang w:eastAsia="en-AU"/>
              </w:rPr>
              <w:t>Not Achieved</w:t>
            </w:r>
          </w:p>
        </w:tc>
        <w:tc>
          <w:tcPr>
            <w:tcW w:w="5600" w:type="dxa"/>
            <w:tcBorders>
              <w:top w:val="nil"/>
              <w:left w:val="nil"/>
              <w:bottom w:val="single" w:sz="8" w:space="0" w:color="auto"/>
              <w:right w:val="nil"/>
            </w:tcBorders>
            <w:shd w:val="clear" w:color="auto" w:fill="auto"/>
            <w:vAlign w:val="center"/>
            <w:hideMark/>
          </w:tcPr>
          <w:p w14:paraId="242FF91B" w14:textId="77777777" w:rsidR="00CD4F30" w:rsidRPr="00CD4F30" w:rsidRDefault="00CD4F30" w:rsidP="00CD4F30">
            <w:pPr>
              <w:suppressAutoHyphens w:val="0"/>
              <w:spacing w:before="0" w:after="0" w:line="240" w:lineRule="auto"/>
              <w:rPr>
                <w:rFonts w:ascii="Calibri Light" w:eastAsia="Times New Roman" w:hAnsi="Calibri Light" w:cs="Times New Roman"/>
                <w:color w:val="495965"/>
                <w:sz w:val="17"/>
                <w:szCs w:val="17"/>
                <w:lang w:val="en-AU" w:eastAsia="en-AU"/>
              </w:rPr>
            </w:pPr>
            <w:r w:rsidRPr="00CD4F30">
              <w:rPr>
                <w:rFonts w:ascii="Calibri Light" w:eastAsia="Times New Roman" w:hAnsi="Calibri Light" w:cs="Times New Roman"/>
                <w:color w:val="495965"/>
                <w:sz w:val="17"/>
                <w:szCs w:val="17"/>
                <w:lang w:eastAsia="en-AU"/>
              </w:rPr>
              <w:t xml:space="preserve">Gender scores across the four main investments did not meet expectations.  A gender adviser will be engaged in 2017-18 to assist in mainstreaming gender across the Nauru aid program. A country plan review team visited Nauru in May 2017 and are preparing an updated country plan 2017-20. </w:t>
            </w:r>
          </w:p>
        </w:tc>
      </w:tr>
    </w:tbl>
    <w:p w14:paraId="143EABD1" w14:textId="77777777" w:rsidR="00CD4F30" w:rsidRDefault="00CD4F30" w:rsidP="00CD4F30">
      <w:pPr>
        <w:spacing w:before="20" w:after="20" w:line="180" w:lineRule="atLeast"/>
        <w:jc w:val="center"/>
        <w:rPr>
          <w:rFonts w:eastAsia="Times New Roman"/>
          <w:b/>
          <w:sz w:val="16"/>
          <w:szCs w:val="14"/>
        </w:rPr>
      </w:pPr>
    </w:p>
    <w:p w14:paraId="42023F4A" w14:textId="24135207" w:rsidR="00184F1E" w:rsidRPr="00880004" w:rsidRDefault="00184F1E" w:rsidP="00184F1E">
      <w:pPr>
        <w:spacing w:before="20" w:after="20" w:line="180" w:lineRule="atLeast"/>
        <w:jc w:val="both"/>
        <w:rPr>
          <w:rFonts w:eastAsia="Times New Roman"/>
          <w:b/>
          <w:sz w:val="16"/>
          <w:szCs w:val="14"/>
        </w:rPr>
      </w:pPr>
      <w:r w:rsidRPr="00880004">
        <w:rPr>
          <w:rFonts w:eastAsia="Times New Roman"/>
          <w:b/>
          <w:sz w:val="16"/>
          <w:szCs w:val="14"/>
        </w:rPr>
        <w:t xml:space="preserve">Note: </w:t>
      </w:r>
    </w:p>
    <w:p w14:paraId="6B42DC1D" w14:textId="77777777"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  Significant progress has been made and the performance benchmark was achieved </w:t>
      </w:r>
    </w:p>
    <w:p w14:paraId="7F032364" w14:textId="77777777"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  Some progress has been made towards achieving the performance benchmark, but progress was less than anticipated. </w:t>
      </w:r>
    </w:p>
    <w:p w14:paraId="3671B208" w14:textId="77777777"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towards the performance benchmark has been significantly below expectations</w:t>
      </w:r>
    </w:p>
    <w:p w14:paraId="42C7BCBD" w14:textId="77777777" w:rsidR="00BE1BEB" w:rsidRDefault="00BE1BEB" w:rsidP="00184F1E">
      <w:pPr>
        <w:rPr>
          <w:rFonts w:ascii="Franklin Gothic Book" w:eastAsia="Times New Roman" w:hAnsi="Franklin Gothic Book"/>
          <w:b/>
          <w:sz w:val="24"/>
          <w:szCs w:val="24"/>
        </w:rPr>
      </w:pPr>
    </w:p>
    <w:p w14:paraId="09789466" w14:textId="77777777" w:rsidR="00B22B04" w:rsidRDefault="00B22B04">
      <w:pPr>
        <w:suppressAutoHyphens w:val="0"/>
        <w:spacing w:before="0" w:after="120" w:line="440" w:lineRule="atLeast"/>
        <w:rPr>
          <w:rFonts w:ascii="Franklin Gothic Book" w:eastAsia="Times New Roman" w:hAnsi="Franklin Gothic Book"/>
          <w:b/>
          <w:sz w:val="24"/>
          <w:szCs w:val="24"/>
        </w:rPr>
      </w:pPr>
      <w:r>
        <w:rPr>
          <w:rFonts w:ascii="Franklin Gothic Book" w:eastAsia="Times New Roman" w:hAnsi="Franklin Gothic Book"/>
          <w:b/>
          <w:sz w:val="24"/>
          <w:szCs w:val="24"/>
        </w:rPr>
        <w:br w:type="page"/>
      </w:r>
    </w:p>
    <w:p w14:paraId="03A084B7" w14:textId="0107208E" w:rsidR="009020CC" w:rsidRDefault="009020CC" w:rsidP="009020CC">
      <w:pPr>
        <w:rPr>
          <w:rFonts w:ascii="Franklin Gothic Book" w:eastAsia="Times New Roman" w:hAnsi="Franklin Gothic Book"/>
          <w:b/>
          <w:sz w:val="24"/>
          <w:szCs w:val="24"/>
        </w:rPr>
      </w:pPr>
      <w:r w:rsidRPr="007B4865">
        <w:rPr>
          <w:rFonts w:ascii="Franklin Gothic Book" w:eastAsia="Times New Roman" w:hAnsi="Franklin Gothic Book"/>
          <w:b/>
          <w:sz w:val="24"/>
          <w:szCs w:val="24"/>
        </w:rPr>
        <w:lastRenderedPageBreak/>
        <w:t>Performance Benchmarks for remainder of A</w:t>
      </w:r>
      <w:r>
        <w:rPr>
          <w:rFonts w:ascii="Franklin Gothic Book" w:eastAsia="Times New Roman" w:hAnsi="Franklin Gothic Book"/>
          <w:b/>
          <w:sz w:val="24"/>
          <w:szCs w:val="24"/>
        </w:rPr>
        <w:t xml:space="preserve">id </w:t>
      </w:r>
      <w:r w:rsidRPr="007B4865">
        <w:rPr>
          <w:rFonts w:ascii="Franklin Gothic Book" w:eastAsia="Times New Roman" w:hAnsi="Franklin Gothic Book"/>
          <w:b/>
          <w:sz w:val="24"/>
          <w:szCs w:val="24"/>
        </w:rPr>
        <w:t>I</w:t>
      </w:r>
      <w:r>
        <w:rPr>
          <w:rFonts w:ascii="Franklin Gothic Book" w:eastAsia="Times New Roman" w:hAnsi="Franklin Gothic Book"/>
          <w:b/>
          <w:sz w:val="24"/>
          <w:szCs w:val="24"/>
        </w:rPr>
        <w:t xml:space="preserve">nvestment </w:t>
      </w:r>
      <w:r w:rsidRPr="007B4865">
        <w:rPr>
          <w:rFonts w:ascii="Franklin Gothic Book" w:eastAsia="Times New Roman" w:hAnsi="Franklin Gothic Book"/>
          <w:b/>
          <w:sz w:val="24"/>
          <w:szCs w:val="24"/>
        </w:rPr>
        <w:t>P</w:t>
      </w:r>
      <w:r>
        <w:rPr>
          <w:rFonts w:ascii="Franklin Gothic Book" w:eastAsia="Times New Roman" w:hAnsi="Franklin Gothic Book"/>
          <w:b/>
          <w:sz w:val="24"/>
          <w:szCs w:val="24"/>
        </w:rPr>
        <w:t xml:space="preserve">lan </w:t>
      </w:r>
      <w:r w:rsidRPr="007B4865">
        <w:rPr>
          <w:rFonts w:ascii="Franklin Gothic Book" w:eastAsia="Times New Roman" w:hAnsi="Franklin Gothic Book"/>
          <w:b/>
          <w:sz w:val="24"/>
          <w:szCs w:val="24"/>
        </w:rPr>
        <w:t xml:space="preserve">  </w:t>
      </w:r>
    </w:p>
    <w:tbl>
      <w:tblPr>
        <w:tblStyle w:val="DFATTable"/>
        <w:tblW w:w="5202" w:type="pct"/>
        <w:tblLook w:val="04A0" w:firstRow="1" w:lastRow="0" w:firstColumn="1" w:lastColumn="0" w:noHBand="0" w:noVBand="1"/>
      </w:tblPr>
      <w:tblGrid>
        <w:gridCol w:w="2243"/>
        <w:gridCol w:w="4226"/>
        <w:gridCol w:w="3881"/>
        <w:gridCol w:w="4252"/>
      </w:tblGrid>
      <w:tr w:rsidR="009020CC" w14:paraId="11861D42" w14:textId="77777777" w:rsidTr="007833CF">
        <w:trPr>
          <w:trHeight w:val="245"/>
        </w:trPr>
        <w:tc>
          <w:tcPr>
            <w:tcW w:w="768" w:type="pct"/>
            <w:tcBorders>
              <w:top w:val="single" w:sz="12" w:space="0" w:color="auto"/>
              <w:left w:val="nil"/>
              <w:bottom w:val="nil"/>
              <w:right w:val="nil"/>
            </w:tcBorders>
          </w:tcPr>
          <w:p w14:paraId="40102318" w14:textId="77777777" w:rsidR="009020CC" w:rsidRPr="00BE6C6D" w:rsidRDefault="009020CC" w:rsidP="009020CC">
            <w:pPr>
              <w:pStyle w:val="NormalIndented"/>
              <w:rPr>
                <w:rFonts w:asciiTheme="minorHAnsi" w:hAnsiTheme="minorHAnsi"/>
              </w:rPr>
            </w:pPr>
            <w:r w:rsidRPr="00880004">
              <w:rPr>
                <w:rFonts w:asciiTheme="minorHAnsi" w:eastAsia="Times New Roman" w:hAnsiTheme="minorHAnsi"/>
                <w:b/>
                <w:iCs/>
                <w:szCs w:val="17"/>
                <w:lang w:eastAsia="en-US"/>
              </w:rPr>
              <w:t>Aid objective</w:t>
            </w:r>
          </w:p>
        </w:tc>
        <w:tc>
          <w:tcPr>
            <w:tcW w:w="1447" w:type="pct"/>
            <w:tcBorders>
              <w:top w:val="single" w:sz="12" w:space="0" w:color="auto"/>
              <w:left w:val="nil"/>
              <w:bottom w:val="nil"/>
              <w:right w:val="nil"/>
            </w:tcBorders>
          </w:tcPr>
          <w:p w14:paraId="461F158D" w14:textId="0BF52A1F" w:rsidR="009020CC" w:rsidRPr="00BE6C6D" w:rsidRDefault="009020CC" w:rsidP="0066365A">
            <w:pPr>
              <w:pStyle w:val="NormalIndented"/>
              <w:rPr>
                <w:rFonts w:asciiTheme="minorHAnsi" w:hAnsiTheme="minorHAnsi"/>
              </w:rPr>
            </w:pPr>
            <w:r>
              <w:rPr>
                <w:rFonts w:asciiTheme="minorHAnsi" w:eastAsia="Times New Roman" w:hAnsiTheme="minorHAnsi"/>
                <w:b/>
                <w:iCs/>
                <w:szCs w:val="17"/>
                <w:lang w:eastAsia="en-US"/>
              </w:rPr>
              <w:t>Performance B</w:t>
            </w:r>
            <w:r w:rsidRPr="00880004">
              <w:rPr>
                <w:rFonts w:asciiTheme="minorHAnsi" w:eastAsia="Times New Roman" w:hAnsiTheme="minorHAnsi"/>
                <w:b/>
                <w:iCs/>
                <w:szCs w:val="17"/>
                <w:lang w:eastAsia="en-US"/>
              </w:rPr>
              <w:t>enchmark</w:t>
            </w:r>
          </w:p>
        </w:tc>
        <w:tc>
          <w:tcPr>
            <w:tcW w:w="1329" w:type="pct"/>
            <w:tcBorders>
              <w:top w:val="single" w:sz="12" w:space="0" w:color="auto"/>
              <w:left w:val="nil"/>
              <w:bottom w:val="nil"/>
              <w:right w:val="nil"/>
            </w:tcBorders>
            <w:hideMark/>
          </w:tcPr>
          <w:p w14:paraId="318AA727" w14:textId="77777777" w:rsidR="009020CC" w:rsidRPr="00BE6C6D" w:rsidRDefault="009020CC" w:rsidP="009020CC">
            <w:pPr>
              <w:pStyle w:val="NormalIndented"/>
              <w:ind w:left="0"/>
              <w:jc w:val="center"/>
              <w:rPr>
                <w:rFonts w:asciiTheme="minorHAnsi" w:hAnsiTheme="minorHAnsi"/>
                <w:b/>
              </w:rPr>
            </w:pPr>
            <w:r w:rsidRPr="00BE6C6D">
              <w:rPr>
                <w:rFonts w:asciiTheme="minorHAnsi" w:hAnsiTheme="minorHAnsi"/>
                <w:b/>
              </w:rPr>
              <w:t>201</w:t>
            </w:r>
            <w:r>
              <w:rPr>
                <w:rFonts w:asciiTheme="minorHAnsi" w:hAnsiTheme="minorHAnsi"/>
                <w:b/>
              </w:rPr>
              <w:t>7</w:t>
            </w:r>
            <w:r w:rsidRPr="00BE6C6D">
              <w:rPr>
                <w:rFonts w:asciiTheme="minorHAnsi" w:hAnsiTheme="minorHAnsi"/>
                <w:b/>
              </w:rPr>
              <w:t>-1</w:t>
            </w:r>
            <w:r>
              <w:rPr>
                <w:rFonts w:asciiTheme="minorHAnsi" w:hAnsiTheme="minorHAnsi"/>
                <w:b/>
              </w:rPr>
              <w:t>8</w:t>
            </w:r>
          </w:p>
        </w:tc>
        <w:tc>
          <w:tcPr>
            <w:tcW w:w="1456" w:type="pct"/>
            <w:tcBorders>
              <w:top w:val="single" w:sz="12" w:space="0" w:color="auto"/>
              <w:left w:val="nil"/>
              <w:bottom w:val="nil"/>
              <w:right w:val="nil"/>
            </w:tcBorders>
            <w:hideMark/>
          </w:tcPr>
          <w:p w14:paraId="2F3B5058" w14:textId="77777777" w:rsidR="009020CC" w:rsidRPr="00BE6C6D" w:rsidRDefault="009020CC" w:rsidP="009020CC">
            <w:pPr>
              <w:pStyle w:val="NormalIndented"/>
              <w:ind w:left="33"/>
              <w:jc w:val="center"/>
              <w:rPr>
                <w:rFonts w:asciiTheme="minorHAnsi" w:hAnsiTheme="minorHAnsi"/>
                <w:b/>
              </w:rPr>
            </w:pPr>
            <w:r w:rsidRPr="00BE6C6D">
              <w:rPr>
                <w:rFonts w:asciiTheme="minorHAnsi" w:hAnsiTheme="minorHAnsi"/>
                <w:b/>
              </w:rPr>
              <w:t>201</w:t>
            </w:r>
            <w:r>
              <w:rPr>
                <w:rFonts w:asciiTheme="minorHAnsi" w:hAnsiTheme="minorHAnsi"/>
                <w:b/>
              </w:rPr>
              <w:t>8</w:t>
            </w:r>
            <w:r w:rsidRPr="00BE6C6D">
              <w:rPr>
                <w:rFonts w:asciiTheme="minorHAnsi" w:hAnsiTheme="minorHAnsi"/>
                <w:b/>
              </w:rPr>
              <w:t>-1</w:t>
            </w:r>
            <w:r>
              <w:rPr>
                <w:rFonts w:asciiTheme="minorHAnsi" w:hAnsiTheme="minorHAnsi"/>
                <w:b/>
              </w:rPr>
              <w:t>9</w:t>
            </w:r>
          </w:p>
        </w:tc>
      </w:tr>
      <w:tr w:rsidR="009020CC" w14:paraId="5013C2DE" w14:textId="77777777" w:rsidTr="007833CF">
        <w:trPr>
          <w:trHeight w:val="730"/>
        </w:trPr>
        <w:tc>
          <w:tcPr>
            <w:tcW w:w="768" w:type="pct"/>
            <w:tcBorders>
              <w:top w:val="nil"/>
              <w:left w:val="nil"/>
              <w:bottom w:val="nil"/>
              <w:right w:val="nil"/>
            </w:tcBorders>
          </w:tcPr>
          <w:p w14:paraId="611D25EC" w14:textId="77777777" w:rsidR="009020CC" w:rsidRPr="00CF6DA0" w:rsidRDefault="009020CC" w:rsidP="009020CC">
            <w:pPr>
              <w:pStyle w:val="NormalIndented"/>
              <w:rPr>
                <w:rFonts w:asciiTheme="minorHAnsi" w:hAnsiTheme="minorHAnsi"/>
                <w:i/>
                <w:color w:val="808080" w:themeColor="background1" w:themeShade="80"/>
                <w:sz w:val="16"/>
                <w:szCs w:val="16"/>
              </w:rPr>
            </w:pPr>
            <w:r w:rsidRPr="00CF6DA0">
              <w:rPr>
                <w:rFonts w:asciiTheme="minorHAnsi" w:eastAsia="Times New Roman" w:hAnsiTheme="minorHAnsi"/>
                <w:iCs/>
                <w:sz w:val="16"/>
                <w:szCs w:val="16"/>
                <w:lang w:eastAsia="en-US"/>
              </w:rPr>
              <w:t>More effective Public Sector Management</w:t>
            </w:r>
          </w:p>
        </w:tc>
        <w:tc>
          <w:tcPr>
            <w:tcW w:w="1447" w:type="pct"/>
            <w:tcBorders>
              <w:top w:val="nil"/>
              <w:left w:val="nil"/>
              <w:bottom w:val="nil"/>
              <w:right w:val="nil"/>
            </w:tcBorders>
          </w:tcPr>
          <w:p w14:paraId="3644AA5F" w14:textId="77777777" w:rsidR="009020CC" w:rsidRPr="00CF6DA0" w:rsidRDefault="005C3222" w:rsidP="009020CC">
            <w:pPr>
              <w:pStyle w:val="NormalIndented"/>
              <w:rPr>
                <w:rFonts w:asciiTheme="minorHAnsi" w:hAnsiTheme="minorHAnsi"/>
                <w:i/>
                <w:color w:val="808080" w:themeColor="background1" w:themeShade="80"/>
                <w:sz w:val="16"/>
                <w:szCs w:val="16"/>
                <w:lang w:eastAsia="en-US"/>
              </w:rPr>
            </w:pPr>
            <w:r w:rsidRPr="00CF6DA0">
              <w:rPr>
                <w:rFonts w:asciiTheme="minorHAnsi" w:eastAsia="Times New Roman" w:hAnsiTheme="minorHAnsi"/>
                <w:iCs/>
                <w:sz w:val="16"/>
                <w:szCs w:val="16"/>
                <w:lang w:eastAsia="en-US"/>
              </w:rPr>
              <w:t>Strengthened financial management capacity and economic governance to maximise the benefits of available revenue</w:t>
            </w:r>
          </w:p>
        </w:tc>
        <w:tc>
          <w:tcPr>
            <w:tcW w:w="1329" w:type="pct"/>
            <w:tcBorders>
              <w:top w:val="nil"/>
              <w:left w:val="nil"/>
              <w:bottom w:val="nil"/>
              <w:right w:val="nil"/>
            </w:tcBorders>
            <w:hideMark/>
          </w:tcPr>
          <w:p w14:paraId="0348DDF9" w14:textId="77777777" w:rsidR="005C3222" w:rsidRPr="00CF6DA0" w:rsidRDefault="005C3222" w:rsidP="005C3222">
            <w:pPr>
              <w:pStyle w:val="NormalIndented"/>
              <w:numPr>
                <w:ilvl w:val="0"/>
                <w:numId w:val="37"/>
              </w:numPr>
              <w:rPr>
                <w:rFonts w:asciiTheme="minorHAnsi" w:eastAsia="Times New Roman" w:hAnsiTheme="minorHAnsi"/>
                <w:iCs/>
                <w:sz w:val="16"/>
                <w:szCs w:val="16"/>
                <w:lang w:eastAsia="en-US"/>
              </w:rPr>
            </w:pPr>
            <w:r w:rsidRPr="00CF6DA0">
              <w:rPr>
                <w:rFonts w:asciiTheme="minorHAnsi" w:eastAsia="Times New Roman" w:hAnsiTheme="minorHAnsi"/>
                <w:iCs/>
                <w:sz w:val="16"/>
                <w:szCs w:val="16"/>
                <w:lang w:eastAsia="en-US"/>
              </w:rPr>
              <w:t>Operational Account – conduct biannual “audits” that lead to recommendations that are implemented appropriately</w:t>
            </w:r>
          </w:p>
          <w:p w14:paraId="1D785CAC" w14:textId="77777777" w:rsidR="005C3222" w:rsidRPr="00CF6DA0" w:rsidRDefault="005C3222" w:rsidP="005C3222">
            <w:pPr>
              <w:pStyle w:val="NormalIndented"/>
              <w:numPr>
                <w:ilvl w:val="0"/>
                <w:numId w:val="37"/>
              </w:numPr>
              <w:rPr>
                <w:rFonts w:asciiTheme="minorHAnsi" w:eastAsia="Times New Roman" w:hAnsiTheme="minorHAnsi"/>
                <w:iCs/>
                <w:sz w:val="16"/>
                <w:szCs w:val="16"/>
                <w:lang w:eastAsia="en-US"/>
              </w:rPr>
            </w:pPr>
            <w:r w:rsidRPr="00CF6DA0">
              <w:rPr>
                <w:rFonts w:asciiTheme="minorHAnsi" w:eastAsia="Times New Roman" w:hAnsiTheme="minorHAnsi"/>
                <w:iCs/>
                <w:sz w:val="16"/>
                <w:szCs w:val="16"/>
                <w:lang w:eastAsia="en-US"/>
              </w:rPr>
              <w:t>Procurement – IPA tender commenced, selected and operational; finalised procurement guidelines</w:t>
            </w:r>
          </w:p>
          <w:p w14:paraId="2D87E357" w14:textId="77777777" w:rsidR="009020CC" w:rsidRPr="00CF6DA0" w:rsidRDefault="005C3222" w:rsidP="005C3222">
            <w:pPr>
              <w:pStyle w:val="NormalIndented"/>
              <w:numPr>
                <w:ilvl w:val="0"/>
                <w:numId w:val="37"/>
              </w:numPr>
              <w:rPr>
                <w:rFonts w:asciiTheme="minorHAnsi" w:hAnsiTheme="minorHAnsi"/>
                <w:i/>
                <w:color w:val="808080" w:themeColor="background1" w:themeShade="80"/>
                <w:sz w:val="16"/>
                <w:szCs w:val="16"/>
                <w:lang w:eastAsia="en-US"/>
              </w:rPr>
            </w:pPr>
            <w:r w:rsidRPr="00CF6DA0">
              <w:rPr>
                <w:rFonts w:asciiTheme="minorHAnsi" w:eastAsia="Times New Roman" w:hAnsiTheme="minorHAnsi"/>
                <w:iCs/>
                <w:sz w:val="16"/>
                <w:szCs w:val="16"/>
                <w:lang w:eastAsia="en-US"/>
              </w:rPr>
              <w:t>Provision of technical advice to support public financial management that meets partner government expectations</w:t>
            </w:r>
          </w:p>
        </w:tc>
        <w:tc>
          <w:tcPr>
            <w:tcW w:w="1456" w:type="pct"/>
            <w:tcBorders>
              <w:top w:val="nil"/>
              <w:left w:val="nil"/>
              <w:bottom w:val="nil"/>
              <w:right w:val="nil"/>
            </w:tcBorders>
            <w:hideMark/>
          </w:tcPr>
          <w:p w14:paraId="51295B91" w14:textId="77777777" w:rsidR="009020CC" w:rsidRPr="00CF6DA0" w:rsidRDefault="009020CC" w:rsidP="009020CC">
            <w:pPr>
              <w:pStyle w:val="NormalIndented"/>
              <w:numPr>
                <w:ilvl w:val="0"/>
                <w:numId w:val="37"/>
              </w:numPr>
              <w:rPr>
                <w:rFonts w:asciiTheme="minorHAnsi" w:eastAsia="Times New Roman" w:hAnsiTheme="minorHAnsi"/>
                <w:iCs/>
                <w:sz w:val="16"/>
                <w:szCs w:val="16"/>
                <w:lang w:eastAsia="en-US"/>
              </w:rPr>
            </w:pPr>
            <w:r w:rsidRPr="00CF6DA0">
              <w:rPr>
                <w:rFonts w:asciiTheme="minorHAnsi" w:eastAsia="Times New Roman" w:hAnsiTheme="minorHAnsi"/>
                <w:iCs/>
                <w:sz w:val="16"/>
                <w:szCs w:val="16"/>
                <w:lang w:eastAsia="en-US"/>
              </w:rPr>
              <w:t>Operational Account – conduct biannual “audits” that lead to measurable improvements in execution of funds</w:t>
            </w:r>
          </w:p>
          <w:p w14:paraId="3AAAB726" w14:textId="77777777" w:rsidR="009020CC" w:rsidRPr="00CF6DA0" w:rsidRDefault="009020CC" w:rsidP="009020CC">
            <w:pPr>
              <w:pStyle w:val="NormalIndented"/>
              <w:numPr>
                <w:ilvl w:val="0"/>
                <w:numId w:val="37"/>
              </w:numPr>
              <w:rPr>
                <w:rFonts w:asciiTheme="minorHAnsi" w:eastAsia="Times New Roman" w:hAnsiTheme="minorHAnsi"/>
                <w:iCs/>
                <w:sz w:val="16"/>
                <w:szCs w:val="16"/>
                <w:lang w:eastAsia="en-US"/>
              </w:rPr>
            </w:pPr>
            <w:r w:rsidRPr="00CF6DA0">
              <w:rPr>
                <w:rFonts w:asciiTheme="minorHAnsi" w:eastAsia="Times New Roman" w:hAnsiTheme="minorHAnsi"/>
                <w:iCs/>
                <w:sz w:val="16"/>
                <w:szCs w:val="16"/>
                <w:lang w:eastAsia="en-US"/>
              </w:rPr>
              <w:t>Procurement – timely, transparent procurement and reporting from IPA</w:t>
            </w:r>
          </w:p>
          <w:p w14:paraId="4240EEBE" w14:textId="77777777" w:rsidR="009020CC" w:rsidRPr="00CF6DA0" w:rsidRDefault="009020CC" w:rsidP="009020CC">
            <w:pPr>
              <w:pStyle w:val="NormalIndented"/>
              <w:numPr>
                <w:ilvl w:val="0"/>
                <w:numId w:val="37"/>
              </w:numPr>
              <w:rPr>
                <w:rFonts w:asciiTheme="minorHAnsi" w:hAnsiTheme="minorHAnsi"/>
                <w:i/>
                <w:color w:val="808080" w:themeColor="background1" w:themeShade="80"/>
                <w:sz w:val="16"/>
                <w:szCs w:val="16"/>
                <w:lang w:eastAsia="en-US"/>
              </w:rPr>
            </w:pPr>
            <w:r w:rsidRPr="00CF6DA0">
              <w:rPr>
                <w:rFonts w:asciiTheme="minorHAnsi" w:eastAsia="Times New Roman" w:hAnsiTheme="minorHAnsi"/>
                <w:iCs/>
                <w:sz w:val="16"/>
                <w:szCs w:val="16"/>
                <w:lang w:eastAsia="en-US"/>
              </w:rPr>
              <w:t>Financial Instructions – utilisation of Instructions to improve operations</w:t>
            </w:r>
          </w:p>
        </w:tc>
      </w:tr>
      <w:tr w:rsidR="009D7767" w14:paraId="7A96A423" w14:textId="77777777" w:rsidTr="007833CF">
        <w:trPr>
          <w:trHeight w:val="730"/>
        </w:trPr>
        <w:tc>
          <w:tcPr>
            <w:tcW w:w="768" w:type="pct"/>
            <w:tcBorders>
              <w:top w:val="nil"/>
              <w:left w:val="nil"/>
              <w:bottom w:val="nil"/>
              <w:right w:val="nil"/>
            </w:tcBorders>
          </w:tcPr>
          <w:p w14:paraId="2127A24E" w14:textId="77777777" w:rsidR="009D7767" w:rsidRPr="00CF6DA0" w:rsidRDefault="009D7767" w:rsidP="009D7767">
            <w:pPr>
              <w:pStyle w:val="NormalIndented"/>
              <w:rPr>
                <w:rFonts w:eastAsia="Times New Roman"/>
                <w:iCs/>
                <w:sz w:val="16"/>
                <w:szCs w:val="16"/>
              </w:rPr>
            </w:pPr>
            <w:r w:rsidRPr="00CF6DA0">
              <w:rPr>
                <w:rFonts w:asciiTheme="minorHAnsi" w:eastAsia="Times New Roman" w:hAnsiTheme="minorHAnsi"/>
                <w:iCs/>
                <w:sz w:val="16"/>
                <w:szCs w:val="16"/>
                <w:lang w:eastAsia="en-US"/>
              </w:rPr>
              <w:t>Investing in Infrastructure</w:t>
            </w:r>
          </w:p>
        </w:tc>
        <w:tc>
          <w:tcPr>
            <w:tcW w:w="1447" w:type="pct"/>
            <w:tcBorders>
              <w:top w:val="nil"/>
              <w:left w:val="nil"/>
              <w:bottom w:val="nil"/>
              <w:right w:val="nil"/>
            </w:tcBorders>
          </w:tcPr>
          <w:p w14:paraId="088A5425" w14:textId="77777777" w:rsidR="009D7767" w:rsidRPr="00CF6DA0" w:rsidRDefault="009D7767" w:rsidP="009D7767">
            <w:pPr>
              <w:pStyle w:val="NormalIndented"/>
              <w:rPr>
                <w:rFonts w:eastAsia="Times New Roman"/>
                <w:iCs/>
                <w:sz w:val="16"/>
                <w:szCs w:val="16"/>
              </w:rPr>
            </w:pPr>
            <w:r w:rsidRPr="00CF6DA0">
              <w:rPr>
                <w:rFonts w:asciiTheme="minorHAnsi" w:eastAsia="Times New Roman" w:hAnsiTheme="minorHAnsi"/>
                <w:iCs/>
                <w:sz w:val="16"/>
                <w:szCs w:val="16"/>
                <w:lang w:eastAsia="en-US"/>
              </w:rPr>
              <w:t>Construction and maintenance of economic infrastructure to support human development and foster commerce and trade</w:t>
            </w:r>
          </w:p>
        </w:tc>
        <w:tc>
          <w:tcPr>
            <w:tcW w:w="1329" w:type="pct"/>
            <w:tcBorders>
              <w:top w:val="nil"/>
              <w:left w:val="nil"/>
              <w:bottom w:val="nil"/>
              <w:right w:val="nil"/>
            </w:tcBorders>
          </w:tcPr>
          <w:p w14:paraId="3DCABFB2" w14:textId="23BC5AD4" w:rsidR="009D7767" w:rsidRPr="00CF6DA0" w:rsidRDefault="009D7767" w:rsidP="009D7767">
            <w:pPr>
              <w:pStyle w:val="NormalIndented"/>
              <w:numPr>
                <w:ilvl w:val="0"/>
                <w:numId w:val="37"/>
              </w:numPr>
              <w:rPr>
                <w:rFonts w:asciiTheme="minorHAnsi" w:eastAsia="Times New Roman" w:hAnsiTheme="minorHAnsi"/>
                <w:iCs/>
                <w:sz w:val="16"/>
                <w:szCs w:val="16"/>
                <w:lang w:eastAsia="en-US"/>
              </w:rPr>
            </w:pPr>
            <w:r w:rsidRPr="00CF6DA0">
              <w:rPr>
                <w:rFonts w:asciiTheme="minorHAnsi" w:eastAsia="Times New Roman" w:hAnsiTheme="minorHAnsi"/>
                <w:iCs/>
                <w:sz w:val="16"/>
                <w:szCs w:val="16"/>
                <w:lang w:eastAsia="en-US"/>
              </w:rPr>
              <w:t xml:space="preserve">Electricity supply – delivery, installation and effective operation of </w:t>
            </w:r>
            <w:r w:rsidR="00FF31C9">
              <w:rPr>
                <w:rFonts w:asciiTheme="minorHAnsi" w:eastAsia="Times New Roman" w:hAnsiTheme="minorHAnsi"/>
                <w:iCs/>
                <w:sz w:val="16"/>
                <w:szCs w:val="16"/>
                <w:lang w:eastAsia="en-US"/>
              </w:rPr>
              <w:t xml:space="preserve">two </w:t>
            </w:r>
            <w:r w:rsidRPr="00CF6DA0">
              <w:rPr>
                <w:rFonts w:asciiTheme="minorHAnsi" w:eastAsia="Times New Roman" w:hAnsiTheme="minorHAnsi"/>
                <w:iCs/>
                <w:sz w:val="16"/>
                <w:szCs w:val="16"/>
                <w:lang w:eastAsia="en-US"/>
              </w:rPr>
              <w:t>generators by NUC</w:t>
            </w:r>
          </w:p>
          <w:p w14:paraId="2628E89B" w14:textId="77777777" w:rsidR="00264F02" w:rsidRPr="00CF6DA0" w:rsidRDefault="00264F02" w:rsidP="00264F02">
            <w:pPr>
              <w:pStyle w:val="NormalIndented"/>
              <w:numPr>
                <w:ilvl w:val="0"/>
                <w:numId w:val="37"/>
              </w:numPr>
              <w:rPr>
                <w:rFonts w:asciiTheme="minorHAnsi" w:eastAsia="Times New Roman" w:hAnsiTheme="minorHAnsi"/>
                <w:iCs/>
                <w:sz w:val="16"/>
                <w:szCs w:val="16"/>
                <w:lang w:eastAsia="en-US"/>
              </w:rPr>
            </w:pPr>
            <w:r w:rsidRPr="00CF6DA0">
              <w:rPr>
                <w:rFonts w:asciiTheme="minorHAnsi" w:eastAsia="Times New Roman" w:hAnsiTheme="minorHAnsi"/>
                <w:iCs/>
                <w:sz w:val="16"/>
                <w:szCs w:val="16"/>
                <w:lang w:eastAsia="en-US"/>
              </w:rPr>
              <w:t xml:space="preserve">Port Redevelopment - Nauru Port Reform and Redevelopment Project works commence, with fit for purpose design </w:t>
            </w:r>
          </w:p>
          <w:p w14:paraId="4007DEB4" w14:textId="01A38C0E" w:rsidR="0066365A" w:rsidRDefault="00264F02" w:rsidP="00264F02">
            <w:pPr>
              <w:pStyle w:val="NormalIndented"/>
              <w:numPr>
                <w:ilvl w:val="0"/>
                <w:numId w:val="37"/>
              </w:numPr>
              <w:rPr>
                <w:rFonts w:asciiTheme="minorHAnsi" w:eastAsia="Times New Roman" w:hAnsiTheme="minorHAnsi"/>
                <w:iCs/>
                <w:sz w:val="16"/>
                <w:szCs w:val="16"/>
                <w:lang w:eastAsia="en-US"/>
              </w:rPr>
            </w:pPr>
            <w:r w:rsidRPr="00CF6DA0">
              <w:rPr>
                <w:rFonts w:asciiTheme="minorHAnsi" w:eastAsia="Times New Roman" w:hAnsiTheme="minorHAnsi"/>
                <w:iCs/>
                <w:sz w:val="16"/>
                <w:szCs w:val="16"/>
                <w:lang w:eastAsia="en-US"/>
              </w:rPr>
              <w:t>Indoor Sports Facility – design finalised and approved, construction commences</w:t>
            </w:r>
          </w:p>
          <w:p w14:paraId="0A704D17" w14:textId="275D11A6" w:rsidR="00264F02" w:rsidRPr="00CF6DA0" w:rsidRDefault="0066365A" w:rsidP="00264F02">
            <w:pPr>
              <w:pStyle w:val="NormalIndented"/>
              <w:numPr>
                <w:ilvl w:val="0"/>
                <w:numId w:val="37"/>
              </w:numPr>
              <w:rPr>
                <w:rFonts w:asciiTheme="minorHAnsi" w:eastAsia="Times New Roman" w:hAnsiTheme="minorHAnsi"/>
                <w:iCs/>
                <w:sz w:val="16"/>
                <w:szCs w:val="16"/>
                <w:lang w:eastAsia="en-US"/>
              </w:rPr>
            </w:pPr>
            <w:r>
              <w:rPr>
                <w:rFonts w:asciiTheme="minorHAnsi" w:eastAsia="Times New Roman" w:hAnsiTheme="minorHAnsi"/>
                <w:iCs/>
                <w:sz w:val="16"/>
                <w:szCs w:val="16"/>
                <w:lang w:eastAsia="en-US"/>
              </w:rPr>
              <w:t>Community sports facilities refurbished</w:t>
            </w:r>
          </w:p>
          <w:p w14:paraId="114A2979" w14:textId="77777777" w:rsidR="009D7767" w:rsidRPr="00CF6DA0" w:rsidRDefault="009D7767" w:rsidP="00264F02">
            <w:pPr>
              <w:pStyle w:val="NormalIndented"/>
              <w:numPr>
                <w:ilvl w:val="0"/>
                <w:numId w:val="37"/>
              </w:numPr>
              <w:rPr>
                <w:rFonts w:asciiTheme="minorHAnsi" w:eastAsia="Times New Roman" w:hAnsiTheme="minorHAnsi"/>
                <w:iCs/>
                <w:sz w:val="16"/>
                <w:szCs w:val="16"/>
                <w:lang w:eastAsia="en-US"/>
              </w:rPr>
            </w:pPr>
            <w:r w:rsidRPr="00CF6DA0">
              <w:rPr>
                <w:rFonts w:asciiTheme="minorHAnsi" w:eastAsia="Times New Roman" w:hAnsiTheme="minorHAnsi"/>
                <w:iCs/>
                <w:sz w:val="16"/>
                <w:szCs w:val="16"/>
                <w:lang w:eastAsia="en-US"/>
              </w:rPr>
              <w:t xml:space="preserve">Learning Village - construction completed; higher education agencies finalise course curriculums for forward teaching period; and library established </w:t>
            </w:r>
          </w:p>
        </w:tc>
        <w:tc>
          <w:tcPr>
            <w:tcW w:w="1456" w:type="pct"/>
            <w:tcBorders>
              <w:top w:val="nil"/>
              <w:left w:val="nil"/>
              <w:bottom w:val="nil"/>
              <w:right w:val="nil"/>
            </w:tcBorders>
          </w:tcPr>
          <w:p w14:paraId="6525D0AF" w14:textId="61C44DAC" w:rsidR="009D7767" w:rsidRPr="00CF6DA0" w:rsidRDefault="009D7767" w:rsidP="00574C83">
            <w:pPr>
              <w:pStyle w:val="NormalIndented"/>
              <w:numPr>
                <w:ilvl w:val="0"/>
                <w:numId w:val="37"/>
              </w:numPr>
              <w:rPr>
                <w:rFonts w:asciiTheme="minorHAnsi" w:eastAsia="Times New Roman" w:hAnsiTheme="minorHAnsi"/>
                <w:iCs/>
                <w:sz w:val="16"/>
                <w:szCs w:val="16"/>
                <w:lang w:eastAsia="en-US"/>
              </w:rPr>
            </w:pPr>
            <w:r w:rsidRPr="00CF6DA0">
              <w:rPr>
                <w:rFonts w:asciiTheme="minorHAnsi" w:eastAsia="Times New Roman" w:hAnsiTheme="minorHAnsi"/>
                <w:iCs/>
                <w:sz w:val="16"/>
                <w:szCs w:val="16"/>
                <w:lang w:eastAsia="en-US"/>
              </w:rPr>
              <w:t xml:space="preserve">Electricity supply - effective maintenance of generators; documented reliable power supply; and proposals submitted </w:t>
            </w:r>
            <w:r w:rsidR="00CE7AAB">
              <w:rPr>
                <w:rFonts w:asciiTheme="minorHAnsi" w:eastAsia="Times New Roman" w:hAnsiTheme="minorHAnsi"/>
                <w:iCs/>
                <w:sz w:val="16"/>
                <w:szCs w:val="16"/>
                <w:lang w:eastAsia="en-US"/>
              </w:rPr>
              <w:t xml:space="preserve">to NUC </w:t>
            </w:r>
            <w:r w:rsidRPr="00CF6DA0">
              <w:rPr>
                <w:rFonts w:asciiTheme="minorHAnsi" w:eastAsia="Times New Roman" w:hAnsiTheme="minorHAnsi"/>
                <w:iCs/>
                <w:sz w:val="16"/>
                <w:szCs w:val="16"/>
                <w:lang w:eastAsia="en-US"/>
              </w:rPr>
              <w:t xml:space="preserve">for solar farm installation </w:t>
            </w:r>
          </w:p>
          <w:p w14:paraId="76C3BF95" w14:textId="77777777" w:rsidR="00264F02" w:rsidRPr="00CF6DA0" w:rsidRDefault="00264F02" w:rsidP="00264F02">
            <w:pPr>
              <w:pStyle w:val="NormalIndented"/>
              <w:numPr>
                <w:ilvl w:val="0"/>
                <w:numId w:val="37"/>
              </w:numPr>
              <w:rPr>
                <w:rFonts w:asciiTheme="minorHAnsi" w:eastAsia="Times New Roman" w:hAnsiTheme="minorHAnsi"/>
                <w:iCs/>
                <w:sz w:val="16"/>
                <w:szCs w:val="16"/>
                <w:lang w:eastAsia="en-US"/>
              </w:rPr>
            </w:pPr>
            <w:r w:rsidRPr="00CF6DA0">
              <w:rPr>
                <w:rFonts w:asciiTheme="minorHAnsi" w:eastAsia="Times New Roman" w:hAnsiTheme="minorHAnsi"/>
                <w:iCs/>
                <w:sz w:val="16"/>
                <w:szCs w:val="16"/>
                <w:lang w:eastAsia="en-US"/>
              </w:rPr>
              <w:t>Port Redevelopment - Progress on redevelopment works on track; with improved port operations</w:t>
            </w:r>
          </w:p>
          <w:p w14:paraId="4E99BA8D" w14:textId="77777777" w:rsidR="00264F02" w:rsidRPr="00CF6DA0" w:rsidRDefault="00264F02" w:rsidP="00264F02">
            <w:pPr>
              <w:pStyle w:val="NormalIndented"/>
              <w:numPr>
                <w:ilvl w:val="0"/>
                <w:numId w:val="37"/>
              </w:numPr>
              <w:rPr>
                <w:rFonts w:asciiTheme="minorHAnsi" w:eastAsia="Times New Roman" w:hAnsiTheme="minorHAnsi"/>
                <w:iCs/>
                <w:sz w:val="16"/>
                <w:szCs w:val="16"/>
                <w:lang w:eastAsia="en-US"/>
              </w:rPr>
            </w:pPr>
            <w:r w:rsidRPr="00CF6DA0">
              <w:rPr>
                <w:rFonts w:asciiTheme="minorHAnsi" w:eastAsia="Times New Roman" w:hAnsiTheme="minorHAnsi"/>
                <w:iCs/>
                <w:sz w:val="16"/>
                <w:szCs w:val="16"/>
                <w:lang w:eastAsia="en-US"/>
              </w:rPr>
              <w:t>Indoor Sports Facility – managed, maintained and well utilised by men, women, boys and girls and disadvantaged groups</w:t>
            </w:r>
          </w:p>
        </w:tc>
      </w:tr>
      <w:tr w:rsidR="00B22B04" w:rsidRPr="008A1A3C" w14:paraId="2E76B1C0" w14:textId="77777777" w:rsidTr="007833CF">
        <w:trPr>
          <w:trHeight w:val="455"/>
        </w:trPr>
        <w:tc>
          <w:tcPr>
            <w:tcW w:w="768" w:type="pct"/>
            <w:tcBorders>
              <w:top w:val="nil"/>
              <w:left w:val="nil"/>
              <w:bottom w:val="nil"/>
              <w:right w:val="nil"/>
            </w:tcBorders>
          </w:tcPr>
          <w:p w14:paraId="6E9E2C15" w14:textId="56BEBF19" w:rsidR="00B22B04" w:rsidRPr="00CF6DA0" w:rsidRDefault="00B22B04" w:rsidP="00B22B04">
            <w:pPr>
              <w:pStyle w:val="NormalIndented"/>
              <w:rPr>
                <w:rFonts w:eastAsia="Times New Roman"/>
                <w:iCs/>
                <w:sz w:val="16"/>
                <w:szCs w:val="16"/>
              </w:rPr>
            </w:pPr>
            <w:r w:rsidRPr="00CF6DA0">
              <w:rPr>
                <w:rFonts w:asciiTheme="minorHAnsi" w:eastAsia="Times New Roman" w:hAnsiTheme="minorHAnsi"/>
                <w:iCs/>
                <w:sz w:val="16"/>
                <w:szCs w:val="16"/>
                <w:lang w:eastAsia="en-US"/>
              </w:rPr>
              <w:t>Supporting Human Development (Health)</w:t>
            </w:r>
          </w:p>
        </w:tc>
        <w:tc>
          <w:tcPr>
            <w:tcW w:w="1447" w:type="pct"/>
            <w:tcBorders>
              <w:top w:val="nil"/>
              <w:left w:val="nil"/>
              <w:bottom w:val="nil"/>
              <w:right w:val="nil"/>
            </w:tcBorders>
          </w:tcPr>
          <w:p w14:paraId="450E1432" w14:textId="6EB605BC" w:rsidR="00B22B04" w:rsidRPr="00CF6DA0" w:rsidRDefault="00B22B04" w:rsidP="00B22B04">
            <w:pPr>
              <w:pStyle w:val="NormalIndented"/>
              <w:rPr>
                <w:rFonts w:eastAsia="Times New Roman"/>
                <w:iCs/>
                <w:sz w:val="16"/>
                <w:szCs w:val="16"/>
              </w:rPr>
            </w:pPr>
            <w:r w:rsidRPr="00CF6DA0">
              <w:rPr>
                <w:rFonts w:asciiTheme="minorHAnsi" w:eastAsia="Times New Roman" w:hAnsiTheme="minorHAnsi"/>
                <w:iCs/>
                <w:sz w:val="16"/>
                <w:szCs w:val="16"/>
                <w:lang w:eastAsia="en-US"/>
              </w:rPr>
              <w:t>Systems and services are responsive to people’s health needs through: (i) strengthening health system management; (ii) supporting primary health care; (iii) curative care; and (iv) support services and networking</w:t>
            </w:r>
          </w:p>
        </w:tc>
        <w:tc>
          <w:tcPr>
            <w:tcW w:w="1329" w:type="pct"/>
            <w:tcBorders>
              <w:top w:val="nil"/>
              <w:left w:val="nil"/>
              <w:bottom w:val="nil"/>
              <w:right w:val="nil"/>
            </w:tcBorders>
          </w:tcPr>
          <w:p w14:paraId="5806ED77" w14:textId="387AB968" w:rsidR="00B22B04" w:rsidRPr="00CF6DA0" w:rsidRDefault="00B22B04" w:rsidP="00B22B04">
            <w:pPr>
              <w:pStyle w:val="NormalIndented"/>
              <w:numPr>
                <w:ilvl w:val="0"/>
                <w:numId w:val="37"/>
              </w:numPr>
              <w:rPr>
                <w:rFonts w:asciiTheme="minorHAnsi" w:eastAsia="Times New Roman" w:hAnsiTheme="minorHAnsi"/>
                <w:iCs/>
                <w:sz w:val="16"/>
                <w:szCs w:val="16"/>
                <w:lang w:eastAsia="en-US"/>
              </w:rPr>
            </w:pPr>
            <w:r w:rsidRPr="00CF6DA0">
              <w:rPr>
                <w:rFonts w:asciiTheme="minorHAnsi" w:eastAsia="Times New Roman" w:hAnsiTheme="minorHAnsi"/>
                <w:iCs/>
                <w:sz w:val="16"/>
                <w:szCs w:val="16"/>
                <w:lang w:eastAsia="en-US"/>
              </w:rPr>
              <w:t>O</w:t>
            </w:r>
            <w:r w:rsidR="00781C66">
              <w:rPr>
                <w:rFonts w:asciiTheme="minorHAnsi" w:eastAsia="Times New Roman" w:hAnsiTheme="minorHAnsi"/>
                <w:iCs/>
                <w:sz w:val="16"/>
                <w:szCs w:val="16"/>
                <w:lang w:eastAsia="en-US"/>
              </w:rPr>
              <w:t xml:space="preserve">perational </w:t>
            </w:r>
            <w:r w:rsidRPr="00CF6DA0">
              <w:rPr>
                <w:rFonts w:asciiTheme="minorHAnsi" w:eastAsia="Times New Roman" w:hAnsiTheme="minorHAnsi"/>
                <w:iCs/>
                <w:sz w:val="16"/>
                <w:szCs w:val="16"/>
                <w:lang w:eastAsia="en-US"/>
              </w:rPr>
              <w:t>A</w:t>
            </w:r>
            <w:r w:rsidR="00781C66">
              <w:rPr>
                <w:rFonts w:asciiTheme="minorHAnsi" w:eastAsia="Times New Roman" w:hAnsiTheme="minorHAnsi"/>
                <w:iCs/>
                <w:sz w:val="16"/>
                <w:szCs w:val="16"/>
                <w:lang w:eastAsia="en-US"/>
              </w:rPr>
              <w:t>ccount</w:t>
            </w:r>
            <w:r w:rsidRPr="00CF6DA0">
              <w:rPr>
                <w:rFonts w:asciiTheme="minorHAnsi" w:eastAsia="Times New Roman" w:hAnsiTheme="minorHAnsi"/>
                <w:iCs/>
                <w:sz w:val="16"/>
                <w:szCs w:val="16"/>
                <w:lang w:eastAsia="en-US"/>
              </w:rPr>
              <w:t xml:space="preserve"> – funds administered appropriately on an agreed basis for activities to support the Health Annual Operational Plan</w:t>
            </w:r>
          </w:p>
          <w:p w14:paraId="1CD0C4ED" w14:textId="77777777" w:rsidR="00B22B04" w:rsidRPr="00CF6DA0" w:rsidRDefault="00B22B04" w:rsidP="00B22B04">
            <w:pPr>
              <w:pStyle w:val="NormalIndented"/>
              <w:numPr>
                <w:ilvl w:val="0"/>
                <w:numId w:val="37"/>
              </w:numPr>
              <w:rPr>
                <w:rFonts w:asciiTheme="minorHAnsi" w:eastAsia="Times New Roman" w:hAnsiTheme="minorHAnsi"/>
                <w:iCs/>
                <w:sz w:val="16"/>
                <w:szCs w:val="16"/>
                <w:lang w:eastAsia="en-US"/>
              </w:rPr>
            </w:pPr>
            <w:r w:rsidRPr="00CF6DA0">
              <w:rPr>
                <w:rFonts w:asciiTheme="minorHAnsi" w:eastAsia="Times New Roman" w:hAnsiTheme="minorHAnsi"/>
                <w:iCs/>
                <w:sz w:val="16"/>
                <w:szCs w:val="16"/>
                <w:lang w:eastAsia="en-US"/>
              </w:rPr>
              <w:t>Hospital facilities – implementations of Masterplan Review recommendations commence</w:t>
            </w:r>
          </w:p>
          <w:p w14:paraId="482991AA" w14:textId="101F71A5" w:rsidR="00B22B04" w:rsidRPr="00CF6DA0" w:rsidRDefault="00B22B04" w:rsidP="00B22B04">
            <w:pPr>
              <w:pStyle w:val="NormalIndented"/>
              <w:numPr>
                <w:ilvl w:val="0"/>
                <w:numId w:val="37"/>
              </w:numPr>
              <w:rPr>
                <w:rFonts w:eastAsia="Times New Roman"/>
                <w:iCs/>
                <w:sz w:val="16"/>
                <w:szCs w:val="16"/>
              </w:rPr>
            </w:pPr>
            <w:r w:rsidRPr="00CF6DA0">
              <w:rPr>
                <w:rFonts w:asciiTheme="minorHAnsi" w:eastAsia="Times New Roman" w:hAnsiTheme="minorHAnsi"/>
                <w:iCs/>
                <w:sz w:val="16"/>
                <w:szCs w:val="16"/>
                <w:lang w:eastAsia="en-US"/>
              </w:rPr>
              <w:t>Review – DFAT review and redesign of the health investment completed and implemented</w:t>
            </w:r>
          </w:p>
        </w:tc>
        <w:tc>
          <w:tcPr>
            <w:tcW w:w="1456" w:type="pct"/>
            <w:tcBorders>
              <w:top w:val="nil"/>
              <w:left w:val="nil"/>
              <w:bottom w:val="nil"/>
              <w:right w:val="nil"/>
            </w:tcBorders>
          </w:tcPr>
          <w:p w14:paraId="21578D9A" w14:textId="2C809170" w:rsidR="00B22B04" w:rsidRPr="00CF6DA0" w:rsidRDefault="00B22B04" w:rsidP="00B22B04">
            <w:pPr>
              <w:pStyle w:val="NormalIndented"/>
              <w:numPr>
                <w:ilvl w:val="0"/>
                <w:numId w:val="37"/>
              </w:numPr>
              <w:rPr>
                <w:rFonts w:asciiTheme="minorHAnsi" w:eastAsia="Times New Roman" w:hAnsiTheme="minorHAnsi"/>
                <w:iCs/>
                <w:sz w:val="16"/>
                <w:szCs w:val="16"/>
                <w:lang w:eastAsia="en-US"/>
              </w:rPr>
            </w:pPr>
            <w:r w:rsidRPr="00CF6DA0">
              <w:rPr>
                <w:rFonts w:asciiTheme="minorHAnsi" w:eastAsia="Times New Roman" w:hAnsiTheme="minorHAnsi"/>
                <w:iCs/>
                <w:sz w:val="16"/>
                <w:szCs w:val="16"/>
                <w:lang w:eastAsia="en-US"/>
              </w:rPr>
              <w:t>O</w:t>
            </w:r>
            <w:r w:rsidR="00781C66">
              <w:rPr>
                <w:rFonts w:asciiTheme="minorHAnsi" w:eastAsia="Times New Roman" w:hAnsiTheme="minorHAnsi"/>
                <w:iCs/>
                <w:sz w:val="16"/>
                <w:szCs w:val="16"/>
                <w:lang w:eastAsia="en-US"/>
              </w:rPr>
              <w:t xml:space="preserve">perational </w:t>
            </w:r>
            <w:r w:rsidRPr="00CF6DA0">
              <w:rPr>
                <w:rFonts w:asciiTheme="minorHAnsi" w:eastAsia="Times New Roman" w:hAnsiTheme="minorHAnsi"/>
                <w:iCs/>
                <w:sz w:val="16"/>
                <w:szCs w:val="16"/>
                <w:lang w:eastAsia="en-US"/>
              </w:rPr>
              <w:t>A</w:t>
            </w:r>
            <w:r w:rsidR="00781C66">
              <w:rPr>
                <w:rFonts w:asciiTheme="minorHAnsi" w:eastAsia="Times New Roman" w:hAnsiTheme="minorHAnsi"/>
                <w:iCs/>
                <w:sz w:val="16"/>
                <w:szCs w:val="16"/>
                <w:lang w:eastAsia="en-US"/>
              </w:rPr>
              <w:t>ccount</w:t>
            </w:r>
            <w:r w:rsidRPr="00CF6DA0">
              <w:rPr>
                <w:rFonts w:asciiTheme="minorHAnsi" w:eastAsia="Times New Roman" w:hAnsiTheme="minorHAnsi"/>
                <w:iCs/>
                <w:sz w:val="16"/>
                <w:szCs w:val="16"/>
                <w:lang w:eastAsia="en-US"/>
              </w:rPr>
              <w:t xml:space="preserve"> – funds administered appropriately on an agreed basis for activities to support the Health Annual Operational Plan</w:t>
            </w:r>
          </w:p>
          <w:p w14:paraId="7DC5F5E1" w14:textId="36E00B70" w:rsidR="00B22B04" w:rsidRPr="00CF6DA0" w:rsidRDefault="00B22B04" w:rsidP="00B22B04">
            <w:pPr>
              <w:pStyle w:val="NormalIndented"/>
              <w:numPr>
                <w:ilvl w:val="0"/>
                <w:numId w:val="37"/>
              </w:numPr>
              <w:rPr>
                <w:rFonts w:eastAsia="Times New Roman"/>
                <w:iCs/>
                <w:sz w:val="16"/>
                <w:szCs w:val="16"/>
              </w:rPr>
            </w:pPr>
            <w:r w:rsidRPr="00CF6DA0">
              <w:rPr>
                <w:rFonts w:asciiTheme="minorHAnsi" w:eastAsia="Times New Roman" w:hAnsiTheme="minorHAnsi"/>
                <w:iCs/>
                <w:sz w:val="16"/>
                <w:szCs w:val="16"/>
                <w:lang w:eastAsia="en-US"/>
              </w:rPr>
              <w:t>Improve the health sector response and services to victims of domestic violence and establish child protection services in communities</w:t>
            </w:r>
          </w:p>
        </w:tc>
      </w:tr>
      <w:tr w:rsidR="00B22B04" w:rsidRPr="008A1A3C" w14:paraId="4E9CA9B0" w14:textId="77777777" w:rsidTr="007833CF">
        <w:trPr>
          <w:trHeight w:val="455"/>
        </w:trPr>
        <w:tc>
          <w:tcPr>
            <w:tcW w:w="768" w:type="pct"/>
            <w:tcBorders>
              <w:top w:val="nil"/>
              <w:left w:val="nil"/>
              <w:bottom w:val="nil"/>
              <w:right w:val="nil"/>
            </w:tcBorders>
          </w:tcPr>
          <w:p w14:paraId="0023C8A8" w14:textId="77777777" w:rsidR="00B22B04" w:rsidRPr="00CF6DA0" w:rsidRDefault="00B22B04" w:rsidP="00B22B04">
            <w:pPr>
              <w:pStyle w:val="NormalIndented"/>
              <w:rPr>
                <w:rFonts w:asciiTheme="minorHAnsi" w:eastAsia="Times New Roman" w:hAnsiTheme="minorHAnsi"/>
                <w:iCs/>
                <w:sz w:val="16"/>
                <w:szCs w:val="16"/>
                <w:lang w:eastAsia="en-US"/>
              </w:rPr>
            </w:pPr>
            <w:r w:rsidRPr="00CF6DA0">
              <w:rPr>
                <w:rFonts w:asciiTheme="minorHAnsi" w:eastAsia="Times New Roman" w:hAnsiTheme="minorHAnsi"/>
                <w:iCs/>
                <w:sz w:val="16"/>
                <w:szCs w:val="16"/>
                <w:lang w:eastAsia="en-US"/>
              </w:rPr>
              <w:t>Supporting Human Development (Education)</w:t>
            </w:r>
          </w:p>
        </w:tc>
        <w:tc>
          <w:tcPr>
            <w:tcW w:w="1447" w:type="pct"/>
            <w:tcBorders>
              <w:top w:val="nil"/>
              <w:left w:val="nil"/>
              <w:bottom w:val="nil"/>
              <w:right w:val="nil"/>
            </w:tcBorders>
          </w:tcPr>
          <w:p w14:paraId="77D584E8" w14:textId="77777777" w:rsidR="00B22B04" w:rsidRPr="00CF6DA0" w:rsidRDefault="00B22B04" w:rsidP="00B22B04">
            <w:pPr>
              <w:pStyle w:val="NormalIndented"/>
              <w:rPr>
                <w:rFonts w:asciiTheme="minorHAnsi" w:eastAsia="Times New Roman" w:hAnsiTheme="minorHAnsi"/>
                <w:iCs/>
                <w:sz w:val="16"/>
                <w:szCs w:val="16"/>
                <w:lang w:eastAsia="en-US"/>
              </w:rPr>
            </w:pPr>
            <w:r w:rsidRPr="00CF6DA0">
              <w:rPr>
                <w:rFonts w:asciiTheme="minorHAnsi" w:eastAsia="Times New Roman" w:hAnsiTheme="minorHAnsi"/>
                <w:iCs/>
                <w:sz w:val="16"/>
                <w:szCs w:val="16"/>
                <w:lang w:eastAsia="en-US"/>
              </w:rPr>
              <w:t>Implementation of education pathways that develop locally and regionally relevant skills</w:t>
            </w:r>
          </w:p>
        </w:tc>
        <w:tc>
          <w:tcPr>
            <w:tcW w:w="1329" w:type="pct"/>
            <w:tcBorders>
              <w:top w:val="nil"/>
              <w:left w:val="nil"/>
              <w:bottom w:val="nil"/>
              <w:right w:val="nil"/>
            </w:tcBorders>
          </w:tcPr>
          <w:p w14:paraId="5558BB1B" w14:textId="3018294D" w:rsidR="00B22B04" w:rsidRPr="00CF6DA0" w:rsidRDefault="00781C66" w:rsidP="00B22B04">
            <w:pPr>
              <w:pStyle w:val="NormalIndented"/>
              <w:numPr>
                <w:ilvl w:val="0"/>
                <w:numId w:val="37"/>
              </w:numPr>
              <w:rPr>
                <w:rFonts w:asciiTheme="minorHAnsi" w:eastAsia="Times New Roman" w:hAnsiTheme="minorHAnsi"/>
                <w:iCs/>
                <w:sz w:val="16"/>
                <w:szCs w:val="16"/>
                <w:lang w:eastAsia="en-US"/>
              </w:rPr>
            </w:pPr>
            <w:r>
              <w:rPr>
                <w:rFonts w:asciiTheme="minorHAnsi" w:eastAsia="Times New Roman" w:hAnsiTheme="minorHAnsi"/>
                <w:iCs/>
                <w:sz w:val="16"/>
                <w:szCs w:val="16"/>
                <w:lang w:eastAsia="en-US"/>
              </w:rPr>
              <w:t>Nauru</w:t>
            </w:r>
            <w:r w:rsidRPr="00CF6DA0">
              <w:rPr>
                <w:rFonts w:asciiTheme="minorHAnsi" w:eastAsia="Times New Roman" w:hAnsiTheme="minorHAnsi"/>
                <w:iCs/>
                <w:sz w:val="16"/>
                <w:szCs w:val="16"/>
                <w:lang w:eastAsia="en-US"/>
              </w:rPr>
              <w:t xml:space="preserve"> </w:t>
            </w:r>
            <w:r w:rsidR="00B22B04" w:rsidRPr="00CF6DA0">
              <w:rPr>
                <w:rFonts w:asciiTheme="minorHAnsi" w:eastAsia="Times New Roman" w:hAnsiTheme="minorHAnsi"/>
                <w:iCs/>
                <w:sz w:val="16"/>
                <w:szCs w:val="16"/>
                <w:lang w:eastAsia="en-US"/>
              </w:rPr>
              <w:t>Education Strategic Plan - Recruit and mobilise Education Adviser to support delivery of the Education Strategic Plan</w:t>
            </w:r>
          </w:p>
          <w:p w14:paraId="480EE894" w14:textId="0B00CEA4" w:rsidR="00B22B04" w:rsidRPr="00CF6DA0" w:rsidRDefault="00B22B04" w:rsidP="00B22B04">
            <w:pPr>
              <w:pStyle w:val="NormalIndented"/>
              <w:numPr>
                <w:ilvl w:val="0"/>
                <w:numId w:val="37"/>
              </w:numPr>
              <w:rPr>
                <w:rFonts w:asciiTheme="minorHAnsi" w:eastAsia="Times New Roman" w:hAnsiTheme="minorHAnsi"/>
                <w:iCs/>
                <w:sz w:val="16"/>
                <w:szCs w:val="16"/>
                <w:lang w:eastAsia="en-US"/>
              </w:rPr>
            </w:pPr>
            <w:r w:rsidRPr="00CF6DA0">
              <w:rPr>
                <w:rFonts w:asciiTheme="minorHAnsi" w:eastAsia="Times New Roman" w:hAnsiTheme="minorHAnsi"/>
                <w:iCs/>
                <w:sz w:val="16"/>
                <w:szCs w:val="16"/>
                <w:lang w:eastAsia="en-US"/>
              </w:rPr>
              <w:t>O</w:t>
            </w:r>
            <w:r w:rsidR="00781C66">
              <w:rPr>
                <w:rFonts w:asciiTheme="minorHAnsi" w:eastAsia="Times New Roman" w:hAnsiTheme="minorHAnsi"/>
                <w:iCs/>
                <w:sz w:val="16"/>
                <w:szCs w:val="16"/>
                <w:lang w:eastAsia="en-US"/>
              </w:rPr>
              <w:t xml:space="preserve">perational </w:t>
            </w:r>
            <w:r w:rsidRPr="00CF6DA0">
              <w:rPr>
                <w:rFonts w:asciiTheme="minorHAnsi" w:eastAsia="Times New Roman" w:hAnsiTheme="minorHAnsi"/>
                <w:iCs/>
                <w:sz w:val="16"/>
                <w:szCs w:val="16"/>
                <w:lang w:eastAsia="en-US"/>
              </w:rPr>
              <w:t>A</w:t>
            </w:r>
            <w:r w:rsidR="00781C66">
              <w:rPr>
                <w:rFonts w:asciiTheme="minorHAnsi" w:eastAsia="Times New Roman" w:hAnsiTheme="minorHAnsi"/>
                <w:iCs/>
                <w:sz w:val="16"/>
                <w:szCs w:val="16"/>
                <w:lang w:eastAsia="en-US"/>
              </w:rPr>
              <w:t>ccount</w:t>
            </w:r>
            <w:r w:rsidRPr="00CF6DA0">
              <w:rPr>
                <w:rFonts w:asciiTheme="minorHAnsi" w:eastAsia="Times New Roman" w:hAnsiTheme="minorHAnsi"/>
                <w:iCs/>
                <w:sz w:val="16"/>
                <w:szCs w:val="16"/>
                <w:lang w:eastAsia="en-US"/>
              </w:rPr>
              <w:t xml:space="preserve"> – funds administered appropriately on an agreed basis for activities to support the Education Strategic Plan</w:t>
            </w:r>
          </w:p>
          <w:p w14:paraId="7EFD5393" w14:textId="77777777" w:rsidR="00B22B04" w:rsidRPr="00CF6DA0" w:rsidRDefault="00B22B04" w:rsidP="00B22B04">
            <w:pPr>
              <w:pStyle w:val="NormalIndented"/>
              <w:numPr>
                <w:ilvl w:val="0"/>
                <w:numId w:val="37"/>
              </w:numPr>
              <w:rPr>
                <w:rFonts w:asciiTheme="minorHAnsi" w:eastAsia="Times New Roman" w:hAnsiTheme="minorHAnsi"/>
                <w:iCs/>
                <w:sz w:val="16"/>
                <w:szCs w:val="16"/>
                <w:lang w:eastAsia="en-US"/>
              </w:rPr>
            </w:pPr>
            <w:r w:rsidRPr="00CF6DA0">
              <w:rPr>
                <w:rFonts w:asciiTheme="minorHAnsi" w:eastAsia="Times New Roman" w:hAnsiTheme="minorHAnsi"/>
                <w:iCs/>
                <w:sz w:val="16"/>
                <w:szCs w:val="16"/>
                <w:lang w:eastAsia="en-US"/>
              </w:rPr>
              <w:t>TVET – a range of courses for in-demand qualifications are delivered to adult learners in Nauru</w:t>
            </w:r>
          </w:p>
        </w:tc>
        <w:tc>
          <w:tcPr>
            <w:tcW w:w="1456" w:type="pct"/>
            <w:tcBorders>
              <w:top w:val="nil"/>
              <w:left w:val="nil"/>
              <w:bottom w:val="nil"/>
              <w:right w:val="nil"/>
            </w:tcBorders>
          </w:tcPr>
          <w:p w14:paraId="577C1820" w14:textId="272D2EA6" w:rsidR="00B22B04" w:rsidRPr="00CF6DA0" w:rsidRDefault="00781C66" w:rsidP="00B22B04">
            <w:pPr>
              <w:pStyle w:val="NormalIndented"/>
              <w:numPr>
                <w:ilvl w:val="0"/>
                <w:numId w:val="37"/>
              </w:numPr>
              <w:rPr>
                <w:rFonts w:asciiTheme="minorHAnsi" w:eastAsia="Times New Roman" w:hAnsiTheme="minorHAnsi"/>
                <w:iCs/>
                <w:sz w:val="16"/>
                <w:szCs w:val="16"/>
                <w:lang w:eastAsia="en-US"/>
              </w:rPr>
            </w:pPr>
            <w:r>
              <w:rPr>
                <w:rFonts w:asciiTheme="minorHAnsi" w:eastAsia="Times New Roman" w:hAnsiTheme="minorHAnsi"/>
                <w:iCs/>
                <w:sz w:val="16"/>
                <w:szCs w:val="16"/>
                <w:lang w:eastAsia="en-US"/>
              </w:rPr>
              <w:t>Nauru</w:t>
            </w:r>
            <w:r w:rsidRPr="00CF6DA0">
              <w:rPr>
                <w:rFonts w:asciiTheme="minorHAnsi" w:eastAsia="Times New Roman" w:hAnsiTheme="minorHAnsi"/>
                <w:iCs/>
                <w:sz w:val="16"/>
                <w:szCs w:val="16"/>
                <w:lang w:eastAsia="en-US"/>
              </w:rPr>
              <w:t xml:space="preserve"> </w:t>
            </w:r>
            <w:r w:rsidR="00B22B04" w:rsidRPr="00CF6DA0">
              <w:rPr>
                <w:rFonts w:asciiTheme="minorHAnsi" w:eastAsia="Times New Roman" w:hAnsiTheme="minorHAnsi"/>
                <w:iCs/>
                <w:sz w:val="16"/>
                <w:szCs w:val="16"/>
                <w:lang w:eastAsia="en-US"/>
              </w:rPr>
              <w:t xml:space="preserve">Education Strategic Plan – benchmarks to be determined in consultation with Education Adviser </w:t>
            </w:r>
          </w:p>
          <w:p w14:paraId="4EB668DA" w14:textId="30E229A8" w:rsidR="00B22B04" w:rsidRPr="00CF6DA0" w:rsidRDefault="00B22B04" w:rsidP="00B22B04">
            <w:pPr>
              <w:pStyle w:val="NormalIndented"/>
              <w:numPr>
                <w:ilvl w:val="0"/>
                <w:numId w:val="37"/>
              </w:numPr>
              <w:rPr>
                <w:rFonts w:asciiTheme="minorHAnsi" w:eastAsia="Times New Roman" w:hAnsiTheme="minorHAnsi"/>
                <w:iCs/>
                <w:sz w:val="16"/>
                <w:szCs w:val="16"/>
                <w:lang w:eastAsia="en-US"/>
              </w:rPr>
            </w:pPr>
            <w:r w:rsidRPr="00CF6DA0">
              <w:rPr>
                <w:rFonts w:asciiTheme="minorHAnsi" w:eastAsia="Times New Roman" w:hAnsiTheme="minorHAnsi"/>
                <w:iCs/>
                <w:sz w:val="16"/>
                <w:szCs w:val="16"/>
                <w:lang w:eastAsia="en-US"/>
              </w:rPr>
              <w:t>O</w:t>
            </w:r>
            <w:r w:rsidR="00781C66">
              <w:rPr>
                <w:rFonts w:asciiTheme="minorHAnsi" w:eastAsia="Times New Roman" w:hAnsiTheme="minorHAnsi"/>
                <w:iCs/>
                <w:sz w:val="16"/>
                <w:szCs w:val="16"/>
                <w:lang w:eastAsia="en-US"/>
              </w:rPr>
              <w:t xml:space="preserve">perational </w:t>
            </w:r>
            <w:r w:rsidRPr="00CF6DA0">
              <w:rPr>
                <w:rFonts w:asciiTheme="minorHAnsi" w:eastAsia="Times New Roman" w:hAnsiTheme="minorHAnsi"/>
                <w:iCs/>
                <w:sz w:val="16"/>
                <w:szCs w:val="16"/>
                <w:lang w:eastAsia="en-US"/>
              </w:rPr>
              <w:t>A</w:t>
            </w:r>
            <w:r w:rsidR="00781C66">
              <w:rPr>
                <w:rFonts w:asciiTheme="minorHAnsi" w:eastAsia="Times New Roman" w:hAnsiTheme="minorHAnsi"/>
                <w:iCs/>
                <w:sz w:val="16"/>
                <w:szCs w:val="16"/>
                <w:lang w:eastAsia="en-US"/>
              </w:rPr>
              <w:t>ccount</w:t>
            </w:r>
            <w:r w:rsidRPr="00CF6DA0">
              <w:rPr>
                <w:rFonts w:asciiTheme="minorHAnsi" w:eastAsia="Times New Roman" w:hAnsiTheme="minorHAnsi"/>
                <w:iCs/>
                <w:sz w:val="16"/>
                <w:szCs w:val="16"/>
                <w:lang w:eastAsia="en-US"/>
              </w:rPr>
              <w:t xml:space="preserve"> – funds administered appropriately on an agreed basis for activities to support the Education Strategic Plan</w:t>
            </w:r>
          </w:p>
          <w:p w14:paraId="46E15C3F" w14:textId="77777777" w:rsidR="00B22B04" w:rsidRPr="00CF6DA0" w:rsidRDefault="00B22B04" w:rsidP="00B22B04">
            <w:pPr>
              <w:pStyle w:val="NormalIndented"/>
              <w:numPr>
                <w:ilvl w:val="0"/>
                <w:numId w:val="37"/>
              </w:numPr>
              <w:rPr>
                <w:rFonts w:asciiTheme="minorHAnsi" w:eastAsia="Times New Roman" w:hAnsiTheme="minorHAnsi"/>
                <w:iCs/>
                <w:sz w:val="16"/>
                <w:szCs w:val="16"/>
                <w:lang w:eastAsia="en-US"/>
              </w:rPr>
            </w:pPr>
            <w:r w:rsidRPr="00CF6DA0">
              <w:rPr>
                <w:rFonts w:asciiTheme="minorHAnsi" w:eastAsia="Times New Roman" w:hAnsiTheme="minorHAnsi"/>
                <w:iCs/>
                <w:sz w:val="16"/>
                <w:szCs w:val="16"/>
                <w:lang w:eastAsia="en-US"/>
              </w:rPr>
              <w:t>TVET – a range of courses for in-demand qualifications are delivered to adult learners in Nauru</w:t>
            </w:r>
          </w:p>
        </w:tc>
      </w:tr>
    </w:tbl>
    <w:p w14:paraId="0B9C1323" w14:textId="77777777" w:rsidR="00AF1B85" w:rsidRPr="00574C83" w:rsidRDefault="00184F1E" w:rsidP="00574C83">
      <w:pPr>
        <w:pStyle w:val="Subtitle"/>
        <w:rPr>
          <w:rFonts w:ascii="Franklin Gothic Book" w:eastAsia="Times New Roman" w:hAnsi="Franklin Gothic Book"/>
          <w:color w:val="3DA18F" w:themeColor="accent1" w:themeShade="BF"/>
          <w:sz w:val="21"/>
        </w:rPr>
      </w:pPr>
      <w:r>
        <w:br w:type="page"/>
      </w:r>
      <w:r w:rsidR="00AF1B85" w:rsidRPr="00A8197B">
        <w:lastRenderedPageBreak/>
        <w:t xml:space="preserve">Annex </w:t>
      </w:r>
      <w:r>
        <w:t>C</w:t>
      </w:r>
      <w:r w:rsidR="00AF1B85" w:rsidRPr="00A8197B">
        <w:t xml:space="preserve"> - Evaluation Planning</w:t>
      </w:r>
    </w:p>
    <w:p w14:paraId="7D96D058" w14:textId="77777777" w:rsidR="00AF1B85" w:rsidRPr="005E606B" w:rsidRDefault="00AF1B85" w:rsidP="005E606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5E606B">
        <w:rPr>
          <w:rFonts w:asciiTheme="majorHAnsi" w:eastAsiaTheme="majorEastAsia" w:hAnsiTheme="majorHAnsi" w:cstheme="majorBidi"/>
          <w:caps/>
          <w:color w:val="495965" w:themeColor="text2"/>
          <w:sz w:val="38"/>
          <w:szCs w:val="26"/>
          <w:lang w:val="en-GB" w:eastAsia="en-US"/>
        </w:rPr>
        <w:t xml:space="preserve">List of evaluations completed in the reporting period </w:t>
      </w:r>
    </w:p>
    <w:tbl>
      <w:tblPr>
        <w:tblStyle w:val="APPR"/>
        <w:tblW w:w="14311" w:type="dxa"/>
        <w:tblLayout w:type="fixed"/>
        <w:tblLook w:val="04A0" w:firstRow="1" w:lastRow="0" w:firstColumn="1" w:lastColumn="0" w:noHBand="0" w:noVBand="1"/>
      </w:tblPr>
      <w:tblGrid>
        <w:gridCol w:w="3106"/>
        <w:gridCol w:w="3693"/>
        <w:gridCol w:w="1425"/>
        <w:gridCol w:w="1981"/>
        <w:gridCol w:w="1699"/>
        <w:gridCol w:w="2407"/>
      </w:tblGrid>
      <w:tr w:rsidR="00AF1B85" w:rsidRPr="00C61187" w14:paraId="77EFC709" w14:textId="77777777" w:rsidTr="00AF1B85">
        <w:trPr>
          <w:cnfStyle w:val="100000000000" w:firstRow="1" w:lastRow="0" w:firstColumn="0" w:lastColumn="0" w:oddVBand="0" w:evenVBand="0" w:oddHBand="0" w:evenHBand="0" w:firstRowFirstColumn="0" w:firstRowLastColumn="0" w:lastRowFirstColumn="0" w:lastRowLastColumn="0"/>
        </w:trPr>
        <w:tc>
          <w:tcPr>
            <w:tcW w:w="3064" w:type="dxa"/>
          </w:tcPr>
          <w:p w14:paraId="7BB8723F" w14:textId="2F98640B" w:rsidR="00AF1B85" w:rsidRPr="00812509" w:rsidRDefault="00AF1B85" w:rsidP="0066365A">
            <w:pPr>
              <w:keepLines/>
              <w:spacing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 xml:space="preserve">Investment number and name </w:t>
            </w:r>
            <w:r w:rsidR="0066365A">
              <w:rPr>
                <w:rFonts w:asciiTheme="minorHAnsi" w:eastAsia="Times New Roman" w:hAnsiTheme="minorHAnsi"/>
                <w:iCs/>
                <w:szCs w:val="17"/>
                <w:lang w:eastAsia="en-US"/>
              </w:rPr>
              <w:t xml:space="preserve">                </w:t>
            </w:r>
            <w:r w:rsidRPr="00812509">
              <w:rPr>
                <w:rFonts w:asciiTheme="minorHAnsi" w:eastAsia="Times New Roman" w:hAnsiTheme="minorHAnsi"/>
                <w:iCs/>
                <w:szCs w:val="17"/>
                <w:lang w:eastAsia="en-US"/>
              </w:rPr>
              <w:t xml:space="preserve">(if applicable) </w:t>
            </w:r>
          </w:p>
        </w:tc>
        <w:tc>
          <w:tcPr>
            <w:tcW w:w="3665" w:type="dxa"/>
          </w:tcPr>
          <w:p w14:paraId="6E03C9A1"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Name of evaluation</w:t>
            </w:r>
          </w:p>
        </w:tc>
        <w:tc>
          <w:tcPr>
            <w:tcW w:w="1397" w:type="dxa"/>
          </w:tcPr>
          <w:p w14:paraId="225B1150"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completed</w:t>
            </w:r>
          </w:p>
        </w:tc>
        <w:tc>
          <w:tcPr>
            <w:tcW w:w="1953" w:type="dxa"/>
          </w:tcPr>
          <w:p w14:paraId="1AB3EC3A"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Evaluation report Uploaded into AidWorks</w:t>
            </w:r>
          </w:p>
        </w:tc>
        <w:tc>
          <w:tcPr>
            <w:tcW w:w="1671" w:type="dxa"/>
          </w:tcPr>
          <w:p w14:paraId="037A2F76"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Management response uploaded into AidWorks</w:t>
            </w:r>
          </w:p>
        </w:tc>
        <w:tc>
          <w:tcPr>
            <w:tcW w:w="2365" w:type="dxa"/>
          </w:tcPr>
          <w:p w14:paraId="017B72CD"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Published on website</w:t>
            </w:r>
          </w:p>
        </w:tc>
      </w:tr>
      <w:tr w:rsidR="00AF1B85" w:rsidRPr="003B5EE5" w14:paraId="14DDCE25" w14:textId="77777777" w:rsidTr="00AF1B85">
        <w:trPr>
          <w:cnfStyle w:val="100000000000" w:firstRow="1" w:lastRow="0" w:firstColumn="0" w:lastColumn="0" w:oddVBand="0" w:evenVBand="0" w:oddHBand="0" w:evenHBand="0" w:firstRowFirstColumn="0" w:firstRowLastColumn="0" w:lastRowFirstColumn="0" w:lastRowLastColumn="0"/>
        </w:trPr>
        <w:tc>
          <w:tcPr>
            <w:tcW w:w="3064" w:type="dxa"/>
          </w:tcPr>
          <w:p w14:paraId="44B396B0" w14:textId="77777777" w:rsidR="00AF1B85" w:rsidRPr="00812509" w:rsidRDefault="00AF1B85" w:rsidP="009020CC">
            <w:pPr>
              <w:keepLines/>
              <w:spacing w:before="40" w:after="40" w:line="200" w:lineRule="atLeast"/>
              <w:rPr>
                <w:rFonts w:asciiTheme="minorHAnsi" w:eastAsia="Times New Roman" w:hAnsiTheme="minorHAnsi"/>
                <w:b w:val="0"/>
                <w:iCs/>
                <w:szCs w:val="17"/>
                <w:lang w:eastAsia="en-US"/>
              </w:rPr>
            </w:pPr>
            <w:r w:rsidRPr="00812509">
              <w:rPr>
                <w:rFonts w:asciiTheme="minorHAnsi" w:eastAsia="Times New Roman" w:hAnsiTheme="minorHAnsi"/>
                <w:b w:val="0"/>
                <w:iCs/>
                <w:szCs w:val="17"/>
                <w:lang w:eastAsia="en-US"/>
              </w:rPr>
              <w:t>INK</w:t>
            </w:r>
            <w:r w:rsidR="009020CC">
              <w:rPr>
                <w:rFonts w:asciiTheme="minorHAnsi" w:eastAsia="Times New Roman" w:hAnsiTheme="minorHAnsi"/>
                <w:b w:val="0"/>
                <w:iCs/>
                <w:szCs w:val="17"/>
                <w:lang w:eastAsia="en-US"/>
              </w:rPr>
              <w:t xml:space="preserve">496 Pacific Women Shaping Pacific Development  </w:t>
            </w:r>
          </w:p>
        </w:tc>
        <w:tc>
          <w:tcPr>
            <w:tcW w:w="3665" w:type="dxa"/>
          </w:tcPr>
          <w:p w14:paraId="38A8AB0A" w14:textId="77777777" w:rsidR="00AF1B85" w:rsidRPr="00812509" w:rsidRDefault="009020CC"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Review of Nauru Gender Country Plan</w:t>
            </w:r>
          </w:p>
        </w:tc>
        <w:tc>
          <w:tcPr>
            <w:tcW w:w="1397" w:type="dxa"/>
          </w:tcPr>
          <w:p w14:paraId="39B674F3" w14:textId="77777777" w:rsidR="00AF1B85" w:rsidRPr="00812509" w:rsidRDefault="009020CC"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Pending</w:t>
            </w:r>
          </w:p>
        </w:tc>
        <w:tc>
          <w:tcPr>
            <w:tcW w:w="1953" w:type="dxa"/>
          </w:tcPr>
          <w:p w14:paraId="27B171B6" w14:textId="77777777" w:rsidR="00AF1B85" w:rsidRPr="00812509" w:rsidRDefault="009020CC"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Pending</w:t>
            </w:r>
          </w:p>
        </w:tc>
        <w:tc>
          <w:tcPr>
            <w:tcW w:w="1671" w:type="dxa"/>
          </w:tcPr>
          <w:p w14:paraId="5D640804" w14:textId="77777777" w:rsidR="00AF1B85" w:rsidRPr="00812509" w:rsidRDefault="009020CC"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Pending</w:t>
            </w:r>
          </w:p>
        </w:tc>
        <w:tc>
          <w:tcPr>
            <w:tcW w:w="2365" w:type="dxa"/>
          </w:tcPr>
          <w:p w14:paraId="6194646F" w14:textId="77777777" w:rsidR="00AF1B85" w:rsidRPr="00812509" w:rsidRDefault="009020CC" w:rsidP="003E305C">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pending</w:t>
            </w:r>
          </w:p>
        </w:tc>
      </w:tr>
    </w:tbl>
    <w:p w14:paraId="1C3A106D" w14:textId="77777777" w:rsidR="00AF1B85" w:rsidRPr="005E606B" w:rsidRDefault="00AF1B85" w:rsidP="005E606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5E606B">
        <w:rPr>
          <w:rFonts w:asciiTheme="majorHAnsi" w:eastAsiaTheme="majorEastAsia" w:hAnsiTheme="majorHAnsi" w:cstheme="majorBidi"/>
          <w:caps/>
          <w:color w:val="495965" w:themeColor="text2"/>
          <w:sz w:val="38"/>
          <w:szCs w:val="26"/>
          <w:lang w:val="en-GB" w:eastAsia="en-US"/>
        </w:rPr>
        <w:t xml:space="preserve">List of program prioritised evaluations planned for the next 12 months </w:t>
      </w:r>
    </w:p>
    <w:tbl>
      <w:tblPr>
        <w:tblStyle w:val="APPR"/>
        <w:tblW w:w="14311" w:type="dxa"/>
        <w:tblLook w:val="0600" w:firstRow="0" w:lastRow="0" w:firstColumn="0" w:lastColumn="0" w:noHBand="1" w:noVBand="1"/>
      </w:tblPr>
      <w:tblGrid>
        <w:gridCol w:w="2486"/>
        <w:gridCol w:w="2384"/>
        <w:gridCol w:w="2070"/>
        <w:gridCol w:w="2236"/>
        <w:gridCol w:w="2353"/>
        <w:gridCol w:w="2782"/>
      </w:tblGrid>
      <w:tr w:rsidR="00AF1B85" w:rsidRPr="00C61187" w14:paraId="1E9CB9D1" w14:textId="77777777" w:rsidTr="005E606B">
        <w:tc>
          <w:tcPr>
            <w:tcW w:w="2444" w:type="dxa"/>
          </w:tcPr>
          <w:p w14:paraId="7A94D4CD"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title</w:t>
            </w:r>
          </w:p>
        </w:tc>
        <w:tc>
          <w:tcPr>
            <w:tcW w:w="2356" w:type="dxa"/>
          </w:tcPr>
          <w:p w14:paraId="3AB4A6F2"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 xml:space="preserve">Investment number and name (if applicable) </w:t>
            </w:r>
          </w:p>
        </w:tc>
        <w:tc>
          <w:tcPr>
            <w:tcW w:w="2042" w:type="dxa"/>
          </w:tcPr>
          <w:p w14:paraId="3F757019"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commencement (month/year)</w:t>
            </w:r>
          </w:p>
        </w:tc>
        <w:tc>
          <w:tcPr>
            <w:tcW w:w="2208" w:type="dxa"/>
          </w:tcPr>
          <w:p w14:paraId="175A5549"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completion (month/year)</w:t>
            </w:r>
          </w:p>
        </w:tc>
        <w:tc>
          <w:tcPr>
            <w:tcW w:w="2325" w:type="dxa"/>
          </w:tcPr>
          <w:p w14:paraId="7F86A210"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Purpose of evaluation</w:t>
            </w:r>
          </w:p>
        </w:tc>
        <w:tc>
          <w:tcPr>
            <w:tcW w:w="2740" w:type="dxa"/>
          </w:tcPr>
          <w:p w14:paraId="6B044A21"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type</w:t>
            </w:r>
          </w:p>
        </w:tc>
      </w:tr>
      <w:tr w:rsidR="00AF1B85" w:rsidRPr="00C61187" w14:paraId="2A1555E5" w14:textId="77777777" w:rsidTr="005E606B">
        <w:tc>
          <w:tcPr>
            <w:tcW w:w="2444" w:type="dxa"/>
          </w:tcPr>
          <w:p w14:paraId="7D915B11" w14:textId="77777777" w:rsidR="006A0AF2" w:rsidRDefault="006A0AF2"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Health sector investment review</w:t>
            </w:r>
          </w:p>
          <w:p w14:paraId="4C5F9AB4" w14:textId="77777777" w:rsidR="006A0AF2" w:rsidRDefault="006A0AF2" w:rsidP="00D15A00">
            <w:pPr>
              <w:keepLines/>
              <w:spacing w:before="40" w:after="40" w:line="200" w:lineRule="atLeast"/>
              <w:rPr>
                <w:rFonts w:asciiTheme="minorHAnsi" w:eastAsia="Times New Roman" w:hAnsiTheme="minorHAnsi"/>
                <w:iCs/>
                <w:szCs w:val="17"/>
                <w:lang w:eastAsia="en-US"/>
              </w:rPr>
            </w:pPr>
          </w:p>
          <w:p w14:paraId="0ABECB3A" w14:textId="77777777" w:rsidR="006A0AF2" w:rsidRDefault="006A0AF2"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Review of the UNE Teacher Education program</w:t>
            </w:r>
          </w:p>
          <w:p w14:paraId="54872FC2" w14:textId="77777777" w:rsidR="006A0AF2" w:rsidRDefault="006A0AF2" w:rsidP="00D15A00">
            <w:pPr>
              <w:keepLines/>
              <w:spacing w:before="40" w:after="40" w:line="200" w:lineRule="atLeast"/>
              <w:rPr>
                <w:rFonts w:asciiTheme="minorHAnsi" w:eastAsia="Times New Roman" w:hAnsiTheme="minorHAnsi"/>
                <w:iCs/>
                <w:szCs w:val="17"/>
                <w:lang w:eastAsia="en-US"/>
              </w:rPr>
            </w:pPr>
          </w:p>
          <w:p w14:paraId="61400E73" w14:textId="77777777" w:rsidR="00AF1B85" w:rsidRPr="00812509" w:rsidRDefault="006A0AF2"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Education sector investment review</w:t>
            </w:r>
            <w:r w:rsidR="00AF1B85" w:rsidRPr="00812509">
              <w:rPr>
                <w:rFonts w:asciiTheme="minorHAnsi" w:eastAsia="Times New Roman" w:hAnsiTheme="minorHAnsi"/>
                <w:iCs/>
                <w:szCs w:val="17"/>
                <w:lang w:eastAsia="en-US"/>
              </w:rPr>
              <w:t xml:space="preserve"> </w:t>
            </w:r>
          </w:p>
        </w:tc>
        <w:tc>
          <w:tcPr>
            <w:tcW w:w="2356" w:type="dxa"/>
          </w:tcPr>
          <w:p w14:paraId="71773DF9" w14:textId="77777777" w:rsidR="00AF1B85" w:rsidRPr="00812509" w:rsidRDefault="005621D5"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INI970 Nauru Improved Health</w:t>
            </w:r>
          </w:p>
          <w:p w14:paraId="06915E64" w14:textId="77777777" w:rsidR="005621D5" w:rsidRDefault="005621D5" w:rsidP="00D15A00">
            <w:pPr>
              <w:keepLines/>
              <w:spacing w:before="40" w:after="40" w:line="200" w:lineRule="atLeast"/>
              <w:rPr>
                <w:rFonts w:asciiTheme="minorHAnsi" w:eastAsia="Times New Roman" w:hAnsiTheme="minorHAnsi"/>
                <w:iCs/>
                <w:szCs w:val="17"/>
                <w:lang w:eastAsia="en-US"/>
              </w:rPr>
            </w:pPr>
          </w:p>
          <w:p w14:paraId="11DEC938" w14:textId="77777777" w:rsidR="005621D5" w:rsidRDefault="005621D5"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INI950 Nauru Improved Education</w:t>
            </w:r>
          </w:p>
          <w:p w14:paraId="2ADA273C" w14:textId="77777777" w:rsidR="005621D5" w:rsidRDefault="005621D5" w:rsidP="00D15A00">
            <w:pPr>
              <w:keepLines/>
              <w:spacing w:before="40" w:after="40" w:line="200" w:lineRule="atLeast"/>
              <w:rPr>
                <w:rFonts w:asciiTheme="minorHAnsi" w:eastAsia="Times New Roman" w:hAnsiTheme="minorHAnsi"/>
                <w:iCs/>
                <w:szCs w:val="17"/>
                <w:lang w:eastAsia="en-US"/>
              </w:rPr>
            </w:pPr>
          </w:p>
          <w:p w14:paraId="0E2003FD" w14:textId="77777777" w:rsidR="00AF1B85" w:rsidRPr="00812509" w:rsidRDefault="005621D5"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INI950 Nauru Improved Education</w:t>
            </w:r>
          </w:p>
        </w:tc>
        <w:tc>
          <w:tcPr>
            <w:tcW w:w="2042" w:type="dxa"/>
          </w:tcPr>
          <w:p w14:paraId="7D45B68E" w14:textId="78A67075" w:rsidR="00AF1B85" w:rsidRPr="0066365A" w:rsidRDefault="00630C7C" w:rsidP="00D15A00">
            <w:pPr>
              <w:keepLines/>
              <w:spacing w:before="40" w:after="40" w:line="200" w:lineRule="atLeast"/>
              <w:rPr>
                <w:rFonts w:asciiTheme="minorHAnsi" w:eastAsia="Times New Roman" w:hAnsiTheme="minorHAnsi"/>
                <w:iCs/>
                <w:szCs w:val="17"/>
                <w:lang w:eastAsia="en-US"/>
              </w:rPr>
            </w:pPr>
            <w:r w:rsidRPr="0066365A">
              <w:rPr>
                <w:rFonts w:asciiTheme="minorHAnsi" w:eastAsia="Times New Roman" w:hAnsiTheme="minorHAnsi"/>
                <w:iCs/>
                <w:szCs w:val="17"/>
                <w:lang w:eastAsia="en-US"/>
              </w:rPr>
              <w:t xml:space="preserve">Nov </w:t>
            </w:r>
            <w:r w:rsidR="00CF6DA0" w:rsidRPr="0066365A">
              <w:rPr>
                <w:rFonts w:asciiTheme="minorHAnsi" w:eastAsia="Times New Roman" w:hAnsiTheme="minorHAnsi"/>
                <w:iCs/>
                <w:szCs w:val="17"/>
                <w:lang w:eastAsia="en-US"/>
              </w:rPr>
              <w:t>2017</w:t>
            </w:r>
          </w:p>
          <w:p w14:paraId="767967E2" w14:textId="77777777" w:rsidR="005621D5" w:rsidRPr="0066365A" w:rsidRDefault="005621D5" w:rsidP="00D15A00">
            <w:pPr>
              <w:keepLines/>
              <w:spacing w:before="40" w:after="40" w:line="200" w:lineRule="atLeast"/>
              <w:rPr>
                <w:rFonts w:asciiTheme="minorHAnsi" w:eastAsia="Times New Roman" w:hAnsiTheme="minorHAnsi"/>
                <w:iCs/>
                <w:szCs w:val="17"/>
                <w:lang w:eastAsia="en-US"/>
              </w:rPr>
            </w:pPr>
          </w:p>
          <w:p w14:paraId="2A934483" w14:textId="25870013" w:rsidR="005621D5" w:rsidRPr="0066365A" w:rsidRDefault="0066365A"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March 2018</w:t>
            </w:r>
          </w:p>
          <w:p w14:paraId="6EB80F5B" w14:textId="77777777" w:rsidR="005621D5" w:rsidRPr="0066365A" w:rsidRDefault="005621D5" w:rsidP="00D15A00">
            <w:pPr>
              <w:keepLines/>
              <w:spacing w:before="40" w:after="40" w:line="200" w:lineRule="atLeast"/>
              <w:rPr>
                <w:rFonts w:asciiTheme="minorHAnsi" w:eastAsia="Times New Roman" w:hAnsiTheme="minorHAnsi"/>
                <w:iCs/>
                <w:szCs w:val="17"/>
                <w:lang w:eastAsia="en-US"/>
              </w:rPr>
            </w:pPr>
          </w:p>
          <w:p w14:paraId="263217FC" w14:textId="77777777" w:rsidR="005621D5" w:rsidRPr="0066365A" w:rsidRDefault="005621D5" w:rsidP="00D15A00">
            <w:pPr>
              <w:keepLines/>
              <w:spacing w:before="40" w:after="40" w:line="200" w:lineRule="atLeast"/>
              <w:rPr>
                <w:rFonts w:asciiTheme="minorHAnsi" w:eastAsia="Times New Roman" w:hAnsiTheme="minorHAnsi"/>
                <w:iCs/>
                <w:szCs w:val="17"/>
                <w:lang w:eastAsia="en-US"/>
              </w:rPr>
            </w:pPr>
          </w:p>
          <w:p w14:paraId="6ACEF72F" w14:textId="152F8E1B" w:rsidR="005621D5" w:rsidRPr="0066365A" w:rsidRDefault="0066365A" w:rsidP="0066365A">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April 2018</w:t>
            </w:r>
          </w:p>
        </w:tc>
        <w:tc>
          <w:tcPr>
            <w:tcW w:w="2208" w:type="dxa"/>
          </w:tcPr>
          <w:p w14:paraId="20EDC1B5" w14:textId="38CD5658" w:rsidR="005621D5" w:rsidRPr="0066365A" w:rsidRDefault="00630C7C" w:rsidP="00D15A00">
            <w:pPr>
              <w:keepLines/>
              <w:spacing w:before="40" w:after="40" w:line="200" w:lineRule="atLeast"/>
              <w:rPr>
                <w:rFonts w:asciiTheme="minorHAnsi" w:eastAsia="Times New Roman" w:hAnsiTheme="minorHAnsi"/>
                <w:iCs/>
                <w:szCs w:val="17"/>
                <w:lang w:eastAsia="en-US"/>
              </w:rPr>
            </w:pPr>
            <w:r w:rsidRPr="0066365A">
              <w:rPr>
                <w:rFonts w:asciiTheme="minorHAnsi" w:eastAsia="Times New Roman" w:hAnsiTheme="minorHAnsi"/>
                <w:iCs/>
                <w:szCs w:val="17"/>
                <w:lang w:eastAsia="en-US"/>
              </w:rPr>
              <w:t>Dec 2017</w:t>
            </w:r>
          </w:p>
          <w:p w14:paraId="5C2D0B81" w14:textId="77777777" w:rsidR="005621D5" w:rsidRPr="0066365A" w:rsidRDefault="005621D5" w:rsidP="00D15A00">
            <w:pPr>
              <w:keepLines/>
              <w:spacing w:before="40" w:after="40" w:line="200" w:lineRule="atLeast"/>
              <w:rPr>
                <w:rFonts w:asciiTheme="minorHAnsi" w:eastAsia="Times New Roman" w:hAnsiTheme="minorHAnsi"/>
                <w:iCs/>
                <w:szCs w:val="17"/>
                <w:lang w:eastAsia="en-US"/>
              </w:rPr>
            </w:pPr>
          </w:p>
          <w:p w14:paraId="471F2A08" w14:textId="4CE39151" w:rsidR="005621D5" w:rsidRPr="0066365A" w:rsidRDefault="0066365A"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June 2018</w:t>
            </w:r>
          </w:p>
          <w:p w14:paraId="119C4A67" w14:textId="77777777" w:rsidR="005621D5" w:rsidRPr="0066365A" w:rsidRDefault="005621D5" w:rsidP="00D15A00">
            <w:pPr>
              <w:keepLines/>
              <w:spacing w:before="40" w:after="40" w:line="200" w:lineRule="atLeast"/>
              <w:rPr>
                <w:rFonts w:asciiTheme="minorHAnsi" w:eastAsia="Times New Roman" w:hAnsiTheme="minorHAnsi"/>
                <w:iCs/>
                <w:szCs w:val="17"/>
                <w:lang w:eastAsia="en-US"/>
              </w:rPr>
            </w:pPr>
          </w:p>
          <w:p w14:paraId="33DF0E8F" w14:textId="77777777" w:rsidR="005621D5" w:rsidRPr="0066365A" w:rsidRDefault="005621D5" w:rsidP="00D15A00">
            <w:pPr>
              <w:keepLines/>
              <w:spacing w:before="40" w:after="40" w:line="200" w:lineRule="atLeast"/>
              <w:rPr>
                <w:rFonts w:asciiTheme="minorHAnsi" w:eastAsia="Times New Roman" w:hAnsiTheme="minorHAnsi"/>
                <w:iCs/>
                <w:szCs w:val="17"/>
                <w:lang w:eastAsia="en-US"/>
              </w:rPr>
            </w:pPr>
          </w:p>
          <w:p w14:paraId="67E2D191" w14:textId="314225D5" w:rsidR="00AF1B85" w:rsidRPr="0066365A" w:rsidRDefault="0066365A" w:rsidP="0066365A">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September 2018</w:t>
            </w:r>
            <w:r w:rsidR="00AF1B85" w:rsidRPr="0066365A">
              <w:rPr>
                <w:rFonts w:asciiTheme="minorHAnsi" w:eastAsia="Times New Roman" w:hAnsiTheme="minorHAnsi"/>
                <w:iCs/>
                <w:szCs w:val="17"/>
                <w:lang w:eastAsia="en-US"/>
              </w:rPr>
              <w:t xml:space="preserve"> </w:t>
            </w:r>
          </w:p>
        </w:tc>
        <w:tc>
          <w:tcPr>
            <w:tcW w:w="2325" w:type="dxa"/>
          </w:tcPr>
          <w:p w14:paraId="038EA63C" w14:textId="77777777" w:rsidR="00AF1B85" w:rsidRDefault="005621D5"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To inform DFAT health priorities</w:t>
            </w:r>
          </w:p>
          <w:p w14:paraId="128BF742" w14:textId="77777777" w:rsidR="005621D5" w:rsidRPr="00CF6DA0" w:rsidRDefault="005621D5" w:rsidP="00D15A00">
            <w:pPr>
              <w:keepLines/>
              <w:spacing w:before="40" w:after="40" w:line="200" w:lineRule="atLeast"/>
              <w:rPr>
                <w:rFonts w:asciiTheme="minorHAnsi" w:eastAsia="Times New Roman" w:hAnsiTheme="minorHAnsi"/>
                <w:iCs/>
                <w:szCs w:val="17"/>
                <w:lang w:eastAsia="en-US"/>
              </w:rPr>
            </w:pPr>
            <w:r w:rsidRPr="00CF6DA0">
              <w:rPr>
                <w:rFonts w:asciiTheme="minorHAnsi" w:eastAsia="Times New Roman" w:hAnsiTheme="minorHAnsi"/>
                <w:iCs/>
                <w:szCs w:val="17"/>
                <w:lang w:eastAsia="en-US"/>
              </w:rPr>
              <w:t>To verify performance and assess value for money</w:t>
            </w:r>
          </w:p>
          <w:p w14:paraId="1E995FF1" w14:textId="77777777" w:rsidR="005621D5" w:rsidRDefault="005621D5" w:rsidP="00D15A00">
            <w:pPr>
              <w:keepLines/>
              <w:spacing w:before="40" w:after="40" w:line="200" w:lineRule="atLeast"/>
              <w:rPr>
                <w:rFonts w:asciiTheme="minorHAnsi" w:eastAsia="Times New Roman" w:hAnsiTheme="minorHAnsi"/>
                <w:iCs/>
                <w:color w:val="000000" w:themeColor="text1" w:themeShade="BF"/>
                <w:szCs w:val="17"/>
                <w:lang w:eastAsia="en-US"/>
              </w:rPr>
            </w:pPr>
          </w:p>
          <w:p w14:paraId="7D026688" w14:textId="77777777" w:rsidR="005621D5" w:rsidRPr="00F80511" w:rsidRDefault="005621D5" w:rsidP="00BD1333">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To inform DFAT education priorities</w:t>
            </w:r>
          </w:p>
        </w:tc>
        <w:tc>
          <w:tcPr>
            <w:tcW w:w="2740" w:type="dxa"/>
          </w:tcPr>
          <w:p w14:paraId="60246245" w14:textId="77777777" w:rsidR="00AF1B85" w:rsidRDefault="005621D5"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DFAT led</w:t>
            </w:r>
          </w:p>
          <w:p w14:paraId="6EDADC70" w14:textId="77777777" w:rsidR="005621D5" w:rsidRDefault="005621D5" w:rsidP="00D15A00">
            <w:pPr>
              <w:keepLines/>
              <w:spacing w:before="40" w:after="40" w:line="200" w:lineRule="atLeast"/>
              <w:rPr>
                <w:rFonts w:asciiTheme="minorHAnsi" w:eastAsia="Times New Roman" w:hAnsiTheme="minorHAnsi"/>
                <w:iCs/>
                <w:szCs w:val="17"/>
                <w:lang w:eastAsia="en-US"/>
              </w:rPr>
            </w:pPr>
          </w:p>
          <w:p w14:paraId="5D4799B0" w14:textId="77777777" w:rsidR="005621D5" w:rsidRDefault="005621D5"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Partner led</w:t>
            </w:r>
          </w:p>
          <w:p w14:paraId="1EDFEF73" w14:textId="77777777" w:rsidR="005621D5" w:rsidRPr="00812509" w:rsidRDefault="005621D5" w:rsidP="00D15A00">
            <w:pPr>
              <w:keepLines/>
              <w:spacing w:before="40" w:after="40" w:line="200" w:lineRule="atLeast"/>
              <w:rPr>
                <w:rFonts w:asciiTheme="minorHAnsi" w:eastAsia="Times New Roman" w:hAnsiTheme="minorHAnsi"/>
                <w:iCs/>
                <w:szCs w:val="17"/>
                <w:lang w:eastAsia="en-US"/>
              </w:rPr>
            </w:pPr>
          </w:p>
          <w:p w14:paraId="0FF1C195" w14:textId="77777777" w:rsidR="005621D5" w:rsidRDefault="005621D5" w:rsidP="00D15A00">
            <w:pPr>
              <w:keepLines/>
              <w:spacing w:before="40" w:after="40" w:line="200" w:lineRule="atLeast"/>
              <w:rPr>
                <w:rFonts w:asciiTheme="minorHAnsi" w:eastAsia="Times New Roman" w:hAnsiTheme="minorHAnsi"/>
                <w:iCs/>
                <w:szCs w:val="17"/>
                <w:lang w:eastAsia="en-US"/>
              </w:rPr>
            </w:pPr>
          </w:p>
          <w:p w14:paraId="489C2A73" w14:textId="77777777" w:rsidR="00AF1B85" w:rsidRPr="00812509" w:rsidRDefault="005621D5"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DFAT led</w:t>
            </w:r>
            <w:r w:rsidR="00AF1B85" w:rsidRPr="00812509">
              <w:rPr>
                <w:rFonts w:asciiTheme="minorHAnsi" w:eastAsia="Times New Roman" w:hAnsiTheme="minorHAnsi"/>
                <w:iCs/>
                <w:szCs w:val="17"/>
                <w:lang w:eastAsia="en-US"/>
              </w:rPr>
              <w:t xml:space="preserve"> </w:t>
            </w:r>
          </w:p>
        </w:tc>
      </w:tr>
    </w:tbl>
    <w:p w14:paraId="0F8CFD0C" w14:textId="77777777" w:rsidR="0059146A" w:rsidRPr="0059146A" w:rsidRDefault="0059146A" w:rsidP="005B5769">
      <w:pPr>
        <w:pStyle w:val="ListBullet"/>
        <w:tabs>
          <w:tab w:val="clear" w:pos="284"/>
        </w:tabs>
      </w:pPr>
    </w:p>
    <w:p w14:paraId="2ED47A72" w14:textId="77777777" w:rsidR="0059146A" w:rsidRDefault="0059146A" w:rsidP="005B5769">
      <w:pPr>
        <w:pStyle w:val="ListBullet"/>
        <w:tabs>
          <w:tab w:val="clear" w:pos="284"/>
        </w:tabs>
      </w:pPr>
    </w:p>
    <w:p w14:paraId="286A2D06" w14:textId="77777777" w:rsidR="005E606B" w:rsidRDefault="005E606B" w:rsidP="005B5769">
      <w:pPr>
        <w:pStyle w:val="ListBullet"/>
        <w:tabs>
          <w:tab w:val="clear" w:pos="284"/>
        </w:tabs>
        <w:sectPr w:rsidR="005E606B" w:rsidSect="00D2653F">
          <w:headerReference w:type="default" r:id="rId30"/>
          <w:headerReference w:type="first" r:id="rId31"/>
          <w:pgSz w:w="16838" w:h="11906" w:orient="landscape" w:code="9"/>
          <w:pgMar w:top="1134" w:right="1952" w:bottom="1134" w:left="851" w:header="1107" w:footer="567" w:gutter="0"/>
          <w:cols w:space="397"/>
          <w:docGrid w:linePitch="360"/>
        </w:sectPr>
      </w:pPr>
    </w:p>
    <w:p w14:paraId="0C4E0F35" w14:textId="77777777" w:rsidR="005E606B" w:rsidRPr="00A8197B" w:rsidRDefault="005E606B" w:rsidP="00A8197B">
      <w:pPr>
        <w:pStyle w:val="Subtitle"/>
      </w:pPr>
      <w:r w:rsidRPr="00A8197B">
        <w:lastRenderedPageBreak/>
        <w:t xml:space="preserve">Annex </w:t>
      </w:r>
      <w:r w:rsidR="00184F1E">
        <w:t>D</w:t>
      </w:r>
      <w:r w:rsidRPr="00A8197B">
        <w:t xml:space="preserve"> - Aid Quality Check ratings</w:t>
      </w:r>
    </w:p>
    <w:p w14:paraId="29AA176E" w14:textId="77777777" w:rsidR="005E606B" w:rsidRPr="00A8197B" w:rsidRDefault="005E606B" w:rsidP="00A8197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A8197B">
        <w:rPr>
          <w:rFonts w:asciiTheme="majorHAnsi" w:eastAsiaTheme="majorEastAsia" w:hAnsiTheme="majorHAnsi" w:cstheme="majorBidi"/>
          <w:caps/>
          <w:color w:val="495965" w:themeColor="text2"/>
          <w:sz w:val="38"/>
          <w:szCs w:val="26"/>
          <w:lang w:val="en-GB" w:eastAsia="en-US"/>
        </w:rPr>
        <w:t>AQC ratings</w:t>
      </w:r>
    </w:p>
    <w:p w14:paraId="7D51B31F" w14:textId="77777777" w:rsidR="009020CC" w:rsidRDefault="009020CC" w:rsidP="009020CC">
      <w:r w:rsidRPr="00C61187">
        <w:t>AQC investment performance over the previous 12 months and where available last</w:t>
      </w:r>
      <w:r>
        <w:t xml:space="preserve"> year’s AQC ratings</w:t>
      </w:r>
      <w:r w:rsidRPr="00C61187">
        <w:t>.</w:t>
      </w:r>
    </w:p>
    <w:tbl>
      <w:tblPr>
        <w:tblW w:w="12540" w:type="dxa"/>
        <w:tblLook w:val="04A0" w:firstRow="1" w:lastRow="0" w:firstColumn="1" w:lastColumn="0" w:noHBand="0" w:noVBand="1"/>
      </w:tblPr>
      <w:tblGrid>
        <w:gridCol w:w="3300"/>
        <w:gridCol w:w="1340"/>
        <w:gridCol w:w="1180"/>
        <w:gridCol w:w="960"/>
        <w:gridCol w:w="960"/>
        <w:gridCol w:w="960"/>
        <w:gridCol w:w="960"/>
        <w:gridCol w:w="960"/>
        <w:gridCol w:w="960"/>
        <w:gridCol w:w="960"/>
      </w:tblGrid>
      <w:tr w:rsidR="00DE7320" w:rsidRPr="00DE7320" w14:paraId="2C7BCC25" w14:textId="77777777" w:rsidTr="00DE7320">
        <w:trPr>
          <w:trHeight w:val="1185"/>
        </w:trPr>
        <w:tc>
          <w:tcPr>
            <w:tcW w:w="3300" w:type="dxa"/>
            <w:tcBorders>
              <w:top w:val="single" w:sz="8" w:space="0" w:color="auto"/>
              <w:left w:val="nil"/>
              <w:bottom w:val="single" w:sz="8" w:space="0" w:color="auto"/>
              <w:right w:val="nil"/>
            </w:tcBorders>
            <w:shd w:val="clear" w:color="auto" w:fill="auto"/>
            <w:vAlign w:val="center"/>
            <w:hideMark/>
          </w:tcPr>
          <w:p w14:paraId="2BD45371" w14:textId="06B35909" w:rsidR="00DE7320" w:rsidRPr="00DE7320" w:rsidRDefault="00DE7320" w:rsidP="00DE7320">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DE7320">
              <w:rPr>
                <w:rFonts w:ascii="Calibri Light" w:eastAsia="Times New Roman" w:hAnsi="Calibri Light" w:cs="Times New Roman"/>
                <w:b/>
                <w:bCs/>
                <w:iCs/>
                <w:noProof/>
                <w:color w:val="495965"/>
                <w:sz w:val="17"/>
                <w:szCs w:val="17"/>
                <w:lang w:val="en-AU" w:eastAsia="en-AU"/>
              </w:rPr>
              <w:drawing>
                <wp:anchor distT="0" distB="0" distL="114300" distR="114300" simplePos="0" relativeHeight="251676672" behindDoc="0" locked="0" layoutInCell="1" allowOverlap="1" wp14:anchorId="4B16269E" wp14:editId="6DC3AC3C">
                  <wp:simplePos x="0" y="0"/>
                  <wp:positionH relativeFrom="column">
                    <wp:posOffset>0</wp:posOffset>
                  </wp:positionH>
                  <wp:positionV relativeFrom="paragraph">
                    <wp:posOffset>0</wp:posOffset>
                  </wp:positionV>
                  <wp:extent cx="3714750" cy="228600"/>
                  <wp:effectExtent l="0" t="0" r="0" b="0"/>
                  <wp:wrapNone/>
                  <wp:docPr id="38" name="Picture 38" hidden="1"/>
                  <wp:cNvGraphicFramePr/>
                  <a:graphic xmlns:a="http://schemas.openxmlformats.org/drawingml/2006/main">
                    <a:graphicData uri="http://schemas.openxmlformats.org/drawingml/2006/picture">
                      <pic:pic xmlns:pic="http://schemas.openxmlformats.org/drawingml/2006/picture">
                        <pic:nvPicPr>
                          <pic:cNvPr id="2" name="Picture 3" hidden="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DE7320">
              <w:rPr>
                <w:rFonts w:ascii="Calibri Light" w:eastAsia="Times New Roman" w:hAnsi="Calibri Light" w:cs="Times New Roman"/>
                <w:b/>
                <w:bCs/>
                <w:iCs/>
                <w:color w:val="495965"/>
                <w:sz w:val="17"/>
                <w:szCs w:val="17"/>
                <w:lang w:eastAsia="en-AU"/>
              </w:rPr>
              <w:t>Investment name</w:t>
            </w:r>
          </w:p>
        </w:tc>
        <w:tc>
          <w:tcPr>
            <w:tcW w:w="1340" w:type="dxa"/>
            <w:tcBorders>
              <w:top w:val="single" w:sz="8" w:space="0" w:color="auto"/>
              <w:left w:val="nil"/>
              <w:bottom w:val="single" w:sz="8" w:space="0" w:color="auto"/>
              <w:right w:val="nil"/>
            </w:tcBorders>
            <w:shd w:val="clear" w:color="auto" w:fill="auto"/>
            <w:vAlign w:val="center"/>
            <w:hideMark/>
          </w:tcPr>
          <w:p w14:paraId="0B91D9F0" w14:textId="77777777" w:rsidR="00DE7320" w:rsidRPr="00DE7320" w:rsidRDefault="00DE7320" w:rsidP="00DE7320">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DE7320">
              <w:rPr>
                <w:rFonts w:ascii="Calibri Light" w:eastAsia="Times New Roman" w:hAnsi="Calibri Light" w:cs="Times New Roman"/>
                <w:b/>
                <w:bCs/>
                <w:iCs/>
                <w:color w:val="495965"/>
                <w:sz w:val="17"/>
                <w:szCs w:val="17"/>
                <w:lang w:eastAsia="en-AU"/>
              </w:rPr>
              <w:t>Approved budget and duration</w:t>
            </w:r>
          </w:p>
        </w:tc>
        <w:tc>
          <w:tcPr>
            <w:tcW w:w="1180" w:type="dxa"/>
            <w:tcBorders>
              <w:top w:val="single" w:sz="8" w:space="0" w:color="auto"/>
              <w:left w:val="nil"/>
              <w:bottom w:val="single" w:sz="8" w:space="0" w:color="auto"/>
              <w:right w:val="nil"/>
            </w:tcBorders>
            <w:shd w:val="clear" w:color="auto" w:fill="auto"/>
            <w:vAlign w:val="center"/>
            <w:hideMark/>
          </w:tcPr>
          <w:p w14:paraId="75629564" w14:textId="77777777" w:rsidR="00DE7320" w:rsidRPr="00DE7320" w:rsidRDefault="00DE7320" w:rsidP="00DE7320">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DE7320">
              <w:rPr>
                <w:rFonts w:ascii="Calibri Light" w:eastAsia="Times New Roman" w:hAnsi="Calibri Light" w:cs="Times New Roman"/>
                <w:b/>
                <w:bCs/>
                <w:iCs/>
                <w:color w:val="495965"/>
                <w:sz w:val="17"/>
                <w:szCs w:val="17"/>
                <w:lang w:eastAsia="en-AU"/>
              </w:rPr>
              <w:t>year on year</w:t>
            </w:r>
          </w:p>
        </w:tc>
        <w:tc>
          <w:tcPr>
            <w:tcW w:w="960" w:type="dxa"/>
            <w:tcBorders>
              <w:top w:val="single" w:sz="8" w:space="0" w:color="auto"/>
              <w:left w:val="nil"/>
              <w:bottom w:val="single" w:sz="8" w:space="0" w:color="auto"/>
              <w:right w:val="nil"/>
            </w:tcBorders>
            <w:shd w:val="clear" w:color="auto" w:fill="auto"/>
            <w:textDirection w:val="btLr"/>
            <w:vAlign w:val="bottom"/>
            <w:hideMark/>
          </w:tcPr>
          <w:p w14:paraId="620A08EC" w14:textId="77777777" w:rsidR="00DE7320" w:rsidRPr="00DE7320" w:rsidRDefault="00DE7320" w:rsidP="00DE7320">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DE7320">
              <w:rPr>
                <w:rFonts w:ascii="Calibri Light" w:eastAsia="Times New Roman" w:hAnsi="Calibri Light" w:cs="Times New Roman"/>
                <w:b/>
                <w:bCs/>
                <w:iCs/>
                <w:color w:val="495965"/>
                <w:sz w:val="17"/>
                <w:szCs w:val="17"/>
                <w:lang w:eastAsia="en-AU"/>
              </w:rPr>
              <w:t>Relevance</w:t>
            </w:r>
          </w:p>
        </w:tc>
        <w:tc>
          <w:tcPr>
            <w:tcW w:w="960" w:type="dxa"/>
            <w:tcBorders>
              <w:top w:val="single" w:sz="8" w:space="0" w:color="auto"/>
              <w:left w:val="nil"/>
              <w:bottom w:val="single" w:sz="8" w:space="0" w:color="auto"/>
              <w:right w:val="nil"/>
            </w:tcBorders>
            <w:shd w:val="clear" w:color="auto" w:fill="auto"/>
            <w:textDirection w:val="btLr"/>
            <w:vAlign w:val="bottom"/>
            <w:hideMark/>
          </w:tcPr>
          <w:p w14:paraId="36053FA5" w14:textId="77777777" w:rsidR="00DE7320" w:rsidRPr="00DE7320" w:rsidRDefault="00DE7320" w:rsidP="00DE7320">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DE7320">
              <w:rPr>
                <w:rFonts w:ascii="Calibri Light" w:eastAsia="Times New Roman" w:hAnsi="Calibri Light" w:cs="Times New Roman"/>
                <w:b/>
                <w:bCs/>
                <w:iCs/>
                <w:color w:val="495965"/>
                <w:sz w:val="17"/>
                <w:szCs w:val="17"/>
                <w:lang w:eastAsia="en-AU"/>
              </w:rPr>
              <w:t>Effectiveness</w:t>
            </w:r>
          </w:p>
        </w:tc>
        <w:tc>
          <w:tcPr>
            <w:tcW w:w="960" w:type="dxa"/>
            <w:tcBorders>
              <w:top w:val="single" w:sz="8" w:space="0" w:color="auto"/>
              <w:left w:val="nil"/>
              <w:bottom w:val="single" w:sz="8" w:space="0" w:color="auto"/>
              <w:right w:val="nil"/>
            </w:tcBorders>
            <w:shd w:val="clear" w:color="auto" w:fill="auto"/>
            <w:textDirection w:val="btLr"/>
            <w:vAlign w:val="bottom"/>
            <w:hideMark/>
          </w:tcPr>
          <w:p w14:paraId="026764BA" w14:textId="77777777" w:rsidR="00DE7320" w:rsidRPr="00DE7320" w:rsidRDefault="00DE7320" w:rsidP="00DE7320">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DE7320">
              <w:rPr>
                <w:rFonts w:ascii="Calibri Light" w:eastAsia="Times New Roman" w:hAnsi="Calibri Light" w:cs="Times New Roman"/>
                <w:b/>
                <w:bCs/>
                <w:iCs/>
                <w:color w:val="495965"/>
                <w:sz w:val="17"/>
                <w:szCs w:val="17"/>
                <w:lang w:eastAsia="en-AU"/>
              </w:rPr>
              <w:t>Efficiency</w:t>
            </w:r>
          </w:p>
        </w:tc>
        <w:tc>
          <w:tcPr>
            <w:tcW w:w="960" w:type="dxa"/>
            <w:tcBorders>
              <w:top w:val="single" w:sz="8" w:space="0" w:color="auto"/>
              <w:left w:val="nil"/>
              <w:bottom w:val="single" w:sz="8" w:space="0" w:color="auto"/>
              <w:right w:val="nil"/>
            </w:tcBorders>
            <w:shd w:val="clear" w:color="auto" w:fill="auto"/>
            <w:textDirection w:val="btLr"/>
            <w:vAlign w:val="bottom"/>
            <w:hideMark/>
          </w:tcPr>
          <w:p w14:paraId="538FE77F" w14:textId="77777777" w:rsidR="00DE7320" w:rsidRPr="00DE7320" w:rsidRDefault="00DE7320" w:rsidP="00DE7320">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DE7320">
              <w:rPr>
                <w:rFonts w:ascii="Calibri Light" w:eastAsia="Times New Roman" w:hAnsi="Calibri Light" w:cs="Times New Roman"/>
                <w:b/>
                <w:bCs/>
                <w:iCs/>
                <w:color w:val="495965"/>
                <w:sz w:val="17"/>
                <w:szCs w:val="17"/>
                <w:lang w:eastAsia="en-AU"/>
              </w:rPr>
              <w:t>Monitoring and Evaluation</w:t>
            </w:r>
          </w:p>
        </w:tc>
        <w:tc>
          <w:tcPr>
            <w:tcW w:w="960" w:type="dxa"/>
            <w:tcBorders>
              <w:top w:val="single" w:sz="8" w:space="0" w:color="auto"/>
              <w:left w:val="nil"/>
              <w:bottom w:val="single" w:sz="8" w:space="0" w:color="auto"/>
              <w:right w:val="nil"/>
            </w:tcBorders>
            <w:shd w:val="clear" w:color="auto" w:fill="auto"/>
            <w:textDirection w:val="btLr"/>
            <w:vAlign w:val="bottom"/>
            <w:hideMark/>
          </w:tcPr>
          <w:p w14:paraId="52B0C842" w14:textId="77777777" w:rsidR="00DE7320" w:rsidRPr="00DE7320" w:rsidRDefault="00DE7320" w:rsidP="00DE7320">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DE7320">
              <w:rPr>
                <w:rFonts w:ascii="Calibri Light" w:eastAsia="Times New Roman" w:hAnsi="Calibri Light" w:cs="Times New Roman"/>
                <w:b/>
                <w:bCs/>
                <w:iCs/>
                <w:color w:val="495965"/>
                <w:sz w:val="17"/>
                <w:szCs w:val="17"/>
                <w:lang w:eastAsia="en-AU"/>
              </w:rPr>
              <w:t>Sustainability</w:t>
            </w:r>
          </w:p>
        </w:tc>
        <w:tc>
          <w:tcPr>
            <w:tcW w:w="960" w:type="dxa"/>
            <w:tcBorders>
              <w:top w:val="single" w:sz="8" w:space="0" w:color="auto"/>
              <w:left w:val="nil"/>
              <w:bottom w:val="single" w:sz="8" w:space="0" w:color="auto"/>
              <w:right w:val="nil"/>
            </w:tcBorders>
            <w:shd w:val="clear" w:color="auto" w:fill="auto"/>
            <w:textDirection w:val="btLr"/>
            <w:vAlign w:val="bottom"/>
            <w:hideMark/>
          </w:tcPr>
          <w:p w14:paraId="62FF63A4" w14:textId="77777777" w:rsidR="00DE7320" w:rsidRPr="00DE7320" w:rsidRDefault="00DE7320" w:rsidP="00DE7320">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DE7320">
              <w:rPr>
                <w:rFonts w:ascii="Calibri Light" w:eastAsia="Times New Roman" w:hAnsi="Calibri Light" w:cs="Times New Roman"/>
                <w:b/>
                <w:bCs/>
                <w:iCs/>
                <w:color w:val="495965"/>
                <w:sz w:val="17"/>
                <w:szCs w:val="17"/>
                <w:lang w:eastAsia="en-AU"/>
              </w:rPr>
              <w:t>Gender equality</w:t>
            </w:r>
          </w:p>
        </w:tc>
        <w:tc>
          <w:tcPr>
            <w:tcW w:w="960" w:type="dxa"/>
            <w:tcBorders>
              <w:top w:val="single" w:sz="8" w:space="0" w:color="auto"/>
              <w:left w:val="nil"/>
              <w:bottom w:val="single" w:sz="8" w:space="0" w:color="auto"/>
              <w:right w:val="nil"/>
            </w:tcBorders>
            <w:shd w:val="clear" w:color="auto" w:fill="auto"/>
            <w:textDirection w:val="btLr"/>
            <w:vAlign w:val="bottom"/>
            <w:hideMark/>
          </w:tcPr>
          <w:p w14:paraId="7A9E7858" w14:textId="77777777" w:rsidR="00DE7320" w:rsidRPr="00DE7320" w:rsidRDefault="00DE7320" w:rsidP="00DE7320">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DE7320">
              <w:rPr>
                <w:rFonts w:ascii="Calibri Light" w:eastAsia="Times New Roman" w:hAnsi="Calibri Light" w:cs="Times New Roman"/>
                <w:b/>
                <w:bCs/>
                <w:iCs/>
                <w:color w:val="495965"/>
                <w:sz w:val="17"/>
                <w:szCs w:val="17"/>
                <w:lang w:eastAsia="en-AU"/>
              </w:rPr>
              <w:t>Risks  and Safeguards</w:t>
            </w:r>
          </w:p>
        </w:tc>
      </w:tr>
      <w:tr w:rsidR="00DE7320" w:rsidRPr="00DE7320" w14:paraId="512E5B86" w14:textId="77777777" w:rsidTr="00DE7320">
        <w:trPr>
          <w:trHeight w:val="300"/>
        </w:trPr>
        <w:tc>
          <w:tcPr>
            <w:tcW w:w="3300" w:type="dxa"/>
            <w:tcBorders>
              <w:top w:val="nil"/>
              <w:left w:val="nil"/>
              <w:bottom w:val="nil"/>
              <w:right w:val="nil"/>
            </w:tcBorders>
            <w:shd w:val="clear" w:color="auto" w:fill="auto"/>
            <w:vAlign w:val="center"/>
            <w:hideMark/>
          </w:tcPr>
          <w:p w14:paraId="24536ACE" w14:textId="77777777" w:rsidR="00DE7320" w:rsidRPr="00DE7320" w:rsidRDefault="00DE7320" w:rsidP="00DE7320">
            <w:pPr>
              <w:suppressAutoHyphens w:val="0"/>
              <w:spacing w:before="0" w:after="0" w:line="240" w:lineRule="auto"/>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Nauru Infrastructure and Services (INI949)</w:t>
            </w:r>
          </w:p>
        </w:tc>
        <w:tc>
          <w:tcPr>
            <w:tcW w:w="1340" w:type="dxa"/>
            <w:tcBorders>
              <w:top w:val="nil"/>
              <w:left w:val="nil"/>
              <w:bottom w:val="nil"/>
              <w:right w:val="nil"/>
            </w:tcBorders>
            <w:shd w:val="clear" w:color="auto" w:fill="auto"/>
            <w:vAlign w:val="center"/>
            <w:hideMark/>
          </w:tcPr>
          <w:p w14:paraId="2F351FA1" w14:textId="77777777" w:rsidR="00DE7320" w:rsidRPr="00DE7320" w:rsidRDefault="00DE7320" w:rsidP="00DE7320">
            <w:pPr>
              <w:suppressAutoHyphens w:val="0"/>
              <w:spacing w:before="0" w:after="0" w:line="240" w:lineRule="auto"/>
              <w:jc w:val="center"/>
              <w:rPr>
                <w:rFonts w:ascii="Calibri Light" w:eastAsia="Times New Roman" w:hAnsi="Calibri Light" w:cs="Times New Roman"/>
                <w:color w:val="000000"/>
                <w:sz w:val="17"/>
                <w:szCs w:val="17"/>
                <w:lang w:val="en-AU" w:eastAsia="en-AU"/>
              </w:rPr>
            </w:pPr>
            <w:r w:rsidRPr="00DE7320">
              <w:rPr>
                <w:rFonts w:ascii="Calibri Light" w:eastAsia="Times New Roman" w:hAnsi="Calibri Light" w:cs="Times New Roman"/>
                <w:color w:val="000000"/>
                <w:sz w:val="17"/>
                <w:szCs w:val="17"/>
                <w:lang w:eastAsia="en-AU"/>
              </w:rPr>
              <w:t xml:space="preserve">$61.4m </w:t>
            </w:r>
          </w:p>
        </w:tc>
        <w:tc>
          <w:tcPr>
            <w:tcW w:w="1180" w:type="dxa"/>
            <w:tcBorders>
              <w:top w:val="nil"/>
              <w:left w:val="nil"/>
              <w:bottom w:val="nil"/>
              <w:right w:val="nil"/>
            </w:tcBorders>
            <w:shd w:val="clear" w:color="auto" w:fill="auto"/>
            <w:vAlign w:val="center"/>
            <w:hideMark/>
          </w:tcPr>
          <w:p w14:paraId="240B1F35" w14:textId="77777777" w:rsidR="00DE7320" w:rsidRPr="00DE7320" w:rsidRDefault="00DE7320" w:rsidP="00DE7320">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2017 AQC</w:t>
            </w:r>
          </w:p>
        </w:tc>
        <w:tc>
          <w:tcPr>
            <w:tcW w:w="960" w:type="dxa"/>
            <w:tcBorders>
              <w:top w:val="nil"/>
              <w:left w:val="nil"/>
              <w:bottom w:val="nil"/>
              <w:right w:val="nil"/>
            </w:tcBorders>
            <w:shd w:val="clear" w:color="000000" w:fill="92D050"/>
            <w:noWrap/>
            <w:vAlign w:val="center"/>
            <w:hideMark/>
          </w:tcPr>
          <w:p w14:paraId="59B9052D"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5</w:t>
            </w:r>
          </w:p>
        </w:tc>
        <w:tc>
          <w:tcPr>
            <w:tcW w:w="960" w:type="dxa"/>
            <w:tcBorders>
              <w:top w:val="nil"/>
              <w:left w:val="nil"/>
              <w:bottom w:val="nil"/>
              <w:right w:val="nil"/>
            </w:tcBorders>
            <w:shd w:val="clear" w:color="000000" w:fill="92D050"/>
            <w:noWrap/>
            <w:vAlign w:val="center"/>
            <w:hideMark/>
          </w:tcPr>
          <w:p w14:paraId="2A086FC8"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5</w:t>
            </w:r>
          </w:p>
        </w:tc>
        <w:tc>
          <w:tcPr>
            <w:tcW w:w="960" w:type="dxa"/>
            <w:tcBorders>
              <w:top w:val="nil"/>
              <w:left w:val="nil"/>
              <w:bottom w:val="nil"/>
              <w:right w:val="nil"/>
            </w:tcBorders>
            <w:shd w:val="clear" w:color="000000" w:fill="FFFF00"/>
            <w:noWrap/>
            <w:vAlign w:val="center"/>
            <w:hideMark/>
          </w:tcPr>
          <w:p w14:paraId="20B51CBB"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4</w:t>
            </w:r>
          </w:p>
        </w:tc>
        <w:tc>
          <w:tcPr>
            <w:tcW w:w="960" w:type="dxa"/>
            <w:tcBorders>
              <w:top w:val="nil"/>
              <w:left w:val="nil"/>
              <w:bottom w:val="nil"/>
              <w:right w:val="nil"/>
            </w:tcBorders>
            <w:shd w:val="clear" w:color="000000" w:fill="FFFF00"/>
            <w:noWrap/>
            <w:vAlign w:val="center"/>
            <w:hideMark/>
          </w:tcPr>
          <w:p w14:paraId="5F1BF9F0"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4</w:t>
            </w:r>
          </w:p>
        </w:tc>
        <w:tc>
          <w:tcPr>
            <w:tcW w:w="960" w:type="dxa"/>
            <w:tcBorders>
              <w:top w:val="nil"/>
              <w:left w:val="nil"/>
              <w:bottom w:val="nil"/>
              <w:right w:val="nil"/>
            </w:tcBorders>
            <w:shd w:val="clear" w:color="000000" w:fill="FFFF00"/>
            <w:noWrap/>
            <w:vAlign w:val="center"/>
            <w:hideMark/>
          </w:tcPr>
          <w:p w14:paraId="4F505B61"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4</w:t>
            </w:r>
          </w:p>
        </w:tc>
        <w:tc>
          <w:tcPr>
            <w:tcW w:w="960" w:type="dxa"/>
            <w:tcBorders>
              <w:top w:val="nil"/>
              <w:left w:val="nil"/>
              <w:bottom w:val="nil"/>
              <w:right w:val="nil"/>
            </w:tcBorders>
            <w:shd w:val="clear" w:color="000000" w:fill="FF0000"/>
            <w:noWrap/>
            <w:vAlign w:val="center"/>
            <w:hideMark/>
          </w:tcPr>
          <w:p w14:paraId="58CE875B"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2</w:t>
            </w:r>
          </w:p>
        </w:tc>
        <w:tc>
          <w:tcPr>
            <w:tcW w:w="960" w:type="dxa"/>
            <w:tcBorders>
              <w:top w:val="nil"/>
              <w:left w:val="nil"/>
              <w:bottom w:val="nil"/>
              <w:right w:val="nil"/>
            </w:tcBorders>
            <w:shd w:val="clear" w:color="000000" w:fill="FFFFFF"/>
            <w:vAlign w:val="center"/>
            <w:hideMark/>
          </w:tcPr>
          <w:p w14:paraId="062B9636"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N/A</w:t>
            </w:r>
          </w:p>
        </w:tc>
      </w:tr>
      <w:tr w:rsidR="00DE7320" w:rsidRPr="00DE7320" w14:paraId="7DFD35A9" w14:textId="77777777" w:rsidTr="00DE7320">
        <w:trPr>
          <w:trHeight w:val="315"/>
        </w:trPr>
        <w:tc>
          <w:tcPr>
            <w:tcW w:w="3300" w:type="dxa"/>
            <w:tcBorders>
              <w:top w:val="nil"/>
              <w:left w:val="nil"/>
              <w:bottom w:val="single" w:sz="8" w:space="0" w:color="auto"/>
              <w:right w:val="nil"/>
            </w:tcBorders>
            <w:shd w:val="clear" w:color="auto" w:fill="auto"/>
            <w:vAlign w:val="center"/>
            <w:hideMark/>
          </w:tcPr>
          <w:p w14:paraId="7A7A0F93" w14:textId="77777777" w:rsidR="00DE7320" w:rsidRPr="00DE7320" w:rsidRDefault="00DE7320" w:rsidP="00DE7320">
            <w:pPr>
              <w:suppressAutoHyphens w:val="0"/>
              <w:spacing w:before="0" w:after="0" w:line="240" w:lineRule="auto"/>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color w:val="495965"/>
                <w:sz w:val="17"/>
                <w:szCs w:val="17"/>
                <w:lang w:val="en-AU" w:eastAsia="en-AU"/>
              </w:rPr>
              <w:t> </w:t>
            </w:r>
          </w:p>
        </w:tc>
        <w:tc>
          <w:tcPr>
            <w:tcW w:w="1340" w:type="dxa"/>
            <w:tcBorders>
              <w:top w:val="nil"/>
              <w:left w:val="nil"/>
              <w:bottom w:val="single" w:sz="8" w:space="0" w:color="auto"/>
              <w:right w:val="nil"/>
            </w:tcBorders>
            <w:shd w:val="clear" w:color="auto" w:fill="auto"/>
            <w:vAlign w:val="center"/>
            <w:hideMark/>
          </w:tcPr>
          <w:p w14:paraId="37B469D2" w14:textId="77777777" w:rsidR="00DE7320" w:rsidRPr="00DE7320" w:rsidRDefault="00DE7320" w:rsidP="00DE7320">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 xml:space="preserve">2009-18 </w:t>
            </w:r>
          </w:p>
        </w:tc>
        <w:tc>
          <w:tcPr>
            <w:tcW w:w="1180" w:type="dxa"/>
            <w:tcBorders>
              <w:top w:val="nil"/>
              <w:left w:val="nil"/>
              <w:bottom w:val="single" w:sz="8" w:space="0" w:color="auto"/>
              <w:right w:val="nil"/>
            </w:tcBorders>
            <w:shd w:val="clear" w:color="auto" w:fill="auto"/>
            <w:vAlign w:val="center"/>
            <w:hideMark/>
          </w:tcPr>
          <w:p w14:paraId="1F4C7B07" w14:textId="77777777" w:rsidR="00DE7320" w:rsidRPr="00DE7320" w:rsidRDefault="00DE7320" w:rsidP="00DE7320">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2016 AQC</w:t>
            </w:r>
          </w:p>
        </w:tc>
        <w:tc>
          <w:tcPr>
            <w:tcW w:w="960" w:type="dxa"/>
            <w:tcBorders>
              <w:top w:val="nil"/>
              <w:left w:val="nil"/>
              <w:bottom w:val="single" w:sz="8" w:space="0" w:color="auto"/>
              <w:right w:val="nil"/>
            </w:tcBorders>
            <w:shd w:val="clear" w:color="000000" w:fill="92D050"/>
            <w:noWrap/>
            <w:vAlign w:val="center"/>
            <w:hideMark/>
          </w:tcPr>
          <w:p w14:paraId="541877EF"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5</w:t>
            </w:r>
          </w:p>
        </w:tc>
        <w:tc>
          <w:tcPr>
            <w:tcW w:w="960" w:type="dxa"/>
            <w:tcBorders>
              <w:top w:val="nil"/>
              <w:left w:val="nil"/>
              <w:bottom w:val="single" w:sz="8" w:space="0" w:color="auto"/>
              <w:right w:val="nil"/>
            </w:tcBorders>
            <w:shd w:val="clear" w:color="000000" w:fill="FFFF00"/>
            <w:noWrap/>
            <w:vAlign w:val="center"/>
            <w:hideMark/>
          </w:tcPr>
          <w:p w14:paraId="49BDF519"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4</w:t>
            </w:r>
          </w:p>
        </w:tc>
        <w:tc>
          <w:tcPr>
            <w:tcW w:w="960" w:type="dxa"/>
            <w:tcBorders>
              <w:top w:val="nil"/>
              <w:left w:val="nil"/>
              <w:bottom w:val="single" w:sz="8" w:space="0" w:color="auto"/>
              <w:right w:val="nil"/>
            </w:tcBorders>
            <w:shd w:val="clear" w:color="000000" w:fill="FFC000"/>
            <w:noWrap/>
            <w:vAlign w:val="center"/>
            <w:hideMark/>
          </w:tcPr>
          <w:p w14:paraId="1770A1CB"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3</w:t>
            </w:r>
          </w:p>
        </w:tc>
        <w:tc>
          <w:tcPr>
            <w:tcW w:w="960" w:type="dxa"/>
            <w:tcBorders>
              <w:top w:val="nil"/>
              <w:left w:val="nil"/>
              <w:bottom w:val="single" w:sz="8" w:space="0" w:color="auto"/>
              <w:right w:val="nil"/>
            </w:tcBorders>
            <w:shd w:val="clear" w:color="000000" w:fill="FFFF00"/>
            <w:noWrap/>
            <w:vAlign w:val="center"/>
            <w:hideMark/>
          </w:tcPr>
          <w:p w14:paraId="56FB96D3"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4</w:t>
            </w:r>
          </w:p>
        </w:tc>
        <w:tc>
          <w:tcPr>
            <w:tcW w:w="960" w:type="dxa"/>
            <w:tcBorders>
              <w:top w:val="nil"/>
              <w:left w:val="nil"/>
              <w:bottom w:val="single" w:sz="8" w:space="0" w:color="auto"/>
              <w:right w:val="nil"/>
            </w:tcBorders>
            <w:shd w:val="clear" w:color="000000" w:fill="FFC000"/>
            <w:noWrap/>
            <w:vAlign w:val="center"/>
            <w:hideMark/>
          </w:tcPr>
          <w:p w14:paraId="0CD611B2"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3</w:t>
            </w:r>
          </w:p>
        </w:tc>
        <w:tc>
          <w:tcPr>
            <w:tcW w:w="960" w:type="dxa"/>
            <w:tcBorders>
              <w:top w:val="nil"/>
              <w:left w:val="nil"/>
              <w:bottom w:val="single" w:sz="8" w:space="0" w:color="auto"/>
              <w:right w:val="nil"/>
            </w:tcBorders>
            <w:shd w:val="clear" w:color="000000" w:fill="FFFF00"/>
            <w:noWrap/>
            <w:vAlign w:val="center"/>
            <w:hideMark/>
          </w:tcPr>
          <w:p w14:paraId="0B718281"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4</w:t>
            </w:r>
          </w:p>
        </w:tc>
        <w:tc>
          <w:tcPr>
            <w:tcW w:w="960" w:type="dxa"/>
            <w:tcBorders>
              <w:top w:val="nil"/>
              <w:left w:val="nil"/>
              <w:bottom w:val="single" w:sz="8" w:space="0" w:color="auto"/>
              <w:right w:val="nil"/>
            </w:tcBorders>
            <w:shd w:val="clear" w:color="000000" w:fill="FFFF00"/>
            <w:vAlign w:val="center"/>
            <w:hideMark/>
          </w:tcPr>
          <w:p w14:paraId="1CA8421E"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4</w:t>
            </w:r>
          </w:p>
        </w:tc>
      </w:tr>
      <w:tr w:rsidR="00DE7320" w:rsidRPr="00DE7320" w14:paraId="22BE3F51" w14:textId="77777777" w:rsidTr="00DE7320">
        <w:trPr>
          <w:trHeight w:val="300"/>
        </w:trPr>
        <w:tc>
          <w:tcPr>
            <w:tcW w:w="3300" w:type="dxa"/>
            <w:tcBorders>
              <w:top w:val="nil"/>
              <w:left w:val="nil"/>
              <w:bottom w:val="nil"/>
              <w:right w:val="nil"/>
            </w:tcBorders>
            <w:shd w:val="clear" w:color="auto" w:fill="auto"/>
            <w:vAlign w:val="center"/>
            <w:hideMark/>
          </w:tcPr>
          <w:p w14:paraId="7600A082" w14:textId="77777777" w:rsidR="00DE7320" w:rsidRPr="00DE7320" w:rsidRDefault="00DE7320" w:rsidP="00DE7320">
            <w:pPr>
              <w:suppressAutoHyphens w:val="0"/>
              <w:spacing w:before="0" w:after="0" w:line="240" w:lineRule="auto"/>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Nauru Public Sector Reform (INI943)</w:t>
            </w:r>
          </w:p>
        </w:tc>
        <w:tc>
          <w:tcPr>
            <w:tcW w:w="1340" w:type="dxa"/>
            <w:tcBorders>
              <w:top w:val="nil"/>
              <w:left w:val="nil"/>
              <w:bottom w:val="nil"/>
              <w:right w:val="nil"/>
            </w:tcBorders>
            <w:shd w:val="clear" w:color="auto" w:fill="auto"/>
            <w:vAlign w:val="center"/>
            <w:hideMark/>
          </w:tcPr>
          <w:p w14:paraId="111A8ED8" w14:textId="77777777" w:rsidR="00DE7320" w:rsidRPr="00DE7320" w:rsidRDefault="00DE7320" w:rsidP="00DE7320">
            <w:pPr>
              <w:suppressAutoHyphens w:val="0"/>
              <w:spacing w:before="0" w:after="0" w:line="240" w:lineRule="auto"/>
              <w:jc w:val="center"/>
              <w:rPr>
                <w:rFonts w:ascii="Calibri Light" w:eastAsia="Times New Roman" w:hAnsi="Calibri Light" w:cs="Times New Roman"/>
                <w:color w:val="000000"/>
                <w:sz w:val="17"/>
                <w:szCs w:val="17"/>
                <w:lang w:val="en-AU" w:eastAsia="en-AU"/>
              </w:rPr>
            </w:pPr>
            <w:r w:rsidRPr="00DE7320">
              <w:rPr>
                <w:rFonts w:ascii="Calibri Light" w:eastAsia="Times New Roman" w:hAnsi="Calibri Light" w:cs="Times New Roman"/>
                <w:color w:val="000000"/>
                <w:sz w:val="17"/>
                <w:szCs w:val="17"/>
                <w:lang w:eastAsia="en-AU"/>
              </w:rPr>
              <w:t xml:space="preserve">$31.4m </w:t>
            </w:r>
          </w:p>
        </w:tc>
        <w:tc>
          <w:tcPr>
            <w:tcW w:w="1180" w:type="dxa"/>
            <w:tcBorders>
              <w:top w:val="nil"/>
              <w:left w:val="nil"/>
              <w:bottom w:val="nil"/>
              <w:right w:val="nil"/>
            </w:tcBorders>
            <w:shd w:val="clear" w:color="auto" w:fill="auto"/>
            <w:vAlign w:val="center"/>
            <w:hideMark/>
          </w:tcPr>
          <w:p w14:paraId="42E6B26F" w14:textId="77777777" w:rsidR="00DE7320" w:rsidRPr="00DE7320" w:rsidRDefault="00DE7320" w:rsidP="00DE7320">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2017 AQC</w:t>
            </w:r>
          </w:p>
        </w:tc>
        <w:tc>
          <w:tcPr>
            <w:tcW w:w="960" w:type="dxa"/>
            <w:tcBorders>
              <w:top w:val="nil"/>
              <w:left w:val="nil"/>
              <w:bottom w:val="nil"/>
              <w:right w:val="nil"/>
            </w:tcBorders>
            <w:shd w:val="clear" w:color="000000" w:fill="92D050"/>
            <w:noWrap/>
            <w:vAlign w:val="center"/>
            <w:hideMark/>
          </w:tcPr>
          <w:p w14:paraId="27582E7B"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5</w:t>
            </w:r>
          </w:p>
        </w:tc>
        <w:tc>
          <w:tcPr>
            <w:tcW w:w="960" w:type="dxa"/>
            <w:tcBorders>
              <w:top w:val="nil"/>
              <w:left w:val="nil"/>
              <w:bottom w:val="nil"/>
              <w:right w:val="nil"/>
            </w:tcBorders>
            <w:shd w:val="clear" w:color="000000" w:fill="FFFF00"/>
            <w:noWrap/>
            <w:vAlign w:val="center"/>
            <w:hideMark/>
          </w:tcPr>
          <w:p w14:paraId="7CFBFC92"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4</w:t>
            </w:r>
          </w:p>
        </w:tc>
        <w:tc>
          <w:tcPr>
            <w:tcW w:w="960" w:type="dxa"/>
            <w:tcBorders>
              <w:top w:val="nil"/>
              <w:left w:val="nil"/>
              <w:bottom w:val="nil"/>
              <w:right w:val="nil"/>
            </w:tcBorders>
            <w:shd w:val="clear" w:color="000000" w:fill="FFFF00"/>
            <w:noWrap/>
            <w:vAlign w:val="center"/>
            <w:hideMark/>
          </w:tcPr>
          <w:p w14:paraId="6A156FB6"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4</w:t>
            </w:r>
          </w:p>
        </w:tc>
        <w:tc>
          <w:tcPr>
            <w:tcW w:w="960" w:type="dxa"/>
            <w:tcBorders>
              <w:top w:val="nil"/>
              <w:left w:val="nil"/>
              <w:bottom w:val="nil"/>
              <w:right w:val="nil"/>
            </w:tcBorders>
            <w:shd w:val="clear" w:color="000000" w:fill="FFFF00"/>
            <w:noWrap/>
            <w:vAlign w:val="center"/>
            <w:hideMark/>
          </w:tcPr>
          <w:p w14:paraId="536B90ED"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4</w:t>
            </w:r>
          </w:p>
        </w:tc>
        <w:tc>
          <w:tcPr>
            <w:tcW w:w="960" w:type="dxa"/>
            <w:tcBorders>
              <w:top w:val="nil"/>
              <w:left w:val="nil"/>
              <w:bottom w:val="nil"/>
              <w:right w:val="nil"/>
            </w:tcBorders>
            <w:shd w:val="clear" w:color="000000" w:fill="FFFF00"/>
            <w:noWrap/>
            <w:vAlign w:val="center"/>
            <w:hideMark/>
          </w:tcPr>
          <w:p w14:paraId="60A3BEF2"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4</w:t>
            </w:r>
          </w:p>
        </w:tc>
        <w:tc>
          <w:tcPr>
            <w:tcW w:w="960" w:type="dxa"/>
            <w:tcBorders>
              <w:top w:val="nil"/>
              <w:left w:val="nil"/>
              <w:bottom w:val="nil"/>
              <w:right w:val="nil"/>
            </w:tcBorders>
            <w:shd w:val="clear" w:color="000000" w:fill="FF0000"/>
            <w:noWrap/>
            <w:vAlign w:val="center"/>
            <w:hideMark/>
          </w:tcPr>
          <w:p w14:paraId="04E12482"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2</w:t>
            </w:r>
          </w:p>
        </w:tc>
        <w:tc>
          <w:tcPr>
            <w:tcW w:w="960" w:type="dxa"/>
            <w:tcBorders>
              <w:top w:val="nil"/>
              <w:left w:val="nil"/>
              <w:bottom w:val="nil"/>
              <w:right w:val="nil"/>
            </w:tcBorders>
            <w:shd w:val="clear" w:color="000000" w:fill="FFFFFF"/>
            <w:vAlign w:val="center"/>
            <w:hideMark/>
          </w:tcPr>
          <w:p w14:paraId="4C42337E"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N/A</w:t>
            </w:r>
          </w:p>
        </w:tc>
      </w:tr>
      <w:tr w:rsidR="00DE7320" w:rsidRPr="00DE7320" w14:paraId="413436E1" w14:textId="77777777" w:rsidTr="00DE7320">
        <w:trPr>
          <w:trHeight w:val="315"/>
        </w:trPr>
        <w:tc>
          <w:tcPr>
            <w:tcW w:w="3300" w:type="dxa"/>
            <w:tcBorders>
              <w:top w:val="nil"/>
              <w:left w:val="nil"/>
              <w:bottom w:val="single" w:sz="8" w:space="0" w:color="auto"/>
              <w:right w:val="nil"/>
            </w:tcBorders>
            <w:shd w:val="clear" w:color="auto" w:fill="auto"/>
            <w:vAlign w:val="center"/>
            <w:hideMark/>
          </w:tcPr>
          <w:p w14:paraId="778FD865" w14:textId="77777777" w:rsidR="00DE7320" w:rsidRPr="00DE7320" w:rsidRDefault="00DE7320" w:rsidP="00DE7320">
            <w:pPr>
              <w:suppressAutoHyphens w:val="0"/>
              <w:spacing w:before="0" w:after="0" w:line="240" w:lineRule="auto"/>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color w:val="495965"/>
                <w:sz w:val="17"/>
                <w:szCs w:val="17"/>
                <w:lang w:val="en-AU" w:eastAsia="en-AU"/>
              </w:rPr>
              <w:t> </w:t>
            </w:r>
          </w:p>
        </w:tc>
        <w:tc>
          <w:tcPr>
            <w:tcW w:w="1340" w:type="dxa"/>
            <w:tcBorders>
              <w:top w:val="nil"/>
              <w:left w:val="nil"/>
              <w:bottom w:val="single" w:sz="8" w:space="0" w:color="auto"/>
              <w:right w:val="nil"/>
            </w:tcBorders>
            <w:shd w:val="clear" w:color="auto" w:fill="auto"/>
            <w:vAlign w:val="center"/>
            <w:hideMark/>
          </w:tcPr>
          <w:p w14:paraId="646D8FF4" w14:textId="77777777" w:rsidR="00DE7320" w:rsidRPr="00DE7320" w:rsidRDefault="00DE7320" w:rsidP="00DE7320">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 xml:space="preserve">2009-18 </w:t>
            </w:r>
          </w:p>
        </w:tc>
        <w:tc>
          <w:tcPr>
            <w:tcW w:w="1180" w:type="dxa"/>
            <w:tcBorders>
              <w:top w:val="nil"/>
              <w:left w:val="nil"/>
              <w:bottom w:val="single" w:sz="8" w:space="0" w:color="auto"/>
              <w:right w:val="nil"/>
            </w:tcBorders>
            <w:shd w:val="clear" w:color="auto" w:fill="auto"/>
            <w:vAlign w:val="center"/>
            <w:hideMark/>
          </w:tcPr>
          <w:p w14:paraId="5A3867D2" w14:textId="77777777" w:rsidR="00DE7320" w:rsidRPr="00DE7320" w:rsidRDefault="00DE7320" w:rsidP="00DE7320">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2016 AQC</w:t>
            </w:r>
          </w:p>
        </w:tc>
        <w:tc>
          <w:tcPr>
            <w:tcW w:w="960" w:type="dxa"/>
            <w:tcBorders>
              <w:top w:val="nil"/>
              <w:left w:val="nil"/>
              <w:bottom w:val="single" w:sz="8" w:space="0" w:color="auto"/>
              <w:right w:val="nil"/>
            </w:tcBorders>
            <w:shd w:val="clear" w:color="000000" w:fill="92D050"/>
            <w:noWrap/>
            <w:vAlign w:val="center"/>
            <w:hideMark/>
          </w:tcPr>
          <w:p w14:paraId="40F3B782"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5</w:t>
            </w:r>
          </w:p>
        </w:tc>
        <w:tc>
          <w:tcPr>
            <w:tcW w:w="960" w:type="dxa"/>
            <w:tcBorders>
              <w:top w:val="nil"/>
              <w:left w:val="nil"/>
              <w:bottom w:val="single" w:sz="8" w:space="0" w:color="auto"/>
              <w:right w:val="nil"/>
            </w:tcBorders>
            <w:shd w:val="clear" w:color="000000" w:fill="FFFF00"/>
            <w:noWrap/>
            <w:vAlign w:val="center"/>
            <w:hideMark/>
          </w:tcPr>
          <w:p w14:paraId="60D3D65C"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4</w:t>
            </w:r>
          </w:p>
        </w:tc>
        <w:tc>
          <w:tcPr>
            <w:tcW w:w="960" w:type="dxa"/>
            <w:tcBorders>
              <w:top w:val="nil"/>
              <w:left w:val="nil"/>
              <w:bottom w:val="single" w:sz="8" w:space="0" w:color="auto"/>
              <w:right w:val="nil"/>
            </w:tcBorders>
            <w:shd w:val="clear" w:color="000000" w:fill="92D050"/>
            <w:noWrap/>
            <w:vAlign w:val="center"/>
            <w:hideMark/>
          </w:tcPr>
          <w:p w14:paraId="39D362FC"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5</w:t>
            </w:r>
          </w:p>
        </w:tc>
        <w:tc>
          <w:tcPr>
            <w:tcW w:w="960" w:type="dxa"/>
            <w:tcBorders>
              <w:top w:val="nil"/>
              <w:left w:val="nil"/>
              <w:bottom w:val="single" w:sz="8" w:space="0" w:color="auto"/>
              <w:right w:val="nil"/>
            </w:tcBorders>
            <w:shd w:val="clear" w:color="000000" w:fill="FFFF00"/>
            <w:noWrap/>
            <w:vAlign w:val="center"/>
            <w:hideMark/>
          </w:tcPr>
          <w:p w14:paraId="7D893609"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4</w:t>
            </w:r>
          </w:p>
        </w:tc>
        <w:tc>
          <w:tcPr>
            <w:tcW w:w="960" w:type="dxa"/>
            <w:tcBorders>
              <w:top w:val="nil"/>
              <w:left w:val="nil"/>
              <w:bottom w:val="single" w:sz="8" w:space="0" w:color="auto"/>
              <w:right w:val="nil"/>
            </w:tcBorders>
            <w:shd w:val="clear" w:color="000000" w:fill="FFFF00"/>
            <w:noWrap/>
            <w:vAlign w:val="center"/>
            <w:hideMark/>
          </w:tcPr>
          <w:p w14:paraId="13EAE4F8"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4</w:t>
            </w:r>
          </w:p>
        </w:tc>
        <w:tc>
          <w:tcPr>
            <w:tcW w:w="960" w:type="dxa"/>
            <w:tcBorders>
              <w:top w:val="nil"/>
              <w:left w:val="nil"/>
              <w:bottom w:val="single" w:sz="8" w:space="0" w:color="auto"/>
              <w:right w:val="nil"/>
            </w:tcBorders>
            <w:shd w:val="clear" w:color="000000" w:fill="FF0000"/>
            <w:noWrap/>
            <w:vAlign w:val="center"/>
            <w:hideMark/>
          </w:tcPr>
          <w:p w14:paraId="355EAE93"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2</w:t>
            </w:r>
          </w:p>
        </w:tc>
        <w:tc>
          <w:tcPr>
            <w:tcW w:w="960" w:type="dxa"/>
            <w:tcBorders>
              <w:top w:val="nil"/>
              <w:left w:val="nil"/>
              <w:bottom w:val="single" w:sz="8" w:space="0" w:color="auto"/>
              <w:right w:val="nil"/>
            </w:tcBorders>
            <w:shd w:val="clear" w:color="000000" w:fill="92D050"/>
            <w:vAlign w:val="center"/>
            <w:hideMark/>
          </w:tcPr>
          <w:p w14:paraId="0C5C04E3"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4</w:t>
            </w:r>
          </w:p>
        </w:tc>
      </w:tr>
      <w:tr w:rsidR="00DE7320" w:rsidRPr="00DE7320" w14:paraId="28973A5A" w14:textId="77777777" w:rsidTr="00DE7320">
        <w:trPr>
          <w:trHeight w:val="300"/>
        </w:trPr>
        <w:tc>
          <w:tcPr>
            <w:tcW w:w="3300" w:type="dxa"/>
            <w:tcBorders>
              <w:top w:val="nil"/>
              <w:left w:val="nil"/>
              <w:bottom w:val="nil"/>
              <w:right w:val="nil"/>
            </w:tcBorders>
            <w:shd w:val="clear" w:color="auto" w:fill="auto"/>
            <w:vAlign w:val="center"/>
            <w:hideMark/>
          </w:tcPr>
          <w:p w14:paraId="0B2A3B58" w14:textId="77777777" w:rsidR="00DE7320" w:rsidRPr="00DE7320" w:rsidRDefault="00DE7320" w:rsidP="00DE7320">
            <w:pPr>
              <w:suppressAutoHyphens w:val="0"/>
              <w:spacing w:before="0" w:after="0" w:line="240" w:lineRule="auto"/>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Nauru Improved Education (INI950)</w:t>
            </w:r>
          </w:p>
        </w:tc>
        <w:tc>
          <w:tcPr>
            <w:tcW w:w="1340" w:type="dxa"/>
            <w:tcBorders>
              <w:top w:val="nil"/>
              <w:left w:val="nil"/>
              <w:bottom w:val="nil"/>
              <w:right w:val="nil"/>
            </w:tcBorders>
            <w:shd w:val="clear" w:color="auto" w:fill="auto"/>
            <w:vAlign w:val="center"/>
            <w:hideMark/>
          </w:tcPr>
          <w:p w14:paraId="6E335E21" w14:textId="77777777" w:rsidR="00DE7320" w:rsidRPr="00DE7320" w:rsidRDefault="00DE7320" w:rsidP="00DE7320">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$26.1m</w:t>
            </w:r>
          </w:p>
        </w:tc>
        <w:tc>
          <w:tcPr>
            <w:tcW w:w="1180" w:type="dxa"/>
            <w:tcBorders>
              <w:top w:val="nil"/>
              <w:left w:val="nil"/>
              <w:bottom w:val="nil"/>
              <w:right w:val="nil"/>
            </w:tcBorders>
            <w:shd w:val="clear" w:color="auto" w:fill="auto"/>
            <w:vAlign w:val="center"/>
            <w:hideMark/>
          </w:tcPr>
          <w:p w14:paraId="43AF1CE9" w14:textId="77777777" w:rsidR="00DE7320" w:rsidRPr="00DE7320" w:rsidRDefault="00DE7320" w:rsidP="00DE7320">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2017 AQC</w:t>
            </w:r>
          </w:p>
        </w:tc>
        <w:tc>
          <w:tcPr>
            <w:tcW w:w="960" w:type="dxa"/>
            <w:tcBorders>
              <w:top w:val="nil"/>
              <w:left w:val="nil"/>
              <w:bottom w:val="nil"/>
              <w:right w:val="nil"/>
            </w:tcBorders>
            <w:shd w:val="clear" w:color="000000" w:fill="92D050"/>
            <w:noWrap/>
            <w:vAlign w:val="center"/>
            <w:hideMark/>
          </w:tcPr>
          <w:p w14:paraId="2FF4F97A"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5</w:t>
            </w:r>
          </w:p>
        </w:tc>
        <w:tc>
          <w:tcPr>
            <w:tcW w:w="960" w:type="dxa"/>
            <w:tcBorders>
              <w:top w:val="nil"/>
              <w:left w:val="nil"/>
              <w:bottom w:val="nil"/>
              <w:right w:val="nil"/>
            </w:tcBorders>
            <w:shd w:val="clear" w:color="000000" w:fill="FFFF00"/>
            <w:noWrap/>
            <w:vAlign w:val="center"/>
            <w:hideMark/>
          </w:tcPr>
          <w:p w14:paraId="64138733"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4</w:t>
            </w:r>
          </w:p>
        </w:tc>
        <w:tc>
          <w:tcPr>
            <w:tcW w:w="960" w:type="dxa"/>
            <w:tcBorders>
              <w:top w:val="nil"/>
              <w:left w:val="nil"/>
              <w:bottom w:val="nil"/>
              <w:right w:val="nil"/>
            </w:tcBorders>
            <w:shd w:val="clear" w:color="000000" w:fill="FFFF00"/>
            <w:noWrap/>
            <w:vAlign w:val="center"/>
            <w:hideMark/>
          </w:tcPr>
          <w:p w14:paraId="5C368D1D"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4</w:t>
            </w:r>
          </w:p>
        </w:tc>
        <w:tc>
          <w:tcPr>
            <w:tcW w:w="960" w:type="dxa"/>
            <w:tcBorders>
              <w:top w:val="nil"/>
              <w:left w:val="nil"/>
              <w:bottom w:val="nil"/>
              <w:right w:val="nil"/>
            </w:tcBorders>
            <w:shd w:val="clear" w:color="000000" w:fill="FFC000"/>
            <w:noWrap/>
            <w:vAlign w:val="center"/>
            <w:hideMark/>
          </w:tcPr>
          <w:p w14:paraId="33D0665B"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3</w:t>
            </w:r>
          </w:p>
        </w:tc>
        <w:tc>
          <w:tcPr>
            <w:tcW w:w="960" w:type="dxa"/>
            <w:tcBorders>
              <w:top w:val="nil"/>
              <w:left w:val="nil"/>
              <w:bottom w:val="nil"/>
              <w:right w:val="nil"/>
            </w:tcBorders>
            <w:shd w:val="clear" w:color="000000" w:fill="92D050"/>
            <w:noWrap/>
            <w:vAlign w:val="center"/>
            <w:hideMark/>
          </w:tcPr>
          <w:p w14:paraId="5CF37C36"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5</w:t>
            </w:r>
          </w:p>
        </w:tc>
        <w:tc>
          <w:tcPr>
            <w:tcW w:w="960" w:type="dxa"/>
            <w:tcBorders>
              <w:top w:val="nil"/>
              <w:left w:val="nil"/>
              <w:bottom w:val="nil"/>
              <w:right w:val="nil"/>
            </w:tcBorders>
            <w:shd w:val="clear" w:color="000000" w:fill="FFC000"/>
            <w:noWrap/>
            <w:vAlign w:val="center"/>
            <w:hideMark/>
          </w:tcPr>
          <w:p w14:paraId="03F10494"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3</w:t>
            </w:r>
          </w:p>
        </w:tc>
        <w:tc>
          <w:tcPr>
            <w:tcW w:w="960" w:type="dxa"/>
            <w:tcBorders>
              <w:top w:val="nil"/>
              <w:left w:val="nil"/>
              <w:bottom w:val="nil"/>
              <w:right w:val="nil"/>
            </w:tcBorders>
            <w:shd w:val="clear" w:color="000000" w:fill="FFFFFF"/>
            <w:vAlign w:val="center"/>
            <w:hideMark/>
          </w:tcPr>
          <w:p w14:paraId="504956E4"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N/A</w:t>
            </w:r>
          </w:p>
        </w:tc>
      </w:tr>
      <w:tr w:rsidR="00DE7320" w:rsidRPr="00DE7320" w14:paraId="2459B7C2" w14:textId="77777777" w:rsidTr="00DE7320">
        <w:trPr>
          <w:trHeight w:val="315"/>
        </w:trPr>
        <w:tc>
          <w:tcPr>
            <w:tcW w:w="3300" w:type="dxa"/>
            <w:tcBorders>
              <w:top w:val="nil"/>
              <w:left w:val="nil"/>
              <w:bottom w:val="single" w:sz="8" w:space="0" w:color="auto"/>
              <w:right w:val="nil"/>
            </w:tcBorders>
            <w:shd w:val="clear" w:color="auto" w:fill="auto"/>
            <w:vAlign w:val="center"/>
            <w:hideMark/>
          </w:tcPr>
          <w:p w14:paraId="4CA65A26" w14:textId="77777777" w:rsidR="00DE7320" w:rsidRPr="00DE7320" w:rsidRDefault="00DE7320" w:rsidP="00DE7320">
            <w:pPr>
              <w:suppressAutoHyphens w:val="0"/>
              <w:spacing w:before="0" w:after="0" w:line="240" w:lineRule="auto"/>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color w:val="495965"/>
                <w:sz w:val="17"/>
                <w:szCs w:val="17"/>
                <w:lang w:val="en-AU" w:eastAsia="en-AU"/>
              </w:rPr>
              <w:t> </w:t>
            </w:r>
          </w:p>
        </w:tc>
        <w:tc>
          <w:tcPr>
            <w:tcW w:w="1340" w:type="dxa"/>
            <w:tcBorders>
              <w:top w:val="nil"/>
              <w:left w:val="nil"/>
              <w:bottom w:val="nil"/>
              <w:right w:val="nil"/>
            </w:tcBorders>
            <w:shd w:val="clear" w:color="auto" w:fill="auto"/>
            <w:vAlign w:val="center"/>
            <w:hideMark/>
          </w:tcPr>
          <w:p w14:paraId="24DD3A46" w14:textId="77777777" w:rsidR="00DE7320" w:rsidRPr="00DE7320" w:rsidRDefault="00DE7320" w:rsidP="00DE7320">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2009-18</w:t>
            </w:r>
          </w:p>
        </w:tc>
        <w:tc>
          <w:tcPr>
            <w:tcW w:w="1180" w:type="dxa"/>
            <w:tcBorders>
              <w:top w:val="nil"/>
              <w:left w:val="nil"/>
              <w:bottom w:val="nil"/>
              <w:right w:val="nil"/>
            </w:tcBorders>
            <w:shd w:val="clear" w:color="auto" w:fill="auto"/>
            <w:vAlign w:val="center"/>
            <w:hideMark/>
          </w:tcPr>
          <w:p w14:paraId="56115A6F" w14:textId="77777777" w:rsidR="00DE7320" w:rsidRPr="00DE7320" w:rsidRDefault="00DE7320" w:rsidP="00DE7320">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2016 AQC</w:t>
            </w:r>
          </w:p>
        </w:tc>
        <w:tc>
          <w:tcPr>
            <w:tcW w:w="960" w:type="dxa"/>
            <w:tcBorders>
              <w:top w:val="nil"/>
              <w:left w:val="nil"/>
              <w:bottom w:val="nil"/>
              <w:right w:val="nil"/>
            </w:tcBorders>
            <w:shd w:val="clear" w:color="000000" w:fill="92D050"/>
            <w:noWrap/>
            <w:vAlign w:val="center"/>
            <w:hideMark/>
          </w:tcPr>
          <w:p w14:paraId="72C72758"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 </w:t>
            </w:r>
          </w:p>
        </w:tc>
        <w:tc>
          <w:tcPr>
            <w:tcW w:w="960" w:type="dxa"/>
            <w:tcBorders>
              <w:top w:val="nil"/>
              <w:left w:val="nil"/>
              <w:bottom w:val="nil"/>
              <w:right w:val="nil"/>
            </w:tcBorders>
            <w:shd w:val="clear" w:color="000000" w:fill="FFFF00"/>
            <w:noWrap/>
            <w:vAlign w:val="center"/>
            <w:hideMark/>
          </w:tcPr>
          <w:p w14:paraId="5D3D3EB2"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4</w:t>
            </w:r>
          </w:p>
        </w:tc>
        <w:tc>
          <w:tcPr>
            <w:tcW w:w="960" w:type="dxa"/>
            <w:tcBorders>
              <w:top w:val="nil"/>
              <w:left w:val="nil"/>
              <w:bottom w:val="nil"/>
              <w:right w:val="nil"/>
            </w:tcBorders>
            <w:shd w:val="clear" w:color="000000" w:fill="FFFF00"/>
            <w:noWrap/>
            <w:vAlign w:val="center"/>
            <w:hideMark/>
          </w:tcPr>
          <w:p w14:paraId="119B29E1"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4</w:t>
            </w:r>
          </w:p>
        </w:tc>
        <w:tc>
          <w:tcPr>
            <w:tcW w:w="960" w:type="dxa"/>
            <w:tcBorders>
              <w:top w:val="nil"/>
              <w:left w:val="nil"/>
              <w:bottom w:val="nil"/>
              <w:right w:val="nil"/>
            </w:tcBorders>
            <w:shd w:val="clear" w:color="000000" w:fill="FFC000"/>
            <w:noWrap/>
            <w:vAlign w:val="center"/>
            <w:hideMark/>
          </w:tcPr>
          <w:p w14:paraId="08A24FD8"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3</w:t>
            </w:r>
          </w:p>
        </w:tc>
        <w:tc>
          <w:tcPr>
            <w:tcW w:w="960" w:type="dxa"/>
            <w:tcBorders>
              <w:top w:val="nil"/>
              <w:left w:val="nil"/>
              <w:bottom w:val="nil"/>
              <w:right w:val="nil"/>
            </w:tcBorders>
            <w:shd w:val="clear" w:color="000000" w:fill="92D050"/>
            <w:noWrap/>
            <w:vAlign w:val="center"/>
            <w:hideMark/>
          </w:tcPr>
          <w:p w14:paraId="55DDC04C"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5</w:t>
            </w:r>
          </w:p>
        </w:tc>
        <w:tc>
          <w:tcPr>
            <w:tcW w:w="960" w:type="dxa"/>
            <w:tcBorders>
              <w:top w:val="nil"/>
              <w:left w:val="nil"/>
              <w:bottom w:val="nil"/>
              <w:right w:val="nil"/>
            </w:tcBorders>
            <w:shd w:val="clear" w:color="000000" w:fill="FFFF00"/>
            <w:noWrap/>
            <w:vAlign w:val="center"/>
            <w:hideMark/>
          </w:tcPr>
          <w:p w14:paraId="3727119B" w14:textId="6D86CCB7" w:rsidR="00DE7320" w:rsidRPr="00DE7320" w:rsidRDefault="00DE7320" w:rsidP="00DE318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4</w:t>
            </w:r>
            <w:bookmarkStart w:id="0" w:name="_GoBack"/>
            <w:bookmarkEnd w:id="0"/>
          </w:p>
        </w:tc>
        <w:tc>
          <w:tcPr>
            <w:tcW w:w="960" w:type="dxa"/>
            <w:tcBorders>
              <w:top w:val="nil"/>
              <w:left w:val="nil"/>
              <w:bottom w:val="nil"/>
              <w:right w:val="nil"/>
            </w:tcBorders>
            <w:shd w:val="clear" w:color="000000" w:fill="FFC000"/>
            <w:vAlign w:val="center"/>
            <w:hideMark/>
          </w:tcPr>
          <w:p w14:paraId="70DB33A8"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3</w:t>
            </w:r>
          </w:p>
        </w:tc>
      </w:tr>
      <w:tr w:rsidR="00DE7320" w:rsidRPr="00DE7320" w14:paraId="050C4050" w14:textId="77777777" w:rsidTr="00DE7320">
        <w:trPr>
          <w:trHeight w:val="300"/>
        </w:trPr>
        <w:tc>
          <w:tcPr>
            <w:tcW w:w="3300" w:type="dxa"/>
            <w:tcBorders>
              <w:top w:val="nil"/>
              <w:left w:val="nil"/>
              <w:bottom w:val="nil"/>
              <w:right w:val="nil"/>
            </w:tcBorders>
            <w:shd w:val="clear" w:color="auto" w:fill="auto"/>
            <w:vAlign w:val="center"/>
            <w:hideMark/>
          </w:tcPr>
          <w:p w14:paraId="20EB4D8B" w14:textId="77777777" w:rsidR="00DE7320" w:rsidRPr="00DE7320" w:rsidRDefault="00DE7320" w:rsidP="00DE7320">
            <w:pPr>
              <w:suppressAutoHyphens w:val="0"/>
              <w:spacing w:before="0" w:after="0" w:line="240" w:lineRule="auto"/>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Nauru Improved Health (INI970)</w:t>
            </w:r>
          </w:p>
        </w:tc>
        <w:tc>
          <w:tcPr>
            <w:tcW w:w="1340" w:type="dxa"/>
            <w:tcBorders>
              <w:top w:val="single" w:sz="8" w:space="0" w:color="auto"/>
              <w:left w:val="nil"/>
              <w:bottom w:val="nil"/>
              <w:right w:val="nil"/>
            </w:tcBorders>
            <w:shd w:val="clear" w:color="auto" w:fill="auto"/>
            <w:vAlign w:val="center"/>
            <w:hideMark/>
          </w:tcPr>
          <w:p w14:paraId="7E0A8C95" w14:textId="77777777" w:rsidR="00DE7320" w:rsidRPr="00DE7320" w:rsidRDefault="00DE7320" w:rsidP="00DE7320">
            <w:pPr>
              <w:suppressAutoHyphens w:val="0"/>
              <w:spacing w:before="0" w:after="0" w:line="240" w:lineRule="auto"/>
              <w:jc w:val="center"/>
              <w:rPr>
                <w:rFonts w:ascii="Franklin Gothic Book" w:eastAsia="Times New Roman" w:hAnsi="Franklin Gothic Book" w:cs="Times New Roman"/>
                <w:color w:val="495965"/>
                <w:sz w:val="17"/>
                <w:szCs w:val="17"/>
                <w:lang w:val="en-AU" w:eastAsia="en-AU"/>
              </w:rPr>
            </w:pPr>
            <w:r w:rsidRPr="00DE7320">
              <w:rPr>
                <w:rFonts w:ascii="Franklin Gothic Book" w:eastAsia="Times New Roman" w:hAnsi="Franklin Gothic Book" w:cs="Times New Roman"/>
                <w:color w:val="495965"/>
                <w:sz w:val="17"/>
                <w:szCs w:val="17"/>
                <w:lang w:eastAsia="en-AU"/>
              </w:rPr>
              <w:t>$25.7m</w:t>
            </w:r>
          </w:p>
        </w:tc>
        <w:tc>
          <w:tcPr>
            <w:tcW w:w="1180" w:type="dxa"/>
            <w:tcBorders>
              <w:top w:val="single" w:sz="8" w:space="0" w:color="auto"/>
              <w:left w:val="nil"/>
              <w:bottom w:val="nil"/>
              <w:right w:val="nil"/>
            </w:tcBorders>
            <w:shd w:val="clear" w:color="auto" w:fill="auto"/>
            <w:vAlign w:val="center"/>
            <w:hideMark/>
          </w:tcPr>
          <w:p w14:paraId="75C02E15" w14:textId="77777777" w:rsidR="00DE7320" w:rsidRPr="00DE7320" w:rsidRDefault="00DE7320" w:rsidP="00DE7320">
            <w:pPr>
              <w:suppressAutoHyphens w:val="0"/>
              <w:spacing w:before="0" w:after="0" w:line="240" w:lineRule="auto"/>
              <w:jc w:val="center"/>
              <w:rPr>
                <w:rFonts w:ascii="Franklin Gothic Book" w:eastAsia="Times New Roman" w:hAnsi="Franklin Gothic Book" w:cs="Times New Roman"/>
                <w:color w:val="495965"/>
                <w:sz w:val="17"/>
                <w:szCs w:val="17"/>
                <w:lang w:val="en-AU" w:eastAsia="en-AU"/>
              </w:rPr>
            </w:pPr>
            <w:r w:rsidRPr="00DE7320">
              <w:rPr>
                <w:rFonts w:ascii="Franklin Gothic Book" w:eastAsia="Times New Roman" w:hAnsi="Franklin Gothic Book" w:cs="Times New Roman"/>
                <w:color w:val="495965"/>
                <w:sz w:val="17"/>
                <w:szCs w:val="17"/>
                <w:lang w:eastAsia="en-AU"/>
              </w:rPr>
              <w:t>2017 AQC</w:t>
            </w:r>
          </w:p>
        </w:tc>
        <w:tc>
          <w:tcPr>
            <w:tcW w:w="960" w:type="dxa"/>
            <w:tcBorders>
              <w:top w:val="single" w:sz="8" w:space="0" w:color="auto"/>
              <w:left w:val="nil"/>
              <w:bottom w:val="nil"/>
              <w:right w:val="nil"/>
            </w:tcBorders>
            <w:shd w:val="clear" w:color="000000" w:fill="FFFF00"/>
            <w:noWrap/>
            <w:vAlign w:val="center"/>
            <w:hideMark/>
          </w:tcPr>
          <w:p w14:paraId="68B4C281"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4</w:t>
            </w:r>
          </w:p>
        </w:tc>
        <w:tc>
          <w:tcPr>
            <w:tcW w:w="960" w:type="dxa"/>
            <w:tcBorders>
              <w:top w:val="single" w:sz="8" w:space="0" w:color="auto"/>
              <w:left w:val="nil"/>
              <w:bottom w:val="nil"/>
              <w:right w:val="nil"/>
            </w:tcBorders>
            <w:shd w:val="clear" w:color="000000" w:fill="FF0000"/>
            <w:noWrap/>
            <w:vAlign w:val="center"/>
            <w:hideMark/>
          </w:tcPr>
          <w:p w14:paraId="7996B7D6"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2</w:t>
            </w:r>
          </w:p>
        </w:tc>
        <w:tc>
          <w:tcPr>
            <w:tcW w:w="960" w:type="dxa"/>
            <w:tcBorders>
              <w:top w:val="single" w:sz="8" w:space="0" w:color="auto"/>
              <w:left w:val="nil"/>
              <w:bottom w:val="nil"/>
              <w:right w:val="nil"/>
            </w:tcBorders>
            <w:shd w:val="clear" w:color="000000" w:fill="FF0000"/>
            <w:noWrap/>
            <w:vAlign w:val="center"/>
            <w:hideMark/>
          </w:tcPr>
          <w:p w14:paraId="261778F1"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2</w:t>
            </w:r>
          </w:p>
        </w:tc>
        <w:tc>
          <w:tcPr>
            <w:tcW w:w="960" w:type="dxa"/>
            <w:tcBorders>
              <w:top w:val="single" w:sz="8" w:space="0" w:color="auto"/>
              <w:left w:val="nil"/>
              <w:bottom w:val="nil"/>
              <w:right w:val="nil"/>
            </w:tcBorders>
            <w:shd w:val="clear" w:color="000000" w:fill="FFC000"/>
            <w:noWrap/>
            <w:vAlign w:val="center"/>
            <w:hideMark/>
          </w:tcPr>
          <w:p w14:paraId="6D87741D"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3</w:t>
            </w:r>
          </w:p>
        </w:tc>
        <w:tc>
          <w:tcPr>
            <w:tcW w:w="960" w:type="dxa"/>
            <w:tcBorders>
              <w:top w:val="single" w:sz="8" w:space="0" w:color="auto"/>
              <w:left w:val="nil"/>
              <w:bottom w:val="nil"/>
              <w:right w:val="nil"/>
            </w:tcBorders>
            <w:shd w:val="clear" w:color="000000" w:fill="FFC000"/>
            <w:noWrap/>
            <w:vAlign w:val="center"/>
            <w:hideMark/>
          </w:tcPr>
          <w:p w14:paraId="007E7014"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3</w:t>
            </w:r>
          </w:p>
        </w:tc>
        <w:tc>
          <w:tcPr>
            <w:tcW w:w="960" w:type="dxa"/>
            <w:tcBorders>
              <w:top w:val="single" w:sz="8" w:space="0" w:color="auto"/>
              <w:left w:val="nil"/>
              <w:bottom w:val="nil"/>
              <w:right w:val="nil"/>
            </w:tcBorders>
            <w:shd w:val="clear" w:color="000000" w:fill="FFC000"/>
            <w:noWrap/>
            <w:vAlign w:val="center"/>
            <w:hideMark/>
          </w:tcPr>
          <w:p w14:paraId="0D9E6657"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3</w:t>
            </w:r>
          </w:p>
        </w:tc>
        <w:tc>
          <w:tcPr>
            <w:tcW w:w="960" w:type="dxa"/>
            <w:tcBorders>
              <w:top w:val="single" w:sz="8" w:space="0" w:color="auto"/>
              <w:left w:val="nil"/>
              <w:bottom w:val="nil"/>
              <w:right w:val="nil"/>
            </w:tcBorders>
            <w:shd w:val="clear" w:color="000000" w:fill="FFFFFF"/>
            <w:vAlign w:val="center"/>
            <w:hideMark/>
          </w:tcPr>
          <w:p w14:paraId="10C8DE7E"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N/A</w:t>
            </w:r>
          </w:p>
        </w:tc>
      </w:tr>
      <w:tr w:rsidR="00DE7320" w:rsidRPr="00DE7320" w14:paraId="1D866A7B" w14:textId="77777777" w:rsidTr="00DE7320">
        <w:trPr>
          <w:trHeight w:val="315"/>
        </w:trPr>
        <w:tc>
          <w:tcPr>
            <w:tcW w:w="3300" w:type="dxa"/>
            <w:tcBorders>
              <w:top w:val="nil"/>
              <w:left w:val="nil"/>
              <w:bottom w:val="single" w:sz="12" w:space="0" w:color="000000"/>
              <w:right w:val="nil"/>
            </w:tcBorders>
            <w:shd w:val="clear" w:color="auto" w:fill="auto"/>
            <w:vAlign w:val="center"/>
            <w:hideMark/>
          </w:tcPr>
          <w:p w14:paraId="420BDF31" w14:textId="77777777" w:rsidR="00DE7320" w:rsidRPr="00DE7320" w:rsidRDefault="00DE7320" w:rsidP="00DE7320">
            <w:pPr>
              <w:suppressAutoHyphens w:val="0"/>
              <w:spacing w:before="0" w:after="0" w:line="240" w:lineRule="auto"/>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color w:val="495965"/>
                <w:sz w:val="17"/>
                <w:szCs w:val="17"/>
                <w:lang w:eastAsia="en-AU"/>
              </w:rPr>
              <w:t> </w:t>
            </w:r>
          </w:p>
        </w:tc>
        <w:tc>
          <w:tcPr>
            <w:tcW w:w="1340" w:type="dxa"/>
            <w:tcBorders>
              <w:top w:val="nil"/>
              <w:left w:val="nil"/>
              <w:bottom w:val="single" w:sz="12" w:space="0" w:color="000000"/>
              <w:right w:val="nil"/>
            </w:tcBorders>
            <w:shd w:val="clear" w:color="auto" w:fill="auto"/>
            <w:vAlign w:val="center"/>
            <w:hideMark/>
          </w:tcPr>
          <w:p w14:paraId="5C7E3DBE" w14:textId="77777777" w:rsidR="00DE7320" w:rsidRPr="00DE7320" w:rsidRDefault="00DE7320" w:rsidP="00DE7320">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color w:val="495965"/>
                <w:sz w:val="17"/>
                <w:szCs w:val="17"/>
                <w:lang w:eastAsia="en-AU"/>
              </w:rPr>
              <w:t>2009 -18</w:t>
            </w:r>
          </w:p>
        </w:tc>
        <w:tc>
          <w:tcPr>
            <w:tcW w:w="1180" w:type="dxa"/>
            <w:tcBorders>
              <w:top w:val="nil"/>
              <w:left w:val="nil"/>
              <w:bottom w:val="single" w:sz="12" w:space="0" w:color="000000"/>
              <w:right w:val="nil"/>
            </w:tcBorders>
            <w:shd w:val="clear" w:color="auto" w:fill="auto"/>
            <w:vAlign w:val="center"/>
            <w:hideMark/>
          </w:tcPr>
          <w:p w14:paraId="72138992" w14:textId="77777777" w:rsidR="00DE7320" w:rsidRPr="00DE7320" w:rsidRDefault="00DE7320" w:rsidP="00DE7320">
            <w:pPr>
              <w:suppressAutoHyphens w:val="0"/>
              <w:spacing w:before="0" w:after="0" w:line="240" w:lineRule="auto"/>
              <w:jc w:val="center"/>
              <w:rPr>
                <w:rFonts w:ascii="Franklin Gothic Book" w:eastAsia="Times New Roman" w:hAnsi="Franklin Gothic Book" w:cs="Times New Roman"/>
                <w:color w:val="495965"/>
                <w:sz w:val="17"/>
                <w:szCs w:val="17"/>
                <w:lang w:val="en-AU" w:eastAsia="en-AU"/>
              </w:rPr>
            </w:pPr>
            <w:r w:rsidRPr="00DE7320">
              <w:rPr>
                <w:rFonts w:ascii="Franklin Gothic Book" w:eastAsia="Times New Roman" w:hAnsi="Franklin Gothic Book" w:cs="Times New Roman"/>
                <w:color w:val="495965"/>
                <w:sz w:val="17"/>
                <w:szCs w:val="17"/>
                <w:lang w:eastAsia="en-AU"/>
              </w:rPr>
              <w:t>2016 AQC</w:t>
            </w:r>
          </w:p>
        </w:tc>
        <w:tc>
          <w:tcPr>
            <w:tcW w:w="960" w:type="dxa"/>
            <w:tcBorders>
              <w:top w:val="nil"/>
              <w:left w:val="nil"/>
              <w:bottom w:val="single" w:sz="12" w:space="0" w:color="000000"/>
              <w:right w:val="nil"/>
            </w:tcBorders>
            <w:shd w:val="clear" w:color="000000" w:fill="92D050"/>
            <w:noWrap/>
            <w:vAlign w:val="center"/>
            <w:hideMark/>
          </w:tcPr>
          <w:p w14:paraId="7291A74A"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5</w:t>
            </w:r>
          </w:p>
        </w:tc>
        <w:tc>
          <w:tcPr>
            <w:tcW w:w="960" w:type="dxa"/>
            <w:tcBorders>
              <w:top w:val="nil"/>
              <w:left w:val="nil"/>
              <w:bottom w:val="single" w:sz="12" w:space="0" w:color="000000"/>
              <w:right w:val="nil"/>
            </w:tcBorders>
            <w:shd w:val="clear" w:color="000000" w:fill="FFC000"/>
            <w:noWrap/>
            <w:vAlign w:val="center"/>
            <w:hideMark/>
          </w:tcPr>
          <w:p w14:paraId="58CBA875"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3</w:t>
            </w:r>
          </w:p>
        </w:tc>
        <w:tc>
          <w:tcPr>
            <w:tcW w:w="960" w:type="dxa"/>
            <w:tcBorders>
              <w:top w:val="nil"/>
              <w:left w:val="nil"/>
              <w:bottom w:val="single" w:sz="12" w:space="0" w:color="000000"/>
              <w:right w:val="nil"/>
            </w:tcBorders>
            <w:shd w:val="clear" w:color="000000" w:fill="FFC000"/>
            <w:noWrap/>
            <w:vAlign w:val="center"/>
            <w:hideMark/>
          </w:tcPr>
          <w:p w14:paraId="180A83F9"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3</w:t>
            </w:r>
          </w:p>
        </w:tc>
        <w:tc>
          <w:tcPr>
            <w:tcW w:w="960" w:type="dxa"/>
            <w:tcBorders>
              <w:top w:val="nil"/>
              <w:left w:val="nil"/>
              <w:bottom w:val="single" w:sz="12" w:space="0" w:color="000000"/>
              <w:right w:val="nil"/>
            </w:tcBorders>
            <w:shd w:val="clear" w:color="000000" w:fill="FFC000"/>
            <w:noWrap/>
            <w:vAlign w:val="center"/>
            <w:hideMark/>
          </w:tcPr>
          <w:p w14:paraId="66759769"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3</w:t>
            </w:r>
          </w:p>
        </w:tc>
        <w:tc>
          <w:tcPr>
            <w:tcW w:w="960" w:type="dxa"/>
            <w:tcBorders>
              <w:top w:val="nil"/>
              <w:left w:val="nil"/>
              <w:bottom w:val="single" w:sz="12" w:space="0" w:color="000000"/>
              <w:right w:val="nil"/>
            </w:tcBorders>
            <w:shd w:val="clear" w:color="000000" w:fill="FFC000"/>
            <w:noWrap/>
            <w:vAlign w:val="center"/>
            <w:hideMark/>
          </w:tcPr>
          <w:p w14:paraId="483E7A93"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3</w:t>
            </w:r>
          </w:p>
        </w:tc>
        <w:tc>
          <w:tcPr>
            <w:tcW w:w="960" w:type="dxa"/>
            <w:tcBorders>
              <w:top w:val="nil"/>
              <w:left w:val="nil"/>
              <w:bottom w:val="single" w:sz="12" w:space="0" w:color="000000"/>
              <w:right w:val="nil"/>
            </w:tcBorders>
            <w:shd w:val="clear" w:color="000000" w:fill="FFFF00"/>
            <w:noWrap/>
            <w:vAlign w:val="center"/>
            <w:hideMark/>
          </w:tcPr>
          <w:p w14:paraId="1FF134AB"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4</w:t>
            </w:r>
          </w:p>
        </w:tc>
        <w:tc>
          <w:tcPr>
            <w:tcW w:w="960" w:type="dxa"/>
            <w:tcBorders>
              <w:top w:val="nil"/>
              <w:left w:val="nil"/>
              <w:bottom w:val="single" w:sz="12" w:space="0" w:color="000000"/>
              <w:right w:val="nil"/>
            </w:tcBorders>
            <w:shd w:val="clear" w:color="000000" w:fill="FFFF00"/>
            <w:vAlign w:val="center"/>
            <w:hideMark/>
          </w:tcPr>
          <w:p w14:paraId="037E40BE"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4</w:t>
            </w:r>
          </w:p>
        </w:tc>
      </w:tr>
    </w:tbl>
    <w:p w14:paraId="7D9DABAF" w14:textId="77777777" w:rsidR="00DE7320" w:rsidRDefault="00DE7320" w:rsidP="009020CC">
      <w:pPr>
        <w:spacing w:before="20" w:after="20" w:line="180" w:lineRule="atLeast"/>
        <w:jc w:val="both"/>
        <w:rPr>
          <w:rFonts w:eastAsia="Times New Roman"/>
          <w:b/>
          <w:sz w:val="16"/>
          <w:szCs w:val="14"/>
        </w:rPr>
      </w:pPr>
    </w:p>
    <w:p w14:paraId="2453A8BE" w14:textId="00CB71AB" w:rsidR="009020CC" w:rsidRPr="00812509" w:rsidRDefault="009020CC" w:rsidP="009020CC">
      <w:pPr>
        <w:spacing w:before="20" w:after="20" w:line="180" w:lineRule="atLeast"/>
        <w:jc w:val="both"/>
        <w:rPr>
          <w:rFonts w:eastAsia="Times New Roman"/>
          <w:b/>
          <w:sz w:val="16"/>
          <w:szCs w:val="14"/>
        </w:rPr>
      </w:pPr>
      <w:r w:rsidRPr="00812509">
        <w:rPr>
          <w:rFonts w:eastAsia="Times New Roman"/>
          <w:b/>
          <w:sz w:val="16"/>
          <w:szCs w:val="14"/>
        </w:rPr>
        <w:t>Definitions of rating scale:</w:t>
      </w:r>
      <w:r w:rsidRPr="00812509">
        <w:rPr>
          <w:rFonts w:eastAsia="Times New Roman"/>
          <w:b/>
          <w:sz w:val="16"/>
          <w:szCs w:val="14"/>
        </w:rPr>
        <w:tab/>
      </w:r>
    </w:p>
    <w:p w14:paraId="387D35D9" w14:textId="77777777" w:rsidR="009020CC" w:rsidRPr="00812509" w:rsidRDefault="009020CC" w:rsidP="009020CC">
      <w:pPr>
        <w:spacing w:before="20" w:after="20" w:line="180" w:lineRule="atLeast"/>
        <w:jc w:val="both"/>
        <w:rPr>
          <w:rFonts w:eastAsia="Times New Roman"/>
          <w:b/>
          <w:sz w:val="16"/>
          <w:szCs w:val="14"/>
        </w:rPr>
      </w:pPr>
      <w:r w:rsidRPr="00812509">
        <w:rPr>
          <w:rFonts w:eastAsia="Times New Roman"/>
          <w:b/>
          <w:sz w:val="16"/>
          <w:szCs w:val="14"/>
        </w:rPr>
        <w:t>Satisfactory (4, 5 and 6)</w:t>
      </w:r>
    </w:p>
    <w:p w14:paraId="3687A1D8" w14:textId="08862CB9" w:rsidR="009020CC" w:rsidRPr="00812509" w:rsidRDefault="009020CC" w:rsidP="009020CC">
      <w:pPr>
        <w:spacing w:before="20" w:after="20" w:line="180" w:lineRule="atLeast"/>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xml:space="preserve"> 6 = Very good; satisfies criteria in all areas. </w:t>
      </w:r>
      <w:r w:rsidR="003B38FB">
        <w:rPr>
          <w:rFonts w:eastAsia="Times New Roman"/>
          <w:b/>
          <w:sz w:val="16"/>
          <w:szCs w:val="14"/>
        </w:rPr>
        <w:br/>
      </w:r>
      <w:r w:rsidRPr="00812509">
        <w:rPr>
          <w:rFonts w:eastAsia="Times New Roman"/>
          <w:b/>
          <w:color w:val="72AF2F"/>
          <w:sz w:val="16"/>
          <w:szCs w:val="14"/>
        </w:rPr>
        <w:sym w:font="Webdings" w:char="F067"/>
      </w:r>
      <w:r w:rsidRPr="00812509">
        <w:rPr>
          <w:rFonts w:eastAsia="Times New Roman"/>
          <w:b/>
          <w:sz w:val="16"/>
          <w:szCs w:val="14"/>
        </w:rPr>
        <w:t xml:space="preserve"> 5 = Good; satisfies criteria in almost all areas.</w:t>
      </w:r>
    </w:p>
    <w:p w14:paraId="0C58B769" w14:textId="77777777" w:rsidR="009020CC" w:rsidRPr="00812509" w:rsidRDefault="009020CC" w:rsidP="009020CC">
      <w:pPr>
        <w:spacing w:before="20" w:after="20" w:line="180" w:lineRule="atLeast"/>
        <w:rPr>
          <w:rFonts w:eastAsia="Times New Roman"/>
          <w:b/>
          <w:sz w:val="16"/>
          <w:szCs w:val="14"/>
        </w:rPr>
      </w:pPr>
      <w:r w:rsidRPr="00812509">
        <w:rPr>
          <w:rFonts w:eastAsia="Times New Roman"/>
          <w:b/>
          <w:color w:val="FFFF00"/>
          <w:sz w:val="16"/>
          <w:szCs w:val="14"/>
        </w:rPr>
        <w:sym w:font="Webdings" w:char="F067"/>
      </w:r>
      <w:r w:rsidRPr="00812509">
        <w:rPr>
          <w:rFonts w:eastAsia="Times New Roman"/>
          <w:b/>
          <w:sz w:val="16"/>
          <w:szCs w:val="14"/>
        </w:rPr>
        <w:t xml:space="preserve"> 4 = Adequate; on balance, satisfies criteria; does not fail in any major area.</w:t>
      </w:r>
    </w:p>
    <w:p w14:paraId="4280E5C0" w14:textId="77777777" w:rsidR="009020CC" w:rsidRPr="00812509" w:rsidRDefault="009020CC" w:rsidP="009020CC">
      <w:pPr>
        <w:spacing w:before="20" w:after="20" w:line="180" w:lineRule="atLeast"/>
        <w:rPr>
          <w:rFonts w:eastAsia="Times New Roman"/>
          <w:b/>
          <w:sz w:val="16"/>
          <w:szCs w:val="14"/>
        </w:rPr>
      </w:pPr>
      <w:r w:rsidRPr="00812509">
        <w:rPr>
          <w:rFonts w:eastAsia="Times New Roman"/>
          <w:b/>
          <w:sz w:val="16"/>
          <w:szCs w:val="14"/>
        </w:rPr>
        <w:t>Less than satisfactory (1, 2 and 3)</w:t>
      </w:r>
    </w:p>
    <w:p w14:paraId="65FACFD6" w14:textId="77777777" w:rsidR="009020CC" w:rsidRPr="00812509" w:rsidRDefault="009020CC" w:rsidP="009020CC">
      <w:pPr>
        <w:spacing w:before="20" w:after="20" w:line="180" w:lineRule="atLeast"/>
        <w:rPr>
          <w:rFonts w:eastAsia="Times New Roman"/>
          <w:b/>
          <w:sz w:val="16"/>
          <w:szCs w:val="14"/>
        </w:rPr>
      </w:pPr>
      <w:r w:rsidRPr="00812509">
        <w:rPr>
          <w:rFonts w:eastAsia="Times New Roman"/>
          <w:b/>
          <w:color w:val="E36C0A"/>
          <w:sz w:val="16"/>
          <w:szCs w:val="14"/>
        </w:rPr>
        <w:sym w:font="Webdings" w:char="F067"/>
      </w:r>
      <w:r w:rsidRPr="00812509">
        <w:rPr>
          <w:rFonts w:eastAsia="Times New Roman"/>
          <w:b/>
          <w:color w:val="E36C0A"/>
          <w:sz w:val="16"/>
          <w:szCs w:val="14"/>
        </w:rPr>
        <w:t xml:space="preserve"> </w:t>
      </w:r>
      <w:r w:rsidRPr="00812509">
        <w:rPr>
          <w:rFonts w:eastAsia="Times New Roman"/>
          <w:b/>
          <w:sz w:val="16"/>
          <w:szCs w:val="14"/>
        </w:rPr>
        <w:t>3 = Less than adequate; on balance does not satisfy criteria and/or fails in at least one major area.</w:t>
      </w:r>
    </w:p>
    <w:p w14:paraId="09551097" w14:textId="2D4E34C4" w:rsidR="00A92CF2" w:rsidRDefault="009020CC" w:rsidP="00A37CAC">
      <w:pPr>
        <w:spacing w:before="20" w:after="20" w:line="180" w:lineRule="atLeast"/>
        <w:rPr>
          <w:rFonts w:eastAsia="Times New Roman"/>
          <w:b/>
          <w:sz w:val="16"/>
          <w:szCs w:val="14"/>
        </w:rPr>
      </w:pPr>
      <w:r w:rsidRPr="00812509">
        <w:rPr>
          <w:rFonts w:eastAsia="Times New Roman"/>
          <w:b/>
          <w:color w:val="FF0000"/>
          <w:sz w:val="16"/>
          <w:szCs w:val="14"/>
        </w:rPr>
        <w:sym w:font="Webdings" w:char="F067"/>
      </w:r>
      <w:r w:rsidRPr="00812509">
        <w:rPr>
          <w:rFonts w:eastAsia="Times New Roman"/>
          <w:b/>
          <w:sz w:val="16"/>
          <w:szCs w:val="14"/>
        </w:rPr>
        <w:t xml:space="preserve"> 2 = Poor; does not satisfy criteria in major areas. </w:t>
      </w:r>
      <w:r w:rsidR="003B38FB">
        <w:rPr>
          <w:rFonts w:eastAsia="Times New Roman"/>
          <w:b/>
          <w:sz w:val="16"/>
          <w:szCs w:val="14"/>
        </w:rPr>
        <w:br/>
      </w:r>
      <w:r w:rsidRPr="00812509">
        <w:rPr>
          <w:rFonts w:eastAsia="Times New Roman"/>
          <w:b/>
          <w:color w:val="FF0000"/>
          <w:sz w:val="16"/>
          <w:szCs w:val="14"/>
        </w:rPr>
        <w:sym w:font="Webdings" w:char="F067"/>
      </w:r>
      <w:r w:rsidRPr="00812509">
        <w:rPr>
          <w:rFonts w:eastAsia="Times New Roman"/>
          <w:b/>
          <w:sz w:val="16"/>
          <w:szCs w:val="14"/>
        </w:rPr>
        <w:t xml:space="preserve"> 1 = Very poor; does not satisfy criteria in many major area.</w:t>
      </w:r>
    </w:p>
    <w:p w14:paraId="49A7208D" w14:textId="147A1776" w:rsidR="00A37CAC" w:rsidRDefault="00A37CAC" w:rsidP="00A37CAC">
      <w:pPr>
        <w:spacing w:before="20" w:after="20" w:line="180" w:lineRule="atLeast"/>
        <w:rPr>
          <w:rFonts w:eastAsia="Times New Roman"/>
          <w:b/>
          <w:sz w:val="16"/>
          <w:szCs w:val="14"/>
        </w:rPr>
      </w:pPr>
    </w:p>
    <w:p w14:paraId="34A47743" w14:textId="77777777" w:rsidR="00A37CAC" w:rsidRDefault="00A37CAC" w:rsidP="00A37CAC">
      <w:pPr>
        <w:spacing w:before="20" w:after="20" w:line="180" w:lineRule="atLeast"/>
        <w:sectPr w:rsidR="00A37CAC" w:rsidSect="00A37CAC">
          <w:headerReference w:type="default" r:id="rId32"/>
          <w:pgSz w:w="16838" w:h="11906" w:orient="landscape" w:code="9"/>
          <w:pgMar w:top="1134" w:right="1525" w:bottom="1134" w:left="851" w:header="1418" w:footer="193" w:gutter="0"/>
          <w:cols w:space="397"/>
          <w:docGrid w:linePitch="360"/>
        </w:sectPr>
      </w:pPr>
    </w:p>
    <w:p w14:paraId="2AE2C9F8" w14:textId="7D18CCF7" w:rsidR="00A37CAC" w:rsidRDefault="00A37CAC" w:rsidP="00A37CAC">
      <w:pPr>
        <w:spacing w:before="20" w:after="20" w:line="180" w:lineRule="atLeast"/>
        <w:rPr>
          <w:rFonts w:eastAsiaTheme="majorEastAsia" w:cstheme="majorBidi"/>
          <w:bCs/>
          <w:iCs/>
          <w:caps/>
          <w:spacing w:val="-10"/>
          <w:kern w:val="28"/>
          <w:sz w:val="38"/>
          <w:szCs w:val="24"/>
        </w:rPr>
      </w:pPr>
      <w:r>
        <w:rPr>
          <w:rFonts w:eastAsiaTheme="majorEastAsia" w:cstheme="majorBidi"/>
          <w:bCs/>
          <w:iCs/>
          <w:caps/>
          <w:spacing w:val="-10"/>
          <w:kern w:val="28"/>
          <w:sz w:val="38"/>
          <w:szCs w:val="24"/>
        </w:rPr>
        <w:lastRenderedPageBreak/>
        <w:t>ANNEX E - PERFORMANCE ASSESSMENT FRAMEWORK</w:t>
      </w:r>
    </w:p>
    <w:tbl>
      <w:tblPr>
        <w:tblStyle w:val="TableGrid"/>
        <w:tblW w:w="14319" w:type="dxa"/>
        <w:tblInd w:w="-147" w:type="dxa"/>
        <w:tblLayout w:type="fixed"/>
        <w:tblLook w:val="04A0" w:firstRow="1" w:lastRow="0" w:firstColumn="1" w:lastColumn="0" w:noHBand="0" w:noVBand="1"/>
      </w:tblPr>
      <w:tblGrid>
        <w:gridCol w:w="2977"/>
        <w:gridCol w:w="5812"/>
        <w:gridCol w:w="5530"/>
      </w:tblGrid>
      <w:tr w:rsidR="00A37CAC" w:rsidRPr="003F23D3" w14:paraId="275F11BD" w14:textId="77777777" w:rsidTr="00A37CAC">
        <w:trPr>
          <w:tblHeader/>
        </w:trPr>
        <w:tc>
          <w:tcPr>
            <w:tcW w:w="2977" w:type="dxa"/>
            <w:vMerge w:val="restart"/>
            <w:shd w:val="clear" w:color="auto" w:fill="ADDEC1" w:themeFill="accent6" w:themeFillTint="66"/>
            <w:vAlign w:val="center"/>
          </w:tcPr>
          <w:p w14:paraId="0C1F8FC1" w14:textId="77777777" w:rsidR="00A37CAC" w:rsidRPr="00C23E21" w:rsidRDefault="00A37CAC" w:rsidP="00A37CAC">
            <w:pPr>
              <w:spacing w:before="40" w:after="0"/>
              <w:jc w:val="center"/>
              <w:rPr>
                <w:b/>
                <w:color w:val="000000" w:themeColor="text1"/>
                <w:sz w:val="20"/>
                <w:szCs w:val="20"/>
                <w:lang w:val="en-AU"/>
              </w:rPr>
            </w:pPr>
            <w:r>
              <w:rPr>
                <w:b/>
                <w:color w:val="000000" w:themeColor="text1"/>
                <w:sz w:val="20"/>
                <w:szCs w:val="20"/>
                <w:lang w:val="en-AU"/>
              </w:rPr>
              <w:t>OBJECTIVE</w:t>
            </w:r>
          </w:p>
        </w:tc>
        <w:tc>
          <w:tcPr>
            <w:tcW w:w="11342" w:type="dxa"/>
            <w:gridSpan w:val="2"/>
            <w:shd w:val="clear" w:color="auto" w:fill="ADDEC1" w:themeFill="accent6" w:themeFillTint="66"/>
          </w:tcPr>
          <w:p w14:paraId="31DA864D" w14:textId="77777777" w:rsidR="00A37CAC" w:rsidRPr="00C23E21" w:rsidRDefault="00A37CAC" w:rsidP="00A37CAC">
            <w:pPr>
              <w:spacing w:before="40" w:after="40"/>
              <w:jc w:val="center"/>
              <w:rPr>
                <w:b/>
                <w:color w:val="000000" w:themeColor="text1"/>
                <w:sz w:val="20"/>
                <w:szCs w:val="20"/>
                <w:lang w:val="en-AU"/>
              </w:rPr>
            </w:pPr>
            <w:r w:rsidRPr="00C23E21">
              <w:rPr>
                <w:b/>
                <w:color w:val="000000" w:themeColor="text1"/>
                <w:sz w:val="20"/>
                <w:szCs w:val="20"/>
                <w:lang w:val="en-AU"/>
              </w:rPr>
              <w:t xml:space="preserve">MILESTONES / BENCHMARKS </w:t>
            </w:r>
          </w:p>
        </w:tc>
      </w:tr>
      <w:tr w:rsidR="00A37CAC" w:rsidRPr="003F23D3" w14:paraId="207BB225" w14:textId="77777777" w:rsidTr="00A37CAC">
        <w:trPr>
          <w:tblHeader/>
        </w:trPr>
        <w:tc>
          <w:tcPr>
            <w:tcW w:w="2977" w:type="dxa"/>
            <w:vMerge/>
            <w:shd w:val="clear" w:color="auto" w:fill="ADDEC1" w:themeFill="accent6" w:themeFillTint="66"/>
          </w:tcPr>
          <w:p w14:paraId="05384A5E" w14:textId="77777777" w:rsidR="00A37CAC" w:rsidRPr="00C23E21" w:rsidRDefault="00A37CAC" w:rsidP="00A37CAC">
            <w:pPr>
              <w:spacing w:before="40" w:after="40"/>
              <w:jc w:val="center"/>
              <w:rPr>
                <w:b/>
                <w:color w:val="002060"/>
                <w:sz w:val="20"/>
                <w:szCs w:val="20"/>
                <w:lang w:val="en-AU"/>
              </w:rPr>
            </w:pPr>
          </w:p>
        </w:tc>
        <w:tc>
          <w:tcPr>
            <w:tcW w:w="5812" w:type="dxa"/>
            <w:shd w:val="clear" w:color="auto" w:fill="E0F3EF" w:themeFill="accent1" w:themeFillTint="33"/>
          </w:tcPr>
          <w:p w14:paraId="5B89AF4B" w14:textId="77777777" w:rsidR="00A37CAC" w:rsidRPr="00C23E21" w:rsidRDefault="00A37CAC" w:rsidP="00A37CAC">
            <w:pPr>
              <w:spacing w:before="40" w:after="40"/>
              <w:jc w:val="center"/>
              <w:rPr>
                <w:b/>
                <w:color w:val="000000" w:themeColor="text1"/>
                <w:sz w:val="20"/>
                <w:szCs w:val="20"/>
                <w:lang w:val="en-AU"/>
              </w:rPr>
            </w:pPr>
            <w:r w:rsidRPr="00C23E21">
              <w:rPr>
                <w:b/>
                <w:color w:val="000000" w:themeColor="text1"/>
                <w:sz w:val="20"/>
                <w:szCs w:val="20"/>
                <w:lang w:val="en-AU"/>
              </w:rPr>
              <w:t xml:space="preserve">2017-18 </w:t>
            </w:r>
          </w:p>
        </w:tc>
        <w:tc>
          <w:tcPr>
            <w:tcW w:w="5530" w:type="dxa"/>
            <w:shd w:val="clear" w:color="auto" w:fill="E0F3EF" w:themeFill="accent1" w:themeFillTint="33"/>
          </w:tcPr>
          <w:p w14:paraId="4C16C476" w14:textId="77777777" w:rsidR="00A37CAC" w:rsidRPr="00C23E21" w:rsidRDefault="00A37CAC" w:rsidP="00A37CAC">
            <w:pPr>
              <w:spacing w:before="40" w:after="40"/>
              <w:jc w:val="center"/>
              <w:rPr>
                <w:b/>
                <w:color w:val="000000" w:themeColor="text1"/>
                <w:sz w:val="20"/>
                <w:szCs w:val="20"/>
                <w:lang w:val="en-AU"/>
              </w:rPr>
            </w:pPr>
            <w:r w:rsidRPr="00C23E21">
              <w:rPr>
                <w:b/>
                <w:color w:val="000000" w:themeColor="text1"/>
                <w:sz w:val="20"/>
                <w:szCs w:val="20"/>
                <w:lang w:val="en-AU"/>
              </w:rPr>
              <w:t xml:space="preserve">2018-19 </w:t>
            </w:r>
          </w:p>
        </w:tc>
      </w:tr>
      <w:tr w:rsidR="00A37CAC" w:rsidRPr="003F23D3" w14:paraId="48900567" w14:textId="77777777" w:rsidTr="00A37CAC">
        <w:trPr>
          <w:trHeight w:val="281"/>
        </w:trPr>
        <w:tc>
          <w:tcPr>
            <w:tcW w:w="14319" w:type="dxa"/>
            <w:gridSpan w:val="3"/>
            <w:shd w:val="clear" w:color="auto" w:fill="F6E6DE" w:themeFill="accent2" w:themeFillTint="33"/>
          </w:tcPr>
          <w:p w14:paraId="446DEFA9" w14:textId="77777777" w:rsidR="00A37CAC" w:rsidRPr="00C23E21" w:rsidRDefault="00A37CAC" w:rsidP="00A37CAC">
            <w:pPr>
              <w:spacing w:before="40" w:after="0"/>
              <w:rPr>
                <w:color w:val="B35D31" w:themeColor="accent2" w:themeShade="BF"/>
                <w:sz w:val="20"/>
                <w:szCs w:val="20"/>
                <w:lang w:val="en-AU"/>
              </w:rPr>
            </w:pPr>
            <w:r w:rsidRPr="00C23E21">
              <w:rPr>
                <w:b/>
                <w:color w:val="000000" w:themeColor="text1"/>
                <w:sz w:val="20"/>
                <w:szCs w:val="20"/>
                <w:lang w:val="en-AU"/>
              </w:rPr>
              <w:t>MORE EFFECTIVE PUBLIC SECTOR MANAGEMENT</w:t>
            </w:r>
          </w:p>
        </w:tc>
      </w:tr>
      <w:tr w:rsidR="00A37CAC" w:rsidRPr="009B2445" w14:paraId="7AB37A35" w14:textId="77777777" w:rsidTr="00A37CAC">
        <w:tc>
          <w:tcPr>
            <w:tcW w:w="2977" w:type="dxa"/>
          </w:tcPr>
          <w:p w14:paraId="582C268B" w14:textId="77777777" w:rsidR="00A37CAC" w:rsidRPr="00AD250E" w:rsidRDefault="00A37CAC" w:rsidP="00A37CAC">
            <w:pPr>
              <w:spacing w:before="40" w:after="40"/>
              <w:rPr>
                <w:sz w:val="16"/>
                <w:szCs w:val="16"/>
              </w:rPr>
            </w:pPr>
            <w:r w:rsidRPr="00AD250E">
              <w:rPr>
                <w:b/>
                <w:color w:val="000000" w:themeColor="text1"/>
                <w:sz w:val="16"/>
                <w:szCs w:val="16"/>
                <w:lang w:val="en-AU"/>
              </w:rPr>
              <w:t>Objective 1.0</w:t>
            </w:r>
            <w:r w:rsidRPr="00AD250E">
              <w:rPr>
                <w:color w:val="000000" w:themeColor="text1"/>
                <w:sz w:val="16"/>
                <w:szCs w:val="16"/>
                <w:lang w:val="en-AU"/>
              </w:rPr>
              <w:t xml:space="preserve"> </w:t>
            </w:r>
            <w:r w:rsidRPr="00AD250E">
              <w:rPr>
                <w:b/>
                <w:color w:val="000000" w:themeColor="text1"/>
                <w:sz w:val="16"/>
                <w:szCs w:val="16"/>
                <w:lang w:val="en-AU"/>
              </w:rPr>
              <w:t>-</w:t>
            </w:r>
            <w:r w:rsidRPr="00AD250E">
              <w:rPr>
                <w:color w:val="000000" w:themeColor="text1"/>
                <w:sz w:val="16"/>
                <w:szCs w:val="16"/>
                <w:lang w:val="en-AU"/>
              </w:rPr>
              <w:t xml:space="preserve"> Strengthened financial management capacity and economic governance to maximise the benefits of available revenue</w:t>
            </w:r>
          </w:p>
        </w:tc>
        <w:tc>
          <w:tcPr>
            <w:tcW w:w="5812" w:type="dxa"/>
          </w:tcPr>
          <w:p w14:paraId="30CF9271" w14:textId="77777777" w:rsidR="00A37CAC" w:rsidRPr="00AD250E" w:rsidRDefault="00A37CAC" w:rsidP="00A37CAC">
            <w:pPr>
              <w:pStyle w:val="ListParagraph"/>
              <w:numPr>
                <w:ilvl w:val="0"/>
                <w:numId w:val="47"/>
              </w:numPr>
              <w:suppressAutoHyphens w:val="0"/>
              <w:spacing w:before="40" w:after="40" w:line="240" w:lineRule="auto"/>
              <w:ind w:left="323" w:hanging="323"/>
              <w:contextualSpacing w:val="0"/>
              <w:rPr>
                <w:color w:val="000000" w:themeColor="text1"/>
                <w:sz w:val="16"/>
                <w:szCs w:val="16"/>
                <w:lang w:val="en-AU"/>
              </w:rPr>
            </w:pPr>
            <w:r w:rsidRPr="00AD250E">
              <w:rPr>
                <w:i/>
                <w:color w:val="000000" w:themeColor="text1"/>
                <w:sz w:val="16"/>
                <w:szCs w:val="16"/>
                <w:lang w:val="en-AU"/>
              </w:rPr>
              <w:t>Operational Account</w:t>
            </w:r>
            <w:r w:rsidRPr="00AD250E">
              <w:rPr>
                <w:color w:val="000000" w:themeColor="text1"/>
                <w:sz w:val="16"/>
                <w:szCs w:val="16"/>
                <w:lang w:val="en-AU"/>
              </w:rPr>
              <w:t xml:space="preserve"> – conduct biannual “audits” that lead to recommendations that are implemented appropriately</w:t>
            </w:r>
          </w:p>
          <w:p w14:paraId="2631BAC4" w14:textId="77777777" w:rsidR="00A37CAC" w:rsidRPr="00AD250E" w:rsidRDefault="00A37CAC" w:rsidP="00A37CAC">
            <w:pPr>
              <w:pStyle w:val="ListParagraph"/>
              <w:numPr>
                <w:ilvl w:val="0"/>
                <w:numId w:val="47"/>
              </w:numPr>
              <w:suppressAutoHyphens w:val="0"/>
              <w:spacing w:before="40" w:after="40" w:line="240" w:lineRule="auto"/>
              <w:ind w:left="323" w:hanging="323"/>
              <w:contextualSpacing w:val="0"/>
              <w:rPr>
                <w:color w:val="000000" w:themeColor="text1"/>
                <w:sz w:val="16"/>
                <w:szCs w:val="16"/>
                <w:lang w:val="en-AU"/>
              </w:rPr>
            </w:pPr>
            <w:r w:rsidRPr="00AD250E">
              <w:rPr>
                <w:i/>
                <w:color w:val="000000" w:themeColor="text1"/>
                <w:sz w:val="16"/>
                <w:szCs w:val="16"/>
                <w:lang w:val="en-AU"/>
              </w:rPr>
              <w:t>Procurement</w:t>
            </w:r>
            <w:r w:rsidRPr="00AD250E">
              <w:rPr>
                <w:color w:val="000000" w:themeColor="text1"/>
                <w:sz w:val="16"/>
                <w:szCs w:val="16"/>
                <w:lang w:val="en-AU"/>
              </w:rPr>
              <w:t xml:space="preserve"> – IPA tender commenced, selected and operational; finalised procurement guidelines</w:t>
            </w:r>
          </w:p>
          <w:p w14:paraId="5CD6B024" w14:textId="77777777" w:rsidR="00A37CAC" w:rsidRPr="00AD250E" w:rsidRDefault="00A37CAC" w:rsidP="00A37CAC">
            <w:pPr>
              <w:pStyle w:val="ListParagraph"/>
              <w:numPr>
                <w:ilvl w:val="0"/>
                <w:numId w:val="47"/>
              </w:numPr>
              <w:suppressAutoHyphens w:val="0"/>
              <w:spacing w:before="40" w:after="40" w:line="240" w:lineRule="auto"/>
              <w:ind w:left="323" w:hanging="323"/>
              <w:contextualSpacing w:val="0"/>
              <w:rPr>
                <w:color w:val="000000" w:themeColor="text1"/>
                <w:sz w:val="16"/>
                <w:szCs w:val="16"/>
                <w:lang w:val="en-AU"/>
              </w:rPr>
            </w:pPr>
            <w:r w:rsidRPr="00AD250E">
              <w:rPr>
                <w:i/>
                <w:color w:val="000000" w:themeColor="text1"/>
                <w:sz w:val="16"/>
                <w:szCs w:val="16"/>
                <w:lang w:val="en-AU"/>
              </w:rPr>
              <w:t>Provision of technical advice</w:t>
            </w:r>
            <w:r w:rsidRPr="00AD250E">
              <w:rPr>
                <w:color w:val="000000" w:themeColor="text1"/>
                <w:sz w:val="16"/>
                <w:szCs w:val="16"/>
                <w:lang w:val="en-AU"/>
              </w:rPr>
              <w:t xml:space="preserve"> to support public financial management that meets partner government expectations</w:t>
            </w:r>
          </w:p>
        </w:tc>
        <w:tc>
          <w:tcPr>
            <w:tcW w:w="5530" w:type="dxa"/>
          </w:tcPr>
          <w:p w14:paraId="33304519" w14:textId="77777777" w:rsidR="00A37CAC" w:rsidRPr="00AD250E" w:rsidRDefault="00A37CAC" w:rsidP="00A37CAC">
            <w:pPr>
              <w:numPr>
                <w:ilvl w:val="0"/>
                <w:numId w:val="47"/>
              </w:numPr>
              <w:suppressAutoHyphens w:val="0"/>
              <w:spacing w:before="40" w:after="40" w:line="240" w:lineRule="auto"/>
              <w:ind w:left="323" w:hanging="323"/>
              <w:rPr>
                <w:color w:val="000000" w:themeColor="text1"/>
                <w:sz w:val="16"/>
                <w:szCs w:val="16"/>
                <w:lang w:val="en-AU"/>
              </w:rPr>
            </w:pPr>
            <w:r w:rsidRPr="00AD250E">
              <w:rPr>
                <w:i/>
                <w:color w:val="000000" w:themeColor="text1"/>
                <w:sz w:val="16"/>
                <w:szCs w:val="16"/>
                <w:lang w:val="en-AU"/>
              </w:rPr>
              <w:t>Operational Account</w:t>
            </w:r>
            <w:r w:rsidRPr="00AD250E">
              <w:rPr>
                <w:color w:val="000000" w:themeColor="text1"/>
                <w:sz w:val="16"/>
                <w:szCs w:val="16"/>
                <w:lang w:val="en-AU"/>
              </w:rPr>
              <w:t xml:space="preserve"> – conduct biannual “audits” that lead to recommendations that are implemented appropriately</w:t>
            </w:r>
          </w:p>
          <w:p w14:paraId="5DD798C3" w14:textId="77777777" w:rsidR="00A37CAC" w:rsidRPr="00AD250E" w:rsidRDefault="00A37CAC" w:rsidP="00A37CAC">
            <w:pPr>
              <w:pStyle w:val="ListParagraph"/>
              <w:numPr>
                <w:ilvl w:val="0"/>
                <w:numId w:val="47"/>
              </w:numPr>
              <w:suppressAutoHyphens w:val="0"/>
              <w:spacing w:before="40" w:after="40" w:line="240" w:lineRule="auto"/>
              <w:ind w:left="323" w:hanging="323"/>
              <w:contextualSpacing w:val="0"/>
              <w:rPr>
                <w:color w:val="000000" w:themeColor="text1"/>
                <w:sz w:val="16"/>
                <w:szCs w:val="16"/>
                <w:lang w:val="en-AU"/>
              </w:rPr>
            </w:pPr>
            <w:r w:rsidRPr="00AD250E">
              <w:rPr>
                <w:i/>
                <w:color w:val="000000" w:themeColor="text1"/>
                <w:sz w:val="16"/>
                <w:szCs w:val="16"/>
                <w:lang w:val="en-AU"/>
              </w:rPr>
              <w:t>Procurement</w:t>
            </w:r>
            <w:r w:rsidRPr="00AD250E">
              <w:rPr>
                <w:color w:val="000000" w:themeColor="text1"/>
                <w:sz w:val="16"/>
                <w:szCs w:val="16"/>
                <w:lang w:val="en-AU"/>
              </w:rPr>
              <w:t xml:space="preserve"> – IPA tender finalised, selected and operational</w:t>
            </w:r>
          </w:p>
          <w:p w14:paraId="330C5206" w14:textId="77777777" w:rsidR="00A37CAC" w:rsidRPr="00AD250E" w:rsidRDefault="00A37CAC" w:rsidP="00A37CAC">
            <w:pPr>
              <w:pStyle w:val="ListParagraph"/>
              <w:numPr>
                <w:ilvl w:val="0"/>
                <w:numId w:val="47"/>
              </w:numPr>
              <w:suppressAutoHyphens w:val="0"/>
              <w:spacing w:before="40" w:after="40" w:line="240" w:lineRule="auto"/>
              <w:ind w:left="323" w:hanging="323"/>
              <w:contextualSpacing w:val="0"/>
              <w:rPr>
                <w:color w:val="000000" w:themeColor="text1"/>
                <w:sz w:val="16"/>
                <w:szCs w:val="16"/>
                <w:lang w:val="en-AU"/>
              </w:rPr>
            </w:pPr>
            <w:r w:rsidRPr="00AD250E">
              <w:rPr>
                <w:color w:val="000000" w:themeColor="text1"/>
                <w:sz w:val="16"/>
                <w:szCs w:val="16"/>
                <w:lang w:val="en-AU"/>
              </w:rPr>
              <w:t>Provision of technical advice</w:t>
            </w:r>
            <w:r w:rsidRPr="00AD250E">
              <w:rPr>
                <w:i/>
                <w:color w:val="000000" w:themeColor="text1"/>
                <w:sz w:val="16"/>
                <w:szCs w:val="16"/>
                <w:lang w:val="en-AU"/>
              </w:rPr>
              <w:t xml:space="preserve"> to support public financial management that meets partner government expectations</w:t>
            </w:r>
          </w:p>
        </w:tc>
      </w:tr>
      <w:tr w:rsidR="00A37CAC" w:rsidRPr="003F23D3" w14:paraId="686354F1" w14:textId="77777777" w:rsidTr="00A37CAC">
        <w:tc>
          <w:tcPr>
            <w:tcW w:w="14319" w:type="dxa"/>
            <w:gridSpan w:val="3"/>
            <w:shd w:val="clear" w:color="auto" w:fill="F6E6DE" w:themeFill="accent2" w:themeFillTint="33"/>
          </w:tcPr>
          <w:p w14:paraId="52642EC6" w14:textId="77777777" w:rsidR="00A37CAC" w:rsidRPr="00C23E21" w:rsidRDefault="00A37CAC" w:rsidP="00A37CAC">
            <w:pPr>
              <w:spacing w:before="40" w:after="40"/>
              <w:rPr>
                <w:b/>
                <w:color w:val="D3875F" w:themeColor="accent2"/>
                <w:sz w:val="20"/>
                <w:szCs w:val="20"/>
                <w:lang w:val="en-AU"/>
              </w:rPr>
            </w:pPr>
            <w:r w:rsidRPr="00C23E21">
              <w:rPr>
                <w:b/>
                <w:color w:val="000000" w:themeColor="text1"/>
                <w:sz w:val="20"/>
                <w:szCs w:val="20"/>
                <w:lang w:val="en-AU"/>
              </w:rPr>
              <w:t>INVESTMENT IN NATION BUILDING INFRASTRUCTURE</w:t>
            </w:r>
          </w:p>
        </w:tc>
      </w:tr>
      <w:tr w:rsidR="00A37CAC" w:rsidRPr="003F23D3" w14:paraId="64C2DBAE" w14:textId="77777777" w:rsidTr="00A37CAC">
        <w:tc>
          <w:tcPr>
            <w:tcW w:w="2977" w:type="dxa"/>
          </w:tcPr>
          <w:p w14:paraId="45BE9AC9" w14:textId="77777777" w:rsidR="00A37CAC" w:rsidRPr="00AD250E" w:rsidRDefault="00A37CAC" w:rsidP="00A37CAC">
            <w:pPr>
              <w:spacing w:before="40" w:after="40"/>
              <w:ind w:left="32"/>
              <w:rPr>
                <w:color w:val="000000" w:themeColor="text1"/>
                <w:sz w:val="16"/>
                <w:szCs w:val="16"/>
                <w:lang w:val="en-AU"/>
              </w:rPr>
            </w:pPr>
            <w:r w:rsidRPr="00AD250E">
              <w:rPr>
                <w:b/>
                <w:color w:val="000000" w:themeColor="text1"/>
                <w:sz w:val="16"/>
                <w:szCs w:val="16"/>
                <w:lang w:val="en-AU"/>
              </w:rPr>
              <w:t>Objective 2.0 -</w:t>
            </w:r>
            <w:r w:rsidRPr="00AD250E">
              <w:rPr>
                <w:color w:val="000000" w:themeColor="text1"/>
                <w:sz w:val="16"/>
                <w:szCs w:val="16"/>
                <w:lang w:val="en-AU"/>
              </w:rPr>
              <w:t xml:space="preserve"> Construction and maintenance of economic infrastructure to support human development and foster commerce and trade)</w:t>
            </w:r>
          </w:p>
        </w:tc>
        <w:tc>
          <w:tcPr>
            <w:tcW w:w="5812" w:type="dxa"/>
          </w:tcPr>
          <w:p w14:paraId="3C44E6D0" w14:textId="77777777" w:rsidR="00A37CAC" w:rsidRPr="00AD250E" w:rsidRDefault="00A37CAC" w:rsidP="00A37CAC">
            <w:pPr>
              <w:pStyle w:val="ListParagraph"/>
              <w:numPr>
                <w:ilvl w:val="0"/>
                <w:numId w:val="47"/>
              </w:numPr>
              <w:suppressAutoHyphens w:val="0"/>
              <w:spacing w:before="40" w:after="40" w:line="240" w:lineRule="auto"/>
              <w:ind w:left="323" w:hanging="323"/>
              <w:contextualSpacing w:val="0"/>
              <w:rPr>
                <w:i/>
                <w:color w:val="000000" w:themeColor="text1"/>
                <w:sz w:val="16"/>
                <w:szCs w:val="16"/>
                <w:lang w:val="en-AU"/>
              </w:rPr>
            </w:pPr>
            <w:r w:rsidRPr="00AD250E">
              <w:rPr>
                <w:i/>
                <w:color w:val="000000" w:themeColor="text1"/>
                <w:sz w:val="16"/>
                <w:szCs w:val="16"/>
                <w:lang w:val="en-AU"/>
              </w:rPr>
              <w:t xml:space="preserve">Electricity supply – </w:t>
            </w:r>
            <w:r w:rsidRPr="00AD250E">
              <w:rPr>
                <w:color w:val="000000" w:themeColor="text1"/>
                <w:sz w:val="16"/>
                <w:szCs w:val="16"/>
                <w:lang w:val="en-AU"/>
              </w:rPr>
              <w:t>delivery, installation and effective operation of 2 generators by NUC</w:t>
            </w:r>
          </w:p>
          <w:p w14:paraId="3A579294" w14:textId="77777777" w:rsidR="00A37CAC" w:rsidRPr="00AD250E" w:rsidRDefault="00A37CAC" w:rsidP="00A37CAC">
            <w:pPr>
              <w:pStyle w:val="ListParagraph"/>
              <w:numPr>
                <w:ilvl w:val="0"/>
                <w:numId w:val="47"/>
              </w:numPr>
              <w:suppressAutoHyphens w:val="0"/>
              <w:spacing w:before="40" w:after="40" w:line="240" w:lineRule="auto"/>
              <w:ind w:left="323" w:hanging="323"/>
              <w:contextualSpacing w:val="0"/>
              <w:rPr>
                <w:color w:val="000000" w:themeColor="text1"/>
                <w:sz w:val="16"/>
                <w:szCs w:val="16"/>
                <w:lang w:val="en-AU"/>
              </w:rPr>
            </w:pPr>
            <w:r w:rsidRPr="00AD250E">
              <w:rPr>
                <w:i/>
                <w:color w:val="000000" w:themeColor="text1"/>
                <w:sz w:val="16"/>
                <w:szCs w:val="16"/>
                <w:lang w:val="en-AU"/>
              </w:rPr>
              <w:t>Port Redevelopment -</w:t>
            </w:r>
            <w:r w:rsidRPr="00AD250E">
              <w:rPr>
                <w:color w:val="000000" w:themeColor="text1"/>
                <w:sz w:val="16"/>
                <w:szCs w:val="16"/>
                <w:lang w:val="en-AU"/>
              </w:rPr>
              <w:t xml:space="preserve"> Nauru Port Reform and Redevelopment Project works commence, with fit for purpose design </w:t>
            </w:r>
          </w:p>
          <w:p w14:paraId="4C9F0983" w14:textId="77777777" w:rsidR="00A37CAC" w:rsidRPr="00AD250E" w:rsidRDefault="00A37CAC" w:rsidP="00A37CAC">
            <w:pPr>
              <w:pStyle w:val="ListParagraph"/>
              <w:numPr>
                <w:ilvl w:val="0"/>
                <w:numId w:val="47"/>
              </w:numPr>
              <w:suppressAutoHyphens w:val="0"/>
              <w:spacing w:before="40" w:after="40" w:line="240" w:lineRule="auto"/>
              <w:ind w:left="323" w:hanging="323"/>
              <w:contextualSpacing w:val="0"/>
              <w:rPr>
                <w:color w:val="000000" w:themeColor="text1"/>
                <w:sz w:val="16"/>
                <w:szCs w:val="16"/>
                <w:lang w:val="en-AU"/>
              </w:rPr>
            </w:pPr>
            <w:r w:rsidRPr="00AD250E">
              <w:rPr>
                <w:i/>
                <w:color w:val="000000" w:themeColor="text1"/>
                <w:sz w:val="16"/>
                <w:szCs w:val="16"/>
                <w:lang w:val="en-AU"/>
              </w:rPr>
              <w:t>Indoor Sports Facility</w:t>
            </w:r>
            <w:r w:rsidRPr="00AD250E">
              <w:rPr>
                <w:color w:val="000000" w:themeColor="text1"/>
                <w:sz w:val="16"/>
                <w:szCs w:val="16"/>
                <w:lang w:val="en-AU"/>
              </w:rPr>
              <w:t xml:space="preserve"> – design finalised and approved, construction commences</w:t>
            </w:r>
          </w:p>
          <w:p w14:paraId="0C3CC6F3" w14:textId="77777777" w:rsidR="00A37CAC" w:rsidRPr="00AD250E" w:rsidRDefault="00A37CAC" w:rsidP="00A37CAC">
            <w:pPr>
              <w:pStyle w:val="ListParagraph"/>
              <w:numPr>
                <w:ilvl w:val="0"/>
                <w:numId w:val="47"/>
              </w:numPr>
              <w:suppressAutoHyphens w:val="0"/>
              <w:spacing w:before="40" w:after="40" w:line="240" w:lineRule="auto"/>
              <w:ind w:left="323" w:hanging="323"/>
              <w:contextualSpacing w:val="0"/>
              <w:rPr>
                <w:color w:val="000000" w:themeColor="text1"/>
                <w:sz w:val="16"/>
                <w:szCs w:val="16"/>
                <w:lang w:val="en-AU"/>
              </w:rPr>
            </w:pPr>
            <w:r w:rsidRPr="00AD250E">
              <w:rPr>
                <w:i/>
                <w:color w:val="000000" w:themeColor="text1"/>
                <w:sz w:val="16"/>
                <w:szCs w:val="16"/>
                <w:lang w:val="en-AU"/>
              </w:rPr>
              <w:t>Learning Village</w:t>
            </w:r>
            <w:r w:rsidRPr="00AD250E">
              <w:rPr>
                <w:color w:val="000000" w:themeColor="text1"/>
                <w:sz w:val="16"/>
                <w:szCs w:val="16"/>
                <w:lang w:val="en-AU"/>
              </w:rPr>
              <w:t xml:space="preserve"> - construction completed; higher education agencies finalise course curriculums for forward teaching period; and library established </w:t>
            </w:r>
          </w:p>
        </w:tc>
        <w:tc>
          <w:tcPr>
            <w:tcW w:w="5530" w:type="dxa"/>
          </w:tcPr>
          <w:p w14:paraId="12A92262" w14:textId="77777777" w:rsidR="00A37CAC" w:rsidRPr="00AD250E" w:rsidRDefault="00A37CAC" w:rsidP="00A37CAC">
            <w:pPr>
              <w:pStyle w:val="ListParagraph"/>
              <w:numPr>
                <w:ilvl w:val="0"/>
                <w:numId w:val="47"/>
              </w:numPr>
              <w:suppressAutoHyphens w:val="0"/>
              <w:spacing w:before="40" w:after="40" w:line="240" w:lineRule="auto"/>
              <w:ind w:left="323" w:hanging="323"/>
              <w:contextualSpacing w:val="0"/>
              <w:rPr>
                <w:color w:val="000000" w:themeColor="text1"/>
                <w:sz w:val="16"/>
                <w:szCs w:val="16"/>
                <w:lang w:val="en-AU"/>
              </w:rPr>
            </w:pPr>
            <w:r w:rsidRPr="00AD250E">
              <w:rPr>
                <w:i/>
                <w:color w:val="000000" w:themeColor="text1"/>
                <w:sz w:val="16"/>
                <w:szCs w:val="16"/>
                <w:lang w:val="en-AU"/>
              </w:rPr>
              <w:t>Electricity supply</w:t>
            </w:r>
            <w:r w:rsidRPr="00AD250E">
              <w:rPr>
                <w:color w:val="000000" w:themeColor="text1"/>
                <w:sz w:val="16"/>
                <w:szCs w:val="16"/>
                <w:lang w:val="en-AU"/>
              </w:rPr>
              <w:t xml:space="preserve"> - effective maintenance of generators; documented reliable power supply; and proposals submitted for solar farm installation </w:t>
            </w:r>
          </w:p>
          <w:p w14:paraId="7D98D5BA" w14:textId="77777777" w:rsidR="00A37CAC" w:rsidRPr="00AD250E" w:rsidRDefault="00A37CAC" w:rsidP="00A37CAC">
            <w:pPr>
              <w:pStyle w:val="ListParagraph"/>
              <w:numPr>
                <w:ilvl w:val="0"/>
                <w:numId w:val="47"/>
              </w:numPr>
              <w:suppressAutoHyphens w:val="0"/>
              <w:spacing w:before="40" w:after="40" w:line="240" w:lineRule="auto"/>
              <w:ind w:left="323" w:hanging="323"/>
              <w:contextualSpacing w:val="0"/>
              <w:rPr>
                <w:color w:val="000000" w:themeColor="text1"/>
                <w:sz w:val="16"/>
                <w:szCs w:val="16"/>
                <w:lang w:val="en-AU"/>
              </w:rPr>
            </w:pPr>
            <w:r w:rsidRPr="00AD250E">
              <w:rPr>
                <w:i/>
                <w:color w:val="000000" w:themeColor="text1"/>
                <w:sz w:val="16"/>
                <w:szCs w:val="16"/>
                <w:lang w:val="en-AU"/>
              </w:rPr>
              <w:t>Port Redevelopment</w:t>
            </w:r>
            <w:r w:rsidRPr="00AD250E">
              <w:rPr>
                <w:color w:val="000000" w:themeColor="text1"/>
                <w:sz w:val="16"/>
                <w:szCs w:val="16"/>
                <w:lang w:val="en-AU"/>
              </w:rPr>
              <w:t xml:space="preserve"> - Progress on redevelopment works on track; with improved port operations</w:t>
            </w:r>
          </w:p>
          <w:p w14:paraId="6B4C2F63" w14:textId="77777777" w:rsidR="00A37CAC" w:rsidRPr="00AD250E" w:rsidRDefault="00A37CAC" w:rsidP="00A37CAC">
            <w:pPr>
              <w:pStyle w:val="ListParagraph"/>
              <w:numPr>
                <w:ilvl w:val="0"/>
                <w:numId w:val="47"/>
              </w:numPr>
              <w:suppressAutoHyphens w:val="0"/>
              <w:spacing w:before="40" w:after="40" w:line="240" w:lineRule="auto"/>
              <w:ind w:left="323" w:hanging="323"/>
              <w:contextualSpacing w:val="0"/>
              <w:rPr>
                <w:color w:val="000000" w:themeColor="text1"/>
                <w:sz w:val="16"/>
                <w:szCs w:val="16"/>
                <w:lang w:val="en-AU"/>
              </w:rPr>
            </w:pPr>
            <w:r w:rsidRPr="00AD250E">
              <w:rPr>
                <w:i/>
                <w:color w:val="000000" w:themeColor="text1"/>
                <w:sz w:val="16"/>
                <w:szCs w:val="16"/>
                <w:lang w:val="en-AU"/>
              </w:rPr>
              <w:t>Indoor Sports Facility</w:t>
            </w:r>
            <w:r w:rsidRPr="00AD250E">
              <w:rPr>
                <w:color w:val="000000" w:themeColor="text1"/>
                <w:sz w:val="16"/>
                <w:szCs w:val="16"/>
                <w:lang w:val="en-AU"/>
              </w:rPr>
              <w:t xml:space="preserve"> – managed, maintained and well utilised by men, women, boys and girls and disadvantaged groups</w:t>
            </w:r>
          </w:p>
        </w:tc>
      </w:tr>
      <w:tr w:rsidR="00A37CAC" w:rsidRPr="003F23D3" w14:paraId="1D97CA30" w14:textId="77777777" w:rsidTr="00A37CAC">
        <w:tc>
          <w:tcPr>
            <w:tcW w:w="14319" w:type="dxa"/>
            <w:gridSpan w:val="3"/>
            <w:shd w:val="clear" w:color="auto" w:fill="F6E6DE" w:themeFill="accent2" w:themeFillTint="33"/>
          </w:tcPr>
          <w:p w14:paraId="22727FA6" w14:textId="77777777" w:rsidR="00A37CAC" w:rsidRPr="00C23E21" w:rsidRDefault="00A37CAC" w:rsidP="00A37CAC">
            <w:pPr>
              <w:spacing w:before="40" w:after="40"/>
              <w:rPr>
                <w:b/>
                <w:color w:val="D3875F" w:themeColor="accent2"/>
                <w:sz w:val="20"/>
                <w:szCs w:val="20"/>
                <w:lang w:val="en-AU"/>
              </w:rPr>
            </w:pPr>
            <w:r w:rsidRPr="00C23E21">
              <w:rPr>
                <w:b/>
                <w:color w:val="000000" w:themeColor="text1"/>
                <w:sz w:val="20"/>
                <w:szCs w:val="20"/>
                <w:lang w:val="en-AU"/>
              </w:rPr>
              <w:t>STRENGTHENED PROVISION OF EDUCATION SERVICES</w:t>
            </w:r>
          </w:p>
        </w:tc>
      </w:tr>
      <w:tr w:rsidR="00A37CAC" w:rsidRPr="003F23D3" w14:paraId="7CD5AD14" w14:textId="77777777" w:rsidTr="00A37CAC">
        <w:tc>
          <w:tcPr>
            <w:tcW w:w="2977" w:type="dxa"/>
          </w:tcPr>
          <w:p w14:paraId="633466D5" w14:textId="77777777" w:rsidR="00A37CAC" w:rsidRPr="00AD250E" w:rsidRDefault="00A37CAC" w:rsidP="00A37CAC">
            <w:pPr>
              <w:spacing w:before="40" w:after="40"/>
              <w:rPr>
                <w:color w:val="000000" w:themeColor="text1"/>
                <w:sz w:val="16"/>
                <w:szCs w:val="16"/>
                <w:lang w:val="en-AU"/>
              </w:rPr>
            </w:pPr>
            <w:r w:rsidRPr="00AD250E">
              <w:rPr>
                <w:b/>
                <w:color w:val="000000" w:themeColor="text1"/>
                <w:sz w:val="16"/>
                <w:szCs w:val="16"/>
                <w:lang w:val="en-AU"/>
              </w:rPr>
              <w:t xml:space="preserve">Objective 3.0 - </w:t>
            </w:r>
            <w:r w:rsidRPr="00AD250E">
              <w:rPr>
                <w:color w:val="000000" w:themeColor="text1"/>
                <w:sz w:val="16"/>
                <w:szCs w:val="16"/>
                <w:lang w:val="en-AU"/>
              </w:rPr>
              <w:t>Implementation of education pathways that develop locally and regionally relevant skills</w:t>
            </w:r>
          </w:p>
        </w:tc>
        <w:tc>
          <w:tcPr>
            <w:tcW w:w="5812" w:type="dxa"/>
          </w:tcPr>
          <w:p w14:paraId="6C59D996" w14:textId="77777777" w:rsidR="00A37CAC" w:rsidRPr="00AD250E" w:rsidRDefault="00A37CAC" w:rsidP="00A37CAC">
            <w:pPr>
              <w:pStyle w:val="ListParagraph"/>
              <w:numPr>
                <w:ilvl w:val="0"/>
                <w:numId w:val="47"/>
              </w:numPr>
              <w:suppressAutoHyphens w:val="0"/>
              <w:spacing w:before="40" w:after="40" w:line="240" w:lineRule="auto"/>
              <w:ind w:left="323" w:hanging="323"/>
              <w:contextualSpacing w:val="0"/>
              <w:rPr>
                <w:i/>
                <w:sz w:val="16"/>
                <w:szCs w:val="16"/>
                <w:lang w:val="en-AU"/>
              </w:rPr>
            </w:pPr>
            <w:r>
              <w:rPr>
                <w:i/>
                <w:color w:val="000000" w:themeColor="text1"/>
                <w:sz w:val="16"/>
                <w:szCs w:val="16"/>
                <w:lang w:val="en-AU"/>
              </w:rPr>
              <w:t>Nauru</w:t>
            </w:r>
            <w:r w:rsidRPr="00AD250E">
              <w:rPr>
                <w:i/>
                <w:color w:val="000000" w:themeColor="text1"/>
                <w:sz w:val="16"/>
                <w:szCs w:val="16"/>
                <w:lang w:val="en-AU"/>
              </w:rPr>
              <w:t xml:space="preserve"> Education Strategic Plan</w:t>
            </w:r>
            <w:r w:rsidRPr="00AD250E">
              <w:rPr>
                <w:color w:val="000000" w:themeColor="text1"/>
                <w:sz w:val="16"/>
                <w:szCs w:val="16"/>
                <w:lang w:val="en-AU"/>
              </w:rPr>
              <w:t xml:space="preserve"> - Recruit and mobilise Education Advi</w:t>
            </w:r>
            <w:r>
              <w:rPr>
                <w:color w:val="000000" w:themeColor="text1"/>
                <w:sz w:val="16"/>
                <w:szCs w:val="16"/>
                <w:lang w:val="en-AU"/>
              </w:rPr>
              <w:t>ser to support delivery of the</w:t>
            </w:r>
            <w:r w:rsidRPr="00AD250E">
              <w:rPr>
                <w:color w:val="000000" w:themeColor="text1"/>
                <w:sz w:val="16"/>
                <w:szCs w:val="16"/>
                <w:lang w:val="en-AU"/>
              </w:rPr>
              <w:t xml:space="preserve"> Education Strategic Plan</w:t>
            </w:r>
          </w:p>
          <w:p w14:paraId="4DFD3206" w14:textId="77777777" w:rsidR="00A37CAC" w:rsidRPr="00AD250E" w:rsidRDefault="00A37CAC" w:rsidP="00A37CAC">
            <w:pPr>
              <w:pStyle w:val="ListParagraph"/>
              <w:numPr>
                <w:ilvl w:val="0"/>
                <w:numId w:val="47"/>
              </w:numPr>
              <w:suppressAutoHyphens w:val="0"/>
              <w:spacing w:before="40" w:after="40" w:line="240" w:lineRule="auto"/>
              <w:ind w:left="323" w:hanging="323"/>
              <w:contextualSpacing w:val="0"/>
              <w:rPr>
                <w:i/>
                <w:color w:val="auto"/>
                <w:sz w:val="16"/>
                <w:szCs w:val="16"/>
                <w:lang w:val="en-AU"/>
              </w:rPr>
            </w:pPr>
            <w:r w:rsidRPr="00AD250E">
              <w:rPr>
                <w:i/>
                <w:color w:val="000000" w:themeColor="text1"/>
                <w:sz w:val="16"/>
                <w:szCs w:val="16"/>
                <w:lang w:val="en-AU"/>
              </w:rPr>
              <w:t>Operational Account</w:t>
            </w:r>
            <w:r w:rsidRPr="00AD250E">
              <w:rPr>
                <w:color w:val="000000" w:themeColor="text1"/>
                <w:sz w:val="16"/>
                <w:szCs w:val="16"/>
                <w:lang w:val="en-AU"/>
              </w:rPr>
              <w:t xml:space="preserve"> – funds administered appropriately on an agreed basis for activities to support the Education Strategic Plan</w:t>
            </w:r>
          </w:p>
          <w:p w14:paraId="0574E4A1" w14:textId="77777777" w:rsidR="00A37CAC" w:rsidRPr="00AD250E" w:rsidRDefault="00A37CAC" w:rsidP="00A37CAC">
            <w:pPr>
              <w:pStyle w:val="ListParagraph"/>
              <w:numPr>
                <w:ilvl w:val="0"/>
                <w:numId w:val="47"/>
              </w:numPr>
              <w:suppressAutoHyphens w:val="0"/>
              <w:spacing w:before="40" w:after="40" w:line="240" w:lineRule="auto"/>
              <w:ind w:left="323" w:hanging="323"/>
              <w:contextualSpacing w:val="0"/>
              <w:rPr>
                <w:i/>
                <w:sz w:val="16"/>
                <w:szCs w:val="16"/>
                <w:lang w:val="en-AU"/>
              </w:rPr>
            </w:pPr>
            <w:r w:rsidRPr="00AD250E">
              <w:rPr>
                <w:i/>
                <w:color w:val="000000" w:themeColor="text1"/>
                <w:sz w:val="16"/>
                <w:szCs w:val="16"/>
                <w:lang w:val="en-AU"/>
              </w:rPr>
              <w:t>TVET</w:t>
            </w:r>
            <w:r w:rsidRPr="00AD250E">
              <w:rPr>
                <w:color w:val="000000" w:themeColor="text1"/>
                <w:sz w:val="16"/>
                <w:szCs w:val="16"/>
                <w:lang w:val="en-AU"/>
              </w:rPr>
              <w:t xml:space="preserve"> – a range of courses for in-demand qualifications are delivered to adult learners in Nauru</w:t>
            </w:r>
          </w:p>
        </w:tc>
        <w:tc>
          <w:tcPr>
            <w:tcW w:w="5530" w:type="dxa"/>
          </w:tcPr>
          <w:p w14:paraId="70739CCC" w14:textId="77777777" w:rsidR="00A37CAC" w:rsidRPr="00AD250E" w:rsidRDefault="00A37CAC" w:rsidP="00A37CAC">
            <w:pPr>
              <w:pStyle w:val="ListParagraph"/>
              <w:numPr>
                <w:ilvl w:val="0"/>
                <w:numId w:val="47"/>
              </w:numPr>
              <w:suppressAutoHyphens w:val="0"/>
              <w:spacing w:before="40" w:after="40" w:line="240" w:lineRule="auto"/>
              <w:ind w:left="323" w:hanging="323"/>
              <w:rPr>
                <w:sz w:val="16"/>
                <w:szCs w:val="16"/>
                <w:lang w:val="en-AU"/>
              </w:rPr>
            </w:pPr>
            <w:r>
              <w:rPr>
                <w:i/>
                <w:color w:val="000000" w:themeColor="text1"/>
                <w:sz w:val="16"/>
                <w:szCs w:val="16"/>
                <w:lang w:val="en-AU"/>
              </w:rPr>
              <w:t>Nauru</w:t>
            </w:r>
            <w:r w:rsidRPr="00AD250E">
              <w:rPr>
                <w:i/>
                <w:color w:val="000000" w:themeColor="text1"/>
                <w:sz w:val="16"/>
                <w:szCs w:val="16"/>
                <w:lang w:val="en-AU"/>
              </w:rPr>
              <w:t xml:space="preserve"> Education Strategic Plan – </w:t>
            </w:r>
            <w:r w:rsidRPr="00AD250E">
              <w:rPr>
                <w:color w:val="000000" w:themeColor="text1"/>
                <w:sz w:val="16"/>
                <w:szCs w:val="16"/>
                <w:lang w:val="en-AU"/>
              </w:rPr>
              <w:t xml:space="preserve">benchmarks to be determined in consultation with Education Adviser </w:t>
            </w:r>
          </w:p>
          <w:p w14:paraId="1E5333AD" w14:textId="77777777" w:rsidR="00A37CAC" w:rsidRPr="00AD250E" w:rsidRDefault="00A37CAC" w:rsidP="00A37CAC">
            <w:pPr>
              <w:pStyle w:val="ListParagraph"/>
              <w:numPr>
                <w:ilvl w:val="0"/>
                <w:numId w:val="47"/>
              </w:numPr>
              <w:suppressAutoHyphens w:val="0"/>
              <w:spacing w:before="40" w:after="40" w:line="240" w:lineRule="auto"/>
              <w:ind w:left="323" w:hanging="323"/>
              <w:contextualSpacing w:val="0"/>
              <w:rPr>
                <w:i/>
                <w:color w:val="auto"/>
                <w:sz w:val="16"/>
                <w:szCs w:val="16"/>
                <w:lang w:val="en-AU"/>
              </w:rPr>
            </w:pPr>
            <w:r w:rsidRPr="00AD250E">
              <w:rPr>
                <w:i/>
                <w:color w:val="000000" w:themeColor="text1"/>
                <w:sz w:val="16"/>
                <w:szCs w:val="16"/>
                <w:lang w:val="en-AU"/>
              </w:rPr>
              <w:t>Operational Account</w:t>
            </w:r>
            <w:r w:rsidRPr="00AD250E">
              <w:rPr>
                <w:color w:val="000000" w:themeColor="text1"/>
                <w:sz w:val="16"/>
                <w:szCs w:val="16"/>
                <w:lang w:val="en-AU"/>
              </w:rPr>
              <w:t xml:space="preserve"> – funds administered appropriately on an agreed basis for activities to support the Education Strategic Plan</w:t>
            </w:r>
          </w:p>
          <w:p w14:paraId="78F2272C" w14:textId="77777777" w:rsidR="00A37CAC" w:rsidRPr="00AD250E" w:rsidRDefault="00A37CAC" w:rsidP="00A37CAC">
            <w:pPr>
              <w:pStyle w:val="ListParagraph"/>
              <w:numPr>
                <w:ilvl w:val="0"/>
                <w:numId w:val="47"/>
              </w:numPr>
              <w:suppressAutoHyphens w:val="0"/>
              <w:spacing w:before="40" w:after="40" w:line="240" w:lineRule="auto"/>
              <w:ind w:left="323" w:hanging="323"/>
              <w:contextualSpacing w:val="0"/>
              <w:rPr>
                <w:sz w:val="16"/>
                <w:szCs w:val="16"/>
                <w:lang w:val="en-AU"/>
              </w:rPr>
            </w:pPr>
            <w:r w:rsidRPr="00AD250E">
              <w:rPr>
                <w:i/>
                <w:color w:val="000000" w:themeColor="text1"/>
                <w:sz w:val="16"/>
                <w:szCs w:val="16"/>
                <w:lang w:val="en-AU"/>
              </w:rPr>
              <w:t>TVET</w:t>
            </w:r>
            <w:r w:rsidRPr="00AD250E">
              <w:rPr>
                <w:color w:val="000000" w:themeColor="text1"/>
                <w:sz w:val="16"/>
                <w:szCs w:val="16"/>
                <w:lang w:val="en-AU"/>
              </w:rPr>
              <w:t xml:space="preserve"> – a range of courses for in-demand qualifications are delivered to adult learners in Nauru</w:t>
            </w:r>
          </w:p>
        </w:tc>
      </w:tr>
      <w:tr w:rsidR="00A37CAC" w:rsidRPr="003F23D3" w14:paraId="287137E4" w14:textId="77777777" w:rsidTr="00A37CAC">
        <w:tc>
          <w:tcPr>
            <w:tcW w:w="14319" w:type="dxa"/>
            <w:gridSpan w:val="3"/>
            <w:shd w:val="clear" w:color="auto" w:fill="F6E6DE" w:themeFill="accent2" w:themeFillTint="33"/>
          </w:tcPr>
          <w:p w14:paraId="2C5DE043" w14:textId="77777777" w:rsidR="00A37CAC" w:rsidRPr="00C23E21" w:rsidRDefault="00A37CAC" w:rsidP="00A37CAC">
            <w:pPr>
              <w:spacing w:before="40" w:after="40"/>
              <w:rPr>
                <w:b/>
                <w:color w:val="D3875F" w:themeColor="accent2"/>
                <w:sz w:val="20"/>
                <w:szCs w:val="20"/>
                <w:lang w:val="en-AU"/>
              </w:rPr>
            </w:pPr>
            <w:r w:rsidRPr="00C23E21">
              <w:rPr>
                <w:b/>
                <w:color w:val="000000" w:themeColor="text1"/>
                <w:sz w:val="20"/>
                <w:szCs w:val="20"/>
                <w:lang w:val="en-AU"/>
              </w:rPr>
              <w:t>STRENGTHENED PROVISION OF HEALTH SERVICES</w:t>
            </w:r>
          </w:p>
        </w:tc>
      </w:tr>
      <w:tr w:rsidR="00A37CAC" w:rsidRPr="003F23D3" w14:paraId="7E3A2FC9" w14:textId="77777777" w:rsidTr="00A37CAC">
        <w:tc>
          <w:tcPr>
            <w:tcW w:w="2977" w:type="dxa"/>
          </w:tcPr>
          <w:p w14:paraId="1A79FF98" w14:textId="77777777" w:rsidR="00A37CAC" w:rsidRPr="00AD250E" w:rsidRDefault="00A37CAC" w:rsidP="00A37CAC">
            <w:pPr>
              <w:spacing w:before="40" w:after="40"/>
              <w:rPr>
                <w:sz w:val="16"/>
                <w:szCs w:val="16"/>
              </w:rPr>
            </w:pPr>
            <w:r w:rsidRPr="00AD250E">
              <w:rPr>
                <w:b/>
                <w:color w:val="000000" w:themeColor="text1"/>
                <w:sz w:val="16"/>
                <w:szCs w:val="16"/>
                <w:lang w:val="en-AU"/>
              </w:rPr>
              <w:t xml:space="preserve">Objective 4.0 - </w:t>
            </w:r>
            <w:r w:rsidRPr="00AD250E">
              <w:rPr>
                <w:color w:val="000000" w:themeColor="text1"/>
                <w:sz w:val="16"/>
                <w:szCs w:val="16"/>
                <w:lang w:val="en-AU"/>
              </w:rPr>
              <w:t>Systems and services are responsive to people’s health needs through: (i) strengthening health system management; (ii) supporting primary health care; (iii) curative care; and (iv) support services and networking</w:t>
            </w:r>
          </w:p>
        </w:tc>
        <w:tc>
          <w:tcPr>
            <w:tcW w:w="5812" w:type="dxa"/>
          </w:tcPr>
          <w:p w14:paraId="554F34EC" w14:textId="77777777" w:rsidR="00A37CAC" w:rsidRPr="00AD250E" w:rsidRDefault="00A37CAC" w:rsidP="00A37CAC">
            <w:pPr>
              <w:pStyle w:val="ListParagraph"/>
              <w:numPr>
                <w:ilvl w:val="0"/>
                <w:numId w:val="47"/>
              </w:numPr>
              <w:suppressAutoHyphens w:val="0"/>
              <w:spacing w:before="40" w:after="40" w:line="240" w:lineRule="auto"/>
              <w:ind w:left="323" w:hanging="323"/>
              <w:contextualSpacing w:val="0"/>
              <w:rPr>
                <w:i/>
                <w:color w:val="auto"/>
                <w:sz w:val="16"/>
                <w:szCs w:val="16"/>
                <w:lang w:val="en-AU"/>
              </w:rPr>
            </w:pPr>
            <w:r w:rsidRPr="00AD250E">
              <w:rPr>
                <w:i/>
                <w:color w:val="000000" w:themeColor="text1"/>
                <w:sz w:val="16"/>
                <w:szCs w:val="16"/>
                <w:lang w:val="en-AU"/>
              </w:rPr>
              <w:t>Operational Account</w:t>
            </w:r>
            <w:r w:rsidRPr="00AD250E">
              <w:rPr>
                <w:color w:val="000000" w:themeColor="text1"/>
                <w:sz w:val="16"/>
                <w:szCs w:val="16"/>
                <w:lang w:val="en-AU"/>
              </w:rPr>
              <w:t xml:space="preserve"> – funds administered appropriately on an agreed basis for activities to support the Health Annual Operational Plan</w:t>
            </w:r>
          </w:p>
          <w:p w14:paraId="5AAE1F3E" w14:textId="77777777" w:rsidR="00A37CAC" w:rsidRPr="00AD250E" w:rsidRDefault="00A37CAC" w:rsidP="00A37CAC">
            <w:pPr>
              <w:pStyle w:val="ListParagraph"/>
              <w:numPr>
                <w:ilvl w:val="0"/>
                <w:numId w:val="47"/>
              </w:numPr>
              <w:suppressAutoHyphens w:val="0"/>
              <w:spacing w:before="40" w:after="40" w:line="240" w:lineRule="auto"/>
              <w:ind w:left="323" w:hanging="323"/>
              <w:contextualSpacing w:val="0"/>
              <w:rPr>
                <w:color w:val="auto"/>
                <w:sz w:val="16"/>
                <w:szCs w:val="16"/>
                <w:lang w:val="en-AU"/>
              </w:rPr>
            </w:pPr>
            <w:r w:rsidRPr="00AD250E">
              <w:rPr>
                <w:i/>
                <w:color w:val="auto"/>
                <w:sz w:val="16"/>
                <w:szCs w:val="16"/>
                <w:lang w:val="en-AU"/>
              </w:rPr>
              <w:t xml:space="preserve">Hospital facilities </w:t>
            </w:r>
            <w:r w:rsidRPr="00AD250E">
              <w:rPr>
                <w:color w:val="auto"/>
                <w:sz w:val="16"/>
                <w:szCs w:val="16"/>
                <w:lang w:val="en-AU"/>
              </w:rPr>
              <w:t>– implementations of Masterplan Review recommendations commence</w:t>
            </w:r>
          </w:p>
          <w:p w14:paraId="64F181BC" w14:textId="77777777" w:rsidR="00A37CAC" w:rsidRPr="00AD250E" w:rsidRDefault="00A37CAC" w:rsidP="00A37CAC">
            <w:pPr>
              <w:pStyle w:val="ListParagraph"/>
              <w:numPr>
                <w:ilvl w:val="0"/>
                <w:numId w:val="47"/>
              </w:numPr>
              <w:suppressAutoHyphens w:val="0"/>
              <w:spacing w:before="40" w:after="40" w:line="240" w:lineRule="auto"/>
              <w:ind w:left="323" w:hanging="323"/>
              <w:contextualSpacing w:val="0"/>
              <w:rPr>
                <w:color w:val="000000" w:themeColor="text1"/>
                <w:sz w:val="16"/>
                <w:szCs w:val="16"/>
                <w:lang w:val="en-AU"/>
              </w:rPr>
            </w:pPr>
            <w:r w:rsidRPr="00AD250E">
              <w:rPr>
                <w:i/>
                <w:color w:val="auto"/>
                <w:sz w:val="16"/>
                <w:szCs w:val="16"/>
                <w:lang w:val="en-AU"/>
              </w:rPr>
              <w:t xml:space="preserve">Review – </w:t>
            </w:r>
            <w:r w:rsidRPr="00AD250E">
              <w:rPr>
                <w:color w:val="auto"/>
                <w:sz w:val="16"/>
                <w:szCs w:val="16"/>
                <w:lang w:val="en-AU"/>
              </w:rPr>
              <w:t>DFAT review and redesign of the health investment completed and implemented</w:t>
            </w:r>
          </w:p>
        </w:tc>
        <w:tc>
          <w:tcPr>
            <w:tcW w:w="5530" w:type="dxa"/>
          </w:tcPr>
          <w:p w14:paraId="200AFEF0" w14:textId="77777777" w:rsidR="00A37CAC" w:rsidRPr="00AD250E" w:rsidRDefault="00A37CAC" w:rsidP="00A37CAC">
            <w:pPr>
              <w:pStyle w:val="ListParagraph"/>
              <w:numPr>
                <w:ilvl w:val="0"/>
                <w:numId w:val="47"/>
              </w:numPr>
              <w:suppressAutoHyphens w:val="0"/>
              <w:spacing w:before="40" w:after="40" w:line="240" w:lineRule="auto"/>
              <w:ind w:left="323" w:hanging="323"/>
              <w:contextualSpacing w:val="0"/>
              <w:rPr>
                <w:i/>
                <w:color w:val="auto"/>
                <w:sz w:val="16"/>
                <w:szCs w:val="16"/>
                <w:lang w:val="en-AU"/>
              </w:rPr>
            </w:pPr>
            <w:r w:rsidRPr="00AD250E">
              <w:rPr>
                <w:i/>
                <w:color w:val="000000" w:themeColor="text1"/>
                <w:sz w:val="16"/>
                <w:szCs w:val="16"/>
                <w:lang w:val="en-AU"/>
              </w:rPr>
              <w:t>Operational Account</w:t>
            </w:r>
            <w:r w:rsidRPr="00AD250E">
              <w:rPr>
                <w:color w:val="000000" w:themeColor="text1"/>
                <w:sz w:val="16"/>
                <w:szCs w:val="16"/>
                <w:lang w:val="en-AU"/>
              </w:rPr>
              <w:t xml:space="preserve"> – funds administered appropriately on an agreed basis for activities to support the Health Annual Operational Plan</w:t>
            </w:r>
          </w:p>
          <w:p w14:paraId="60E2F768" w14:textId="77777777" w:rsidR="00A37CAC" w:rsidRPr="00AD250E" w:rsidRDefault="00A37CAC" w:rsidP="00A37CAC">
            <w:pPr>
              <w:pStyle w:val="ListParagraph"/>
              <w:numPr>
                <w:ilvl w:val="0"/>
                <w:numId w:val="47"/>
              </w:numPr>
              <w:suppressAutoHyphens w:val="0"/>
              <w:spacing w:before="40" w:after="40" w:line="240" w:lineRule="auto"/>
              <w:ind w:left="323" w:hanging="323"/>
              <w:contextualSpacing w:val="0"/>
              <w:rPr>
                <w:color w:val="000000" w:themeColor="text1"/>
                <w:sz w:val="16"/>
                <w:szCs w:val="16"/>
                <w:lang w:val="en-AU"/>
              </w:rPr>
            </w:pPr>
            <w:r w:rsidRPr="00AD250E">
              <w:rPr>
                <w:color w:val="000000" w:themeColor="text1"/>
                <w:sz w:val="16"/>
                <w:szCs w:val="16"/>
                <w:lang w:val="en-AU"/>
              </w:rPr>
              <w:t>Improve the health sector response and services to victims of domestic violence and establish child protection services in communities</w:t>
            </w:r>
          </w:p>
        </w:tc>
      </w:tr>
    </w:tbl>
    <w:p w14:paraId="3B7C113F" w14:textId="53F67578" w:rsidR="00A37CAC" w:rsidRPr="005C78DB" w:rsidRDefault="00A37CAC" w:rsidP="00A37CAC">
      <w:pPr>
        <w:spacing w:before="20" w:after="20" w:line="180" w:lineRule="atLeast"/>
      </w:pPr>
      <w:r>
        <w:rPr>
          <w:color w:val="000000" w:themeColor="text1"/>
          <w:sz w:val="20"/>
          <w:szCs w:val="20"/>
          <w:lang w:val="en-AU"/>
        </w:rPr>
        <w:t xml:space="preserve">Note: all objectives include </w:t>
      </w:r>
      <w:r w:rsidRPr="00AD250E">
        <w:rPr>
          <w:color w:val="000000" w:themeColor="text1"/>
          <w:sz w:val="20"/>
          <w:szCs w:val="20"/>
          <w:lang w:val="en-AU"/>
        </w:rPr>
        <w:t>cross-cutting elements</w:t>
      </w:r>
      <w:r>
        <w:rPr>
          <w:color w:val="000000" w:themeColor="text1"/>
          <w:sz w:val="20"/>
          <w:szCs w:val="20"/>
          <w:lang w:val="en-AU"/>
        </w:rPr>
        <w:t xml:space="preserve"> of gender equality, climate change and disability inclusive development</w:t>
      </w:r>
    </w:p>
    <w:sectPr w:rsidR="00A37CAC" w:rsidRPr="005C78DB" w:rsidSect="00A37CAC">
      <w:headerReference w:type="default" r:id="rId33"/>
      <w:pgSz w:w="16838" w:h="11906" w:orient="landscape" w:code="9"/>
      <w:pgMar w:top="1134" w:right="1525" w:bottom="1134" w:left="851" w:header="1418" w:footer="193"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67199" w14:textId="77777777" w:rsidR="00CD4F30" w:rsidRDefault="00CD4F30" w:rsidP="00EF4574">
      <w:pPr>
        <w:spacing w:before="0" w:after="0" w:line="240" w:lineRule="auto"/>
      </w:pPr>
      <w:r>
        <w:separator/>
      </w:r>
    </w:p>
  </w:endnote>
  <w:endnote w:type="continuationSeparator" w:id="0">
    <w:p w14:paraId="4AF8CDF5" w14:textId="77777777" w:rsidR="00CD4F30" w:rsidRDefault="00CD4F30" w:rsidP="00EF4574">
      <w:pPr>
        <w:spacing w:before="0" w:after="0" w:line="240" w:lineRule="auto"/>
      </w:pPr>
      <w:r>
        <w:continuationSeparator/>
      </w:r>
    </w:p>
  </w:endnote>
  <w:endnote w:type="continuationNotice" w:id="1">
    <w:p w14:paraId="5A2BD384" w14:textId="77777777" w:rsidR="00CD4F30" w:rsidRDefault="00CD4F3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AEC24" w14:textId="77777777" w:rsidR="00CD4F30" w:rsidRDefault="00CD4F30" w:rsidP="004839E3">
    <w:pPr>
      <w:pStyle w:val="Footer"/>
      <w:rPr>
        <w:lang w:val="en-AU"/>
      </w:rPr>
    </w:pPr>
  </w:p>
  <w:p w14:paraId="5411CE55" w14:textId="77777777" w:rsidR="00CD4F30" w:rsidRDefault="00CD4F30" w:rsidP="004839E3">
    <w:pPr>
      <w:pStyle w:val="Footer"/>
    </w:pPr>
  </w:p>
  <w:p w14:paraId="4A2587FE" w14:textId="77777777" w:rsidR="00CD4F30" w:rsidRPr="00CD0E4B" w:rsidRDefault="00CD4F30" w:rsidP="004839E3">
    <w:pPr>
      <w:pStyle w:val="Footer"/>
    </w:pPr>
    <w:r w:rsidRPr="00CD0E4B">
      <w:rPr>
        <w:noProof/>
        <w:lang w:val="en-AU" w:eastAsia="en-AU"/>
      </w:rPr>
      <w:drawing>
        <wp:inline distT="0" distB="0" distL="0" distR="0" wp14:anchorId="74F99DA5" wp14:editId="2721BAD4">
          <wp:extent cx="90000" cy="74520"/>
          <wp:effectExtent l="0" t="0" r="5715"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14:paraId="1CDEF172" w14:textId="77777777" w:rsidR="00CD4F30" w:rsidRPr="00CD0E4B" w:rsidRDefault="00CD4F30" w:rsidP="004839E3">
    <w:pPr>
      <w:pStyle w:val="Footer"/>
      <w:rPr>
        <w:color w:val="ACD08C" w:themeColor="accent3"/>
      </w:rPr>
    </w:pPr>
    <w:r w:rsidRPr="00CD0E4B">
      <w:rPr>
        <w:color w:val="ACD08C" w:themeColor="accent3"/>
      </w:rPr>
      <w:t>DFAT.GOV.AU</w:t>
    </w:r>
  </w:p>
  <w:p w14:paraId="2FE1518C" w14:textId="77777777" w:rsidR="00CD4F30" w:rsidRPr="004839E3" w:rsidRDefault="00CD4F30" w:rsidP="004839E3">
    <w:pPr>
      <w:pStyle w:val="Footer"/>
      <w:rPr>
        <w:lang w:val="en-AU"/>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C3E4E" w14:textId="77777777" w:rsidR="00CD4F30" w:rsidRPr="004839E3" w:rsidRDefault="00CD4F30" w:rsidP="004839E3">
    <w:pPr>
      <w:spacing w:before="0" w:after="0" w:line="240" w:lineRule="exact"/>
      <w:ind w:right="284"/>
      <w:jc w:val="right"/>
      <w:rPr>
        <w:color w:val="FFFFFF" w:themeColor="background1"/>
      </w:rPr>
    </w:pPr>
    <w:r w:rsidRPr="004839E3">
      <w:rPr>
        <w:noProof/>
        <w:color w:val="FFFFFF" w:themeColor="background1"/>
        <w:lang w:val="en-AU" w:eastAsia="en-AU"/>
      </w:rPr>
      <w:drawing>
        <wp:inline distT="0" distB="0" distL="0" distR="0" wp14:anchorId="1FB32CD1" wp14:editId="37CB2106">
          <wp:extent cx="90000" cy="74520"/>
          <wp:effectExtent l="0" t="0" r="571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4839E3">
      <w:rPr>
        <w:color w:val="FFFFFF" w:themeColor="background1"/>
      </w:rPr>
      <w:t>@DFAT</w:t>
    </w:r>
  </w:p>
  <w:p w14:paraId="781F2A66" w14:textId="77777777" w:rsidR="00CD4F30" w:rsidRDefault="00CD4F30" w:rsidP="004839E3">
    <w:pPr>
      <w:spacing w:before="0" w:after="0" w:line="240" w:lineRule="exact"/>
      <w:ind w:right="284"/>
      <w:jc w:val="right"/>
    </w:pPr>
    <w:r w:rsidRPr="004839E3">
      <w:rPr>
        <w:color w:val="ACD08C" w:themeColor="accent3"/>
      </w:rPr>
      <w:t>DFAT.GOV.AU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0217746"/>
      <w:docPartObj>
        <w:docPartGallery w:val="Page Numbers (Bottom of Page)"/>
        <w:docPartUnique/>
      </w:docPartObj>
    </w:sdtPr>
    <w:sdtEndPr>
      <w:rPr>
        <w:noProof/>
      </w:rPr>
    </w:sdtEndPr>
    <w:sdtContent>
      <w:p w14:paraId="73E0F282" w14:textId="06FDEF22" w:rsidR="00CD4F30" w:rsidRDefault="00CD4F30">
        <w:pPr>
          <w:pStyle w:val="Footer"/>
          <w:jc w:val="center"/>
        </w:pPr>
        <w:r>
          <w:fldChar w:fldCharType="begin"/>
        </w:r>
        <w:r>
          <w:instrText xml:space="preserve"> PAGE   \* MERGEFORMAT </w:instrText>
        </w:r>
        <w:r>
          <w:fldChar w:fldCharType="separate"/>
        </w:r>
        <w:r w:rsidR="00DE3187">
          <w:rPr>
            <w:noProof/>
          </w:rPr>
          <w:t>16</w:t>
        </w:r>
        <w:r>
          <w:rPr>
            <w:noProof/>
          </w:rPr>
          <w:fldChar w:fldCharType="end"/>
        </w:r>
      </w:p>
    </w:sdtContent>
  </w:sdt>
  <w:p w14:paraId="5705830B" w14:textId="77777777" w:rsidR="00CD4F30" w:rsidRPr="004839E3" w:rsidRDefault="00CD4F30" w:rsidP="004839E3">
    <w:pPr>
      <w:pStyle w:val="Footer"/>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0C9AF" w14:textId="77777777" w:rsidR="00CD4F30" w:rsidRPr="008C5A0E" w:rsidRDefault="00CD4F30" w:rsidP="001D663E">
      <w:pPr>
        <w:pStyle w:val="Footer"/>
        <w:pBdr>
          <w:top w:val="single" w:sz="4" w:space="1" w:color="495965" w:themeColor="text2"/>
        </w:pBdr>
      </w:pPr>
    </w:p>
  </w:footnote>
  <w:footnote w:type="continuationSeparator" w:id="0">
    <w:p w14:paraId="1B2FB2C3" w14:textId="77777777" w:rsidR="00CD4F30" w:rsidRDefault="00CD4F30" w:rsidP="00EF4574">
      <w:pPr>
        <w:spacing w:before="0" w:after="0" w:line="240" w:lineRule="auto"/>
      </w:pPr>
      <w:r>
        <w:continuationSeparator/>
      </w:r>
    </w:p>
  </w:footnote>
  <w:footnote w:type="continuationNotice" w:id="1">
    <w:p w14:paraId="10E79FB4" w14:textId="77777777" w:rsidR="00CD4F30" w:rsidRDefault="00CD4F3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293EC" w14:textId="77777777" w:rsidR="00CD4F30" w:rsidRPr="00333501" w:rsidRDefault="00CD4F30" w:rsidP="008F56A8">
    <w:pPr>
      <w:pStyle w:val="Header"/>
      <w:jc w:val="left"/>
    </w:pPr>
    <w:r>
      <w:rPr>
        <w:noProof/>
        <w:lang w:val="en-AU" w:eastAsia="en-AU"/>
      </w:rPr>
      <w:drawing>
        <wp:anchor distT="0" distB="0" distL="114300" distR="114300" simplePos="0" relativeHeight="251671552" behindDoc="1" locked="1" layoutInCell="1" allowOverlap="1" wp14:anchorId="3333C5E8" wp14:editId="643C363D">
          <wp:simplePos x="0" y="0"/>
          <wp:positionH relativeFrom="page">
            <wp:posOffset>1378585</wp:posOffset>
          </wp:positionH>
          <wp:positionV relativeFrom="page">
            <wp:posOffset>272415</wp:posOffset>
          </wp:positionV>
          <wp:extent cx="10248900" cy="102355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248900" cy="102355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2533B" w14:textId="77777777" w:rsidR="00CD4F30" w:rsidRPr="003D352D" w:rsidRDefault="00CD4F30" w:rsidP="003D352D">
    <w:pPr>
      <w:pStyle w:val="Header"/>
      <w:jc w:val="left"/>
    </w:pPr>
    <w:r>
      <w:rPr>
        <w:noProof/>
        <w:lang w:val="en-AU" w:eastAsia="en-AU"/>
      </w:rPr>
      <w:drawing>
        <wp:anchor distT="0" distB="0" distL="114300" distR="114300" simplePos="0" relativeHeight="251669504" behindDoc="1" locked="1" layoutInCell="1" allowOverlap="1" wp14:anchorId="54092278" wp14:editId="7D7C2C0F">
          <wp:simplePos x="0" y="0"/>
          <wp:positionH relativeFrom="page">
            <wp:posOffset>-23495</wp:posOffset>
          </wp:positionH>
          <wp:positionV relativeFrom="page">
            <wp:posOffset>15875</wp:posOffset>
          </wp:positionV>
          <wp:extent cx="7734935" cy="10829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734935" cy="10829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1EE2" w14:textId="77777777" w:rsidR="00CD4F30" w:rsidRPr="00333501" w:rsidRDefault="00CD4F30" w:rsidP="008F56A8">
    <w:pPr>
      <w:pStyle w:val="Header"/>
      <w:jc w:val="left"/>
    </w:pPr>
    <w:r>
      <w:rPr>
        <w:noProof/>
        <w:lang w:val="en-AU" w:eastAsia="en-AU"/>
      </w:rPr>
      <w:drawing>
        <wp:anchor distT="0" distB="0" distL="114300" distR="114300" simplePos="0" relativeHeight="251685888" behindDoc="1" locked="1" layoutInCell="1" allowOverlap="1" wp14:anchorId="06BEA785" wp14:editId="5B2D3F9A">
          <wp:simplePos x="0" y="0"/>
          <wp:positionH relativeFrom="margin">
            <wp:posOffset>-652145</wp:posOffset>
          </wp:positionH>
          <wp:positionV relativeFrom="page">
            <wp:posOffset>122555</wp:posOffset>
          </wp:positionV>
          <wp:extent cx="7409815" cy="10589895"/>
          <wp:effectExtent l="0" t="0" r="635" b="190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409815" cy="10589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2E696" w14:textId="77777777" w:rsidR="00CD4F30" w:rsidRPr="003D352D" w:rsidRDefault="00CD4F30" w:rsidP="003D352D">
    <w:pPr>
      <w:pStyle w:val="Header"/>
      <w:jc w:val="left"/>
    </w:pPr>
    <w:r>
      <w:rPr>
        <w:noProof/>
        <w:lang w:val="en-AU" w:eastAsia="en-AU"/>
      </w:rPr>
      <w:drawing>
        <wp:anchor distT="0" distB="0" distL="114300" distR="114300" simplePos="0" relativeHeight="251673600" behindDoc="1" locked="1" layoutInCell="1" allowOverlap="1" wp14:anchorId="0CE82FF5" wp14:editId="42847C5B">
          <wp:simplePos x="0" y="0"/>
          <wp:positionH relativeFrom="page">
            <wp:posOffset>0</wp:posOffset>
          </wp:positionH>
          <wp:positionV relativeFrom="page">
            <wp:posOffset>0</wp:posOffset>
          </wp:positionV>
          <wp:extent cx="10694035" cy="7465695"/>
          <wp:effectExtent l="0" t="0" r="0" b="1905"/>
          <wp:wrapNone/>
          <wp:docPr id="43"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94035" cy="746569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F55AC" w14:textId="77777777" w:rsidR="00CD4F30" w:rsidRPr="00333501" w:rsidRDefault="00CD4F30" w:rsidP="008F56A8">
    <w:pPr>
      <w:pStyle w:val="Header"/>
      <w:jc w:val="left"/>
    </w:pPr>
    <w:r>
      <w:rPr>
        <w:noProof/>
        <w:lang w:val="en-AU" w:eastAsia="en-AU"/>
      </w:rPr>
      <w:drawing>
        <wp:anchor distT="0" distB="0" distL="114300" distR="114300" simplePos="0" relativeHeight="251687936" behindDoc="1" locked="1" layoutInCell="1" allowOverlap="1" wp14:anchorId="6FA38B4B" wp14:editId="7023AD16">
          <wp:simplePos x="0" y="0"/>
          <wp:positionH relativeFrom="page">
            <wp:posOffset>40640</wp:posOffset>
          </wp:positionH>
          <wp:positionV relativeFrom="margin">
            <wp:posOffset>-721995</wp:posOffset>
          </wp:positionV>
          <wp:extent cx="10754360" cy="7082790"/>
          <wp:effectExtent l="0" t="0" r="8890" b="381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754360" cy="708279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CCCDE" w14:textId="77777777" w:rsidR="00CD4F30" w:rsidRPr="003D352D" w:rsidRDefault="00CD4F30" w:rsidP="003D352D">
    <w:pPr>
      <w:pStyle w:val="Header"/>
      <w:jc w:val="left"/>
    </w:pPr>
    <w:r>
      <w:rPr>
        <w:noProof/>
        <w:lang w:val="en-AU" w:eastAsia="en-AU"/>
      </w:rPr>
      <w:drawing>
        <wp:anchor distT="0" distB="0" distL="114300" distR="114300" simplePos="0" relativeHeight="251675648" behindDoc="1" locked="1" layoutInCell="1" allowOverlap="1" wp14:anchorId="23B4141D" wp14:editId="4E745E66">
          <wp:simplePos x="0" y="0"/>
          <wp:positionH relativeFrom="page">
            <wp:posOffset>-15875</wp:posOffset>
          </wp:positionH>
          <wp:positionV relativeFrom="page">
            <wp:posOffset>0</wp:posOffset>
          </wp:positionV>
          <wp:extent cx="10702290" cy="7458075"/>
          <wp:effectExtent l="0" t="0" r="3810" b="9525"/>
          <wp:wrapNone/>
          <wp:docPr id="39" name="Pictur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702290" cy="7458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433D7" w14:textId="70FD680A" w:rsidR="00CD4F30" w:rsidRPr="00784031" w:rsidRDefault="00CD4F30" w:rsidP="00F80511">
    <w:pPr>
      <w:tabs>
        <w:tab w:val="left" w:pos="9260"/>
      </w:tabs>
      <w:spacing w:before="20" w:after="20" w:line="180" w:lineRule="atLeast"/>
      <w:rPr>
        <w:rFonts w:eastAsiaTheme="majorEastAsia" w:cstheme="majorBidi"/>
        <w:bCs/>
        <w:iCs/>
        <w:caps/>
        <w:spacing w:val="-10"/>
        <w:kern w:val="28"/>
        <w:sz w:val="38"/>
        <w:szCs w:val="24"/>
      </w:rPr>
    </w:pPr>
    <w:r>
      <w:rPr>
        <w:noProof/>
        <w:lang w:val="en-AU" w:eastAsia="en-AU"/>
      </w:rPr>
      <w:drawing>
        <wp:anchor distT="0" distB="0" distL="114300" distR="114300" simplePos="0" relativeHeight="251696128" behindDoc="1" locked="1" layoutInCell="1" allowOverlap="1" wp14:anchorId="448D2A9D" wp14:editId="1A7596BC">
          <wp:simplePos x="0" y="0"/>
          <wp:positionH relativeFrom="page">
            <wp:align>left</wp:align>
          </wp:positionH>
          <wp:positionV relativeFrom="page">
            <wp:posOffset>52070</wp:posOffset>
          </wp:positionV>
          <wp:extent cx="10820400" cy="7486650"/>
          <wp:effectExtent l="0" t="0" r="0" b="0"/>
          <wp:wrapNone/>
          <wp:docPr id="37" name="Pictur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820400" cy="7486650"/>
                  </a:xfrm>
                  <a:prstGeom prst="rect">
                    <a:avLst/>
                  </a:prstGeom>
                </pic:spPr>
              </pic:pic>
            </a:graphicData>
          </a:graphic>
          <wp14:sizeRelH relativeFrom="margin">
            <wp14:pctWidth>0</wp14:pctWidth>
          </wp14:sizeRelH>
          <wp14:sizeRelV relativeFrom="margin">
            <wp14:pctHeight>0</wp14:pctHeight>
          </wp14:sizeRelV>
        </wp:anchor>
      </w:drawing>
    </w:r>
  </w:p>
  <w:p w14:paraId="2B65B7D1" w14:textId="77777777" w:rsidR="00CD4F30" w:rsidRPr="00333501" w:rsidRDefault="00CD4F30" w:rsidP="00F80511">
    <w:pPr>
      <w:pStyle w:val="Header"/>
      <w:tabs>
        <w:tab w:val="clear" w:pos="4513"/>
        <w:tab w:val="clear" w:pos="9026"/>
        <w:tab w:val="left" w:pos="9650"/>
      </w:tabs>
      <w:jc w:val="left"/>
    </w:pPr>
    <w:r>
      <w:rPr>
        <w:noProof/>
        <w:lang w:val="en-AU" w:eastAsia="en-AU"/>
      </w:rPr>
      <w:drawing>
        <wp:anchor distT="0" distB="0" distL="114300" distR="114300" simplePos="0" relativeHeight="251692032" behindDoc="1" locked="1" layoutInCell="1" allowOverlap="1" wp14:anchorId="5B8869D1" wp14:editId="56B1A8DE">
          <wp:simplePos x="0" y="0"/>
          <wp:positionH relativeFrom="page">
            <wp:posOffset>95250</wp:posOffset>
          </wp:positionH>
          <wp:positionV relativeFrom="page">
            <wp:posOffset>7696200</wp:posOffset>
          </wp:positionV>
          <wp:extent cx="10572750" cy="7696200"/>
          <wp:effectExtent l="0" t="0" r="0" b="0"/>
          <wp:wrapNone/>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572750" cy="76962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23FFC" w14:textId="77777777" w:rsidR="00CD4F30" w:rsidRPr="00784031" w:rsidRDefault="00CD4F30" w:rsidP="00F80511">
    <w:pPr>
      <w:tabs>
        <w:tab w:val="left" w:pos="9260"/>
      </w:tabs>
      <w:spacing w:before="20" w:after="20" w:line="180" w:lineRule="atLeast"/>
      <w:rPr>
        <w:rFonts w:eastAsiaTheme="majorEastAsia" w:cstheme="majorBidi"/>
        <w:bCs/>
        <w:iCs/>
        <w:caps/>
        <w:spacing w:val="-10"/>
        <w:kern w:val="28"/>
        <w:sz w:val="38"/>
        <w:szCs w:val="24"/>
      </w:rPr>
    </w:pPr>
  </w:p>
  <w:p w14:paraId="00CD9B70" w14:textId="77777777" w:rsidR="00CD4F30" w:rsidRPr="00333501" w:rsidRDefault="00CD4F30" w:rsidP="00F80511">
    <w:pPr>
      <w:pStyle w:val="Header"/>
      <w:tabs>
        <w:tab w:val="clear" w:pos="4513"/>
        <w:tab w:val="clear" w:pos="9026"/>
        <w:tab w:val="left" w:pos="9650"/>
      </w:tabs>
      <w:jc w:val="left"/>
    </w:pPr>
    <w:r>
      <w:rPr>
        <w:noProof/>
        <w:lang w:val="en-AU" w:eastAsia="en-AU"/>
      </w:rPr>
      <w:drawing>
        <wp:anchor distT="0" distB="0" distL="114300" distR="114300" simplePos="0" relativeHeight="251694080" behindDoc="1" locked="1" layoutInCell="1" allowOverlap="1" wp14:anchorId="6AD0D8F3" wp14:editId="1D5D0694">
          <wp:simplePos x="0" y="0"/>
          <wp:positionH relativeFrom="page">
            <wp:align>left</wp:align>
          </wp:positionH>
          <wp:positionV relativeFrom="page">
            <wp:align>bottom</wp:align>
          </wp:positionV>
          <wp:extent cx="10820400" cy="7486650"/>
          <wp:effectExtent l="0" t="0" r="0" b="0"/>
          <wp:wrapNone/>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820400" cy="748665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F65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F2B62"/>
    <w:multiLevelType w:val="hybridMultilevel"/>
    <w:tmpl w:val="973A397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7C6F2A"/>
    <w:multiLevelType w:val="hybridMultilevel"/>
    <w:tmpl w:val="D01449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2D0B3B6A"/>
    <w:multiLevelType w:val="hybridMultilevel"/>
    <w:tmpl w:val="CF163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7F7673"/>
    <w:multiLevelType w:val="hybridMultilevel"/>
    <w:tmpl w:val="C78CF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7B4CBA"/>
    <w:multiLevelType w:val="hybridMultilevel"/>
    <w:tmpl w:val="7E7489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53B5900"/>
    <w:multiLevelType w:val="hybridMultilevel"/>
    <w:tmpl w:val="1EF8602C"/>
    <w:lvl w:ilvl="0" w:tplc="0C090001">
      <w:start w:val="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F473C0"/>
    <w:multiLevelType w:val="hybridMultilevel"/>
    <w:tmpl w:val="FD648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A54D1"/>
    <w:multiLevelType w:val="hybridMultilevel"/>
    <w:tmpl w:val="232CC7F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1F47D87"/>
    <w:multiLevelType w:val="hybridMultilevel"/>
    <w:tmpl w:val="4476D8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5A1F4B"/>
    <w:multiLevelType w:val="hybridMultilevel"/>
    <w:tmpl w:val="7056187E"/>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15:restartNumberingAfterBreak="0">
    <w:nsid w:val="5D3C1EA7"/>
    <w:multiLevelType w:val="multilevel"/>
    <w:tmpl w:val="43428892"/>
    <w:numStyleLink w:val="BulletsList"/>
  </w:abstractNum>
  <w:abstractNum w:abstractNumId="2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15:restartNumberingAfterBreak="0">
    <w:nsid w:val="6BE751F0"/>
    <w:multiLevelType w:val="hybridMultilevel"/>
    <w:tmpl w:val="45B8F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CC0697"/>
    <w:multiLevelType w:val="hybridMultilevel"/>
    <w:tmpl w:val="F1481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136851"/>
    <w:multiLevelType w:val="hybridMultilevel"/>
    <w:tmpl w:val="A25E7C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73E603FA"/>
    <w:multiLevelType w:val="hybridMultilevel"/>
    <w:tmpl w:val="82F44E3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9C75EC"/>
    <w:multiLevelType w:val="hybridMultilevel"/>
    <w:tmpl w:val="6E2A993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1"/>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5"/>
  </w:num>
  <w:num w:numId="10">
    <w:abstractNumId w:val="2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6"/>
  </w:num>
  <w:num w:numId="22">
    <w:abstractNumId w:val="15"/>
  </w:num>
  <w:num w:numId="23">
    <w:abstractNumId w:val="15"/>
  </w:num>
  <w:num w:numId="24">
    <w:abstractNumId w:val="26"/>
  </w:num>
  <w:num w:numId="25">
    <w:abstractNumId w:val="26"/>
  </w:num>
  <w:num w:numId="26">
    <w:abstractNumId w:val="26"/>
  </w:num>
  <w:num w:numId="27">
    <w:abstractNumId w:val="25"/>
  </w:num>
  <w:num w:numId="28">
    <w:abstractNumId w:val="11"/>
  </w:num>
  <w:num w:numId="29">
    <w:abstractNumId w:val="11"/>
  </w:num>
  <w:num w:numId="30">
    <w:abstractNumId w:val="11"/>
  </w:num>
  <w:num w:numId="31">
    <w:abstractNumId w:val="18"/>
  </w:num>
  <w:num w:numId="32">
    <w:abstractNumId w:val="24"/>
  </w:num>
  <w:num w:numId="33">
    <w:abstractNumId w:val="32"/>
  </w:num>
  <w:num w:numId="34">
    <w:abstractNumId w:val="23"/>
  </w:num>
  <w:num w:numId="35">
    <w:abstractNumId w:val="14"/>
  </w:num>
  <w:num w:numId="36">
    <w:abstractNumId w:val="19"/>
  </w:num>
  <w:num w:numId="37">
    <w:abstractNumId w:val="13"/>
  </w:num>
  <w:num w:numId="38">
    <w:abstractNumId w:val="16"/>
  </w:num>
  <w:num w:numId="39">
    <w:abstractNumId w:val="10"/>
  </w:num>
  <w:num w:numId="40">
    <w:abstractNumId w:val="22"/>
  </w:num>
  <w:num w:numId="41">
    <w:abstractNumId w:val="33"/>
  </w:num>
  <w:num w:numId="42">
    <w:abstractNumId w:val="30"/>
  </w:num>
  <w:num w:numId="43">
    <w:abstractNumId w:val="21"/>
  </w:num>
  <w:num w:numId="44">
    <w:abstractNumId w:val="29"/>
  </w:num>
  <w:num w:numId="45">
    <w:abstractNumId w:val="17"/>
  </w:num>
  <w:num w:numId="46">
    <w:abstractNumId w:val="28"/>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DA8"/>
    <w:rsid w:val="00003B48"/>
    <w:rsid w:val="00015316"/>
    <w:rsid w:val="0002080A"/>
    <w:rsid w:val="0002782F"/>
    <w:rsid w:val="000305D0"/>
    <w:rsid w:val="00031512"/>
    <w:rsid w:val="000317A6"/>
    <w:rsid w:val="000369D7"/>
    <w:rsid w:val="00044A26"/>
    <w:rsid w:val="00045523"/>
    <w:rsid w:val="00054E4D"/>
    <w:rsid w:val="00057C66"/>
    <w:rsid w:val="00060073"/>
    <w:rsid w:val="00060268"/>
    <w:rsid w:val="000621CA"/>
    <w:rsid w:val="000729BE"/>
    <w:rsid w:val="00076806"/>
    <w:rsid w:val="00084483"/>
    <w:rsid w:val="00087219"/>
    <w:rsid w:val="000975C4"/>
    <w:rsid w:val="000A0195"/>
    <w:rsid w:val="000C46B9"/>
    <w:rsid w:val="000C77F6"/>
    <w:rsid w:val="000D03E0"/>
    <w:rsid w:val="000D361E"/>
    <w:rsid w:val="000D66D6"/>
    <w:rsid w:val="000D7D35"/>
    <w:rsid w:val="000E1E2C"/>
    <w:rsid w:val="000E314A"/>
    <w:rsid w:val="000E3511"/>
    <w:rsid w:val="0011135C"/>
    <w:rsid w:val="001114EB"/>
    <w:rsid w:val="00115151"/>
    <w:rsid w:val="001203A7"/>
    <w:rsid w:val="00121033"/>
    <w:rsid w:val="001235CF"/>
    <w:rsid w:val="00141119"/>
    <w:rsid w:val="00141AA1"/>
    <w:rsid w:val="001541EA"/>
    <w:rsid w:val="00162DE2"/>
    <w:rsid w:val="001643B1"/>
    <w:rsid w:val="00166DDA"/>
    <w:rsid w:val="00174238"/>
    <w:rsid w:val="00181735"/>
    <w:rsid w:val="001827E8"/>
    <w:rsid w:val="00182FEF"/>
    <w:rsid w:val="00184F1E"/>
    <w:rsid w:val="00195D58"/>
    <w:rsid w:val="001B468A"/>
    <w:rsid w:val="001C208F"/>
    <w:rsid w:val="001C3F3A"/>
    <w:rsid w:val="001C3F40"/>
    <w:rsid w:val="001D663E"/>
    <w:rsid w:val="001E1DC0"/>
    <w:rsid w:val="00203933"/>
    <w:rsid w:val="002238FB"/>
    <w:rsid w:val="00225674"/>
    <w:rsid w:val="00234453"/>
    <w:rsid w:val="00235929"/>
    <w:rsid w:val="00236A53"/>
    <w:rsid w:val="002373FC"/>
    <w:rsid w:val="00242434"/>
    <w:rsid w:val="00246B89"/>
    <w:rsid w:val="00264F02"/>
    <w:rsid w:val="00275C88"/>
    <w:rsid w:val="00275DB7"/>
    <w:rsid w:val="00283BF7"/>
    <w:rsid w:val="00284957"/>
    <w:rsid w:val="0028602A"/>
    <w:rsid w:val="00286493"/>
    <w:rsid w:val="002A328A"/>
    <w:rsid w:val="002A4A0E"/>
    <w:rsid w:val="002A51CA"/>
    <w:rsid w:val="002A62C8"/>
    <w:rsid w:val="002B358A"/>
    <w:rsid w:val="002B3E95"/>
    <w:rsid w:val="002B5E10"/>
    <w:rsid w:val="002C2B96"/>
    <w:rsid w:val="002C386C"/>
    <w:rsid w:val="002C73AA"/>
    <w:rsid w:val="002D24BD"/>
    <w:rsid w:val="002D7CC8"/>
    <w:rsid w:val="002E198C"/>
    <w:rsid w:val="002E516D"/>
    <w:rsid w:val="002F0BA6"/>
    <w:rsid w:val="002F4F55"/>
    <w:rsid w:val="002F5C66"/>
    <w:rsid w:val="003002C0"/>
    <w:rsid w:val="00301144"/>
    <w:rsid w:val="00303F6D"/>
    <w:rsid w:val="003057BB"/>
    <w:rsid w:val="00312AAB"/>
    <w:rsid w:val="003148B7"/>
    <w:rsid w:val="003158C3"/>
    <w:rsid w:val="00315AEB"/>
    <w:rsid w:val="00320F48"/>
    <w:rsid w:val="00321D1D"/>
    <w:rsid w:val="003222ED"/>
    <w:rsid w:val="00322C64"/>
    <w:rsid w:val="003274CD"/>
    <w:rsid w:val="00330FEF"/>
    <w:rsid w:val="00333501"/>
    <w:rsid w:val="003374D9"/>
    <w:rsid w:val="003457C4"/>
    <w:rsid w:val="0035119D"/>
    <w:rsid w:val="00353365"/>
    <w:rsid w:val="0035439D"/>
    <w:rsid w:val="00355299"/>
    <w:rsid w:val="003615E2"/>
    <w:rsid w:val="003721CC"/>
    <w:rsid w:val="003733F2"/>
    <w:rsid w:val="00380104"/>
    <w:rsid w:val="0038010E"/>
    <w:rsid w:val="003814DA"/>
    <w:rsid w:val="00392A6A"/>
    <w:rsid w:val="003A1523"/>
    <w:rsid w:val="003A658B"/>
    <w:rsid w:val="003B38FB"/>
    <w:rsid w:val="003B4F12"/>
    <w:rsid w:val="003C14B0"/>
    <w:rsid w:val="003C7216"/>
    <w:rsid w:val="003C7C0E"/>
    <w:rsid w:val="003D352D"/>
    <w:rsid w:val="003D6F17"/>
    <w:rsid w:val="003E06D6"/>
    <w:rsid w:val="003E305C"/>
    <w:rsid w:val="003E4F0B"/>
    <w:rsid w:val="003E526E"/>
    <w:rsid w:val="003E7BBD"/>
    <w:rsid w:val="003F5591"/>
    <w:rsid w:val="00400B0F"/>
    <w:rsid w:val="00402ACC"/>
    <w:rsid w:val="004071F1"/>
    <w:rsid w:val="00411F98"/>
    <w:rsid w:val="004120EC"/>
    <w:rsid w:val="00417E6D"/>
    <w:rsid w:val="004230AC"/>
    <w:rsid w:val="00423F31"/>
    <w:rsid w:val="004309BD"/>
    <w:rsid w:val="00431899"/>
    <w:rsid w:val="004347F5"/>
    <w:rsid w:val="00436395"/>
    <w:rsid w:val="004511DA"/>
    <w:rsid w:val="00474495"/>
    <w:rsid w:val="0047730B"/>
    <w:rsid w:val="00480422"/>
    <w:rsid w:val="00480CF2"/>
    <w:rsid w:val="004839E3"/>
    <w:rsid w:val="00483F15"/>
    <w:rsid w:val="00486804"/>
    <w:rsid w:val="0048799B"/>
    <w:rsid w:val="00493CE7"/>
    <w:rsid w:val="0049425F"/>
    <w:rsid w:val="004977A1"/>
    <w:rsid w:val="004A260E"/>
    <w:rsid w:val="004A3D6E"/>
    <w:rsid w:val="004B2D29"/>
    <w:rsid w:val="004B3775"/>
    <w:rsid w:val="004C344B"/>
    <w:rsid w:val="004D0BA0"/>
    <w:rsid w:val="004D30CB"/>
    <w:rsid w:val="004D440C"/>
    <w:rsid w:val="004D7DE3"/>
    <w:rsid w:val="004E0264"/>
    <w:rsid w:val="004E058F"/>
    <w:rsid w:val="004E229C"/>
    <w:rsid w:val="004E3B87"/>
    <w:rsid w:val="004F027D"/>
    <w:rsid w:val="004F0741"/>
    <w:rsid w:val="00500C4F"/>
    <w:rsid w:val="00510921"/>
    <w:rsid w:val="00510AD3"/>
    <w:rsid w:val="00513348"/>
    <w:rsid w:val="00514211"/>
    <w:rsid w:val="00533B5D"/>
    <w:rsid w:val="005403BA"/>
    <w:rsid w:val="00547963"/>
    <w:rsid w:val="005511BF"/>
    <w:rsid w:val="00552D85"/>
    <w:rsid w:val="005556F4"/>
    <w:rsid w:val="00561373"/>
    <w:rsid w:val="005621D5"/>
    <w:rsid w:val="00572F69"/>
    <w:rsid w:val="00574C83"/>
    <w:rsid w:val="005858DA"/>
    <w:rsid w:val="00586FD8"/>
    <w:rsid w:val="005872E0"/>
    <w:rsid w:val="0059146A"/>
    <w:rsid w:val="005A169E"/>
    <w:rsid w:val="005A1A2F"/>
    <w:rsid w:val="005B5769"/>
    <w:rsid w:val="005B67DF"/>
    <w:rsid w:val="005B6CF8"/>
    <w:rsid w:val="005C3222"/>
    <w:rsid w:val="005C78DB"/>
    <w:rsid w:val="005D3655"/>
    <w:rsid w:val="005E0D42"/>
    <w:rsid w:val="005E3332"/>
    <w:rsid w:val="005E606B"/>
    <w:rsid w:val="005F395C"/>
    <w:rsid w:val="00604AAE"/>
    <w:rsid w:val="00611F5A"/>
    <w:rsid w:val="00617F26"/>
    <w:rsid w:val="00620F1A"/>
    <w:rsid w:val="006232D1"/>
    <w:rsid w:val="00623BA1"/>
    <w:rsid w:val="0062547B"/>
    <w:rsid w:val="006262D6"/>
    <w:rsid w:val="00627F4E"/>
    <w:rsid w:val="00630C7C"/>
    <w:rsid w:val="006346BC"/>
    <w:rsid w:val="00640F66"/>
    <w:rsid w:val="00642B35"/>
    <w:rsid w:val="00650D96"/>
    <w:rsid w:val="006608F1"/>
    <w:rsid w:val="0066333D"/>
    <w:rsid w:val="0066365A"/>
    <w:rsid w:val="0066652A"/>
    <w:rsid w:val="006731EA"/>
    <w:rsid w:val="00673BEF"/>
    <w:rsid w:val="006742FA"/>
    <w:rsid w:val="006800FE"/>
    <w:rsid w:val="00680522"/>
    <w:rsid w:val="00681F08"/>
    <w:rsid w:val="00682167"/>
    <w:rsid w:val="00686B62"/>
    <w:rsid w:val="006879B9"/>
    <w:rsid w:val="00695730"/>
    <w:rsid w:val="0069698D"/>
    <w:rsid w:val="006A03AE"/>
    <w:rsid w:val="006A0AF2"/>
    <w:rsid w:val="006A4ACB"/>
    <w:rsid w:val="006A7A76"/>
    <w:rsid w:val="006B1B41"/>
    <w:rsid w:val="006B6CA3"/>
    <w:rsid w:val="006C42AF"/>
    <w:rsid w:val="006D74E2"/>
    <w:rsid w:val="006E2263"/>
    <w:rsid w:val="006E2A11"/>
    <w:rsid w:val="006F27B1"/>
    <w:rsid w:val="006F4462"/>
    <w:rsid w:val="00703BAC"/>
    <w:rsid w:val="007074DC"/>
    <w:rsid w:val="00710D2A"/>
    <w:rsid w:val="00711D8E"/>
    <w:rsid w:val="00712672"/>
    <w:rsid w:val="00713D5C"/>
    <w:rsid w:val="00714D1F"/>
    <w:rsid w:val="00734E3F"/>
    <w:rsid w:val="00736985"/>
    <w:rsid w:val="00736C0A"/>
    <w:rsid w:val="0074050B"/>
    <w:rsid w:val="00745DF5"/>
    <w:rsid w:val="00754A1A"/>
    <w:rsid w:val="0075525C"/>
    <w:rsid w:val="0076250F"/>
    <w:rsid w:val="00771B53"/>
    <w:rsid w:val="007803C7"/>
    <w:rsid w:val="00781C66"/>
    <w:rsid w:val="007833CF"/>
    <w:rsid w:val="007839B6"/>
    <w:rsid w:val="00784031"/>
    <w:rsid w:val="00784070"/>
    <w:rsid w:val="0079759A"/>
    <w:rsid w:val="007A5AD0"/>
    <w:rsid w:val="007A6119"/>
    <w:rsid w:val="007A61AD"/>
    <w:rsid w:val="007B5738"/>
    <w:rsid w:val="007B6200"/>
    <w:rsid w:val="007C1B83"/>
    <w:rsid w:val="007C7BE8"/>
    <w:rsid w:val="007D272D"/>
    <w:rsid w:val="007E2AE7"/>
    <w:rsid w:val="007E43A6"/>
    <w:rsid w:val="007E6AAB"/>
    <w:rsid w:val="007F3395"/>
    <w:rsid w:val="0080082B"/>
    <w:rsid w:val="00801B9F"/>
    <w:rsid w:val="00805776"/>
    <w:rsid w:val="008057FD"/>
    <w:rsid w:val="00811ED0"/>
    <w:rsid w:val="00812509"/>
    <w:rsid w:val="008130EE"/>
    <w:rsid w:val="008133D9"/>
    <w:rsid w:val="00824F97"/>
    <w:rsid w:val="008324A8"/>
    <w:rsid w:val="008329F7"/>
    <w:rsid w:val="0084272C"/>
    <w:rsid w:val="008475F0"/>
    <w:rsid w:val="00851D1B"/>
    <w:rsid w:val="008556C8"/>
    <w:rsid w:val="00864210"/>
    <w:rsid w:val="0087057D"/>
    <w:rsid w:val="0087305C"/>
    <w:rsid w:val="008A0C2A"/>
    <w:rsid w:val="008A1A3C"/>
    <w:rsid w:val="008A321F"/>
    <w:rsid w:val="008A33E9"/>
    <w:rsid w:val="008A5AFE"/>
    <w:rsid w:val="008B04DA"/>
    <w:rsid w:val="008B68D7"/>
    <w:rsid w:val="008C2F58"/>
    <w:rsid w:val="008C5A0E"/>
    <w:rsid w:val="008D4779"/>
    <w:rsid w:val="008E478D"/>
    <w:rsid w:val="008F56A8"/>
    <w:rsid w:val="009020CC"/>
    <w:rsid w:val="00902813"/>
    <w:rsid w:val="00912213"/>
    <w:rsid w:val="0091453A"/>
    <w:rsid w:val="0091478B"/>
    <w:rsid w:val="00916FB1"/>
    <w:rsid w:val="00917666"/>
    <w:rsid w:val="00926AAB"/>
    <w:rsid w:val="00937162"/>
    <w:rsid w:val="00947B5C"/>
    <w:rsid w:val="00955A4B"/>
    <w:rsid w:val="00957F96"/>
    <w:rsid w:val="009625EB"/>
    <w:rsid w:val="009710BC"/>
    <w:rsid w:val="00975B64"/>
    <w:rsid w:val="00982F66"/>
    <w:rsid w:val="00982FEF"/>
    <w:rsid w:val="009903F3"/>
    <w:rsid w:val="009927B5"/>
    <w:rsid w:val="00992C76"/>
    <w:rsid w:val="00994D70"/>
    <w:rsid w:val="009A1E4C"/>
    <w:rsid w:val="009A56F2"/>
    <w:rsid w:val="009A6606"/>
    <w:rsid w:val="009A7AA1"/>
    <w:rsid w:val="009B12F9"/>
    <w:rsid w:val="009B499A"/>
    <w:rsid w:val="009B4D3B"/>
    <w:rsid w:val="009C44E0"/>
    <w:rsid w:val="009D7407"/>
    <w:rsid w:val="009D7767"/>
    <w:rsid w:val="009E0866"/>
    <w:rsid w:val="009F0376"/>
    <w:rsid w:val="009F5488"/>
    <w:rsid w:val="009F6423"/>
    <w:rsid w:val="00A011C7"/>
    <w:rsid w:val="00A03E53"/>
    <w:rsid w:val="00A11B7E"/>
    <w:rsid w:val="00A135A9"/>
    <w:rsid w:val="00A138D6"/>
    <w:rsid w:val="00A24A62"/>
    <w:rsid w:val="00A27F9D"/>
    <w:rsid w:val="00A31C9F"/>
    <w:rsid w:val="00A3734B"/>
    <w:rsid w:val="00A37CAC"/>
    <w:rsid w:val="00A4144F"/>
    <w:rsid w:val="00A43A51"/>
    <w:rsid w:val="00A47BF8"/>
    <w:rsid w:val="00A50F38"/>
    <w:rsid w:val="00A56F14"/>
    <w:rsid w:val="00A80F95"/>
    <w:rsid w:val="00A8197B"/>
    <w:rsid w:val="00A83725"/>
    <w:rsid w:val="00A84162"/>
    <w:rsid w:val="00A86E86"/>
    <w:rsid w:val="00A92CF2"/>
    <w:rsid w:val="00A94E8A"/>
    <w:rsid w:val="00AA2F0F"/>
    <w:rsid w:val="00AA7BE3"/>
    <w:rsid w:val="00AB04FC"/>
    <w:rsid w:val="00AB0992"/>
    <w:rsid w:val="00AB5E7F"/>
    <w:rsid w:val="00AB6D85"/>
    <w:rsid w:val="00AC164A"/>
    <w:rsid w:val="00AC7F0D"/>
    <w:rsid w:val="00AD250E"/>
    <w:rsid w:val="00AF0F3F"/>
    <w:rsid w:val="00AF1B85"/>
    <w:rsid w:val="00AF2050"/>
    <w:rsid w:val="00B03CA8"/>
    <w:rsid w:val="00B12980"/>
    <w:rsid w:val="00B1502B"/>
    <w:rsid w:val="00B22B04"/>
    <w:rsid w:val="00B240C9"/>
    <w:rsid w:val="00B263B5"/>
    <w:rsid w:val="00B26858"/>
    <w:rsid w:val="00B27F93"/>
    <w:rsid w:val="00B331DC"/>
    <w:rsid w:val="00B33A2D"/>
    <w:rsid w:val="00B37A0F"/>
    <w:rsid w:val="00B412E3"/>
    <w:rsid w:val="00B42A77"/>
    <w:rsid w:val="00B438D3"/>
    <w:rsid w:val="00B446D7"/>
    <w:rsid w:val="00B45F5A"/>
    <w:rsid w:val="00B559C7"/>
    <w:rsid w:val="00B55E19"/>
    <w:rsid w:val="00B73F3B"/>
    <w:rsid w:val="00B754C8"/>
    <w:rsid w:val="00B8475C"/>
    <w:rsid w:val="00B907C7"/>
    <w:rsid w:val="00B91009"/>
    <w:rsid w:val="00B9603C"/>
    <w:rsid w:val="00BA4B6D"/>
    <w:rsid w:val="00BA5F03"/>
    <w:rsid w:val="00BB26C5"/>
    <w:rsid w:val="00BC03F2"/>
    <w:rsid w:val="00BC5707"/>
    <w:rsid w:val="00BC77DF"/>
    <w:rsid w:val="00BD1333"/>
    <w:rsid w:val="00BD6183"/>
    <w:rsid w:val="00BE1BEB"/>
    <w:rsid w:val="00BE26C5"/>
    <w:rsid w:val="00BE6B2E"/>
    <w:rsid w:val="00BF3260"/>
    <w:rsid w:val="00BF4DE6"/>
    <w:rsid w:val="00C038DD"/>
    <w:rsid w:val="00C105E8"/>
    <w:rsid w:val="00C1342B"/>
    <w:rsid w:val="00C20ED5"/>
    <w:rsid w:val="00C23E21"/>
    <w:rsid w:val="00C320A6"/>
    <w:rsid w:val="00C33FF4"/>
    <w:rsid w:val="00C37F6A"/>
    <w:rsid w:val="00C42CDE"/>
    <w:rsid w:val="00C42DCA"/>
    <w:rsid w:val="00C509EA"/>
    <w:rsid w:val="00C5182A"/>
    <w:rsid w:val="00C51D09"/>
    <w:rsid w:val="00C523F9"/>
    <w:rsid w:val="00C627F8"/>
    <w:rsid w:val="00C62D84"/>
    <w:rsid w:val="00C63EE9"/>
    <w:rsid w:val="00C65C08"/>
    <w:rsid w:val="00C6626C"/>
    <w:rsid w:val="00C67E26"/>
    <w:rsid w:val="00C7139B"/>
    <w:rsid w:val="00C86795"/>
    <w:rsid w:val="00CA37B1"/>
    <w:rsid w:val="00CA4012"/>
    <w:rsid w:val="00CA6AD3"/>
    <w:rsid w:val="00CB1959"/>
    <w:rsid w:val="00CB61F3"/>
    <w:rsid w:val="00CC4767"/>
    <w:rsid w:val="00CD0E4B"/>
    <w:rsid w:val="00CD1652"/>
    <w:rsid w:val="00CD4269"/>
    <w:rsid w:val="00CD47D9"/>
    <w:rsid w:val="00CD4F30"/>
    <w:rsid w:val="00CE0155"/>
    <w:rsid w:val="00CE2BEE"/>
    <w:rsid w:val="00CE6A18"/>
    <w:rsid w:val="00CE7633"/>
    <w:rsid w:val="00CE7AAB"/>
    <w:rsid w:val="00CF38CD"/>
    <w:rsid w:val="00CF3A7A"/>
    <w:rsid w:val="00CF5108"/>
    <w:rsid w:val="00CF670F"/>
    <w:rsid w:val="00CF6DA0"/>
    <w:rsid w:val="00D00802"/>
    <w:rsid w:val="00D0296C"/>
    <w:rsid w:val="00D06DB9"/>
    <w:rsid w:val="00D1069E"/>
    <w:rsid w:val="00D1295D"/>
    <w:rsid w:val="00D146A2"/>
    <w:rsid w:val="00D15A00"/>
    <w:rsid w:val="00D2335E"/>
    <w:rsid w:val="00D2653F"/>
    <w:rsid w:val="00D459E7"/>
    <w:rsid w:val="00D540C4"/>
    <w:rsid w:val="00D6002C"/>
    <w:rsid w:val="00D603F1"/>
    <w:rsid w:val="00D64BD1"/>
    <w:rsid w:val="00D71017"/>
    <w:rsid w:val="00D72760"/>
    <w:rsid w:val="00D75D1C"/>
    <w:rsid w:val="00DB42E8"/>
    <w:rsid w:val="00DD1986"/>
    <w:rsid w:val="00DD36A5"/>
    <w:rsid w:val="00DD3FAF"/>
    <w:rsid w:val="00DD5DCE"/>
    <w:rsid w:val="00DE084C"/>
    <w:rsid w:val="00DE3187"/>
    <w:rsid w:val="00DE6197"/>
    <w:rsid w:val="00DE7320"/>
    <w:rsid w:val="00DF7F8D"/>
    <w:rsid w:val="00E03850"/>
    <w:rsid w:val="00E15595"/>
    <w:rsid w:val="00E200DB"/>
    <w:rsid w:val="00E211BF"/>
    <w:rsid w:val="00E21787"/>
    <w:rsid w:val="00E236B1"/>
    <w:rsid w:val="00E25F73"/>
    <w:rsid w:val="00E357B7"/>
    <w:rsid w:val="00E45B01"/>
    <w:rsid w:val="00E51890"/>
    <w:rsid w:val="00E52B7B"/>
    <w:rsid w:val="00E53800"/>
    <w:rsid w:val="00E54E27"/>
    <w:rsid w:val="00E6081F"/>
    <w:rsid w:val="00E65105"/>
    <w:rsid w:val="00E65C75"/>
    <w:rsid w:val="00E6695C"/>
    <w:rsid w:val="00E91A26"/>
    <w:rsid w:val="00EA04B2"/>
    <w:rsid w:val="00EA0645"/>
    <w:rsid w:val="00EA20F3"/>
    <w:rsid w:val="00ED1CD6"/>
    <w:rsid w:val="00ED2831"/>
    <w:rsid w:val="00ED3A84"/>
    <w:rsid w:val="00ED43D1"/>
    <w:rsid w:val="00EE14D8"/>
    <w:rsid w:val="00EE4C0A"/>
    <w:rsid w:val="00EE4EE1"/>
    <w:rsid w:val="00EF1B35"/>
    <w:rsid w:val="00EF4574"/>
    <w:rsid w:val="00EF4AD9"/>
    <w:rsid w:val="00F042CC"/>
    <w:rsid w:val="00F06182"/>
    <w:rsid w:val="00F1695A"/>
    <w:rsid w:val="00F222F5"/>
    <w:rsid w:val="00F2684E"/>
    <w:rsid w:val="00F3674A"/>
    <w:rsid w:val="00F4140A"/>
    <w:rsid w:val="00F478CA"/>
    <w:rsid w:val="00F53430"/>
    <w:rsid w:val="00F5404C"/>
    <w:rsid w:val="00F6077F"/>
    <w:rsid w:val="00F62EEA"/>
    <w:rsid w:val="00F660E6"/>
    <w:rsid w:val="00F729EF"/>
    <w:rsid w:val="00F77CAE"/>
    <w:rsid w:val="00F80511"/>
    <w:rsid w:val="00F82271"/>
    <w:rsid w:val="00F83428"/>
    <w:rsid w:val="00F90589"/>
    <w:rsid w:val="00F92647"/>
    <w:rsid w:val="00F94D4B"/>
    <w:rsid w:val="00F96BB9"/>
    <w:rsid w:val="00FA02D2"/>
    <w:rsid w:val="00FA44DF"/>
    <w:rsid w:val="00FB4F75"/>
    <w:rsid w:val="00FD0BC3"/>
    <w:rsid w:val="00FD2608"/>
    <w:rsid w:val="00FD306D"/>
    <w:rsid w:val="00FD3DF5"/>
    <w:rsid w:val="00FD46FB"/>
    <w:rsid w:val="00FE5004"/>
    <w:rsid w:val="00FE5992"/>
    <w:rsid w:val="00FE6D51"/>
    <w:rsid w:val="00FF09F3"/>
    <w:rsid w:val="00FF0C20"/>
    <w:rsid w:val="00FF31C9"/>
    <w:rsid w:val="00FF3200"/>
    <w:rsid w:val="00FF75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C6AF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uiPriority w:val="39"/>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E65105"/>
    <w:pPr>
      <w:keepLines/>
      <w:suppressAutoHyphens w:val="0"/>
      <w:spacing w:before="80" w:after="80" w:line="200" w:lineRule="atLeast"/>
      <w:ind w:left="125"/>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table" w:customStyle="1" w:styleId="TableGrid1">
    <w:name w:val="Table Grid1"/>
    <w:basedOn w:val="TableNormal"/>
    <w:next w:val="TableGrid"/>
    <w:uiPriority w:val="39"/>
    <w:rsid w:val="00695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PPR1">
    <w:name w:val="APPR1"/>
    <w:basedOn w:val="TableNormal"/>
    <w:uiPriority w:val="99"/>
    <w:rsid w:val="009020CC"/>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character" w:styleId="CommentReference">
    <w:name w:val="annotation reference"/>
    <w:basedOn w:val="DefaultParagraphFont"/>
    <w:uiPriority w:val="99"/>
    <w:semiHidden/>
    <w:unhideWhenUsed/>
    <w:rsid w:val="000621CA"/>
    <w:rPr>
      <w:sz w:val="16"/>
      <w:szCs w:val="16"/>
    </w:rPr>
  </w:style>
  <w:style w:type="paragraph" w:styleId="CommentText">
    <w:name w:val="annotation text"/>
    <w:basedOn w:val="Normal"/>
    <w:link w:val="CommentTextChar"/>
    <w:uiPriority w:val="99"/>
    <w:semiHidden/>
    <w:unhideWhenUsed/>
    <w:rsid w:val="000621CA"/>
    <w:pPr>
      <w:spacing w:line="240" w:lineRule="auto"/>
    </w:pPr>
    <w:rPr>
      <w:sz w:val="20"/>
      <w:szCs w:val="20"/>
    </w:rPr>
  </w:style>
  <w:style w:type="character" w:customStyle="1" w:styleId="CommentTextChar">
    <w:name w:val="Comment Text Char"/>
    <w:basedOn w:val="DefaultParagraphFont"/>
    <w:link w:val="CommentText"/>
    <w:uiPriority w:val="99"/>
    <w:semiHidden/>
    <w:rsid w:val="000621CA"/>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0621CA"/>
    <w:rPr>
      <w:b/>
      <w:bCs/>
    </w:rPr>
  </w:style>
  <w:style w:type="character" w:customStyle="1" w:styleId="CommentSubjectChar">
    <w:name w:val="Comment Subject Char"/>
    <w:basedOn w:val="CommentTextChar"/>
    <w:link w:val="CommentSubject"/>
    <w:uiPriority w:val="99"/>
    <w:semiHidden/>
    <w:rsid w:val="000621CA"/>
    <w:rPr>
      <w:b/>
      <w:bCs/>
      <w:color w:val="495965" w:themeColor="text2"/>
      <w:sz w:val="20"/>
      <w:szCs w:val="20"/>
      <w:lang w:val="en-GB"/>
    </w:rPr>
  </w:style>
  <w:style w:type="paragraph" w:styleId="ListParagraph">
    <w:name w:val="List Paragraph"/>
    <w:basedOn w:val="Normal"/>
    <w:uiPriority w:val="34"/>
    <w:qFormat/>
    <w:rsid w:val="00D603F1"/>
    <w:pPr>
      <w:ind w:left="720"/>
      <w:contextualSpacing/>
    </w:pPr>
  </w:style>
  <w:style w:type="paragraph" w:styleId="Revision">
    <w:name w:val="Revision"/>
    <w:hidden/>
    <w:uiPriority w:val="99"/>
    <w:semiHidden/>
    <w:rsid w:val="005E0D42"/>
    <w:pPr>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90828">
      <w:bodyDiv w:val="1"/>
      <w:marLeft w:val="0"/>
      <w:marRight w:val="0"/>
      <w:marTop w:val="0"/>
      <w:marBottom w:val="0"/>
      <w:divBdr>
        <w:top w:val="none" w:sz="0" w:space="0" w:color="auto"/>
        <w:left w:val="none" w:sz="0" w:space="0" w:color="auto"/>
        <w:bottom w:val="none" w:sz="0" w:space="0" w:color="auto"/>
        <w:right w:val="none" w:sz="0" w:space="0" w:color="auto"/>
      </w:divBdr>
    </w:div>
    <w:div w:id="259333855">
      <w:bodyDiv w:val="1"/>
      <w:marLeft w:val="0"/>
      <w:marRight w:val="0"/>
      <w:marTop w:val="0"/>
      <w:marBottom w:val="0"/>
      <w:divBdr>
        <w:top w:val="none" w:sz="0" w:space="0" w:color="auto"/>
        <w:left w:val="none" w:sz="0" w:space="0" w:color="auto"/>
        <w:bottom w:val="none" w:sz="0" w:space="0" w:color="auto"/>
        <w:right w:val="none" w:sz="0" w:space="0" w:color="auto"/>
      </w:divBdr>
    </w:div>
    <w:div w:id="1143548401">
      <w:bodyDiv w:val="1"/>
      <w:marLeft w:val="0"/>
      <w:marRight w:val="0"/>
      <w:marTop w:val="0"/>
      <w:marBottom w:val="0"/>
      <w:divBdr>
        <w:top w:val="none" w:sz="0" w:space="0" w:color="auto"/>
        <w:left w:val="none" w:sz="0" w:space="0" w:color="auto"/>
        <w:bottom w:val="none" w:sz="0" w:space="0" w:color="auto"/>
        <w:right w:val="none" w:sz="0" w:space="0" w:color="auto"/>
      </w:divBdr>
    </w:div>
    <w:div w:id="1356737639">
      <w:bodyDiv w:val="1"/>
      <w:marLeft w:val="0"/>
      <w:marRight w:val="0"/>
      <w:marTop w:val="0"/>
      <w:marBottom w:val="0"/>
      <w:divBdr>
        <w:top w:val="none" w:sz="0" w:space="0" w:color="auto"/>
        <w:left w:val="none" w:sz="0" w:space="0" w:color="auto"/>
        <w:bottom w:val="none" w:sz="0" w:space="0" w:color="auto"/>
        <w:right w:val="none" w:sz="0" w:space="0" w:color="auto"/>
      </w:divBdr>
    </w:div>
    <w:div w:id="162079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6.JP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13.jpeg"/><Relationship Id="rId33"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8.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32"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11.png"/><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10.jpeg"/><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1E0BAD-00F5-4A72-96D1-4D53A7957ED1}"/>
</file>

<file path=customXml/itemProps2.xml><?xml version="1.0" encoding="utf-8"?>
<ds:datastoreItem xmlns:ds="http://schemas.openxmlformats.org/officeDocument/2006/customXml" ds:itemID="{B2B985C0-55E9-49E8-BB7B-E9F75E5FD428}"/>
</file>

<file path=customXml/itemProps3.xml><?xml version="1.0" encoding="utf-8"?>
<ds:datastoreItem xmlns:ds="http://schemas.openxmlformats.org/officeDocument/2006/customXml" ds:itemID="{BF778230-F944-4C33-8281-9E70FCE0586E}"/>
</file>

<file path=customXml/itemProps4.xml><?xml version="1.0" encoding="utf-8"?>
<ds:datastoreItem xmlns:ds="http://schemas.openxmlformats.org/officeDocument/2006/customXml" ds:itemID="{E3E4BB60-9190-4F9E-885A-F15F87F359BA}"/>
</file>

<file path=docProps/app.xml><?xml version="1.0" encoding="utf-8"?>
<Properties xmlns="http://schemas.openxmlformats.org/officeDocument/2006/extended-properties" xmlns:vt="http://schemas.openxmlformats.org/officeDocument/2006/docPropsVTypes">
  <Template>Normal.dotm</Template>
  <TotalTime>0</TotalTime>
  <Pages>16</Pages>
  <Words>6157</Words>
  <Characters>35100</Characters>
  <Application>Microsoft Office Word</Application>
  <DocSecurity>4</DocSecurity>
  <Lines>292</Lines>
  <Paragraphs>82</Paragraphs>
  <ScaleCrop>false</ScaleCrop>
  <HeadingPairs>
    <vt:vector size="2" baseType="variant">
      <vt:variant>
        <vt:lpstr>Title</vt:lpstr>
      </vt:variant>
      <vt:variant>
        <vt:i4>1</vt:i4>
      </vt:variant>
    </vt:vector>
  </HeadingPairs>
  <TitlesOfParts>
    <vt:vector size="1" baseType="lpstr">
      <vt:lpstr>Nauru Aid Program Performance Report 2016-17</vt:lpstr>
    </vt:vector>
  </TitlesOfParts>
  <Company/>
  <LinksUpToDate>false</LinksUpToDate>
  <CharactersWithSpaces>41175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Nauru Aid Program Performance Report 2016-17</dc:title>
  <dc:creator/>
  <cp:lastModifiedBy/>
  <cp:revision>1</cp:revision>
  <dcterms:created xsi:type="dcterms:W3CDTF">2017-09-27T06:23:00Z</dcterms:created>
  <dcterms:modified xsi:type="dcterms:W3CDTF">2017-09-27T06:23:00Z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ee8f0b4c-ddc7-441b-a278-ec6ae795ca46</vt:lpwstr>
  </property>
  <property fmtid="{D5CDD505-2E9C-101B-9397-08002B2CF9AE}" pid="3" name="ContentTypeId">
    <vt:lpwstr>0x01010050F19AC2165D2E47A5E6B7F563E4CF00</vt:lpwstr>
  </property>
  <property fmtid="{D5CDD505-2E9C-101B-9397-08002B2CF9AE}" pid="4" name="Order">
    <vt:r8>1124000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y fmtid="{D5CDD505-2E9C-101B-9397-08002B2CF9AE}" pid="9" name="xd_ProgID">
    <vt:lpwstr/>
  </property>
  <property fmtid="{D5CDD505-2E9C-101B-9397-08002B2CF9AE}" pid="10" name="SEC">
    <vt:lpwstr>UNCLASSIFIED</vt:lpwstr>
  </property>
  <property fmtid="{D5CDD505-2E9C-101B-9397-08002B2CF9AE}" pid="11" name="DLM">
    <vt:lpwstr>No DLM</vt:lpwstr>
  </property>
</Properties>
</file>