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9C" w:rsidRDefault="008E7C9C" w:rsidP="008E7C9C">
      <w:pPr>
        <w:spacing w:line="276" w:lineRule="auto"/>
        <w:rPr>
          <w:rFonts w:ascii="Helvetica" w:eastAsia="Times New Roman" w:hAnsi="Helvetica" w:cs="Arial"/>
          <w:color w:val="007FAD"/>
          <w:spacing w:val="-10"/>
          <w:kern w:val="28"/>
          <w:sz w:val="28"/>
          <w:szCs w:val="28"/>
        </w:rPr>
      </w:pPr>
      <w:bookmarkStart w:id="0" w:name="_GoBack"/>
      <w:bookmarkEnd w:id="0"/>
    </w:p>
    <w:p w:rsidR="0092385B" w:rsidRPr="00C4114C" w:rsidRDefault="00972946">
      <w:pPr>
        <w:spacing w:after="200" w:line="276" w:lineRule="auto"/>
        <w:rPr>
          <w:rFonts w:ascii="Helvetica" w:eastAsia="Times New Roman" w:hAnsi="Helvetica" w:cs="Arial"/>
          <w:color w:val="007FAD"/>
          <w:spacing w:val="-10"/>
          <w:kern w:val="28"/>
          <w:sz w:val="28"/>
          <w:szCs w:val="28"/>
        </w:rPr>
      </w:pPr>
      <w:r>
        <w:rPr>
          <w:rFonts w:ascii="Helvetica" w:eastAsia="Times New Roman" w:hAnsi="Helvetica" w:cs="Arial"/>
          <w:color w:val="007FAD"/>
          <w:spacing w:val="-10"/>
          <w:kern w:val="28"/>
          <w:sz w:val="28"/>
          <w:szCs w:val="28"/>
        </w:rPr>
        <w:t>Nauru</w:t>
      </w:r>
      <w:r w:rsidR="00D5657C" w:rsidRPr="00C4114C">
        <w:rPr>
          <w:rFonts w:ascii="Helvetica" w:eastAsia="Times New Roman" w:hAnsi="Helvetica" w:cs="Arial"/>
          <w:color w:val="007FAD"/>
          <w:spacing w:val="-10"/>
          <w:kern w:val="28"/>
          <w:sz w:val="28"/>
          <w:szCs w:val="28"/>
        </w:rPr>
        <w:t xml:space="preserve"> Aid Program Performance </w:t>
      </w:r>
      <w:r w:rsidR="00052146">
        <w:rPr>
          <w:rFonts w:ascii="Helvetica" w:eastAsia="Times New Roman" w:hAnsi="Helvetica" w:cs="Arial"/>
          <w:color w:val="007FAD"/>
          <w:spacing w:val="-10"/>
          <w:kern w:val="28"/>
          <w:sz w:val="28"/>
          <w:szCs w:val="28"/>
        </w:rPr>
        <w:t>Information</w:t>
      </w:r>
      <w:r w:rsidR="004976E5" w:rsidRPr="00C4114C">
        <w:rPr>
          <w:rFonts w:ascii="Helvetica" w:eastAsia="Times New Roman" w:hAnsi="Helvetica" w:cs="Arial"/>
          <w:color w:val="007FAD"/>
          <w:spacing w:val="-10"/>
          <w:kern w:val="28"/>
          <w:sz w:val="28"/>
          <w:szCs w:val="28"/>
        </w:rPr>
        <w:t xml:space="preserve"> </w:t>
      </w:r>
      <w:r w:rsidR="00D5657C" w:rsidRPr="00C4114C">
        <w:rPr>
          <w:rFonts w:ascii="Helvetica" w:eastAsia="Times New Roman" w:hAnsi="Helvetica" w:cs="Arial"/>
          <w:color w:val="007FAD"/>
          <w:spacing w:val="-10"/>
          <w:kern w:val="28"/>
          <w:sz w:val="28"/>
          <w:szCs w:val="28"/>
        </w:rPr>
        <w:t>2014-15</w:t>
      </w:r>
    </w:p>
    <w:p w:rsidR="009E68D5" w:rsidRPr="00C4114C" w:rsidRDefault="008B13AF" w:rsidP="00C62410">
      <w:pPr>
        <w:pStyle w:val="Heading1"/>
        <w:spacing w:before="280"/>
      </w:pPr>
      <w:r w:rsidRPr="00C4114C">
        <w:t>Summary</w:t>
      </w:r>
    </w:p>
    <w:p w:rsidR="00057ECD" w:rsidRPr="00C4114C" w:rsidRDefault="00057ECD" w:rsidP="0053089A">
      <w:pPr>
        <w:spacing w:after="200" w:line="276" w:lineRule="auto"/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>Australia’s development cooperation program in Nauru supports</w:t>
      </w:r>
      <w:r w:rsidR="00F11EB5">
        <w:rPr>
          <w:rFonts w:ascii="Franklin Gothic Book" w:hAnsi="Franklin Gothic Book"/>
          <w:sz w:val="21"/>
        </w:rPr>
        <w:t xml:space="preserve"> </w:t>
      </w:r>
      <w:r w:rsidR="00F83091">
        <w:rPr>
          <w:rFonts w:ascii="Franklin Gothic Book" w:hAnsi="Franklin Gothic Book"/>
          <w:sz w:val="21"/>
        </w:rPr>
        <w:t>the objective</w:t>
      </w:r>
      <w:r w:rsidR="00E4516E">
        <w:rPr>
          <w:rFonts w:ascii="Franklin Gothic Book" w:hAnsi="Franklin Gothic Book"/>
          <w:sz w:val="21"/>
        </w:rPr>
        <w:t>s</w:t>
      </w:r>
      <w:r w:rsidR="00F83091">
        <w:rPr>
          <w:rFonts w:ascii="Franklin Gothic Book" w:hAnsi="Franklin Gothic Book"/>
          <w:sz w:val="21"/>
        </w:rPr>
        <w:t xml:space="preserve"> of </w:t>
      </w:r>
      <w:r>
        <w:rPr>
          <w:rFonts w:ascii="Franklin Gothic Book" w:hAnsi="Franklin Gothic Book"/>
          <w:sz w:val="21"/>
        </w:rPr>
        <w:t>a socially stable and economically resilient Nauru that has a functioning and accountable public sector</w:t>
      </w:r>
      <w:r w:rsidR="004976E5">
        <w:rPr>
          <w:rFonts w:ascii="Franklin Gothic Book" w:hAnsi="Franklin Gothic Book"/>
          <w:sz w:val="21"/>
        </w:rPr>
        <w:t>;</w:t>
      </w:r>
      <w:r>
        <w:rPr>
          <w:rFonts w:ascii="Franklin Gothic Book" w:hAnsi="Franklin Gothic Book"/>
          <w:sz w:val="21"/>
        </w:rPr>
        <w:t xml:space="preserve"> critical infrastructure; and provides quality health and education services to enable Nauru’s community to take up economic and labour mobility opportunities.  In 2014-15 </w:t>
      </w:r>
      <w:r w:rsidR="009009B5">
        <w:rPr>
          <w:rFonts w:ascii="Franklin Gothic Book" w:hAnsi="Franklin Gothic Book"/>
          <w:sz w:val="21"/>
        </w:rPr>
        <w:t xml:space="preserve">Australia </w:t>
      </w:r>
      <w:r>
        <w:rPr>
          <w:rFonts w:ascii="Franklin Gothic Book" w:hAnsi="Franklin Gothic Book"/>
          <w:sz w:val="21"/>
        </w:rPr>
        <w:t>provided $</w:t>
      </w:r>
      <w:r w:rsidR="00BD7984" w:rsidRPr="00BD7984">
        <w:rPr>
          <w:rFonts w:ascii="Franklin Gothic Book" w:hAnsi="Franklin Gothic Book"/>
          <w:sz w:val="21"/>
        </w:rPr>
        <w:t xml:space="preserve">27.1 </w:t>
      </w:r>
      <w:r>
        <w:rPr>
          <w:rFonts w:ascii="Franklin Gothic Book" w:hAnsi="Franklin Gothic Book"/>
          <w:sz w:val="21"/>
        </w:rPr>
        <w:t xml:space="preserve">million in </w:t>
      </w:r>
      <w:r w:rsidR="00BD7984">
        <w:rPr>
          <w:rFonts w:ascii="Franklin Gothic Book" w:hAnsi="Franklin Gothic Book"/>
          <w:sz w:val="21"/>
        </w:rPr>
        <w:t>O</w:t>
      </w:r>
      <w:r>
        <w:rPr>
          <w:rFonts w:ascii="Franklin Gothic Book" w:hAnsi="Franklin Gothic Book"/>
          <w:sz w:val="21"/>
        </w:rPr>
        <w:t xml:space="preserve">fficial </w:t>
      </w:r>
      <w:r w:rsidR="00BD7984">
        <w:rPr>
          <w:rFonts w:ascii="Franklin Gothic Book" w:hAnsi="Franklin Gothic Book"/>
          <w:sz w:val="21"/>
        </w:rPr>
        <w:t>D</w:t>
      </w:r>
      <w:r>
        <w:rPr>
          <w:rFonts w:ascii="Franklin Gothic Book" w:hAnsi="Franklin Gothic Book"/>
          <w:sz w:val="21"/>
        </w:rPr>
        <w:t xml:space="preserve">evelopment </w:t>
      </w:r>
      <w:r w:rsidR="00BD7984">
        <w:rPr>
          <w:rFonts w:ascii="Franklin Gothic Book" w:hAnsi="Franklin Gothic Book"/>
          <w:sz w:val="21"/>
        </w:rPr>
        <w:t>A</w:t>
      </w:r>
      <w:r>
        <w:rPr>
          <w:rFonts w:ascii="Franklin Gothic Book" w:hAnsi="Franklin Gothic Book"/>
          <w:sz w:val="21"/>
        </w:rPr>
        <w:t>ssistance (ODA) to Nauru</w:t>
      </w:r>
      <w:r w:rsidR="00785679">
        <w:rPr>
          <w:rFonts w:ascii="Franklin Gothic Book" w:hAnsi="Franklin Gothic Book"/>
          <w:sz w:val="21"/>
        </w:rPr>
        <w:t xml:space="preserve"> – equivalent to 23 per</w:t>
      </w:r>
      <w:r w:rsidR="004976E5">
        <w:rPr>
          <w:rFonts w:ascii="Franklin Gothic Book" w:hAnsi="Franklin Gothic Book"/>
          <w:sz w:val="21"/>
        </w:rPr>
        <w:t xml:space="preserve"> </w:t>
      </w:r>
      <w:r w:rsidR="00785679">
        <w:rPr>
          <w:rFonts w:ascii="Franklin Gothic Book" w:hAnsi="Franklin Gothic Book"/>
          <w:sz w:val="21"/>
        </w:rPr>
        <w:t>cent of the Government of Nauru’s budget of A$115 million</w:t>
      </w:r>
      <w:r>
        <w:rPr>
          <w:rFonts w:ascii="Franklin Gothic Book" w:hAnsi="Franklin Gothic Book"/>
          <w:sz w:val="21"/>
        </w:rPr>
        <w:t>.</w:t>
      </w:r>
      <w:r w:rsidR="00BD7984">
        <w:rPr>
          <w:rFonts w:ascii="Franklin Gothic Book" w:hAnsi="Franklin Gothic Book"/>
          <w:sz w:val="21"/>
        </w:rPr>
        <w:t xml:space="preserve">  Australia </w:t>
      </w:r>
      <w:r w:rsidR="004976E5">
        <w:rPr>
          <w:rFonts w:ascii="Franklin Gothic Book" w:hAnsi="Franklin Gothic Book"/>
          <w:sz w:val="21"/>
        </w:rPr>
        <w:t>is</w:t>
      </w:r>
      <w:r w:rsidR="00BD7984">
        <w:rPr>
          <w:rFonts w:ascii="Franklin Gothic Book" w:hAnsi="Franklin Gothic Book"/>
          <w:sz w:val="21"/>
        </w:rPr>
        <w:t xml:space="preserve"> Nauru’s major development partner.</w:t>
      </w:r>
      <w:r w:rsidR="009E6C59">
        <w:rPr>
          <w:rFonts w:ascii="Franklin Gothic Book" w:hAnsi="Franklin Gothic Book"/>
          <w:sz w:val="21"/>
        </w:rPr>
        <w:t xml:space="preserve">  </w:t>
      </w:r>
      <w:r w:rsidR="004976E5">
        <w:rPr>
          <w:rFonts w:ascii="Franklin Gothic Book" w:hAnsi="Franklin Gothic Book"/>
          <w:sz w:val="21"/>
        </w:rPr>
        <w:t>The Asian Development Bank (</w:t>
      </w:r>
      <w:r w:rsidR="009E6C59">
        <w:rPr>
          <w:rFonts w:ascii="Franklin Gothic Book" w:hAnsi="Franklin Gothic Book"/>
          <w:sz w:val="21"/>
        </w:rPr>
        <w:t>ADB</w:t>
      </w:r>
      <w:r w:rsidR="004976E5">
        <w:rPr>
          <w:rFonts w:ascii="Franklin Gothic Book" w:hAnsi="Franklin Gothic Book"/>
          <w:sz w:val="21"/>
        </w:rPr>
        <w:t>)</w:t>
      </w:r>
      <w:r w:rsidR="009E6C59">
        <w:rPr>
          <w:rFonts w:ascii="Franklin Gothic Book" w:hAnsi="Franklin Gothic Book"/>
          <w:sz w:val="21"/>
        </w:rPr>
        <w:t xml:space="preserve"> and regional institutions are active in Nauru and </w:t>
      </w:r>
      <w:r w:rsidR="00940C5D">
        <w:rPr>
          <w:rFonts w:ascii="Franklin Gothic Book" w:hAnsi="Franklin Gothic Book"/>
          <w:sz w:val="21"/>
        </w:rPr>
        <w:t xml:space="preserve">the </w:t>
      </w:r>
      <w:r w:rsidR="00785679">
        <w:rPr>
          <w:rFonts w:ascii="Franklin Gothic Book" w:hAnsi="Franklin Gothic Book"/>
          <w:sz w:val="21"/>
        </w:rPr>
        <w:t xml:space="preserve">Government of Nauru </w:t>
      </w:r>
      <w:r w:rsidR="009E6C59">
        <w:rPr>
          <w:rFonts w:ascii="Franklin Gothic Book" w:hAnsi="Franklin Gothic Book"/>
          <w:sz w:val="21"/>
        </w:rPr>
        <w:t xml:space="preserve">is </w:t>
      </w:r>
      <w:r w:rsidR="005922AB">
        <w:rPr>
          <w:rFonts w:ascii="Franklin Gothic Book" w:hAnsi="Franklin Gothic Book"/>
          <w:sz w:val="21"/>
        </w:rPr>
        <w:t xml:space="preserve">in the process of becoming a member of </w:t>
      </w:r>
      <w:r w:rsidR="009E6C59">
        <w:rPr>
          <w:rFonts w:ascii="Franklin Gothic Book" w:hAnsi="Franklin Gothic Book"/>
          <w:sz w:val="21"/>
        </w:rPr>
        <w:t xml:space="preserve">the World Bank and </w:t>
      </w:r>
      <w:r w:rsidR="004976E5">
        <w:rPr>
          <w:rFonts w:ascii="Franklin Gothic Book" w:hAnsi="Franklin Gothic Book"/>
          <w:sz w:val="21"/>
        </w:rPr>
        <w:t>International Monetary Fund</w:t>
      </w:r>
      <w:r w:rsidR="009E6C59">
        <w:rPr>
          <w:rFonts w:ascii="Franklin Gothic Book" w:hAnsi="Franklin Gothic Book"/>
          <w:sz w:val="21"/>
        </w:rPr>
        <w:t>.</w:t>
      </w:r>
      <w:r w:rsidR="00BD7984">
        <w:rPr>
          <w:rFonts w:ascii="Franklin Gothic Book" w:hAnsi="Franklin Gothic Book"/>
          <w:sz w:val="21"/>
        </w:rPr>
        <w:t xml:space="preserve">  </w:t>
      </w:r>
    </w:p>
    <w:p w:rsidR="00D5657C" w:rsidRPr="00C4114C" w:rsidRDefault="00ED025B" w:rsidP="00C62410">
      <w:pPr>
        <w:pStyle w:val="Heading1"/>
        <w:spacing w:before="280"/>
      </w:pPr>
      <w:r w:rsidRPr="00C4114C">
        <w:t>Performance Against Strategic O</w:t>
      </w:r>
      <w:r w:rsidR="00D5657C" w:rsidRPr="00C4114C">
        <w:t>bjectives</w:t>
      </w:r>
    </w:p>
    <w:tbl>
      <w:tblPr>
        <w:tblStyle w:val="APPR"/>
        <w:tblW w:w="5000" w:type="pct"/>
        <w:tblLook w:val="0000" w:firstRow="0" w:lastRow="0" w:firstColumn="0" w:lastColumn="0" w:noHBand="0" w:noVBand="0"/>
      </w:tblPr>
      <w:tblGrid>
        <w:gridCol w:w="5963"/>
        <w:gridCol w:w="1000"/>
        <w:gridCol w:w="411"/>
        <w:gridCol w:w="1063"/>
      </w:tblGrid>
      <w:tr w:rsidR="00D5657C" w:rsidRPr="00C4114C" w:rsidTr="00D56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1"/>
        </w:trPr>
        <w:tc>
          <w:tcPr>
            <w:tcW w:w="6029" w:type="dxa"/>
          </w:tcPr>
          <w:p w:rsidR="00D5657C" w:rsidRPr="00C4114C" w:rsidRDefault="00D5657C" w:rsidP="00D5657C">
            <w:pPr>
              <w:pStyle w:val="TableTextColumnHeading"/>
            </w:pPr>
            <w:r w:rsidRPr="00C4114C"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2C7420AE" wp14:editId="7E1679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28600"/>
                  <wp:effectExtent l="0" t="0" r="9525" b="0"/>
                  <wp:wrapNone/>
                  <wp:docPr id="12" name="Picture 12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hidden="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114C">
              <w:t>Objective</w:t>
            </w:r>
            <w:r w:rsidR="009009B5">
              <w:t>s</w:t>
            </w:r>
          </w:p>
        </w:tc>
        <w:tc>
          <w:tcPr>
            <w:tcW w:w="972" w:type="dxa"/>
          </w:tcPr>
          <w:p w:rsidR="00D5657C" w:rsidRPr="00C4114C" w:rsidRDefault="00D5657C" w:rsidP="00D5657C">
            <w:pPr>
              <w:pStyle w:val="TableTextColumnHeading"/>
            </w:pPr>
            <w:r w:rsidRPr="00C4114C">
              <w:t>Previous Rating</w:t>
            </w:r>
          </w:p>
        </w:tc>
        <w:tc>
          <w:tcPr>
            <w:tcW w:w="388" w:type="dxa"/>
          </w:tcPr>
          <w:p w:rsidR="00D5657C" w:rsidRPr="00C4114C" w:rsidRDefault="00D5657C" w:rsidP="00D5657C">
            <w:pPr>
              <w:pStyle w:val="TableTextColumnHeading"/>
            </w:pPr>
          </w:p>
        </w:tc>
        <w:tc>
          <w:tcPr>
            <w:tcW w:w="1021" w:type="dxa"/>
          </w:tcPr>
          <w:p w:rsidR="00D5657C" w:rsidRPr="00C4114C" w:rsidRDefault="00D5657C" w:rsidP="00D5657C">
            <w:pPr>
              <w:pStyle w:val="TableTextColumnHeading"/>
            </w:pPr>
            <w:r w:rsidRPr="00C4114C">
              <w:t>Current Rating</w:t>
            </w:r>
          </w:p>
        </w:tc>
      </w:tr>
      <w:tr w:rsidR="00D5657C" w:rsidRPr="00C4114C" w:rsidTr="002902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029" w:type="dxa"/>
          </w:tcPr>
          <w:p w:rsidR="00D5657C" w:rsidRPr="00C4114C" w:rsidRDefault="003D2DCC" w:rsidP="004C3149">
            <w:pPr>
              <w:pStyle w:val="TableTextEntries"/>
              <w:numPr>
                <w:ilvl w:val="0"/>
                <w:numId w:val="18"/>
              </w:numPr>
              <w:tabs>
                <w:tab w:val="left" w:pos="1140"/>
                <w:tab w:val="left" w:pos="1418"/>
              </w:tabs>
            </w:pPr>
            <w:r>
              <w:t>More effective</w:t>
            </w:r>
            <w:r w:rsidR="00972946">
              <w:t xml:space="preserve"> Public Sector Management</w:t>
            </w:r>
          </w:p>
        </w:tc>
        <w:tc>
          <w:tcPr>
            <w:tcW w:w="972" w:type="dxa"/>
            <w:shd w:val="clear" w:color="auto" w:fill="E36C0A" w:themeFill="accent6" w:themeFillShade="BF"/>
            <w:noWrap/>
          </w:tcPr>
          <w:p w:rsidR="00D5657C" w:rsidRPr="002902F0" w:rsidRDefault="0083654F" w:rsidP="00D5657C">
            <w:pPr>
              <w:pStyle w:val="TableTextEntries"/>
              <w:jc w:val="center"/>
              <w:rPr>
                <w:color w:val="FFFFFF" w:themeColor="background1"/>
              </w:rPr>
            </w:pPr>
            <w:r w:rsidRPr="002902F0">
              <w:rPr>
                <w:color w:val="FFFFFF" w:themeColor="background1"/>
              </w:rPr>
              <w:t>Amber</w:t>
            </w:r>
          </w:p>
        </w:tc>
        <w:tc>
          <w:tcPr>
            <w:tcW w:w="388" w:type="dxa"/>
          </w:tcPr>
          <w:p w:rsidR="00D5657C" w:rsidRPr="002902F0" w:rsidRDefault="00D5657C" w:rsidP="00D5657C">
            <w:pPr>
              <w:pStyle w:val="TableTextEntries"/>
              <w:jc w:val="center"/>
              <w:rPr>
                <w:color w:val="FFFFFF" w:themeColor="background1"/>
              </w:rPr>
            </w:pPr>
          </w:p>
        </w:tc>
        <w:tc>
          <w:tcPr>
            <w:tcW w:w="1021" w:type="dxa"/>
            <w:shd w:val="clear" w:color="auto" w:fill="00B050"/>
            <w:noWrap/>
          </w:tcPr>
          <w:p w:rsidR="00D5657C" w:rsidRPr="002902F0" w:rsidRDefault="002902F0" w:rsidP="00D5657C">
            <w:pPr>
              <w:pStyle w:val="TableTextEntries"/>
              <w:jc w:val="center"/>
              <w:rPr>
                <w:color w:val="FFFFFF" w:themeColor="background1"/>
              </w:rPr>
            </w:pPr>
            <w:r w:rsidRPr="002902F0">
              <w:rPr>
                <w:color w:val="FFFFFF" w:themeColor="background1"/>
              </w:rPr>
              <w:t>Green</w:t>
            </w:r>
          </w:p>
        </w:tc>
      </w:tr>
      <w:tr w:rsidR="00D5657C" w:rsidRPr="00C4114C" w:rsidTr="00497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029" w:type="dxa"/>
          </w:tcPr>
          <w:p w:rsidR="00D5657C" w:rsidRPr="00C4114C" w:rsidRDefault="003D2DCC" w:rsidP="004C3149">
            <w:pPr>
              <w:pStyle w:val="TableTextEntries"/>
              <w:numPr>
                <w:ilvl w:val="0"/>
                <w:numId w:val="18"/>
              </w:numPr>
              <w:tabs>
                <w:tab w:val="left" w:pos="1140"/>
                <w:tab w:val="left" w:pos="1418"/>
              </w:tabs>
            </w:pPr>
            <w:r>
              <w:t>Investing in Infrastructure</w:t>
            </w:r>
            <w:r w:rsidR="00972946">
              <w:t xml:space="preserve">    </w:t>
            </w:r>
          </w:p>
        </w:tc>
        <w:tc>
          <w:tcPr>
            <w:tcW w:w="972" w:type="dxa"/>
            <w:shd w:val="clear" w:color="auto" w:fill="FF0000"/>
            <w:noWrap/>
          </w:tcPr>
          <w:p w:rsidR="00D5657C" w:rsidRPr="002902F0" w:rsidRDefault="0083654F" w:rsidP="00D5657C">
            <w:pPr>
              <w:pStyle w:val="TableTextEntries"/>
              <w:jc w:val="center"/>
              <w:rPr>
                <w:color w:val="FFFFFF" w:themeColor="background1"/>
              </w:rPr>
            </w:pPr>
            <w:r w:rsidRPr="002902F0">
              <w:rPr>
                <w:color w:val="FFFFFF" w:themeColor="background1"/>
              </w:rPr>
              <w:t>Red</w:t>
            </w:r>
          </w:p>
        </w:tc>
        <w:tc>
          <w:tcPr>
            <w:tcW w:w="388" w:type="dxa"/>
          </w:tcPr>
          <w:p w:rsidR="00D5657C" w:rsidRPr="002902F0" w:rsidRDefault="00D5657C" w:rsidP="00D5657C">
            <w:pPr>
              <w:pStyle w:val="TableTextEntries"/>
              <w:jc w:val="center"/>
              <w:rPr>
                <w:color w:val="FFFFFF" w:themeColor="background1"/>
              </w:rPr>
            </w:pPr>
          </w:p>
        </w:tc>
        <w:tc>
          <w:tcPr>
            <w:tcW w:w="1021" w:type="dxa"/>
            <w:shd w:val="clear" w:color="auto" w:fill="E36C0A" w:themeFill="accent6" w:themeFillShade="BF"/>
            <w:noWrap/>
          </w:tcPr>
          <w:p w:rsidR="00D5657C" w:rsidRPr="002902F0" w:rsidRDefault="004976E5" w:rsidP="00D5657C">
            <w:pPr>
              <w:pStyle w:val="TableTextEntries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Amber</w:t>
            </w:r>
          </w:p>
        </w:tc>
      </w:tr>
      <w:tr w:rsidR="00D5657C" w:rsidRPr="00C4114C" w:rsidTr="008365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029" w:type="dxa"/>
          </w:tcPr>
          <w:p w:rsidR="00D5657C" w:rsidRPr="00C4114C" w:rsidRDefault="003D2DCC" w:rsidP="004C3149">
            <w:pPr>
              <w:pStyle w:val="TableTextEntries"/>
              <w:numPr>
                <w:ilvl w:val="0"/>
                <w:numId w:val="18"/>
              </w:numPr>
              <w:tabs>
                <w:tab w:val="left" w:pos="1140"/>
                <w:tab w:val="left" w:pos="1418"/>
              </w:tabs>
            </w:pPr>
            <w:r>
              <w:t>Supporting Human Development</w:t>
            </w:r>
            <w:r w:rsidR="00FA54FD">
              <w:t xml:space="preserve"> (health and education)</w:t>
            </w:r>
          </w:p>
        </w:tc>
        <w:tc>
          <w:tcPr>
            <w:tcW w:w="972" w:type="dxa"/>
            <w:shd w:val="clear" w:color="auto" w:fill="E36C0A" w:themeFill="accent6" w:themeFillShade="BF"/>
            <w:noWrap/>
          </w:tcPr>
          <w:p w:rsidR="00D5657C" w:rsidRPr="002902F0" w:rsidRDefault="0083654F" w:rsidP="0083654F">
            <w:pPr>
              <w:pStyle w:val="TableTextEntries"/>
              <w:jc w:val="center"/>
              <w:rPr>
                <w:color w:val="FFFFFF" w:themeColor="background1"/>
              </w:rPr>
            </w:pPr>
            <w:r w:rsidRPr="002902F0">
              <w:rPr>
                <w:color w:val="FFFFFF" w:themeColor="background1"/>
              </w:rPr>
              <w:t>Amber</w:t>
            </w:r>
          </w:p>
        </w:tc>
        <w:tc>
          <w:tcPr>
            <w:tcW w:w="388" w:type="dxa"/>
          </w:tcPr>
          <w:p w:rsidR="00D5657C" w:rsidRPr="002902F0" w:rsidRDefault="00D5657C" w:rsidP="004C3149">
            <w:pPr>
              <w:pStyle w:val="TableTextEntries"/>
              <w:numPr>
                <w:ilvl w:val="0"/>
                <w:numId w:val="18"/>
              </w:numPr>
              <w:tabs>
                <w:tab w:val="left" w:pos="1140"/>
                <w:tab w:val="left" w:pos="1418"/>
              </w:tabs>
              <w:rPr>
                <w:color w:val="FFFFFF" w:themeColor="background1"/>
              </w:rPr>
            </w:pPr>
          </w:p>
        </w:tc>
        <w:tc>
          <w:tcPr>
            <w:tcW w:w="1021" w:type="dxa"/>
            <w:shd w:val="clear" w:color="auto" w:fill="E36C0A" w:themeFill="accent6" w:themeFillShade="BF"/>
            <w:noWrap/>
          </w:tcPr>
          <w:p w:rsidR="00D5657C" w:rsidRPr="002902F0" w:rsidRDefault="0083654F" w:rsidP="0083654F">
            <w:pPr>
              <w:pStyle w:val="TableTextEntries"/>
              <w:tabs>
                <w:tab w:val="left" w:pos="1140"/>
                <w:tab w:val="left" w:pos="1418"/>
              </w:tabs>
              <w:jc w:val="center"/>
              <w:rPr>
                <w:color w:val="FFFFFF" w:themeColor="background1"/>
              </w:rPr>
            </w:pPr>
            <w:r w:rsidRPr="002902F0">
              <w:rPr>
                <w:color w:val="FFFFFF" w:themeColor="background1"/>
              </w:rPr>
              <w:t>Amber</w:t>
            </w:r>
          </w:p>
        </w:tc>
      </w:tr>
    </w:tbl>
    <w:p w:rsidR="00D5657C" w:rsidRPr="00C4114C" w:rsidRDefault="00D5657C" w:rsidP="00D5657C">
      <w:pPr>
        <w:pStyle w:val="Note"/>
      </w:pPr>
      <w:r w:rsidRPr="00C4114C">
        <w:t xml:space="preserve">Note: </w:t>
      </w:r>
    </w:p>
    <w:p w:rsidR="00D5657C" w:rsidRPr="00C4114C" w:rsidRDefault="00D5657C" w:rsidP="00D5657C">
      <w:pPr>
        <w:pStyle w:val="Note"/>
      </w:pPr>
      <w:r w:rsidRPr="00C4114C">
        <w:rPr>
          <w:color w:val="72AF2F"/>
        </w:rPr>
        <w:sym w:font="Webdings" w:char="F067"/>
      </w:r>
      <w:r w:rsidRPr="00C4114C">
        <w:t> </w:t>
      </w:r>
      <w:r w:rsidRPr="00C4114C">
        <w:t xml:space="preserve"> Green. Progress is as expected </w:t>
      </w:r>
      <w:r w:rsidR="00101579">
        <w:t xml:space="preserve">at this stage of implementation </w:t>
      </w:r>
      <w:r w:rsidRPr="00C4114C">
        <w:t>and it is likely that the objective will be achieved. Standard program management practices are sufficient.</w:t>
      </w:r>
    </w:p>
    <w:p w:rsidR="00D5657C" w:rsidRPr="00C4114C" w:rsidRDefault="00D5657C" w:rsidP="00D5657C">
      <w:pPr>
        <w:pStyle w:val="Note"/>
      </w:pPr>
      <w:r w:rsidRPr="00C4114C">
        <w:rPr>
          <w:color w:val="E36C0A"/>
        </w:rPr>
        <w:sym w:font="Webdings" w:char="F067"/>
      </w:r>
      <w:r w:rsidRPr="00C4114C">
        <w:t> </w:t>
      </w:r>
      <w:r w:rsidRPr="00C4114C">
        <w:t xml:space="preserve"> Amber. Progress is somewhat less than expected </w:t>
      </w:r>
      <w:r w:rsidR="00101579">
        <w:t xml:space="preserve">at this stage of implementation </w:t>
      </w:r>
      <w:r w:rsidRPr="00C4114C">
        <w:t>and restorative action will be necessary if the objective is to be achieved. Close performance monitoring is recommended.</w:t>
      </w:r>
    </w:p>
    <w:p w:rsidR="00D5657C" w:rsidRPr="00C4114C" w:rsidRDefault="00D5657C" w:rsidP="00D5657C">
      <w:pPr>
        <w:pStyle w:val="Note"/>
      </w:pPr>
      <w:r w:rsidRPr="00C4114C">
        <w:rPr>
          <w:color w:val="FF0000"/>
        </w:rPr>
        <w:sym w:font="Webdings" w:char="F067"/>
      </w:r>
      <w:r w:rsidRPr="00C4114C">
        <w:t> </w:t>
      </w:r>
      <w:r w:rsidRPr="00C4114C">
        <w:t xml:space="preserve"> Red. Progress is significantly less than expected </w:t>
      </w:r>
      <w:r w:rsidR="00101579">
        <w:t>at this stage of implementation</w:t>
      </w:r>
      <w:r w:rsidRPr="00C4114C">
        <w:t xml:space="preserve"> and the objective is not likely to be met given available resources and priorities. Recasting the objective may be required.</w:t>
      </w:r>
    </w:p>
    <w:p w:rsidR="00D5657C" w:rsidRPr="00C4114C" w:rsidRDefault="00D5657C" w:rsidP="00D5657C">
      <w:pPr>
        <w:pStyle w:val="Note"/>
      </w:pPr>
      <w:r w:rsidRPr="00C4114C">
        <w:t xml:space="preserve">Reporting period:  </w:t>
      </w:r>
    </w:p>
    <w:p w:rsidR="00D5657C" w:rsidRPr="00C4114C" w:rsidRDefault="00D5657C" w:rsidP="003A32FB">
      <w:pPr>
        <w:pStyle w:val="ListBullet"/>
        <w:tabs>
          <w:tab w:val="clear" w:pos="284"/>
        </w:tabs>
        <w:spacing w:after="0"/>
      </w:pPr>
    </w:p>
    <w:p w:rsidR="006962C2" w:rsidRDefault="00BE2948" w:rsidP="006962C2">
      <w:pPr>
        <w:pStyle w:val="ListBullet"/>
        <w:tabs>
          <w:tab w:val="clear" w:pos="284"/>
        </w:tabs>
      </w:pPr>
      <w:r>
        <w:t>K</w:t>
      </w:r>
      <w:r w:rsidR="00B10E5F">
        <w:t xml:space="preserve">ey positions </w:t>
      </w:r>
      <w:r w:rsidR="00BE6831">
        <w:t xml:space="preserve">within </w:t>
      </w:r>
      <w:r w:rsidR="00A64110">
        <w:t>the Government of Nauru</w:t>
      </w:r>
      <w:r w:rsidR="00BE6831">
        <w:t xml:space="preserve"> </w:t>
      </w:r>
      <w:r w:rsidR="00B10E5F">
        <w:t xml:space="preserve">were </w:t>
      </w:r>
      <w:r w:rsidR="00063358">
        <w:t xml:space="preserve">again </w:t>
      </w:r>
      <w:r w:rsidR="00B10E5F">
        <w:t>filled with Australian funded PACTAM advisers in February 2014</w:t>
      </w:r>
      <w:r>
        <w:t>,</w:t>
      </w:r>
      <w:r w:rsidR="00285EB4">
        <w:t xml:space="preserve"> </w:t>
      </w:r>
      <w:r>
        <w:t xml:space="preserve">with </w:t>
      </w:r>
      <w:r w:rsidR="00285EB4">
        <w:t>appreciable improvement</w:t>
      </w:r>
      <w:r w:rsidR="000251FD">
        <w:t>s</w:t>
      </w:r>
      <w:r w:rsidR="00285EB4">
        <w:t xml:space="preserve"> in key aspects of </w:t>
      </w:r>
      <w:r w:rsidR="00285EB4" w:rsidRPr="006962C2">
        <w:t>public sector management</w:t>
      </w:r>
      <w:r w:rsidR="00285EB4">
        <w:t xml:space="preserve">.  </w:t>
      </w:r>
      <w:r w:rsidR="0018559A">
        <w:t>Advisers were placed into in-line positions</w:t>
      </w:r>
      <w:r w:rsidR="003A5387">
        <w:t xml:space="preserve"> in the Ministry of Finance</w:t>
      </w:r>
      <w:r w:rsidR="0018559A">
        <w:t xml:space="preserve"> as Deputy Secretaries for Treasury, Revenue and Customs</w:t>
      </w:r>
      <w:r w:rsidR="003A5387">
        <w:t xml:space="preserve">, and a tax adviser.  </w:t>
      </w:r>
      <w:r w:rsidR="00BD3B43">
        <w:t>Their management</w:t>
      </w:r>
      <w:r>
        <w:t>, expertise</w:t>
      </w:r>
      <w:r w:rsidR="00BD3B43">
        <w:t xml:space="preserve"> and advice contributed to the </w:t>
      </w:r>
      <w:r w:rsidR="006962C2">
        <w:t>development of the Nauru Government’s 2015 budget and increased revenue from the implementation of a new tax system.</w:t>
      </w:r>
    </w:p>
    <w:p w:rsidR="009E6C59" w:rsidRDefault="006962C2" w:rsidP="0053089A">
      <w:pPr>
        <w:pStyle w:val="ListBullet"/>
        <w:tabs>
          <w:tab w:val="clear" w:pos="284"/>
        </w:tabs>
      </w:pPr>
      <w:r>
        <w:t>Advisers also supported c</w:t>
      </w:r>
      <w:r w:rsidR="00785679">
        <w:t xml:space="preserve">ustoms reforms </w:t>
      </w:r>
      <w:r>
        <w:t xml:space="preserve">and the </w:t>
      </w:r>
      <w:r w:rsidR="00BE2948">
        <w:t xml:space="preserve">implementation of </w:t>
      </w:r>
      <w:r w:rsidR="00785679">
        <w:t xml:space="preserve">the Financial Management Information System (FMIS).  The Government </w:t>
      </w:r>
      <w:r w:rsidR="00BE2948">
        <w:t xml:space="preserve">engaged an </w:t>
      </w:r>
      <w:r w:rsidR="00785679">
        <w:t xml:space="preserve">Independent Procurement Agent but </w:t>
      </w:r>
      <w:r w:rsidR="00BE2948">
        <w:t>the contract</w:t>
      </w:r>
      <w:r w:rsidR="00785679">
        <w:t xml:space="preserve"> ha</w:t>
      </w:r>
      <w:r w:rsidR="00BE6831">
        <w:t>s</w:t>
      </w:r>
      <w:r w:rsidR="00785679">
        <w:t xml:space="preserve"> since been terminated for performance reasons.  </w:t>
      </w:r>
      <w:r w:rsidR="00B01E19">
        <w:t xml:space="preserve">An interim agent has </w:t>
      </w:r>
      <w:r w:rsidR="00BE2948">
        <w:t xml:space="preserve">since </w:t>
      </w:r>
      <w:r w:rsidR="00B01E19">
        <w:t xml:space="preserve">been appointed and </w:t>
      </w:r>
      <w:r w:rsidR="00785679">
        <w:t xml:space="preserve">Australia will help the Ministry of Finance to tender for a new procurement agent.  </w:t>
      </w:r>
    </w:p>
    <w:p w:rsidR="004B0EEE" w:rsidRDefault="006962C2" w:rsidP="0053089A">
      <w:pPr>
        <w:pStyle w:val="ListBullet"/>
        <w:tabs>
          <w:tab w:val="clear" w:pos="284"/>
        </w:tabs>
      </w:pPr>
      <w:r>
        <w:t>The Government of Nauru</w:t>
      </w:r>
      <w:r w:rsidR="004B0EEE">
        <w:t xml:space="preserve"> succeeded in </w:t>
      </w:r>
      <w:r w:rsidR="00B01E19">
        <w:t xml:space="preserve">establishing </w:t>
      </w:r>
      <w:r w:rsidR="004B0EEE">
        <w:t>a Bendigo Bank agency in Nauru and is now paying public servant salaries into Bendigo Bank accounts.</w:t>
      </w:r>
      <w:r w:rsidR="00C54DAE">
        <w:t xml:space="preserve">  </w:t>
      </w:r>
      <w:r>
        <w:t>The low e</w:t>
      </w:r>
      <w:r w:rsidR="00C54DAE">
        <w:t xml:space="preserve">xpenditure of funds in </w:t>
      </w:r>
      <w:r>
        <w:t xml:space="preserve">a Nauru Government </w:t>
      </w:r>
      <w:r w:rsidR="00C54DAE">
        <w:t xml:space="preserve">Operational Account </w:t>
      </w:r>
      <w:r w:rsidR="00C31B66">
        <w:t>holding</w:t>
      </w:r>
      <w:r w:rsidR="00662708">
        <w:t xml:space="preserve"> </w:t>
      </w:r>
      <w:r w:rsidR="00BE2948">
        <w:t xml:space="preserve">Australian aid funding for budget support </w:t>
      </w:r>
      <w:r w:rsidR="00C54DAE">
        <w:t>remain</w:t>
      </w:r>
      <w:r w:rsidR="00BE2948">
        <w:t>ed</w:t>
      </w:r>
      <w:r w:rsidR="00C54DAE">
        <w:t xml:space="preserve"> a concern, with a balance of around $13 million in June 201</w:t>
      </w:r>
      <w:r w:rsidR="003E529E">
        <w:t>5</w:t>
      </w:r>
      <w:r w:rsidR="00C54DAE">
        <w:t>.</w:t>
      </w:r>
      <w:r w:rsidR="003E529E" w:rsidRPr="003E529E">
        <w:t xml:space="preserve"> </w:t>
      </w:r>
      <w:r w:rsidR="003E529E">
        <w:t xml:space="preserve"> However</w:t>
      </w:r>
      <w:r>
        <w:t xml:space="preserve">, </w:t>
      </w:r>
      <w:r>
        <w:lastRenderedPageBreak/>
        <w:t xml:space="preserve">a review of the account and remedial action </w:t>
      </w:r>
      <w:r w:rsidR="00B01E19">
        <w:t>has commenced and</w:t>
      </w:r>
      <w:r w:rsidR="00BE2948">
        <w:t>,</w:t>
      </w:r>
      <w:r w:rsidR="00B01E19">
        <w:t xml:space="preserve"> </w:t>
      </w:r>
      <w:r w:rsidR="003E529E">
        <w:t xml:space="preserve">with support, </w:t>
      </w:r>
      <w:r w:rsidR="007A494F">
        <w:t>Nauru</w:t>
      </w:r>
      <w:r w:rsidR="007A494F">
        <w:rPr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 w:rsidR="001B42D0" w:rsidRPr="006B5858">
        <w:t xml:space="preserve">overnment </w:t>
      </w:r>
      <w:r w:rsidR="003E529E" w:rsidRPr="006B5858">
        <w:t>systems will continue to be used to manage grant funds provided for the health and education sectors</w:t>
      </w:r>
      <w:r w:rsidR="003E529E">
        <w:t>.</w:t>
      </w:r>
    </w:p>
    <w:p w:rsidR="00785679" w:rsidRDefault="009009B5" w:rsidP="0053089A">
      <w:pPr>
        <w:pStyle w:val="ListBullet"/>
        <w:tabs>
          <w:tab w:val="clear" w:pos="284"/>
        </w:tabs>
      </w:pPr>
      <w:r>
        <w:t>The u</w:t>
      </w:r>
      <w:r w:rsidR="00785679">
        <w:t>tilities sector (power and water) significant</w:t>
      </w:r>
      <w:r w:rsidR="00BE2948">
        <w:t>ly</w:t>
      </w:r>
      <w:r w:rsidR="00785679">
        <w:t xml:space="preserve"> improve</w:t>
      </w:r>
      <w:r w:rsidR="00BE2948">
        <w:t>d</w:t>
      </w:r>
      <w:r w:rsidR="00785679">
        <w:t xml:space="preserve"> </w:t>
      </w:r>
      <w:r w:rsidR="00C31B66">
        <w:t>under</w:t>
      </w:r>
      <w:r w:rsidR="00785679">
        <w:t xml:space="preserve"> the management of the PACTAM</w:t>
      </w:r>
      <w:r w:rsidR="00B01E19">
        <w:rPr>
          <w:rStyle w:val="FootnoteReference"/>
        </w:rPr>
        <w:footnoteReference w:id="1"/>
      </w:r>
      <w:r w:rsidR="00785679">
        <w:t>-supported CEO</w:t>
      </w:r>
      <w:r w:rsidR="007010BD" w:rsidRPr="007010BD">
        <w:t xml:space="preserve"> </w:t>
      </w:r>
      <w:r w:rsidR="007010BD">
        <w:t>of Nauru Utilities Corporation (NUC)</w:t>
      </w:r>
      <w:r w:rsidR="00785679">
        <w:t xml:space="preserve">.  </w:t>
      </w:r>
      <w:r w:rsidR="00C31B66">
        <w:t xml:space="preserve">Critical maintenance and upgrades </w:t>
      </w:r>
      <w:r w:rsidR="00940C5D">
        <w:t>funded by Australia</w:t>
      </w:r>
      <w:r w:rsidR="001E21C9">
        <w:t xml:space="preserve"> </w:t>
      </w:r>
      <w:r w:rsidR="00C31B66">
        <w:t>resulted in more reliable electricity supplies</w:t>
      </w:r>
      <w:r w:rsidR="001E21C9">
        <w:t>.</w:t>
      </w:r>
      <w:r w:rsidR="00BE317F">
        <w:t xml:space="preserve">  </w:t>
      </w:r>
      <w:r w:rsidR="001B42D0">
        <w:t xml:space="preserve">The CEO </w:t>
      </w:r>
      <w:r w:rsidR="00BE2948">
        <w:t>w</w:t>
      </w:r>
      <w:r w:rsidR="00BE317F">
        <w:t xml:space="preserve">as successful in attracting other donor funding to upgrade power generation and distribution capacity.  The Department of Immigration and Border Protection installed new water desalination and water storage capacity </w:t>
      </w:r>
      <w:r w:rsidR="00AA7FA0">
        <w:t>that greatly enhanced water supply capacity.</w:t>
      </w:r>
    </w:p>
    <w:p w:rsidR="000C6AF6" w:rsidRDefault="00C31B66" w:rsidP="0053089A">
      <w:pPr>
        <w:pStyle w:val="ListBullet"/>
        <w:tabs>
          <w:tab w:val="clear" w:pos="284"/>
        </w:tabs>
      </w:pPr>
      <w:r>
        <w:t xml:space="preserve">With </w:t>
      </w:r>
      <w:r w:rsidR="000C6AF6">
        <w:t>Australian</w:t>
      </w:r>
      <w:r w:rsidR="000C6AF6" w:rsidRPr="000C6AF6">
        <w:t xml:space="preserve"> support, delivered through the Pacific Region Infrastructure Facility, a pre</w:t>
      </w:r>
      <w:r w:rsidR="006962C2">
        <w:t>-</w:t>
      </w:r>
      <w:r w:rsidR="000C6AF6" w:rsidRPr="000C6AF6">
        <w:t xml:space="preserve">feasibility study </w:t>
      </w:r>
      <w:r>
        <w:t>was</w:t>
      </w:r>
      <w:r w:rsidRPr="00C31B66">
        <w:t xml:space="preserve"> </w:t>
      </w:r>
      <w:r w:rsidRPr="000C6AF6">
        <w:t xml:space="preserve">completed </w:t>
      </w:r>
      <w:r w:rsidR="000C6AF6" w:rsidRPr="000C6AF6">
        <w:t>for the essential redevelopment of the 110 year old Aiwo Port.</w:t>
      </w:r>
      <w:r w:rsidR="000C6AF6">
        <w:t xml:space="preserve"> </w:t>
      </w:r>
      <w:r w:rsidR="000C6AF6" w:rsidRPr="000C6AF6">
        <w:t xml:space="preserve"> </w:t>
      </w:r>
      <w:r>
        <w:t>A</w:t>
      </w:r>
      <w:r w:rsidR="000C6AF6" w:rsidRPr="000C6AF6">
        <w:t xml:space="preserve"> port design option will be further developed in early 2016 to investment project design stage by the Asian Development Bank. </w:t>
      </w:r>
    </w:p>
    <w:p w:rsidR="001B42D0" w:rsidRDefault="0032303E" w:rsidP="0053089A">
      <w:pPr>
        <w:pStyle w:val="ListBullet"/>
        <w:tabs>
          <w:tab w:val="clear" w:pos="284"/>
        </w:tabs>
      </w:pPr>
      <w:r>
        <w:t xml:space="preserve">The Ministry of </w:t>
      </w:r>
      <w:r w:rsidRPr="006962C2">
        <w:t>Education</w:t>
      </w:r>
      <w:r>
        <w:t xml:space="preserve"> continued to implement </w:t>
      </w:r>
      <w:r w:rsidR="00C31B66">
        <w:t xml:space="preserve">an </w:t>
      </w:r>
      <w:r>
        <w:t>ambitious strategic plan to improve the quality of education outcomes in Nauru</w:t>
      </w:r>
      <w:r w:rsidR="006B5858">
        <w:t>.  This</w:t>
      </w:r>
      <w:r>
        <w:t xml:space="preserve"> </w:t>
      </w:r>
      <w:r w:rsidR="006B5858">
        <w:t>include</w:t>
      </w:r>
      <w:r w:rsidR="00BE2948">
        <w:t xml:space="preserve">d a </w:t>
      </w:r>
      <w:r>
        <w:t>program to provide diploma and bachelor level qualifications for Nauruan teachers</w:t>
      </w:r>
      <w:r w:rsidR="00BE2948">
        <w:t xml:space="preserve"> at the University of New England</w:t>
      </w:r>
      <w:r>
        <w:t xml:space="preserve">. </w:t>
      </w:r>
      <w:r w:rsidR="004D4371">
        <w:t xml:space="preserve"> In December 2015, 20 student</w:t>
      </w:r>
      <w:r w:rsidR="00940C5D">
        <w:t>s</w:t>
      </w:r>
      <w:r w:rsidR="004D4371">
        <w:t xml:space="preserve"> will graduate with a diploma and continue </w:t>
      </w:r>
      <w:r w:rsidR="00D07E97">
        <w:t xml:space="preserve">to </w:t>
      </w:r>
      <w:r w:rsidR="004D4371">
        <w:t>stud</w:t>
      </w:r>
      <w:r w:rsidR="00D07E97">
        <w:t>y</w:t>
      </w:r>
      <w:r w:rsidR="004D4371">
        <w:t xml:space="preserve"> for bachelor degree.  </w:t>
      </w:r>
      <w:r w:rsidR="00965EE4">
        <w:t>A new cohort of 15 student</w:t>
      </w:r>
      <w:r w:rsidR="00940C5D">
        <w:t>s</w:t>
      </w:r>
      <w:r w:rsidR="00965EE4">
        <w:t xml:space="preserve"> commenced studies for </w:t>
      </w:r>
      <w:r w:rsidR="00B97ABC">
        <w:t xml:space="preserve">a </w:t>
      </w:r>
      <w:r w:rsidR="00965EE4">
        <w:t>diploma in 2015.</w:t>
      </w:r>
      <w:r w:rsidR="004D4371">
        <w:t xml:space="preserve"> </w:t>
      </w:r>
      <w:r>
        <w:t xml:space="preserve"> </w:t>
      </w:r>
      <w:r w:rsidR="00474A07">
        <w:t>Following delays</w:t>
      </w:r>
      <w:r w:rsidR="00D07E97">
        <w:t>,</w:t>
      </w:r>
      <w:r w:rsidR="00474A07">
        <w:t xml:space="preserve"> the design of </w:t>
      </w:r>
      <w:r w:rsidR="006962C2">
        <w:t>a</w:t>
      </w:r>
      <w:r w:rsidR="00474A07">
        <w:t xml:space="preserve"> </w:t>
      </w:r>
      <w:r w:rsidR="006962C2">
        <w:t>‘</w:t>
      </w:r>
      <w:r w:rsidR="00474A07">
        <w:t>Learning Village</w:t>
      </w:r>
      <w:r w:rsidR="006962C2">
        <w:t>’</w:t>
      </w:r>
      <w:r w:rsidR="007A494F">
        <w:t xml:space="preserve"> </w:t>
      </w:r>
      <w:r w:rsidR="00D07E97">
        <w:t xml:space="preserve">progressed and </w:t>
      </w:r>
      <w:r w:rsidR="00197726">
        <w:t xml:space="preserve">is nearing completion.  It will </w:t>
      </w:r>
      <w:r w:rsidR="007A494F">
        <w:t>includ</w:t>
      </w:r>
      <w:r w:rsidR="00197726">
        <w:t>e</w:t>
      </w:r>
      <w:r w:rsidR="007A494F">
        <w:t xml:space="preserve"> a new University of the South Pacific campus, library and training rooms</w:t>
      </w:r>
      <w:r w:rsidR="00D07E97">
        <w:t>.  A</w:t>
      </w:r>
      <w:r w:rsidR="00474A07">
        <w:t xml:space="preserve"> pre-qualification tender for construction </w:t>
      </w:r>
      <w:r w:rsidR="00B97ABC">
        <w:t>was</w:t>
      </w:r>
      <w:r w:rsidR="00474A07">
        <w:t xml:space="preserve"> </w:t>
      </w:r>
      <w:r w:rsidR="006B5858">
        <w:t>successfully conducted</w:t>
      </w:r>
      <w:r w:rsidR="00474A07">
        <w:t>.</w:t>
      </w:r>
      <w:r w:rsidR="007A494F">
        <w:t xml:space="preserve">  </w:t>
      </w:r>
      <w:r w:rsidR="00197726">
        <w:t>Triennial r</w:t>
      </w:r>
      <w:r w:rsidR="007A494F">
        <w:t>eviews of the education and health sectors were conducted in 2013-14</w:t>
      </w:r>
      <w:r w:rsidR="00FB0EF1">
        <w:t>,</w:t>
      </w:r>
      <w:r w:rsidR="007A494F">
        <w:t xml:space="preserve"> but new data</w:t>
      </w:r>
      <w:r w:rsidR="00D07E97">
        <w:t xml:space="preserve"> was not available</w:t>
      </w:r>
      <w:r w:rsidR="007A494F">
        <w:t xml:space="preserve"> </w:t>
      </w:r>
      <w:r w:rsidR="00FB0EF1">
        <w:t xml:space="preserve">for these sectors </w:t>
      </w:r>
      <w:r w:rsidR="007A494F">
        <w:t xml:space="preserve">for </w:t>
      </w:r>
      <w:r w:rsidR="00D07E97">
        <w:t xml:space="preserve">the </w:t>
      </w:r>
      <w:r w:rsidR="007A494F">
        <w:t>2014-15</w:t>
      </w:r>
      <w:r w:rsidR="00D07E97">
        <w:t xml:space="preserve"> period</w:t>
      </w:r>
      <w:r w:rsidR="007A494F">
        <w:t>.</w:t>
      </w:r>
    </w:p>
    <w:p w:rsidR="007010BD" w:rsidRDefault="00D07E97" w:rsidP="00D65089">
      <w:pPr>
        <w:pStyle w:val="ListBullet"/>
        <w:tabs>
          <w:tab w:val="clear" w:pos="284"/>
        </w:tabs>
      </w:pPr>
      <w:r>
        <w:t>A s</w:t>
      </w:r>
      <w:r w:rsidR="00FA54FD">
        <w:t xml:space="preserve">ignificant outcome for the </w:t>
      </w:r>
      <w:r w:rsidR="00FA54FD" w:rsidRPr="006962C2">
        <w:t>health</w:t>
      </w:r>
      <w:r w:rsidR="00FA54FD">
        <w:t xml:space="preserve"> sector </w:t>
      </w:r>
      <w:r w:rsidR="00B97ABC">
        <w:t>include</w:t>
      </w:r>
      <w:r>
        <w:t>d</w:t>
      </w:r>
      <w:r w:rsidR="00FA54FD">
        <w:t xml:space="preserve"> finalisation of plans for the </w:t>
      </w:r>
      <w:r w:rsidR="001B42D0">
        <w:t xml:space="preserve">redevelopment of the </w:t>
      </w:r>
      <w:r w:rsidR="00FA54FD">
        <w:t>Republic of Nauru Hospital</w:t>
      </w:r>
      <w:r>
        <w:t>.  This was complemented by the placement of</w:t>
      </w:r>
      <w:r w:rsidR="00F90A80">
        <w:t xml:space="preserve"> a </w:t>
      </w:r>
      <w:r w:rsidR="007010BD">
        <w:t xml:space="preserve">health policy adviser and </w:t>
      </w:r>
      <w:r w:rsidR="00F90A80">
        <w:t>hospital operations manager</w:t>
      </w:r>
      <w:r>
        <w:t xml:space="preserve"> into the Ministry of Health</w:t>
      </w:r>
      <w:r w:rsidR="00F90A80">
        <w:t xml:space="preserve"> through the PACTAM program.  </w:t>
      </w:r>
      <w:r w:rsidR="00474A07">
        <w:t>The Ministry of Health</w:t>
      </w:r>
      <w:r w:rsidR="007010BD">
        <w:t xml:space="preserve"> utilised </w:t>
      </w:r>
      <w:r w:rsidR="00B97ABC">
        <w:t xml:space="preserve">Australian </w:t>
      </w:r>
      <w:r w:rsidR="007010BD">
        <w:t>funds to finalise a new health sector strategy and NCD strategy</w:t>
      </w:r>
      <w:r w:rsidR="00474A07">
        <w:t xml:space="preserve">, which </w:t>
      </w:r>
      <w:r>
        <w:t xml:space="preserve">were </w:t>
      </w:r>
      <w:r w:rsidR="00474A07">
        <w:t>approved by Cabinet</w:t>
      </w:r>
      <w:r w:rsidR="007010BD">
        <w:t xml:space="preserve">.  </w:t>
      </w:r>
    </w:p>
    <w:p w:rsidR="00FA54FD" w:rsidRDefault="00F90A80" w:rsidP="0053089A">
      <w:pPr>
        <w:pStyle w:val="ListBullet"/>
        <w:tabs>
          <w:tab w:val="clear" w:pos="284"/>
        </w:tabs>
      </w:pPr>
      <w:r>
        <w:t>Despite the serious need to improve the management o</w:t>
      </w:r>
      <w:r w:rsidR="008023DD">
        <w:t>f</w:t>
      </w:r>
      <w:r>
        <w:t xml:space="preserve"> non-communicable diseases, this</w:t>
      </w:r>
      <w:r w:rsidR="00D07E97">
        <w:t xml:space="preserve"> priority </w:t>
      </w:r>
      <w:r>
        <w:t>did not advance as planned</w:t>
      </w:r>
      <w:r w:rsidR="00D07E97">
        <w:t xml:space="preserve"> in 2014-15</w:t>
      </w:r>
      <w:r>
        <w:t>.</w:t>
      </w:r>
      <w:r w:rsidR="008023DD">
        <w:t xml:space="preserve">  The health </w:t>
      </w:r>
      <w:r w:rsidR="00D07E97">
        <w:t xml:space="preserve">strategy implementation also was constrained as </w:t>
      </w:r>
      <w:r w:rsidR="00DA1611">
        <w:t>a</w:t>
      </w:r>
      <w:r w:rsidR="008023DD">
        <w:t xml:space="preserve">round 55 per cent of the $9 million budget </w:t>
      </w:r>
      <w:r w:rsidR="00D07E97">
        <w:t xml:space="preserve">was </w:t>
      </w:r>
      <w:r w:rsidR="008023DD">
        <w:t>spent o</w:t>
      </w:r>
      <w:r w:rsidR="00B97ABC">
        <w:t>n</w:t>
      </w:r>
      <w:r w:rsidR="008023DD">
        <w:t xml:space="preserve"> overseas medical referrals.</w:t>
      </w:r>
      <w:r w:rsidR="00DA1611">
        <w:t xml:space="preserve">  Australian budget support to the health sector was utilised for</w:t>
      </w:r>
      <w:r w:rsidR="00537B02">
        <w:t xml:space="preserve"> </w:t>
      </w:r>
      <w:r w:rsidR="00DA1611">
        <w:t>pharmaceutical purchases</w:t>
      </w:r>
      <w:r w:rsidR="00537B02">
        <w:t>,</w:t>
      </w:r>
      <w:r w:rsidR="00E04461">
        <w:t xml:space="preserve"> </w:t>
      </w:r>
      <w:r w:rsidR="00FB0EF1">
        <w:t xml:space="preserve">as well as </w:t>
      </w:r>
      <w:r w:rsidR="00E04461">
        <w:t>for staff training</w:t>
      </w:r>
      <w:r w:rsidR="00D07E97">
        <w:t xml:space="preserve"> and</w:t>
      </w:r>
      <w:r w:rsidR="00E04461">
        <w:t xml:space="preserve"> employment of </w:t>
      </w:r>
      <w:r w:rsidR="00D07E97">
        <w:t>additional</w:t>
      </w:r>
      <w:r w:rsidR="00E04461">
        <w:t xml:space="preserve"> staff.</w:t>
      </w:r>
    </w:p>
    <w:p w:rsidR="00AA7FA0" w:rsidRDefault="006962C2" w:rsidP="0053089A">
      <w:pPr>
        <w:pStyle w:val="ListBullet"/>
        <w:tabs>
          <w:tab w:val="clear" w:pos="284"/>
        </w:tabs>
      </w:pPr>
      <w:r>
        <w:t xml:space="preserve">A water tanks project, part of an </w:t>
      </w:r>
      <w:r w:rsidR="00AA7FA0">
        <w:t xml:space="preserve">Adaptation to Climate Change </w:t>
      </w:r>
      <w:r>
        <w:t xml:space="preserve">program </w:t>
      </w:r>
      <w:r w:rsidR="00D07E97">
        <w:t>was</w:t>
      </w:r>
      <w:r w:rsidR="00AA7FA0">
        <w:t xml:space="preserve"> behind schedule</w:t>
      </w:r>
      <w:r w:rsidR="00D65089">
        <w:t xml:space="preserve">.  </w:t>
      </w:r>
      <w:r w:rsidR="00D559CD">
        <w:t xml:space="preserve">DFAT </w:t>
      </w:r>
      <w:r w:rsidR="00D65089">
        <w:t>provid</w:t>
      </w:r>
      <w:r w:rsidR="00D07E97">
        <w:t>ed</w:t>
      </w:r>
      <w:r w:rsidR="00D65089">
        <w:t xml:space="preserve"> additional support to address implementation issues.</w:t>
      </w:r>
      <w:r w:rsidR="00D07E97">
        <w:t xml:space="preserve">  The project is now progressing.</w:t>
      </w:r>
    </w:p>
    <w:p w:rsidR="001D6E46" w:rsidRPr="009009B5" w:rsidRDefault="006962C2" w:rsidP="0053089A">
      <w:pPr>
        <w:pStyle w:val="ListBullet"/>
        <w:tabs>
          <w:tab w:val="clear" w:pos="284"/>
        </w:tabs>
      </w:pPr>
      <w:r>
        <w:t xml:space="preserve">Under </w:t>
      </w:r>
      <w:r w:rsidR="009009B5">
        <w:t>the Pacific Women Shaping Pacific Development program</w:t>
      </w:r>
      <w:r>
        <w:t>,</w:t>
      </w:r>
      <w:r w:rsidR="007C22E7">
        <w:t xml:space="preserve"> the first Nauru Country </w:t>
      </w:r>
      <w:r w:rsidR="008023DD">
        <w:t xml:space="preserve">Gender </w:t>
      </w:r>
      <w:r w:rsidR="007C22E7">
        <w:t>Plan (2014-16) was developed.  A Gender-based Violence Counsellor commenced in November 2014</w:t>
      </w:r>
      <w:r w:rsidR="00D07E97">
        <w:t>,</w:t>
      </w:r>
      <w:r w:rsidR="007C22E7">
        <w:t xml:space="preserve"> </w:t>
      </w:r>
      <w:r w:rsidR="00110C62">
        <w:t>working across government</w:t>
      </w:r>
      <w:r w:rsidR="007C22E7">
        <w:t xml:space="preserve"> including police, health, education and home </w:t>
      </w:r>
      <w:r w:rsidR="007C22E7">
        <w:lastRenderedPageBreak/>
        <w:t xml:space="preserve">affairs </w:t>
      </w:r>
      <w:r>
        <w:t xml:space="preserve">agencies </w:t>
      </w:r>
      <w:r w:rsidR="007C22E7">
        <w:t xml:space="preserve">to design and implement processes to </w:t>
      </w:r>
      <w:r w:rsidR="00F35DEA">
        <w:t>improve support for survivors of family and sexual violence</w:t>
      </w:r>
      <w:r w:rsidR="007C22E7">
        <w:t xml:space="preserve">.  </w:t>
      </w:r>
      <w:r w:rsidR="00965EE4">
        <w:t xml:space="preserve">In January 2015, </w:t>
      </w:r>
      <w:r w:rsidR="00837533">
        <w:t>t</w:t>
      </w:r>
      <w:r w:rsidR="008023DD">
        <w:t xml:space="preserve">he </w:t>
      </w:r>
      <w:r w:rsidR="007C22E7">
        <w:t>Ministry</w:t>
      </w:r>
      <w:r w:rsidR="00D07E97">
        <w:t xml:space="preserve"> of Home Affairs established a g</w:t>
      </w:r>
      <w:r w:rsidR="007C22E7">
        <w:t xml:space="preserve">ender </w:t>
      </w:r>
      <w:r w:rsidR="00D07E97">
        <w:t>v</w:t>
      </w:r>
      <w:r w:rsidR="007C22E7">
        <w:t xml:space="preserve">iolence and </w:t>
      </w:r>
      <w:r w:rsidR="00D07E97">
        <w:t>c</w:t>
      </w:r>
      <w:r w:rsidR="007C22E7">
        <w:t xml:space="preserve">hild </w:t>
      </w:r>
      <w:r w:rsidR="00D07E97">
        <w:t>p</w:t>
      </w:r>
      <w:r w:rsidR="007C22E7">
        <w:t>rotection division</w:t>
      </w:r>
      <w:r w:rsidR="003E529E">
        <w:t>, with Australian assistance</w:t>
      </w:r>
      <w:r w:rsidR="007C22E7">
        <w:t>.</w:t>
      </w:r>
    </w:p>
    <w:p w:rsidR="003B1E5F" w:rsidRPr="00C4114C" w:rsidRDefault="003B1E5F" w:rsidP="00C62410">
      <w:pPr>
        <w:pStyle w:val="Heading1"/>
        <w:spacing w:before="280"/>
      </w:pPr>
      <w:r w:rsidRPr="00C4114C">
        <w:t>Progress towards Performance Benchmarks in 2014-15</w:t>
      </w:r>
    </w:p>
    <w:tbl>
      <w:tblPr>
        <w:tblStyle w:val="DFATTable"/>
        <w:tblW w:w="5218" w:type="pct"/>
        <w:tblLook w:val="04A0" w:firstRow="1" w:lastRow="0" w:firstColumn="1" w:lastColumn="0" w:noHBand="0" w:noVBand="1"/>
      </w:tblPr>
      <w:tblGrid>
        <w:gridCol w:w="1525"/>
        <w:gridCol w:w="1417"/>
        <w:gridCol w:w="863"/>
        <w:gridCol w:w="4941"/>
      </w:tblGrid>
      <w:tr w:rsidR="003B1E5F" w:rsidRPr="00C4114C" w:rsidTr="006A790F">
        <w:trPr>
          <w:tblHeader/>
        </w:trPr>
        <w:tc>
          <w:tcPr>
            <w:tcW w:w="872" w:type="pct"/>
            <w:tcMar>
              <w:top w:w="57" w:type="dxa"/>
              <w:bottom w:w="57" w:type="dxa"/>
            </w:tcMar>
          </w:tcPr>
          <w:p w:rsidR="003B1E5F" w:rsidRPr="00C4114C" w:rsidRDefault="003B1E5F" w:rsidP="003B1E5F">
            <w:pPr>
              <w:pStyle w:val="TableHeading1"/>
              <w:keepNext/>
            </w:pPr>
            <w:r w:rsidRPr="00C4114C">
              <w:t>Aid objective</w:t>
            </w:r>
          </w:p>
        </w:tc>
        <w:tc>
          <w:tcPr>
            <w:tcW w:w="810" w:type="pct"/>
          </w:tcPr>
          <w:p w:rsidR="003B1E5F" w:rsidRPr="00C4114C" w:rsidRDefault="003B1E5F" w:rsidP="003B1E5F">
            <w:pPr>
              <w:pStyle w:val="TableHeading1"/>
              <w:keepNext/>
            </w:pPr>
            <w:r w:rsidRPr="00C4114C">
              <w:t xml:space="preserve">2014-15 benchmark </w:t>
            </w:r>
          </w:p>
        </w:tc>
        <w:tc>
          <w:tcPr>
            <w:tcW w:w="493" w:type="pct"/>
            <w:tcBorders>
              <w:bottom w:val="nil"/>
            </w:tcBorders>
          </w:tcPr>
          <w:p w:rsidR="003B1E5F" w:rsidRPr="00C4114C" w:rsidRDefault="003B1E5F" w:rsidP="003B1E5F">
            <w:pPr>
              <w:pStyle w:val="TableHeading1"/>
              <w:keepNext/>
            </w:pPr>
            <w:r w:rsidRPr="00C4114C">
              <w:t>Rating</w:t>
            </w:r>
          </w:p>
        </w:tc>
        <w:tc>
          <w:tcPr>
            <w:tcW w:w="2824" w:type="pct"/>
          </w:tcPr>
          <w:p w:rsidR="003B1E5F" w:rsidRPr="00C4114C" w:rsidRDefault="003B1E5F" w:rsidP="003B1E5F">
            <w:pPr>
              <w:pStyle w:val="TableHeading1"/>
              <w:keepNext/>
            </w:pPr>
            <w:r w:rsidRPr="00C4114C">
              <w:t>Progress in 2014-15</w:t>
            </w:r>
          </w:p>
        </w:tc>
      </w:tr>
      <w:tr w:rsidR="00A40F25" w:rsidRPr="00C4114C" w:rsidTr="00B3440F">
        <w:tc>
          <w:tcPr>
            <w:tcW w:w="872" w:type="pct"/>
            <w:tcMar>
              <w:top w:w="57" w:type="dxa"/>
              <w:bottom w:w="57" w:type="dxa"/>
            </w:tcMar>
          </w:tcPr>
          <w:p w:rsidR="003B1E5F" w:rsidRPr="00C4114C" w:rsidRDefault="0023675A" w:rsidP="008A4FF9">
            <w:pPr>
              <w:pStyle w:val="TableTextEntries"/>
              <w:keepNext/>
            </w:pPr>
            <w:r w:rsidRPr="00A40F25">
              <w:rPr>
                <w:u w:val="single"/>
              </w:rPr>
              <w:t>Infrastructure</w:t>
            </w:r>
            <w:r w:rsidR="00A40F25">
              <w:t>:  Reliable and cost effective provision of essential infrastructure and services</w:t>
            </w:r>
          </w:p>
        </w:tc>
        <w:tc>
          <w:tcPr>
            <w:tcW w:w="810" w:type="pct"/>
          </w:tcPr>
          <w:p w:rsidR="003B1E5F" w:rsidRPr="00C4114C" w:rsidRDefault="0023675A" w:rsidP="00AA7FA0">
            <w:pPr>
              <w:pStyle w:val="TableTextEntries"/>
              <w:keepNext/>
            </w:pPr>
            <w:r>
              <w:t>Stage one of Ro</w:t>
            </w:r>
            <w:r w:rsidR="00AA7FA0">
              <w:t>N</w:t>
            </w:r>
            <w:r>
              <w:t xml:space="preserve"> Hospital redevelopment is complete by July 2015</w:t>
            </w:r>
            <w:r w:rsidR="003B1E5F" w:rsidRPr="00C4114C">
              <w:t xml:space="preserve">.  </w:t>
            </w:r>
          </w:p>
        </w:tc>
        <w:tc>
          <w:tcPr>
            <w:tcW w:w="493" w:type="pct"/>
            <w:tcBorders>
              <w:top w:val="nil"/>
              <w:bottom w:val="nil"/>
            </w:tcBorders>
            <w:shd w:val="clear" w:color="auto" w:fill="F4D412"/>
          </w:tcPr>
          <w:p w:rsidR="003B1E5F" w:rsidRPr="00C4114C" w:rsidRDefault="0023675A" w:rsidP="003B1E5F">
            <w:pPr>
              <w:pStyle w:val="TableTextEntries"/>
              <w:keepNext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Partly </w:t>
            </w:r>
            <w:r w:rsidR="003B1E5F" w:rsidRPr="00C4114C">
              <w:rPr>
                <w:color w:val="FFFFFF" w:themeColor="background1"/>
              </w:rPr>
              <w:t>Achieved</w:t>
            </w:r>
          </w:p>
        </w:tc>
        <w:tc>
          <w:tcPr>
            <w:tcW w:w="2824" w:type="pct"/>
          </w:tcPr>
          <w:p w:rsidR="0023675A" w:rsidRDefault="0023675A" w:rsidP="00101579">
            <w:pPr>
              <w:pStyle w:val="TableTextEntries"/>
              <w:keepNext/>
            </w:pPr>
            <w:r>
              <w:t>Stage One not finished by July 2015</w:t>
            </w:r>
            <w:r w:rsidR="006962C2">
              <w:t>,</w:t>
            </w:r>
            <w:r>
              <w:t xml:space="preserve"> but now progressing well, expected completion by </w:t>
            </w:r>
            <w:r w:rsidR="00466CA1">
              <w:t>February 2016</w:t>
            </w:r>
            <w:r w:rsidR="00474A07">
              <w:t>.</w:t>
            </w:r>
            <w:r w:rsidR="001B42D0">
              <w:t xml:space="preserve">  Delays due to </w:t>
            </w:r>
            <w:r w:rsidR="00A64110">
              <w:t>Government of Nauru</w:t>
            </w:r>
            <w:r w:rsidR="008E7C9C">
              <w:t xml:space="preserve"> </w:t>
            </w:r>
            <w:r w:rsidR="001B42D0">
              <w:t>acceptance of offer (occurred in August 2014) and endorsement of the Plan (May 2015)</w:t>
            </w:r>
            <w:r w:rsidR="00D559CD">
              <w:t>.</w:t>
            </w:r>
            <w:r w:rsidR="001B42D0">
              <w:t xml:space="preserve"> </w:t>
            </w:r>
          </w:p>
          <w:p w:rsidR="003B1E5F" w:rsidRPr="0023675A" w:rsidRDefault="003B1E5F" w:rsidP="00101579">
            <w:pPr>
              <w:pStyle w:val="TableTextEntries"/>
              <w:keepNext/>
              <w:rPr>
                <w:i/>
              </w:rPr>
            </w:pPr>
          </w:p>
        </w:tc>
      </w:tr>
      <w:tr w:rsidR="003B1E5F" w:rsidRPr="00C4114C" w:rsidTr="00B3440F">
        <w:tc>
          <w:tcPr>
            <w:tcW w:w="872" w:type="pct"/>
            <w:tcMar>
              <w:top w:w="57" w:type="dxa"/>
              <w:bottom w:w="57" w:type="dxa"/>
            </w:tcMar>
          </w:tcPr>
          <w:p w:rsidR="003B1E5F" w:rsidRPr="00C4114C" w:rsidRDefault="0023675A" w:rsidP="0023675A">
            <w:pPr>
              <w:pStyle w:val="TableTextEntries"/>
              <w:keepNext/>
            </w:pPr>
            <w:r w:rsidRPr="00A40F25">
              <w:rPr>
                <w:u w:val="single"/>
              </w:rPr>
              <w:t>Human Development – Health</w:t>
            </w:r>
            <w:r>
              <w:t>:</w:t>
            </w:r>
            <w:r w:rsidR="006F1F5C">
              <w:t xml:space="preserve"> </w:t>
            </w:r>
            <w:r>
              <w:t xml:space="preserve"> A cost effective health system which delivers improved health outcomes</w:t>
            </w:r>
            <w:r w:rsidR="003B1E5F" w:rsidRPr="00C4114C">
              <w:t xml:space="preserve"> </w:t>
            </w:r>
          </w:p>
        </w:tc>
        <w:tc>
          <w:tcPr>
            <w:tcW w:w="810" w:type="pct"/>
          </w:tcPr>
          <w:p w:rsidR="003B1E5F" w:rsidRPr="00C4114C" w:rsidRDefault="0023675A" w:rsidP="003B1E5F">
            <w:pPr>
              <w:pStyle w:val="TableTextEntries"/>
              <w:keepNext/>
            </w:pPr>
            <w:r>
              <w:t>Improved management of NCDs along the whole continuum of care</w:t>
            </w:r>
          </w:p>
        </w:tc>
        <w:tc>
          <w:tcPr>
            <w:tcW w:w="493" w:type="pct"/>
            <w:tcBorders>
              <w:top w:val="nil"/>
              <w:bottom w:val="nil"/>
            </w:tcBorders>
            <w:shd w:val="clear" w:color="auto" w:fill="FFC000"/>
          </w:tcPr>
          <w:p w:rsidR="003B1E5F" w:rsidRPr="0023675A" w:rsidRDefault="00474A07" w:rsidP="003B1E5F">
            <w:pPr>
              <w:pStyle w:val="TableTextEntries"/>
              <w:keepNext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Partially</w:t>
            </w:r>
            <w:r w:rsidRPr="00C4114C">
              <w:rPr>
                <w:color w:val="FFFFFF" w:themeColor="background1"/>
              </w:rPr>
              <w:t xml:space="preserve"> </w:t>
            </w:r>
            <w:r w:rsidR="003B1E5F" w:rsidRPr="00C4114C">
              <w:rPr>
                <w:color w:val="FFFFFF" w:themeColor="background1"/>
              </w:rPr>
              <w:t>achieved</w:t>
            </w:r>
          </w:p>
        </w:tc>
        <w:tc>
          <w:tcPr>
            <w:tcW w:w="2824" w:type="pct"/>
          </w:tcPr>
          <w:p w:rsidR="00AA7FA0" w:rsidRPr="00C4114C" w:rsidRDefault="006A790F" w:rsidP="00110C62">
            <w:pPr>
              <w:pStyle w:val="TableTextEntries"/>
              <w:keepNext/>
            </w:pPr>
            <w:r>
              <w:t>Work in the health sector focused on the hospital redevelopment</w:t>
            </w:r>
            <w:r w:rsidR="00474A07">
              <w:t xml:space="preserve">, placement of two PACTAM </w:t>
            </w:r>
            <w:r w:rsidR="00110C62">
              <w:t>a</w:t>
            </w:r>
            <w:r w:rsidR="00474A07">
              <w:t>dvisers</w:t>
            </w:r>
            <w:r>
              <w:t xml:space="preserve"> and recruitment of additional </w:t>
            </w:r>
            <w:r w:rsidR="00D559CD">
              <w:t xml:space="preserve">Ministry of Health </w:t>
            </w:r>
            <w:r w:rsidR="00CA1A40">
              <w:t>staff.</w:t>
            </w:r>
            <w:r w:rsidR="006F1F5C">
              <w:t xml:space="preserve"> </w:t>
            </w:r>
            <w:r w:rsidR="001F2BA0">
              <w:t xml:space="preserve"> </w:t>
            </w:r>
            <w:r w:rsidR="00B3440F">
              <w:t>An NCD Strategy was prepared but m</w:t>
            </w:r>
            <w:r w:rsidR="006F1F5C">
              <w:t>ore needs to be done to address NCD diagnosis and management.</w:t>
            </w:r>
          </w:p>
        </w:tc>
      </w:tr>
      <w:tr w:rsidR="003B1E5F" w:rsidRPr="00C4114C" w:rsidTr="006A790F">
        <w:tc>
          <w:tcPr>
            <w:tcW w:w="872" w:type="pct"/>
            <w:tcMar>
              <w:top w:w="57" w:type="dxa"/>
              <w:bottom w:w="57" w:type="dxa"/>
            </w:tcMar>
          </w:tcPr>
          <w:p w:rsidR="00A40F25" w:rsidRPr="00C4114C" w:rsidRDefault="00A40F25" w:rsidP="003B1E5F">
            <w:pPr>
              <w:pStyle w:val="TableTextEntries"/>
              <w:keepNext/>
            </w:pPr>
            <w:r w:rsidRPr="00A40F25">
              <w:rPr>
                <w:u w:val="single"/>
              </w:rPr>
              <w:t>Human Development – Education</w:t>
            </w:r>
            <w:r>
              <w:t>:  Improving the quality and access to primary and secondary education</w:t>
            </w:r>
          </w:p>
        </w:tc>
        <w:tc>
          <w:tcPr>
            <w:tcW w:w="810" w:type="pct"/>
          </w:tcPr>
          <w:p w:rsidR="003B1E5F" w:rsidRPr="00C4114C" w:rsidRDefault="00A40F25" w:rsidP="003B1E5F">
            <w:pPr>
              <w:pStyle w:val="TableTextEntries"/>
              <w:keepNext/>
            </w:pPr>
            <w:r>
              <w:t>Government of Nauru has developed and implemented strategy to reduce truancy rates in schools</w:t>
            </w:r>
            <w:r w:rsidR="003B1E5F" w:rsidRPr="00C4114C">
              <w:t xml:space="preserve"> </w:t>
            </w:r>
          </w:p>
        </w:tc>
        <w:tc>
          <w:tcPr>
            <w:tcW w:w="493" w:type="pct"/>
            <w:tcBorders>
              <w:top w:val="nil"/>
              <w:bottom w:val="nil"/>
            </w:tcBorders>
            <w:shd w:val="clear" w:color="auto" w:fill="FFCC00"/>
          </w:tcPr>
          <w:p w:rsidR="00A40F25" w:rsidRDefault="006A790F" w:rsidP="003B1E5F">
            <w:pPr>
              <w:pStyle w:val="TableTextEntries"/>
              <w:keepNext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Partially </w:t>
            </w:r>
            <w:r w:rsidR="003B1E5F" w:rsidRPr="00C4114C">
              <w:rPr>
                <w:color w:val="FFFFFF" w:themeColor="background1"/>
              </w:rPr>
              <w:t>Achieved</w:t>
            </w:r>
          </w:p>
          <w:p w:rsidR="00A40F25" w:rsidRDefault="00A40F25" w:rsidP="003B1E5F">
            <w:pPr>
              <w:pStyle w:val="TableTextEntries"/>
              <w:keepNext/>
              <w:rPr>
                <w:color w:val="FFFFFF" w:themeColor="background1"/>
              </w:rPr>
            </w:pPr>
          </w:p>
          <w:p w:rsidR="00A40F25" w:rsidRDefault="00A40F25" w:rsidP="003B1E5F">
            <w:pPr>
              <w:pStyle w:val="TableTextEntries"/>
              <w:keepNext/>
              <w:rPr>
                <w:color w:val="FFFFFF" w:themeColor="background1"/>
              </w:rPr>
            </w:pPr>
          </w:p>
          <w:p w:rsidR="003B1E5F" w:rsidRPr="00C4114C" w:rsidRDefault="003B1E5F" w:rsidP="00A40F25">
            <w:pPr>
              <w:pStyle w:val="TableTextEntries"/>
              <w:keepNext/>
            </w:pPr>
            <w:r w:rsidRPr="00C4114C">
              <w:rPr>
                <w:color w:val="FFFFFF" w:themeColor="background1"/>
              </w:rPr>
              <w:t xml:space="preserve"> </w:t>
            </w:r>
          </w:p>
        </w:tc>
        <w:tc>
          <w:tcPr>
            <w:tcW w:w="2824" w:type="pct"/>
          </w:tcPr>
          <w:p w:rsidR="003B1E5F" w:rsidRPr="00C4114C" w:rsidRDefault="008827F7" w:rsidP="008827F7">
            <w:pPr>
              <w:pStyle w:val="TableTextEntries"/>
              <w:keepNext/>
            </w:pPr>
            <w:r>
              <w:t>This GoN-led initiative has not been completed due to the availability of the selected consultant.  GoN is implementing a financial incentive program for primary school a</w:t>
            </w:r>
            <w:r w:rsidR="006A790F">
              <w:t>ged children through the 201</w:t>
            </w:r>
            <w:r w:rsidR="00C4295F">
              <w:t>5</w:t>
            </w:r>
            <w:r w:rsidR="006A790F">
              <w:t>-16 budget.</w:t>
            </w:r>
          </w:p>
        </w:tc>
      </w:tr>
      <w:tr w:rsidR="00A40F25" w:rsidRPr="00C4114C" w:rsidTr="00A40F25">
        <w:tc>
          <w:tcPr>
            <w:tcW w:w="872" w:type="pct"/>
            <w:tcMar>
              <w:top w:w="57" w:type="dxa"/>
              <w:bottom w:w="57" w:type="dxa"/>
            </w:tcMar>
          </w:tcPr>
          <w:p w:rsidR="00A40F25" w:rsidRPr="00A40F25" w:rsidRDefault="00A40F25" w:rsidP="003B1E5F">
            <w:pPr>
              <w:pStyle w:val="TableTextEntries"/>
              <w:keepNext/>
              <w:rPr>
                <w:u w:val="single"/>
              </w:rPr>
            </w:pPr>
            <w:r w:rsidRPr="00A40F25">
              <w:rPr>
                <w:u w:val="single"/>
              </w:rPr>
              <w:t>Operational</w:t>
            </w:r>
            <w:r>
              <w:t>:  Increased number of programs adequately addressing gender equality considerations</w:t>
            </w:r>
          </w:p>
        </w:tc>
        <w:tc>
          <w:tcPr>
            <w:tcW w:w="810" w:type="pct"/>
          </w:tcPr>
          <w:p w:rsidR="00A40F25" w:rsidRDefault="00C54DAE" w:rsidP="003B1E5F">
            <w:pPr>
              <w:pStyle w:val="TableTextEntries"/>
              <w:keepNext/>
            </w:pPr>
            <w:r>
              <w:t>80 per cent of programs adequately addressing gender issues</w:t>
            </w:r>
          </w:p>
        </w:tc>
        <w:tc>
          <w:tcPr>
            <w:tcW w:w="493" w:type="pct"/>
            <w:tcBorders>
              <w:top w:val="nil"/>
              <w:bottom w:val="single" w:sz="12" w:space="0" w:color="auto"/>
            </w:tcBorders>
            <w:shd w:val="clear" w:color="auto" w:fill="00B050"/>
          </w:tcPr>
          <w:p w:rsidR="00A40F25" w:rsidRPr="00C4114C" w:rsidRDefault="00A40F25" w:rsidP="003B1E5F">
            <w:pPr>
              <w:pStyle w:val="TableTextEntries"/>
              <w:keepNext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Achieved</w:t>
            </w:r>
          </w:p>
        </w:tc>
        <w:tc>
          <w:tcPr>
            <w:tcW w:w="2824" w:type="pct"/>
          </w:tcPr>
          <w:p w:rsidR="00A40F25" w:rsidRPr="00C4114C" w:rsidRDefault="008827F7" w:rsidP="003B1E5F">
            <w:pPr>
              <w:pStyle w:val="TableTextEntries"/>
              <w:keepNext/>
            </w:pPr>
            <w:r>
              <w:t>The 2014-15 Aid Quality Check found that all (100%) of programs were adequately addressing gender issues.</w:t>
            </w:r>
          </w:p>
        </w:tc>
      </w:tr>
    </w:tbl>
    <w:p w:rsidR="00D04012" w:rsidRPr="00C4114C" w:rsidRDefault="00D04012" w:rsidP="00ED025B">
      <w:pPr>
        <w:pStyle w:val="ListBullet"/>
        <w:tabs>
          <w:tab w:val="clear" w:pos="284"/>
        </w:tabs>
        <w:rPr>
          <w:rFonts w:ascii="Helvetica" w:hAnsi="Helvetica" w:cs="Arial"/>
          <w:color w:val="007FAD"/>
          <w:spacing w:val="-10"/>
          <w:kern w:val="28"/>
          <w:sz w:val="28"/>
          <w:szCs w:val="28"/>
        </w:rPr>
      </w:pPr>
    </w:p>
    <w:p w:rsidR="00AA7FA0" w:rsidRDefault="006E2422" w:rsidP="0053089A">
      <w:pPr>
        <w:spacing w:after="200" w:line="276" w:lineRule="auto"/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 xml:space="preserve">The 2013-14 APPR set four performance benchmarks for 2014-15.  Of these only the gender-related benchmark was fully achieved, </w:t>
      </w:r>
      <w:r w:rsidR="00D07E97">
        <w:rPr>
          <w:rFonts w:ascii="Franklin Gothic Book" w:hAnsi="Franklin Gothic Book"/>
          <w:sz w:val="21"/>
        </w:rPr>
        <w:t>and</w:t>
      </w:r>
      <w:r>
        <w:rPr>
          <w:rFonts w:ascii="Franklin Gothic Book" w:hAnsi="Franklin Gothic Book"/>
          <w:sz w:val="21"/>
        </w:rPr>
        <w:t xml:space="preserve"> </w:t>
      </w:r>
      <w:r w:rsidR="00110C62">
        <w:rPr>
          <w:rFonts w:ascii="Franklin Gothic Book" w:hAnsi="Franklin Gothic Book"/>
          <w:sz w:val="21"/>
        </w:rPr>
        <w:t>further</w:t>
      </w:r>
      <w:r w:rsidR="00662708">
        <w:rPr>
          <w:rFonts w:ascii="Franklin Gothic Book" w:hAnsi="Franklin Gothic Book"/>
          <w:sz w:val="21"/>
        </w:rPr>
        <w:t xml:space="preserve"> </w:t>
      </w:r>
      <w:r>
        <w:rPr>
          <w:rFonts w:ascii="Franklin Gothic Book" w:hAnsi="Franklin Gothic Book"/>
          <w:sz w:val="21"/>
        </w:rPr>
        <w:t>improvements</w:t>
      </w:r>
      <w:r w:rsidR="008D7D2E">
        <w:rPr>
          <w:rFonts w:ascii="Franklin Gothic Book" w:hAnsi="Franklin Gothic Book"/>
          <w:sz w:val="21"/>
        </w:rPr>
        <w:t xml:space="preserve"> on gender equality</w:t>
      </w:r>
      <w:r>
        <w:rPr>
          <w:rFonts w:ascii="Franklin Gothic Book" w:hAnsi="Franklin Gothic Book"/>
          <w:sz w:val="21"/>
        </w:rPr>
        <w:t xml:space="preserve"> </w:t>
      </w:r>
      <w:r w:rsidR="00110C62">
        <w:rPr>
          <w:rFonts w:ascii="Franklin Gothic Book" w:hAnsi="Franklin Gothic Book"/>
          <w:sz w:val="21"/>
        </w:rPr>
        <w:t xml:space="preserve">are </w:t>
      </w:r>
      <w:r w:rsidR="008D7D2E">
        <w:rPr>
          <w:rFonts w:ascii="Franklin Gothic Book" w:hAnsi="Franklin Gothic Book"/>
          <w:sz w:val="21"/>
        </w:rPr>
        <w:t>being pursued</w:t>
      </w:r>
      <w:r>
        <w:rPr>
          <w:rFonts w:ascii="Franklin Gothic Book" w:hAnsi="Franklin Gothic Book"/>
          <w:sz w:val="21"/>
        </w:rPr>
        <w:t xml:space="preserve">.  For infrastructure the benchmark was completion of Stage 1 of the hospital redevelopment.  </w:t>
      </w:r>
      <w:r w:rsidR="00D07E97">
        <w:rPr>
          <w:rFonts w:ascii="Franklin Gothic Book" w:hAnsi="Franklin Gothic Book"/>
          <w:sz w:val="21"/>
        </w:rPr>
        <w:t>C</w:t>
      </w:r>
      <w:r>
        <w:rPr>
          <w:rFonts w:ascii="Franklin Gothic Book" w:hAnsi="Franklin Gothic Book"/>
          <w:sz w:val="21"/>
        </w:rPr>
        <w:t xml:space="preserve">ommencement was held up </w:t>
      </w:r>
      <w:r w:rsidR="00D07E97">
        <w:rPr>
          <w:rFonts w:ascii="Franklin Gothic Book" w:hAnsi="Franklin Gothic Book"/>
          <w:sz w:val="21"/>
        </w:rPr>
        <w:t xml:space="preserve">due to the need for </w:t>
      </w:r>
      <w:r w:rsidR="00466CA1">
        <w:rPr>
          <w:rFonts w:ascii="Franklin Gothic Book" w:hAnsi="Franklin Gothic Book"/>
          <w:sz w:val="21"/>
        </w:rPr>
        <w:t xml:space="preserve">easible design options and agreement on a preferred option by Government of Nauru and Australia.  </w:t>
      </w:r>
      <w:r w:rsidR="00110C62">
        <w:rPr>
          <w:rFonts w:ascii="Franklin Gothic Book" w:hAnsi="Franklin Gothic Book"/>
          <w:sz w:val="21"/>
        </w:rPr>
        <w:t>T</w:t>
      </w:r>
      <w:r>
        <w:rPr>
          <w:rFonts w:ascii="Franklin Gothic Book" w:hAnsi="Franklin Gothic Book"/>
          <w:sz w:val="21"/>
        </w:rPr>
        <w:t xml:space="preserve">here </w:t>
      </w:r>
      <w:r w:rsidR="00D07E97">
        <w:rPr>
          <w:rFonts w:ascii="Franklin Gothic Book" w:hAnsi="Franklin Gothic Book"/>
          <w:sz w:val="21"/>
        </w:rPr>
        <w:t>was</w:t>
      </w:r>
      <w:r>
        <w:rPr>
          <w:rFonts w:ascii="Franklin Gothic Book" w:hAnsi="Franklin Gothic Book"/>
          <w:sz w:val="21"/>
        </w:rPr>
        <w:t xml:space="preserve"> good progress on power generation and water supply by </w:t>
      </w:r>
      <w:r w:rsidR="008D7D2E">
        <w:rPr>
          <w:rFonts w:ascii="Franklin Gothic Book" w:hAnsi="Franklin Gothic Book"/>
          <w:sz w:val="21"/>
        </w:rPr>
        <w:t>Nauru Utilities Corporation</w:t>
      </w:r>
      <w:r>
        <w:rPr>
          <w:rFonts w:ascii="Franklin Gothic Book" w:hAnsi="Franklin Gothic Book"/>
          <w:sz w:val="21"/>
        </w:rPr>
        <w:t>.</w:t>
      </w:r>
    </w:p>
    <w:p w:rsidR="006E2422" w:rsidRDefault="00D07E97" w:rsidP="0053089A">
      <w:pPr>
        <w:spacing w:after="200" w:line="276" w:lineRule="auto"/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>T</w:t>
      </w:r>
      <w:r w:rsidR="006E2422">
        <w:rPr>
          <w:rFonts w:ascii="Franklin Gothic Book" w:hAnsi="Franklin Gothic Book"/>
          <w:sz w:val="21"/>
        </w:rPr>
        <w:t xml:space="preserve">he health and education sectors </w:t>
      </w:r>
      <w:r w:rsidR="00110C62">
        <w:rPr>
          <w:rFonts w:ascii="Franklin Gothic Book" w:hAnsi="Franklin Gothic Book"/>
          <w:sz w:val="21"/>
        </w:rPr>
        <w:t xml:space="preserve">did </w:t>
      </w:r>
      <w:r w:rsidR="006E2422">
        <w:rPr>
          <w:rFonts w:ascii="Franklin Gothic Book" w:hAnsi="Franklin Gothic Book"/>
          <w:sz w:val="21"/>
        </w:rPr>
        <w:t>not full</w:t>
      </w:r>
      <w:r w:rsidR="00110C62">
        <w:rPr>
          <w:rFonts w:ascii="Franklin Gothic Book" w:hAnsi="Franklin Gothic Book"/>
          <w:sz w:val="21"/>
        </w:rPr>
        <w:t>y</w:t>
      </w:r>
      <w:r w:rsidR="006E2422">
        <w:rPr>
          <w:rFonts w:ascii="Franklin Gothic Book" w:hAnsi="Franklin Gothic Book"/>
          <w:sz w:val="21"/>
        </w:rPr>
        <w:t xml:space="preserve"> expend funds allocated to implementation of their strategic plan objectives.  </w:t>
      </w:r>
      <w:r w:rsidR="00110C62">
        <w:rPr>
          <w:rFonts w:ascii="Franklin Gothic Book" w:hAnsi="Franklin Gothic Book"/>
          <w:sz w:val="21"/>
        </w:rPr>
        <w:t>Vacancies at</w:t>
      </w:r>
      <w:r w:rsidR="001B42D0" w:rsidRPr="001F2BA0">
        <w:rPr>
          <w:rFonts w:ascii="Franklin Gothic Book" w:hAnsi="Franklin Gothic Book"/>
          <w:sz w:val="21"/>
        </w:rPr>
        <w:t xml:space="preserve"> senior </w:t>
      </w:r>
      <w:r w:rsidR="00110C62">
        <w:rPr>
          <w:rFonts w:ascii="Franklin Gothic Book" w:hAnsi="Franklin Gothic Book"/>
          <w:sz w:val="21"/>
        </w:rPr>
        <w:t>levels</w:t>
      </w:r>
      <w:r w:rsidR="006E2422">
        <w:rPr>
          <w:rFonts w:ascii="Franklin Gothic Book" w:hAnsi="Franklin Gothic Book"/>
          <w:sz w:val="21"/>
        </w:rPr>
        <w:t xml:space="preserve"> </w:t>
      </w:r>
      <w:r>
        <w:rPr>
          <w:rFonts w:ascii="Franklin Gothic Book" w:hAnsi="Franklin Gothic Book"/>
          <w:sz w:val="21"/>
        </w:rPr>
        <w:t>of</w:t>
      </w:r>
      <w:r w:rsidR="00AC584C">
        <w:rPr>
          <w:rFonts w:ascii="Franklin Gothic Book" w:hAnsi="Franklin Gothic Book"/>
          <w:sz w:val="21"/>
        </w:rPr>
        <w:t xml:space="preserve"> relevant government ministries </w:t>
      </w:r>
      <w:r w:rsidR="000930DF">
        <w:rPr>
          <w:rFonts w:ascii="Franklin Gothic Book" w:hAnsi="Franklin Gothic Book"/>
          <w:sz w:val="21"/>
        </w:rPr>
        <w:t>late in the financial year</w:t>
      </w:r>
      <w:r w:rsidR="00110C62">
        <w:rPr>
          <w:rFonts w:ascii="Franklin Gothic Book" w:hAnsi="Franklin Gothic Book"/>
          <w:sz w:val="21"/>
        </w:rPr>
        <w:t xml:space="preserve"> impeded progress</w:t>
      </w:r>
      <w:r w:rsidR="006E2422">
        <w:rPr>
          <w:rFonts w:ascii="Franklin Gothic Book" w:hAnsi="Franklin Gothic Book"/>
          <w:sz w:val="21"/>
        </w:rPr>
        <w:t xml:space="preserve">.  </w:t>
      </w:r>
      <w:r w:rsidR="00AC584C">
        <w:rPr>
          <w:rFonts w:ascii="Franklin Gothic Book" w:hAnsi="Franklin Gothic Book"/>
          <w:sz w:val="21"/>
        </w:rPr>
        <w:t xml:space="preserve">The Ministry of </w:t>
      </w:r>
      <w:r w:rsidR="006E2422">
        <w:rPr>
          <w:rFonts w:ascii="Franklin Gothic Book" w:hAnsi="Franklin Gothic Book"/>
          <w:sz w:val="21"/>
        </w:rPr>
        <w:t xml:space="preserve">Education lost the support of their </w:t>
      </w:r>
      <w:r w:rsidR="00110C62">
        <w:rPr>
          <w:rFonts w:ascii="Franklin Gothic Book" w:hAnsi="Franklin Gothic Book"/>
          <w:sz w:val="21"/>
        </w:rPr>
        <w:t>a</w:t>
      </w:r>
      <w:r w:rsidR="006E2422">
        <w:rPr>
          <w:rFonts w:ascii="Franklin Gothic Book" w:hAnsi="Franklin Gothic Book"/>
          <w:sz w:val="21"/>
        </w:rPr>
        <w:t>dviser to the Secretary</w:t>
      </w:r>
      <w:r w:rsidR="00466CA1">
        <w:rPr>
          <w:rFonts w:ascii="Franklin Gothic Book" w:hAnsi="Franklin Gothic Book"/>
          <w:sz w:val="21"/>
        </w:rPr>
        <w:t xml:space="preserve"> in June 2015</w:t>
      </w:r>
      <w:r w:rsidR="006E2422">
        <w:rPr>
          <w:rFonts w:ascii="Franklin Gothic Book" w:hAnsi="Franklin Gothic Book"/>
          <w:sz w:val="21"/>
        </w:rPr>
        <w:t xml:space="preserve">.  </w:t>
      </w:r>
      <w:r w:rsidR="00AC584C">
        <w:rPr>
          <w:rFonts w:ascii="Franklin Gothic Book" w:hAnsi="Franklin Gothic Book"/>
          <w:sz w:val="21"/>
        </w:rPr>
        <w:t xml:space="preserve">The Ministry of </w:t>
      </w:r>
      <w:r w:rsidR="006E2422">
        <w:rPr>
          <w:rFonts w:ascii="Franklin Gothic Book" w:hAnsi="Franklin Gothic Book"/>
          <w:sz w:val="21"/>
        </w:rPr>
        <w:t xml:space="preserve">Health benefited from the commencement of a </w:t>
      </w:r>
      <w:r w:rsidR="009A7523">
        <w:rPr>
          <w:rFonts w:ascii="Franklin Gothic Book" w:hAnsi="Franklin Gothic Book"/>
          <w:sz w:val="21"/>
        </w:rPr>
        <w:t xml:space="preserve">health policy adviser and a </w:t>
      </w:r>
      <w:r w:rsidR="006E2422">
        <w:rPr>
          <w:rFonts w:ascii="Franklin Gothic Book" w:hAnsi="Franklin Gothic Book"/>
          <w:sz w:val="21"/>
        </w:rPr>
        <w:t xml:space="preserve">hospital operations adviser late in the financial year.  The appointment of a new </w:t>
      </w:r>
      <w:r w:rsidR="00AC584C">
        <w:rPr>
          <w:rFonts w:ascii="Franklin Gothic Book" w:hAnsi="Franklin Gothic Book"/>
          <w:sz w:val="21"/>
        </w:rPr>
        <w:t>Director of Public Health</w:t>
      </w:r>
      <w:r w:rsidR="006E2422">
        <w:rPr>
          <w:rFonts w:ascii="Franklin Gothic Book" w:hAnsi="Franklin Gothic Book"/>
          <w:sz w:val="21"/>
        </w:rPr>
        <w:t xml:space="preserve"> will </w:t>
      </w:r>
      <w:r w:rsidR="00C56B7C">
        <w:rPr>
          <w:rFonts w:ascii="Franklin Gothic Book" w:hAnsi="Franklin Gothic Book"/>
          <w:sz w:val="21"/>
        </w:rPr>
        <w:t xml:space="preserve">facilitate </w:t>
      </w:r>
      <w:r w:rsidR="00395829">
        <w:rPr>
          <w:rFonts w:ascii="Franklin Gothic Book" w:hAnsi="Franklin Gothic Book"/>
          <w:sz w:val="21"/>
        </w:rPr>
        <w:t xml:space="preserve">greater progress on </w:t>
      </w:r>
      <w:r w:rsidR="008D7D2E">
        <w:rPr>
          <w:rFonts w:ascii="Franklin Gothic Book" w:hAnsi="Franklin Gothic Book"/>
          <w:sz w:val="21"/>
        </w:rPr>
        <w:t xml:space="preserve">non-communicable disease (NCD) </w:t>
      </w:r>
      <w:r w:rsidR="00395829">
        <w:rPr>
          <w:rFonts w:ascii="Franklin Gothic Book" w:hAnsi="Franklin Gothic Book"/>
          <w:sz w:val="21"/>
        </w:rPr>
        <w:t xml:space="preserve">care in 2015-16.  </w:t>
      </w:r>
    </w:p>
    <w:p w:rsidR="00ED025B" w:rsidRPr="00C4114C" w:rsidRDefault="00ED025B" w:rsidP="00C62410">
      <w:pPr>
        <w:pStyle w:val="Heading1"/>
        <w:spacing w:before="280"/>
      </w:pPr>
      <w:r w:rsidRPr="00C4114C">
        <w:lastRenderedPageBreak/>
        <w:t>Mutual Obligations</w:t>
      </w:r>
    </w:p>
    <w:p w:rsidR="00E4385A" w:rsidRDefault="001D6E46" w:rsidP="0053089A">
      <w:pPr>
        <w:spacing w:after="200" w:line="276" w:lineRule="auto"/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>The 2013-14 mutual obligations</w:t>
      </w:r>
      <w:r w:rsidR="006D32BA">
        <w:rPr>
          <w:rFonts w:ascii="Franklin Gothic Book" w:hAnsi="Franklin Gothic Book"/>
          <w:sz w:val="21"/>
        </w:rPr>
        <w:t xml:space="preserve"> </w:t>
      </w:r>
      <w:r w:rsidR="005828D9">
        <w:rPr>
          <w:rFonts w:ascii="Franklin Gothic Book" w:hAnsi="Franklin Gothic Book"/>
          <w:sz w:val="21"/>
        </w:rPr>
        <w:t xml:space="preserve">were the development of human resource planning, attracting a commercial bank to establish a branch in Nauru and improving the Government of Nauru’s financial reporting.  These </w:t>
      </w:r>
      <w:r w:rsidR="006D32BA">
        <w:rPr>
          <w:rFonts w:ascii="Franklin Gothic Book" w:hAnsi="Franklin Gothic Book"/>
          <w:sz w:val="21"/>
        </w:rPr>
        <w:t>were partially met</w:t>
      </w:r>
      <w:r w:rsidR="00D140E0">
        <w:rPr>
          <w:rFonts w:ascii="Franklin Gothic Book" w:hAnsi="Franklin Gothic Book"/>
          <w:sz w:val="21"/>
        </w:rPr>
        <w:t xml:space="preserve">.  Australian assistance (through the ADB) helped </w:t>
      </w:r>
      <w:r w:rsidR="00AC584C">
        <w:rPr>
          <w:rFonts w:ascii="Franklin Gothic Book" w:hAnsi="Franklin Gothic Book"/>
          <w:sz w:val="21"/>
        </w:rPr>
        <w:t>the Government of Nauru</w:t>
      </w:r>
      <w:r w:rsidR="00970493">
        <w:rPr>
          <w:rFonts w:ascii="Franklin Gothic Book" w:hAnsi="Franklin Gothic Book"/>
          <w:sz w:val="21"/>
        </w:rPr>
        <w:t xml:space="preserve"> </w:t>
      </w:r>
      <w:r w:rsidR="00D140E0">
        <w:rPr>
          <w:rFonts w:ascii="Franklin Gothic Book" w:hAnsi="Franklin Gothic Book"/>
          <w:sz w:val="21"/>
        </w:rPr>
        <w:t xml:space="preserve">undertake preparations </w:t>
      </w:r>
      <w:r w:rsidR="00B72A21">
        <w:rPr>
          <w:rFonts w:ascii="Franklin Gothic Book" w:hAnsi="Franklin Gothic Book"/>
          <w:sz w:val="21"/>
        </w:rPr>
        <w:t>for the establishment of an agency</w:t>
      </w:r>
      <w:r w:rsidR="00D140E0">
        <w:rPr>
          <w:rFonts w:ascii="Franklin Gothic Book" w:hAnsi="Franklin Gothic Book"/>
          <w:sz w:val="21"/>
        </w:rPr>
        <w:t xml:space="preserve"> of the Bendigo Bank.</w:t>
      </w:r>
      <w:r w:rsidR="00C56B7C">
        <w:rPr>
          <w:rFonts w:ascii="Franklin Gothic Book" w:hAnsi="Franklin Gothic Book"/>
          <w:sz w:val="21"/>
        </w:rPr>
        <w:t xml:space="preserve">  </w:t>
      </w:r>
      <w:r w:rsidR="00D140E0">
        <w:rPr>
          <w:rFonts w:ascii="Franklin Gothic Book" w:hAnsi="Franklin Gothic Book"/>
          <w:sz w:val="21"/>
        </w:rPr>
        <w:t xml:space="preserve">The government </w:t>
      </w:r>
      <w:r w:rsidR="00C56B7C">
        <w:rPr>
          <w:rFonts w:ascii="Franklin Gothic Book" w:hAnsi="Franklin Gothic Book"/>
          <w:sz w:val="21"/>
        </w:rPr>
        <w:t xml:space="preserve">commenced </w:t>
      </w:r>
      <w:r w:rsidR="00D140E0">
        <w:rPr>
          <w:rFonts w:ascii="Franklin Gothic Book" w:hAnsi="Franklin Gothic Book"/>
          <w:sz w:val="21"/>
        </w:rPr>
        <w:t>paying public servants directly into staff accounts at the bank.</w:t>
      </w:r>
    </w:p>
    <w:p w:rsidR="00D140E0" w:rsidRDefault="00B72A21" w:rsidP="0053089A">
      <w:pPr>
        <w:spacing w:after="200" w:line="276" w:lineRule="auto"/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>P</w:t>
      </w:r>
      <w:r w:rsidR="00D140E0">
        <w:rPr>
          <w:rFonts w:ascii="Franklin Gothic Book" w:hAnsi="Franklin Gothic Book"/>
          <w:sz w:val="21"/>
        </w:rPr>
        <w:t xml:space="preserve">ublic financial management and financial reporting </w:t>
      </w:r>
      <w:r w:rsidR="00C56B7C">
        <w:rPr>
          <w:rFonts w:ascii="Franklin Gothic Book" w:hAnsi="Franklin Gothic Book"/>
          <w:sz w:val="21"/>
        </w:rPr>
        <w:t>was</w:t>
      </w:r>
      <w:r>
        <w:rPr>
          <w:rFonts w:ascii="Franklin Gothic Book" w:hAnsi="Franklin Gothic Book"/>
          <w:sz w:val="21"/>
        </w:rPr>
        <w:t xml:space="preserve"> improved through</w:t>
      </w:r>
      <w:r w:rsidR="00D140E0">
        <w:rPr>
          <w:rFonts w:ascii="Franklin Gothic Book" w:hAnsi="Franklin Gothic Book"/>
          <w:sz w:val="21"/>
        </w:rPr>
        <w:t xml:space="preserve"> implementation of the Financial Management Information System (FMIS).  FMIS </w:t>
      </w:r>
      <w:r w:rsidR="00C56B7C">
        <w:rPr>
          <w:rFonts w:ascii="Franklin Gothic Book" w:hAnsi="Franklin Gothic Book"/>
          <w:sz w:val="21"/>
        </w:rPr>
        <w:t>w</w:t>
      </w:r>
      <w:r w:rsidR="00D140E0">
        <w:rPr>
          <w:rFonts w:ascii="Franklin Gothic Book" w:hAnsi="Franklin Gothic Book"/>
          <w:sz w:val="21"/>
        </w:rPr>
        <w:t xml:space="preserve">as rolled out from Ministry of Finance to line agencies, user manuals </w:t>
      </w:r>
      <w:r w:rsidR="00C56B7C">
        <w:rPr>
          <w:rFonts w:ascii="Franklin Gothic Book" w:hAnsi="Franklin Gothic Book"/>
          <w:sz w:val="21"/>
        </w:rPr>
        <w:t>were</w:t>
      </w:r>
      <w:r w:rsidR="00D140E0">
        <w:rPr>
          <w:rFonts w:ascii="Franklin Gothic Book" w:hAnsi="Franklin Gothic Book"/>
          <w:sz w:val="21"/>
        </w:rPr>
        <w:t xml:space="preserve"> prepared and relevant staff undert</w:t>
      </w:r>
      <w:r w:rsidR="00C56B7C">
        <w:rPr>
          <w:rFonts w:ascii="Franklin Gothic Book" w:hAnsi="Franklin Gothic Book"/>
          <w:sz w:val="21"/>
        </w:rPr>
        <w:t>ook</w:t>
      </w:r>
      <w:r w:rsidR="00D140E0">
        <w:rPr>
          <w:rFonts w:ascii="Franklin Gothic Book" w:hAnsi="Franklin Gothic Book"/>
          <w:sz w:val="21"/>
        </w:rPr>
        <w:t xml:space="preserve"> training.  Australia provided technical assistance and funded training to enable more modules to be implemented and functionality </w:t>
      </w:r>
      <w:r w:rsidR="00C56B7C">
        <w:rPr>
          <w:rFonts w:ascii="Franklin Gothic Book" w:hAnsi="Franklin Gothic Book"/>
          <w:sz w:val="21"/>
        </w:rPr>
        <w:t xml:space="preserve">of the system </w:t>
      </w:r>
      <w:r w:rsidR="00D140E0">
        <w:rPr>
          <w:rFonts w:ascii="Franklin Gothic Book" w:hAnsi="Franklin Gothic Book"/>
          <w:sz w:val="21"/>
        </w:rPr>
        <w:t>to be improved.</w:t>
      </w:r>
      <w:r w:rsidR="005922AB">
        <w:rPr>
          <w:rFonts w:ascii="Franklin Gothic Book" w:hAnsi="Franklin Gothic Book"/>
          <w:sz w:val="21"/>
        </w:rPr>
        <w:t xml:space="preserve">  </w:t>
      </w:r>
      <w:r w:rsidR="00C56B7C">
        <w:rPr>
          <w:rFonts w:ascii="Franklin Gothic Book" w:hAnsi="Franklin Gothic Book"/>
          <w:sz w:val="21"/>
        </w:rPr>
        <w:t>T</w:t>
      </w:r>
      <w:r w:rsidR="005922AB">
        <w:rPr>
          <w:rFonts w:ascii="Franklin Gothic Book" w:hAnsi="Franklin Gothic Book"/>
          <w:sz w:val="21"/>
        </w:rPr>
        <w:t>his enabled w</w:t>
      </w:r>
      <w:r w:rsidR="005922AB" w:rsidRPr="00884E90">
        <w:rPr>
          <w:rFonts w:ascii="Franklin Gothic Book" w:hAnsi="Franklin Gothic Book"/>
          <w:sz w:val="21"/>
        </w:rPr>
        <w:t xml:space="preserve">hole of </w:t>
      </w:r>
      <w:r w:rsidR="005922AB">
        <w:rPr>
          <w:rFonts w:ascii="Franklin Gothic Book" w:hAnsi="Franklin Gothic Book"/>
          <w:sz w:val="21"/>
        </w:rPr>
        <w:t>g</w:t>
      </w:r>
      <w:r w:rsidR="005922AB" w:rsidRPr="00884E90">
        <w:rPr>
          <w:rFonts w:ascii="Franklin Gothic Book" w:hAnsi="Franklin Gothic Book"/>
          <w:sz w:val="21"/>
        </w:rPr>
        <w:t xml:space="preserve">overnment financial statements </w:t>
      </w:r>
      <w:r w:rsidR="00940C5D">
        <w:rPr>
          <w:rFonts w:ascii="Franklin Gothic Book" w:hAnsi="Franklin Gothic Book"/>
          <w:sz w:val="21"/>
        </w:rPr>
        <w:t>to be</w:t>
      </w:r>
      <w:r w:rsidR="005922AB" w:rsidRPr="00884E90">
        <w:rPr>
          <w:rFonts w:ascii="Franklin Gothic Book" w:hAnsi="Franklin Gothic Book"/>
          <w:sz w:val="21"/>
        </w:rPr>
        <w:t xml:space="preserve"> produced for 2013-14 and ready for audit by the Auditor General</w:t>
      </w:r>
      <w:r w:rsidR="005922AB">
        <w:rPr>
          <w:rFonts w:ascii="Franklin Gothic Book" w:hAnsi="Franklin Gothic Book"/>
          <w:sz w:val="21"/>
        </w:rPr>
        <w:t>.</w:t>
      </w:r>
    </w:p>
    <w:p w:rsidR="00D140E0" w:rsidRPr="00C4114C" w:rsidRDefault="00543967" w:rsidP="0053089A">
      <w:pPr>
        <w:spacing w:after="200" w:line="276" w:lineRule="auto"/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 xml:space="preserve">With help from Australia, </w:t>
      </w:r>
      <w:r w:rsidR="00AC584C">
        <w:rPr>
          <w:rFonts w:ascii="Franklin Gothic Book" w:hAnsi="Franklin Gothic Book"/>
          <w:sz w:val="21"/>
        </w:rPr>
        <w:t>the Government of Nauru</w:t>
      </w:r>
      <w:r>
        <w:rPr>
          <w:rFonts w:ascii="Franklin Gothic Book" w:hAnsi="Franklin Gothic Book"/>
          <w:sz w:val="21"/>
        </w:rPr>
        <w:t xml:space="preserve"> had recruited and </w:t>
      </w:r>
      <w:r w:rsidR="00AC584C">
        <w:rPr>
          <w:rFonts w:ascii="Franklin Gothic Book" w:hAnsi="Franklin Gothic Book"/>
          <w:sz w:val="21"/>
        </w:rPr>
        <w:t xml:space="preserve">used </w:t>
      </w:r>
      <w:r>
        <w:rPr>
          <w:rFonts w:ascii="Franklin Gothic Book" w:hAnsi="Franklin Gothic Book"/>
          <w:sz w:val="21"/>
        </w:rPr>
        <w:t xml:space="preserve">an Independent Procurement Agent, </w:t>
      </w:r>
      <w:r w:rsidR="00C56B7C">
        <w:rPr>
          <w:rFonts w:ascii="Franklin Gothic Book" w:hAnsi="Franklin Gothic Book"/>
          <w:sz w:val="21"/>
        </w:rPr>
        <w:t xml:space="preserve">in line with </w:t>
      </w:r>
      <w:r>
        <w:rPr>
          <w:rFonts w:ascii="Franklin Gothic Book" w:hAnsi="Franklin Gothic Book"/>
          <w:sz w:val="21"/>
        </w:rPr>
        <w:t xml:space="preserve">the Procurement Act.  </w:t>
      </w:r>
      <w:r w:rsidR="00C56B7C">
        <w:rPr>
          <w:rFonts w:ascii="Franklin Gothic Book" w:hAnsi="Franklin Gothic Book"/>
          <w:sz w:val="21"/>
        </w:rPr>
        <w:t>However, subsequently</w:t>
      </w:r>
      <w:r>
        <w:rPr>
          <w:rFonts w:ascii="Franklin Gothic Book" w:hAnsi="Franklin Gothic Book"/>
          <w:sz w:val="21"/>
        </w:rPr>
        <w:t xml:space="preserve"> the </w:t>
      </w:r>
      <w:r w:rsidR="000D787C">
        <w:rPr>
          <w:rFonts w:ascii="Franklin Gothic Book" w:hAnsi="Franklin Gothic Book"/>
          <w:sz w:val="21"/>
        </w:rPr>
        <w:t xml:space="preserve">Independent Procurement Agent </w:t>
      </w:r>
      <w:r>
        <w:rPr>
          <w:rFonts w:ascii="Franklin Gothic Book" w:hAnsi="Franklin Gothic Book"/>
          <w:sz w:val="21"/>
        </w:rPr>
        <w:t xml:space="preserve">was terminated </w:t>
      </w:r>
      <w:r w:rsidR="00C56B7C">
        <w:rPr>
          <w:rFonts w:ascii="Franklin Gothic Book" w:hAnsi="Franklin Gothic Book"/>
          <w:sz w:val="21"/>
        </w:rPr>
        <w:t xml:space="preserve">for </w:t>
      </w:r>
      <w:r>
        <w:rPr>
          <w:rFonts w:ascii="Franklin Gothic Book" w:hAnsi="Franklin Gothic Book"/>
          <w:sz w:val="21"/>
        </w:rPr>
        <w:t>non-performance.</w:t>
      </w:r>
      <w:r w:rsidR="000930DF">
        <w:rPr>
          <w:rFonts w:ascii="Franklin Gothic Book" w:hAnsi="Franklin Gothic Book"/>
          <w:sz w:val="21"/>
        </w:rPr>
        <w:t xml:space="preserve">  Another </w:t>
      </w:r>
      <w:r w:rsidR="00C56B7C">
        <w:rPr>
          <w:rFonts w:ascii="Franklin Gothic Book" w:hAnsi="Franklin Gothic Book"/>
          <w:sz w:val="21"/>
        </w:rPr>
        <w:t xml:space="preserve">agent </w:t>
      </w:r>
      <w:r w:rsidR="000930DF">
        <w:rPr>
          <w:rFonts w:ascii="Franklin Gothic Book" w:hAnsi="Franklin Gothic Book"/>
          <w:sz w:val="21"/>
        </w:rPr>
        <w:t>will be engaged through international tender with technical support from Australia.</w:t>
      </w:r>
    </w:p>
    <w:p w:rsidR="004D6E21" w:rsidRPr="00C4114C" w:rsidRDefault="004D6E21" w:rsidP="00C62410">
      <w:pPr>
        <w:pStyle w:val="Heading1"/>
        <w:spacing w:before="280"/>
      </w:pPr>
      <w:r w:rsidRPr="00C4114C">
        <w:t>Program Quality</w:t>
      </w:r>
      <w:r w:rsidR="0092385B" w:rsidRPr="00C4114C">
        <w:t xml:space="preserve"> and </w:t>
      </w:r>
      <w:r w:rsidR="00101579">
        <w:t xml:space="preserve">Partner Performance </w:t>
      </w:r>
    </w:p>
    <w:p w:rsidR="00E4385A" w:rsidRDefault="00DC27F0" w:rsidP="0053089A">
      <w:pPr>
        <w:spacing w:after="200" w:line="276" w:lineRule="auto"/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 xml:space="preserve">The </w:t>
      </w:r>
      <w:r w:rsidRPr="00DC27F0">
        <w:rPr>
          <w:rFonts w:ascii="Franklin Gothic Book" w:hAnsi="Franklin Gothic Book"/>
          <w:i/>
          <w:sz w:val="21"/>
        </w:rPr>
        <w:t>Aid Quality Check</w:t>
      </w:r>
      <w:r>
        <w:rPr>
          <w:rFonts w:ascii="Franklin Gothic Book" w:hAnsi="Franklin Gothic Book"/>
          <w:sz w:val="21"/>
        </w:rPr>
        <w:t xml:space="preserve"> ratings for 2014-15 </w:t>
      </w:r>
      <w:r w:rsidR="00C56B7C">
        <w:rPr>
          <w:rFonts w:ascii="Franklin Gothic Book" w:hAnsi="Franklin Gothic Book"/>
          <w:sz w:val="21"/>
        </w:rPr>
        <w:t>were</w:t>
      </w:r>
      <w:r>
        <w:rPr>
          <w:rFonts w:ascii="Franklin Gothic Book" w:hAnsi="Franklin Gothic Book"/>
          <w:sz w:val="21"/>
        </w:rPr>
        <w:t xml:space="preserve"> generally consistent with the </w:t>
      </w:r>
      <w:r w:rsidRPr="00DC27F0">
        <w:rPr>
          <w:rFonts w:ascii="Franklin Gothic Book" w:hAnsi="Franklin Gothic Book"/>
          <w:i/>
          <w:sz w:val="21"/>
        </w:rPr>
        <w:t xml:space="preserve">Quality at Implementation </w:t>
      </w:r>
      <w:r>
        <w:rPr>
          <w:rFonts w:ascii="Franklin Gothic Book" w:hAnsi="Franklin Gothic Book"/>
          <w:sz w:val="21"/>
        </w:rPr>
        <w:t xml:space="preserve">reports for 2013-14.  While the relevance of the program </w:t>
      </w:r>
      <w:r w:rsidR="00C56B7C">
        <w:rPr>
          <w:rFonts w:ascii="Franklin Gothic Book" w:hAnsi="Franklin Gothic Book"/>
          <w:sz w:val="21"/>
        </w:rPr>
        <w:t xml:space="preserve">was </w:t>
      </w:r>
      <w:r w:rsidR="004F2DF7">
        <w:rPr>
          <w:rFonts w:ascii="Franklin Gothic Book" w:hAnsi="Franklin Gothic Book"/>
          <w:sz w:val="21"/>
        </w:rPr>
        <w:t>adequate to good,</w:t>
      </w:r>
      <w:r w:rsidR="00AC584C">
        <w:rPr>
          <w:rFonts w:ascii="Franklin Gothic Book" w:hAnsi="Franklin Gothic Book"/>
          <w:sz w:val="21"/>
        </w:rPr>
        <w:t xml:space="preserve"> the program’s</w:t>
      </w:r>
      <w:r w:rsidR="004F2DF7">
        <w:rPr>
          <w:rFonts w:ascii="Franklin Gothic Book" w:hAnsi="Franklin Gothic Book"/>
          <w:sz w:val="21"/>
        </w:rPr>
        <w:t xml:space="preserve"> effectiveness and efficiency </w:t>
      </w:r>
      <w:r w:rsidR="007E6339">
        <w:rPr>
          <w:rFonts w:ascii="Franklin Gothic Book" w:hAnsi="Franklin Gothic Book"/>
          <w:sz w:val="21"/>
        </w:rPr>
        <w:t xml:space="preserve">was </w:t>
      </w:r>
      <w:r w:rsidR="00FA54FD">
        <w:rPr>
          <w:rFonts w:ascii="Franklin Gothic Book" w:hAnsi="Franklin Gothic Book"/>
          <w:sz w:val="21"/>
        </w:rPr>
        <w:t>rated</w:t>
      </w:r>
      <w:r w:rsidR="004F2DF7">
        <w:rPr>
          <w:rFonts w:ascii="Franklin Gothic Book" w:hAnsi="Franklin Gothic Book"/>
          <w:sz w:val="21"/>
        </w:rPr>
        <w:t xml:space="preserve"> </w:t>
      </w:r>
      <w:r w:rsidR="007E6339">
        <w:rPr>
          <w:rFonts w:ascii="Franklin Gothic Book" w:hAnsi="Franklin Gothic Book"/>
          <w:sz w:val="21"/>
        </w:rPr>
        <w:t xml:space="preserve">as in </w:t>
      </w:r>
      <w:r w:rsidR="004F2DF7">
        <w:rPr>
          <w:rFonts w:ascii="Franklin Gothic Book" w:hAnsi="Franklin Gothic Book"/>
          <w:sz w:val="21"/>
        </w:rPr>
        <w:t xml:space="preserve">need </w:t>
      </w:r>
      <w:r w:rsidR="007E6339">
        <w:rPr>
          <w:rFonts w:ascii="Franklin Gothic Book" w:hAnsi="Franklin Gothic Book"/>
          <w:sz w:val="21"/>
        </w:rPr>
        <w:t xml:space="preserve">of </w:t>
      </w:r>
      <w:r w:rsidR="004F2DF7">
        <w:rPr>
          <w:rFonts w:ascii="Franklin Gothic Book" w:hAnsi="Franklin Gothic Book"/>
          <w:sz w:val="21"/>
        </w:rPr>
        <w:t>improvement</w:t>
      </w:r>
      <w:r w:rsidR="008E7C9C">
        <w:rPr>
          <w:rFonts w:ascii="Franklin Gothic Book" w:hAnsi="Franklin Gothic Book"/>
          <w:sz w:val="21"/>
        </w:rPr>
        <w:t>,</w:t>
      </w:r>
      <w:r w:rsidR="00C65A08">
        <w:rPr>
          <w:rFonts w:ascii="Franklin Gothic Book" w:hAnsi="Franklin Gothic Book"/>
          <w:sz w:val="21"/>
        </w:rPr>
        <w:t xml:space="preserve"> primarily </w:t>
      </w:r>
      <w:r w:rsidR="00C27A15">
        <w:rPr>
          <w:rFonts w:ascii="Franklin Gothic Book" w:hAnsi="Franklin Gothic Book"/>
          <w:sz w:val="21"/>
        </w:rPr>
        <w:t>due to</w:t>
      </w:r>
      <w:r w:rsidR="00C27A15" w:rsidRPr="00766B7F">
        <w:rPr>
          <w:rFonts w:ascii="Franklin Gothic Book" w:hAnsi="Franklin Gothic Book"/>
          <w:sz w:val="21"/>
        </w:rPr>
        <w:t xml:space="preserve"> the loss of key </w:t>
      </w:r>
      <w:r w:rsidR="00766B7F" w:rsidRPr="00766B7F">
        <w:rPr>
          <w:rFonts w:ascii="Franklin Gothic Book" w:hAnsi="Franklin Gothic Book"/>
          <w:sz w:val="21"/>
        </w:rPr>
        <w:t>advis</w:t>
      </w:r>
      <w:r w:rsidR="00766B7F">
        <w:rPr>
          <w:rFonts w:ascii="Franklin Gothic Book" w:hAnsi="Franklin Gothic Book"/>
          <w:sz w:val="21"/>
        </w:rPr>
        <w:t>e</w:t>
      </w:r>
      <w:r w:rsidR="00766B7F" w:rsidRPr="00766B7F">
        <w:rPr>
          <w:rFonts w:ascii="Franklin Gothic Book" w:hAnsi="Franklin Gothic Book"/>
          <w:sz w:val="21"/>
        </w:rPr>
        <w:t xml:space="preserve">rs </w:t>
      </w:r>
      <w:r w:rsidR="00C27A15" w:rsidRPr="00766B7F">
        <w:rPr>
          <w:rFonts w:ascii="Franklin Gothic Book" w:hAnsi="Franklin Gothic Book"/>
          <w:sz w:val="21"/>
        </w:rPr>
        <w:t xml:space="preserve">and </w:t>
      </w:r>
      <w:r w:rsidR="00C56B7C">
        <w:rPr>
          <w:rFonts w:ascii="Franklin Gothic Book" w:hAnsi="Franklin Gothic Book"/>
          <w:sz w:val="21"/>
        </w:rPr>
        <w:t>management of the</w:t>
      </w:r>
      <w:r w:rsidR="00AC584C">
        <w:rPr>
          <w:rFonts w:ascii="Franklin Gothic Book" w:hAnsi="Franklin Gothic Book"/>
          <w:sz w:val="21"/>
        </w:rPr>
        <w:t xml:space="preserve"> Government of Nauru’s</w:t>
      </w:r>
      <w:r w:rsidR="00C56B7C">
        <w:rPr>
          <w:rFonts w:ascii="Franklin Gothic Book" w:hAnsi="Franklin Gothic Book"/>
          <w:sz w:val="21"/>
        </w:rPr>
        <w:t xml:space="preserve"> </w:t>
      </w:r>
      <w:r w:rsidR="00C65A08">
        <w:rPr>
          <w:rFonts w:ascii="Franklin Gothic Book" w:hAnsi="Franklin Gothic Book"/>
          <w:sz w:val="21"/>
        </w:rPr>
        <w:t>Operational Account</w:t>
      </w:r>
      <w:r w:rsidR="004F2DF7">
        <w:rPr>
          <w:rFonts w:ascii="Franklin Gothic Book" w:hAnsi="Franklin Gothic Book"/>
          <w:sz w:val="21"/>
        </w:rPr>
        <w:t>.  Sustainability and gender equality</w:t>
      </w:r>
      <w:r w:rsidR="00C56B7C">
        <w:rPr>
          <w:rFonts w:ascii="Franklin Gothic Book" w:hAnsi="Franklin Gothic Book"/>
          <w:sz w:val="21"/>
        </w:rPr>
        <w:t xml:space="preserve"> </w:t>
      </w:r>
      <w:r w:rsidR="00AC584C">
        <w:rPr>
          <w:rFonts w:ascii="Franklin Gothic Book" w:hAnsi="Franklin Gothic Book"/>
          <w:sz w:val="21"/>
        </w:rPr>
        <w:t xml:space="preserve">elements of programs </w:t>
      </w:r>
      <w:r w:rsidR="00C56B7C">
        <w:rPr>
          <w:rFonts w:ascii="Franklin Gothic Book" w:hAnsi="Franklin Gothic Book"/>
          <w:sz w:val="21"/>
        </w:rPr>
        <w:t xml:space="preserve">were rated </w:t>
      </w:r>
      <w:r w:rsidR="004F2DF7">
        <w:rPr>
          <w:rFonts w:ascii="Franklin Gothic Book" w:hAnsi="Franklin Gothic Book"/>
          <w:sz w:val="21"/>
        </w:rPr>
        <w:t xml:space="preserve">adequate.  Monitoring and evaluation can </w:t>
      </w:r>
      <w:r w:rsidR="00B72A21">
        <w:rPr>
          <w:rFonts w:ascii="Franklin Gothic Book" w:hAnsi="Franklin Gothic Book"/>
          <w:sz w:val="21"/>
        </w:rPr>
        <w:t>be</w:t>
      </w:r>
      <w:r w:rsidR="004F2DF7">
        <w:rPr>
          <w:rFonts w:ascii="Franklin Gothic Book" w:hAnsi="Franklin Gothic Book"/>
          <w:sz w:val="21"/>
        </w:rPr>
        <w:t xml:space="preserve"> improve</w:t>
      </w:r>
      <w:r w:rsidR="00B72A21">
        <w:rPr>
          <w:rFonts w:ascii="Franklin Gothic Book" w:hAnsi="Franklin Gothic Book"/>
          <w:sz w:val="21"/>
        </w:rPr>
        <w:t>d</w:t>
      </w:r>
      <w:r w:rsidR="004F2DF7">
        <w:rPr>
          <w:rFonts w:ascii="Franklin Gothic Book" w:hAnsi="Franklin Gothic Book"/>
          <w:sz w:val="21"/>
        </w:rPr>
        <w:t>.</w:t>
      </w:r>
    </w:p>
    <w:p w:rsidR="004F2DF7" w:rsidRDefault="004F2DF7" w:rsidP="0053089A">
      <w:pPr>
        <w:spacing w:after="200" w:line="276" w:lineRule="auto"/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 xml:space="preserve">The Government of Nauru </w:t>
      </w:r>
      <w:r w:rsidR="00C56B7C">
        <w:rPr>
          <w:rFonts w:ascii="Franklin Gothic Book" w:hAnsi="Franklin Gothic Book"/>
          <w:sz w:val="21"/>
        </w:rPr>
        <w:t>was</w:t>
      </w:r>
      <w:r>
        <w:rPr>
          <w:rFonts w:ascii="Franklin Gothic Book" w:hAnsi="Franklin Gothic Book"/>
          <w:sz w:val="21"/>
        </w:rPr>
        <w:t xml:space="preserve"> the key delivery partner for most of Australia’s development cooperation program.  The PACTAM mechanism, </w:t>
      </w:r>
      <w:r w:rsidR="00C56B7C">
        <w:rPr>
          <w:rFonts w:ascii="Franklin Gothic Book" w:hAnsi="Franklin Gothic Book"/>
          <w:sz w:val="21"/>
        </w:rPr>
        <w:t xml:space="preserve">provided </w:t>
      </w:r>
      <w:r w:rsidR="00B72A21">
        <w:rPr>
          <w:rFonts w:ascii="Franklin Gothic Book" w:hAnsi="Franklin Gothic Book"/>
          <w:sz w:val="21"/>
        </w:rPr>
        <w:t xml:space="preserve">10 </w:t>
      </w:r>
      <w:r>
        <w:rPr>
          <w:rFonts w:ascii="Franklin Gothic Book" w:hAnsi="Franklin Gothic Book"/>
          <w:sz w:val="21"/>
        </w:rPr>
        <w:t>advisers into in-line or sectoral advisory positions in the government</w:t>
      </w:r>
      <w:r w:rsidR="008E33E2">
        <w:rPr>
          <w:rFonts w:ascii="Franklin Gothic Book" w:hAnsi="Franklin Gothic Book"/>
          <w:sz w:val="21"/>
        </w:rPr>
        <w:t>, mak</w:t>
      </w:r>
      <w:r w:rsidR="00C56B7C">
        <w:rPr>
          <w:rFonts w:ascii="Franklin Gothic Book" w:hAnsi="Franklin Gothic Book"/>
          <w:sz w:val="21"/>
        </w:rPr>
        <w:t>ing</w:t>
      </w:r>
      <w:r w:rsidR="008E33E2">
        <w:rPr>
          <w:rFonts w:ascii="Franklin Gothic Book" w:hAnsi="Franklin Gothic Book"/>
          <w:sz w:val="21"/>
        </w:rPr>
        <w:t xml:space="preserve"> up about </w:t>
      </w:r>
      <w:r w:rsidR="00B72A21">
        <w:rPr>
          <w:rFonts w:ascii="Franklin Gothic Book" w:hAnsi="Franklin Gothic Book"/>
          <w:sz w:val="21"/>
        </w:rPr>
        <w:t xml:space="preserve">10 </w:t>
      </w:r>
      <w:r w:rsidR="008E33E2">
        <w:rPr>
          <w:rFonts w:ascii="Franklin Gothic Book" w:hAnsi="Franklin Gothic Book"/>
          <w:sz w:val="21"/>
        </w:rPr>
        <w:t xml:space="preserve">per cent of the </w:t>
      </w:r>
      <w:r w:rsidR="008E33E2" w:rsidRPr="00BA0274">
        <w:rPr>
          <w:rFonts w:ascii="Franklin Gothic Book" w:hAnsi="Franklin Gothic Book"/>
          <w:sz w:val="21"/>
        </w:rPr>
        <w:t>program</w:t>
      </w:r>
      <w:r w:rsidR="008E33E2">
        <w:rPr>
          <w:rFonts w:ascii="Franklin Gothic Book" w:hAnsi="Franklin Gothic Book"/>
          <w:sz w:val="21"/>
        </w:rPr>
        <w:t xml:space="preserve">.  </w:t>
      </w:r>
      <w:r w:rsidR="00183003">
        <w:rPr>
          <w:rFonts w:ascii="Franklin Gothic Book" w:hAnsi="Franklin Gothic Book"/>
          <w:sz w:val="21"/>
        </w:rPr>
        <w:t xml:space="preserve">The </w:t>
      </w:r>
      <w:r w:rsidR="00AC584C">
        <w:rPr>
          <w:rFonts w:ascii="Franklin Gothic Book" w:hAnsi="Franklin Gothic Book"/>
          <w:sz w:val="21"/>
        </w:rPr>
        <w:t>Government of Nauru</w:t>
      </w:r>
      <w:r w:rsidR="00183003">
        <w:rPr>
          <w:rFonts w:ascii="Franklin Gothic Book" w:hAnsi="Franklin Gothic Book"/>
          <w:sz w:val="21"/>
        </w:rPr>
        <w:t xml:space="preserve"> Ministry of Finance generally implemented key activities as planned and made good use of PACTAM Advisers.  H</w:t>
      </w:r>
      <w:r w:rsidR="00C56B7C">
        <w:rPr>
          <w:rFonts w:ascii="Franklin Gothic Book" w:hAnsi="Franklin Gothic Book"/>
          <w:sz w:val="21"/>
        </w:rPr>
        <w:t>ealth and Education sectors</w:t>
      </w:r>
      <w:r w:rsidR="00183003">
        <w:rPr>
          <w:rFonts w:ascii="Franklin Gothic Book" w:hAnsi="Franklin Gothic Book"/>
          <w:sz w:val="21"/>
        </w:rPr>
        <w:t xml:space="preserve"> made reasonable progress but utilisation of the operational account (budget support) </w:t>
      </w:r>
      <w:r w:rsidR="00C56B7C">
        <w:rPr>
          <w:rFonts w:ascii="Franklin Gothic Book" w:hAnsi="Franklin Gothic Book"/>
          <w:sz w:val="21"/>
        </w:rPr>
        <w:t>was</w:t>
      </w:r>
      <w:r w:rsidR="00183003">
        <w:rPr>
          <w:rFonts w:ascii="Franklin Gothic Book" w:hAnsi="Franklin Gothic Book"/>
          <w:sz w:val="21"/>
        </w:rPr>
        <w:t xml:space="preserve"> problematic. </w:t>
      </w:r>
    </w:p>
    <w:p w:rsidR="00B1041E" w:rsidRPr="008E7C9C" w:rsidRDefault="00B1041E" w:rsidP="0053089A">
      <w:pPr>
        <w:spacing w:after="200" w:line="276" w:lineRule="auto"/>
        <w:rPr>
          <w:rFonts w:ascii="Franklin Gothic Book" w:hAnsi="Franklin Gothic Book"/>
          <w:sz w:val="21"/>
          <w:szCs w:val="21"/>
        </w:rPr>
      </w:pPr>
      <w:r w:rsidRPr="008E7C9C">
        <w:rPr>
          <w:rFonts w:ascii="Franklin Gothic Book" w:hAnsi="Franklin Gothic Book"/>
          <w:sz w:val="21"/>
          <w:szCs w:val="21"/>
        </w:rPr>
        <w:t xml:space="preserve">DFAT </w:t>
      </w:r>
      <w:r w:rsidR="00BA0274" w:rsidRPr="008E7C9C">
        <w:rPr>
          <w:rFonts w:ascii="Franklin Gothic Book" w:hAnsi="Franklin Gothic Book"/>
          <w:sz w:val="21"/>
          <w:szCs w:val="21"/>
        </w:rPr>
        <w:t>continue</w:t>
      </w:r>
      <w:r w:rsidR="00C56B7C">
        <w:rPr>
          <w:rFonts w:ascii="Franklin Gothic Book" w:hAnsi="Franklin Gothic Book"/>
          <w:sz w:val="21"/>
          <w:szCs w:val="21"/>
        </w:rPr>
        <w:t>d</w:t>
      </w:r>
      <w:r w:rsidR="00BA0274" w:rsidRPr="008E7C9C">
        <w:rPr>
          <w:rFonts w:ascii="Franklin Gothic Book" w:hAnsi="Franklin Gothic Book"/>
          <w:sz w:val="21"/>
          <w:szCs w:val="21"/>
        </w:rPr>
        <w:t xml:space="preserve"> to </w:t>
      </w:r>
      <w:r w:rsidRPr="008E7C9C">
        <w:rPr>
          <w:rFonts w:ascii="Franklin Gothic Book" w:hAnsi="Franklin Gothic Book"/>
          <w:sz w:val="21"/>
          <w:szCs w:val="21"/>
        </w:rPr>
        <w:t xml:space="preserve">undertake regular audit reviews of transactions made through the Operational Account. Successive audits since 2009 </w:t>
      </w:r>
      <w:r w:rsidR="00B72A21">
        <w:rPr>
          <w:rFonts w:ascii="Franklin Gothic Book" w:hAnsi="Franklin Gothic Book"/>
          <w:sz w:val="21"/>
          <w:szCs w:val="21"/>
        </w:rPr>
        <w:t xml:space="preserve">and two investigations into potential fraud identified instances of </w:t>
      </w:r>
      <w:r w:rsidR="00C56B7C">
        <w:rPr>
          <w:rFonts w:ascii="Franklin Gothic Book" w:hAnsi="Franklin Gothic Book"/>
          <w:sz w:val="21"/>
          <w:szCs w:val="21"/>
        </w:rPr>
        <w:t xml:space="preserve">weak administration </w:t>
      </w:r>
      <w:r w:rsidR="00B72A21">
        <w:rPr>
          <w:rFonts w:ascii="Franklin Gothic Book" w:hAnsi="Franklin Gothic Book"/>
          <w:sz w:val="21"/>
          <w:szCs w:val="21"/>
        </w:rPr>
        <w:t>but no misappropriation.</w:t>
      </w:r>
    </w:p>
    <w:p w:rsidR="00B1041E" w:rsidRPr="00BA0274" w:rsidRDefault="00B1041E" w:rsidP="0053089A">
      <w:pPr>
        <w:spacing w:after="200" w:line="276" w:lineRule="auto"/>
        <w:rPr>
          <w:rFonts w:ascii="Franklin Gothic Book" w:hAnsi="Franklin Gothic Book"/>
          <w:color w:val="FF0000"/>
          <w:sz w:val="21"/>
          <w:szCs w:val="21"/>
        </w:rPr>
      </w:pPr>
      <w:r w:rsidRPr="008E7C9C">
        <w:rPr>
          <w:rFonts w:ascii="Franklin Gothic Book" w:hAnsi="Franklin Gothic Book"/>
          <w:sz w:val="21"/>
          <w:szCs w:val="21"/>
        </w:rPr>
        <w:t xml:space="preserve">In 2014-15, </w:t>
      </w:r>
      <w:r w:rsidR="00AC584C">
        <w:rPr>
          <w:rFonts w:ascii="Franklin Gothic Book" w:hAnsi="Franklin Gothic Book"/>
          <w:sz w:val="21"/>
          <w:szCs w:val="21"/>
        </w:rPr>
        <w:t xml:space="preserve">DFAT undertook </w:t>
      </w:r>
      <w:r w:rsidR="00BA0274">
        <w:rPr>
          <w:rFonts w:ascii="Franklin Gothic Book" w:hAnsi="Franklin Gothic Book"/>
          <w:sz w:val="21"/>
          <w:szCs w:val="21"/>
        </w:rPr>
        <w:t xml:space="preserve">two </w:t>
      </w:r>
      <w:r w:rsidRPr="008E7C9C">
        <w:rPr>
          <w:rFonts w:ascii="Franklin Gothic Book" w:hAnsi="Franklin Gothic Book"/>
          <w:sz w:val="21"/>
          <w:szCs w:val="21"/>
        </w:rPr>
        <w:t>audit</w:t>
      </w:r>
      <w:r w:rsidR="00BA0274">
        <w:rPr>
          <w:rFonts w:ascii="Franklin Gothic Book" w:hAnsi="Franklin Gothic Book"/>
          <w:sz w:val="21"/>
          <w:szCs w:val="21"/>
        </w:rPr>
        <w:t>s</w:t>
      </w:r>
      <w:r w:rsidR="00C56B7C">
        <w:rPr>
          <w:rFonts w:ascii="Franklin Gothic Book" w:hAnsi="Franklin Gothic Book"/>
          <w:sz w:val="21"/>
          <w:szCs w:val="21"/>
        </w:rPr>
        <w:t>.  They found</w:t>
      </w:r>
      <w:r w:rsidRPr="008E7C9C">
        <w:rPr>
          <w:rFonts w:ascii="Franklin Gothic Book" w:hAnsi="Franklin Gothic Book"/>
          <w:sz w:val="21"/>
          <w:szCs w:val="21"/>
        </w:rPr>
        <w:t xml:space="preserve"> a range of administrative and technical accounting anomalies, pointing to capacity constraints in the Ministry of Finance over this period.</w:t>
      </w:r>
      <w:r w:rsidR="008D7D2E">
        <w:rPr>
          <w:rFonts w:ascii="Franklin Gothic Book" w:hAnsi="Franklin Gothic Book"/>
          <w:sz w:val="21"/>
          <w:szCs w:val="21"/>
        </w:rPr>
        <w:t xml:space="preserve"> </w:t>
      </w:r>
      <w:r w:rsidRPr="008E7C9C">
        <w:rPr>
          <w:rFonts w:ascii="Franklin Gothic Book" w:hAnsi="Franklin Gothic Book"/>
          <w:sz w:val="21"/>
          <w:szCs w:val="21"/>
        </w:rPr>
        <w:t xml:space="preserve"> Placement of</w:t>
      </w:r>
      <w:r w:rsidR="00BA0274" w:rsidRPr="008E7C9C">
        <w:rPr>
          <w:rFonts w:ascii="Franklin Gothic Book" w:hAnsi="Franklin Gothic Book"/>
          <w:sz w:val="21"/>
          <w:szCs w:val="21"/>
        </w:rPr>
        <w:t xml:space="preserve"> the </w:t>
      </w:r>
      <w:r w:rsidRPr="008E7C9C">
        <w:rPr>
          <w:rFonts w:ascii="Franklin Gothic Book" w:hAnsi="Franklin Gothic Book"/>
          <w:sz w:val="21"/>
          <w:szCs w:val="21"/>
        </w:rPr>
        <w:t xml:space="preserve">three PACTAM advisors in Deputy Secretary roles within the </w:t>
      </w:r>
      <w:r w:rsidR="00AC584C">
        <w:rPr>
          <w:rFonts w:ascii="Franklin Gothic Book" w:hAnsi="Franklin Gothic Book"/>
          <w:sz w:val="21"/>
          <w:szCs w:val="21"/>
        </w:rPr>
        <w:t>M</w:t>
      </w:r>
      <w:r w:rsidR="008D7D2E">
        <w:rPr>
          <w:rFonts w:ascii="Franklin Gothic Book" w:hAnsi="Franklin Gothic Book"/>
          <w:sz w:val="21"/>
          <w:szCs w:val="21"/>
        </w:rPr>
        <w:t>inistry</w:t>
      </w:r>
      <w:r w:rsidR="008D7D2E" w:rsidRPr="008E7C9C">
        <w:rPr>
          <w:rFonts w:ascii="Franklin Gothic Book" w:hAnsi="Franklin Gothic Book"/>
          <w:sz w:val="21"/>
          <w:szCs w:val="21"/>
        </w:rPr>
        <w:t xml:space="preserve"> </w:t>
      </w:r>
      <w:r w:rsidRPr="008E7C9C">
        <w:rPr>
          <w:rFonts w:ascii="Franklin Gothic Book" w:hAnsi="Franklin Gothic Book"/>
          <w:sz w:val="21"/>
          <w:szCs w:val="21"/>
        </w:rPr>
        <w:t>help</w:t>
      </w:r>
      <w:r w:rsidR="00BA2261">
        <w:rPr>
          <w:rFonts w:ascii="Franklin Gothic Book" w:hAnsi="Franklin Gothic Book"/>
          <w:sz w:val="21"/>
          <w:szCs w:val="21"/>
        </w:rPr>
        <w:t>ed</w:t>
      </w:r>
      <w:r w:rsidRPr="008E7C9C">
        <w:rPr>
          <w:rFonts w:ascii="Franklin Gothic Book" w:hAnsi="Franklin Gothic Book"/>
          <w:sz w:val="21"/>
          <w:szCs w:val="21"/>
        </w:rPr>
        <w:t xml:space="preserve"> address these issues and improve the capacity of the </w:t>
      </w:r>
      <w:r w:rsidR="00AC584C">
        <w:rPr>
          <w:rFonts w:ascii="Franklin Gothic Book" w:hAnsi="Franklin Gothic Book"/>
          <w:sz w:val="21"/>
          <w:szCs w:val="21"/>
        </w:rPr>
        <w:t>M</w:t>
      </w:r>
      <w:r w:rsidR="008D7D2E">
        <w:rPr>
          <w:rFonts w:ascii="Franklin Gothic Book" w:hAnsi="Franklin Gothic Book"/>
          <w:sz w:val="21"/>
          <w:szCs w:val="21"/>
        </w:rPr>
        <w:t>inistry</w:t>
      </w:r>
      <w:r w:rsidRPr="008E7C9C">
        <w:rPr>
          <w:rFonts w:ascii="Franklin Gothic Book" w:hAnsi="Franklin Gothic Book"/>
          <w:sz w:val="21"/>
          <w:szCs w:val="21"/>
        </w:rPr>
        <w:t>.</w:t>
      </w:r>
    </w:p>
    <w:p w:rsidR="0092385B" w:rsidRPr="00C4114C" w:rsidRDefault="004D6E21" w:rsidP="00C62410">
      <w:pPr>
        <w:pStyle w:val="Heading1"/>
        <w:spacing w:before="280"/>
      </w:pPr>
      <w:r w:rsidRPr="00C4114C">
        <w:t>Management Responses</w:t>
      </w:r>
    </w:p>
    <w:p w:rsidR="004F2DF7" w:rsidRPr="009A34F7" w:rsidRDefault="00AC584C" w:rsidP="003D5824">
      <w:pPr>
        <w:pStyle w:val="ListBullet"/>
        <w:tabs>
          <w:tab w:val="clear" w:pos="284"/>
        </w:tabs>
        <w:rPr>
          <w:szCs w:val="21"/>
        </w:rPr>
      </w:pPr>
      <w:r>
        <w:rPr>
          <w:szCs w:val="21"/>
        </w:rPr>
        <w:t>An</w:t>
      </w:r>
      <w:r w:rsidR="004F2DF7" w:rsidRPr="009A34F7">
        <w:rPr>
          <w:szCs w:val="21"/>
        </w:rPr>
        <w:t xml:space="preserve"> </w:t>
      </w:r>
      <w:r w:rsidR="004F2DF7" w:rsidRPr="009A34F7">
        <w:rPr>
          <w:i/>
          <w:szCs w:val="21"/>
        </w:rPr>
        <w:t>Aid Quality Check</w:t>
      </w:r>
      <w:r w:rsidR="004F2DF7" w:rsidRPr="009A34F7">
        <w:rPr>
          <w:szCs w:val="21"/>
        </w:rPr>
        <w:t xml:space="preserve"> for 2014-15 </w:t>
      </w:r>
      <w:r w:rsidR="00BA2261">
        <w:rPr>
          <w:szCs w:val="21"/>
        </w:rPr>
        <w:t>found</w:t>
      </w:r>
      <w:r w:rsidR="004F2DF7" w:rsidRPr="009A34F7">
        <w:rPr>
          <w:szCs w:val="21"/>
        </w:rPr>
        <w:t xml:space="preserve"> most of the management responses from the previous year have been satisfactor</w:t>
      </w:r>
      <w:r w:rsidR="000930DF" w:rsidRPr="009A34F7">
        <w:rPr>
          <w:szCs w:val="21"/>
        </w:rPr>
        <w:t>il</w:t>
      </w:r>
      <w:r w:rsidR="004F2DF7" w:rsidRPr="009A34F7">
        <w:rPr>
          <w:szCs w:val="21"/>
        </w:rPr>
        <w:t xml:space="preserve">y implemented, including recruitment of </w:t>
      </w:r>
      <w:r w:rsidR="005922AB">
        <w:rPr>
          <w:szCs w:val="21"/>
        </w:rPr>
        <w:t xml:space="preserve">a </w:t>
      </w:r>
      <w:r w:rsidR="004F2DF7" w:rsidRPr="009A34F7">
        <w:rPr>
          <w:szCs w:val="21"/>
        </w:rPr>
        <w:t>hospital operations advis</w:t>
      </w:r>
      <w:r w:rsidR="00662708">
        <w:rPr>
          <w:szCs w:val="21"/>
        </w:rPr>
        <w:t>e</w:t>
      </w:r>
      <w:r w:rsidR="004F2DF7" w:rsidRPr="009A34F7">
        <w:rPr>
          <w:szCs w:val="21"/>
        </w:rPr>
        <w:t xml:space="preserve">r, introduction of an independent procurement agent, and consolidation of </w:t>
      </w:r>
      <w:r w:rsidR="004F2DF7" w:rsidRPr="009A34F7">
        <w:rPr>
          <w:szCs w:val="21"/>
        </w:rPr>
        <w:lastRenderedPageBreak/>
        <w:t>the program’s focus with support for operations of power and water infrastructure being redirected to support for nation building infrastructure such as the hospital redevelopment.</w:t>
      </w:r>
    </w:p>
    <w:p w:rsidR="00AC584C" w:rsidRDefault="00BA2261" w:rsidP="003D5824">
      <w:pPr>
        <w:pStyle w:val="ListBullet"/>
        <w:tabs>
          <w:tab w:val="clear" w:pos="284"/>
        </w:tabs>
      </w:pPr>
      <w:r>
        <w:t>In response to the 2014-15 APPR</w:t>
      </w:r>
      <w:r w:rsidR="00AC584C">
        <w:t>,</w:t>
      </w:r>
      <w:r>
        <w:t xml:space="preserve"> the following management actions will be undertaken.  </w:t>
      </w:r>
    </w:p>
    <w:p w:rsidR="004B0EEE" w:rsidRPr="008E7C9C" w:rsidRDefault="007E6339" w:rsidP="00AC584C">
      <w:pPr>
        <w:pStyle w:val="ListBullet"/>
        <w:numPr>
          <w:ilvl w:val="0"/>
          <w:numId w:val="19"/>
        </w:numPr>
        <w:tabs>
          <w:tab w:val="clear" w:pos="284"/>
        </w:tabs>
      </w:pPr>
      <w:r w:rsidRPr="008E7C9C">
        <w:t xml:space="preserve">To reduce the risks </w:t>
      </w:r>
      <w:r w:rsidR="009A7523">
        <w:t>associated with</w:t>
      </w:r>
      <w:r w:rsidR="009A7523" w:rsidRPr="008E7C9C">
        <w:t xml:space="preserve"> </w:t>
      </w:r>
      <w:r w:rsidRPr="008E7C9C">
        <w:t>budget support a r</w:t>
      </w:r>
      <w:r w:rsidR="00E4385A" w:rsidRPr="008E7C9C">
        <w:t xml:space="preserve">eview of </w:t>
      </w:r>
      <w:r w:rsidRPr="008E7C9C">
        <w:t xml:space="preserve">the </w:t>
      </w:r>
      <w:r w:rsidR="00E4385A" w:rsidRPr="008E7C9C">
        <w:t xml:space="preserve">Assessment of National Systems </w:t>
      </w:r>
      <w:r w:rsidRPr="008E7C9C">
        <w:t xml:space="preserve">will be conducted by </w:t>
      </w:r>
      <w:r w:rsidR="008E7C9C" w:rsidRPr="008E7C9C">
        <w:t>mid</w:t>
      </w:r>
      <w:r w:rsidR="008E7C9C">
        <w:t>-</w:t>
      </w:r>
      <w:r w:rsidR="00E4385A" w:rsidRPr="008E7C9C">
        <w:t>2016</w:t>
      </w:r>
      <w:r w:rsidRPr="008E7C9C">
        <w:t>.  This may be conducted</w:t>
      </w:r>
      <w:r w:rsidR="00E4385A" w:rsidRPr="008E7C9C">
        <w:t xml:space="preserve"> in conjunction with </w:t>
      </w:r>
      <w:r w:rsidR="00786CE4" w:rsidRPr="008E7C9C">
        <w:t>Pacific Financial Technical Assistance Centre (</w:t>
      </w:r>
      <w:r w:rsidRPr="008E7C9C">
        <w:t>PFTAC</w:t>
      </w:r>
      <w:r w:rsidR="00786CE4" w:rsidRPr="008E7C9C">
        <w:t>) and Asian Development Bank</w:t>
      </w:r>
      <w:r w:rsidRPr="008E7C9C">
        <w:t>’</w:t>
      </w:r>
      <w:r w:rsidR="00786CE4" w:rsidRPr="008E7C9C">
        <w:t>s Public Expe</w:t>
      </w:r>
      <w:r w:rsidRPr="008E7C9C">
        <w:t>n</w:t>
      </w:r>
      <w:r w:rsidR="00786CE4" w:rsidRPr="008E7C9C">
        <w:t>d</w:t>
      </w:r>
      <w:r w:rsidRPr="008E7C9C">
        <w:t>iture Financ</w:t>
      </w:r>
      <w:r w:rsidR="00786CE4" w:rsidRPr="008E7C9C">
        <w:t>ial Accountability (PEFA) assessment.</w:t>
      </w:r>
      <w:r w:rsidR="00E4385A" w:rsidRPr="008E7C9C">
        <w:t xml:space="preserve"> </w:t>
      </w:r>
    </w:p>
    <w:p w:rsidR="000049EA" w:rsidRDefault="000049EA" w:rsidP="00AC584C">
      <w:pPr>
        <w:pStyle w:val="ListBullet"/>
        <w:numPr>
          <w:ilvl w:val="0"/>
          <w:numId w:val="19"/>
        </w:numPr>
        <w:tabs>
          <w:tab w:val="clear" w:pos="284"/>
        </w:tabs>
      </w:pPr>
      <w:r w:rsidRPr="008E7C9C">
        <w:t xml:space="preserve">DFAT has contracted, in consultation with </w:t>
      </w:r>
      <w:r w:rsidR="009A7523">
        <w:t xml:space="preserve">the Planning and Development Division of </w:t>
      </w:r>
      <w:r w:rsidR="00AC584C">
        <w:t xml:space="preserve">Nauru’s </w:t>
      </w:r>
      <w:r w:rsidR="009A7523">
        <w:t>Ministry of Finance</w:t>
      </w:r>
      <w:r w:rsidRPr="008E7C9C">
        <w:t xml:space="preserve">, </w:t>
      </w:r>
      <w:r w:rsidR="0032303E" w:rsidRPr="008E7C9C">
        <w:t>an independent accounting company</w:t>
      </w:r>
      <w:r w:rsidRPr="008E7C9C">
        <w:t xml:space="preserve"> to provide two accountants to undertake a detailed ‘clean-up’ of the Operational Account</w:t>
      </w:r>
      <w:r w:rsidR="000930DF" w:rsidRPr="008E7C9C">
        <w:t xml:space="preserve"> in October 2015</w:t>
      </w:r>
      <w:r w:rsidRPr="008E7C9C">
        <w:t xml:space="preserve">.  This will take into consideration recommendations of previous audit reports </w:t>
      </w:r>
      <w:r>
        <w:t>and help to establish which line items are finished, in-progress or in abeyance. This will help develop a strategy for reducing the account balance from previous financial year contributions, and create the space and certainty in order to confidently program the 2015-16 contributions for health and education.</w:t>
      </w:r>
    </w:p>
    <w:p w:rsidR="00662708" w:rsidRDefault="00662708" w:rsidP="00AC584C">
      <w:pPr>
        <w:pStyle w:val="ListBullet"/>
        <w:numPr>
          <w:ilvl w:val="0"/>
          <w:numId w:val="19"/>
        </w:numPr>
        <w:tabs>
          <w:tab w:val="clear" w:pos="284"/>
        </w:tabs>
      </w:pPr>
      <w:r>
        <w:t>DFAT</w:t>
      </w:r>
      <w:r w:rsidR="00BA2261">
        <w:t xml:space="preserve"> will continue to </w:t>
      </w:r>
      <w:r>
        <w:t>provid</w:t>
      </w:r>
      <w:r w:rsidR="00BA2261">
        <w:t>e</w:t>
      </w:r>
      <w:r>
        <w:t xml:space="preserve"> additional </w:t>
      </w:r>
      <w:r w:rsidR="00BA2261">
        <w:t xml:space="preserve">technical </w:t>
      </w:r>
      <w:r>
        <w:t>support to address implementation issues</w:t>
      </w:r>
      <w:r w:rsidRPr="00662708">
        <w:t xml:space="preserve"> </w:t>
      </w:r>
      <w:r>
        <w:t>with the Household Water Tanks project.</w:t>
      </w:r>
    </w:p>
    <w:p w:rsidR="000049EA" w:rsidRDefault="000049EA" w:rsidP="00AC584C">
      <w:pPr>
        <w:pStyle w:val="ListBullet"/>
        <w:numPr>
          <w:ilvl w:val="0"/>
          <w:numId w:val="19"/>
        </w:numPr>
        <w:tabs>
          <w:tab w:val="clear" w:pos="284"/>
        </w:tabs>
      </w:pPr>
      <w:r>
        <w:t xml:space="preserve">Following </w:t>
      </w:r>
      <w:r w:rsidR="00BA2261">
        <w:t xml:space="preserve">agreement at officials level </w:t>
      </w:r>
      <w:r>
        <w:t>in September 2015</w:t>
      </w:r>
      <w:r w:rsidR="00AC584C">
        <w:t>,</w:t>
      </w:r>
      <w:r>
        <w:t xml:space="preserve"> a new Deputy Secretary for Planning and </w:t>
      </w:r>
      <w:r w:rsidR="009A7523">
        <w:t>Development</w:t>
      </w:r>
      <w:r>
        <w:t xml:space="preserve"> in the Ministry of Finance will be recruited through PACTAM.  This will help improve the coordination between the Go</w:t>
      </w:r>
      <w:r w:rsidR="00AC584C">
        <w:t xml:space="preserve">vernment of </w:t>
      </w:r>
      <w:r>
        <w:t>N</w:t>
      </w:r>
      <w:r w:rsidR="00AC584C">
        <w:t>auru</w:t>
      </w:r>
      <w:r>
        <w:t xml:space="preserve"> budget and development partner financing, and the linkages between</w:t>
      </w:r>
      <w:r w:rsidR="00AC584C">
        <w:t xml:space="preserve"> </w:t>
      </w:r>
      <w:r>
        <w:t>Go</w:t>
      </w:r>
      <w:r w:rsidR="00AC584C">
        <w:t>vernment of Nauru</w:t>
      </w:r>
      <w:r>
        <w:t xml:space="preserve"> development planning and budgeting.</w:t>
      </w:r>
    </w:p>
    <w:p w:rsidR="00543967" w:rsidRDefault="00543967" w:rsidP="00AC584C">
      <w:pPr>
        <w:pStyle w:val="ListBullet"/>
        <w:numPr>
          <w:ilvl w:val="0"/>
          <w:numId w:val="19"/>
        </w:numPr>
        <w:tabs>
          <w:tab w:val="clear" w:pos="284"/>
        </w:tabs>
      </w:pPr>
      <w:r>
        <w:t xml:space="preserve">Under </w:t>
      </w:r>
      <w:r w:rsidR="00AC584C">
        <w:t xml:space="preserve">the </w:t>
      </w:r>
      <w:r>
        <w:t>Go</w:t>
      </w:r>
      <w:r w:rsidR="00AC584C">
        <w:t xml:space="preserve">vernment of </w:t>
      </w:r>
      <w:r>
        <w:t>N</w:t>
      </w:r>
      <w:r w:rsidR="00AC584C">
        <w:t>auru</w:t>
      </w:r>
      <w:r>
        <w:t xml:space="preserve">’s </w:t>
      </w:r>
      <w:r w:rsidR="00183003">
        <w:t>P</w:t>
      </w:r>
      <w:r>
        <w:t xml:space="preserve">rocurement Act an </w:t>
      </w:r>
      <w:r w:rsidR="00940C5D">
        <w:t>I</w:t>
      </w:r>
      <w:r>
        <w:t xml:space="preserve">ndependent </w:t>
      </w:r>
      <w:r w:rsidR="00940C5D">
        <w:t>P</w:t>
      </w:r>
      <w:r>
        <w:t xml:space="preserve">rocurement </w:t>
      </w:r>
      <w:r w:rsidR="00940C5D">
        <w:t>A</w:t>
      </w:r>
      <w:r>
        <w:t>gent must be in place and must manage all procurements over $3000.  Following the termination of the I</w:t>
      </w:r>
      <w:r w:rsidR="000D787C">
        <w:t>ndependent Procurement Agent</w:t>
      </w:r>
      <w:r>
        <w:t xml:space="preserve">, </w:t>
      </w:r>
      <w:r w:rsidR="00AC584C">
        <w:t>the Government of Nauru</w:t>
      </w:r>
      <w:r w:rsidR="000D787C">
        <w:t>, with DFAT’s assistance,</w:t>
      </w:r>
      <w:r>
        <w:t xml:space="preserve"> will shortly </w:t>
      </w:r>
      <w:r w:rsidR="00BA2261">
        <w:t xml:space="preserve">issue an international </w:t>
      </w:r>
      <w:r>
        <w:t xml:space="preserve">tender for a new </w:t>
      </w:r>
      <w:r w:rsidR="000D787C">
        <w:t>procurement agent</w:t>
      </w:r>
      <w:r>
        <w:t xml:space="preserve">. </w:t>
      </w:r>
    </w:p>
    <w:p w:rsidR="00FA54FD" w:rsidRDefault="00FA54FD" w:rsidP="00AC584C">
      <w:pPr>
        <w:pStyle w:val="ListBullet"/>
        <w:numPr>
          <w:ilvl w:val="0"/>
          <w:numId w:val="19"/>
        </w:numPr>
        <w:tabs>
          <w:tab w:val="clear" w:pos="284"/>
        </w:tabs>
      </w:pPr>
      <w:r>
        <w:t>To strengthen monitoring and evaluation of the program a Performance Assessment Framework will be developed by early 2016.</w:t>
      </w:r>
    </w:p>
    <w:p w:rsidR="000049EA" w:rsidRPr="003D5824" w:rsidRDefault="000049EA" w:rsidP="003D5824">
      <w:pPr>
        <w:pStyle w:val="ListBullet"/>
        <w:tabs>
          <w:tab w:val="clear" w:pos="284"/>
        </w:tabs>
      </w:pPr>
    </w:p>
    <w:sectPr w:rsidR="000049EA" w:rsidRPr="003D5824" w:rsidSect="00A238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871" w:bottom="737" w:left="1871" w:header="851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E3" w:rsidRDefault="00171CE3" w:rsidP="0050529F">
      <w:r>
        <w:separator/>
      </w:r>
    </w:p>
    <w:p w:rsidR="00171CE3" w:rsidRDefault="00171CE3"/>
    <w:p w:rsidR="00171CE3" w:rsidRDefault="00171CE3"/>
    <w:p w:rsidR="00171CE3" w:rsidRDefault="00171CE3"/>
    <w:p w:rsidR="00171CE3" w:rsidRDefault="00171CE3"/>
    <w:p w:rsidR="00171CE3" w:rsidRDefault="00171CE3"/>
    <w:p w:rsidR="00171CE3" w:rsidRDefault="00171CE3"/>
  </w:endnote>
  <w:endnote w:type="continuationSeparator" w:id="0">
    <w:p w:rsidR="00171CE3" w:rsidRDefault="00171CE3" w:rsidP="0050529F">
      <w:r>
        <w:continuationSeparator/>
      </w:r>
    </w:p>
    <w:p w:rsidR="00171CE3" w:rsidRDefault="00171CE3"/>
    <w:p w:rsidR="00171CE3" w:rsidRDefault="00171CE3"/>
    <w:p w:rsidR="00171CE3" w:rsidRDefault="00171CE3"/>
    <w:p w:rsidR="00171CE3" w:rsidRDefault="00171CE3"/>
    <w:p w:rsidR="00171CE3" w:rsidRDefault="00171CE3"/>
    <w:p w:rsidR="00171CE3" w:rsidRDefault="00171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8C" w:rsidRDefault="003F6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2060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A5FD1" w:rsidRPr="00D559CD" w:rsidRDefault="00DA5FD1" w:rsidP="00D559CD">
        <w:pPr>
          <w:pStyle w:val="Footer"/>
          <w:ind w:right="-624"/>
          <w:jc w:val="right"/>
          <w:rPr>
            <w:sz w:val="16"/>
            <w:szCs w:val="16"/>
          </w:rPr>
        </w:pPr>
        <w:r w:rsidRPr="00D559CD">
          <w:rPr>
            <w:sz w:val="16"/>
            <w:szCs w:val="16"/>
          </w:rPr>
          <w:fldChar w:fldCharType="begin"/>
        </w:r>
        <w:r w:rsidRPr="00D559CD">
          <w:rPr>
            <w:sz w:val="16"/>
            <w:szCs w:val="16"/>
          </w:rPr>
          <w:instrText xml:space="preserve"> PAGE   \* MERGEFORMAT </w:instrText>
        </w:r>
        <w:r w:rsidRPr="00D559CD">
          <w:rPr>
            <w:sz w:val="16"/>
            <w:szCs w:val="16"/>
          </w:rPr>
          <w:fldChar w:fldCharType="separate"/>
        </w:r>
        <w:r w:rsidR="003F6D8C">
          <w:rPr>
            <w:noProof/>
            <w:sz w:val="16"/>
            <w:szCs w:val="16"/>
          </w:rPr>
          <w:t>2</w:t>
        </w:r>
        <w:r w:rsidRPr="00D559CD">
          <w:rPr>
            <w:noProof/>
            <w:sz w:val="16"/>
            <w:szCs w:val="16"/>
          </w:rPr>
          <w:fldChar w:fldCharType="end"/>
        </w:r>
      </w:p>
    </w:sdtContent>
  </w:sdt>
  <w:p w:rsidR="00DA5FD1" w:rsidRDefault="00DA5F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D1" w:rsidRDefault="00DA5FD1">
    <w:pPr>
      <w:pStyle w:val="Footer"/>
    </w:pPr>
    <w:r>
      <w:t>Preparing Aid Program Performance Reports and Aid Program Management Reviews</w:t>
    </w:r>
  </w:p>
  <w:p w:rsidR="00DA5FD1" w:rsidRPr="004C4A3E" w:rsidRDefault="00DA5FD1" w:rsidP="000D733F">
    <w:pPr>
      <w:tabs>
        <w:tab w:val="left" w:pos="0"/>
        <w:tab w:val="left" w:pos="13325"/>
      </w:tabs>
      <w:spacing w:line="180" w:lineRule="exact"/>
      <w:ind w:right="-1136"/>
      <w:rPr>
        <w:rFonts w:ascii="Franklin Gothic Medium" w:hAnsi="Franklin Gothic Medium"/>
        <w:color w:val="5A9A9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E3" w:rsidRDefault="00171CE3" w:rsidP="0050529F">
      <w:r>
        <w:separator/>
      </w:r>
    </w:p>
    <w:p w:rsidR="00171CE3" w:rsidRDefault="00171CE3"/>
    <w:p w:rsidR="00171CE3" w:rsidRDefault="00171CE3"/>
    <w:p w:rsidR="00171CE3" w:rsidRDefault="00171CE3"/>
    <w:p w:rsidR="00171CE3" w:rsidRDefault="00171CE3"/>
    <w:p w:rsidR="00171CE3" w:rsidRDefault="00171CE3"/>
    <w:p w:rsidR="00171CE3" w:rsidRDefault="00171CE3"/>
  </w:footnote>
  <w:footnote w:type="continuationSeparator" w:id="0">
    <w:p w:rsidR="00171CE3" w:rsidRDefault="00171CE3" w:rsidP="0050529F">
      <w:r>
        <w:continuationSeparator/>
      </w:r>
    </w:p>
    <w:p w:rsidR="00171CE3" w:rsidRDefault="00171CE3"/>
    <w:p w:rsidR="00171CE3" w:rsidRDefault="00171CE3"/>
    <w:p w:rsidR="00171CE3" w:rsidRDefault="00171CE3"/>
    <w:p w:rsidR="00171CE3" w:rsidRDefault="00171CE3"/>
    <w:p w:rsidR="00171CE3" w:rsidRDefault="00171CE3"/>
    <w:p w:rsidR="00171CE3" w:rsidRDefault="00171CE3"/>
  </w:footnote>
  <w:footnote w:id="1">
    <w:p w:rsidR="00B01E19" w:rsidRDefault="00B01E19">
      <w:pPr>
        <w:pStyle w:val="FootnoteText"/>
      </w:pPr>
      <w:r>
        <w:rPr>
          <w:rStyle w:val="FootnoteReference"/>
        </w:rPr>
        <w:footnoteRef/>
      </w:r>
      <w:r>
        <w:t xml:space="preserve">   PACTAM is the DFAT program the Pacific Technical Assistance Mechanism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8C" w:rsidRDefault="003F6D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D1" w:rsidRDefault="00DA5FD1" w:rsidP="00044338">
    <w:pPr>
      <w:shd w:val="clear" w:color="auto" w:fill="0C81AC"/>
      <w:ind w:left="-1928" w:right="-1871"/>
    </w:pPr>
  </w:p>
  <w:p w:rsidR="00DA5FD1" w:rsidRDefault="00DA5FD1" w:rsidP="00044338">
    <w:pPr>
      <w:shd w:val="clear" w:color="auto" w:fill="0C81AC"/>
      <w:ind w:left="-1928" w:right="-1871"/>
    </w:pPr>
  </w:p>
  <w:p w:rsidR="00DA5FD1" w:rsidRDefault="00DA5FD1" w:rsidP="00044338">
    <w:pPr>
      <w:shd w:val="clear" w:color="auto" w:fill="0C81AC"/>
      <w:spacing w:before="100" w:beforeAutospacing="1"/>
      <w:ind w:left="-1928" w:right="-1871"/>
    </w:pPr>
  </w:p>
  <w:p w:rsidR="00DA5FD1" w:rsidRDefault="00DA5FD1" w:rsidP="00044338"/>
  <w:p w:rsidR="00DA5FD1" w:rsidRPr="00044338" w:rsidRDefault="00DA5FD1" w:rsidP="000443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D1" w:rsidRDefault="00DA5FD1">
    <w:r>
      <w:rPr>
        <w:noProof/>
      </w:rPr>
      <w:drawing>
        <wp:anchor distT="0" distB="0" distL="114300" distR="114300" simplePos="0" relativeHeight="251722752" behindDoc="0" locked="0" layoutInCell="1" allowOverlap="1" wp14:anchorId="04E8EFFF" wp14:editId="774BC6A0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9675" cy="1871345"/>
          <wp:effectExtent l="0" t="0" r="3175" b="0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at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7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A5FD1" w:rsidRDefault="00DA5FD1"/>
  <w:p w:rsidR="00DA5FD1" w:rsidRDefault="00DA5FD1"/>
  <w:p w:rsidR="00DA5FD1" w:rsidRDefault="00DA5FD1"/>
  <w:p w:rsidR="00DA5FD1" w:rsidRDefault="00DA5F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BF8C6E4"/>
    <w:lvl w:ilvl="0">
      <w:start w:val="1"/>
      <w:numFmt w:val="lowerRoman"/>
      <w:pStyle w:val="ListNumber3"/>
      <w:lvlText w:val="%1."/>
      <w:lvlJc w:val="left"/>
      <w:pPr>
        <w:ind w:left="926" w:hanging="360"/>
      </w:pPr>
      <w:rPr>
        <w:rFonts w:hint="default"/>
      </w:rPr>
    </w:lvl>
  </w:abstractNum>
  <w:abstractNum w:abstractNumId="1">
    <w:nsid w:val="FFFFFF82"/>
    <w:multiLevelType w:val="singleLevel"/>
    <w:tmpl w:val="661CC504"/>
    <w:lvl w:ilvl="0">
      <w:start w:val="1"/>
      <w:numFmt w:val="bullet"/>
      <w:pStyle w:val="ListBullet3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  <w:position w:val="3"/>
      </w:rPr>
    </w:lvl>
  </w:abstractNum>
  <w:abstractNum w:abstractNumId="2">
    <w:nsid w:val="069B0BBC"/>
    <w:multiLevelType w:val="multilevel"/>
    <w:tmpl w:val="9E08230C"/>
    <w:styleLink w:val="StyleBulletedSymbolsymbol95ptLeft063cmHanging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1CE7"/>
    <w:multiLevelType w:val="hybridMultilevel"/>
    <w:tmpl w:val="DA600D4A"/>
    <w:lvl w:ilvl="0" w:tplc="D6868174">
      <w:start w:val="1"/>
      <w:numFmt w:val="bullet"/>
      <w:pStyle w:val="TableListBullet2"/>
      <w:lvlText w:val="»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B7DD8"/>
    <w:multiLevelType w:val="hybridMultilevel"/>
    <w:tmpl w:val="3EA6F6DE"/>
    <w:lvl w:ilvl="0" w:tplc="FFFFFFFF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B798C"/>
    <w:multiLevelType w:val="hybridMultilevel"/>
    <w:tmpl w:val="69042CAC"/>
    <w:lvl w:ilvl="0" w:tplc="A120C8FE">
      <w:start w:val="1"/>
      <w:numFmt w:val="bullet"/>
      <w:pStyle w:val="ListParagraph"/>
      <w:lvlText w:val=""/>
      <w:lvlJc w:val="left"/>
      <w:pPr>
        <w:ind w:left="68" w:hanging="360"/>
      </w:pPr>
      <w:rPr>
        <w:rFonts w:ascii="Symbol" w:hAnsi="Symbol" w:hint="default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6">
    <w:nsid w:val="209B02A7"/>
    <w:multiLevelType w:val="singleLevel"/>
    <w:tmpl w:val="9D8819C8"/>
    <w:lvl w:ilvl="0">
      <w:start w:val="1"/>
      <w:numFmt w:val="bullet"/>
      <w:pStyle w:val="ListBullet2"/>
      <w:lvlText w:val="»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1"/>
        <w:szCs w:val="21"/>
      </w:rPr>
    </w:lvl>
  </w:abstractNum>
  <w:abstractNum w:abstractNumId="7">
    <w:nsid w:val="25264A5A"/>
    <w:multiLevelType w:val="hybridMultilevel"/>
    <w:tmpl w:val="DA822F1A"/>
    <w:lvl w:ilvl="0" w:tplc="FAAAF8B2">
      <w:start w:val="1"/>
      <w:numFmt w:val="bullet"/>
      <w:pStyle w:val="List-bullet-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447A71D4">
      <w:start w:val="1"/>
      <w:numFmt w:val="bullet"/>
      <w:lvlText w:val=""/>
      <w:lvlJc w:val="left"/>
      <w:pPr>
        <w:tabs>
          <w:tab w:val="num" w:pos="2480"/>
        </w:tabs>
        <w:ind w:left="2480" w:hanging="396"/>
      </w:pPr>
      <w:rPr>
        <w:rFonts w:ascii="Symbol" w:hAnsi="Symbol" w:hint="default"/>
        <w:color w:val="auto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7440C8B"/>
    <w:multiLevelType w:val="multilevel"/>
    <w:tmpl w:val="59E651A8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9">
    <w:nsid w:val="27895F49"/>
    <w:multiLevelType w:val="hybridMultilevel"/>
    <w:tmpl w:val="9114551C"/>
    <w:lvl w:ilvl="0" w:tplc="DE9A5BD6">
      <w:start w:val="1"/>
      <w:numFmt w:val="lowerLetter"/>
      <w:pStyle w:val="BoxListNumber2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2FF231B"/>
    <w:multiLevelType w:val="hybridMultilevel"/>
    <w:tmpl w:val="F8E862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3602B"/>
    <w:multiLevelType w:val="hybridMultilevel"/>
    <w:tmpl w:val="4AD2C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D579B"/>
    <w:multiLevelType w:val="hybridMultilevel"/>
    <w:tmpl w:val="A5308B10"/>
    <w:lvl w:ilvl="0" w:tplc="35321CFE">
      <w:start w:val="1"/>
      <w:numFmt w:val="bullet"/>
      <w:pStyle w:val="Box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92D64"/>
    <w:multiLevelType w:val="hybridMultilevel"/>
    <w:tmpl w:val="3FC0FB20"/>
    <w:lvl w:ilvl="0" w:tplc="6C461E4A">
      <w:start w:val="1"/>
      <w:numFmt w:val="bullet"/>
      <w:pStyle w:val="BoxListBullet2"/>
      <w:lvlText w:val="»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A5214"/>
    <w:multiLevelType w:val="hybridMultilevel"/>
    <w:tmpl w:val="0B5AC610"/>
    <w:lvl w:ilvl="0" w:tplc="FFFFFFFF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F264CF"/>
    <w:multiLevelType w:val="multilevel"/>
    <w:tmpl w:val="537047AE"/>
    <w:lvl w:ilvl="0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  <w:b w:val="0"/>
        <w:i w:val="0"/>
        <w:color w:val="54534A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55E179A"/>
    <w:multiLevelType w:val="hybridMultilevel"/>
    <w:tmpl w:val="4FF4B7A6"/>
    <w:lvl w:ilvl="0" w:tplc="CBE215D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55035"/>
    <w:multiLevelType w:val="hybridMultilevel"/>
    <w:tmpl w:val="599E5468"/>
    <w:lvl w:ilvl="0" w:tplc="2A42AF7A">
      <w:start w:val="1"/>
      <w:numFmt w:val="bullet"/>
      <w:pStyle w:val="Table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0"/>
        <w:w w:val="100"/>
        <w:position w:val="3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E1124E"/>
    <w:multiLevelType w:val="hybridMultilevel"/>
    <w:tmpl w:val="6D42E656"/>
    <w:lvl w:ilvl="0" w:tplc="FFFFFFFF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4"/>
  </w:num>
  <w:num w:numId="5">
    <w:abstractNumId w:val="13"/>
  </w:num>
  <w:num w:numId="6">
    <w:abstractNumId w:val="11"/>
  </w:num>
  <w:num w:numId="7">
    <w:abstractNumId w:val="18"/>
  </w:num>
  <w:num w:numId="8">
    <w:abstractNumId w:val="3"/>
  </w:num>
  <w:num w:numId="9">
    <w:abstractNumId w:val="6"/>
  </w:num>
  <w:num w:numId="10">
    <w:abstractNumId w:val="19"/>
  </w:num>
  <w:num w:numId="11">
    <w:abstractNumId w:val="0"/>
  </w:num>
  <w:num w:numId="12">
    <w:abstractNumId w:val="2"/>
  </w:num>
  <w:num w:numId="13">
    <w:abstractNumId w:val="17"/>
  </w:num>
  <w:num w:numId="14">
    <w:abstractNumId w:val="1"/>
  </w:num>
  <w:num w:numId="15">
    <w:abstractNumId w:val="9"/>
  </w:num>
  <w:num w:numId="16">
    <w:abstractNumId w:val="7"/>
  </w:num>
  <w:num w:numId="17">
    <w:abstractNumId w:val="5"/>
  </w:num>
  <w:num w:numId="18">
    <w:abstractNumId w:val="10"/>
  </w:num>
  <w:num w:numId="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DE"/>
    <w:rsid w:val="000004FF"/>
    <w:rsid w:val="00002161"/>
    <w:rsid w:val="0000242A"/>
    <w:rsid w:val="00002A92"/>
    <w:rsid w:val="00002E28"/>
    <w:rsid w:val="000031D3"/>
    <w:rsid w:val="000039CF"/>
    <w:rsid w:val="000049EA"/>
    <w:rsid w:val="00004E18"/>
    <w:rsid w:val="00005EE9"/>
    <w:rsid w:val="00007E94"/>
    <w:rsid w:val="000134D6"/>
    <w:rsid w:val="000142A2"/>
    <w:rsid w:val="000143D5"/>
    <w:rsid w:val="000143D9"/>
    <w:rsid w:val="00020121"/>
    <w:rsid w:val="00021A9E"/>
    <w:rsid w:val="000251FD"/>
    <w:rsid w:val="00025E0C"/>
    <w:rsid w:val="00027373"/>
    <w:rsid w:val="00027629"/>
    <w:rsid w:val="00030111"/>
    <w:rsid w:val="000307D3"/>
    <w:rsid w:val="00031100"/>
    <w:rsid w:val="00031EB5"/>
    <w:rsid w:val="0003231A"/>
    <w:rsid w:val="00037C7B"/>
    <w:rsid w:val="00040AF6"/>
    <w:rsid w:val="00041311"/>
    <w:rsid w:val="000426DF"/>
    <w:rsid w:val="00044338"/>
    <w:rsid w:val="00046070"/>
    <w:rsid w:val="00052146"/>
    <w:rsid w:val="000529AD"/>
    <w:rsid w:val="0005506B"/>
    <w:rsid w:val="000550B0"/>
    <w:rsid w:val="00055E78"/>
    <w:rsid w:val="00056854"/>
    <w:rsid w:val="00057589"/>
    <w:rsid w:val="00057D09"/>
    <w:rsid w:val="00057ECD"/>
    <w:rsid w:val="00063358"/>
    <w:rsid w:val="000646CA"/>
    <w:rsid w:val="000718A7"/>
    <w:rsid w:val="00071B95"/>
    <w:rsid w:val="0007395B"/>
    <w:rsid w:val="000745E2"/>
    <w:rsid w:val="0007497E"/>
    <w:rsid w:val="0007703B"/>
    <w:rsid w:val="000774FD"/>
    <w:rsid w:val="00077D65"/>
    <w:rsid w:val="00081F4E"/>
    <w:rsid w:val="000905A8"/>
    <w:rsid w:val="00091878"/>
    <w:rsid w:val="00092179"/>
    <w:rsid w:val="000930DF"/>
    <w:rsid w:val="000957FC"/>
    <w:rsid w:val="00095E36"/>
    <w:rsid w:val="000979A0"/>
    <w:rsid w:val="00097B02"/>
    <w:rsid w:val="000A1618"/>
    <w:rsid w:val="000B3121"/>
    <w:rsid w:val="000B67B9"/>
    <w:rsid w:val="000B68F6"/>
    <w:rsid w:val="000B6BE5"/>
    <w:rsid w:val="000B6FEA"/>
    <w:rsid w:val="000B75E8"/>
    <w:rsid w:val="000C258A"/>
    <w:rsid w:val="000C29BF"/>
    <w:rsid w:val="000C6080"/>
    <w:rsid w:val="000C60A8"/>
    <w:rsid w:val="000C6AF6"/>
    <w:rsid w:val="000D151B"/>
    <w:rsid w:val="000D1993"/>
    <w:rsid w:val="000D733F"/>
    <w:rsid w:val="000D787C"/>
    <w:rsid w:val="000E1BB6"/>
    <w:rsid w:val="000E4573"/>
    <w:rsid w:val="000E7297"/>
    <w:rsid w:val="000E7A8D"/>
    <w:rsid w:val="000F2D94"/>
    <w:rsid w:val="00100485"/>
    <w:rsid w:val="00100AA2"/>
    <w:rsid w:val="00101579"/>
    <w:rsid w:val="00106185"/>
    <w:rsid w:val="00106BDC"/>
    <w:rsid w:val="0010729C"/>
    <w:rsid w:val="00110C62"/>
    <w:rsid w:val="00112E97"/>
    <w:rsid w:val="001139DE"/>
    <w:rsid w:val="00114751"/>
    <w:rsid w:val="001154CA"/>
    <w:rsid w:val="001171DE"/>
    <w:rsid w:val="00120FC7"/>
    <w:rsid w:val="00122038"/>
    <w:rsid w:val="001227C3"/>
    <w:rsid w:val="0012429A"/>
    <w:rsid w:val="001258C6"/>
    <w:rsid w:val="0012793C"/>
    <w:rsid w:val="00131FF0"/>
    <w:rsid w:val="00132003"/>
    <w:rsid w:val="00133AAD"/>
    <w:rsid w:val="00135806"/>
    <w:rsid w:val="001366B4"/>
    <w:rsid w:val="001375E3"/>
    <w:rsid w:val="00137C98"/>
    <w:rsid w:val="00137CAC"/>
    <w:rsid w:val="00141A30"/>
    <w:rsid w:val="00143053"/>
    <w:rsid w:val="0014411B"/>
    <w:rsid w:val="001448E7"/>
    <w:rsid w:val="00147846"/>
    <w:rsid w:val="0015043E"/>
    <w:rsid w:val="00152D0D"/>
    <w:rsid w:val="00152DFD"/>
    <w:rsid w:val="00154EF9"/>
    <w:rsid w:val="00157858"/>
    <w:rsid w:val="001612CE"/>
    <w:rsid w:val="0016230C"/>
    <w:rsid w:val="001624FB"/>
    <w:rsid w:val="001636E1"/>
    <w:rsid w:val="0016544D"/>
    <w:rsid w:val="001657F1"/>
    <w:rsid w:val="00167331"/>
    <w:rsid w:val="0016740F"/>
    <w:rsid w:val="00167E1C"/>
    <w:rsid w:val="00171CE3"/>
    <w:rsid w:val="00173473"/>
    <w:rsid w:val="00173C6E"/>
    <w:rsid w:val="00180B19"/>
    <w:rsid w:val="0018196F"/>
    <w:rsid w:val="001829BB"/>
    <w:rsid w:val="00183003"/>
    <w:rsid w:val="0018305E"/>
    <w:rsid w:val="0018353A"/>
    <w:rsid w:val="0018559A"/>
    <w:rsid w:val="00192498"/>
    <w:rsid w:val="001943B6"/>
    <w:rsid w:val="00194806"/>
    <w:rsid w:val="00197726"/>
    <w:rsid w:val="001A0A69"/>
    <w:rsid w:val="001A374B"/>
    <w:rsid w:val="001A6568"/>
    <w:rsid w:val="001B1A0C"/>
    <w:rsid w:val="001B2948"/>
    <w:rsid w:val="001B41CD"/>
    <w:rsid w:val="001B42D0"/>
    <w:rsid w:val="001B714C"/>
    <w:rsid w:val="001C1047"/>
    <w:rsid w:val="001C1EA0"/>
    <w:rsid w:val="001C31B9"/>
    <w:rsid w:val="001C3DA6"/>
    <w:rsid w:val="001C507E"/>
    <w:rsid w:val="001C700E"/>
    <w:rsid w:val="001C7117"/>
    <w:rsid w:val="001C745A"/>
    <w:rsid w:val="001C7DDD"/>
    <w:rsid w:val="001D20FC"/>
    <w:rsid w:val="001D210A"/>
    <w:rsid w:val="001D6059"/>
    <w:rsid w:val="001D6ACD"/>
    <w:rsid w:val="001D6E46"/>
    <w:rsid w:val="001E21C9"/>
    <w:rsid w:val="001E3E78"/>
    <w:rsid w:val="001E4BDE"/>
    <w:rsid w:val="001E6635"/>
    <w:rsid w:val="001E786D"/>
    <w:rsid w:val="001F12A2"/>
    <w:rsid w:val="001F2BA0"/>
    <w:rsid w:val="001F5CB1"/>
    <w:rsid w:val="001F61A8"/>
    <w:rsid w:val="001F7480"/>
    <w:rsid w:val="00201174"/>
    <w:rsid w:val="00202880"/>
    <w:rsid w:val="00202E4E"/>
    <w:rsid w:val="00203BCC"/>
    <w:rsid w:val="00204D26"/>
    <w:rsid w:val="00205E0B"/>
    <w:rsid w:val="00205F2B"/>
    <w:rsid w:val="002060C9"/>
    <w:rsid w:val="002115BD"/>
    <w:rsid w:val="002126BA"/>
    <w:rsid w:val="00212B27"/>
    <w:rsid w:val="0021515C"/>
    <w:rsid w:val="002227A9"/>
    <w:rsid w:val="00222975"/>
    <w:rsid w:val="00226DEE"/>
    <w:rsid w:val="00231D45"/>
    <w:rsid w:val="002335A9"/>
    <w:rsid w:val="002343CF"/>
    <w:rsid w:val="00235D29"/>
    <w:rsid w:val="002363D9"/>
    <w:rsid w:val="0023675A"/>
    <w:rsid w:val="00236B8C"/>
    <w:rsid w:val="00237C4B"/>
    <w:rsid w:val="00240D59"/>
    <w:rsid w:val="0024396F"/>
    <w:rsid w:val="002441D5"/>
    <w:rsid w:val="00246E5F"/>
    <w:rsid w:val="00261E78"/>
    <w:rsid w:val="00265E32"/>
    <w:rsid w:val="002675B1"/>
    <w:rsid w:val="00270898"/>
    <w:rsid w:val="00272AF0"/>
    <w:rsid w:val="00273C6F"/>
    <w:rsid w:val="00275C42"/>
    <w:rsid w:val="00277E4C"/>
    <w:rsid w:val="002849B4"/>
    <w:rsid w:val="00285EB4"/>
    <w:rsid w:val="002902F0"/>
    <w:rsid w:val="002911A4"/>
    <w:rsid w:val="00291F1C"/>
    <w:rsid w:val="00294F23"/>
    <w:rsid w:val="00296A3B"/>
    <w:rsid w:val="00297FA7"/>
    <w:rsid w:val="002A15F4"/>
    <w:rsid w:val="002A1935"/>
    <w:rsid w:val="002A1A79"/>
    <w:rsid w:val="002A21D1"/>
    <w:rsid w:val="002A22F7"/>
    <w:rsid w:val="002A4D70"/>
    <w:rsid w:val="002B0E64"/>
    <w:rsid w:val="002B1F66"/>
    <w:rsid w:val="002B31B3"/>
    <w:rsid w:val="002B433A"/>
    <w:rsid w:val="002B61A8"/>
    <w:rsid w:val="002B6EBE"/>
    <w:rsid w:val="002B79D4"/>
    <w:rsid w:val="002C1E00"/>
    <w:rsid w:val="002C2B10"/>
    <w:rsid w:val="002C55BC"/>
    <w:rsid w:val="002C56B0"/>
    <w:rsid w:val="002C639B"/>
    <w:rsid w:val="002D1328"/>
    <w:rsid w:val="002D2E5B"/>
    <w:rsid w:val="002D4597"/>
    <w:rsid w:val="002D5D7B"/>
    <w:rsid w:val="002D6914"/>
    <w:rsid w:val="002D6DF0"/>
    <w:rsid w:val="002D7FFA"/>
    <w:rsid w:val="002E55EA"/>
    <w:rsid w:val="002E5604"/>
    <w:rsid w:val="002F2867"/>
    <w:rsid w:val="002F479A"/>
    <w:rsid w:val="002F54F3"/>
    <w:rsid w:val="002F5A14"/>
    <w:rsid w:val="003005B6"/>
    <w:rsid w:val="00303038"/>
    <w:rsid w:val="0030318A"/>
    <w:rsid w:val="0030561F"/>
    <w:rsid w:val="00306734"/>
    <w:rsid w:val="00310426"/>
    <w:rsid w:val="00310974"/>
    <w:rsid w:val="00315135"/>
    <w:rsid w:val="00315D13"/>
    <w:rsid w:val="003167E5"/>
    <w:rsid w:val="00320FCE"/>
    <w:rsid w:val="003223F8"/>
    <w:rsid w:val="0032292A"/>
    <w:rsid w:val="00322D92"/>
    <w:rsid w:val="0032303E"/>
    <w:rsid w:val="0032486D"/>
    <w:rsid w:val="003260C0"/>
    <w:rsid w:val="003266E1"/>
    <w:rsid w:val="00326B5A"/>
    <w:rsid w:val="003275D0"/>
    <w:rsid w:val="003279FD"/>
    <w:rsid w:val="00330032"/>
    <w:rsid w:val="003327F8"/>
    <w:rsid w:val="00335F19"/>
    <w:rsid w:val="003363C7"/>
    <w:rsid w:val="00341177"/>
    <w:rsid w:val="00341311"/>
    <w:rsid w:val="00342BF7"/>
    <w:rsid w:val="00343B25"/>
    <w:rsid w:val="0034544D"/>
    <w:rsid w:val="00345B8E"/>
    <w:rsid w:val="00347AE7"/>
    <w:rsid w:val="00351ACA"/>
    <w:rsid w:val="00352AE5"/>
    <w:rsid w:val="00357648"/>
    <w:rsid w:val="00357AF7"/>
    <w:rsid w:val="00357CBE"/>
    <w:rsid w:val="00360662"/>
    <w:rsid w:val="0036386E"/>
    <w:rsid w:val="00370A7C"/>
    <w:rsid w:val="00371F53"/>
    <w:rsid w:val="00372E1B"/>
    <w:rsid w:val="003743C8"/>
    <w:rsid w:val="003748A4"/>
    <w:rsid w:val="00377E78"/>
    <w:rsid w:val="00383294"/>
    <w:rsid w:val="00383E6B"/>
    <w:rsid w:val="00383F3F"/>
    <w:rsid w:val="00384342"/>
    <w:rsid w:val="00385A4C"/>
    <w:rsid w:val="003870F7"/>
    <w:rsid w:val="00392981"/>
    <w:rsid w:val="00395392"/>
    <w:rsid w:val="00395704"/>
    <w:rsid w:val="00395829"/>
    <w:rsid w:val="00395CFA"/>
    <w:rsid w:val="003A27D2"/>
    <w:rsid w:val="003A2D7B"/>
    <w:rsid w:val="003A32FB"/>
    <w:rsid w:val="003A517C"/>
    <w:rsid w:val="003A5387"/>
    <w:rsid w:val="003A5B67"/>
    <w:rsid w:val="003A74BF"/>
    <w:rsid w:val="003B122C"/>
    <w:rsid w:val="003B1E5F"/>
    <w:rsid w:val="003B2756"/>
    <w:rsid w:val="003B2A37"/>
    <w:rsid w:val="003B3206"/>
    <w:rsid w:val="003C288C"/>
    <w:rsid w:val="003C31EE"/>
    <w:rsid w:val="003C3607"/>
    <w:rsid w:val="003C7721"/>
    <w:rsid w:val="003D081D"/>
    <w:rsid w:val="003D2DCC"/>
    <w:rsid w:val="003D2E2F"/>
    <w:rsid w:val="003D44F4"/>
    <w:rsid w:val="003D4FBB"/>
    <w:rsid w:val="003D5824"/>
    <w:rsid w:val="003E0E66"/>
    <w:rsid w:val="003E1DDB"/>
    <w:rsid w:val="003E1FCB"/>
    <w:rsid w:val="003E4982"/>
    <w:rsid w:val="003E529E"/>
    <w:rsid w:val="003E5535"/>
    <w:rsid w:val="003E63B3"/>
    <w:rsid w:val="003E7AA9"/>
    <w:rsid w:val="003F6D8C"/>
    <w:rsid w:val="00403152"/>
    <w:rsid w:val="00403AAA"/>
    <w:rsid w:val="00406000"/>
    <w:rsid w:val="00410106"/>
    <w:rsid w:val="00412707"/>
    <w:rsid w:val="00413539"/>
    <w:rsid w:val="0041396D"/>
    <w:rsid w:val="00415A92"/>
    <w:rsid w:val="00416530"/>
    <w:rsid w:val="0041730D"/>
    <w:rsid w:val="00420E02"/>
    <w:rsid w:val="004228CD"/>
    <w:rsid w:val="0042527A"/>
    <w:rsid w:val="00426354"/>
    <w:rsid w:val="004309E9"/>
    <w:rsid w:val="00437C95"/>
    <w:rsid w:val="00441E77"/>
    <w:rsid w:val="00442E7A"/>
    <w:rsid w:val="00443639"/>
    <w:rsid w:val="004444C7"/>
    <w:rsid w:val="004453CE"/>
    <w:rsid w:val="0044581A"/>
    <w:rsid w:val="00445A3B"/>
    <w:rsid w:val="00445C4E"/>
    <w:rsid w:val="00446742"/>
    <w:rsid w:val="004527A4"/>
    <w:rsid w:val="0045475F"/>
    <w:rsid w:val="004570EA"/>
    <w:rsid w:val="00462000"/>
    <w:rsid w:val="00466C98"/>
    <w:rsid w:val="00466CA1"/>
    <w:rsid w:val="00467C3F"/>
    <w:rsid w:val="00467CE4"/>
    <w:rsid w:val="00474A07"/>
    <w:rsid w:val="0047710F"/>
    <w:rsid w:val="004774F8"/>
    <w:rsid w:val="00481777"/>
    <w:rsid w:val="0048358D"/>
    <w:rsid w:val="0049013E"/>
    <w:rsid w:val="00490BDE"/>
    <w:rsid w:val="00494504"/>
    <w:rsid w:val="004950E0"/>
    <w:rsid w:val="004957EC"/>
    <w:rsid w:val="00496F8D"/>
    <w:rsid w:val="004976E5"/>
    <w:rsid w:val="004A00D5"/>
    <w:rsid w:val="004A568F"/>
    <w:rsid w:val="004A7400"/>
    <w:rsid w:val="004B0EEE"/>
    <w:rsid w:val="004B201A"/>
    <w:rsid w:val="004B41B9"/>
    <w:rsid w:val="004B64F3"/>
    <w:rsid w:val="004B6970"/>
    <w:rsid w:val="004C3149"/>
    <w:rsid w:val="004C36CF"/>
    <w:rsid w:val="004C4A3E"/>
    <w:rsid w:val="004C59EA"/>
    <w:rsid w:val="004C65C6"/>
    <w:rsid w:val="004C660D"/>
    <w:rsid w:val="004C7E92"/>
    <w:rsid w:val="004D0699"/>
    <w:rsid w:val="004D1529"/>
    <w:rsid w:val="004D19CE"/>
    <w:rsid w:val="004D23F6"/>
    <w:rsid w:val="004D2ED0"/>
    <w:rsid w:val="004D4371"/>
    <w:rsid w:val="004D4522"/>
    <w:rsid w:val="004D6E21"/>
    <w:rsid w:val="004E01E9"/>
    <w:rsid w:val="004E3E40"/>
    <w:rsid w:val="004E570D"/>
    <w:rsid w:val="004E6400"/>
    <w:rsid w:val="004E642E"/>
    <w:rsid w:val="004E6924"/>
    <w:rsid w:val="004E6A61"/>
    <w:rsid w:val="004E6E33"/>
    <w:rsid w:val="004E702A"/>
    <w:rsid w:val="004E7FE9"/>
    <w:rsid w:val="004F0C2D"/>
    <w:rsid w:val="004F2DF7"/>
    <w:rsid w:val="004F3A01"/>
    <w:rsid w:val="004F3D7E"/>
    <w:rsid w:val="004F50CC"/>
    <w:rsid w:val="004F521E"/>
    <w:rsid w:val="004F681C"/>
    <w:rsid w:val="004F6F58"/>
    <w:rsid w:val="00500EB4"/>
    <w:rsid w:val="00501CD2"/>
    <w:rsid w:val="00503974"/>
    <w:rsid w:val="0050439B"/>
    <w:rsid w:val="0050529F"/>
    <w:rsid w:val="00506A51"/>
    <w:rsid w:val="005110C3"/>
    <w:rsid w:val="00513897"/>
    <w:rsid w:val="00514B5E"/>
    <w:rsid w:val="005157C1"/>
    <w:rsid w:val="00515954"/>
    <w:rsid w:val="00515E3D"/>
    <w:rsid w:val="0052050C"/>
    <w:rsid w:val="005208AC"/>
    <w:rsid w:val="0052286C"/>
    <w:rsid w:val="00522AB9"/>
    <w:rsid w:val="005265B9"/>
    <w:rsid w:val="005304EB"/>
    <w:rsid w:val="005307E8"/>
    <w:rsid w:val="0053089A"/>
    <w:rsid w:val="0053175E"/>
    <w:rsid w:val="00533533"/>
    <w:rsid w:val="00533715"/>
    <w:rsid w:val="00535C99"/>
    <w:rsid w:val="00535E24"/>
    <w:rsid w:val="00537B02"/>
    <w:rsid w:val="00537E02"/>
    <w:rsid w:val="00542718"/>
    <w:rsid w:val="00542905"/>
    <w:rsid w:val="00543224"/>
    <w:rsid w:val="00543967"/>
    <w:rsid w:val="005440F6"/>
    <w:rsid w:val="00544CCD"/>
    <w:rsid w:val="0054557A"/>
    <w:rsid w:val="00546DD6"/>
    <w:rsid w:val="0055172C"/>
    <w:rsid w:val="0055771D"/>
    <w:rsid w:val="00565055"/>
    <w:rsid w:val="00565635"/>
    <w:rsid w:val="00567FCF"/>
    <w:rsid w:val="00570765"/>
    <w:rsid w:val="0057175F"/>
    <w:rsid w:val="005732BD"/>
    <w:rsid w:val="00573E59"/>
    <w:rsid w:val="00574FAF"/>
    <w:rsid w:val="00575295"/>
    <w:rsid w:val="00581C01"/>
    <w:rsid w:val="0058242D"/>
    <w:rsid w:val="005828D9"/>
    <w:rsid w:val="005845CB"/>
    <w:rsid w:val="0058498A"/>
    <w:rsid w:val="00586350"/>
    <w:rsid w:val="00591181"/>
    <w:rsid w:val="005922AB"/>
    <w:rsid w:val="0059461A"/>
    <w:rsid w:val="00597520"/>
    <w:rsid w:val="005A18C5"/>
    <w:rsid w:val="005A3ED5"/>
    <w:rsid w:val="005A511C"/>
    <w:rsid w:val="005A7CF6"/>
    <w:rsid w:val="005B42EE"/>
    <w:rsid w:val="005B58BE"/>
    <w:rsid w:val="005B7C71"/>
    <w:rsid w:val="005C4A6B"/>
    <w:rsid w:val="005C4D72"/>
    <w:rsid w:val="005C661F"/>
    <w:rsid w:val="005D2A59"/>
    <w:rsid w:val="005E1CE1"/>
    <w:rsid w:val="005E3CF4"/>
    <w:rsid w:val="005F0C00"/>
    <w:rsid w:val="005F15ED"/>
    <w:rsid w:val="005F33F2"/>
    <w:rsid w:val="005F3F0E"/>
    <w:rsid w:val="005F460C"/>
    <w:rsid w:val="005F51F6"/>
    <w:rsid w:val="005F74D0"/>
    <w:rsid w:val="0060117A"/>
    <w:rsid w:val="006048A6"/>
    <w:rsid w:val="00612E14"/>
    <w:rsid w:val="00617F30"/>
    <w:rsid w:val="00621502"/>
    <w:rsid w:val="00623D0F"/>
    <w:rsid w:val="0062598A"/>
    <w:rsid w:val="00625A52"/>
    <w:rsid w:val="0062686B"/>
    <w:rsid w:val="00633A74"/>
    <w:rsid w:val="00637549"/>
    <w:rsid w:val="00642A6F"/>
    <w:rsid w:val="00642E50"/>
    <w:rsid w:val="006440CA"/>
    <w:rsid w:val="006454F2"/>
    <w:rsid w:val="00646049"/>
    <w:rsid w:val="00647FBA"/>
    <w:rsid w:val="0065268F"/>
    <w:rsid w:val="0065391A"/>
    <w:rsid w:val="0065679C"/>
    <w:rsid w:val="00657108"/>
    <w:rsid w:val="00662708"/>
    <w:rsid w:val="00663306"/>
    <w:rsid w:val="00663909"/>
    <w:rsid w:val="00663E95"/>
    <w:rsid w:val="006659FF"/>
    <w:rsid w:val="006671BC"/>
    <w:rsid w:val="00667711"/>
    <w:rsid w:val="0067299B"/>
    <w:rsid w:val="00673287"/>
    <w:rsid w:val="00680679"/>
    <w:rsid w:val="0068146D"/>
    <w:rsid w:val="00682022"/>
    <w:rsid w:val="00682DB1"/>
    <w:rsid w:val="00683FFB"/>
    <w:rsid w:val="00686C70"/>
    <w:rsid w:val="0068768A"/>
    <w:rsid w:val="00690BEA"/>
    <w:rsid w:val="00695279"/>
    <w:rsid w:val="006962C2"/>
    <w:rsid w:val="00697C69"/>
    <w:rsid w:val="006A0CAA"/>
    <w:rsid w:val="006A2117"/>
    <w:rsid w:val="006A790F"/>
    <w:rsid w:val="006B0F12"/>
    <w:rsid w:val="006B2FAD"/>
    <w:rsid w:val="006B33A7"/>
    <w:rsid w:val="006B4762"/>
    <w:rsid w:val="006B5858"/>
    <w:rsid w:val="006B7063"/>
    <w:rsid w:val="006C1260"/>
    <w:rsid w:val="006C2232"/>
    <w:rsid w:val="006C6800"/>
    <w:rsid w:val="006D0BC5"/>
    <w:rsid w:val="006D2CF2"/>
    <w:rsid w:val="006D2E37"/>
    <w:rsid w:val="006D32BA"/>
    <w:rsid w:val="006D34C3"/>
    <w:rsid w:val="006D551B"/>
    <w:rsid w:val="006E2422"/>
    <w:rsid w:val="006E327C"/>
    <w:rsid w:val="006E7795"/>
    <w:rsid w:val="006E7E9F"/>
    <w:rsid w:val="006E7FA8"/>
    <w:rsid w:val="006F00DB"/>
    <w:rsid w:val="006F1F5C"/>
    <w:rsid w:val="006F3098"/>
    <w:rsid w:val="006F4623"/>
    <w:rsid w:val="006F4B40"/>
    <w:rsid w:val="007010BD"/>
    <w:rsid w:val="00701FEA"/>
    <w:rsid w:val="007040D1"/>
    <w:rsid w:val="007069F7"/>
    <w:rsid w:val="00706DE1"/>
    <w:rsid w:val="007073D9"/>
    <w:rsid w:val="00710059"/>
    <w:rsid w:val="00710336"/>
    <w:rsid w:val="00710337"/>
    <w:rsid w:val="007110C9"/>
    <w:rsid w:val="00712349"/>
    <w:rsid w:val="00712FCE"/>
    <w:rsid w:val="00714BA3"/>
    <w:rsid w:val="00716225"/>
    <w:rsid w:val="007167AE"/>
    <w:rsid w:val="00721098"/>
    <w:rsid w:val="0072495B"/>
    <w:rsid w:val="007311E0"/>
    <w:rsid w:val="007360D3"/>
    <w:rsid w:val="0073644C"/>
    <w:rsid w:val="00736A33"/>
    <w:rsid w:val="00737641"/>
    <w:rsid w:val="00737C72"/>
    <w:rsid w:val="00742C28"/>
    <w:rsid w:val="007452F9"/>
    <w:rsid w:val="00745CD3"/>
    <w:rsid w:val="00745CD6"/>
    <w:rsid w:val="007461B4"/>
    <w:rsid w:val="0074660C"/>
    <w:rsid w:val="00747B69"/>
    <w:rsid w:val="00750E77"/>
    <w:rsid w:val="00751449"/>
    <w:rsid w:val="00751E1C"/>
    <w:rsid w:val="00754F4A"/>
    <w:rsid w:val="00755D95"/>
    <w:rsid w:val="00756B0E"/>
    <w:rsid w:val="00757BAA"/>
    <w:rsid w:val="00760B69"/>
    <w:rsid w:val="00761D74"/>
    <w:rsid w:val="00762B9C"/>
    <w:rsid w:val="0076558B"/>
    <w:rsid w:val="00766B7F"/>
    <w:rsid w:val="00766BCF"/>
    <w:rsid w:val="00767F39"/>
    <w:rsid w:val="007705BC"/>
    <w:rsid w:val="007726E1"/>
    <w:rsid w:val="00774F4B"/>
    <w:rsid w:val="007803E0"/>
    <w:rsid w:val="00785679"/>
    <w:rsid w:val="00786CE4"/>
    <w:rsid w:val="0079256F"/>
    <w:rsid w:val="0079307B"/>
    <w:rsid w:val="007941CF"/>
    <w:rsid w:val="00796F48"/>
    <w:rsid w:val="007A2A5E"/>
    <w:rsid w:val="007A3C6A"/>
    <w:rsid w:val="007A494F"/>
    <w:rsid w:val="007A5821"/>
    <w:rsid w:val="007A686A"/>
    <w:rsid w:val="007A6B87"/>
    <w:rsid w:val="007B0EBF"/>
    <w:rsid w:val="007B12EF"/>
    <w:rsid w:val="007B4AD8"/>
    <w:rsid w:val="007B51E2"/>
    <w:rsid w:val="007B6F81"/>
    <w:rsid w:val="007C08B4"/>
    <w:rsid w:val="007C22E7"/>
    <w:rsid w:val="007C250B"/>
    <w:rsid w:val="007D2CD8"/>
    <w:rsid w:val="007D5D8D"/>
    <w:rsid w:val="007D7D40"/>
    <w:rsid w:val="007E10A5"/>
    <w:rsid w:val="007E2A95"/>
    <w:rsid w:val="007E3D71"/>
    <w:rsid w:val="007E6339"/>
    <w:rsid w:val="007F0036"/>
    <w:rsid w:val="007F2841"/>
    <w:rsid w:val="007F3547"/>
    <w:rsid w:val="007F3E30"/>
    <w:rsid w:val="0080096B"/>
    <w:rsid w:val="00800B90"/>
    <w:rsid w:val="008023DD"/>
    <w:rsid w:val="00802A66"/>
    <w:rsid w:val="008046DC"/>
    <w:rsid w:val="00805ADD"/>
    <w:rsid w:val="008103A0"/>
    <w:rsid w:val="00810DE3"/>
    <w:rsid w:val="00821541"/>
    <w:rsid w:val="00821A06"/>
    <w:rsid w:val="008220F3"/>
    <w:rsid w:val="00822273"/>
    <w:rsid w:val="008235DB"/>
    <w:rsid w:val="00824B19"/>
    <w:rsid w:val="00826FE4"/>
    <w:rsid w:val="00830647"/>
    <w:rsid w:val="00830E80"/>
    <w:rsid w:val="00832911"/>
    <w:rsid w:val="00833EB7"/>
    <w:rsid w:val="0083654F"/>
    <w:rsid w:val="00837533"/>
    <w:rsid w:val="0084092F"/>
    <w:rsid w:val="00841369"/>
    <w:rsid w:val="00844C87"/>
    <w:rsid w:val="008532FB"/>
    <w:rsid w:val="008540F0"/>
    <w:rsid w:val="008568C0"/>
    <w:rsid w:val="00860B13"/>
    <w:rsid w:val="00864874"/>
    <w:rsid w:val="00871CA1"/>
    <w:rsid w:val="00874F47"/>
    <w:rsid w:val="00877D87"/>
    <w:rsid w:val="00880255"/>
    <w:rsid w:val="008810FA"/>
    <w:rsid w:val="008827F7"/>
    <w:rsid w:val="00884878"/>
    <w:rsid w:val="00885B9C"/>
    <w:rsid w:val="00886D18"/>
    <w:rsid w:val="00892303"/>
    <w:rsid w:val="00896927"/>
    <w:rsid w:val="00897E16"/>
    <w:rsid w:val="008A144E"/>
    <w:rsid w:val="008A310A"/>
    <w:rsid w:val="008A4FF9"/>
    <w:rsid w:val="008A6603"/>
    <w:rsid w:val="008A713A"/>
    <w:rsid w:val="008B13AF"/>
    <w:rsid w:val="008B5F65"/>
    <w:rsid w:val="008C0FBD"/>
    <w:rsid w:val="008C4903"/>
    <w:rsid w:val="008C4D80"/>
    <w:rsid w:val="008C5617"/>
    <w:rsid w:val="008C6687"/>
    <w:rsid w:val="008C70BD"/>
    <w:rsid w:val="008C79C7"/>
    <w:rsid w:val="008C7AC8"/>
    <w:rsid w:val="008D0242"/>
    <w:rsid w:val="008D27EF"/>
    <w:rsid w:val="008D28DF"/>
    <w:rsid w:val="008D2DC8"/>
    <w:rsid w:val="008D34F9"/>
    <w:rsid w:val="008D745E"/>
    <w:rsid w:val="008D7D2E"/>
    <w:rsid w:val="008E29AB"/>
    <w:rsid w:val="008E33E2"/>
    <w:rsid w:val="008E44A5"/>
    <w:rsid w:val="008E4EF2"/>
    <w:rsid w:val="008E7C9C"/>
    <w:rsid w:val="008F06F2"/>
    <w:rsid w:val="008F1E28"/>
    <w:rsid w:val="008F3200"/>
    <w:rsid w:val="008F4C4B"/>
    <w:rsid w:val="008F5D80"/>
    <w:rsid w:val="008F76C4"/>
    <w:rsid w:val="009006D2"/>
    <w:rsid w:val="009009B5"/>
    <w:rsid w:val="00901F2C"/>
    <w:rsid w:val="009103F3"/>
    <w:rsid w:val="009126A4"/>
    <w:rsid w:val="00916189"/>
    <w:rsid w:val="009163AF"/>
    <w:rsid w:val="00916D52"/>
    <w:rsid w:val="00917B75"/>
    <w:rsid w:val="00921292"/>
    <w:rsid w:val="0092385B"/>
    <w:rsid w:val="00923D3D"/>
    <w:rsid w:val="00924CCB"/>
    <w:rsid w:val="0092520A"/>
    <w:rsid w:val="009257E3"/>
    <w:rsid w:val="00927978"/>
    <w:rsid w:val="00932FAD"/>
    <w:rsid w:val="0093488E"/>
    <w:rsid w:val="00936ECF"/>
    <w:rsid w:val="00937307"/>
    <w:rsid w:val="00940C5D"/>
    <w:rsid w:val="009445BA"/>
    <w:rsid w:val="00945130"/>
    <w:rsid w:val="00945B0A"/>
    <w:rsid w:val="00946F68"/>
    <w:rsid w:val="009475F3"/>
    <w:rsid w:val="00947F93"/>
    <w:rsid w:val="009509C8"/>
    <w:rsid w:val="00951562"/>
    <w:rsid w:val="00951651"/>
    <w:rsid w:val="00953CAB"/>
    <w:rsid w:val="00954EF3"/>
    <w:rsid w:val="0095603B"/>
    <w:rsid w:val="00957948"/>
    <w:rsid w:val="00965EE4"/>
    <w:rsid w:val="009668EF"/>
    <w:rsid w:val="00966DB1"/>
    <w:rsid w:val="00970493"/>
    <w:rsid w:val="009708E0"/>
    <w:rsid w:val="009713CF"/>
    <w:rsid w:val="00972946"/>
    <w:rsid w:val="009729A9"/>
    <w:rsid w:val="00973953"/>
    <w:rsid w:val="009761F8"/>
    <w:rsid w:val="00976AF1"/>
    <w:rsid w:val="00976FB3"/>
    <w:rsid w:val="009777B7"/>
    <w:rsid w:val="0098030D"/>
    <w:rsid w:val="00980AFB"/>
    <w:rsid w:val="00981E62"/>
    <w:rsid w:val="00990CEB"/>
    <w:rsid w:val="009928E1"/>
    <w:rsid w:val="00994D57"/>
    <w:rsid w:val="00996460"/>
    <w:rsid w:val="0099677B"/>
    <w:rsid w:val="009A1E07"/>
    <w:rsid w:val="009A290D"/>
    <w:rsid w:val="009A34F7"/>
    <w:rsid w:val="009A7523"/>
    <w:rsid w:val="009B42D2"/>
    <w:rsid w:val="009B5190"/>
    <w:rsid w:val="009B5381"/>
    <w:rsid w:val="009B597D"/>
    <w:rsid w:val="009B654F"/>
    <w:rsid w:val="009B69F0"/>
    <w:rsid w:val="009C16DF"/>
    <w:rsid w:val="009C1FDC"/>
    <w:rsid w:val="009C4804"/>
    <w:rsid w:val="009D0A9A"/>
    <w:rsid w:val="009D104E"/>
    <w:rsid w:val="009D1FDF"/>
    <w:rsid w:val="009D2ABB"/>
    <w:rsid w:val="009D3524"/>
    <w:rsid w:val="009D3878"/>
    <w:rsid w:val="009D5236"/>
    <w:rsid w:val="009D5F72"/>
    <w:rsid w:val="009D61F4"/>
    <w:rsid w:val="009E1667"/>
    <w:rsid w:val="009E1CA8"/>
    <w:rsid w:val="009E28E1"/>
    <w:rsid w:val="009E38C1"/>
    <w:rsid w:val="009E6780"/>
    <w:rsid w:val="009E68D5"/>
    <w:rsid w:val="009E6C59"/>
    <w:rsid w:val="009E7505"/>
    <w:rsid w:val="009E79EC"/>
    <w:rsid w:val="009F4D99"/>
    <w:rsid w:val="009F50F0"/>
    <w:rsid w:val="009F5CC2"/>
    <w:rsid w:val="009F779C"/>
    <w:rsid w:val="00A01327"/>
    <w:rsid w:val="00A01796"/>
    <w:rsid w:val="00A018E7"/>
    <w:rsid w:val="00A03911"/>
    <w:rsid w:val="00A05140"/>
    <w:rsid w:val="00A06FC9"/>
    <w:rsid w:val="00A10DE1"/>
    <w:rsid w:val="00A11A55"/>
    <w:rsid w:val="00A11D59"/>
    <w:rsid w:val="00A123C7"/>
    <w:rsid w:val="00A13029"/>
    <w:rsid w:val="00A14E44"/>
    <w:rsid w:val="00A14E66"/>
    <w:rsid w:val="00A17F78"/>
    <w:rsid w:val="00A20730"/>
    <w:rsid w:val="00A22538"/>
    <w:rsid w:val="00A238B7"/>
    <w:rsid w:val="00A25BA3"/>
    <w:rsid w:val="00A27E2B"/>
    <w:rsid w:val="00A33B7B"/>
    <w:rsid w:val="00A34039"/>
    <w:rsid w:val="00A3552E"/>
    <w:rsid w:val="00A40F25"/>
    <w:rsid w:val="00A417FA"/>
    <w:rsid w:val="00A42760"/>
    <w:rsid w:val="00A435E9"/>
    <w:rsid w:val="00A443C7"/>
    <w:rsid w:val="00A458B3"/>
    <w:rsid w:val="00A45B60"/>
    <w:rsid w:val="00A45E73"/>
    <w:rsid w:val="00A5551F"/>
    <w:rsid w:val="00A62E17"/>
    <w:rsid w:val="00A64110"/>
    <w:rsid w:val="00A65CAA"/>
    <w:rsid w:val="00A65F0F"/>
    <w:rsid w:val="00A662CF"/>
    <w:rsid w:val="00A701B2"/>
    <w:rsid w:val="00A766FD"/>
    <w:rsid w:val="00A80353"/>
    <w:rsid w:val="00A820E7"/>
    <w:rsid w:val="00A82DF8"/>
    <w:rsid w:val="00A9333E"/>
    <w:rsid w:val="00A94EC5"/>
    <w:rsid w:val="00A9554E"/>
    <w:rsid w:val="00AA31F2"/>
    <w:rsid w:val="00AA406C"/>
    <w:rsid w:val="00AA4F9F"/>
    <w:rsid w:val="00AA5E1B"/>
    <w:rsid w:val="00AA7256"/>
    <w:rsid w:val="00AA7FA0"/>
    <w:rsid w:val="00AB0987"/>
    <w:rsid w:val="00AB2B17"/>
    <w:rsid w:val="00AB3900"/>
    <w:rsid w:val="00AB7215"/>
    <w:rsid w:val="00AC005D"/>
    <w:rsid w:val="00AC14DE"/>
    <w:rsid w:val="00AC56C2"/>
    <w:rsid w:val="00AC584C"/>
    <w:rsid w:val="00AC5E19"/>
    <w:rsid w:val="00AD2723"/>
    <w:rsid w:val="00AD445D"/>
    <w:rsid w:val="00AD6F47"/>
    <w:rsid w:val="00AE247D"/>
    <w:rsid w:val="00AE2781"/>
    <w:rsid w:val="00AE4517"/>
    <w:rsid w:val="00AE4E78"/>
    <w:rsid w:val="00AE58AB"/>
    <w:rsid w:val="00AE5C52"/>
    <w:rsid w:val="00AE6D76"/>
    <w:rsid w:val="00AE6E0A"/>
    <w:rsid w:val="00AF045F"/>
    <w:rsid w:val="00AF0FA2"/>
    <w:rsid w:val="00AF0FDD"/>
    <w:rsid w:val="00AF218D"/>
    <w:rsid w:val="00AF5A70"/>
    <w:rsid w:val="00AF5C5C"/>
    <w:rsid w:val="00AF7331"/>
    <w:rsid w:val="00B01E19"/>
    <w:rsid w:val="00B03FB1"/>
    <w:rsid w:val="00B102EF"/>
    <w:rsid w:val="00B1041E"/>
    <w:rsid w:val="00B10E5F"/>
    <w:rsid w:val="00B10EDB"/>
    <w:rsid w:val="00B12F63"/>
    <w:rsid w:val="00B15829"/>
    <w:rsid w:val="00B17621"/>
    <w:rsid w:val="00B17A9D"/>
    <w:rsid w:val="00B21C2F"/>
    <w:rsid w:val="00B249B7"/>
    <w:rsid w:val="00B2764E"/>
    <w:rsid w:val="00B30E77"/>
    <w:rsid w:val="00B3214B"/>
    <w:rsid w:val="00B33F27"/>
    <w:rsid w:val="00B3440F"/>
    <w:rsid w:val="00B34B88"/>
    <w:rsid w:val="00B36104"/>
    <w:rsid w:val="00B371B9"/>
    <w:rsid w:val="00B37A25"/>
    <w:rsid w:val="00B4345C"/>
    <w:rsid w:val="00B44032"/>
    <w:rsid w:val="00B44997"/>
    <w:rsid w:val="00B456CC"/>
    <w:rsid w:val="00B478EF"/>
    <w:rsid w:val="00B501E6"/>
    <w:rsid w:val="00B51BAD"/>
    <w:rsid w:val="00B55BE4"/>
    <w:rsid w:val="00B564A3"/>
    <w:rsid w:val="00B56514"/>
    <w:rsid w:val="00B56551"/>
    <w:rsid w:val="00B57AE9"/>
    <w:rsid w:val="00B57CA2"/>
    <w:rsid w:val="00B61298"/>
    <w:rsid w:val="00B638BD"/>
    <w:rsid w:val="00B65AEE"/>
    <w:rsid w:val="00B65EB5"/>
    <w:rsid w:val="00B66555"/>
    <w:rsid w:val="00B72A21"/>
    <w:rsid w:val="00B72CEC"/>
    <w:rsid w:val="00B73156"/>
    <w:rsid w:val="00B74929"/>
    <w:rsid w:val="00B75CBA"/>
    <w:rsid w:val="00B7716B"/>
    <w:rsid w:val="00B77483"/>
    <w:rsid w:val="00B777E6"/>
    <w:rsid w:val="00B80134"/>
    <w:rsid w:val="00B80707"/>
    <w:rsid w:val="00B80E1B"/>
    <w:rsid w:val="00B81A82"/>
    <w:rsid w:val="00B84883"/>
    <w:rsid w:val="00B861D4"/>
    <w:rsid w:val="00B8737A"/>
    <w:rsid w:val="00B87675"/>
    <w:rsid w:val="00B910DF"/>
    <w:rsid w:val="00B922B9"/>
    <w:rsid w:val="00B95043"/>
    <w:rsid w:val="00B9749F"/>
    <w:rsid w:val="00B97ABC"/>
    <w:rsid w:val="00B97D4F"/>
    <w:rsid w:val="00BA0274"/>
    <w:rsid w:val="00BA1327"/>
    <w:rsid w:val="00BA2261"/>
    <w:rsid w:val="00BA3026"/>
    <w:rsid w:val="00BA3EFF"/>
    <w:rsid w:val="00BA4972"/>
    <w:rsid w:val="00BA5FE7"/>
    <w:rsid w:val="00BB1C24"/>
    <w:rsid w:val="00BB2580"/>
    <w:rsid w:val="00BB27EC"/>
    <w:rsid w:val="00BB37EE"/>
    <w:rsid w:val="00BB40C8"/>
    <w:rsid w:val="00BB530B"/>
    <w:rsid w:val="00BB58D3"/>
    <w:rsid w:val="00BB5C5C"/>
    <w:rsid w:val="00BC179B"/>
    <w:rsid w:val="00BC432E"/>
    <w:rsid w:val="00BC6774"/>
    <w:rsid w:val="00BC6C8B"/>
    <w:rsid w:val="00BC6EEF"/>
    <w:rsid w:val="00BC7980"/>
    <w:rsid w:val="00BD28C5"/>
    <w:rsid w:val="00BD2FEE"/>
    <w:rsid w:val="00BD3B43"/>
    <w:rsid w:val="00BD3FD3"/>
    <w:rsid w:val="00BD4D43"/>
    <w:rsid w:val="00BD7695"/>
    <w:rsid w:val="00BD7984"/>
    <w:rsid w:val="00BE0D5C"/>
    <w:rsid w:val="00BE0EE1"/>
    <w:rsid w:val="00BE2948"/>
    <w:rsid w:val="00BE317F"/>
    <w:rsid w:val="00BE4BDF"/>
    <w:rsid w:val="00BE5FED"/>
    <w:rsid w:val="00BE65E4"/>
    <w:rsid w:val="00BE6831"/>
    <w:rsid w:val="00BE7D81"/>
    <w:rsid w:val="00BF0AA7"/>
    <w:rsid w:val="00BF0B6E"/>
    <w:rsid w:val="00BF2F97"/>
    <w:rsid w:val="00BF4532"/>
    <w:rsid w:val="00BF4736"/>
    <w:rsid w:val="00BF5E38"/>
    <w:rsid w:val="00C00765"/>
    <w:rsid w:val="00C00DA4"/>
    <w:rsid w:val="00C00E26"/>
    <w:rsid w:val="00C03A2E"/>
    <w:rsid w:val="00C06287"/>
    <w:rsid w:val="00C1037A"/>
    <w:rsid w:val="00C12309"/>
    <w:rsid w:val="00C15EB9"/>
    <w:rsid w:val="00C1626B"/>
    <w:rsid w:val="00C20D5E"/>
    <w:rsid w:val="00C23583"/>
    <w:rsid w:val="00C25B51"/>
    <w:rsid w:val="00C27A15"/>
    <w:rsid w:val="00C312CC"/>
    <w:rsid w:val="00C31B66"/>
    <w:rsid w:val="00C34C79"/>
    <w:rsid w:val="00C36C67"/>
    <w:rsid w:val="00C4066A"/>
    <w:rsid w:val="00C40D0E"/>
    <w:rsid w:val="00C4114C"/>
    <w:rsid w:val="00C4295F"/>
    <w:rsid w:val="00C469FC"/>
    <w:rsid w:val="00C51C85"/>
    <w:rsid w:val="00C51DF7"/>
    <w:rsid w:val="00C5255D"/>
    <w:rsid w:val="00C54017"/>
    <w:rsid w:val="00C54DAE"/>
    <w:rsid w:val="00C56B7C"/>
    <w:rsid w:val="00C56BAB"/>
    <w:rsid w:val="00C57E14"/>
    <w:rsid w:val="00C602B7"/>
    <w:rsid w:val="00C60D92"/>
    <w:rsid w:val="00C62410"/>
    <w:rsid w:val="00C65930"/>
    <w:rsid w:val="00C65A08"/>
    <w:rsid w:val="00C75AB0"/>
    <w:rsid w:val="00C82AA4"/>
    <w:rsid w:val="00C8305C"/>
    <w:rsid w:val="00C844D6"/>
    <w:rsid w:val="00C85FF6"/>
    <w:rsid w:val="00C9169A"/>
    <w:rsid w:val="00C9326B"/>
    <w:rsid w:val="00C95691"/>
    <w:rsid w:val="00C96A47"/>
    <w:rsid w:val="00C970CE"/>
    <w:rsid w:val="00C97EA9"/>
    <w:rsid w:val="00CA1A40"/>
    <w:rsid w:val="00CA1ECD"/>
    <w:rsid w:val="00CA4C7F"/>
    <w:rsid w:val="00CB13B7"/>
    <w:rsid w:val="00CB512A"/>
    <w:rsid w:val="00CB7087"/>
    <w:rsid w:val="00CB723D"/>
    <w:rsid w:val="00CC41EE"/>
    <w:rsid w:val="00CC52B4"/>
    <w:rsid w:val="00CD061B"/>
    <w:rsid w:val="00CD0BF5"/>
    <w:rsid w:val="00CD0FA4"/>
    <w:rsid w:val="00CD1089"/>
    <w:rsid w:val="00CD1BCD"/>
    <w:rsid w:val="00CD41F8"/>
    <w:rsid w:val="00CD4641"/>
    <w:rsid w:val="00CD6589"/>
    <w:rsid w:val="00CD6D61"/>
    <w:rsid w:val="00CD7D66"/>
    <w:rsid w:val="00CD7FFC"/>
    <w:rsid w:val="00CE2C6E"/>
    <w:rsid w:val="00CE2D75"/>
    <w:rsid w:val="00CE6C66"/>
    <w:rsid w:val="00CE799B"/>
    <w:rsid w:val="00CE7B1F"/>
    <w:rsid w:val="00CF2737"/>
    <w:rsid w:val="00CF321C"/>
    <w:rsid w:val="00CF4FE6"/>
    <w:rsid w:val="00CF556F"/>
    <w:rsid w:val="00CF5974"/>
    <w:rsid w:val="00D001FB"/>
    <w:rsid w:val="00D0030F"/>
    <w:rsid w:val="00D04012"/>
    <w:rsid w:val="00D0445F"/>
    <w:rsid w:val="00D0608D"/>
    <w:rsid w:val="00D061D5"/>
    <w:rsid w:val="00D06E87"/>
    <w:rsid w:val="00D06EFC"/>
    <w:rsid w:val="00D074BF"/>
    <w:rsid w:val="00D07E97"/>
    <w:rsid w:val="00D1197E"/>
    <w:rsid w:val="00D122E5"/>
    <w:rsid w:val="00D140E0"/>
    <w:rsid w:val="00D1619E"/>
    <w:rsid w:val="00D219C1"/>
    <w:rsid w:val="00D22C33"/>
    <w:rsid w:val="00D24258"/>
    <w:rsid w:val="00D27373"/>
    <w:rsid w:val="00D322EC"/>
    <w:rsid w:val="00D32833"/>
    <w:rsid w:val="00D33DA7"/>
    <w:rsid w:val="00D3507E"/>
    <w:rsid w:val="00D3515A"/>
    <w:rsid w:val="00D354D0"/>
    <w:rsid w:val="00D41D9A"/>
    <w:rsid w:val="00D43238"/>
    <w:rsid w:val="00D472D8"/>
    <w:rsid w:val="00D50C04"/>
    <w:rsid w:val="00D5255B"/>
    <w:rsid w:val="00D5299A"/>
    <w:rsid w:val="00D538F6"/>
    <w:rsid w:val="00D5457D"/>
    <w:rsid w:val="00D54EF5"/>
    <w:rsid w:val="00D559CD"/>
    <w:rsid w:val="00D5657C"/>
    <w:rsid w:val="00D56FF4"/>
    <w:rsid w:val="00D6213A"/>
    <w:rsid w:val="00D65089"/>
    <w:rsid w:val="00D73760"/>
    <w:rsid w:val="00D74036"/>
    <w:rsid w:val="00D802BD"/>
    <w:rsid w:val="00D808EE"/>
    <w:rsid w:val="00D84411"/>
    <w:rsid w:val="00D87FE7"/>
    <w:rsid w:val="00D91885"/>
    <w:rsid w:val="00D93663"/>
    <w:rsid w:val="00D94097"/>
    <w:rsid w:val="00D95DDC"/>
    <w:rsid w:val="00D96B60"/>
    <w:rsid w:val="00DA0634"/>
    <w:rsid w:val="00DA1611"/>
    <w:rsid w:val="00DA2D07"/>
    <w:rsid w:val="00DA3E6F"/>
    <w:rsid w:val="00DA5FD1"/>
    <w:rsid w:val="00DA62C5"/>
    <w:rsid w:val="00DA7CB8"/>
    <w:rsid w:val="00DA7DA7"/>
    <w:rsid w:val="00DB0CB2"/>
    <w:rsid w:val="00DB676E"/>
    <w:rsid w:val="00DC08BC"/>
    <w:rsid w:val="00DC1F63"/>
    <w:rsid w:val="00DC2061"/>
    <w:rsid w:val="00DC27F0"/>
    <w:rsid w:val="00DD1011"/>
    <w:rsid w:val="00DD30CA"/>
    <w:rsid w:val="00DD73DC"/>
    <w:rsid w:val="00DE221F"/>
    <w:rsid w:val="00DE3A2A"/>
    <w:rsid w:val="00DE55E6"/>
    <w:rsid w:val="00DE5DBB"/>
    <w:rsid w:val="00DF169D"/>
    <w:rsid w:val="00DF3A08"/>
    <w:rsid w:val="00DF7AE1"/>
    <w:rsid w:val="00E0241F"/>
    <w:rsid w:val="00E0278D"/>
    <w:rsid w:val="00E04461"/>
    <w:rsid w:val="00E04482"/>
    <w:rsid w:val="00E04D37"/>
    <w:rsid w:val="00E05840"/>
    <w:rsid w:val="00E07968"/>
    <w:rsid w:val="00E10BA8"/>
    <w:rsid w:val="00E12448"/>
    <w:rsid w:val="00E12A91"/>
    <w:rsid w:val="00E14683"/>
    <w:rsid w:val="00E207DB"/>
    <w:rsid w:val="00E21EFB"/>
    <w:rsid w:val="00E2267F"/>
    <w:rsid w:val="00E235D4"/>
    <w:rsid w:val="00E25FBA"/>
    <w:rsid w:val="00E270B7"/>
    <w:rsid w:val="00E27C9F"/>
    <w:rsid w:val="00E36A50"/>
    <w:rsid w:val="00E41B22"/>
    <w:rsid w:val="00E4385A"/>
    <w:rsid w:val="00E43C87"/>
    <w:rsid w:val="00E44BDB"/>
    <w:rsid w:val="00E4516E"/>
    <w:rsid w:val="00E503E4"/>
    <w:rsid w:val="00E50555"/>
    <w:rsid w:val="00E528EB"/>
    <w:rsid w:val="00E5370B"/>
    <w:rsid w:val="00E55545"/>
    <w:rsid w:val="00E56811"/>
    <w:rsid w:val="00E56A3E"/>
    <w:rsid w:val="00E6139F"/>
    <w:rsid w:val="00E61E1E"/>
    <w:rsid w:val="00E62387"/>
    <w:rsid w:val="00E64B3B"/>
    <w:rsid w:val="00E67D97"/>
    <w:rsid w:val="00E71A05"/>
    <w:rsid w:val="00E742BC"/>
    <w:rsid w:val="00E80AB0"/>
    <w:rsid w:val="00E81EAA"/>
    <w:rsid w:val="00E825DC"/>
    <w:rsid w:val="00E8435E"/>
    <w:rsid w:val="00E85B2E"/>
    <w:rsid w:val="00E86110"/>
    <w:rsid w:val="00E90B9D"/>
    <w:rsid w:val="00E923F1"/>
    <w:rsid w:val="00E93BA2"/>
    <w:rsid w:val="00E93E40"/>
    <w:rsid w:val="00E96A6F"/>
    <w:rsid w:val="00EA1B79"/>
    <w:rsid w:val="00EA3A0D"/>
    <w:rsid w:val="00EA42B1"/>
    <w:rsid w:val="00EA6D03"/>
    <w:rsid w:val="00EB1D3D"/>
    <w:rsid w:val="00EB3D8A"/>
    <w:rsid w:val="00EB4AF9"/>
    <w:rsid w:val="00EB711D"/>
    <w:rsid w:val="00EC0476"/>
    <w:rsid w:val="00EC5A2E"/>
    <w:rsid w:val="00EC71ED"/>
    <w:rsid w:val="00EC7486"/>
    <w:rsid w:val="00ED025B"/>
    <w:rsid w:val="00ED0AB1"/>
    <w:rsid w:val="00ED2536"/>
    <w:rsid w:val="00ED27A5"/>
    <w:rsid w:val="00ED7B38"/>
    <w:rsid w:val="00EE0057"/>
    <w:rsid w:val="00EE0E84"/>
    <w:rsid w:val="00EE208F"/>
    <w:rsid w:val="00EE308D"/>
    <w:rsid w:val="00EE44C9"/>
    <w:rsid w:val="00EF087C"/>
    <w:rsid w:val="00EF2769"/>
    <w:rsid w:val="00EF366A"/>
    <w:rsid w:val="00EF4DF3"/>
    <w:rsid w:val="00F00974"/>
    <w:rsid w:val="00F02F28"/>
    <w:rsid w:val="00F0799D"/>
    <w:rsid w:val="00F11EB5"/>
    <w:rsid w:val="00F12744"/>
    <w:rsid w:val="00F13F24"/>
    <w:rsid w:val="00F1419E"/>
    <w:rsid w:val="00F209D8"/>
    <w:rsid w:val="00F27ED1"/>
    <w:rsid w:val="00F30CF8"/>
    <w:rsid w:val="00F31315"/>
    <w:rsid w:val="00F326A2"/>
    <w:rsid w:val="00F35DEA"/>
    <w:rsid w:val="00F3760D"/>
    <w:rsid w:val="00F40408"/>
    <w:rsid w:val="00F42301"/>
    <w:rsid w:val="00F42F5E"/>
    <w:rsid w:val="00F4554A"/>
    <w:rsid w:val="00F46297"/>
    <w:rsid w:val="00F46ABC"/>
    <w:rsid w:val="00F5172B"/>
    <w:rsid w:val="00F53655"/>
    <w:rsid w:val="00F53C1E"/>
    <w:rsid w:val="00F55290"/>
    <w:rsid w:val="00F55956"/>
    <w:rsid w:val="00F56CA9"/>
    <w:rsid w:val="00F6071E"/>
    <w:rsid w:val="00F616C5"/>
    <w:rsid w:val="00F62CFC"/>
    <w:rsid w:val="00F639E2"/>
    <w:rsid w:val="00F65284"/>
    <w:rsid w:val="00F711FF"/>
    <w:rsid w:val="00F71512"/>
    <w:rsid w:val="00F74363"/>
    <w:rsid w:val="00F74FA5"/>
    <w:rsid w:val="00F7658C"/>
    <w:rsid w:val="00F769FF"/>
    <w:rsid w:val="00F77E6A"/>
    <w:rsid w:val="00F81D93"/>
    <w:rsid w:val="00F8244E"/>
    <w:rsid w:val="00F83091"/>
    <w:rsid w:val="00F831FB"/>
    <w:rsid w:val="00F86C62"/>
    <w:rsid w:val="00F907B5"/>
    <w:rsid w:val="00F90A80"/>
    <w:rsid w:val="00F924EA"/>
    <w:rsid w:val="00F93164"/>
    <w:rsid w:val="00F93332"/>
    <w:rsid w:val="00F940A3"/>
    <w:rsid w:val="00F9413F"/>
    <w:rsid w:val="00F94A2D"/>
    <w:rsid w:val="00F94D21"/>
    <w:rsid w:val="00FA11D0"/>
    <w:rsid w:val="00FA14EB"/>
    <w:rsid w:val="00FA21DB"/>
    <w:rsid w:val="00FA344A"/>
    <w:rsid w:val="00FA39DE"/>
    <w:rsid w:val="00FA406D"/>
    <w:rsid w:val="00FA44DE"/>
    <w:rsid w:val="00FA4570"/>
    <w:rsid w:val="00FA54FD"/>
    <w:rsid w:val="00FB0EF1"/>
    <w:rsid w:val="00FB0EFD"/>
    <w:rsid w:val="00FB11F5"/>
    <w:rsid w:val="00FB3748"/>
    <w:rsid w:val="00FB5056"/>
    <w:rsid w:val="00FB61DA"/>
    <w:rsid w:val="00FC015B"/>
    <w:rsid w:val="00FC19A6"/>
    <w:rsid w:val="00FC3C87"/>
    <w:rsid w:val="00FD0095"/>
    <w:rsid w:val="00FD0CB0"/>
    <w:rsid w:val="00FD1315"/>
    <w:rsid w:val="00FD1998"/>
    <w:rsid w:val="00FD19F3"/>
    <w:rsid w:val="00FD4EC1"/>
    <w:rsid w:val="00FD5364"/>
    <w:rsid w:val="00FD7BD8"/>
    <w:rsid w:val="00FE0273"/>
    <w:rsid w:val="00FE1536"/>
    <w:rsid w:val="00FE25EE"/>
    <w:rsid w:val="00FE4491"/>
    <w:rsid w:val="00FE5718"/>
    <w:rsid w:val="00FE68CD"/>
    <w:rsid w:val="00FE6A90"/>
    <w:rsid w:val="00FF061A"/>
    <w:rsid w:val="00FF12D4"/>
    <w:rsid w:val="00FF2137"/>
    <w:rsid w:val="00FF2D07"/>
    <w:rsid w:val="00FF3DA4"/>
    <w:rsid w:val="00FF6A90"/>
    <w:rsid w:val="00FF6A9F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 w:qFormat="1"/>
    <w:lsdException w:name="Hyperlink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0D151B"/>
    <w:pPr>
      <w:spacing w:after="0" w:line="240" w:lineRule="auto"/>
    </w:pPr>
    <w:rPr>
      <w:rFonts w:ascii="Times New Roman" w:eastAsia="SimSun" w:hAnsi="Times New Roman" w:cs="Times New Roman"/>
      <w:sz w:val="20"/>
      <w:szCs w:val="24"/>
    </w:rPr>
  </w:style>
  <w:style w:type="paragraph" w:styleId="Heading1">
    <w:name w:val="heading 1"/>
    <w:basedOn w:val="Title"/>
    <w:next w:val="BodyText"/>
    <w:link w:val="Heading1Char"/>
    <w:qFormat/>
    <w:rsid w:val="00F93332"/>
    <w:pPr>
      <w:keepNext/>
      <w:spacing w:before="480" w:after="120"/>
      <w:outlineLvl w:val="0"/>
    </w:pPr>
    <w:rPr>
      <w:rFonts w:cs="Arial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6D0BC5"/>
    <w:pPr>
      <w:keepNext/>
      <w:spacing w:before="360" w:after="120"/>
      <w:outlineLvl w:val="1"/>
    </w:pPr>
    <w:rPr>
      <w:rFonts w:ascii="Helvetica" w:eastAsia="Times New Roman" w:hAnsi="Helvetica" w:cs="Arial"/>
      <w:color w:val="007FAD"/>
      <w:kern w:val="28"/>
      <w:sz w:val="24"/>
      <w:szCs w:val="28"/>
    </w:rPr>
  </w:style>
  <w:style w:type="paragraph" w:styleId="Heading3">
    <w:name w:val="heading 3"/>
    <w:basedOn w:val="Heading2"/>
    <w:next w:val="BodyText"/>
    <w:link w:val="Heading3Char"/>
    <w:autoRedefine/>
    <w:qFormat/>
    <w:rsid w:val="00D24258"/>
    <w:pPr>
      <w:numPr>
        <w:ilvl w:val="2"/>
      </w:numPr>
      <w:spacing w:before="240"/>
      <w:outlineLvl w:val="2"/>
    </w:pPr>
    <w:rPr>
      <w:b/>
      <w:color w:val="124486"/>
      <w:sz w:val="22"/>
      <w:szCs w:val="22"/>
      <w:lang w:eastAsia="zh-CN"/>
    </w:rPr>
  </w:style>
  <w:style w:type="paragraph" w:styleId="Heading4">
    <w:name w:val="heading 4"/>
    <w:basedOn w:val="Heading3"/>
    <w:next w:val="BodyText"/>
    <w:link w:val="Heading4Char"/>
    <w:qFormat/>
    <w:rsid w:val="009E79EC"/>
    <w:pPr>
      <w:numPr>
        <w:ilvl w:val="3"/>
        <w:numId w:val="1"/>
      </w:numPr>
      <w:spacing w:before="320" w:after="0"/>
      <w:outlineLvl w:val="3"/>
    </w:pPr>
    <w:rPr>
      <w:b w:val="0"/>
    </w:rPr>
  </w:style>
  <w:style w:type="paragraph" w:styleId="Heading5">
    <w:name w:val="heading 5"/>
    <w:basedOn w:val="BodyText"/>
    <w:next w:val="BodyText"/>
    <w:link w:val="Heading5Char"/>
    <w:rsid w:val="009E79EC"/>
    <w:pPr>
      <w:keepNext/>
      <w:numPr>
        <w:ilvl w:val="4"/>
        <w:numId w:val="1"/>
      </w:numPr>
      <w:spacing w:before="320" w:after="0"/>
      <w:outlineLvl w:val="4"/>
    </w:pPr>
    <w:rPr>
      <w:rFonts w:ascii="Helvetica" w:hAnsi="Helvetica"/>
      <w:b/>
      <w:color w:val="A8A5A8"/>
      <w:sz w:val="22"/>
    </w:rPr>
  </w:style>
  <w:style w:type="paragraph" w:styleId="Heading6">
    <w:name w:val="heading 6"/>
    <w:next w:val="BodyText"/>
    <w:link w:val="Heading6Char"/>
    <w:rsid w:val="009E79EC"/>
    <w:pPr>
      <w:spacing w:after="240" w:line="280" w:lineRule="atLeast"/>
      <w:outlineLvl w:val="5"/>
    </w:pPr>
    <w:rPr>
      <w:rFonts w:ascii="Franklin Gothic Book" w:eastAsia="Times New Roman" w:hAnsi="Franklin Gothic Book" w:cs="Times New Roman"/>
      <w:b/>
      <w:spacing w:val="-10"/>
      <w:kern w:val="28"/>
      <w:szCs w:val="19"/>
    </w:rPr>
  </w:style>
  <w:style w:type="paragraph" w:styleId="Heading7">
    <w:name w:val="heading 7"/>
    <w:basedOn w:val="Heading6"/>
    <w:next w:val="BodyText"/>
    <w:link w:val="Heading7Char"/>
    <w:rsid w:val="007E10A5"/>
    <w:pPr>
      <w:numPr>
        <w:ilvl w:val="6"/>
      </w:numPr>
      <w:outlineLvl w:val="6"/>
    </w:pPr>
  </w:style>
  <w:style w:type="paragraph" w:styleId="Heading8">
    <w:name w:val="heading 8"/>
    <w:basedOn w:val="Heading7"/>
    <w:next w:val="BodyText"/>
    <w:link w:val="Heading8Char"/>
    <w:rsid w:val="0050529F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rsid w:val="0050529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3332"/>
    <w:rPr>
      <w:rFonts w:ascii="Helvetica" w:eastAsia="Times New Roman" w:hAnsi="Helvetica" w:cs="Arial"/>
      <w:color w:val="124486"/>
      <w:spacing w:val="-10"/>
      <w:kern w:val="28"/>
      <w:sz w:val="28"/>
      <w:szCs w:val="28"/>
    </w:rPr>
  </w:style>
  <w:style w:type="paragraph" w:styleId="BodyText">
    <w:name w:val="Body Text"/>
    <w:basedOn w:val="Normal"/>
    <w:link w:val="BodyTextChar"/>
    <w:qFormat/>
    <w:rsid w:val="00F93332"/>
    <w:pPr>
      <w:spacing w:after="160" w:line="280" w:lineRule="exact"/>
    </w:pPr>
    <w:rPr>
      <w:rFonts w:ascii="Franklin Gothic Book" w:eastAsia="Times New Roman" w:hAnsi="Franklin Gothic Book"/>
      <w:sz w:val="21"/>
    </w:rPr>
  </w:style>
  <w:style w:type="character" w:customStyle="1" w:styleId="BodyTextChar">
    <w:name w:val="Body Text Char"/>
    <w:basedOn w:val="DefaultParagraphFont"/>
    <w:link w:val="BodyText"/>
    <w:rsid w:val="00F93332"/>
    <w:rPr>
      <w:rFonts w:ascii="Franklin Gothic Book" w:eastAsia="Times New Roman" w:hAnsi="Franklin Gothic Book" w:cs="Times New Roman"/>
      <w:sz w:val="21"/>
      <w:szCs w:val="24"/>
    </w:rPr>
  </w:style>
  <w:style w:type="character" w:customStyle="1" w:styleId="Heading2Char">
    <w:name w:val="Heading 2 Char"/>
    <w:basedOn w:val="DefaultParagraphFont"/>
    <w:link w:val="Heading2"/>
    <w:rsid w:val="006D0BC5"/>
    <w:rPr>
      <w:rFonts w:ascii="Helvetica" w:eastAsia="Times New Roman" w:hAnsi="Helvetica" w:cs="Arial"/>
      <w:color w:val="007FAD"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24258"/>
    <w:rPr>
      <w:rFonts w:ascii="Helvetica" w:eastAsia="Times New Roman" w:hAnsi="Helvetica" w:cs="Arial"/>
      <w:b/>
      <w:color w:val="124486"/>
      <w:kern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E79EC"/>
    <w:rPr>
      <w:rFonts w:ascii="Helvetica" w:eastAsia="Times New Roman" w:hAnsi="Helvetica" w:cs="Arial"/>
      <w:color w:val="124486"/>
      <w:kern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9E79EC"/>
    <w:rPr>
      <w:rFonts w:ascii="Helvetica" w:eastAsia="Times New Roman" w:hAnsi="Helvetica" w:cs="Times New Roman"/>
      <w:b/>
      <w:color w:val="A8A5A8"/>
      <w:szCs w:val="24"/>
    </w:rPr>
  </w:style>
  <w:style w:type="character" w:customStyle="1" w:styleId="Heading6Char">
    <w:name w:val="Heading 6 Char"/>
    <w:basedOn w:val="DefaultParagraphFont"/>
    <w:link w:val="Heading6"/>
    <w:rsid w:val="009E79EC"/>
    <w:rPr>
      <w:rFonts w:ascii="Franklin Gothic Book" w:eastAsia="Times New Roman" w:hAnsi="Franklin Gothic Book" w:cs="Times New Roman"/>
      <w:b/>
      <w:spacing w:val="-10"/>
      <w:kern w:val="28"/>
      <w:szCs w:val="19"/>
    </w:rPr>
  </w:style>
  <w:style w:type="character" w:customStyle="1" w:styleId="Heading7Char">
    <w:name w:val="Heading 7 Char"/>
    <w:basedOn w:val="DefaultParagraphFont"/>
    <w:link w:val="Heading7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character" w:customStyle="1" w:styleId="Heading8Char">
    <w:name w:val="Heading 8 Char"/>
    <w:basedOn w:val="DefaultParagraphFont"/>
    <w:link w:val="Heading8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character" w:customStyle="1" w:styleId="Heading9Char">
    <w:name w:val="Heading 9 Char"/>
    <w:basedOn w:val="DefaultParagraphFont"/>
    <w:link w:val="Heading9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paragraph" w:styleId="Subtitle">
    <w:name w:val="Subtitle"/>
    <w:basedOn w:val="Normal"/>
    <w:next w:val="Normal"/>
    <w:link w:val="SubtitleChar"/>
    <w:qFormat/>
    <w:rsid w:val="00E36A50"/>
    <w:pPr>
      <w:spacing w:before="120" w:after="360"/>
    </w:pPr>
    <w:rPr>
      <w:rFonts w:ascii="Helvetica" w:eastAsia="Times New Roman" w:hAnsi="Helvetica"/>
      <w:color w:val="007FAD"/>
      <w:spacing w:val="-10"/>
      <w:kern w:val="28"/>
      <w:sz w:val="28"/>
      <w:szCs w:val="28"/>
    </w:rPr>
  </w:style>
  <w:style w:type="paragraph" w:customStyle="1" w:styleId="PublicationDate">
    <w:name w:val="Publication Date"/>
    <w:next w:val="Heading1"/>
    <w:rsid w:val="00F93332"/>
    <w:pPr>
      <w:spacing w:after="360"/>
    </w:pPr>
    <w:rPr>
      <w:rFonts w:ascii="Helvetica" w:eastAsia="Times New Roman" w:hAnsi="Helvetica" w:cs="Times New Roman"/>
      <w:color w:val="A8A5A8"/>
      <w:spacing w:val="-10"/>
      <w:kern w:val="24"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E36A50"/>
    <w:rPr>
      <w:rFonts w:ascii="Helvetica" w:eastAsia="Times New Roman" w:hAnsi="Helvetica" w:cs="Times New Roman"/>
      <w:color w:val="007FAD"/>
      <w:spacing w:val="-10"/>
      <w:kern w:val="2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E79EC"/>
    <w:pPr>
      <w:tabs>
        <w:tab w:val="right" w:pos="8222"/>
      </w:tabs>
    </w:pPr>
    <w:rPr>
      <w:rFonts w:ascii="Franklin Gothic Book" w:hAnsi="Franklin Gothic Book"/>
      <w:color w:val="A8A5A8"/>
      <w:sz w:val="14"/>
    </w:rPr>
  </w:style>
  <w:style w:type="paragraph" w:styleId="Title">
    <w:name w:val="Title"/>
    <w:basedOn w:val="Normal"/>
    <w:next w:val="Normal"/>
    <w:link w:val="TitleChar"/>
    <w:qFormat/>
    <w:rsid w:val="00AA406C"/>
    <w:pPr>
      <w:spacing w:before="120" w:after="240"/>
    </w:pPr>
    <w:rPr>
      <w:rFonts w:ascii="Helvetica" w:eastAsia="Times New Roman" w:hAnsi="Helvetica"/>
      <w:color w:val="007FAD"/>
      <w:spacing w:val="-1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AA406C"/>
    <w:rPr>
      <w:rFonts w:ascii="Helvetica" w:eastAsia="Times New Roman" w:hAnsi="Helvetica" w:cs="Times New Roman"/>
      <w:color w:val="007FAD"/>
      <w:spacing w:val="-10"/>
      <w:kern w:val="28"/>
      <w:sz w:val="4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E79EC"/>
    <w:rPr>
      <w:rFonts w:ascii="Franklin Gothic Book" w:eastAsia="SimSun" w:hAnsi="Franklin Gothic Book" w:cs="Times New Roman"/>
      <w:color w:val="A8A5A8"/>
      <w:sz w:val="14"/>
      <w:szCs w:val="24"/>
    </w:rPr>
  </w:style>
  <w:style w:type="paragraph" w:styleId="Caption">
    <w:name w:val="caption"/>
    <w:basedOn w:val="Normal"/>
    <w:next w:val="BodyText"/>
    <w:link w:val="CaptionChar"/>
    <w:autoRedefine/>
    <w:uiPriority w:val="35"/>
    <w:qFormat/>
    <w:rsid w:val="00027373"/>
    <w:pPr>
      <w:keepNext/>
      <w:spacing w:before="80" w:after="80" w:line="280" w:lineRule="atLeast"/>
    </w:pPr>
    <w:rPr>
      <w:rFonts w:ascii="Franklin Gothic Book" w:eastAsia="Times New Roman" w:hAnsi="Franklin Gothic Book" w:cs="Arial"/>
      <w:b/>
      <w:szCs w:val="19"/>
      <w:u w:val="single"/>
    </w:rPr>
  </w:style>
  <w:style w:type="paragraph" w:customStyle="1" w:styleId="Note">
    <w:name w:val="Note"/>
    <w:basedOn w:val="TableTextEntries"/>
    <w:next w:val="BodyText"/>
    <w:link w:val="NoteCharChar"/>
    <w:autoRedefine/>
    <w:rsid w:val="006D0BC5"/>
    <w:pPr>
      <w:keepNext/>
      <w:spacing w:before="20" w:after="20" w:line="180" w:lineRule="atLeast"/>
      <w:jc w:val="both"/>
    </w:pPr>
    <w:rPr>
      <w:iCs w:val="0"/>
      <w:sz w:val="14"/>
      <w:szCs w:val="14"/>
      <w:lang w:eastAsia="en-AU"/>
    </w:rPr>
  </w:style>
  <w:style w:type="paragraph" w:customStyle="1" w:styleId="TableTextEntries">
    <w:name w:val="Table Text Entries"/>
    <w:rsid w:val="00B249B7"/>
    <w:pPr>
      <w:keepLines/>
      <w:spacing w:before="40" w:after="40" w:line="200" w:lineRule="atLeast"/>
    </w:pPr>
    <w:rPr>
      <w:rFonts w:ascii="Franklin Gothic Book" w:eastAsia="Times New Roman" w:hAnsi="Franklin Gothic Book" w:cs="Times New Roman"/>
      <w:iCs/>
      <w:sz w:val="17"/>
      <w:szCs w:val="17"/>
      <w:lang w:eastAsia="en-US"/>
    </w:rPr>
  </w:style>
  <w:style w:type="character" w:customStyle="1" w:styleId="NoteCharChar">
    <w:name w:val="Note Char Char"/>
    <w:link w:val="Note"/>
    <w:rsid w:val="006D0BC5"/>
    <w:rPr>
      <w:rFonts w:ascii="Franklin Gothic Book" w:eastAsia="Times New Roman" w:hAnsi="Franklin Gothic Book" w:cs="Times New Roman"/>
      <w:sz w:val="14"/>
      <w:szCs w:val="14"/>
    </w:rPr>
  </w:style>
  <w:style w:type="paragraph" w:customStyle="1" w:styleId="TableDataEntries">
    <w:name w:val="Table Data Entries"/>
    <w:basedOn w:val="TableTextEntries"/>
    <w:rsid w:val="0050529F"/>
    <w:pPr>
      <w:jc w:val="right"/>
    </w:pPr>
  </w:style>
  <w:style w:type="paragraph" w:customStyle="1" w:styleId="TableDataColumnHeading">
    <w:name w:val="Table Data Column Heading"/>
    <w:basedOn w:val="TableDataEntries"/>
    <w:rsid w:val="0050529F"/>
    <w:pPr>
      <w:spacing w:before="80" w:after="80"/>
    </w:pPr>
    <w:rPr>
      <w:rFonts w:ascii="Franklin Gothic Medium" w:hAnsi="Franklin Gothic Medium"/>
    </w:rPr>
  </w:style>
  <w:style w:type="paragraph" w:customStyle="1" w:styleId="TableTextColumnHeading">
    <w:name w:val="Table Text Column Heading"/>
    <w:basedOn w:val="TableDataColumnHeading"/>
    <w:autoRedefine/>
    <w:rsid w:val="0007395B"/>
    <w:pPr>
      <w:jc w:val="left"/>
    </w:pPr>
    <w:rPr>
      <w:b/>
    </w:rPr>
  </w:style>
  <w:style w:type="paragraph" w:styleId="ListBullet3">
    <w:name w:val="List Bullet 3"/>
    <w:basedOn w:val="ListBullet2"/>
    <w:uiPriority w:val="99"/>
    <w:unhideWhenUsed/>
    <w:rsid w:val="007E3D71"/>
    <w:pPr>
      <w:numPr>
        <w:numId w:val="14"/>
      </w:numPr>
      <w:tabs>
        <w:tab w:val="left" w:pos="567"/>
      </w:tabs>
      <w:ind w:left="851" w:hanging="284"/>
      <w:contextualSpacing/>
    </w:pPr>
  </w:style>
  <w:style w:type="table" w:customStyle="1" w:styleId="DFATTable">
    <w:name w:val="DFAT Table"/>
    <w:basedOn w:val="TableNormal"/>
    <w:uiPriority w:val="99"/>
    <w:rsid w:val="003B2756"/>
    <w:pPr>
      <w:spacing w:after="0" w:line="240" w:lineRule="auto"/>
    </w:pPr>
    <w:rPr>
      <w:rFonts w:ascii="Helvetica" w:hAnsi="Helvetica"/>
      <w:sz w:val="17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FATBox">
    <w:name w:val="DFAT Box"/>
    <w:basedOn w:val="TableNormal"/>
    <w:uiPriority w:val="99"/>
    <w:rsid w:val="00AA406C"/>
    <w:pPr>
      <w:spacing w:after="0" w:line="240" w:lineRule="auto"/>
    </w:pPr>
    <w:rPr>
      <w:rFonts w:ascii="Helvetica" w:hAnsi="Helve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D5E6"/>
    </w:tcPr>
  </w:style>
  <w:style w:type="paragraph" w:styleId="ListBullet">
    <w:name w:val="List Bullet"/>
    <w:basedOn w:val="BodyText"/>
    <w:qFormat/>
    <w:rsid w:val="00F93332"/>
    <w:pPr>
      <w:tabs>
        <w:tab w:val="left" w:pos="284"/>
      </w:tabs>
      <w:spacing w:after="120"/>
    </w:pPr>
  </w:style>
  <w:style w:type="paragraph" w:styleId="ListBullet2">
    <w:name w:val="List Bullet 2"/>
    <w:basedOn w:val="ListBullet"/>
    <w:qFormat/>
    <w:rsid w:val="00F42F5E"/>
    <w:pPr>
      <w:numPr>
        <w:numId w:val="9"/>
      </w:numPr>
      <w:ind w:left="568" w:hanging="284"/>
    </w:pPr>
  </w:style>
  <w:style w:type="paragraph" w:styleId="ListNumber">
    <w:name w:val="List Number"/>
    <w:basedOn w:val="ListBullet"/>
    <w:qFormat/>
    <w:rsid w:val="00F93332"/>
    <w:pPr>
      <w:numPr>
        <w:numId w:val="13"/>
      </w:numPr>
      <w:ind w:left="284" w:hanging="284"/>
    </w:pPr>
  </w:style>
  <w:style w:type="paragraph" w:styleId="ListNumber2">
    <w:name w:val="List Number 2"/>
    <w:basedOn w:val="ListNumber"/>
    <w:qFormat/>
    <w:rsid w:val="007E3D71"/>
    <w:pPr>
      <w:numPr>
        <w:numId w:val="10"/>
      </w:numPr>
      <w:ind w:left="568" w:hanging="284"/>
    </w:pPr>
  </w:style>
  <w:style w:type="paragraph" w:styleId="BalloonText">
    <w:name w:val="Balloon Text"/>
    <w:basedOn w:val="Normal"/>
    <w:link w:val="BalloonTextChar"/>
    <w:semiHidden/>
    <w:unhideWhenUsed/>
    <w:rsid w:val="009E79EC"/>
    <w:rPr>
      <w:rFonts w:ascii="Franklin Gothic Book" w:hAnsi="Franklin Gothic Book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9EC"/>
    <w:pPr>
      <w:tabs>
        <w:tab w:val="center" w:pos="4513"/>
        <w:tab w:val="right" w:pos="9026"/>
      </w:tabs>
    </w:pPr>
  </w:style>
  <w:style w:type="paragraph" w:styleId="Date">
    <w:name w:val="Date"/>
    <w:basedOn w:val="Normal"/>
    <w:next w:val="Normal"/>
    <w:link w:val="DateChar"/>
    <w:unhideWhenUsed/>
    <w:qFormat/>
    <w:rsid w:val="009E79EC"/>
    <w:rPr>
      <w:rFonts w:ascii="Franklin Gothic Book" w:hAnsi="Franklin Gothic Book"/>
    </w:rPr>
  </w:style>
  <w:style w:type="character" w:styleId="PageNumber">
    <w:name w:val="page number"/>
    <w:semiHidden/>
    <w:rsid w:val="009E79EC"/>
    <w:rPr>
      <w:rFonts w:ascii="Helvetica" w:hAnsi="Helvetica"/>
      <w:color w:val="A8A5A8"/>
      <w:sz w:val="14"/>
      <w:szCs w:val="14"/>
    </w:rPr>
  </w:style>
  <w:style w:type="paragraph" w:styleId="TOC1">
    <w:name w:val="toc 1"/>
    <w:basedOn w:val="BodyText"/>
    <w:next w:val="BodyText"/>
    <w:semiHidden/>
    <w:rsid w:val="009E79EC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Helvetica" w:hAnsi="Helvetica"/>
      <w:color w:val="A8A5A8"/>
    </w:rPr>
  </w:style>
  <w:style w:type="paragraph" w:styleId="TOC2">
    <w:name w:val="toc 2"/>
    <w:basedOn w:val="TOC1"/>
    <w:next w:val="TOC1"/>
    <w:semiHidden/>
    <w:rsid w:val="009E79EC"/>
    <w:pPr>
      <w:spacing w:before="120" w:line="200" w:lineRule="atLeast"/>
      <w:ind w:left="0" w:firstLine="0"/>
    </w:pPr>
    <w:rPr>
      <w:color w:val="007FAD"/>
      <w:szCs w:val="21"/>
    </w:rPr>
  </w:style>
  <w:style w:type="character" w:customStyle="1" w:styleId="BalloonTextChar">
    <w:name w:val="Balloon Text Char"/>
    <w:basedOn w:val="DefaultParagraphFont"/>
    <w:link w:val="BalloonText"/>
    <w:semiHidden/>
    <w:rsid w:val="009E79EC"/>
    <w:rPr>
      <w:rFonts w:ascii="Franklin Gothic Book" w:eastAsia="SimSun" w:hAnsi="Franklin Gothic Book" w:cs="Tahoma"/>
      <w:sz w:val="16"/>
      <w:szCs w:val="16"/>
    </w:rPr>
  </w:style>
  <w:style w:type="paragraph" w:customStyle="1" w:styleId="BoxListBullet">
    <w:name w:val="Box List Bullet"/>
    <w:basedOn w:val="BoxText"/>
    <w:rsid w:val="00976FB3"/>
    <w:pPr>
      <w:keepLines/>
      <w:numPr>
        <w:numId w:val="5"/>
      </w:numPr>
      <w:spacing w:line="240" w:lineRule="auto"/>
      <w:ind w:left="284" w:hanging="284"/>
      <w:contextualSpacing/>
      <w:mirrorIndents/>
    </w:pPr>
  </w:style>
  <w:style w:type="paragraph" w:customStyle="1" w:styleId="BoxText">
    <w:name w:val="Box Text"/>
    <w:link w:val="BoxTextChar"/>
    <w:autoRedefine/>
    <w:rsid w:val="00FD1315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C7D5E6"/>
      <w:spacing w:after="120" w:line="280" w:lineRule="exact"/>
    </w:pPr>
    <w:rPr>
      <w:rFonts w:ascii="Franklin Gothic Book" w:eastAsia="Times New Roman" w:hAnsi="Franklin Gothic Book" w:cs="Times New Roman"/>
      <w:iCs/>
      <w:sz w:val="20"/>
      <w:szCs w:val="20"/>
    </w:rPr>
  </w:style>
  <w:style w:type="character" w:customStyle="1" w:styleId="BoxTextChar">
    <w:name w:val="Box Text Char"/>
    <w:link w:val="BoxText"/>
    <w:rsid w:val="00FD1315"/>
    <w:rPr>
      <w:rFonts w:ascii="Franklin Gothic Book" w:eastAsia="Times New Roman" w:hAnsi="Franklin Gothic Book" w:cs="Times New Roman"/>
      <w:iCs/>
      <w:sz w:val="20"/>
      <w:szCs w:val="20"/>
      <w:shd w:val="clear" w:color="auto" w:fill="C7D5E6"/>
    </w:rPr>
  </w:style>
  <w:style w:type="character" w:customStyle="1" w:styleId="HeaderChar">
    <w:name w:val="Header Char"/>
    <w:basedOn w:val="DefaultParagraphFont"/>
    <w:link w:val="Header"/>
    <w:uiPriority w:val="99"/>
    <w:rsid w:val="009E79EC"/>
    <w:rPr>
      <w:rFonts w:ascii="Times New Roman" w:eastAsia="SimSun" w:hAnsi="Times New Roman" w:cs="Times New Roman"/>
      <w:sz w:val="20"/>
      <w:szCs w:val="24"/>
    </w:rPr>
  </w:style>
  <w:style w:type="paragraph" w:customStyle="1" w:styleId="BoxHeading1">
    <w:name w:val="Box Heading 1"/>
    <w:basedOn w:val="BoxText"/>
    <w:next w:val="BoxText"/>
    <w:rsid w:val="0016740F"/>
    <w:pPr>
      <w:spacing w:before="120" w:line="240" w:lineRule="auto"/>
    </w:pPr>
    <w:rPr>
      <w:b/>
      <w:color w:val="000000"/>
    </w:rPr>
  </w:style>
  <w:style w:type="paragraph" w:customStyle="1" w:styleId="BoxHeading2">
    <w:name w:val="Box Heading 2"/>
    <w:basedOn w:val="BoxHeading1"/>
    <w:next w:val="BoxText"/>
    <w:rsid w:val="0016740F"/>
    <w:rPr>
      <w:i/>
      <w:color w:val="auto"/>
    </w:rPr>
  </w:style>
  <w:style w:type="paragraph" w:customStyle="1" w:styleId="TableListBullet">
    <w:name w:val="Table List Bullet"/>
    <w:basedOn w:val="TableTextEntries"/>
    <w:rsid w:val="00235D29"/>
    <w:pPr>
      <w:numPr>
        <w:numId w:val="7"/>
      </w:numPr>
      <w:ind w:left="284" w:hanging="284"/>
    </w:pPr>
    <w:rPr>
      <w:rFonts w:ascii="Helvetica" w:hAnsi="Helvetica"/>
    </w:rPr>
  </w:style>
  <w:style w:type="paragraph" w:styleId="TOC3">
    <w:name w:val="toc 3"/>
    <w:basedOn w:val="TOC2"/>
    <w:next w:val="BodyText"/>
    <w:semiHidden/>
    <w:rsid w:val="009E79EC"/>
    <w:pPr>
      <w:tabs>
        <w:tab w:val="clear" w:pos="397"/>
      </w:tabs>
      <w:spacing w:before="40" w:line="230" w:lineRule="atLeast"/>
      <w:ind w:left="567" w:hanging="567"/>
    </w:pPr>
    <w:rPr>
      <w:color w:val="auto"/>
      <w:sz w:val="19"/>
      <w:szCs w:val="19"/>
    </w:rPr>
  </w:style>
  <w:style w:type="paragraph" w:styleId="CommentText">
    <w:name w:val="annotation text"/>
    <w:basedOn w:val="BodyText"/>
    <w:link w:val="CommentTextChar"/>
    <w:semiHidden/>
    <w:rsid w:val="009E79EC"/>
    <w:pPr>
      <w:spacing w:line="240" w:lineRule="atLeast"/>
    </w:pPr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9E79EC"/>
    <w:rPr>
      <w:rFonts w:ascii="Franklin Gothic Book" w:eastAsia="Times New Roman" w:hAnsi="Franklin Gothic Book" w:cs="Times New Roman"/>
      <w:sz w:val="18"/>
      <w:szCs w:val="18"/>
    </w:rPr>
  </w:style>
  <w:style w:type="character" w:styleId="Hyperlink">
    <w:name w:val="Hyperlink"/>
    <w:rsid w:val="0050529F"/>
    <w:rPr>
      <w:color w:val="00467F"/>
      <w:sz w:val="20"/>
      <w:szCs w:val="20"/>
      <w:u w:val="none"/>
    </w:rPr>
  </w:style>
  <w:style w:type="paragraph" w:customStyle="1" w:styleId="TableHeading1">
    <w:name w:val="Table Heading 1"/>
    <w:basedOn w:val="TableTextEntries"/>
    <w:next w:val="TableTextEntries"/>
    <w:rsid w:val="00D6213A"/>
    <w:pPr>
      <w:spacing w:before="80" w:after="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235D29"/>
    <w:pPr>
      <w:spacing w:before="40" w:after="40"/>
    </w:pPr>
    <w:rPr>
      <w:i/>
    </w:rPr>
  </w:style>
  <w:style w:type="paragraph" w:customStyle="1" w:styleId="TableListBullet2">
    <w:name w:val="Table List Bullet 2"/>
    <w:basedOn w:val="TableListBullet"/>
    <w:link w:val="TableListBullet2Char"/>
    <w:rsid w:val="00235D29"/>
    <w:pPr>
      <w:numPr>
        <w:numId w:val="8"/>
      </w:numPr>
      <w:ind w:left="568" w:hanging="284"/>
    </w:pPr>
  </w:style>
  <w:style w:type="character" w:customStyle="1" w:styleId="TableListBullet2Char">
    <w:name w:val="Table List Bullet 2 Char"/>
    <w:link w:val="TableListBullet2"/>
    <w:rsid w:val="00235D29"/>
    <w:rPr>
      <w:rFonts w:ascii="Helvetica" w:eastAsia="Times New Roman" w:hAnsi="Helvetica" w:cs="Times New Roman"/>
      <w:iCs/>
      <w:sz w:val="17"/>
      <w:szCs w:val="17"/>
      <w:lang w:eastAsia="en-US"/>
    </w:rPr>
  </w:style>
  <w:style w:type="paragraph" w:customStyle="1" w:styleId="TableListNumber">
    <w:name w:val="Table List Number"/>
    <w:basedOn w:val="TableTextEntries"/>
    <w:rsid w:val="00235D29"/>
    <w:pPr>
      <w:numPr>
        <w:numId w:val="2"/>
      </w:numPr>
      <w:ind w:left="284" w:hanging="284"/>
    </w:pPr>
    <w:rPr>
      <w:rFonts w:ascii="Helvetica" w:hAnsi="Helvetica"/>
    </w:rPr>
  </w:style>
  <w:style w:type="paragraph" w:customStyle="1" w:styleId="TableListNumber2">
    <w:name w:val="Table List Number 2"/>
    <w:basedOn w:val="TableListNumber"/>
    <w:rsid w:val="00235D29"/>
    <w:pPr>
      <w:numPr>
        <w:numId w:val="3"/>
      </w:numPr>
      <w:ind w:left="568" w:hanging="284"/>
    </w:pPr>
  </w:style>
  <w:style w:type="character" w:styleId="FollowedHyperlink">
    <w:name w:val="FollowedHyperlink"/>
    <w:semiHidden/>
    <w:rsid w:val="0050529F"/>
    <w:rPr>
      <w:color w:val="333399"/>
      <w:u w:val="none"/>
    </w:rPr>
  </w:style>
  <w:style w:type="paragraph" w:customStyle="1" w:styleId="BoxListBullet2">
    <w:name w:val="Box List Bullet 2"/>
    <w:basedOn w:val="BoxText"/>
    <w:rsid w:val="00BD7695"/>
    <w:pPr>
      <w:keepLines/>
      <w:numPr>
        <w:numId w:val="4"/>
      </w:numPr>
      <w:tabs>
        <w:tab w:val="left" w:pos="284"/>
        <w:tab w:val="left" w:pos="851"/>
      </w:tabs>
      <w:spacing w:line="240" w:lineRule="auto"/>
      <w:ind w:left="284" w:hanging="284"/>
      <w:contextualSpacing/>
      <w:mirrorIndents/>
    </w:pPr>
    <w:rPr>
      <w:szCs w:val="18"/>
    </w:rPr>
  </w:style>
  <w:style w:type="paragraph" w:customStyle="1" w:styleId="BoxListNumber">
    <w:name w:val="Box List Number"/>
    <w:basedOn w:val="BoxListBullet"/>
    <w:rsid w:val="00BD7695"/>
    <w:pPr>
      <w:numPr>
        <w:numId w:val="6"/>
      </w:numPr>
      <w:tabs>
        <w:tab w:val="left" w:pos="284"/>
      </w:tabs>
      <w:ind w:left="568"/>
    </w:pPr>
  </w:style>
  <w:style w:type="paragraph" w:customStyle="1" w:styleId="BoxListNumber2">
    <w:name w:val="Box List Number 2"/>
    <w:basedOn w:val="BoxListNumber"/>
    <w:rsid w:val="00BD7695"/>
    <w:pPr>
      <w:numPr>
        <w:numId w:val="15"/>
      </w:numPr>
      <w:tabs>
        <w:tab w:val="left" w:pos="284"/>
      </w:tabs>
      <w:ind w:left="284" w:hanging="284"/>
    </w:pPr>
    <w:rPr>
      <w:szCs w:val="22"/>
    </w:rPr>
  </w:style>
  <w:style w:type="paragraph" w:customStyle="1" w:styleId="BoxNoteSource">
    <w:name w:val="Box Note/Source"/>
    <w:basedOn w:val="BoxText"/>
    <w:rsid w:val="00701FEA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50529F"/>
    <w:pPr>
      <w:spacing w:line="240" w:lineRule="atLeast"/>
      <w:ind w:left="284"/>
    </w:pPr>
    <w:rPr>
      <w:sz w:val="16"/>
      <w:szCs w:val="16"/>
    </w:rPr>
  </w:style>
  <w:style w:type="paragraph" w:customStyle="1" w:styleId="Photocaption">
    <w:name w:val="Photo caption"/>
    <w:basedOn w:val="Normal"/>
    <w:next w:val="BodyText"/>
    <w:semiHidden/>
    <w:rsid w:val="009E79EC"/>
    <w:pPr>
      <w:spacing w:before="140" w:after="240" w:line="180" w:lineRule="exact"/>
    </w:pPr>
    <w:rPr>
      <w:rFonts w:ascii="Franklin Gothic Book" w:eastAsia="Times New Roman" w:hAnsi="Franklin Gothic Book"/>
      <w:color w:val="A8A5A8"/>
      <w:sz w:val="14"/>
      <w:szCs w:val="14"/>
    </w:rPr>
  </w:style>
  <w:style w:type="table" w:styleId="TableGrid">
    <w:name w:val="Table Grid"/>
    <w:basedOn w:val="TableNormal"/>
    <w:uiPriority w:val="59"/>
    <w:rsid w:val="0050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2">
    <w:name w:val="Medium Grid 2 Accent 2"/>
    <w:basedOn w:val="TableNormal"/>
    <w:uiPriority w:val="68"/>
    <w:rsid w:val="005052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706D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706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06D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on">
    <w:name w:val="Revision"/>
    <w:hidden/>
    <w:uiPriority w:val="71"/>
    <w:rsid w:val="00F5365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Number3">
    <w:name w:val="List Number 3"/>
    <w:basedOn w:val="ListNumber2"/>
    <w:rsid w:val="007E3D71"/>
    <w:pPr>
      <w:numPr>
        <w:numId w:val="11"/>
      </w:numPr>
      <w:ind w:left="851" w:hanging="284"/>
    </w:pPr>
  </w:style>
  <w:style w:type="paragraph" w:styleId="EndnoteText">
    <w:name w:val="endnote text"/>
    <w:basedOn w:val="Normal"/>
    <w:link w:val="EndnoteTextChar"/>
    <w:rsid w:val="009E79EC"/>
    <w:rPr>
      <w:rFonts w:ascii="Franklin Gothic Book" w:eastAsia="Times New Roman" w:hAnsi="Franklin Gothic Book"/>
      <w:sz w:val="21"/>
      <w:szCs w:val="20"/>
    </w:rPr>
  </w:style>
  <w:style w:type="character" w:customStyle="1" w:styleId="EndnoteTextChar">
    <w:name w:val="Endnote Text Char"/>
    <w:basedOn w:val="DefaultParagraphFont"/>
    <w:link w:val="EndnoteText"/>
    <w:rsid w:val="009E79EC"/>
    <w:rPr>
      <w:rFonts w:ascii="Franklin Gothic Book" w:eastAsia="Times New Roman" w:hAnsi="Franklin Gothic Book" w:cs="Times New Roman"/>
      <w:sz w:val="21"/>
      <w:szCs w:val="20"/>
    </w:rPr>
  </w:style>
  <w:style w:type="character" w:styleId="EndnoteReference">
    <w:name w:val="endnote reference"/>
    <w:rsid w:val="009E79EC"/>
    <w:rPr>
      <w:rFonts w:ascii="Franklin Gothic Book" w:hAnsi="Franklin Gothic Book"/>
      <w:sz w:val="21"/>
      <w:vertAlign w:val="superscript"/>
    </w:rPr>
  </w:style>
  <w:style w:type="numbering" w:customStyle="1" w:styleId="StyleBulletedSymbolsymbol95ptLeft063cmHanging">
    <w:name w:val="Style Bulleted Symbol (symbol) 9.5 pt Left:  0.63 cm Hanging:  ..."/>
    <w:basedOn w:val="NoList"/>
    <w:rsid w:val="002A1935"/>
    <w:pPr>
      <w:numPr>
        <w:numId w:val="12"/>
      </w:numPr>
    </w:pPr>
  </w:style>
  <w:style w:type="character" w:customStyle="1" w:styleId="CaptionChar">
    <w:name w:val="Caption Char"/>
    <w:link w:val="Caption"/>
    <w:uiPriority w:val="35"/>
    <w:locked/>
    <w:rsid w:val="00027373"/>
    <w:rPr>
      <w:rFonts w:ascii="Franklin Gothic Book" w:eastAsia="Times New Roman" w:hAnsi="Franklin Gothic Book" w:cs="Arial"/>
      <w:b/>
      <w:sz w:val="20"/>
      <w:szCs w:val="19"/>
      <w:u w:val="single"/>
    </w:rPr>
  </w:style>
  <w:style w:type="paragraph" w:styleId="FootnoteText">
    <w:name w:val="footnote text"/>
    <w:basedOn w:val="BodyText"/>
    <w:link w:val="FootnoteTextChar"/>
    <w:unhideWhenUsed/>
    <w:qFormat/>
    <w:rsid w:val="00DA7CB8"/>
    <w:pPr>
      <w:spacing w:after="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7CB8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uiPriority w:val="99"/>
    <w:rsid w:val="003B2756"/>
    <w:rPr>
      <w:rFonts w:ascii="Times New Roman" w:hAnsi="Times New Roman"/>
      <w:w w:val="100"/>
      <w:position w:val="6"/>
      <w:sz w:val="16"/>
      <w:szCs w:val="1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B0987"/>
    <w:pPr>
      <w:spacing w:before="100" w:beforeAutospacing="1" w:after="100" w:afterAutospacing="1"/>
    </w:pPr>
    <w:rPr>
      <w:rFonts w:eastAsia="Times New Roman"/>
      <w:sz w:val="24"/>
    </w:rPr>
  </w:style>
  <w:style w:type="table" w:styleId="LightShading-Accent3">
    <w:name w:val="Light Shading Accent 3"/>
    <w:basedOn w:val="TableNormal"/>
    <w:uiPriority w:val="60"/>
    <w:rsid w:val="00F02F2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semiHidden/>
    <w:unhideWhenUsed/>
    <w:rsid w:val="009E79EC"/>
    <w:rPr>
      <w:rFonts w:ascii="Franklin Gothic Book" w:hAnsi="Franklin Gothic Book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79EC"/>
    <w:pPr>
      <w:spacing w:after="0" w:line="240" w:lineRule="auto"/>
    </w:pPr>
    <w:rPr>
      <w:rFonts w:eastAsia="SimSu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E79EC"/>
    <w:rPr>
      <w:rFonts w:ascii="Franklin Gothic Book" w:eastAsia="SimSun" w:hAnsi="Franklin Gothic Book" w:cs="Times New Roman"/>
      <w:b/>
      <w:bCs/>
      <w:sz w:val="20"/>
      <w:szCs w:val="20"/>
    </w:rPr>
  </w:style>
  <w:style w:type="character" w:customStyle="1" w:styleId="DateChar">
    <w:name w:val="Date Char"/>
    <w:basedOn w:val="DefaultParagraphFont"/>
    <w:link w:val="Date"/>
    <w:rsid w:val="009E79EC"/>
    <w:rPr>
      <w:rFonts w:ascii="Franklin Gothic Book" w:eastAsia="SimSun" w:hAnsi="Franklin Gothic Book" w:cs="Times New Roman"/>
      <w:sz w:val="20"/>
      <w:szCs w:val="24"/>
    </w:rPr>
  </w:style>
  <w:style w:type="paragraph" w:customStyle="1" w:styleId="GuidanceText">
    <w:name w:val="Guidance Text"/>
    <w:basedOn w:val="BodyText"/>
    <w:rsid w:val="00C85FF6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paragraph" w:customStyle="1" w:styleId="List-bullet-1">
    <w:name w:val="List-bullet-1"/>
    <w:basedOn w:val="Normal"/>
    <w:link w:val="List-bullet-1Char"/>
    <w:rsid w:val="00FD7BD8"/>
    <w:pPr>
      <w:numPr>
        <w:numId w:val="16"/>
      </w:numPr>
      <w:spacing w:before="120"/>
    </w:pPr>
    <w:rPr>
      <w:rFonts w:ascii="Arial" w:eastAsia="Times New Roman" w:hAnsi="Arial" w:cs="Arial"/>
      <w:szCs w:val="22"/>
      <w:lang w:eastAsia="en-US"/>
    </w:rPr>
  </w:style>
  <w:style w:type="character" w:customStyle="1" w:styleId="List-bullet-1Char">
    <w:name w:val="List-bullet-1 Char"/>
    <w:link w:val="List-bullet-1"/>
    <w:rsid w:val="00FD7BD8"/>
    <w:rPr>
      <w:rFonts w:ascii="Arial" w:eastAsia="Times New Roman" w:hAnsi="Arial" w:cs="Arial"/>
      <w:sz w:val="20"/>
      <w:lang w:eastAsia="en-US"/>
    </w:rPr>
  </w:style>
  <w:style w:type="paragraph" w:styleId="ListParagraph">
    <w:name w:val="List Paragraph"/>
    <w:basedOn w:val="BodyText"/>
    <w:uiPriority w:val="34"/>
    <w:qFormat/>
    <w:rsid w:val="00FD7BD8"/>
    <w:pPr>
      <w:numPr>
        <w:numId w:val="17"/>
      </w:numPr>
      <w:spacing w:after="120" w:line="240" w:lineRule="auto"/>
    </w:pPr>
    <w:rPr>
      <w:rFonts w:ascii="Times New Roman" w:hAnsi="Times New Roman"/>
      <w:sz w:val="22"/>
    </w:rPr>
  </w:style>
  <w:style w:type="table" w:customStyle="1" w:styleId="APPR">
    <w:name w:val="APPR"/>
    <w:basedOn w:val="TableNormal"/>
    <w:uiPriority w:val="99"/>
    <w:rsid w:val="002B1F66"/>
    <w:pPr>
      <w:spacing w:after="0" w:line="240" w:lineRule="auto"/>
    </w:pPr>
    <w:rPr>
      <w:rFonts w:ascii="Franklin Gothic Book" w:hAnsi="Franklin Gothic Book"/>
      <w:sz w:val="17"/>
    </w:rPr>
    <w:tblPr>
      <w:tblStyleRowBandSize w:val="1"/>
      <w:tblCellSpacing w:w="14" w:type="dxa"/>
      <w:tblInd w:w="0" w:type="dxa"/>
      <w:tblBorders>
        <w:top w:val="single" w:sz="12" w:space="0" w:color="000000" w:themeColor="text1"/>
        <w:bottom w:val="single" w:sz="1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 w:qFormat="1"/>
    <w:lsdException w:name="Hyperlink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0D151B"/>
    <w:pPr>
      <w:spacing w:after="0" w:line="240" w:lineRule="auto"/>
    </w:pPr>
    <w:rPr>
      <w:rFonts w:ascii="Times New Roman" w:eastAsia="SimSun" w:hAnsi="Times New Roman" w:cs="Times New Roman"/>
      <w:sz w:val="20"/>
      <w:szCs w:val="24"/>
    </w:rPr>
  </w:style>
  <w:style w:type="paragraph" w:styleId="Heading1">
    <w:name w:val="heading 1"/>
    <w:basedOn w:val="Title"/>
    <w:next w:val="BodyText"/>
    <w:link w:val="Heading1Char"/>
    <w:qFormat/>
    <w:rsid w:val="00F93332"/>
    <w:pPr>
      <w:keepNext/>
      <w:spacing w:before="480" w:after="120"/>
      <w:outlineLvl w:val="0"/>
    </w:pPr>
    <w:rPr>
      <w:rFonts w:cs="Arial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6D0BC5"/>
    <w:pPr>
      <w:keepNext/>
      <w:spacing w:before="360" w:after="120"/>
      <w:outlineLvl w:val="1"/>
    </w:pPr>
    <w:rPr>
      <w:rFonts w:ascii="Helvetica" w:eastAsia="Times New Roman" w:hAnsi="Helvetica" w:cs="Arial"/>
      <w:color w:val="007FAD"/>
      <w:kern w:val="28"/>
      <w:sz w:val="24"/>
      <w:szCs w:val="28"/>
    </w:rPr>
  </w:style>
  <w:style w:type="paragraph" w:styleId="Heading3">
    <w:name w:val="heading 3"/>
    <w:basedOn w:val="Heading2"/>
    <w:next w:val="BodyText"/>
    <w:link w:val="Heading3Char"/>
    <w:autoRedefine/>
    <w:qFormat/>
    <w:rsid w:val="00D24258"/>
    <w:pPr>
      <w:numPr>
        <w:ilvl w:val="2"/>
      </w:numPr>
      <w:spacing w:before="240"/>
      <w:outlineLvl w:val="2"/>
    </w:pPr>
    <w:rPr>
      <w:b/>
      <w:color w:val="124486"/>
      <w:sz w:val="22"/>
      <w:szCs w:val="22"/>
      <w:lang w:eastAsia="zh-CN"/>
    </w:rPr>
  </w:style>
  <w:style w:type="paragraph" w:styleId="Heading4">
    <w:name w:val="heading 4"/>
    <w:basedOn w:val="Heading3"/>
    <w:next w:val="BodyText"/>
    <w:link w:val="Heading4Char"/>
    <w:qFormat/>
    <w:rsid w:val="009E79EC"/>
    <w:pPr>
      <w:numPr>
        <w:ilvl w:val="3"/>
        <w:numId w:val="1"/>
      </w:numPr>
      <w:spacing w:before="320" w:after="0"/>
      <w:outlineLvl w:val="3"/>
    </w:pPr>
    <w:rPr>
      <w:b w:val="0"/>
    </w:rPr>
  </w:style>
  <w:style w:type="paragraph" w:styleId="Heading5">
    <w:name w:val="heading 5"/>
    <w:basedOn w:val="BodyText"/>
    <w:next w:val="BodyText"/>
    <w:link w:val="Heading5Char"/>
    <w:rsid w:val="009E79EC"/>
    <w:pPr>
      <w:keepNext/>
      <w:numPr>
        <w:ilvl w:val="4"/>
        <w:numId w:val="1"/>
      </w:numPr>
      <w:spacing w:before="320" w:after="0"/>
      <w:outlineLvl w:val="4"/>
    </w:pPr>
    <w:rPr>
      <w:rFonts w:ascii="Helvetica" w:hAnsi="Helvetica"/>
      <w:b/>
      <w:color w:val="A8A5A8"/>
      <w:sz w:val="22"/>
    </w:rPr>
  </w:style>
  <w:style w:type="paragraph" w:styleId="Heading6">
    <w:name w:val="heading 6"/>
    <w:next w:val="BodyText"/>
    <w:link w:val="Heading6Char"/>
    <w:rsid w:val="009E79EC"/>
    <w:pPr>
      <w:spacing w:after="240" w:line="280" w:lineRule="atLeast"/>
      <w:outlineLvl w:val="5"/>
    </w:pPr>
    <w:rPr>
      <w:rFonts w:ascii="Franklin Gothic Book" w:eastAsia="Times New Roman" w:hAnsi="Franklin Gothic Book" w:cs="Times New Roman"/>
      <w:b/>
      <w:spacing w:val="-10"/>
      <w:kern w:val="28"/>
      <w:szCs w:val="19"/>
    </w:rPr>
  </w:style>
  <w:style w:type="paragraph" w:styleId="Heading7">
    <w:name w:val="heading 7"/>
    <w:basedOn w:val="Heading6"/>
    <w:next w:val="BodyText"/>
    <w:link w:val="Heading7Char"/>
    <w:rsid w:val="007E10A5"/>
    <w:pPr>
      <w:numPr>
        <w:ilvl w:val="6"/>
      </w:numPr>
      <w:outlineLvl w:val="6"/>
    </w:pPr>
  </w:style>
  <w:style w:type="paragraph" w:styleId="Heading8">
    <w:name w:val="heading 8"/>
    <w:basedOn w:val="Heading7"/>
    <w:next w:val="BodyText"/>
    <w:link w:val="Heading8Char"/>
    <w:rsid w:val="0050529F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rsid w:val="0050529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3332"/>
    <w:rPr>
      <w:rFonts w:ascii="Helvetica" w:eastAsia="Times New Roman" w:hAnsi="Helvetica" w:cs="Arial"/>
      <w:color w:val="124486"/>
      <w:spacing w:val="-10"/>
      <w:kern w:val="28"/>
      <w:sz w:val="28"/>
      <w:szCs w:val="28"/>
    </w:rPr>
  </w:style>
  <w:style w:type="paragraph" w:styleId="BodyText">
    <w:name w:val="Body Text"/>
    <w:basedOn w:val="Normal"/>
    <w:link w:val="BodyTextChar"/>
    <w:qFormat/>
    <w:rsid w:val="00F93332"/>
    <w:pPr>
      <w:spacing w:after="160" w:line="280" w:lineRule="exact"/>
    </w:pPr>
    <w:rPr>
      <w:rFonts w:ascii="Franklin Gothic Book" w:eastAsia="Times New Roman" w:hAnsi="Franklin Gothic Book"/>
      <w:sz w:val="21"/>
    </w:rPr>
  </w:style>
  <w:style w:type="character" w:customStyle="1" w:styleId="BodyTextChar">
    <w:name w:val="Body Text Char"/>
    <w:basedOn w:val="DefaultParagraphFont"/>
    <w:link w:val="BodyText"/>
    <w:rsid w:val="00F93332"/>
    <w:rPr>
      <w:rFonts w:ascii="Franklin Gothic Book" w:eastAsia="Times New Roman" w:hAnsi="Franklin Gothic Book" w:cs="Times New Roman"/>
      <w:sz w:val="21"/>
      <w:szCs w:val="24"/>
    </w:rPr>
  </w:style>
  <w:style w:type="character" w:customStyle="1" w:styleId="Heading2Char">
    <w:name w:val="Heading 2 Char"/>
    <w:basedOn w:val="DefaultParagraphFont"/>
    <w:link w:val="Heading2"/>
    <w:rsid w:val="006D0BC5"/>
    <w:rPr>
      <w:rFonts w:ascii="Helvetica" w:eastAsia="Times New Roman" w:hAnsi="Helvetica" w:cs="Arial"/>
      <w:color w:val="007FAD"/>
      <w:kern w:val="2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24258"/>
    <w:rPr>
      <w:rFonts w:ascii="Helvetica" w:eastAsia="Times New Roman" w:hAnsi="Helvetica" w:cs="Arial"/>
      <w:b/>
      <w:color w:val="124486"/>
      <w:kern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E79EC"/>
    <w:rPr>
      <w:rFonts w:ascii="Helvetica" w:eastAsia="Times New Roman" w:hAnsi="Helvetica" w:cs="Arial"/>
      <w:color w:val="124486"/>
      <w:kern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9E79EC"/>
    <w:rPr>
      <w:rFonts w:ascii="Helvetica" w:eastAsia="Times New Roman" w:hAnsi="Helvetica" w:cs="Times New Roman"/>
      <w:b/>
      <w:color w:val="A8A5A8"/>
      <w:szCs w:val="24"/>
    </w:rPr>
  </w:style>
  <w:style w:type="character" w:customStyle="1" w:styleId="Heading6Char">
    <w:name w:val="Heading 6 Char"/>
    <w:basedOn w:val="DefaultParagraphFont"/>
    <w:link w:val="Heading6"/>
    <w:rsid w:val="009E79EC"/>
    <w:rPr>
      <w:rFonts w:ascii="Franklin Gothic Book" w:eastAsia="Times New Roman" w:hAnsi="Franklin Gothic Book" w:cs="Times New Roman"/>
      <w:b/>
      <w:spacing w:val="-10"/>
      <w:kern w:val="28"/>
      <w:szCs w:val="19"/>
    </w:rPr>
  </w:style>
  <w:style w:type="character" w:customStyle="1" w:styleId="Heading7Char">
    <w:name w:val="Heading 7 Char"/>
    <w:basedOn w:val="DefaultParagraphFont"/>
    <w:link w:val="Heading7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character" w:customStyle="1" w:styleId="Heading8Char">
    <w:name w:val="Heading 8 Char"/>
    <w:basedOn w:val="DefaultParagraphFont"/>
    <w:link w:val="Heading8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character" w:customStyle="1" w:styleId="Heading9Char">
    <w:name w:val="Heading 9 Char"/>
    <w:basedOn w:val="DefaultParagraphFont"/>
    <w:link w:val="Heading9"/>
    <w:rsid w:val="007E10A5"/>
    <w:rPr>
      <w:rFonts w:ascii="Times New Roman" w:eastAsia="Times New Roman" w:hAnsi="Times New Roman" w:cs="Times New Roman"/>
      <w:b/>
      <w:spacing w:val="-10"/>
      <w:kern w:val="28"/>
      <w:szCs w:val="19"/>
    </w:rPr>
  </w:style>
  <w:style w:type="paragraph" w:styleId="Subtitle">
    <w:name w:val="Subtitle"/>
    <w:basedOn w:val="Normal"/>
    <w:next w:val="Normal"/>
    <w:link w:val="SubtitleChar"/>
    <w:qFormat/>
    <w:rsid w:val="00E36A50"/>
    <w:pPr>
      <w:spacing w:before="120" w:after="360"/>
    </w:pPr>
    <w:rPr>
      <w:rFonts w:ascii="Helvetica" w:eastAsia="Times New Roman" w:hAnsi="Helvetica"/>
      <w:color w:val="007FAD"/>
      <w:spacing w:val="-10"/>
      <w:kern w:val="28"/>
      <w:sz w:val="28"/>
      <w:szCs w:val="28"/>
    </w:rPr>
  </w:style>
  <w:style w:type="paragraph" w:customStyle="1" w:styleId="PublicationDate">
    <w:name w:val="Publication Date"/>
    <w:next w:val="Heading1"/>
    <w:rsid w:val="00F93332"/>
    <w:pPr>
      <w:spacing w:after="360"/>
    </w:pPr>
    <w:rPr>
      <w:rFonts w:ascii="Helvetica" w:eastAsia="Times New Roman" w:hAnsi="Helvetica" w:cs="Times New Roman"/>
      <w:color w:val="A8A5A8"/>
      <w:spacing w:val="-10"/>
      <w:kern w:val="24"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E36A50"/>
    <w:rPr>
      <w:rFonts w:ascii="Helvetica" w:eastAsia="Times New Roman" w:hAnsi="Helvetica" w:cs="Times New Roman"/>
      <w:color w:val="007FAD"/>
      <w:spacing w:val="-10"/>
      <w:kern w:val="2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E79EC"/>
    <w:pPr>
      <w:tabs>
        <w:tab w:val="right" w:pos="8222"/>
      </w:tabs>
    </w:pPr>
    <w:rPr>
      <w:rFonts w:ascii="Franklin Gothic Book" w:hAnsi="Franklin Gothic Book"/>
      <w:color w:val="A8A5A8"/>
      <w:sz w:val="14"/>
    </w:rPr>
  </w:style>
  <w:style w:type="paragraph" w:styleId="Title">
    <w:name w:val="Title"/>
    <w:basedOn w:val="Normal"/>
    <w:next w:val="Normal"/>
    <w:link w:val="TitleChar"/>
    <w:qFormat/>
    <w:rsid w:val="00AA406C"/>
    <w:pPr>
      <w:spacing w:before="120" w:after="240"/>
    </w:pPr>
    <w:rPr>
      <w:rFonts w:ascii="Helvetica" w:eastAsia="Times New Roman" w:hAnsi="Helvetica"/>
      <w:color w:val="007FAD"/>
      <w:spacing w:val="-1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AA406C"/>
    <w:rPr>
      <w:rFonts w:ascii="Helvetica" w:eastAsia="Times New Roman" w:hAnsi="Helvetica" w:cs="Times New Roman"/>
      <w:color w:val="007FAD"/>
      <w:spacing w:val="-10"/>
      <w:kern w:val="28"/>
      <w:sz w:val="4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E79EC"/>
    <w:rPr>
      <w:rFonts w:ascii="Franklin Gothic Book" w:eastAsia="SimSun" w:hAnsi="Franklin Gothic Book" w:cs="Times New Roman"/>
      <w:color w:val="A8A5A8"/>
      <w:sz w:val="14"/>
      <w:szCs w:val="24"/>
    </w:rPr>
  </w:style>
  <w:style w:type="paragraph" w:styleId="Caption">
    <w:name w:val="caption"/>
    <w:basedOn w:val="Normal"/>
    <w:next w:val="BodyText"/>
    <w:link w:val="CaptionChar"/>
    <w:autoRedefine/>
    <w:uiPriority w:val="35"/>
    <w:qFormat/>
    <w:rsid w:val="00027373"/>
    <w:pPr>
      <w:keepNext/>
      <w:spacing w:before="80" w:after="80" w:line="280" w:lineRule="atLeast"/>
    </w:pPr>
    <w:rPr>
      <w:rFonts w:ascii="Franklin Gothic Book" w:eastAsia="Times New Roman" w:hAnsi="Franklin Gothic Book" w:cs="Arial"/>
      <w:b/>
      <w:szCs w:val="19"/>
      <w:u w:val="single"/>
    </w:rPr>
  </w:style>
  <w:style w:type="paragraph" w:customStyle="1" w:styleId="Note">
    <w:name w:val="Note"/>
    <w:basedOn w:val="TableTextEntries"/>
    <w:next w:val="BodyText"/>
    <w:link w:val="NoteCharChar"/>
    <w:autoRedefine/>
    <w:rsid w:val="006D0BC5"/>
    <w:pPr>
      <w:keepNext/>
      <w:spacing w:before="20" w:after="20" w:line="180" w:lineRule="atLeast"/>
      <w:jc w:val="both"/>
    </w:pPr>
    <w:rPr>
      <w:iCs w:val="0"/>
      <w:sz w:val="14"/>
      <w:szCs w:val="14"/>
      <w:lang w:eastAsia="en-AU"/>
    </w:rPr>
  </w:style>
  <w:style w:type="paragraph" w:customStyle="1" w:styleId="TableTextEntries">
    <w:name w:val="Table Text Entries"/>
    <w:rsid w:val="00B249B7"/>
    <w:pPr>
      <w:keepLines/>
      <w:spacing w:before="40" w:after="40" w:line="200" w:lineRule="atLeast"/>
    </w:pPr>
    <w:rPr>
      <w:rFonts w:ascii="Franklin Gothic Book" w:eastAsia="Times New Roman" w:hAnsi="Franklin Gothic Book" w:cs="Times New Roman"/>
      <w:iCs/>
      <w:sz w:val="17"/>
      <w:szCs w:val="17"/>
      <w:lang w:eastAsia="en-US"/>
    </w:rPr>
  </w:style>
  <w:style w:type="character" w:customStyle="1" w:styleId="NoteCharChar">
    <w:name w:val="Note Char Char"/>
    <w:link w:val="Note"/>
    <w:rsid w:val="006D0BC5"/>
    <w:rPr>
      <w:rFonts w:ascii="Franklin Gothic Book" w:eastAsia="Times New Roman" w:hAnsi="Franklin Gothic Book" w:cs="Times New Roman"/>
      <w:sz w:val="14"/>
      <w:szCs w:val="14"/>
    </w:rPr>
  </w:style>
  <w:style w:type="paragraph" w:customStyle="1" w:styleId="TableDataEntries">
    <w:name w:val="Table Data Entries"/>
    <w:basedOn w:val="TableTextEntries"/>
    <w:rsid w:val="0050529F"/>
    <w:pPr>
      <w:jc w:val="right"/>
    </w:pPr>
  </w:style>
  <w:style w:type="paragraph" w:customStyle="1" w:styleId="TableDataColumnHeading">
    <w:name w:val="Table Data Column Heading"/>
    <w:basedOn w:val="TableDataEntries"/>
    <w:rsid w:val="0050529F"/>
    <w:pPr>
      <w:spacing w:before="80" w:after="80"/>
    </w:pPr>
    <w:rPr>
      <w:rFonts w:ascii="Franklin Gothic Medium" w:hAnsi="Franklin Gothic Medium"/>
    </w:rPr>
  </w:style>
  <w:style w:type="paragraph" w:customStyle="1" w:styleId="TableTextColumnHeading">
    <w:name w:val="Table Text Column Heading"/>
    <w:basedOn w:val="TableDataColumnHeading"/>
    <w:autoRedefine/>
    <w:rsid w:val="0007395B"/>
    <w:pPr>
      <w:jc w:val="left"/>
    </w:pPr>
    <w:rPr>
      <w:b/>
    </w:rPr>
  </w:style>
  <w:style w:type="paragraph" w:styleId="ListBullet3">
    <w:name w:val="List Bullet 3"/>
    <w:basedOn w:val="ListBullet2"/>
    <w:uiPriority w:val="99"/>
    <w:unhideWhenUsed/>
    <w:rsid w:val="007E3D71"/>
    <w:pPr>
      <w:numPr>
        <w:numId w:val="14"/>
      </w:numPr>
      <w:tabs>
        <w:tab w:val="left" w:pos="567"/>
      </w:tabs>
      <w:ind w:left="851" w:hanging="284"/>
      <w:contextualSpacing/>
    </w:pPr>
  </w:style>
  <w:style w:type="table" w:customStyle="1" w:styleId="DFATTable">
    <w:name w:val="DFAT Table"/>
    <w:basedOn w:val="TableNormal"/>
    <w:uiPriority w:val="99"/>
    <w:rsid w:val="003B2756"/>
    <w:pPr>
      <w:spacing w:after="0" w:line="240" w:lineRule="auto"/>
    </w:pPr>
    <w:rPr>
      <w:rFonts w:ascii="Helvetica" w:hAnsi="Helvetica"/>
      <w:sz w:val="17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FATBox">
    <w:name w:val="DFAT Box"/>
    <w:basedOn w:val="TableNormal"/>
    <w:uiPriority w:val="99"/>
    <w:rsid w:val="00AA406C"/>
    <w:pPr>
      <w:spacing w:after="0" w:line="240" w:lineRule="auto"/>
    </w:pPr>
    <w:rPr>
      <w:rFonts w:ascii="Helvetica" w:hAnsi="Helve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D5E6"/>
    </w:tcPr>
  </w:style>
  <w:style w:type="paragraph" w:styleId="ListBullet">
    <w:name w:val="List Bullet"/>
    <w:basedOn w:val="BodyText"/>
    <w:qFormat/>
    <w:rsid w:val="00F93332"/>
    <w:pPr>
      <w:tabs>
        <w:tab w:val="left" w:pos="284"/>
      </w:tabs>
      <w:spacing w:after="120"/>
    </w:pPr>
  </w:style>
  <w:style w:type="paragraph" w:styleId="ListBullet2">
    <w:name w:val="List Bullet 2"/>
    <w:basedOn w:val="ListBullet"/>
    <w:qFormat/>
    <w:rsid w:val="00F42F5E"/>
    <w:pPr>
      <w:numPr>
        <w:numId w:val="9"/>
      </w:numPr>
      <w:ind w:left="568" w:hanging="284"/>
    </w:pPr>
  </w:style>
  <w:style w:type="paragraph" w:styleId="ListNumber">
    <w:name w:val="List Number"/>
    <w:basedOn w:val="ListBullet"/>
    <w:qFormat/>
    <w:rsid w:val="00F93332"/>
    <w:pPr>
      <w:numPr>
        <w:numId w:val="13"/>
      </w:numPr>
      <w:ind w:left="284" w:hanging="284"/>
    </w:pPr>
  </w:style>
  <w:style w:type="paragraph" w:styleId="ListNumber2">
    <w:name w:val="List Number 2"/>
    <w:basedOn w:val="ListNumber"/>
    <w:qFormat/>
    <w:rsid w:val="007E3D71"/>
    <w:pPr>
      <w:numPr>
        <w:numId w:val="10"/>
      </w:numPr>
      <w:ind w:left="568" w:hanging="284"/>
    </w:pPr>
  </w:style>
  <w:style w:type="paragraph" w:styleId="BalloonText">
    <w:name w:val="Balloon Text"/>
    <w:basedOn w:val="Normal"/>
    <w:link w:val="BalloonTextChar"/>
    <w:semiHidden/>
    <w:unhideWhenUsed/>
    <w:rsid w:val="009E79EC"/>
    <w:rPr>
      <w:rFonts w:ascii="Franklin Gothic Book" w:hAnsi="Franklin Gothic Book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9EC"/>
    <w:pPr>
      <w:tabs>
        <w:tab w:val="center" w:pos="4513"/>
        <w:tab w:val="right" w:pos="9026"/>
      </w:tabs>
    </w:pPr>
  </w:style>
  <w:style w:type="paragraph" w:styleId="Date">
    <w:name w:val="Date"/>
    <w:basedOn w:val="Normal"/>
    <w:next w:val="Normal"/>
    <w:link w:val="DateChar"/>
    <w:unhideWhenUsed/>
    <w:qFormat/>
    <w:rsid w:val="009E79EC"/>
    <w:rPr>
      <w:rFonts w:ascii="Franklin Gothic Book" w:hAnsi="Franklin Gothic Book"/>
    </w:rPr>
  </w:style>
  <w:style w:type="character" w:styleId="PageNumber">
    <w:name w:val="page number"/>
    <w:semiHidden/>
    <w:rsid w:val="009E79EC"/>
    <w:rPr>
      <w:rFonts w:ascii="Helvetica" w:hAnsi="Helvetica"/>
      <w:color w:val="A8A5A8"/>
      <w:sz w:val="14"/>
      <w:szCs w:val="14"/>
    </w:rPr>
  </w:style>
  <w:style w:type="paragraph" w:styleId="TOC1">
    <w:name w:val="toc 1"/>
    <w:basedOn w:val="BodyText"/>
    <w:next w:val="BodyText"/>
    <w:semiHidden/>
    <w:rsid w:val="009E79EC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Helvetica" w:hAnsi="Helvetica"/>
      <w:color w:val="A8A5A8"/>
    </w:rPr>
  </w:style>
  <w:style w:type="paragraph" w:styleId="TOC2">
    <w:name w:val="toc 2"/>
    <w:basedOn w:val="TOC1"/>
    <w:next w:val="TOC1"/>
    <w:semiHidden/>
    <w:rsid w:val="009E79EC"/>
    <w:pPr>
      <w:spacing w:before="120" w:line="200" w:lineRule="atLeast"/>
      <w:ind w:left="0" w:firstLine="0"/>
    </w:pPr>
    <w:rPr>
      <w:color w:val="007FAD"/>
      <w:szCs w:val="21"/>
    </w:rPr>
  </w:style>
  <w:style w:type="character" w:customStyle="1" w:styleId="BalloonTextChar">
    <w:name w:val="Balloon Text Char"/>
    <w:basedOn w:val="DefaultParagraphFont"/>
    <w:link w:val="BalloonText"/>
    <w:semiHidden/>
    <w:rsid w:val="009E79EC"/>
    <w:rPr>
      <w:rFonts w:ascii="Franklin Gothic Book" w:eastAsia="SimSun" w:hAnsi="Franklin Gothic Book" w:cs="Tahoma"/>
      <w:sz w:val="16"/>
      <w:szCs w:val="16"/>
    </w:rPr>
  </w:style>
  <w:style w:type="paragraph" w:customStyle="1" w:styleId="BoxListBullet">
    <w:name w:val="Box List Bullet"/>
    <w:basedOn w:val="BoxText"/>
    <w:rsid w:val="00976FB3"/>
    <w:pPr>
      <w:keepLines/>
      <w:numPr>
        <w:numId w:val="5"/>
      </w:numPr>
      <w:spacing w:line="240" w:lineRule="auto"/>
      <w:ind w:left="284" w:hanging="284"/>
      <w:contextualSpacing/>
      <w:mirrorIndents/>
    </w:pPr>
  </w:style>
  <w:style w:type="paragraph" w:customStyle="1" w:styleId="BoxText">
    <w:name w:val="Box Text"/>
    <w:link w:val="BoxTextChar"/>
    <w:autoRedefine/>
    <w:rsid w:val="00FD1315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C7D5E6"/>
      <w:spacing w:after="120" w:line="280" w:lineRule="exact"/>
    </w:pPr>
    <w:rPr>
      <w:rFonts w:ascii="Franklin Gothic Book" w:eastAsia="Times New Roman" w:hAnsi="Franklin Gothic Book" w:cs="Times New Roman"/>
      <w:iCs/>
      <w:sz w:val="20"/>
      <w:szCs w:val="20"/>
    </w:rPr>
  </w:style>
  <w:style w:type="character" w:customStyle="1" w:styleId="BoxTextChar">
    <w:name w:val="Box Text Char"/>
    <w:link w:val="BoxText"/>
    <w:rsid w:val="00FD1315"/>
    <w:rPr>
      <w:rFonts w:ascii="Franklin Gothic Book" w:eastAsia="Times New Roman" w:hAnsi="Franklin Gothic Book" w:cs="Times New Roman"/>
      <w:iCs/>
      <w:sz w:val="20"/>
      <w:szCs w:val="20"/>
      <w:shd w:val="clear" w:color="auto" w:fill="C7D5E6"/>
    </w:rPr>
  </w:style>
  <w:style w:type="character" w:customStyle="1" w:styleId="HeaderChar">
    <w:name w:val="Header Char"/>
    <w:basedOn w:val="DefaultParagraphFont"/>
    <w:link w:val="Header"/>
    <w:uiPriority w:val="99"/>
    <w:rsid w:val="009E79EC"/>
    <w:rPr>
      <w:rFonts w:ascii="Times New Roman" w:eastAsia="SimSun" w:hAnsi="Times New Roman" w:cs="Times New Roman"/>
      <w:sz w:val="20"/>
      <w:szCs w:val="24"/>
    </w:rPr>
  </w:style>
  <w:style w:type="paragraph" w:customStyle="1" w:styleId="BoxHeading1">
    <w:name w:val="Box Heading 1"/>
    <w:basedOn w:val="BoxText"/>
    <w:next w:val="BoxText"/>
    <w:rsid w:val="0016740F"/>
    <w:pPr>
      <w:spacing w:before="120" w:line="240" w:lineRule="auto"/>
    </w:pPr>
    <w:rPr>
      <w:b/>
      <w:color w:val="000000"/>
    </w:rPr>
  </w:style>
  <w:style w:type="paragraph" w:customStyle="1" w:styleId="BoxHeading2">
    <w:name w:val="Box Heading 2"/>
    <w:basedOn w:val="BoxHeading1"/>
    <w:next w:val="BoxText"/>
    <w:rsid w:val="0016740F"/>
    <w:rPr>
      <w:i/>
      <w:color w:val="auto"/>
    </w:rPr>
  </w:style>
  <w:style w:type="paragraph" w:customStyle="1" w:styleId="TableListBullet">
    <w:name w:val="Table List Bullet"/>
    <w:basedOn w:val="TableTextEntries"/>
    <w:rsid w:val="00235D29"/>
    <w:pPr>
      <w:numPr>
        <w:numId w:val="7"/>
      </w:numPr>
      <w:ind w:left="284" w:hanging="284"/>
    </w:pPr>
    <w:rPr>
      <w:rFonts w:ascii="Helvetica" w:hAnsi="Helvetica"/>
    </w:rPr>
  </w:style>
  <w:style w:type="paragraph" w:styleId="TOC3">
    <w:name w:val="toc 3"/>
    <w:basedOn w:val="TOC2"/>
    <w:next w:val="BodyText"/>
    <w:semiHidden/>
    <w:rsid w:val="009E79EC"/>
    <w:pPr>
      <w:tabs>
        <w:tab w:val="clear" w:pos="397"/>
      </w:tabs>
      <w:spacing w:before="40" w:line="230" w:lineRule="atLeast"/>
      <w:ind w:left="567" w:hanging="567"/>
    </w:pPr>
    <w:rPr>
      <w:color w:val="auto"/>
      <w:sz w:val="19"/>
      <w:szCs w:val="19"/>
    </w:rPr>
  </w:style>
  <w:style w:type="paragraph" w:styleId="CommentText">
    <w:name w:val="annotation text"/>
    <w:basedOn w:val="BodyText"/>
    <w:link w:val="CommentTextChar"/>
    <w:semiHidden/>
    <w:rsid w:val="009E79EC"/>
    <w:pPr>
      <w:spacing w:line="240" w:lineRule="atLeast"/>
    </w:pPr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9E79EC"/>
    <w:rPr>
      <w:rFonts w:ascii="Franklin Gothic Book" w:eastAsia="Times New Roman" w:hAnsi="Franklin Gothic Book" w:cs="Times New Roman"/>
      <w:sz w:val="18"/>
      <w:szCs w:val="18"/>
    </w:rPr>
  </w:style>
  <w:style w:type="character" w:styleId="Hyperlink">
    <w:name w:val="Hyperlink"/>
    <w:rsid w:val="0050529F"/>
    <w:rPr>
      <w:color w:val="00467F"/>
      <w:sz w:val="20"/>
      <w:szCs w:val="20"/>
      <w:u w:val="none"/>
    </w:rPr>
  </w:style>
  <w:style w:type="paragraph" w:customStyle="1" w:styleId="TableHeading1">
    <w:name w:val="Table Heading 1"/>
    <w:basedOn w:val="TableTextEntries"/>
    <w:next w:val="TableTextEntries"/>
    <w:rsid w:val="00D6213A"/>
    <w:pPr>
      <w:spacing w:before="80" w:after="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235D29"/>
    <w:pPr>
      <w:spacing w:before="40" w:after="40"/>
    </w:pPr>
    <w:rPr>
      <w:i/>
    </w:rPr>
  </w:style>
  <w:style w:type="paragraph" w:customStyle="1" w:styleId="TableListBullet2">
    <w:name w:val="Table List Bullet 2"/>
    <w:basedOn w:val="TableListBullet"/>
    <w:link w:val="TableListBullet2Char"/>
    <w:rsid w:val="00235D29"/>
    <w:pPr>
      <w:numPr>
        <w:numId w:val="8"/>
      </w:numPr>
      <w:ind w:left="568" w:hanging="284"/>
    </w:pPr>
  </w:style>
  <w:style w:type="character" w:customStyle="1" w:styleId="TableListBullet2Char">
    <w:name w:val="Table List Bullet 2 Char"/>
    <w:link w:val="TableListBullet2"/>
    <w:rsid w:val="00235D29"/>
    <w:rPr>
      <w:rFonts w:ascii="Helvetica" w:eastAsia="Times New Roman" w:hAnsi="Helvetica" w:cs="Times New Roman"/>
      <w:iCs/>
      <w:sz w:val="17"/>
      <w:szCs w:val="17"/>
      <w:lang w:eastAsia="en-US"/>
    </w:rPr>
  </w:style>
  <w:style w:type="paragraph" w:customStyle="1" w:styleId="TableListNumber">
    <w:name w:val="Table List Number"/>
    <w:basedOn w:val="TableTextEntries"/>
    <w:rsid w:val="00235D29"/>
    <w:pPr>
      <w:numPr>
        <w:numId w:val="2"/>
      </w:numPr>
      <w:ind w:left="284" w:hanging="284"/>
    </w:pPr>
    <w:rPr>
      <w:rFonts w:ascii="Helvetica" w:hAnsi="Helvetica"/>
    </w:rPr>
  </w:style>
  <w:style w:type="paragraph" w:customStyle="1" w:styleId="TableListNumber2">
    <w:name w:val="Table List Number 2"/>
    <w:basedOn w:val="TableListNumber"/>
    <w:rsid w:val="00235D29"/>
    <w:pPr>
      <w:numPr>
        <w:numId w:val="3"/>
      </w:numPr>
      <w:ind w:left="568" w:hanging="284"/>
    </w:pPr>
  </w:style>
  <w:style w:type="character" w:styleId="FollowedHyperlink">
    <w:name w:val="FollowedHyperlink"/>
    <w:semiHidden/>
    <w:rsid w:val="0050529F"/>
    <w:rPr>
      <w:color w:val="333399"/>
      <w:u w:val="none"/>
    </w:rPr>
  </w:style>
  <w:style w:type="paragraph" w:customStyle="1" w:styleId="BoxListBullet2">
    <w:name w:val="Box List Bullet 2"/>
    <w:basedOn w:val="BoxText"/>
    <w:rsid w:val="00BD7695"/>
    <w:pPr>
      <w:keepLines/>
      <w:numPr>
        <w:numId w:val="4"/>
      </w:numPr>
      <w:tabs>
        <w:tab w:val="left" w:pos="284"/>
        <w:tab w:val="left" w:pos="851"/>
      </w:tabs>
      <w:spacing w:line="240" w:lineRule="auto"/>
      <w:ind w:left="284" w:hanging="284"/>
      <w:contextualSpacing/>
      <w:mirrorIndents/>
    </w:pPr>
    <w:rPr>
      <w:szCs w:val="18"/>
    </w:rPr>
  </w:style>
  <w:style w:type="paragraph" w:customStyle="1" w:styleId="BoxListNumber">
    <w:name w:val="Box List Number"/>
    <w:basedOn w:val="BoxListBullet"/>
    <w:rsid w:val="00BD7695"/>
    <w:pPr>
      <w:numPr>
        <w:numId w:val="6"/>
      </w:numPr>
      <w:tabs>
        <w:tab w:val="left" w:pos="284"/>
      </w:tabs>
      <w:ind w:left="568"/>
    </w:pPr>
  </w:style>
  <w:style w:type="paragraph" w:customStyle="1" w:styleId="BoxListNumber2">
    <w:name w:val="Box List Number 2"/>
    <w:basedOn w:val="BoxListNumber"/>
    <w:rsid w:val="00BD7695"/>
    <w:pPr>
      <w:numPr>
        <w:numId w:val="15"/>
      </w:numPr>
      <w:tabs>
        <w:tab w:val="left" w:pos="284"/>
      </w:tabs>
      <w:ind w:left="284" w:hanging="284"/>
    </w:pPr>
    <w:rPr>
      <w:szCs w:val="22"/>
    </w:rPr>
  </w:style>
  <w:style w:type="paragraph" w:customStyle="1" w:styleId="BoxNoteSource">
    <w:name w:val="Box Note/Source"/>
    <w:basedOn w:val="BoxText"/>
    <w:rsid w:val="00701FEA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50529F"/>
    <w:pPr>
      <w:spacing w:line="240" w:lineRule="atLeast"/>
      <w:ind w:left="284"/>
    </w:pPr>
    <w:rPr>
      <w:sz w:val="16"/>
      <w:szCs w:val="16"/>
    </w:rPr>
  </w:style>
  <w:style w:type="paragraph" w:customStyle="1" w:styleId="Photocaption">
    <w:name w:val="Photo caption"/>
    <w:basedOn w:val="Normal"/>
    <w:next w:val="BodyText"/>
    <w:semiHidden/>
    <w:rsid w:val="009E79EC"/>
    <w:pPr>
      <w:spacing w:before="140" w:after="240" w:line="180" w:lineRule="exact"/>
    </w:pPr>
    <w:rPr>
      <w:rFonts w:ascii="Franklin Gothic Book" w:eastAsia="Times New Roman" w:hAnsi="Franklin Gothic Book"/>
      <w:color w:val="A8A5A8"/>
      <w:sz w:val="14"/>
      <w:szCs w:val="14"/>
    </w:rPr>
  </w:style>
  <w:style w:type="table" w:styleId="TableGrid">
    <w:name w:val="Table Grid"/>
    <w:basedOn w:val="TableNormal"/>
    <w:uiPriority w:val="59"/>
    <w:rsid w:val="0050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2">
    <w:name w:val="Medium Grid 2 Accent 2"/>
    <w:basedOn w:val="TableNormal"/>
    <w:uiPriority w:val="68"/>
    <w:rsid w:val="005052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706D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706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06D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on">
    <w:name w:val="Revision"/>
    <w:hidden/>
    <w:uiPriority w:val="71"/>
    <w:rsid w:val="00F5365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Number3">
    <w:name w:val="List Number 3"/>
    <w:basedOn w:val="ListNumber2"/>
    <w:rsid w:val="007E3D71"/>
    <w:pPr>
      <w:numPr>
        <w:numId w:val="11"/>
      </w:numPr>
      <w:ind w:left="851" w:hanging="284"/>
    </w:pPr>
  </w:style>
  <w:style w:type="paragraph" w:styleId="EndnoteText">
    <w:name w:val="endnote text"/>
    <w:basedOn w:val="Normal"/>
    <w:link w:val="EndnoteTextChar"/>
    <w:rsid w:val="009E79EC"/>
    <w:rPr>
      <w:rFonts w:ascii="Franklin Gothic Book" w:eastAsia="Times New Roman" w:hAnsi="Franklin Gothic Book"/>
      <w:sz w:val="21"/>
      <w:szCs w:val="20"/>
    </w:rPr>
  </w:style>
  <w:style w:type="character" w:customStyle="1" w:styleId="EndnoteTextChar">
    <w:name w:val="Endnote Text Char"/>
    <w:basedOn w:val="DefaultParagraphFont"/>
    <w:link w:val="EndnoteText"/>
    <w:rsid w:val="009E79EC"/>
    <w:rPr>
      <w:rFonts w:ascii="Franklin Gothic Book" w:eastAsia="Times New Roman" w:hAnsi="Franklin Gothic Book" w:cs="Times New Roman"/>
      <w:sz w:val="21"/>
      <w:szCs w:val="20"/>
    </w:rPr>
  </w:style>
  <w:style w:type="character" w:styleId="EndnoteReference">
    <w:name w:val="endnote reference"/>
    <w:rsid w:val="009E79EC"/>
    <w:rPr>
      <w:rFonts w:ascii="Franklin Gothic Book" w:hAnsi="Franklin Gothic Book"/>
      <w:sz w:val="21"/>
      <w:vertAlign w:val="superscript"/>
    </w:rPr>
  </w:style>
  <w:style w:type="numbering" w:customStyle="1" w:styleId="StyleBulletedSymbolsymbol95ptLeft063cmHanging">
    <w:name w:val="Style Bulleted Symbol (symbol) 9.5 pt Left:  0.63 cm Hanging:  ..."/>
    <w:basedOn w:val="NoList"/>
    <w:rsid w:val="002A1935"/>
    <w:pPr>
      <w:numPr>
        <w:numId w:val="12"/>
      </w:numPr>
    </w:pPr>
  </w:style>
  <w:style w:type="character" w:customStyle="1" w:styleId="CaptionChar">
    <w:name w:val="Caption Char"/>
    <w:link w:val="Caption"/>
    <w:uiPriority w:val="35"/>
    <w:locked/>
    <w:rsid w:val="00027373"/>
    <w:rPr>
      <w:rFonts w:ascii="Franklin Gothic Book" w:eastAsia="Times New Roman" w:hAnsi="Franklin Gothic Book" w:cs="Arial"/>
      <w:b/>
      <w:sz w:val="20"/>
      <w:szCs w:val="19"/>
      <w:u w:val="single"/>
    </w:rPr>
  </w:style>
  <w:style w:type="paragraph" w:styleId="FootnoteText">
    <w:name w:val="footnote text"/>
    <w:basedOn w:val="BodyText"/>
    <w:link w:val="FootnoteTextChar"/>
    <w:unhideWhenUsed/>
    <w:qFormat/>
    <w:rsid w:val="00DA7CB8"/>
    <w:pPr>
      <w:spacing w:after="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7CB8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uiPriority w:val="99"/>
    <w:rsid w:val="003B2756"/>
    <w:rPr>
      <w:rFonts w:ascii="Times New Roman" w:hAnsi="Times New Roman"/>
      <w:w w:val="100"/>
      <w:position w:val="6"/>
      <w:sz w:val="16"/>
      <w:szCs w:val="1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B0987"/>
    <w:pPr>
      <w:spacing w:before="100" w:beforeAutospacing="1" w:after="100" w:afterAutospacing="1"/>
    </w:pPr>
    <w:rPr>
      <w:rFonts w:eastAsia="Times New Roman"/>
      <w:sz w:val="24"/>
    </w:rPr>
  </w:style>
  <w:style w:type="table" w:styleId="LightShading-Accent3">
    <w:name w:val="Light Shading Accent 3"/>
    <w:basedOn w:val="TableNormal"/>
    <w:uiPriority w:val="60"/>
    <w:rsid w:val="00F02F2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semiHidden/>
    <w:unhideWhenUsed/>
    <w:rsid w:val="009E79EC"/>
    <w:rPr>
      <w:rFonts w:ascii="Franklin Gothic Book" w:hAnsi="Franklin Gothic Book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79EC"/>
    <w:pPr>
      <w:spacing w:after="0" w:line="240" w:lineRule="auto"/>
    </w:pPr>
    <w:rPr>
      <w:rFonts w:eastAsia="SimSu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E79EC"/>
    <w:rPr>
      <w:rFonts w:ascii="Franklin Gothic Book" w:eastAsia="SimSun" w:hAnsi="Franklin Gothic Book" w:cs="Times New Roman"/>
      <w:b/>
      <w:bCs/>
      <w:sz w:val="20"/>
      <w:szCs w:val="20"/>
    </w:rPr>
  </w:style>
  <w:style w:type="character" w:customStyle="1" w:styleId="DateChar">
    <w:name w:val="Date Char"/>
    <w:basedOn w:val="DefaultParagraphFont"/>
    <w:link w:val="Date"/>
    <w:rsid w:val="009E79EC"/>
    <w:rPr>
      <w:rFonts w:ascii="Franklin Gothic Book" w:eastAsia="SimSun" w:hAnsi="Franklin Gothic Book" w:cs="Times New Roman"/>
      <w:sz w:val="20"/>
      <w:szCs w:val="24"/>
    </w:rPr>
  </w:style>
  <w:style w:type="paragraph" w:customStyle="1" w:styleId="GuidanceText">
    <w:name w:val="Guidance Text"/>
    <w:basedOn w:val="BodyText"/>
    <w:rsid w:val="00C85FF6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paragraph" w:customStyle="1" w:styleId="List-bullet-1">
    <w:name w:val="List-bullet-1"/>
    <w:basedOn w:val="Normal"/>
    <w:link w:val="List-bullet-1Char"/>
    <w:rsid w:val="00FD7BD8"/>
    <w:pPr>
      <w:numPr>
        <w:numId w:val="16"/>
      </w:numPr>
      <w:spacing w:before="120"/>
    </w:pPr>
    <w:rPr>
      <w:rFonts w:ascii="Arial" w:eastAsia="Times New Roman" w:hAnsi="Arial" w:cs="Arial"/>
      <w:szCs w:val="22"/>
      <w:lang w:eastAsia="en-US"/>
    </w:rPr>
  </w:style>
  <w:style w:type="character" w:customStyle="1" w:styleId="List-bullet-1Char">
    <w:name w:val="List-bullet-1 Char"/>
    <w:link w:val="List-bullet-1"/>
    <w:rsid w:val="00FD7BD8"/>
    <w:rPr>
      <w:rFonts w:ascii="Arial" w:eastAsia="Times New Roman" w:hAnsi="Arial" w:cs="Arial"/>
      <w:sz w:val="20"/>
      <w:lang w:eastAsia="en-US"/>
    </w:rPr>
  </w:style>
  <w:style w:type="paragraph" w:styleId="ListParagraph">
    <w:name w:val="List Paragraph"/>
    <w:basedOn w:val="BodyText"/>
    <w:uiPriority w:val="34"/>
    <w:qFormat/>
    <w:rsid w:val="00FD7BD8"/>
    <w:pPr>
      <w:numPr>
        <w:numId w:val="17"/>
      </w:numPr>
      <w:spacing w:after="120" w:line="240" w:lineRule="auto"/>
    </w:pPr>
    <w:rPr>
      <w:rFonts w:ascii="Times New Roman" w:hAnsi="Times New Roman"/>
      <w:sz w:val="22"/>
    </w:rPr>
  </w:style>
  <w:style w:type="table" w:customStyle="1" w:styleId="APPR">
    <w:name w:val="APPR"/>
    <w:basedOn w:val="TableNormal"/>
    <w:uiPriority w:val="99"/>
    <w:rsid w:val="002B1F66"/>
    <w:pPr>
      <w:spacing w:after="0" w:line="240" w:lineRule="auto"/>
    </w:pPr>
    <w:rPr>
      <w:rFonts w:ascii="Franklin Gothic Book" w:hAnsi="Franklin Gothic Book"/>
      <w:sz w:val="17"/>
    </w:rPr>
    <w:tblPr>
      <w:tblStyleRowBandSize w:val="1"/>
      <w:tblCellSpacing w:w="14" w:type="dxa"/>
      <w:tblInd w:w="0" w:type="dxa"/>
      <w:tblBorders>
        <w:top w:val="single" w:sz="12" w:space="0" w:color="000000" w:themeColor="text1"/>
        <w:bottom w:val="single" w:sz="1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73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9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8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1774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33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1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65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08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9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4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05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30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961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76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6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3835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95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0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52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70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409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24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543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07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17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480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  <a:ln>
          <a:noFill/>
        </a:ln>
        <a:effectLst/>
        <a:extLst>
          <a:ext uri="{91240B29-F687-4F45-9708-019B960494DF}">
            <a14:hiddenLine xmlns:a14="http://schemas.microsoft.com/office/drawing/2010/main" w="19050">
              <a:solidFill>
                <a:srgbClr val="4A7EBB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blurRad="38100"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 rot="0" vert="horz" wrap="square" lIns="91440" tIns="91440" rIns="91440" bIns="9144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B7E6DE-0B85-4263-B808-D619ED45A7B3}"/>
</file>

<file path=customXml/itemProps2.xml><?xml version="1.0" encoding="utf-8"?>
<ds:datastoreItem xmlns:ds="http://schemas.openxmlformats.org/officeDocument/2006/customXml" ds:itemID="{0991F494-D101-4190-80EE-36A0A6C7E4B8}"/>
</file>

<file path=customXml/itemProps3.xml><?xml version="1.0" encoding="utf-8"?>
<ds:datastoreItem xmlns:ds="http://schemas.openxmlformats.org/officeDocument/2006/customXml" ds:itemID="{89B653C7-CB32-49E5-8313-27A00C1B6CDF}"/>
</file>

<file path=customXml/itemProps4.xml><?xml version="1.0" encoding="utf-8"?>
<ds:datastoreItem xmlns:ds="http://schemas.openxmlformats.org/officeDocument/2006/customXml" ds:itemID="{F1B12B51-C328-44C7-AC1B-B012C2A3BB93}"/>
</file>

<file path=docProps/app.xml><?xml version="1.0" encoding="utf-8"?>
<Properties xmlns="http://schemas.openxmlformats.org/officeDocument/2006/extended-properties" xmlns:vt="http://schemas.openxmlformats.org/officeDocument/2006/docPropsVTypes">
  <Template>4B63F533</Template>
  <TotalTime>0</TotalTime>
  <Pages>5</Pages>
  <Words>1869</Words>
  <Characters>12786</Characters>
  <Application>Microsoft Office Word</Application>
  <DocSecurity>0</DocSecurity>
  <Lines>532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2015-10-30T04:34:00Z</dcterms:created>
  <dcterms:modified xsi:type="dcterms:W3CDTF">2015-10-30T04:34:00Z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979800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