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A11BC" w14:textId="7F112939" w:rsidR="000D733F" w:rsidRDefault="000D733F">
      <w:pPr>
        <w:spacing w:after="200" w:line="276" w:lineRule="auto"/>
      </w:pPr>
      <w:bookmarkStart w:id="0" w:name="_GoBack"/>
      <w:bookmarkEnd w:id="0"/>
    </w:p>
    <w:p w14:paraId="49C71C5C" w14:textId="77777777" w:rsidR="000D733F" w:rsidRDefault="000D733F" w:rsidP="009E79EC"/>
    <w:p w14:paraId="7697BEB3" w14:textId="77777777" w:rsidR="000D733F" w:rsidRDefault="000D733F">
      <w:pPr>
        <w:spacing w:after="200" w:line="276" w:lineRule="auto"/>
      </w:pPr>
    </w:p>
    <w:p w14:paraId="367BCB98" w14:textId="77777777" w:rsidR="000D733F" w:rsidRDefault="000D733F">
      <w:pPr>
        <w:spacing w:after="200" w:line="276" w:lineRule="auto"/>
      </w:pPr>
    </w:p>
    <w:p w14:paraId="463E55B8" w14:textId="77777777" w:rsidR="001227C3" w:rsidRDefault="001227C3" w:rsidP="000D733F">
      <w:pPr>
        <w:pStyle w:val="Title"/>
        <w:ind w:left="2694" w:right="-624"/>
        <w:rPr>
          <w:noProof/>
          <w:color w:val="FFFFFF"/>
          <w:spacing w:val="0"/>
          <w:sz w:val="50"/>
          <w:szCs w:val="50"/>
          <w:lang w:val="en-US" w:eastAsia="en-US"/>
        </w:rPr>
      </w:pPr>
    </w:p>
    <w:p w14:paraId="606B42F7" w14:textId="77777777" w:rsidR="001227C3" w:rsidRDefault="001227C3" w:rsidP="000D733F">
      <w:pPr>
        <w:pStyle w:val="Title"/>
        <w:ind w:left="2694" w:right="-624"/>
        <w:rPr>
          <w:noProof/>
          <w:color w:val="FFFFFF"/>
          <w:spacing w:val="0"/>
          <w:sz w:val="50"/>
          <w:szCs w:val="50"/>
          <w:lang w:val="en-US" w:eastAsia="en-US"/>
        </w:rPr>
      </w:pPr>
    </w:p>
    <w:p w14:paraId="0DF4F6BE" w14:textId="77777777" w:rsidR="001227C3" w:rsidRDefault="001227C3" w:rsidP="000D733F">
      <w:pPr>
        <w:pStyle w:val="Title"/>
        <w:ind w:left="2694" w:right="-624"/>
        <w:rPr>
          <w:noProof/>
          <w:color w:val="FFFFFF"/>
          <w:spacing w:val="0"/>
          <w:sz w:val="50"/>
          <w:szCs w:val="50"/>
          <w:lang w:val="en-US" w:eastAsia="en-US"/>
        </w:rPr>
      </w:pPr>
    </w:p>
    <w:p w14:paraId="09AA97EA" w14:textId="77777777" w:rsidR="001227C3" w:rsidRDefault="001227C3" w:rsidP="000D733F">
      <w:pPr>
        <w:pStyle w:val="Title"/>
        <w:ind w:left="2694" w:right="-624"/>
        <w:rPr>
          <w:noProof/>
          <w:color w:val="FFFFFF"/>
          <w:spacing w:val="0"/>
          <w:sz w:val="50"/>
          <w:szCs w:val="50"/>
          <w:lang w:val="en-US" w:eastAsia="en-US"/>
        </w:rPr>
      </w:pPr>
    </w:p>
    <w:p w14:paraId="7092AB05" w14:textId="77777777" w:rsidR="001227C3" w:rsidRDefault="001227C3" w:rsidP="000D733F">
      <w:pPr>
        <w:pStyle w:val="Title"/>
        <w:ind w:left="2694" w:right="-624"/>
        <w:rPr>
          <w:noProof/>
          <w:color w:val="FFFFFF"/>
          <w:spacing w:val="0"/>
          <w:sz w:val="50"/>
          <w:szCs w:val="50"/>
          <w:lang w:val="en-US" w:eastAsia="en-US"/>
        </w:rPr>
      </w:pPr>
    </w:p>
    <w:p w14:paraId="45B7D5CD" w14:textId="77777777" w:rsidR="001227C3" w:rsidRDefault="001227C3" w:rsidP="000D733F">
      <w:pPr>
        <w:pStyle w:val="Title"/>
        <w:ind w:left="2694" w:right="-624"/>
        <w:rPr>
          <w:noProof/>
          <w:color w:val="FFFFFF"/>
          <w:spacing w:val="0"/>
          <w:sz w:val="50"/>
          <w:szCs w:val="50"/>
          <w:lang w:val="en-US" w:eastAsia="en-US"/>
        </w:rPr>
      </w:pPr>
    </w:p>
    <w:p w14:paraId="38920465" w14:textId="77777777" w:rsidR="001227C3" w:rsidRDefault="001227C3" w:rsidP="000D733F">
      <w:pPr>
        <w:pStyle w:val="Title"/>
        <w:ind w:left="2694" w:right="-624"/>
        <w:rPr>
          <w:noProof/>
          <w:color w:val="FFFFFF"/>
          <w:spacing w:val="0"/>
          <w:sz w:val="50"/>
          <w:szCs w:val="50"/>
          <w:lang w:val="en-US" w:eastAsia="en-US"/>
        </w:rPr>
      </w:pPr>
    </w:p>
    <w:p w14:paraId="54BF783F" w14:textId="77777777" w:rsidR="001227C3" w:rsidRDefault="001227C3" w:rsidP="000D733F">
      <w:pPr>
        <w:pStyle w:val="Title"/>
        <w:ind w:left="2694" w:right="-624"/>
        <w:rPr>
          <w:noProof/>
          <w:color w:val="FFFFFF"/>
          <w:spacing w:val="0"/>
          <w:sz w:val="50"/>
          <w:szCs w:val="50"/>
          <w:lang w:val="en-US" w:eastAsia="en-US"/>
        </w:rPr>
      </w:pPr>
    </w:p>
    <w:p w14:paraId="5074F5C2" w14:textId="77777777" w:rsidR="001227C3" w:rsidRDefault="001227C3" w:rsidP="000D733F">
      <w:pPr>
        <w:pStyle w:val="Title"/>
        <w:ind w:left="2694" w:right="-624"/>
        <w:rPr>
          <w:noProof/>
          <w:color w:val="FFFFFF"/>
          <w:spacing w:val="0"/>
          <w:sz w:val="50"/>
          <w:szCs w:val="50"/>
          <w:lang w:val="en-US" w:eastAsia="en-US"/>
        </w:rPr>
      </w:pPr>
    </w:p>
    <w:p w14:paraId="3204EA65" w14:textId="77777777" w:rsidR="001227C3" w:rsidRDefault="001227C3" w:rsidP="000D733F">
      <w:pPr>
        <w:pStyle w:val="Title"/>
        <w:ind w:left="2694" w:right="-624"/>
        <w:rPr>
          <w:noProof/>
          <w:color w:val="FFFFFF"/>
          <w:spacing w:val="0"/>
          <w:sz w:val="50"/>
          <w:szCs w:val="50"/>
          <w:lang w:val="en-US" w:eastAsia="en-US"/>
        </w:rPr>
      </w:pPr>
    </w:p>
    <w:p w14:paraId="01A0F325" w14:textId="77777777" w:rsidR="000D733F" w:rsidRPr="001227C3" w:rsidRDefault="000D733F" w:rsidP="000D733F">
      <w:pPr>
        <w:pStyle w:val="Title"/>
        <w:ind w:left="2694" w:right="-624"/>
        <w:rPr>
          <w:noProof/>
          <w:color w:val="FFFFFF"/>
          <w:spacing w:val="0"/>
          <w:sz w:val="50"/>
          <w:szCs w:val="50"/>
          <w:lang w:val="en-US" w:eastAsia="en-US"/>
        </w:rPr>
      </w:pPr>
      <w:r w:rsidRPr="001227C3">
        <w:rPr>
          <w:noProof/>
          <w:color w:val="FFFFFF"/>
          <w:spacing w:val="0"/>
          <w:sz w:val="50"/>
          <w:szCs w:val="50"/>
          <w:lang w:val="en-US" w:eastAsia="en-US"/>
        </w:rPr>
        <w:t xml:space="preserve">Aid Program Performance Report 2013-14 </w:t>
      </w:r>
      <w:r w:rsidRPr="001227C3">
        <w:rPr>
          <w:noProof/>
          <w:color w:val="FFFFFF"/>
          <w:spacing w:val="0"/>
          <w:sz w:val="50"/>
          <w:szCs w:val="50"/>
        </w:rPr>
        <w:drawing>
          <wp:anchor distT="0" distB="0" distL="114300" distR="114300" simplePos="0" relativeHeight="251662336" behindDoc="1" locked="1" layoutInCell="1" allowOverlap="1" wp14:anchorId="73372E47" wp14:editId="26F757C0">
            <wp:simplePos x="0" y="0"/>
            <wp:positionH relativeFrom="page">
              <wp:posOffset>7581</wp:posOffset>
            </wp:positionH>
            <wp:positionV relativeFrom="page">
              <wp:align>top</wp:align>
            </wp:positionV>
            <wp:extent cx="7558405" cy="10691495"/>
            <wp:effectExtent l="0" t="0" r="4445" b="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9C8CBD" w14:textId="0721B38B" w:rsidR="000D733F" w:rsidRPr="001227C3" w:rsidRDefault="00454E9D" w:rsidP="000D733F">
      <w:pPr>
        <w:pStyle w:val="Subtitle"/>
        <w:ind w:left="2694" w:right="-624"/>
        <w:rPr>
          <w:noProof/>
          <w:color w:val="FFFFFF"/>
          <w:spacing w:val="0"/>
          <w:sz w:val="32"/>
          <w:szCs w:val="32"/>
          <w:lang w:val="en-US" w:eastAsia="en-US"/>
        </w:rPr>
      </w:pPr>
      <w:r>
        <w:rPr>
          <w:noProof/>
          <w:color w:val="FFFFFF"/>
          <w:spacing w:val="0"/>
          <w:sz w:val="32"/>
          <w:szCs w:val="32"/>
          <w:lang w:val="en-US" w:eastAsia="en-US"/>
        </w:rPr>
        <w:t>Nauru</w:t>
      </w:r>
      <w:r w:rsidR="000D733F" w:rsidRPr="001227C3">
        <w:rPr>
          <w:noProof/>
          <w:color w:val="FFFFFF"/>
          <w:spacing w:val="0"/>
          <w:sz w:val="32"/>
          <w:szCs w:val="32"/>
          <w:lang w:val="en-US" w:eastAsia="en-US"/>
        </w:rPr>
        <w:t xml:space="preserve"> </w:t>
      </w:r>
    </w:p>
    <w:p w14:paraId="0ECFEE47" w14:textId="28484D93" w:rsidR="000D733F" w:rsidRDefault="000D733F" w:rsidP="001227C3">
      <w:pPr>
        <w:pStyle w:val="Date"/>
        <w:spacing w:before="200" w:after="600" w:line="380" w:lineRule="atLeast"/>
        <w:ind w:left="2694" w:right="-624"/>
        <w:rPr>
          <w:rFonts w:ascii="Helvetica" w:eastAsia="Times New Roman" w:hAnsi="Helvetica"/>
          <w:noProof/>
          <w:color w:val="FFFFFF"/>
          <w:kern w:val="28"/>
          <w:sz w:val="24"/>
          <w:lang w:val="en-US" w:eastAsia="en-US"/>
        </w:rPr>
      </w:pPr>
      <w:r w:rsidRPr="001227C3">
        <w:rPr>
          <w:rFonts w:ascii="Helvetica" w:eastAsia="Times New Roman" w:hAnsi="Helvetica"/>
          <w:noProof/>
          <w:color w:val="FFFFFF"/>
          <w:kern w:val="28"/>
          <w:sz w:val="24"/>
          <w:lang w:val="en-US" w:eastAsia="en-US"/>
        </w:rPr>
        <w:t>September 2014</w:t>
      </w:r>
    </w:p>
    <w:p w14:paraId="59F4E0F0" w14:textId="77777777" w:rsidR="001D6059" w:rsidRDefault="001D6059" w:rsidP="00CD061B">
      <w:pPr>
        <w:rPr>
          <w:lang w:val="en-US" w:eastAsia="en-US"/>
        </w:rPr>
      </w:pPr>
    </w:p>
    <w:p w14:paraId="22662FCB" w14:textId="77777777" w:rsidR="005B42EE" w:rsidRPr="00CD061B" w:rsidRDefault="005B42EE" w:rsidP="00CD061B">
      <w:pPr>
        <w:rPr>
          <w:lang w:val="en-US" w:eastAsia="en-US"/>
        </w:rPr>
        <w:sectPr w:rsidR="005B42EE" w:rsidRPr="00CD061B" w:rsidSect="003A4847">
          <w:footerReference w:type="even" r:id="rId13"/>
          <w:footerReference w:type="default" r:id="rId14"/>
          <w:pgSz w:w="11907" w:h="16840" w:code="9"/>
          <w:pgMar w:top="2268" w:right="1871" w:bottom="907" w:left="1871" w:header="851" w:footer="454" w:gutter="0"/>
          <w:cols w:space="720"/>
          <w:docGrid w:linePitch="272"/>
        </w:sectPr>
      </w:pPr>
    </w:p>
    <w:p w14:paraId="45443D63" w14:textId="3A3463C3" w:rsidR="000D733F" w:rsidRPr="00B43B60" w:rsidRDefault="000D733F" w:rsidP="000D733F">
      <w:pPr>
        <w:pStyle w:val="Heading2"/>
        <w:rPr>
          <w:rStyle w:val="BodyTextChar"/>
          <w:color w:val="auto"/>
        </w:rPr>
      </w:pPr>
      <w:bookmarkStart w:id="1" w:name="_Toc373853205"/>
      <w:r w:rsidRPr="009E38C1">
        <w:rPr>
          <w:sz w:val="28"/>
        </w:rPr>
        <w:lastRenderedPageBreak/>
        <w:t>Key Messages</w:t>
      </w:r>
      <w:bookmarkEnd w:id="1"/>
      <w:r w:rsidRPr="009E38C1">
        <w:rPr>
          <w:sz w:val="28"/>
        </w:rPr>
        <w:tab/>
      </w:r>
      <w:r w:rsidRPr="009E38C1">
        <w:rPr>
          <w:sz w:val="28"/>
        </w:rPr>
        <w:tab/>
      </w:r>
      <w:r>
        <w:rPr>
          <w:sz w:val="32"/>
          <w:szCs w:val="32"/>
        </w:rPr>
        <w:tab/>
      </w:r>
      <w:r>
        <w:rPr>
          <w:sz w:val="32"/>
          <w:szCs w:val="32"/>
        </w:rPr>
        <w:tab/>
      </w:r>
      <w:r>
        <w:rPr>
          <w:sz w:val="32"/>
          <w:szCs w:val="32"/>
        </w:rPr>
        <w:tab/>
      </w:r>
      <w:r>
        <w:rPr>
          <w:sz w:val="32"/>
          <w:szCs w:val="32"/>
        </w:rPr>
        <w:tab/>
      </w:r>
    </w:p>
    <w:p w14:paraId="76933B86" w14:textId="77777777" w:rsidR="00B52F4F" w:rsidRPr="00B17308" w:rsidRDefault="00B52F4F" w:rsidP="00B52F4F">
      <w:pPr>
        <w:pStyle w:val="ListParagraph"/>
        <w:numPr>
          <w:ilvl w:val="0"/>
          <w:numId w:val="43"/>
        </w:numPr>
        <w:spacing w:after="0"/>
        <w:contextualSpacing/>
        <w:rPr>
          <w:rFonts w:ascii="Franklin Gothic Book" w:hAnsi="Franklin Gothic Book"/>
          <w:sz w:val="21"/>
          <w:szCs w:val="21"/>
        </w:rPr>
      </w:pPr>
      <w:r w:rsidRPr="00B17308">
        <w:rPr>
          <w:rFonts w:ascii="Franklin Gothic Book" w:hAnsi="Franklin Gothic Book"/>
          <w:sz w:val="21"/>
          <w:szCs w:val="21"/>
        </w:rPr>
        <w:t>Australia contributed $14.7 million through the bilateral country program for Nauru in 2013-14.</w:t>
      </w:r>
    </w:p>
    <w:p w14:paraId="30B22282" w14:textId="5EE455F3" w:rsidR="00B52F4F" w:rsidRPr="00B17308" w:rsidRDefault="00B52F4F" w:rsidP="00B52F4F">
      <w:pPr>
        <w:pStyle w:val="ListParagraph"/>
        <w:numPr>
          <w:ilvl w:val="0"/>
          <w:numId w:val="43"/>
        </w:numPr>
        <w:spacing w:after="0"/>
        <w:contextualSpacing/>
        <w:rPr>
          <w:rFonts w:ascii="Franklin Gothic Book" w:hAnsi="Franklin Gothic Book"/>
          <w:sz w:val="21"/>
          <w:szCs w:val="21"/>
        </w:rPr>
      </w:pPr>
      <w:r w:rsidRPr="00B17308">
        <w:rPr>
          <w:rFonts w:ascii="Franklin Gothic Book" w:hAnsi="Franklin Gothic Book"/>
          <w:sz w:val="21"/>
          <w:szCs w:val="21"/>
        </w:rPr>
        <w:t>The aid program focuses</w:t>
      </w:r>
      <w:r w:rsidR="0051208E">
        <w:rPr>
          <w:rFonts w:ascii="Franklin Gothic Book" w:hAnsi="Franklin Gothic Book"/>
          <w:sz w:val="21"/>
          <w:szCs w:val="21"/>
        </w:rPr>
        <w:t xml:space="preserve"> on </w:t>
      </w:r>
      <w:r w:rsidR="00214A72" w:rsidRPr="00B17308">
        <w:rPr>
          <w:rFonts w:ascii="Franklin Gothic Book" w:hAnsi="Franklin Gothic Book"/>
          <w:sz w:val="21"/>
          <w:szCs w:val="21"/>
        </w:rPr>
        <w:t xml:space="preserve">the Partnership for Development </w:t>
      </w:r>
      <w:r w:rsidR="00A203D7">
        <w:rPr>
          <w:rFonts w:ascii="Franklin Gothic Book" w:hAnsi="Franklin Gothic Book"/>
          <w:sz w:val="21"/>
          <w:szCs w:val="21"/>
        </w:rPr>
        <w:t xml:space="preserve">priorities of </w:t>
      </w:r>
      <w:r w:rsidRPr="00B17308">
        <w:rPr>
          <w:rFonts w:ascii="Franklin Gothic Book" w:hAnsi="Franklin Gothic Book"/>
          <w:sz w:val="21"/>
          <w:szCs w:val="21"/>
        </w:rPr>
        <w:t xml:space="preserve">public sector management, health, education and infrastructure. </w:t>
      </w:r>
    </w:p>
    <w:p w14:paraId="3CE299B6" w14:textId="07303A3B" w:rsidR="00B52F4F" w:rsidRPr="00B17308" w:rsidRDefault="00B52F4F" w:rsidP="00B52F4F">
      <w:pPr>
        <w:pStyle w:val="ListParagraph"/>
        <w:numPr>
          <w:ilvl w:val="0"/>
          <w:numId w:val="43"/>
        </w:numPr>
        <w:spacing w:after="0"/>
        <w:contextualSpacing/>
        <w:rPr>
          <w:rFonts w:ascii="Franklin Gothic Book" w:hAnsi="Franklin Gothic Book"/>
          <w:sz w:val="21"/>
          <w:szCs w:val="21"/>
        </w:rPr>
      </w:pPr>
      <w:r w:rsidRPr="00B17308">
        <w:rPr>
          <w:rFonts w:ascii="Franklin Gothic Book" w:hAnsi="Franklin Gothic Book"/>
          <w:sz w:val="21"/>
          <w:szCs w:val="21"/>
        </w:rPr>
        <w:t>Nauru has experienced significant economic growth in 2013, with its budget growing from $27 million in 2010-11 to $99 million in 2013-1</w:t>
      </w:r>
      <w:r w:rsidR="00BD3469" w:rsidRPr="00B17308">
        <w:rPr>
          <w:rFonts w:ascii="Franklin Gothic Book" w:hAnsi="Franklin Gothic Book"/>
          <w:sz w:val="21"/>
          <w:szCs w:val="21"/>
        </w:rPr>
        <w:t>4</w:t>
      </w:r>
      <w:r w:rsidRPr="00B17308">
        <w:rPr>
          <w:rFonts w:ascii="Franklin Gothic Book" w:hAnsi="Franklin Gothic Book"/>
          <w:sz w:val="21"/>
          <w:szCs w:val="21"/>
        </w:rPr>
        <w:t xml:space="preserve"> and the country achieving almost full employment</w:t>
      </w:r>
      <w:r w:rsidR="00BD3469" w:rsidRPr="00B17308">
        <w:rPr>
          <w:rFonts w:ascii="Franklin Gothic Book" w:hAnsi="Franklin Gothic Book"/>
          <w:sz w:val="21"/>
          <w:szCs w:val="21"/>
        </w:rPr>
        <w:t xml:space="preserve"> in 2012-13</w:t>
      </w:r>
      <w:r w:rsidRPr="00B17308">
        <w:rPr>
          <w:rFonts w:ascii="Franklin Gothic Book" w:hAnsi="Franklin Gothic Book"/>
          <w:sz w:val="21"/>
          <w:szCs w:val="21"/>
        </w:rPr>
        <w:t>.</w:t>
      </w:r>
    </w:p>
    <w:p w14:paraId="687E0768" w14:textId="6138271D" w:rsidR="00B52F4F" w:rsidRPr="005A5589" w:rsidRDefault="00B52F4F" w:rsidP="005A5589">
      <w:pPr>
        <w:pStyle w:val="ListParagraph"/>
        <w:numPr>
          <w:ilvl w:val="0"/>
          <w:numId w:val="43"/>
        </w:numPr>
        <w:spacing w:after="0"/>
        <w:contextualSpacing/>
        <w:rPr>
          <w:rFonts w:ascii="Franklin Gothic Book" w:hAnsi="Franklin Gothic Book"/>
          <w:sz w:val="21"/>
          <w:szCs w:val="21"/>
        </w:rPr>
      </w:pPr>
      <w:r w:rsidRPr="005A5589">
        <w:rPr>
          <w:rFonts w:ascii="Franklin Gothic Book" w:hAnsi="Franklin Gothic Book"/>
          <w:sz w:val="21"/>
          <w:szCs w:val="21"/>
        </w:rPr>
        <w:t xml:space="preserve">Much of Nauru’s economic growth </w:t>
      </w:r>
      <w:r w:rsidR="00A203D7">
        <w:rPr>
          <w:rFonts w:ascii="Franklin Gothic Book" w:hAnsi="Franklin Gothic Book"/>
          <w:sz w:val="21"/>
          <w:szCs w:val="21"/>
        </w:rPr>
        <w:t xml:space="preserve">in 2013-14 </w:t>
      </w:r>
      <w:r w:rsidRPr="005A5589">
        <w:rPr>
          <w:rFonts w:ascii="Franklin Gothic Book" w:hAnsi="Franklin Gothic Book"/>
          <w:sz w:val="21"/>
          <w:szCs w:val="21"/>
        </w:rPr>
        <w:t>can be attributed to its hosting</w:t>
      </w:r>
      <w:r w:rsidR="00F220C0" w:rsidRPr="005A5589">
        <w:rPr>
          <w:rFonts w:ascii="Franklin Gothic Book" w:hAnsi="Franklin Gothic Book"/>
          <w:sz w:val="21"/>
        </w:rPr>
        <w:t xml:space="preserve"> of the </w:t>
      </w:r>
      <w:r w:rsidR="00ED6C8E" w:rsidRPr="005A5589">
        <w:rPr>
          <w:rFonts w:ascii="Franklin Gothic Book" w:hAnsi="Franklin Gothic Book"/>
          <w:sz w:val="21"/>
        </w:rPr>
        <w:t>Offshore Processing Centre</w:t>
      </w:r>
      <w:r w:rsidR="00F220C0" w:rsidRPr="005A5589">
        <w:rPr>
          <w:rFonts w:ascii="Franklin Gothic Book" w:hAnsi="Franklin Gothic Book"/>
          <w:sz w:val="21"/>
        </w:rPr>
        <w:t xml:space="preserve"> (</w:t>
      </w:r>
      <w:r w:rsidR="00ED6C8E" w:rsidRPr="005A5589">
        <w:rPr>
          <w:rFonts w:ascii="Franklin Gothic Book" w:hAnsi="Franklin Gothic Book"/>
          <w:sz w:val="21"/>
        </w:rPr>
        <w:t>OPC</w:t>
      </w:r>
      <w:r w:rsidR="00F220C0" w:rsidRPr="005A5589">
        <w:rPr>
          <w:rFonts w:ascii="Franklin Gothic Book" w:hAnsi="Franklin Gothic Book"/>
          <w:sz w:val="21"/>
        </w:rPr>
        <w:t xml:space="preserve">) </w:t>
      </w:r>
      <w:r w:rsidRPr="005A5589">
        <w:rPr>
          <w:rFonts w:ascii="Franklin Gothic Book" w:hAnsi="Franklin Gothic Book"/>
          <w:sz w:val="21"/>
          <w:szCs w:val="21"/>
        </w:rPr>
        <w:t xml:space="preserve">but also </w:t>
      </w:r>
      <w:r w:rsidR="00F220C0" w:rsidRPr="005A5589">
        <w:rPr>
          <w:rFonts w:ascii="Franklin Gothic Book" w:hAnsi="Franklin Gothic Book"/>
          <w:sz w:val="21"/>
          <w:szCs w:val="21"/>
        </w:rPr>
        <w:t xml:space="preserve">revenue from </w:t>
      </w:r>
      <w:r w:rsidRPr="005A5589">
        <w:rPr>
          <w:rFonts w:ascii="Franklin Gothic Book" w:hAnsi="Franklin Gothic Book"/>
          <w:sz w:val="21"/>
          <w:szCs w:val="21"/>
        </w:rPr>
        <w:t>fisheries</w:t>
      </w:r>
      <w:r w:rsidR="005A5589" w:rsidRPr="005A5589">
        <w:rPr>
          <w:rFonts w:ascii="Franklin Gothic Book" w:hAnsi="Franklin Gothic Book"/>
          <w:sz w:val="21"/>
          <w:szCs w:val="21"/>
        </w:rPr>
        <w:t>.</w:t>
      </w:r>
      <w:r w:rsidR="005A42E8">
        <w:rPr>
          <w:rFonts w:ascii="Franklin Gothic Book" w:hAnsi="Franklin Gothic Book"/>
          <w:sz w:val="21"/>
          <w:szCs w:val="21"/>
        </w:rPr>
        <w:t xml:space="preserve"> The presence of the OPC has also contributed to almost full employment and some increased private sector opportunities.</w:t>
      </w:r>
    </w:p>
    <w:p w14:paraId="45EF04E3" w14:textId="042BEFFE" w:rsidR="00B52F4F" w:rsidRPr="00B17308" w:rsidRDefault="00B52F4F" w:rsidP="00B52F4F">
      <w:pPr>
        <w:pStyle w:val="ListParagraph"/>
        <w:numPr>
          <w:ilvl w:val="0"/>
          <w:numId w:val="43"/>
        </w:numPr>
        <w:spacing w:after="0"/>
        <w:contextualSpacing/>
        <w:rPr>
          <w:rFonts w:ascii="Franklin Gothic Book" w:hAnsi="Franklin Gothic Book"/>
          <w:sz w:val="21"/>
          <w:szCs w:val="21"/>
        </w:rPr>
      </w:pPr>
      <w:r w:rsidRPr="00B17308">
        <w:rPr>
          <w:rFonts w:ascii="Franklin Gothic Book" w:hAnsi="Franklin Gothic Book"/>
          <w:sz w:val="21"/>
          <w:szCs w:val="21"/>
        </w:rPr>
        <w:t xml:space="preserve">The Australian aid program has </w:t>
      </w:r>
      <w:r w:rsidR="0051208E">
        <w:rPr>
          <w:rFonts w:ascii="Franklin Gothic Book" w:hAnsi="Franklin Gothic Book"/>
          <w:sz w:val="21"/>
          <w:szCs w:val="21"/>
        </w:rPr>
        <w:t xml:space="preserve">contributed </w:t>
      </w:r>
      <w:r w:rsidRPr="00B17308">
        <w:rPr>
          <w:rFonts w:ascii="Franklin Gothic Book" w:hAnsi="Franklin Gothic Book"/>
          <w:sz w:val="21"/>
          <w:szCs w:val="21"/>
        </w:rPr>
        <w:t xml:space="preserve">to results, </w:t>
      </w:r>
      <w:r w:rsidR="005A42E8">
        <w:rPr>
          <w:rFonts w:ascii="Franklin Gothic Book" w:hAnsi="Franklin Gothic Book"/>
          <w:sz w:val="21"/>
          <w:szCs w:val="21"/>
        </w:rPr>
        <w:t>in the following sectors</w:t>
      </w:r>
      <w:r w:rsidRPr="00B17308">
        <w:rPr>
          <w:rFonts w:ascii="Franklin Gothic Book" w:hAnsi="Franklin Gothic Book"/>
          <w:sz w:val="21"/>
          <w:szCs w:val="21"/>
        </w:rPr>
        <w:t>:</w:t>
      </w:r>
    </w:p>
    <w:p w14:paraId="47C837C9" w14:textId="0D616225" w:rsidR="00B52F4F" w:rsidRPr="00B17308" w:rsidRDefault="00B52F4F" w:rsidP="00B52F4F">
      <w:pPr>
        <w:pStyle w:val="ListParagraph"/>
        <w:numPr>
          <w:ilvl w:val="1"/>
          <w:numId w:val="43"/>
        </w:numPr>
        <w:spacing w:after="0"/>
        <w:contextualSpacing/>
        <w:rPr>
          <w:rFonts w:ascii="Franklin Gothic Book" w:hAnsi="Franklin Gothic Book"/>
          <w:sz w:val="21"/>
          <w:szCs w:val="21"/>
        </w:rPr>
      </w:pPr>
      <w:r w:rsidRPr="00B17308">
        <w:rPr>
          <w:rFonts w:ascii="Franklin Gothic Book" w:hAnsi="Franklin Gothic Book"/>
          <w:sz w:val="21"/>
          <w:szCs w:val="21"/>
        </w:rPr>
        <w:t>public sector management – creation of Nauru’s first tax system and customs legislation,</w:t>
      </w:r>
      <w:r w:rsidR="00880132" w:rsidRPr="00D8535D">
        <w:rPr>
          <w:rFonts w:ascii="Franklin Gothic Book" w:hAnsi="Franklin Gothic Book"/>
          <w:sz w:val="21"/>
        </w:rPr>
        <w:t xml:space="preserve"> </w:t>
      </w:r>
      <w:r w:rsidR="008E6938">
        <w:rPr>
          <w:rFonts w:ascii="Franklin Gothic Book" w:hAnsi="Franklin Gothic Book"/>
          <w:sz w:val="21"/>
        </w:rPr>
        <w:t xml:space="preserve">improvement to the </w:t>
      </w:r>
      <w:r w:rsidRPr="00B17308">
        <w:rPr>
          <w:rFonts w:ascii="Franklin Gothic Book" w:hAnsi="Franklin Gothic Book"/>
          <w:sz w:val="21"/>
          <w:szCs w:val="21"/>
        </w:rPr>
        <w:t xml:space="preserve"> Financial Management Information System</w:t>
      </w:r>
      <w:r w:rsidR="00BD3469" w:rsidRPr="00B17308">
        <w:rPr>
          <w:rFonts w:ascii="Franklin Gothic Book" w:hAnsi="Franklin Gothic Book"/>
          <w:sz w:val="21"/>
          <w:szCs w:val="21"/>
        </w:rPr>
        <w:t>,</w:t>
      </w:r>
      <w:r w:rsidRPr="00B17308">
        <w:rPr>
          <w:rFonts w:ascii="Franklin Gothic Book" w:hAnsi="Franklin Gothic Book"/>
          <w:sz w:val="21"/>
          <w:szCs w:val="21"/>
        </w:rPr>
        <w:t xml:space="preserve"> the introduction of an independent procurement agent</w:t>
      </w:r>
      <w:r w:rsidR="00BD3469" w:rsidRPr="00B17308">
        <w:rPr>
          <w:rFonts w:ascii="Franklin Gothic Book" w:hAnsi="Franklin Gothic Book"/>
          <w:sz w:val="21"/>
          <w:szCs w:val="21"/>
        </w:rPr>
        <w:t xml:space="preserve">, and </w:t>
      </w:r>
      <w:r w:rsidR="00B17308">
        <w:rPr>
          <w:rFonts w:ascii="Franklin Gothic Book" w:hAnsi="Franklin Gothic Book"/>
          <w:sz w:val="21"/>
          <w:szCs w:val="21"/>
        </w:rPr>
        <w:t>scoping negotiations</w:t>
      </w:r>
      <w:r w:rsidR="00BD3469" w:rsidRPr="00B17308">
        <w:rPr>
          <w:rFonts w:ascii="Franklin Gothic Book" w:hAnsi="Franklin Gothic Book"/>
          <w:sz w:val="21"/>
          <w:szCs w:val="21"/>
        </w:rPr>
        <w:t xml:space="preserve"> to establish an Intergenerational Trust Fund</w:t>
      </w:r>
      <w:r w:rsidR="005141D9">
        <w:rPr>
          <w:rFonts w:ascii="Franklin Gothic Book" w:hAnsi="Franklin Gothic Book"/>
          <w:sz w:val="21"/>
          <w:szCs w:val="21"/>
        </w:rPr>
        <w:t>;</w:t>
      </w:r>
      <w:r w:rsidR="005A42E8">
        <w:rPr>
          <w:rFonts w:ascii="Franklin Gothic Book" w:hAnsi="Franklin Gothic Book"/>
          <w:sz w:val="21"/>
          <w:szCs w:val="21"/>
        </w:rPr>
        <w:t xml:space="preserve"> and</w:t>
      </w:r>
    </w:p>
    <w:p w14:paraId="79200410" w14:textId="24A29F25" w:rsidR="005A42E8" w:rsidRDefault="00B52F4F" w:rsidP="005A42E8">
      <w:pPr>
        <w:pStyle w:val="ListParagraph"/>
        <w:numPr>
          <w:ilvl w:val="1"/>
          <w:numId w:val="43"/>
        </w:numPr>
        <w:spacing w:after="0"/>
        <w:contextualSpacing/>
        <w:rPr>
          <w:rFonts w:ascii="Franklin Gothic Book" w:hAnsi="Franklin Gothic Book"/>
          <w:sz w:val="21"/>
          <w:szCs w:val="21"/>
        </w:rPr>
      </w:pPr>
      <w:r w:rsidRPr="00B17308">
        <w:rPr>
          <w:rFonts w:ascii="Franklin Gothic Book" w:hAnsi="Franklin Gothic Book"/>
          <w:sz w:val="21"/>
          <w:szCs w:val="21"/>
        </w:rPr>
        <w:t>education –</w:t>
      </w:r>
      <w:r w:rsidR="0051208E">
        <w:rPr>
          <w:rFonts w:ascii="Franklin Gothic Book" w:hAnsi="Franklin Gothic Book"/>
          <w:sz w:val="21"/>
          <w:szCs w:val="21"/>
        </w:rPr>
        <w:t xml:space="preserve"> </w:t>
      </w:r>
      <w:r w:rsidRPr="00B17308">
        <w:rPr>
          <w:rFonts w:ascii="Franklin Gothic Book" w:hAnsi="Franklin Gothic Book"/>
          <w:sz w:val="21"/>
          <w:szCs w:val="21"/>
        </w:rPr>
        <w:t>teacher qualifications (93% of teachers now hold certificate, diploma or degree level qualifications</w:t>
      </w:r>
      <w:r w:rsidR="00B025A2">
        <w:rPr>
          <w:rStyle w:val="FootnoteReference"/>
        </w:rPr>
        <w:footnoteReference w:id="2"/>
      </w:r>
      <w:r w:rsidRPr="00B17308">
        <w:rPr>
          <w:rFonts w:ascii="Franklin Gothic Book" w:hAnsi="Franklin Gothic Book"/>
          <w:sz w:val="21"/>
          <w:szCs w:val="21"/>
        </w:rPr>
        <w:t>) and early signs of improvements in literacy rates</w:t>
      </w:r>
      <w:r w:rsidR="005A42E8">
        <w:rPr>
          <w:rFonts w:ascii="Franklin Gothic Book" w:hAnsi="Franklin Gothic Book"/>
          <w:sz w:val="21"/>
          <w:szCs w:val="21"/>
        </w:rPr>
        <w:t>.</w:t>
      </w:r>
    </w:p>
    <w:p w14:paraId="0C044937" w14:textId="5C48C52F" w:rsidR="005141D9" w:rsidRPr="005A42E8" w:rsidRDefault="005141D9" w:rsidP="005A42E8">
      <w:pPr>
        <w:pStyle w:val="ListParagraph"/>
        <w:numPr>
          <w:ilvl w:val="0"/>
          <w:numId w:val="43"/>
        </w:numPr>
        <w:spacing w:after="0"/>
        <w:contextualSpacing/>
        <w:rPr>
          <w:rFonts w:ascii="Franklin Gothic Book" w:hAnsi="Franklin Gothic Book"/>
          <w:sz w:val="21"/>
          <w:szCs w:val="21"/>
        </w:rPr>
      </w:pPr>
      <w:r w:rsidRPr="005A42E8">
        <w:rPr>
          <w:rFonts w:ascii="Franklin Gothic Book" w:hAnsi="Franklin Gothic Book"/>
          <w:sz w:val="21"/>
          <w:szCs w:val="21"/>
        </w:rPr>
        <w:t>Reviews of the health and education sectors undertaken during 2013-14 found both sectors to be operating under strong strategic planning and the focus of Australia’s aid program for these sectors is appropriate.</w:t>
      </w:r>
    </w:p>
    <w:p w14:paraId="262AF531" w14:textId="20E53039" w:rsidR="00B52F4F" w:rsidRPr="00B17308" w:rsidRDefault="00B52F4F" w:rsidP="00B52F4F">
      <w:pPr>
        <w:pStyle w:val="ListParagraph"/>
        <w:numPr>
          <w:ilvl w:val="0"/>
          <w:numId w:val="43"/>
        </w:numPr>
        <w:spacing w:after="0"/>
        <w:contextualSpacing/>
        <w:rPr>
          <w:rFonts w:ascii="Franklin Gothic Book" w:hAnsi="Franklin Gothic Book"/>
          <w:sz w:val="21"/>
          <w:szCs w:val="21"/>
        </w:rPr>
      </w:pPr>
      <w:r w:rsidRPr="00B17308">
        <w:rPr>
          <w:rFonts w:ascii="Franklin Gothic Book" w:hAnsi="Franklin Gothic Book"/>
          <w:sz w:val="21"/>
          <w:szCs w:val="21"/>
        </w:rPr>
        <w:t>The improved fiscal position of the Nauru Government, its ‘localisation’ policy for key public service roles and the slimming of the bureaucracy has</w:t>
      </w:r>
      <w:r w:rsidR="0051208E">
        <w:rPr>
          <w:rFonts w:ascii="Franklin Gothic Book" w:hAnsi="Franklin Gothic Book"/>
          <w:sz w:val="21"/>
          <w:szCs w:val="21"/>
        </w:rPr>
        <w:t>,</w:t>
      </w:r>
      <w:r w:rsidR="00B17308">
        <w:rPr>
          <w:rFonts w:ascii="Franklin Gothic Book" w:hAnsi="Franklin Gothic Book"/>
          <w:sz w:val="21"/>
          <w:szCs w:val="21"/>
        </w:rPr>
        <w:t xml:space="preserve"> on occasion</w:t>
      </w:r>
      <w:r w:rsidR="0051208E">
        <w:rPr>
          <w:rFonts w:ascii="Franklin Gothic Book" w:hAnsi="Franklin Gothic Book"/>
          <w:sz w:val="21"/>
          <w:szCs w:val="21"/>
        </w:rPr>
        <w:t>,</w:t>
      </w:r>
      <w:r w:rsidR="00B17308">
        <w:rPr>
          <w:rFonts w:ascii="Franklin Gothic Book" w:hAnsi="Franklin Gothic Book"/>
          <w:sz w:val="21"/>
          <w:szCs w:val="21"/>
        </w:rPr>
        <w:t xml:space="preserve"> affected</w:t>
      </w:r>
      <w:r w:rsidRPr="00B17308">
        <w:rPr>
          <w:rFonts w:ascii="Franklin Gothic Book" w:hAnsi="Franklin Gothic Book"/>
          <w:sz w:val="21"/>
          <w:szCs w:val="21"/>
        </w:rPr>
        <w:t xml:space="preserve"> its ability to spend all grant funds</w:t>
      </w:r>
      <w:r w:rsidR="00B17308">
        <w:rPr>
          <w:rFonts w:ascii="Franklin Gothic Book" w:hAnsi="Franklin Gothic Book"/>
          <w:sz w:val="21"/>
          <w:szCs w:val="21"/>
        </w:rPr>
        <w:t xml:space="preserve"> in a timely fashion</w:t>
      </w:r>
      <w:r w:rsidRPr="00B17308">
        <w:rPr>
          <w:rFonts w:ascii="Franklin Gothic Book" w:hAnsi="Franklin Gothic Book"/>
          <w:sz w:val="21"/>
          <w:szCs w:val="21"/>
        </w:rPr>
        <w:t>.</w:t>
      </w:r>
    </w:p>
    <w:p w14:paraId="590D108C" w14:textId="15EC6B92" w:rsidR="00B52F4F" w:rsidRPr="00B17308" w:rsidRDefault="00B52F4F" w:rsidP="00B52F4F">
      <w:pPr>
        <w:pStyle w:val="ListParagraph"/>
        <w:numPr>
          <w:ilvl w:val="0"/>
          <w:numId w:val="43"/>
        </w:numPr>
        <w:spacing w:after="0"/>
        <w:contextualSpacing/>
        <w:rPr>
          <w:rFonts w:ascii="Franklin Gothic Book" w:hAnsi="Franklin Gothic Book"/>
          <w:sz w:val="21"/>
          <w:szCs w:val="21"/>
        </w:rPr>
      </w:pPr>
      <w:r w:rsidRPr="00B17308">
        <w:rPr>
          <w:rFonts w:ascii="Franklin Gothic Book" w:hAnsi="Franklin Gothic Book"/>
          <w:sz w:val="21"/>
          <w:szCs w:val="21"/>
        </w:rPr>
        <w:t xml:space="preserve">The aid program is complemented by significant spending on infrastructure and services by the Department of Immigration and Border Protection (DIBP), which is working together with the Department of Foreign Affairs and Trade (DFAT) to </w:t>
      </w:r>
      <w:r w:rsidR="00B17308">
        <w:rPr>
          <w:rFonts w:ascii="Franklin Gothic Book" w:hAnsi="Franklin Gothic Book"/>
          <w:sz w:val="21"/>
          <w:szCs w:val="21"/>
        </w:rPr>
        <w:t>align</w:t>
      </w:r>
      <w:r w:rsidR="0051208E">
        <w:rPr>
          <w:rFonts w:ascii="Franklin Gothic Book" w:hAnsi="Franklin Gothic Book"/>
          <w:sz w:val="21"/>
          <w:szCs w:val="21"/>
        </w:rPr>
        <w:t xml:space="preserve"> Australian g</w:t>
      </w:r>
      <w:r w:rsidRPr="00B17308">
        <w:rPr>
          <w:rFonts w:ascii="Franklin Gothic Book" w:hAnsi="Franklin Gothic Book"/>
          <w:sz w:val="21"/>
          <w:szCs w:val="21"/>
        </w:rPr>
        <w:t>overnment spending with broader Nauruan and Australian development objectives.</w:t>
      </w:r>
      <w:r w:rsidR="005141D9">
        <w:rPr>
          <w:rFonts w:ascii="Franklin Gothic Book" w:hAnsi="Franklin Gothic Book"/>
          <w:sz w:val="21"/>
          <w:szCs w:val="21"/>
        </w:rPr>
        <w:t xml:space="preserve">  </w:t>
      </w:r>
      <w:r w:rsidR="005A42E8">
        <w:rPr>
          <w:rFonts w:ascii="Franklin Gothic Book" w:hAnsi="Franklin Gothic Book"/>
          <w:sz w:val="21"/>
          <w:szCs w:val="21"/>
        </w:rPr>
        <w:t xml:space="preserve">This alignment is reflected in the continuing focus on infrastructure with agreement reached </w:t>
      </w:r>
      <w:r w:rsidR="005A42E8" w:rsidRPr="00B17308">
        <w:rPr>
          <w:rFonts w:ascii="Franklin Gothic Book" w:hAnsi="Franklin Gothic Book"/>
          <w:sz w:val="21"/>
          <w:szCs w:val="21"/>
        </w:rPr>
        <w:t xml:space="preserve">between Australia and Nauru to refurbish </w:t>
      </w:r>
      <w:r w:rsidR="005A42E8" w:rsidRPr="00D8535D">
        <w:rPr>
          <w:rFonts w:ascii="Franklin Gothic Book" w:hAnsi="Franklin Gothic Book"/>
          <w:sz w:val="21"/>
        </w:rPr>
        <w:t xml:space="preserve">the </w:t>
      </w:r>
      <w:r w:rsidR="005A42E8" w:rsidRPr="00B17308">
        <w:rPr>
          <w:rFonts w:ascii="Franklin Gothic Book" w:hAnsi="Franklin Gothic Book"/>
          <w:sz w:val="21"/>
          <w:szCs w:val="21"/>
        </w:rPr>
        <w:t>country’s only hospital, which burnt down in 2013</w:t>
      </w:r>
      <w:r w:rsidR="005A42E8">
        <w:rPr>
          <w:rFonts w:ascii="Franklin Gothic Book" w:hAnsi="Franklin Gothic Book"/>
          <w:sz w:val="21"/>
          <w:szCs w:val="21"/>
        </w:rPr>
        <w:t>.</w:t>
      </w:r>
    </w:p>
    <w:p w14:paraId="01A788A1" w14:textId="77777777" w:rsidR="000D733F" w:rsidRPr="00B43B60" w:rsidRDefault="000D733F" w:rsidP="000D733F">
      <w:pPr>
        <w:pStyle w:val="Heading2"/>
        <w:rPr>
          <w:rStyle w:val="BodyTextChar"/>
          <w:color w:val="auto"/>
        </w:rPr>
      </w:pPr>
      <w:r w:rsidRPr="009E38C1">
        <w:rPr>
          <w:sz w:val="28"/>
        </w:rPr>
        <w:t xml:space="preserve">Context </w:t>
      </w:r>
      <w:r w:rsidRPr="009E38C1">
        <w:rPr>
          <w:sz w:val="28"/>
        </w:rPr>
        <w:tab/>
      </w:r>
      <w:r>
        <w:rPr>
          <w:sz w:val="32"/>
          <w:szCs w:val="32"/>
        </w:rPr>
        <w:tab/>
      </w:r>
      <w:r>
        <w:rPr>
          <w:rStyle w:val="BodyTextChar"/>
        </w:rPr>
        <w:tab/>
      </w:r>
      <w:r>
        <w:rPr>
          <w:rStyle w:val="BodyTextChar"/>
        </w:rPr>
        <w:tab/>
      </w:r>
      <w:r>
        <w:rPr>
          <w:rStyle w:val="BodyTextChar"/>
        </w:rPr>
        <w:tab/>
      </w:r>
      <w:r>
        <w:rPr>
          <w:rStyle w:val="BodyTextChar"/>
        </w:rPr>
        <w:tab/>
      </w:r>
      <w:r>
        <w:rPr>
          <w:rStyle w:val="BodyTextChar"/>
        </w:rPr>
        <w:tab/>
      </w:r>
    </w:p>
    <w:p w14:paraId="61609537" w14:textId="5C2A434A" w:rsidR="00F220C0" w:rsidRPr="00466C66" w:rsidRDefault="00BD3469" w:rsidP="003B009F">
      <w:pPr>
        <w:pStyle w:val="BodyText"/>
      </w:pPr>
      <w:r>
        <w:rPr>
          <w:b/>
        </w:rPr>
        <w:t>Economic performance</w:t>
      </w:r>
      <w:r w:rsidR="008E6938">
        <w:rPr>
          <w:b/>
        </w:rPr>
        <w:br/>
      </w:r>
      <w:r w:rsidR="00F220C0" w:rsidRPr="00CF3220">
        <w:t>Over 2013-14, Nauru’s economy has prospered with revenue increasing from approximately $57 million in 2012-13, to approximately $9</w:t>
      </w:r>
      <w:r w:rsidR="00766F34" w:rsidRPr="00CF3220">
        <w:t>9</w:t>
      </w:r>
      <w:r w:rsidR="00F220C0" w:rsidRPr="00CF3220">
        <w:t xml:space="preserve"> million in 2013-14. Unemployment levels </w:t>
      </w:r>
      <w:r w:rsidR="0051208E">
        <w:t>were</w:t>
      </w:r>
      <w:r w:rsidR="00F220C0" w:rsidRPr="00CF3220">
        <w:t xml:space="preserve"> negligible</w:t>
      </w:r>
      <w:r>
        <w:t>.</w:t>
      </w:r>
      <w:r w:rsidR="00F220C0" w:rsidRPr="00CF3220">
        <w:t xml:space="preserve">  The Government has </w:t>
      </w:r>
      <w:r w:rsidR="009F1A4D" w:rsidRPr="00CF3220">
        <w:t>focussed on</w:t>
      </w:r>
      <w:r w:rsidR="00F220C0" w:rsidRPr="00CF3220">
        <w:t xml:space="preserve"> </w:t>
      </w:r>
      <w:r w:rsidR="00766F34" w:rsidRPr="00CF3220">
        <w:t>repay</w:t>
      </w:r>
      <w:r w:rsidR="001263C7" w:rsidRPr="00CF3220">
        <w:t>ment of</w:t>
      </w:r>
      <w:r w:rsidR="00766F34" w:rsidRPr="00CF3220">
        <w:t xml:space="preserve"> public debt such as </w:t>
      </w:r>
      <w:r w:rsidR="00766F34" w:rsidRPr="00466C66">
        <w:t xml:space="preserve">pending salaries, and increased </w:t>
      </w:r>
      <w:r w:rsidR="00F220C0" w:rsidRPr="00466C66">
        <w:t>public sector salaries, welfare and land owner payments. Liquidation of the defunct Bank of Nauru and the RoNWAN Trust Fund has resulted in considerable sums being distributed to members of the community</w:t>
      </w:r>
      <w:r w:rsidR="00540209">
        <w:t xml:space="preserve">.  </w:t>
      </w:r>
    </w:p>
    <w:p w14:paraId="4B24C020" w14:textId="32EFFCE3" w:rsidR="00540209" w:rsidRDefault="00540209" w:rsidP="00540209">
      <w:pPr>
        <w:pStyle w:val="BodyText"/>
      </w:pPr>
      <w:r w:rsidRPr="00466C66">
        <w:lastRenderedPageBreak/>
        <w:t>The Government is pursuing</w:t>
      </w:r>
      <w:r>
        <w:t xml:space="preserve"> the</w:t>
      </w:r>
      <w:r w:rsidRPr="00466C66">
        <w:t xml:space="preserve"> establishment of a new Intergenerational Trus</w:t>
      </w:r>
      <w:r w:rsidR="00C32A32">
        <w:t>t Fund to which some of this increased</w:t>
      </w:r>
      <w:r w:rsidRPr="00466C66">
        <w:t xml:space="preserve"> revenue can be channelled as savings for the future. </w:t>
      </w:r>
      <w:r w:rsidR="00B37ACF" w:rsidRPr="00466C66">
        <w:t>While the Government has</w:t>
      </w:r>
      <w:r w:rsidR="00B37ACF">
        <w:t xml:space="preserve"> allocated</w:t>
      </w:r>
      <w:r w:rsidR="00B37ACF" w:rsidRPr="00466C66">
        <w:t xml:space="preserve"> a good proportion of its revenue into paying off </w:t>
      </w:r>
      <w:r w:rsidR="005A42E8">
        <w:t xml:space="preserve">domestic </w:t>
      </w:r>
      <w:r w:rsidR="00B37ACF" w:rsidRPr="00466C66">
        <w:t xml:space="preserve">debt (Nauru </w:t>
      </w:r>
      <w:r w:rsidR="00B37ACF">
        <w:t xml:space="preserve">aims to </w:t>
      </w:r>
      <w:r w:rsidR="00B37ACF" w:rsidRPr="00466C66">
        <w:t>be debt free by 2015</w:t>
      </w:r>
      <w:r w:rsidR="00B37ACF" w:rsidRPr="00466C66">
        <w:rPr>
          <w:rStyle w:val="FootnoteReference"/>
        </w:rPr>
        <w:footnoteReference w:id="3"/>
      </w:r>
      <w:r w:rsidR="00B37ACF" w:rsidRPr="00466C66">
        <w:t xml:space="preserve">), </w:t>
      </w:r>
      <w:r w:rsidR="00B37ACF">
        <w:t xml:space="preserve">it does not appear to have made large investments </w:t>
      </w:r>
      <w:r w:rsidR="00B37ACF" w:rsidRPr="00466C66">
        <w:t xml:space="preserve">this </w:t>
      </w:r>
      <w:r w:rsidR="00B37ACF">
        <w:t>financial year into</w:t>
      </w:r>
      <w:r w:rsidR="00B37ACF" w:rsidRPr="00466C66">
        <w:t xml:space="preserve"> maintenance or construction of</w:t>
      </w:r>
      <w:r w:rsidR="00B37ACF">
        <w:t xml:space="preserve"> nation building</w:t>
      </w:r>
      <w:r w:rsidR="00B37ACF" w:rsidRPr="00466C66">
        <w:t xml:space="preserve"> infrastructure</w:t>
      </w:r>
      <w:r w:rsidR="00673050">
        <w:t>.</w:t>
      </w:r>
    </w:p>
    <w:p w14:paraId="0289E141" w14:textId="76258B3A" w:rsidR="00F220C0" w:rsidRPr="00B10CA3" w:rsidRDefault="00F220C0" w:rsidP="00F220C0">
      <w:pPr>
        <w:pStyle w:val="BodyText"/>
      </w:pPr>
      <w:r>
        <w:t xml:space="preserve">While Nauru is enjoying the benefits of the recent economic boom, the </w:t>
      </w:r>
      <w:r w:rsidR="00B17308">
        <w:t>G</w:t>
      </w:r>
      <w:r>
        <w:t>overnment’s expenditure profile in light of increased public sector salaries</w:t>
      </w:r>
      <w:r w:rsidR="00766F34">
        <w:t xml:space="preserve"> and land payments</w:t>
      </w:r>
      <w:r>
        <w:t xml:space="preserve"> </w:t>
      </w:r>
      <w:r w:rsidR="00A9500A">
        <w:t>may not</w:t>
      </w:r>
      <w:r>
        <w:t xml:space="preserve"> be </w:t>
      </w:r>
      <w:r w:rsidR="00BD3469">
        <w:t>sustainable should</w:t>
      </w:r>
      <w:r>
        <w:t xml:space="preserve"> the </w:t>
      </w:r>
      <w:r w:rsidR="00BD3469">
        <w:t>country’s fiscal circumstances change significantly</w:t>
      </w:r>
      <w:r>
        <w:t xml:space="preserve">. </w:t>
      </w:r>
    </w:p>
    <w:p w14:paraId="5F66E722" w14:textId="312A00EA" w:rsidR="005A5589" w:rsidRDefault="00BD3469" w:rsidP="005A5589">
      <w:pPr>
        <w:pStyle w:val="BodyText"/>
      </w:pPr>
      <w:r>
        <w:rPr>
          <w:b/>
        </w:rPr>
        <w:t>Political context and governance</w:t>
      </w:r>
      <w:r w:rsidR="008E6938">
        <w:rPr>
          <w:b/>
        </w:rPr>
        <w:br/>
      </w:r>
      <w:r w:rsidR="005A5589">
        <w:t xml:space="preserve">There was a change of </w:t>
      </w:r>
      <w:r w:rsidR="00C32A32">
        <w:t>g</w:t>
      </w:r>
      <w:r w:rsidR="005A5589">
        <w:t>overnment in Nauru following elections held in June 2013. The Government has made some significant legislative changes, including the introduction of the country’s first tax regime.</w:t>
      </w:r>
    </w:p>
    <w:p w14:paraId="1286BFC6" w14:textId="3E55014F" w:rsidR="009851E8" w:rsidRDefault="005A5589" w:rsidP="005A5589">
      <w:pPr>
        <w:pStyle w:val="BodyText"/>
      </w:pPr>
      <w:r>
        <w:t>Early in its first term, the Government introduced a policy of localising senior management roles in the public sector previously filled by donor funded expertise. This resulted in the replacement of some Australian funded Pacific Technical Assistance Mechanism (</w:t>
      </w:r>
      <w:r w:rsidRPr="0093717C">
        <w:t>PACTAM</w:t>
      </w:r>
      <w:r>
        <w:t>)</w:t>
      </w:r>
      <w:r w:rsidRPr="000076CD">
        <w:t xml:space="preserve"> </w:t>
      </w:r>
      <w:r>
        <w:t xml:space="preserve">advisors </w:t>
      </w:r>
      <w:r w:rsidRPr="000076CD">
        <w:t>during 2013-</w:t>
      </w:r>
      <w:r>
        <w:t>14 particularly from within Nauru’s Ministry of Finance</w:t>
      </w:r>
      <w:r w:rsidR="008E6938">
        <w:t xml:space="preserve"> (MoF)</w:t>
      </w:r>
      <w:r>
        <w:t xml:space="preserve">. However, three key roles (Deputy Secretaries for Revenue, Customs and Treasury) were subsequently filled with Australian funded expertise and it is expected that more roles will again be filled in this way. The Government of Nauru’s capacity to effectively manage day to day business, including implementation of donor funded activities, was diminished for approximately six months. That capacity </w:t>
      </w:r>
      <w:r w:rsidR="008E6938">
        <w:t>is returning</w:t>
      </w:r>
      <w:r>
        <w:t>.</w:t>
      </w:r>
    </w:p>
    <w:p w14:paraId="423B6175" w14:textId="5D599294" w:rsidR="00F35777" w:rsidRDefault="009851E8" w:rsidP="00F35777">
      <w:pPr>
        <w:pStyle w:val="BodyText"/>
      </w:pPr>
      <w:r w:rsidRPr="00B17308">
        <w:rPr>
          <w:b/>
        </w:rPr>
        <w:t>Development indicators</w:t>
      </w:r>
      <w:r w:rsidR="008E6938">
        <w:rPr>
          <w:b/>
        </w:rPr>
        <w:br/>
      </w:r>
      <w:r w:rsidR="00673050" w:rsidRPr="00466C66">
        <w:t xml:space="preserve">There is </w:t>
      </w:r>
      <w:r w:rsidR="00673050">
        <w:t>some</w:t>
      </w:r>
      <w:r w:rsidR="00673050" w:rsidRPr="00466C66">
        <w:t xml:space="preserve"> evidence of serious poverty in Nauru</w:t>
      </w:r>
      <w:r w:rsidR="00673050">
        <w:t>.</w:t>
      </w:r>
      <w:r w:rsidR="00673050" w:rsidRPr="00466C66">
        <w:t xml:space="preserve"> </w:t>
      </w:r>
      <w:r w:rsidR="00673050">
        <w:t>T</w:t>
      </w:r>
      <w:r w:rsidR="00673050" w:rsidRPr="00466C66">
        <w:t xml:space="preserve">hose Nauruans who are not landowners will be impacted by the reduced purchasing power of the average Nauruan salary </w:t>
      </w:r>
      <w:r w:rsidR="00673050">
        <w:t>owing</w:t>
      </w:r>
      <w:r w:rsidR="00673050" w:rsidRPr="00466C66">
        <w:t xml:space="preserve"> to rising costs of food and services.</w:t>
      </w:r>
      <w:r w:rsidR="00673050">
        <w:t xml:space="preserve">  </w:t>
      </w:r>
      <w:r w:rsidR="00F35777">
        <w:t xml:space="preserve">With </w:t>
      </w:r>
      <w:r w:rsidR="00A9500A">
        <w:t>an increased</w:t>
      </w:r>
      <w:r w:rsidR="00F35777">
        <w:t xml:space="preserve"> population</w:t>
      </w:r>
      <w:r w:rsidR="00B17308">
        <w:t>, economic activity</w:t>
      </w:r>
      <w:r w:rsidR="00F35777">
        <w:t xml:space="preserve"> </w:t>
      </w:r>
      <w:r>
        <w:t>and greater spending on goods like cars</w:t>
      </w:r>
      <w:r w:rsidR="00F35777">
        <w:t xml:space="preserve">, </w:t>
      </w:r>
      <w:r w:rsidR="00B17308">
        <w:t>Nauru’s</w:t>
      </w:r>
      <w:r w:rsidR="00F35777">
        <w:t xml:space="preserve"> infrastructure is under additional strain. </w:t>
      </w:r>
      <w:r w:rsidR="008E6938">
        <w:t>W</w:t>
      </w:r>
      <w:r w:rsidR="00F35777">
        <w:t xml:space="preserve">ork is required at the power station to </w:t>
      </w:r>
      <w:r w:rsidR="008E6938">
        <w:t xml:space="preserve">continue improvements </w:t>
      </w:r>
      <w:r w:rsidR="00C32A32">
        <w:t>to</w:t>
      </w:r>
      <w:r w:rsidR="00F35777">
        <w:t xml:space="preserve"> power and water supply</w:t>
      </w:r>
      <w:r w:rsidR="00740207">
        <w:t>.</w:t>
      </w:r>
      <w:r w:rsidR="00F35777">
        <w:t xml:space="preserve"> </w:t>
      </w:r>
      <w:r w:rsidR="00740207">
        <w:t>T</w:t>
      </w:r>
      <w:r w:rsidR="00F35777">
        <w:t xml:space="preserve">he 105 year old sea port is in need of </w:t>
      </w:r>
      <w:r w:rsidR="00740207">
        <w:t>modernisation</w:t>
      </w:r>
      <w:r w:rsidR="008E6938">
        <w:t xml:space="preserve"> and t</w:t>
      </w:r>
      <w:r w:rsidR="00F35777">
        <w:t>he single ring road around the island is in need of drainage repairs and resurfacing</w:t>
      </w:r>
      <w:r w:rsidR="00740207">
        <w:t>.</w:t>
      </w:r>
      <w:r w:rsidR="00F35777">
        <w:t xml:space="preserve"> </w:t>
      </w:r>
      <w:r w:rsidR="00864B98">
        <w:t xml:space="preserve"> A</w:t>
      </w:r>
      <w:r w:rsidR="00F35777">
        <w:t xml:space="preserve">dditional classrooms are required </w:t>
      </w:r>
      <w:r w:rsidR="00740207">
        <w:t>in schools</w:t>
      </w:r>
      <w:r w:rsidR="008E6938">
        <w:t xml:space="preserve"> to accommodate an expanding population base</w:t>
      </w:r>
      <w:r w:rsidR="00F35777">
        <w:t xml:space="preserve">. </w:t>
      </w:r>
      <w:r w:rsidR="008E6938">
        <w:t>M</w:t>
      </w:r>
      <w:r w:rsidR="00F35777">
        <w:t>uch of this infrastructure</w:t>
      </w:r>
      <w:r w:rsidR="008E6938">
        <w:t xml:space="preserve"> work</w:t>
      </w:r>
      <w:r w:rsidR="00F35777">
        <w:t xml:space="preserve"> will require donor assistance over an extended period. </w:t>
      </w:r>
    </w:p>
    <w:p w14:paraId="2E9DFCA0" w14:textId="0991E50E" w:rsidR="007D647D" w:rsidRDefault="00F220C0" w:rsidP="007D647D">
      <w:pPr>
        <w:pStyle w:val="BodyText"/>
      </w:pPr>
      <w:r>
        <w:t>Australia</w:t>
      </w:r>
      <w:r w:rsidR="008E6938">
        <w:t>n</w:t>
      </w:r>
      <w:r>
        <w:t xml:space="preserve"> </w:t>
      </w:r>
      <w:r w:rsidR="001764E1">
        <w:t>support</w:t>
      </w:r>
      <w:r w:rsidR="008E6938">
        <w:t xml:space="preserve"> for</w:t>
      </w:r>
      <w:r>
        <w:t xml:space="preserve"> </w:t>
      </w:r>
      <w:r w:rsidR="00673050">
        <w:t>i</w:t>
      </w:r>
      <w:r>
        <w:t>nfrastructure programs</w:t>
      </w:r>
      <w:r w:rsidR="008E6938">
        <w:t xml:space="preserve"> will be managed</w:t>
      </w:r>
      <w:r w:rsidR="00253120">
        <w:t xml:space="preserve"> primarily </w:t>
      </w:r>
      <w:r w:rsidR="008E6938">
        <w:t xml:space="preserve">through </w:t>
      </w:r>
      <w:r w:rsidR="00253120">
        <w:t>project aid</w:t>
      </w:r>
      <w:r w:rsidR="008E6938">
        <w:t xml:space="preserve"> as Australia sh</w:t>
      </w:r>
      <w:r w:rsidR="008317D4">
        <w:t>i</w:t>
      </w:r>
      <w:r w:rsidR="008E6938">
        <w:t xml:space="preserve">fts away from provision of grant aid.  This shift </w:t>
      </w:r>
      <w:r>
        <w:t>align</w:t>
      </w:r>
      <w:r w:rsidR="00253120">
        <w:t>s</w:t>
      </w:r>
      <w:r>
        <w:t xml:space="preserve"> closely with DFAT’s policy position and strategy for aid engagement with Nauru</w:t>
      </w:r>
      <w:r w:rsidR="00C366E4">
        <w:t>.</w:t>
      </w:r>
      <w:r>
        <w:t xml:space="preserve"> </w:t>
      </w:r>
      <w:r w:rsidR="00253120">
        <w:t>It</w:t>
      </w:r>
      <w:r>
        <w:t xml:space="preserve"> encourage</w:t>
      </w:r>
      <w:r w:rsidR="00253120">
        <w:t>s</w:t>
      </w:r>
      <w:r>
        <w:t xml:space="preserve"> the </w:t>
      </w:r>
      <w:r w:rsidR="00D92F8C">
        <w:t>Government of Nauru</w:t>
      </w:r>
      <w:r>
        <w:t xml:space="preserve"> to take greater responsibility for funding day to day operational expenses (salaries, consumables and other inputs) allowing donor funds to be directed toward major nation building infrastructure. </w:t>
      </w:r>
    </w:p>
    <w:p w14:paraId="12E3F52F" w14:textId="29224CCC" w:rsidR="00B17308" w:rsidRDefault="0046614F" w:rsidP="00B17308">
      <w:pPr>
        <w:pStyle w:val="BodyText"/>
      </w:pPr>
      <w:r>
        <w:t xml:space="preserve">While there </w:t>
      </w:r>
      <w:r w:rsidR="008317D4">
        <w:t xml:space="preserve">may be </w:t>
      </w:r>
      <w:r>
        <w:t xml:space="preserve">some barriers to </w:t>
      </w:r>
      <w:r w:rsidR="008317D4">
        <w:t>w</w:t>
      </w:r>
      <w:r w:rsidR="00B17308">
        <w:t>omen participati</w:t>
      </w:r>
      <w:r>
        <w:t xml:space="preserve">ng in political leadership, </w:t>
      </w:r>
      <w:r w:rsidR="00B17308">
        <w:t>encouragingly one of Nauru’s five Ministers is a woma</w:t>
      </w:r>
      <w:r w:rsidR="0038579B">
        <w:t>n.  Police reporting also notes</w:t>
      </w:r>
      <w:r w:rsidR="00B17308">
        <w:t xml:space="preserve"> domestic violence</w:t>
      </w:r>
      <w:r w:rsidR="008317D4">
        <w:t xml:space="preserve"> remains a challenge and this will be </w:t>
      </w:r>
      <w:r w:rsidR="00B17308">
        <w:t xml:space="preserve">quantified through a national survey to be finalised </w:t>
      </w:r>
      <w:r w:rsidR="008317D4">
        <w:t xml:space="preserve">in </w:t>
      </w:r>
      <w:r w:rsidR="00B17308">
        <w:t>late</w:t>
      </w:r>
      <w:r w:rsidR="00C32A32">
        <w:t xml:space="preserve"> </w:t>
      </w:r>
      <w:r w:rsidR="00B17308">
        <w:t>2014.</w:t>
      </w:r>
    </w:p>
    <w:p w14:paraId="4E6D531C" w14:textId="4E7E75B7" w:rsidR="00253120" w:rsidRDefault="00716D09" w:rsidP="007D647D">
      <w:pPr>
        <w:pStyle w:val="BodyText"/>
      </w:pPr>
      <w:r w:rsidRPr="00B17308">
        <w:rPr>
          <w:b/>
        </w:rPr>
        <w:lastRenderedPageBreak/>
        <w:t>Donor environment</w:t>
      </w:r>
      <w:r w:rsidR="008E6938">
        <w:rPr>
          <w:b/>
        </w:rPr>
        <w:br/>
      </w:r>
      <w:r w:rsidR="00485D19" w:rsidRPr="00505EA7">
        <w:t xml:space="preserve">Australia is the largest aid donor in Nauru. </w:t>
      </w:r>
      <w:r w:rsidR="00D050F5" w:rsidRPr="00505EA7">
        <w:t xml:space="preserve"> Taiwan is Nauru’s second largest donor</w:t>
      </w:r>
      <w:r w:rsidR="00472E6C">
        <w:t>, followed by New Zealand</w:t>
      </w:r>
      <w:r w:rsidR="00DC3934">
        <w:t>.</w:t>
      </w:r>
      <w:r w:rsidR="00472E6C">
        <w:t xml:space="preserve">  </w:t>
      </w:r>
      <w:r w:rsidR="00253120">
        <w:t xml:space="preserve">For larger projects, such as the port, Australia is working with the ADB and the </w:t>
      </w:r>
      <w:r w:rsidR="0063773A">
        <w:t xml:space="preserve">Government of </w:t>
      </w:r>
      <w:r w:rsidR="00253120">
        <w:t>Nauru to build donor consortiums. Other donors may be attracted to Nauru in time by taking this approach.</w:t>
      </w:r>
    </w:p>
    <w:p w14:paraId="7DF1462F" w14:textId="77777777" w:rsidR="00B420F5" w:rsidRDefault="00B420F5" w:rsidP="00B420F5">
      <w:pPr>
        <w:pStyle w:val="Heading2"/>
        <w:rPr>
          <w:sz w:val="28"/>
        </w:rPr>
      </w:pPr>
      <w:r w:rsidRPr="009E38C1">
        <w:rPr>
          <w:sz w:val="28"/>
        </w:rPr>
        <w:t>Expenditure</w:t>
      </w:r>
    </w:p>
    <w:p w14:paraId="2C1E84E4" w14:textId="5B38AD15" w:rsidR="00B420F5" w:rsidRPr="0012573C" w:rsidRDefault="00B420F5" w:rsidP="00B420F5">
      <w:pPr>
        <w:pStyle w:val="BodyText"/>
        <w:rPr>
          <w:i/>
        </w:rPr>
      </w:pPr>
      <w:r>
        <w:t xml:space="preserve">In 2013-14 Australia </w:t>
      </w:r>
      <w:r w:rsidRPr="001971E0">
        <w:t xml:space="preserve">contributed </w:t>
      </w:r>
      <w:r w:rsidR="00472E6C">
        <w:t>$20.2 million</w:t>
      </w:r>
      <w:r w:rsidR="00C32A32">
        <w:t xml:space="preserve"> to Nauru.  Of this, $14.7 million was provided </w:t>
      </w:r>
      <w:r w:rsidRPr="001971E0">
        <w:t>through the bilateral country program. The remaining $9.2 million was delivered through  regional programs. Australia’s contribution to Nauru in 2013-14 was down by $5.5 million from the $23.4 million provided in 2012-13</w:t>
      </w:r>
      <w:r w:rsidR="006A5078">
        <w:rPr>
          <w:rStyle w:val="FootnoteReference"/>
        </w:rPr>
        <w:footnoteReference w:id="4"/>
      </w:r>
      <w:r w:rsidRPr="001971E0">
        <w:t xml:space="preserve">. This </w:t>
      </w:r>
      <w:r w:rsidR="005D7D49">
        <w:t>was</w:t>
      </w:r>
      <w:r w:rsidRPr="001971E0">
        <w:t xml:space="preserve"> a result of a reduced bilateral budget and </w:t>
      </w:r>
      <w:r w:rsidR="00830E5F" w:rsidRPr="001971E0">
        <w:t xml:space="preserve">funding earmarked </w:t>
      </w:r>
      <w:r w:rsidRPr="001971E0">
        <w:t>for infrastructure and essential services ($5.5 million) being held-over to 2014-15, subject to Nauru meeting</w:t>
      </w:r>
      <w:r>
        <w:t xml:space="preserve"> </w:t>
      </w:r>
      <w:r w:rsidR="009F1A4D">
        <w:t>agreed</w:t>
      </w:r>
      <w:r>
        <w:t xml:space="preserve"> performance benchmarks</w:t>
      </w:r>
      <w:r w:rsidR="006A5078">
        <w:t>, effectively spending existing grant funding and maintaining cash balances at acceptable levels</w:t>
      </w:r>
      <w:r w:rsidRPr="00472E6C">
        <w:t>.</w:t>
      </w:r>
      <w:r>
        <w:t xml:space="preserve"> </w:t>
      </w:r>
    </w:p>
    <w:p w14:paraId="29DCF66C" w14:textId="77777777" w:rsidR="00B420F5" w:rsidRDefault="00B420F5" w:rsidP="00B420F5">
      <w:pPr>
        <w:pStyle w:val="Caption"/>
      </w:pPr>
      <w:r>
        <w:t xml:space="preserve">Table </w:t>
      </w:r>
      <w:fldSimple w:instr=" SEQ Table \* ARABIC ">
        <w:r w:rsidR="009C264C">
          <w:rPr>
            <w:noProof/>
          </w:rPr>
          <w:t>1</w:t>
        </w:r>
      </w:fldSimple>
      <w:r>
        <w:t xml:space="preserve"> Expenditure in FY 2013-14</w:t>
      </w:r>
      <w:r>
        <w:rPr>
          <w:rStyle w:val="FootnoteReference"/>
        </w:rPr>
        <w:footnoteReference w:id="5"/>
      </w:r>
    </w:p>
    <w:tbl>
      <w:tblPr>
        <w:tblStyle w:val="APPR"/>
        <w:tblpPr w:leftFromText="180" w:rightFromText="180" w:vertAnchor="text" w:tblpY="1"/>
        <w:tblW w:w="5000" w:type="pct"/>
        <w:tblLayout w:type="fixed"/>
        <w:tblLook w:val="0000" w:firstRow="0" w:lastRow="0" w:firstColumn="0" w:lastColumn="0" w:noHBand="0" w:noVBand="0"/>
      </w:tblPr>
      <w:tblGrid>
        <w:gridCol w:w="6253"/>
        <w:gridCol w:w="1018"/>
        <w:gridCol w:w="1506"/>
      </w:tblGrid>
      <w:tr w:rsidR="00B420F5" w:rsidRPr="00180B19" w14:paraId="61CEE23B" w14:textId="77777777" w:rsidTr="00B420F5">
        <w:trPr>
          <w:cnfStyle w:val="000000010000" w:firstRow="0" w:lastRow="0" w:firstColumn="0" w:lastColumn="0" w:oddVBand="0" w:evenVBand="0" w:oddHBand="0" w:evenHBand="1" w:firstRowFirstColumn="0" w:firstRowLastColumn="0" w:lastRowFirstColumn="0" w:lastRowLastColumn="0"/>
        </w:trPr>
        <w:tc>
          <w:tcPr>
            <w:tcW w:w="604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CE64DAD" w14:textId="77777777" w:rsidR="00B420F5" w:rsidRPr="00180B19" w:rsidRDefault="00B420F5" w:rsidP="00B420F5">
            <w:pPr>
              <w:pStyle w:val="TableHeading1"/>
            </w:pPr>
            <w:r w:rsidRPr="00180B19">
              <w:t>Objective</w:t>
            </w:r>
          </w:p>
        </w:tc>
        <w:tc>
          <w:tcPr>
            <w:tcW w:w="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3EA16A" w14:textId="77777777" w:rsidR="00B420F5" w:rsidRPr="00180B19" w:rsidRDefault="00B420F5" w:rsidP="00B420F5">
            <w:pPr>
              <w:pStyle w:val="TableHeading1"/>
            </w:pPr>
            <w:r w:rsidRPr="00180B19">
              <w:t>A$ million</w:t>
            </w:r>
          </w:p>
        </w:tc>
        <w:tc>
          <w:tcPr>
            <w:tcW w:w="142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FC348DB" w14:textId="77777777" w:rsidR="00B420F5" w:rsidRPr="00180B19" w:rsidRDefault="00B420F5" w:rsidP="00B420F5">
            <w:pPr>
              <w:pStyle w:val="TableHeading1"/>
            </w:pPr>
            <w:r w:rsidRPr="00180B19">
              <w:t>% of bilateral program</w:t>
            </w:r>
          </w:p>
        </w:tc>
      </w:tr>
      <w:tr w:rsidR="00B420F5" w:rsidRPr="00180B19" w14:paraId="01638209" w14:textId="77777777" w:rsidTr="00B420F5">
        <w:trPr>
          <w:cnfStyle w:val="000000010000" w:firstRow="0" w:lastRow="0" w:firstColumn="0" w:lastColumn="0" w:oddVBand="0" w:evenVBand="0" w:oddHBand="0" w:evenHBand="1" w:firstRowFirstColumn="0" w:firstRowLastColumn="0" w:lastRowFirstColumn="0" w:lastRowLastColumn="0"/>
        </w:trPr>
        <w:tc>
          <w:tcPr>
            <w:tcW w:w="604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8C9E81E" w14:textId="77777777" w:rsidR="00B420F5" w:rsidRPr="00C57923" w:rsidRDefault="00B420F5" w:rsidP="00B420F5">
            <w:pPr>
              <w:pStyle w:val="TableTextEntries"/>
            </w:pPr>
            <w:r>
              <w:t>Public Sector Management</w:t>
            </w:r>
          </w:p>
        </w:tc>
        <w:tc>
          <w:tcPr>
            <w:tcW w:w="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4DABC4F" w14:textId="77777777" w:rsidR="00B420F5" w:rsidRPr="00C57923" w:rsidRDefault="00B420F5" w:rsidP="00B420F5">
            <w:pPr>
              <w:pStyle w:val="TableTextEntries"/>
            </w:pPr>
            <w:r>
              <w:t>3.5</w:t>
            </w:r>
          </w:p>
        </w:tc>
        <w:tc>
          <w:tcPr>
            <w:tcW w:w="142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7714BD" w14:textId="77777777" w:rsidR="00B420F5" w:rsidRPr="00C57923" w:rsidRDefault="00B420F5" w:rsidP="00B420F5">
            <w:pPr>
              <w:pStyle w:val="TableTextEntries"/>
            </w:pPr>
            <w:r>
              <w:t>24</w:t>
            </w:r>
          </w:p>
        </w:tc>
      </w:tr>
      <w:tr w:rsidR="00B420F5" w:rsidRPr="00180B19" w14:paraId="25834FC2" w14:textId="77777777" w:rsidTr="00B420F5">
        <w:trPr>
          <w:cnfStyle w:val="000000010000" w:firstRow="0" w:lastRow="0" w:firstColumn="0" w:lastColumn="0" w:oddVBand="0" w:evenVBand="0" w:oddHBand="0" w:evenHBand="1" w:firstRowFirstColumn="0" w:firstRowLastColumn="0" w:lastRowFirstColumn="0" w:lastRowLastColumn="0"/>
        </w:trPr>
        <w:tc>
          <w:tcPr>
            <w:tcW w:w="604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8051E8" w14:textId="77777777" w:rsidR="00B420F5" w:rsidRPr="00C57923" w:rsidRDefault="00B420F5" w:rsidP="00B420F5">
            <w:pPr>
              <w:pStyle w:val="TableTextEntries"/>
            </w:pPr>
            <w:r>
              <w:t>Improved Health</w:t>
            </w:r>
          </w:p>
        </w:tc>
        <w:tc>
          <w:tcPr>
            <w:tcW w:w="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2D32BCB" w14:textId="77777777" w:rsidR="00B420F5" w:rsidRPr="00C57923" w:rsidRDefault="00B420F5" w:rsidP="00B420F5">
            <w:pPr>
              <w:pStyle w:val="TableTextEntries"/>
            </w:pPr>
            <w:r>
              <w:t>3.9</w:t>
            </w:r>
          </w:p>
        </w:tc>
        <w:tc>
          <w:tcPr>
            <w:tcW w:w="142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43C903" w14:textId="77777777" w:rsidR="00B420F5" w:rsidRPr="00C57923" w:rsidRDefault="00B420F5" w:rsidP="00B420F5">
            <w:pPr>
              <w:pStyle w:val="TableTextEntries"/>
            </w:pPr>
            <w:r>
              <w:t>27</w:t>
            </w:r>
          </w:p>
        </w:tc>
      </w:tr>
      <w:tr w:rsidR="00B420F5" w:rsidRPr="00180B19" w14:paraId="5B088E4D" w14:textId="77777777" w:rsidTr="00B420F5">
        <w:trPr>
          <w:cnfStyle w:val="000000010000" w:firstRow="0" w:lastRow="0" w:firstColumn="0" w:lastColumn="0" w:oddVBand="0" w:evenVBand="0" w:oddHBand="0" w:evenHBand="1" w:firstRowFirstColumn="0" w:firstRowLastColumn="0" w:lastRowFirstColumn="0" w:lastRowLastColumn="0"/>
        </w:trPr>
        <w:tc>
          <w:tcPr>
            <w:tcW w:w="604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9978CE2" w14:textId="77777777" w:rsidR="00B420F5" w:rsidRPr="00C57923" w:rsidRDefault="00B420F5" w:rsidP="00B420F5">
            <w:pPr>
              <w:pStyle w:val="TableTextEntries"/>
            </w:pPr>
            <w:r>
              <w:t>Improved Education</w:t>
            </w:r>
          </w:p>
        </w:tc>
        <w:tc>
          <w:tcPr>
            <w:tcW w:w="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60497EA" w14:textId="77777777" w:rsidR="00B420F5" w:rsidRPr="00C57923" w:rsidRDefault="00B420F5" w:rsidP="00B420F5">
            <w:pPr>
              <w:pStyle w:val="TableTextEntries"/>
            </w:pPr>
            <w:r>
              <w:t>3.8</w:t>
            </w:r>
          </w:p>
        </w:tc>
        <w:tc>
          <w:tcPr>
            <w:tcW w:w="142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944AF5D" w14:textId="77777777" w:rsidR="00B420F5" w:rsidRPr="00C57923" w:rsidRDefault="00B420F5" w:rsidP="00B420F5">
            <w:pPr>
              <w:pStyle w:val="TableTextEntries"/>
            </w:pPr>
            <w:r>
              <w:t>26</w:t>
            </w:r>
          </w:p>
        </w:tc>
      </w:tr>
      <w:tr w:rsidR="00B420F5" w:rsidRPr="00180B19" w14:paraId="5DFA12F7" w14:textId="77777777" w:rsidTr="00B420F5">
        <w:trPr>
          <w:cnfStyle w:val="000000010000" w:firstRow="0" w:lastRow="0" w:firstColumn="0" w:lastColumn="0" w:oddVBand="0" w:evenVBand="0" w:oddHBand="0" w:evenHBand="1" w:firstRowFirstColumn="0" w:firstRowLastColumn="0" w:lastRowFirstColumn="0" w:lastRowLastColumn="0"/>
        </w:trPr>
        <w:tc>
          <w:tcPr>
            <w:tcW w:w="604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48020D" w14:textId="77777777" w:rsidR="00B420F5" w:rsidRPr="00C57923" w:rsidRDefault="00B420F5" w:rsidP="00B420F5">
            <w:pPr>
              <w:pStyle w:val="TableTextEntries"/>
            </w:pPr>
            <w:r>
              <w:t>Infrastructure and Essential Services</w:t>
            </w:r>
          </w:p>
        </w:tc>
        <w:tc>
          <w:tcPr>
            <w:tcW w:w="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83A402" w14:textId="77777777" w:rsidR="00B420F5" w:rsidRPr="00C57923" w:rsidRDefault="00B420F5" w:rsidP="00B420F5">
            <w:pPr>
              <w:pStyle w:val="TableTextEntries"/>
            </w:pPr>
            <w:r>
              <w:t>Nil</w:t>
            </w:r>
          </w:p>
        </w:tc>
        <w:tc>
          <w:tcPr>
            <w:tcW w:w="142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837C12A" w14:textId="77777777" w:rsidR="00B420F5" w:rsidRPr="00C57923" w:rsidRDefault="00B420F5" w:rsidP="00B420F5">
            <w:pPr>
              <w:pStyle w:val="TableTextEntries"/>
            </w:pPr>
            <w:r>
              <w:t>Nil</w:t>
            </w:r>
          </w:p>
        </w:tc>
      </w:tr>
      <w:tr w:rsidR="00B420F5" w:rsidRPr="00180B19" w14:paraId="68AB2902" w14:textId="77777777" w:rsidTr="00B420F5">
        <w:trPr>
          <w:cnfStyle w:val="000000010000" w:firstRow="0" w:lastRow="0" w:firstColumn="0" w:lastColumn="0" w:oddVBand="0" w:evenVBand="0" w:oddHBand="0" w:evenHBand="1" w:firstRowFirstColumn="0" w:firstRowLastColumn="0" w:lastRowFirstColumn="0" w:lastRowLastColumn="0"/>
        </w:trPr>
        <w:tc>
          <w:tcPr>
            <w:tcW w:w="604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DB67C19" w14:textId="77777777" w:rsidR="00B420F5" w:rsidRPr="00C57923" w:rsidRDefault="00B420F5" w:rsidP="00B420F5">
            <w:pPr>
              <w:pStyle w:val="TableTextEntries"/>
            </w:pPr>
            <w:r>
              <w:t>Private Sector Growth</w:t>
            </w:r>
          </w:p>
        </w:tc>
        <w:tc>
          <w:tcPr>
            <w:tcW w:w="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C3BA47" w14:textId="77777777" w:rsidR="00B420F5" w:rsidRPr="00C57923" w:rsidRDefault="00B420F5" w:rsidP="00B420F5">
            <w:pPr>
              <w:pStyle w:val="TableTextEntries"/>
            </w:pPr>
            <w:r>
              <w:t>0.5</w:t>
            </w:r>
          </w:p>
        </w:tc>
        <w:tc>
          <w:tcPr>
            <w:tcW w:w="142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BCDFE8D" w14:textId="77777777" w:rsidR="00B420F5" w:rsidRPr="00C57923" w:rsidRDefault="00B420F5" w:rsidP="00B420F5">
            <w:pPr>
              <w:pStyle w:val="TableTextEntries"/>
            </w:pPr>
            <w:r>
              <w:t>0.03</w:t>
            </w:r>
          </w:p>
        </w:tc>
      </w:tr>
    </w:tbl>
    <w:p w14:paraId="09511E00" w14:textId="77777777" w:rsidR="00B420F5" w:rsidRDefault="001971E0" w:rsidP="00B420F5">
      <w:pPr>
        <w:pStyle w:val="Note"/>
      </w:pPr>
      <w:r>
        <w:t>Source:  Aidworks</w:t>
      </w:r>
    </w:p>
    <w:p w14:paraId="69D96FD3" w14:textId="05329CE0" w:rsidR="000D733F" w:rsidRPr="003B009F" w:rsidRDefault="000D733F" w:rsidP="000D733F">
      <w:pPr>
        <w:pStyle w:val="Heading3"/>
        <w:rPr>
          <w:b w:val="0"/>
          <w:color w:val="007FAD"/>
          <w:sz w:val="28"/>
        </w:rPr>
      </w:pPr>
      <w:bookmarkStart w:id="2" w:name="_Toc373853206"/>
      <w:r w:rsidRPr="009E38C1">
        <w:rPr>
          <w:b w:val="0"/>
          <w:color w:val="007FAD"/>
          <w:sz w:val="28"/>
          <w:szCs w:val="28"/>
          <w:lang w:eastAsia="en-AU"/>
        </w:rPr>
        <w:t>Progress towards objectives</w:t>
      </w:r>
      <w:r w:rsidR="00CF57C3">
        <w:rPr>
          <w:b w:val="0"/>
          <w:color w:val="007FAD"/>
          <w:sz w:val="28"/>
          <w:szCs w:val="28"/>
          <w:lang w:eastAsia="en-AU"/>
        </w:rPr>
        <w:t xml:space="preserve"> </w:t>
      </w:r>
    </w:p>
    <w:p w14:paraId="535DDEB1" w14:textId="5D676221" w:rsidR="00855122" w:rsidRDefault="00716D09" w:rsidP="00625A52">
      <w:pPr>
        <w:pStyle w:val="ListBullet"/>
        <w:tabs>
          <w:tab w:val="clear" w:pos="284"/>
        </w:tabs>
      </w:pPr>
      <w:r>
        <w:t>While there ha</w:t>
      </w:r>
      <w:r w:rsidR="00CF57C3">
        <w:t>ve</w:t>
      </w:r>
      <w:r>
        <w:t xml:space="preserve"> been</w:t>
      </w:r>
      <w:r w:rsidR="00CF57C3">
        <w:t xml:space="preserve"> </w:t>
      </w:r>
      <w:r>
        <w:t>positive economic developments for the country as a whole, the rate of p</w:t>
      </w:r>
      <w:r w:rsidR="009A2395">
        <w:t>rogress</w:t>
      </w:r>
      <w:r w:rsidR="00394E74">
        <w:t xml:space="preserve"> in 2013-14</w:t>
      </w:r>
      <w:r w:rsidR="003D6173" w:rsidRPr="003D6173">
        <w:t xml:space="preserve"> </w:t>
      </w:r>
      <w:r w:rsidR="003D6173">
        <w:t>slowed</w:t>
      </w:r>
      <w:r w:rsidR="00855122">
        <w:t xml:space="preserve"> compar</w:t>
      </w:r>
      <w:r w:rsidR="00C32A32">
        <w:t>ed</w:t>
      </w:r>
      <w:r w:rsidR="00855122">
        <w:t xml:space="preserve"> to previous</w:t>
      </w:r>
      <w:r w:rsidR="003D6173">
        <w:t xml:space="preserve"> reporting periods</w:t>
      </w:r>
      <w:r>
        <w:t xml:space="preserve">.  This </w:t>
      </w:r>
      <w:r w:rsidR="005843BC">
        <w:t>was</w:t>
      </w:r>
      <w:r w:rsidR="009A2395">
        <w:t xml:space="preserve"> </w:t>
      </w:r>
      <w:r w:rsidR="00A517B7">
        <w:t xml:space="preserve">primarily </w:t>
      </w:r>
      <w:r w:rsidR="009A2395">
        <w:t xml:space="preserve">as a result of the </w:t>
      </w:r>
      <w:r w:rsidR="00253120">
        <w:t>temporary absence</w:t>
      </w:r>
      <w:r w:rsidR="009A2395">
        <w:t xml:space="preserve"> of key Australian funded </w:t>
      </w:r>
      <w:r w:rsidR="00253120">
        <w:t>PACTAM</w:t>
      </w:r>
      <w:r w:rsidR="00B11A32">
        <w:t xml:space="preserve"> </w:t>
      </w:r>
      <w:r w:rsidR="009A2395">
        <w:t>advisor</w:t>
      </w:r>
      <w:r w:rsidR="005420B6">
        <w:t>s</w:t>
      </w:r>
      <w:r w:rsidR="009A2395">
        <w:t xml:space="preserve"> in senior positions within</w:t>
      </w:r>
      <w:r w:rsidR="00E443B3">
        <w:t xml:space="preserve"> a number of</w:t>
      </w:r>
      <w:r w:rsidR="00A930B8">
        <w:t xml:space="preserve"> Ministries</w:t>
      </w:r>
      <w:r w:rsidR="00CF57C3">
        <w:t xml:space="preserve">.  </w:t>
      </w:r>
      <w:r w:rsidR="003D6173">
        <w:t xml:space="preserve">Most </w:t>
      </w:r>
      <w:r w:rsidR="009A2395">
        <w:t>positions have been refilled</w:t>
      </w:r>
      <w:r w:rsidR="00E443B3">
        <w:t xml:space="preserve"> with </w:t>
      </w:r>
      <w:r w:rsidR="00253120">
        <w:t>PACTAM</w:t>
      </w:r>
      <w:r w:rsidR="00CF57C3">
        <w:t xml:space="preserve"> advisors </w:t>
      </w:r>
      <w:r w:rsidR="003D6173">
        <w:t>with</w:t>
      </w:r>
      <w:r w:rsidR="00E443B3">
        <w:t xml:space="preserve"> Australian funding</w:t>
      </w:r>
      <w:r w:rsidR="00A930B8">
        <w:t xml:space="preserve">. </w:t>
      </w:r>
    </w:p>
    <w:p w14:paraId="436EEF14" w14:textId="177B6F08" w:rsidR="00404CC4" w:rsidRDefault="00855122" w:rsidP="00625A52">
      <w:pPr>
        <w:pStyle w:val="ListBullet"/>
        <w:tabs>
          <w:tab w:val="clear" w:pos="284"/>
        </w:tabs>
      </w:pPr>
      <w:r>
        <w:t xml:space="preserve">Despite these early challenges, </w:t>
      </w:r>
      <w:r w:rsidR="005843BC">
        <w:t>financial reforms such as the creation of Nauru’s first tax regime were able to be</w:t>
      </w:r>
      <w:r w:rsidR="00864B98">
        <w:t xml:space="preserve"> established</w:t>
      </w:r>
      <w:r w:rsidR="006A5078">
        <w:t>.</w:t>
      </w:r>
      <w:r w:rsidR="005843BC">
        <w:t xml:space="preserve">  Nauru’s</w:t>
      </w:r>
      <w:r w:rsidR="00A930B8">
        <w:t xml:space="preserve"> strong revenue base and </w:t>
      </w:r>
      <w:r w:rsidR="00253120">
        <w:t>improved</w:t>
      </w:r>
      <w:r w:rsidR="00A930B8">
        <w:t xml:space="preserve"> budget position </w:t>
      </w:r>
      <w:r w:rsidR="00253120">
        <w:t>may</w:t>
      </w:r>
      <w:r w:rsidR="005843BC">
        <w:t xml:space="preserve"> help it implement</w:t>
      </w:r>
      <w:r w:rsidR="00A930B8">
        <w:t xml:space="preserve"> </w:t>
      </w:r>
      <w:r w:rsidR="002456AD">
        <w:t xml:space="preserve">further </w:t>
      </w:r>
      <w:r w:rsidR="005843BC">
        <w:t>reforms and become less reliant on aid</w:t>
      </w:r>
      <w:r w:rsidR="00253120">
        <w:t xml:space="preserve"> over time</w:t>
      </w:r>
      <w:r w:rsidR="002456AD">
        <w:t>.</w:t>
      </w:r>
      <w:r>
        <w:t xml:space="preserve">  T</w:t>
      </w:r>
      <w:r w:rsidR="00404CC4">
        <w:t>he main area where progress has slowed is in the Infrastructure and Essential Services</w:t>
      </w:r>
      <w:r w:rsidR="008317D4">
        <w:t xml:space="preserve"> sector</w:t>
      </w:r>
      <w:r w:rsidR="00404CC4">
        <w:t>, where Australia held over funding until the next financial year.</w:t>
      </w:r>
    </w:p>
    <w:p w14:paraId="26EE9347" w14:textId="2854F431" w:rsidR="002456AD" w:rsidRDefault="00DB7340" w:rsidP="00625A52">
      <w:pPr>
        <w:pStyle w:val="ListBullet"/>
        <w:tabs>
          <w:tab w:val="clear" w:pos="284"/>
        </w:tabs>
      </w:pPr>
      <w:r>
        <w:t xml:space="preserve">Given Nauru’s expanded revenue base in 2013-14 and its subsequent capacity to self-fund much of the operational costs associated with power and water, </w:t>
      </w:r>
      <w:r w:rsidR="00C32A32">
        <w:t>DFAT will reduce gr</w:t>
      </w:r>
      <w:r w:rsidR="00644BBF">
        <w:t>ant fund</w:t>
      </w:r>
      <w:r w:rsidR="00C32A32">
        <w:t>ing</w:t>
      </w:r>
      <w:r w:rsidR="00644BBF">
        <w:t xml:space="preserve"> to </w:t>
      </w:r>
      <w:r w:rsidR="0041454E">
        <w:t xml:space="preserve">cover day to day operational </w:t>
      </w:r>
      <w:r w:rsidR="006A5078">
        <w:t xml:space="preserve">and maintenance </w:t>
      </w:r>
      <w:r w:rsidR="0041454E">
        <w:t>expenses</w:t>
      </w:r>
      <w:r w:rsidR="00C32A32">
        <w:t xml:space="preserve">.  </w:t>
      </w:r>
      <w:r w:rsidR="00253120">
        <w:t xml:space="preserve">The aid program is </w:t>
      </w:r>
      <w:r w:rsidR="006A5078">
        <w:lastRenderedPageBreak/>
        <w:t xml:space="preserve">moving away from current modalities in some sectors, with a </w:t>
      </w:r>
      <w:r w:rsidR="00B37ACF">
        <w:t xml:space="preserve">project based model </w:t>
      </w:r>
      <w:r w:rsidR="006A5078">
        <w:t xml:space="preserve">for the infrastructure sector </w:t>
      </w:r>
      <w:r w:rsidR="00B37ACF">
        <w:t>focussed on</w:t>
      </w:r>
      <w:r w:rsidR="00253120">
        <w:t xml:space="preserve"> </w:t>
      </w:r>
      <w:r w:rsidR="008317D4">
        <w:t xml:space="preserve">jointly </w:t>
      </w:r>
      <w:r w:rsidR="00253120">
        <w:t xml:space="preserve">identified </w:t>
      </w:r>
      <w:r w:rsidR="008317D4">
        <w:t>needs</w:t>
      </w:r>
      <w:r w:rsidR="00253120">
        <w:t>.</w:t>
      </w:r>
    </w:p>
    <w:p w14:paraId="6B08D0F5" w14:textId="77777777" w:rsidR="000B5812" w:rsidRDefault="000B5812" w:rsidP="000B5812">
      <w:pPr>
        <w:pStyle w:val="BodyText"/>
      </w:pPr>
      <w:r>
        <w:t xml:space="preserve">Table </w:t>
      </w:r>
      <w:fldSimple w:instr=" SEQ Table \* ARABIC ">
        <w:r w:rsidR="009C264C">
          <w:rPr>
            <w:noProof/>
          </w:rPr>
          <w:t>2</w:t>
        </w:r>
      </w:fldSimple>
      <w:r>
        <w:t xml:space="preserve"> Rating of the program's progress towards Australia’s objectives</w:t>
      </w:r>
    </w:p>
    <w:tbl>
      <w:tblPr>
        <w:tblStyle w:val="APPR"/>
        <w:tblW w:w="5000" w:type="pct"/>
        <w:tblLook w:val="0000" w:firstRow="0" w:lastRow="0" w:firstColumn="0" w:lastColumn="0" w:noHBand="0" w:noVBand="0"/>
      </w:tblPr>
      <w:tblGrid>
        <w:gridCol w:w="6183"/>
        <w:gridCol w:w="1050"/>
        <w:gridCol w:w="428"/>
        <w:gridCol w:w="1116"/>
      </w:tblGrid>
      <w:tr w:rsidR="00FB142E" w:rsidRPr="0019341B" w14:paraId="67D937E9" w14:textId="77777777" w:rsidTr="00214A72">
        <w:trPr>
          <w:cnfStyle w:val="000000010000" w:firstRow="0" w:lastRow="0" w:firstColumn="0" w:lastColumn="0" w:oddVBand="0" w:evenVBand="0" w:oddHBand="0" w:evenHBand="1" w:firstRowFirstColumn="0" w:firstRowLastColumn="0" w:lastRowFirstColumn="0" w:lastRowLastColumn="0"/>
          <w:trHeight w:val="651"/>
        </w:trPr>
        <w:tc>
          <w:tcPr>
            <w:tcW w:w="600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04FCA8F" w14:textId="77777777" w:rsidR="00FB142E" w:rsidRPr="00336135" w:rsidRDefault="00FB142E" w:rsidP="00214A72">
            <w:pPr>
              <w:pStyle w:val="TableTextColumnHeading"/>
            </w:pPr>
            <w:r w:rsidRPr="00336135">
              <w:rPr>
                <w:noProof/>
                <w:lang w:eastAsia="en-AU"/>
              </w:rPr>
              <w:drawing>
                <wp:anchor distT="0" distB="0" distL="114300" distR="114300" simplePos="0" relativeHeight="251667456" behindDoc="0" locked="0" layoutInCell="1" allowOverlap="1" wp14:anchorId="24C6DF20" wp14:editId="7C6A9342">
                  <wp:simplePos x="0" y="0"/>
                  <wp:positionH relativeFrom="column">
                    <wp:posOffset>0</wp:posOffset>
                  </wp:positionH>
                  <wp:positionV relativeFrom="paragraph">
                    <wp:posOffset>0</wp:posOffset>
                  </wp:positionV>
                  <wp:extent cx="1857375" cy="228600"/>
                  <wp:effectExtent l="0" t="0" r="9525" b="0"/>
                  <wp:wrapNone/>
                  <wp:docPr id="3" name="Picture 3"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6135">
              <w:t>Objective</w:t>
            </w:r>
          </w:p>
        </w:tc>
        <w:tc>
          <w:tcPr>
            <w:tcW w:w="99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01ABC12" w14:textId="77777777" w:rsidR="00FB142E" w:rsidRPr="0019341B" w:rsidRDefault="00FB142E" w:rsidP="00214A72">
            <w:pPr>
              <w:pStyle w:val="TableTextColumnHeading"/>
            </w:pPr>
            <w:r>
              <w:t>Current Rating</w:t>
            </w:r>
          </w:p>
        </w:tc>
        <w:tc>
          <w:tcPr>
            <w:tcW w:w="3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CADDC93" w14:textId="77777777" w:rsidR="00FB142E" w:rsidRDefault="00FB142E" w:rsidP="00214A72">
            <w:pPr>
              <w:pStyle w:val="TableTextColumnHeading"/>
            </w:pPr>
          </w:p>
        </w:tc>
        <w:tc>
          <w:tcPr>
            <w:tcW w:w="104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4F3CBAC" w14:textId="77777777" w:rsidR="00FB142E" w:rsidRPr="0019341B" w:rsidRDefault="00FB142E" w:rsidP="00214A72">
            <w:pPr>
              <w:pStyle w:val="TableTextColumnHeading"/>
            </w:pPr>
            <w:r>
              <w:t>Previous Rating</w:t>
            </w:r>
          </w:p>
        </w:tc>
      </w:tr>
      <w:tr w:rsidR="00FB142E" w:rsidRPr="009D53C4" w14:paraId="3EE6B00F" w14:textId="77777777" w:rsidTr="00214A72">
        <w:trPr>
          <w:cnfStyle w:val="000000010000" w:firstRow="0" w:lastRow="0" w:firstColumn="0" w:lastColumn="0" w:oddVBand="0" w:evenVBand="0" w:oddHBand="0" w:evenHBand="1" w:firstRowFirstColumn="0" w:firstRowLastColumn="0" w:lastRowFirstColumn="0" w:lastRowLastColumn="0"/>
        </w:trPr>
        <w:tc>
          <w:tcPr>
            <w:tcW w:w="6000" w:type="dxa"/>
          </w:tcPr>
          <w:p w14:paraId="1342C8DA" w14:textId="77777777" w:rsidR="00FB142E" w:rsidRPr="0019341B" w:rsidRDefault="00FB142E" w:rsidP="00214A72">
            <w:pPr>
              <w:pStyle w:val="TableTextEntries"/>
            </w:pPr>
            <w:r w:rsidRPr="00336135">
              <w:t>Public Sector Management</w:t>
            </w:r>
          </w:p>
        </w:tc>
        <w:tc>
          <w:tcPr>
            <w:tcW w:w="998" w:type="dxa"/>
            <w:shd w:val="clear" w:color="auto" w:fill="FEA022" w:themeFill="accent6"/>
            <w:noWrap/>
          </w:tcPr>
          <w:p w14:paraId="0420198F" w14:textId="77777777" w:rsidR="00FB142E" w:rsidRPr="00443639" w:rsidRDefault="00FB142E" w:rsidP="00214A72">
            <w:pPr>
              <w:pStyle w:val="TableTextEntries"/>
              <w:jc w:val="center"/>
              <w:rPr>
                <w:color w:val="FFFFFF" w:themeColor="background1"/>
              </w:rPr>
            </w:pPr>
            <w:r>
              <w:rPr>
                <w:color w:val="FFFFFF" w:themeColor="background1"/>
              </w:rPr>
              <w:t>Amber</w:t>
            </w:r>
          </w:p>
        </w:tc>
        <w:tc>
          <w:tcPr>
            <w:tcW w:w="391" w:type="dxa"/>
          </w:tcPr>
          <w:p w14:paraId="5E812591" w14:textId="77777777" w:rsidR="00FB142E" w:rsidRPr="00443639" w:rsidRDefault="00FB142E" w:rsidP="00214A72">
            <w:pPr>
              <w:pStyle w:val="TableTextEntries"/>
              <w:jc w:val="center"/>
              <w:rPr>
                <w:color w:val="FFFFFF" w:themeColor="background1"/>
              </w:rPr>
            </w:pPr>
          </w:p>
        </w:tc>
        <w:tc>
          <w:tcPr>
            <w:tcW w:w="1049" w:type="dxa"/>
            <w:shd w:val="clear" w:color="auto" w:fill="72AF2F"/>
            <w:noWrap/>
          </w:tcPr>
          <w:p w14:paraId="1B8B025F" w14:textId="77777777" w:rsidR="00FB142E" w:rsidRPr="00443639" w:rsidRDefault="00FB142E" w:rsidP="00214A72">
            <w:pPr>
              <w:pStyle w:val="TableTextEntries"/>
              <w:jc w:val="center"/>
              <w:rPr>
                <w:color w:val="FFFFFF" w:themeColor="background1"/>
              </w:rPr>
            </w:pPr>
            <w:r w:rsidRPr="00443639">
              <w:rPr>
                <w:color w:val="FFFFFF" w:themeColor="background1"/>
              </w:rPr>
              <w:t>Green</w:t>
            </w:r>
          </w:p>
        </w:tc>
      </w:tr>
      <w:tr w:rsidR="00FB142E" w:rsidRPr="009D53C4" w14:paraId="2D0E4BA7" w14:textId="77777777" w:rsidTr="00214A72">
        <w:trPr>
          <w:cnfStyle w:val="000000010000" w:firstRow="0" w:lastRow="0" w:firstColumn="0" w:lastColumn="0" w:oddVBand="0" w:evenVBand="0" w:oddHBand="0" w:evenHBand="1" w:firstRowFirstColumn="0" w:firstRowLastColumn="0" w:lastRowFirstColumn="0" w:lastRowLastColumn="0"/>
        </w:trPr>
        <w:tc>
          <w:tcPr>
            <w:tcW w:w="6000" w:type="dxa"/>
          </w:tcPr>
          <w:p w14:paraId="32FCF61C" w14:textId="77777777" w:rsidR="00FB142E" w:rsidRDefault="00FB142E" w:rsidP="00214A72">
            <w:pPr>
              <w:pStyle w:val="TableTextEntries"/>
            </w:pPr>
            <w:r>
              <w:t>Improved Health</w:t>
            </w:r>
          </w:p>
        </w:tc>
        <w:tc>
          <w:tcPr>
            <w:tcW w:w="998" w:type="dxa"/>
            <w:shd w:val="clear" w:color="auto" w:fill="FEA022" w:themeFill="accent6"/>
            <w:noWrap/>
          </w:tcPr>
          <w:p w14:paraId="2D7A4EAA" w14:textId="77777777" w:rsidR="00FB142E" w:rsidRPr="00443639" w:rsidRDefault="00FB142E" w:rsidP="00214A72">
            <w:pPr>
              <w:pStyle w:val="TableTextEntries"/>
              <w:jc w:val="center"/>
              <w:rPr>
                <w:color w:val="FFFFFF" w:themeColor="background1"/>
              </w:rPr>
            </w:pPr>
            <w:r>
              <w:rPr>
                <w:color w:val="FFFFFF" w:themeColor="background1"/>
              </w:rPr>
              <w:t>Amber</w:t>
            </w:r>
          </w:p>
        </w:tc>
        <w:tc>
          <w:tcPr>
            <w:tcW w:w="391" w:type="dxa"/>
          </w:tcPr>
          <w:p w14:paraId="482895F7" w14:textId="77777777" w:rsidR="00FB142E" w:rsidRPr="00443639" w:rsidRDefault="00FB142E" w:rsidP="00214A72">
            <w:pPr>
              <w:pStyle w:val="TableTextEntries"/>
              <w:jc w:val="center"/>
              <w:rPr>
                <w:color w:val="FFFFFF" w:themeColor="background1"/>
              </w:rPr>
            </w:pPr>
          </w:p>
        </w:tc>
        <w:tc>
          <w:tcPr>
            <w:tcW w:w="1049" w:type="dxa"/>
            <w:shd w:val="clear" w:color="auto" w:fill="72AF2F"/>
            <w:noWrap/>
          </w:tcPr>
          <w:p w14:paraId="580E0623" w14:textId="77777777" w:rsidR="00FB142E" w:rsidRPr="00443639" w:rsidRDefault="00FB142E" w:rsidP="00214A72">
            <w:pPr>
              <w:pStyle w:val="TableTextEntries"/>
              <w:jc w:val="center"/>
              <w:rPr>
                <w:color w:val="FFFFFF" w:themeColor="background1"/>
              </w:rPr>
            </w:pPr>
            <w:r w:rsidRPr="00443639">
              <w:rPr>
                <w:color w:val="FFFFFF" w:themeColor="background1"/>
              </w:rPr>
              <w:t>Green</w:t>
            </w:r>
          </w:p>
        </w:tc>
      </w:tr>
      <w:tr w:rsidR="00FB142E" w:rsidRPr="009D53C4" w14:paraId="4D11541A" w14:textId="77777777" w:rsidTr="00214A72">
        <w:trPr>
          <w:cnfStyle w:val="000000010000" w:firstRow="0" w:lastRow="0" w:firstColumn="0" w:lastColumn="0" w:oddVBand="0" w:evenVBand="0" w:oddHBand="0" w:evenHBand="1" w:firstRowFirstColumn="0" w:firstRowLastColumn="0" w:lastRowFirstColumn="0" w:lastRowLastColumn="0"/>
        </w:trPr>
        <w:tc>
          <w:tcPr>
            <w:tcW w:w="6000" w:type="dxa"/>
          </w:tcPr>
          <w:p w14:paraId="1878FE77" w14:textId="77777777" w:rsidR="00FB142E" w:rsidRDefault="00FB142E" w:rsidP="00214A72">
            <w:pPr>
              <w:pStyle w:val="TableTextEntries"/>
            </w:pPr>
            <w:r>
              <w:t>Improved Education</w:t>
            </w:r>
          </w:p>
        </w:tc>
        <w:tc>
          <w:tcPr>
            <w:tcW w:w="998" w:type="dxa"/>
            <w:shd w:val="clear" w:color="auto" w:fill="FEA022" w:themeFill="accent6"/>
            <w:noWrap/>
          </w:tcPr>
          <w:p w14:paraId="74C6E8EE" w14:textId="77777777" w:rsidR="00FB142E" w:rsidRPr="00443639" w:rsidRDefault="00FB142E" w:rsidP="00214A72">
            <w:pPr>
              <w:pStyle w:val="TableTextEntries"/>
              <w:jc w:val="center"/>
              <w:rPr>
                <w:color w:val="FFFFFF" w:themeColor="background1"/>
              </w:rPr>
            </w:pPr>
            <w:r>
              <w:rPr>
                <w:color w:val="FFFFFF" w:themeColor="background1"/>
              </w:rPr>
              <w:t>Amber</w:t>
            </w:r>
          </w:p>
        </w:tc>
        <w:tc>
          <w:tcPr>
            <w:tcW w:w="391" w:type="dxa"/>
          </w:tcPr>
          <w:p w14:paraId="0DE2DA2A" w14:textId="77777777" w:rsidR="00FB142E" w:rsidRPr="00443639" w:rsidRDefault="00FB142E" w:rsidP="00214A72">
            <w:pPr>
              <w:pStyle w:val="TableTextEntries"/>
              <w:jc w:val="center"/>
              <w:rPr>
                <w:color w:val="FFFFFF" w:themeColor="background1"/>
              </w:rPr>
            </w:pPr>
          </w:p>
        </w:tc>
        <w:tc>
          <w:tcPr>
            <w:tcW w:w="1049" w:type="dxa"/>
            <w:shd w:val="clear" w:color="auto" w:fill="74A510" w:themeFill="background2" w:themeFillShade="80"/>
            <w:noWrap/>
          </w:tcPr>
          <w:p w14:paraId="52D83FB8" w14:textId="77777777" w:rsidR="00FB142E" w:rsidRPr="00443639" w:rsidRDefault="00FB142E" w:rsidP="00214A72">
            <w:pPr>
              <w:pStyle w:val="TableTextEntries"/>
              <w:jc w:val="center"/>
              <w:rPr>
                <w:color w:val="FFFFFF" w:themeColor="background1"/>
              </w:rPr>
            </w:pPr>
            <w:r>
              <w:rPr>
                <w:color w:val="FFFFFF" w:themeColor="background1"/>
              </w:rPr>
              <w:t>Green</w:t>
            </w:r>
          </w:p>
        </w:tc>
      </w:tr>
      <w:tr w:rsidR="00FB142E" w:rsidRPr="009D53C4" w14:paraId="346AA980" w14:textId="77777777" w:rsidTr="00214A72">
        <w:trPr>
          <w:cnfStyle w:val="000000010000" w:firstRow="0" w:lastRow="0" w:firstColumn="0" w:lastColumn="0" w:oddVBand="0" w:evenVBand="0" w:oddHBand="0" w:evenHBand="1" w:firstRowFirstColumn="0" w:firstRowLastColumn="0" w:lastRowFirstColumn="0" w:lastRowLastColumn="0"/>
        </w:trPr>
        <w:tc>
          <w:tcPr>
            <w:tcW w:w="6000" w:type="dxa"/>
          </w:tcPr>
          <w:p w14:paraId="2CD4569E" w14:textId="77777777" w:rsidR="00FB142E" w:rsidRDefault="00FB142E" w:rsidP="00214A72">
            <w:pPr>
              <w:pStyle w:val="TableTextEntries"/>
            </w:pPr>
            <w:r>
              <w:t>Infrastructure and Essential Services</w:t>
            </w:r>
          </w:p>
        </w:tc>
        <w:tc>
          <w:tcPr>
            <w:tcW w:w="998" w:type="dxa"/>
            <w:shd w:val="clear" w:color="auto" w:fill="FF0000"/>
            <w:noWrap/>
          </w:tcPr>
          <w:p w14:paraId="690BB7D3" w14:textId="77777777" w:rsidR="00FB142E" w:rsidRPr="00443639" w:rsidRDefault="00FB142E" w:rsidP="00214A72">
            <w:pPr>
              <w:pStyle w:val="TableTextEntries"/>
              <w:jc w:val="center"/>
              <w:rPr>
                <w:color w:val="FFFFFF" w:themeColor="background1"/>
              </w:rPr>
            </w:pPr>
            <w:r>
              <w:rPr>
                <w:color w:val="FFFFFF" w:themeColor="background1"/>
              </w:rPr>
              <w:t>Red</w:t>
            </w:r>
          </w:p>
        </w:tc>
        <w:tc>
          <w:tcPr>
            <w:tcW w:w="391" w:type="dxa"/>
          </w:tcPr>
          <w:p w14:paraId="0197FDFC" w14:textId="77777777" w:rsidR="00FB142E" w:rsidRPr="00443639" w:rsidRDefault="00FB142E" w:rsidP="00214A72">
            <w:pPr>
              <w:pStyle w:val="TableTextEntries"/>
              <w:jc w:val="center"/>
              <w:rPr>
                <w:color w:val="FFFFFF" w:themeColor="background1"/>
              </w:rPr>
            </w:pPr>
          </w:p>
        </w:tc>
        <w:tc>
          <w:tcPr>
            <w:tcW w:w="1049" w:type="dxa"/>
            <w:shd w:val="clear" w:color="auto" w:fill="74A510" w:themeFill="background2" w:themeFillShade="80"/>
            <w:noWrap/>
          </w:tcPr>
          <w:p w14:paraId="3EF76857" w14:textId="77777777" w:rsidR="00FB142E" w:rsidRPr="00443639" w:rsidRDefault="00FB142E" w:rsidP="00214A72">
            <w:pPr>
              <w:pStyle w:val="TableTextEntries"/>
              <w:jc w:val="center"/>
              <w:rPr>
                <w:color w:val="FFFFFF" w:themeColor="background1"/>
              </w:rPr>
            </w:pPr>
            <w:r>
              <w:rPr>
                <w:color w:val="FFFFFF" w:themeColor="background1"/>
              </w:rPr>
              <w:t>Green</w:t>
            </w:r>
          </w:p>
        </w:tc>
      </w:tr>
      <w:tr w:rsidR="00FB142E" w:rsidRPr="009D53C4" w14:paraId="4F3E516F" w14:textId="77777777" w:rsidTr="00214A72">
        <w:trPr>
          <w:cnfStyle w:val="000000010000" w:firstRow="0" w:lastRow="0" w:firstColumn="0" w:lastColumn="0" w:oddVBand="0" w:evenVBand="0" w:oddHBand="0" w:evenHBand="1" w:firstRowFirstColumn="0" w:firstRowLastColumn="0" w:lastRowFirstColumn="0" w:lastRowLastColumn="0"/>
        </w:trPr>
        <w:tc>
          <w:tcPr>
            <w:tcW w:w="6000" w:type="dxa"/>
          </w:tcPr>
          <w:p w14:paraId="7AF554E9" w14:textId="77777777" w:rsidR="00FB142E" w:rsidRDefault="00FB142E" w:rsidP="00214A72">
            <w:pPr>
              <w:pStyle w:val="TableTextEntries"/>
            </w:pPr>
            <w:r>
              <w:t>Private Sector Growth</w:t>
            </w:r>
          </w:p>
        </w:tc>
        <w:tc>
          <w:tcPr>
            <w:tcW w:w="998" w:type="dxa"/>
            <w:shd w:val="clear" w:color="auto" w:fill="FEA022" w:themeFill="accent6"/>
            <w:noWrap/>
          </w:tcPr>
          <w:p w14:paraId="30C75E70" w14:textId="77777777" w:rsidR="00FB142E" w:rsidRPr="00443639" w:rsidRDefault="00FB142E" w:rsidP="00214A72">
            <w:pPr>
              <w:pStyle w:val="TableTextEntries"/>
              <w:jc w:val="center"/>
              <w:rPr>
                <w:color w:val="FFFFFF" w:themeColor="background1"/>
              </w:rPr>
            </w:pPr>
            <w:r>
              <w:rPr>
                <w:color w:val="FFFFFF" w:themeColor="background1"/>
              </w:rPr>
              <w:t>Amber</w:t>
            </w:r>
          </w:p>
        </w:tc>
        <w:tc>
          <w:tcPr>
            <w:tcW w:w="391" w:type="dxa"/>
          </w:tcPr>
          <w:p w14:paraId="6B7EC8D3" w14:textId="77777777" w:rsidR="00FB142E" w:rsidRPr="00443639" w:rsidRDefault="00FB142E" w:rsidP="00214A72">
            <w:pPr>
              <w:pStyle w:val="TableTextEntries"/>
              <w:jc w:val="center"/>
              <w:rPr>
                <w:color w:val="FFFFFF" w:themeColor="background1"/>
              </w:rPr>
            </w:pPr>
          </w:p>
        </w:tc>
        <w:tc>
          <w:tcPr>
            <w:tcW w:w="1049" w:type="dxa"/>
            <w:shd w:val="clear" w:color="auto" w:fill="FEA022" w:themeFill="accent6"/>
            <w:noWrap/>
          </w:tcPr>
          <w:p w14:paraId="79EB3432" w14:textId="77777777" w:rsidR="00FB142E" w:rsidRPr="00443639" w:rsidRDefault="00FB142E" w:rsidP="00214A72">
            <w:pPr>
              <w:pStyle w:val="TableTextEntries"/>
              <w:jc w:val="center"/>
              <w:rPr>
                <w:color w:val="FFFFFF" w:themeColor="background1"/>
              </w:rPr>
            </w:pPr>
            <w:r>
              <w:rPr>
                <w:color w:val="FFFFFF" w:themeColor="background1"/>
              </w:rPr>
              <w:t>Amber</w:t>
            </w:r>
          </w:p>
        </w:tc>
      </w:tr>
    </w:tbl>
    <w:p w14:paraId="41E8BA0F" w14:textId="77777777" w:rsidR="000B5812" w:rsidRPr="00180B19" w:rsidRDefault="000B5812" w:rsidP="000B5812">
      <w:pPr>
        <w:pStyle w:val="Note"/>
      </w:pPr>
      <w:r w:rsidRPr="00180B19">
        <w:t xml:space="preserve">Note: </w:t>
      </w:r>
    </w:p>
    <w:p w14:paraId="1836AD04" w14:textId="77777777" w:rsidR="000B5812" w:rsidRPr="00180B19" w:rsidRDefault="000B5812" w:rsidP="000B5812">
      <w:pPr>
        <w:pStyle w:val="Note"/>
      </w:pPr>
      <w:r w:rsidRPr="00E74404">
        <w:rPr>
          <w:color w:val="72AF2F"/>
        </w:rPr>
        <w:sym w:font="Webdings" w:char="F067"/>
      </w:r>
      <w:r w:rsidRPr="00180B19">
        <w:t> </w:t>
      </w:r>
      <w:r w:rsidRPr="00180B19">
        <w:t xml:space="preserve"> </w:t>
      </w:r>
      <w:r>
        <w:t xml:space="preserve">Green. </w:t>
      </w:r>
      <w:r w:rsidRPr="00180B19">
        <w:t>Progress is as expected for this point in time and it is likely that the objective will be achieved. Standard program management practices are sufficient.</w:t>
      </w:r>
    </w:p>
    <w:p w14:paraId="04982496" w14:textId="77777777" w:rsidR="000B5812" w:rsidRPr="00180B19" w:rsidRDefault="000B5812" w:rsidP="000B5812">
      <w:pPr>
        <w:pStyle w:val="Note"/>
      </w:pPr>
      <w:r w:rsidRPr="00E74404">
        <w:rPr>
          <w:color w:val="E36C0A"/>
        </w:rPr>
        <w:sym w:font="Webdings" w:char="F067"/>
      </w:r>
      <w:r w:rsidRPr="00180B19">
        <w:t> </w:t>
      </w:r>
      <w:r w:rsidRPr="00180B19">
        <w:t xml:space="preserve"> </w:t>
      </w:r>
      <w:r>
        <w:t xml:space="preserve">Amber. </w:t>
      </w:r>
      <w:r w:rsidRPr="00180B19">
        <w:t>Progress is somewhat less than expected for this point in time and restorative action will be necessary if the objective is to be achieved. Close performance monitoring is recommended.</w:t>
      </w:r>
    </w:p>
    <w:p w14:paraId="5BC02F76" w14:textId="77777777" w:rsidR="000B5812" w:rsidRDefault="000B5812" w:rsidP="000B5812">
      <w:pPr>
        <w:pStyle w:val="Note"/>
      </w:pPr>
      <w:r w:rsidRPr="004C4A3E">
        <w:rPr>
          <w:color w:val="FF0000"/>
        </w:rPr>
        <w:sym w:font="Webdings" w:char="F067"/>
      </w:r>
      <w:r w:rsidRPr="00180B19">
        <w:t> </w:t>
      </w:r>
      <w:r w:rsidRPr="00180B19">
        <w:t xml:space="preserve"> </w:t>
      </w:r>
      <w:r>
        <w:t xml:space="preserve">Red. </w:t>
      </w:r>
      <w:r w:rsidRPr="00180B19">
        <w:t>Progress is significantly less than expected for this point in time and the objective is not likely to be met given available resources and priorities. Recasting the objective may be required.</w:t>
      </w:r>
    </w:p>
    <w:p w14:paraId="76E998B5" w14:textId="77777777" w:rsidR="000B5812" w:rsidRDefault="000B5812" w:rsidP="000B5812">
      <w:pPr>
        <w:pStyle w:val="Note"/>
      </w:pPr>
      <w:r>
        <w:t xml:space="preserve">Reporting period: </w:t>
      </w:r>
      <w:r w:rsidRPr="00180B19">
        <w:t xml:space="preserve"> </w:t>
      </w:r>
    </w:p>
    <w:p w14:paraId="113ED1D7" w14:textId="77777777" w:rsidR="00992A07" w:rsidRDefault="00992A07" w:rsidP="00540209">
      <w:pPr>
        <w:pStyle w:val="BodyText"/>
        <w:rPr>
          <w:b/>
        </w:rPr>
      </w:pPr>
    </w:p>
    <w:p w14:paraId="0A1398CA" w14:textId="07E909F1" w:rsidR="00540209" w:rsidRDefault="00F220C0" w:rsidP="00540209">
      <w:pPr>
        <w:pStyle w:val="BodyText"/>
      </w:pPr>
      <w:r w:rsidRPr="00336135">
        <w:rPr>
          <w:b/>
        </w:rPr>
        <w:t>Public Sector Management</w:t>
      </w:r>
      <w:r w:rsidR="008E6938">
        <w:rPr>
          <w:b/>
        </w:rPr>
        <w:br/>
      </w:r>
      <w:r w:rsidR="00292F85">
        <w:t xml:space="preserve">Following the June 2013 election, the new Government of Nauru’s </w:t>
      </w:r>
      <w:r w:rsidR="00292F85" w:rsidRPr="000076CD">
        <w:t xml:space="preserve">localisation agenda resulted </w:t>
      </w:r>
      <w:r w:rsidR="001D0E1C">
        <w:t xml:space="preserve">in the temporary absence of </w:t>
      </w:r>
      <w:r w:rsidR="00292F85" w:rsidRPr="000076CD">
        <w:t>most Australian funded expatriate advisors during 2013-14</w:t>
      </w:r>
      <w:r w:rsidR="00292F85">
        <w:t xml:space="preserve">. This included senior positions within the MoF, the Ministry for Health, Nauru Utilities Corporation (NUC) and the Department of Education. Expenditure and progress toward objectives has been </w:t>
      </w:r>
      <w:r w:rsidR="001D0E1C">
        <w:t>slower than anticipated</w:t>
      </w:r>
      <w:r w:rsidR="00292F85">
        <w:t xml:space="preserve"> during the reporting period, hence the ‘</w:t>
      </w:r>
      <w:r w:rsidR="00C30646">
        <w:t>amber</w:t>
      </w:r>
      <w:r w:rsidR="00292F85">
        <w:t>’ rating.</w:t>
      </w:r>
      <w:r w:rsidR="009C703F">
        <w:t xml:space="preserve"> As of February 2014 key advisory positions were refilled with Australian funded PACTAM advisors (Deputy Secretary Customs, Deputy Secretary Revenue, Deputy Secretary Treasury, Chief Accountant and Human Resources advisor). This has assisted with bringing the reform</w:t>
      </w:r>
      <w:r w:rsidR="00C32A32">
        <w:t xml:space="preserve"> momentum back on track.  A</w:t>
      </w:r>
      <w:r w:rsidR="009C703F">
        <w:t xml:space="preserve"> ‘</w:t>
      </w:r>
      <w:r w:rsidR="00C30646">
        <w:t>green</w:t>
      </w:r>
      <w:r w:rsidR="009C703F">
        <w:t xml:space="preserve">’ rating is anticipated early in the new reporting period.  </w:t>
      </w:r>
      <w:r w:rsidR="00540209" w:rsidRPr="00673050">
        <w:t xml:space="preserve">While the program is exposed to some risk through localisation, this is a laudable objective </w:t>
      </w:r>
      <w:r w:rsidR="00864B98" w:rsidRPr="00673050">
        <w:t>where suitable local capacity exists and b</w:t>
      </w:r>
      <w:r w:rsidR="00540209" w:rsidRPr="00673050">
        <w:t>uttre</w:t>
      </w:r>
      <w:r w:rsidR="00864B98" w:rsidRPr="00673050">
        <w:t xml:space="preserve">ssed by PACTAM </w:t>
      </w:r>
      <w:r w:rsidR="00540209" w:rsidRPr="00673050">
        <w:t>expertise where necessary.</w:t>
      </w:r>
      <w:r w:rsidR="00540209">
        <w:t xml:space="preserve"> </w:t>
      </w:r>
    </w:p>
    <w:p w14:paraId="581380ED" w14:textId="423824F6" w:rsidR="00853CB9" w:rsidRDefault="00292F85" w:rsidP="0095593B">
      <w:pPr>
        <w:pStyle w:val="BodyText"/>
      </w:pPr>
      <w:r>
        <w:t>The 2013-14 grant funds for this sector ($1.18 million) were not transferred to Nauru until June 2014, as the M</w:t>
      </w:r>
      <w:r w:rsidR="009C703F">
        <w:t>oF</w:t>
      </w:r>
      <w:r>
        <w:t xml:space="preserve"> had not managed to effectively spend a significant proportion of 2012-13 grant funds. The Government of Nauru has continued to use grant funds provided in 2012-13 to progress a number of agreed initiatives.</w:t>
      </w:r>
    </w:p>
    <w:p w14:paraId="14488B00" w14:textId="341AE7FB" w:rsidR="00853CB9" w:rsidRDefault="003D6173" w:rsidP="0095593B">
      <w:pPr>
        <w:pStyle w:val="BodyText"/>
      </w:pPr>
      <w:r>
        <w:t xml:space="preserve">Despite </w:t>
      </w:r>
      <w:r w:rsidR="009C703F">
        <w:t xml:space="preserve">the </w:t>
      </w:r>
      <w:r w:rsidR="00853CB9">
        <w:t xml:space="preserve">early </w:t>
      </w:r>
      <w:r>
        <w:t>challenges</w:t>
      </w:r>
      <w:r w:rsidR="00853CB9">
        <w:t>, there have been achievements towards the end of the reporting period such as the creation of the country’s first tax system, which will provide a mechanism for reve</w:t>
      </w:r>
      <w:r w:rsidR="00C32A32">
        <w:t>nue-raising.  The G</w:t>
      </w:r>
      <w:r w:rsidR="00853CB9">
        <w:t xml:space="preserve">overnment also implemented customs reform and made improvements to the aid funded Financial Management Information System (FMIS).  </w:t>
      </w:r>
      <w:r w:rsidR="00853CB9" w:rsidRPr="00ED3C4C">
        <w:t>A 2013 P</w:t>
      </w:r>
      <w:r w:rsidR="00853CB9">
        <w:t>ublic Financial Management</w:t>
      </w:r>
      <w:r w:rsidR="00853CB9" w:rsidRPr="00ED3C4C">
        <w:t xml:space="preserve"> review </w:t>
      </w:r>
      <w:r w:rsidR="00853CB9">
        <w:t xml:space="preserve">by the Pacific Financial Technical Assistance Centre (PFTAC) </w:t>
      </w:r>
      <w:r w:rsidR="00853CB9" w:rsidRPr="00ED3C4C">
        <w:t xml:space="preserve">found that significant strides had been made in some areas </w:t>
      </w:r>
      <w:r w:rsidR="00853CB9">
        <w:t>(</w:t>
      </w:r>
      <w:r w:rsidR="00853CB9" w:rsidRPr="00ED3C4C">
        <w:t>eg installation of the F</w:t>
      </w:r>
      <w:r w:rsidR="00853CB9">
        <w:t>MIS)</w:t>
      </w:r>
      <w:r w:rsidR="00853CB9" w:rsidRPr="00ED3C4C">
        <w:t xml:space="preserve">, better policy </w:t>
      </w:r>
      <w:r w:rsidR="00853CB9" w:rsidRPr="00ED3C4C">
        <w:lastRenderedPageBreak/>
        <w:t>focused budget preparation documentation</w:t>
      </w:r>
      <w:r w:rsidR="00853CB9">
        <w:t xml:space="preserve"> and important</w:t>
      </w:r>
      <w:r w:rsidR="00853CB9" w:rsidRPr="00ED3C4C">
        <w:t xml:space="preserve"> </w:t>
      </w:r>
      <w:r w:rsidR="00853CB9">
        <w:t>pr</w:t>
      </w:r>
      <w:r w:rsidR="00853CB9" w:rsidRPr="00ED3C4C">
        <w:t>ocurement reform</w:t>
      </w:r>
      <w:r w:rsidR="00853CB9">
        <w:t>s</w:t>
      </w:r>
      <w:r w:rsidR="00C30646">
        <w:t xml:space="preserve">.  The latter leading to the </w:t>
      </w:r>
      <w:r w:rsidR="00853CB9" w:rsidRPr="00ED3C4C">
        <w:t>introduction of an independent procurement agent</w:t>
      </w:r>
      <w:r w:rsidR="00853CB9">
        <w:t xml:space="preserve"> in late 2013</w:t>
      </w:r>
      <w:r w:rsidR="00853CB9">
        <w:rPr>
          <w:rStyle w:val="FootnoteReference"/>
        </w:rPr>
        <w:footnoteReference w:id="6"/>
      </w:r>
      <w:r w:rsidR="00853CB9">
        <w:t xml:space="preserve">.  </w:t>
      </w:r>
    </w:p>
    <w:p w14:paraId="170A8BB9" w14:textId="29C0FD3D" w:rsidR="0095593B" w:rsidRDefault="00853CB9" w:rsidP="0095593B">
      <w:pPr>
        <w:pStyle w:val="BodyText"/>
      </w:pPr>
      <w:r>
        <w:t xml:space="preserve">Australian funding continued to support Deloittes to progress the liquidation of the Bank of Nauru. Deloittes finalised its work on this project in 2013-14 and any subsequent efforts to pay out remaining amounts and reclaim remaining debts will be undertaken by </w:t>
      </w:r>
      <w:r w:rsidR="00C32A32">
        <w:t xml:space="preserve">the </w:t>
      </w:r>
      <w:r>
        <w:t>Government of Nauru.</w:t>
      </w:r>
    </w:p>
    <w:p w14:paraId="46A20154" w14:textId="12F9BE29" w:rsidR="009C703F" w:rsidRDefault="00B145B3" w:rsidP="00292F85">
      <w:pPr>
        <w:pStyle w:val="BodyText"/>
      </w:pPr>
      <w:r>
        <w:t>In 2014, the annual audit of the Government of Nauru managed Operational Account identified a range of administrative and accounting anomalies. This suggests that the temporary shortfall in capacity within the Ministry of Finance during 2013-14 has had some impact. Improvements are expected owing to the return of expert advisors and as Nauruan localised expertise beds down.</w:t>
      </w:r>
    </w:p>
    <w:p w14:paraId="7E4FCF74" w14:textId="3576C775" w:rsidR="00292F85" w:rsidRDefault="00292F85" w:rsidP="00292F85">
      <w:pPr>
        <w:pStyle w:val="BodyText"/>
      </w:pPr>
      <w:r>
        <w:t xml:space="preserve">Australia’s regional aid funding also made a significant contribution in this sector </w:t>
      </w:r>
      <w:r w:rsidR="00C32A32">
        <w:t>through</w:t>
      </w:r>
      <w:r>
        <w:t xml:space="preserve"> capacity building for Nauru’s National Audit Office through the Pacific Association of Supreme Audit Institutions and training delivered through the Pacific Islands Centre for Public Administration in Public policy analysis and advice. </w:t>
      </w:r>
    </w:p>
    <w:p w14:paraId="43C08F6D" w14:textId="77777777" w:rsidR="00F220C0" w:rsidRPr="00B42B12" w:rsidRDefault="00F220C0" w:rsidP="00F220C0">
      <w:pPr>
        <w:rPr>
          <w:rFonts w:ascii="Franklin Gothic Book" w:eastAsia="Times New Roman" w:hAnsi="Franklin Gothic Book"/>
          <w:b/>
          <w:sz w:val="21"/>
        </w:rPr>
      </w:pPr>
      <w:r w:rsidRPr="00B42B12">
        <w:rPr>
          <w:rFonts w:ascii="Franklin Gothic Book" w:eastAsia="Times New Roman" w:hAnsi="Franklin Gothic Book"/>
          <w:b/>
          <w:sz w:val="21"/>
        </w:rPr>
        <w:t>Improved Health</w:t>
      </w:r>
    </w:p>
    <w:p w14:paraId="1E7D76BC" w14:textId="382720F8" w:rsidR="0075536B" w:rsidRDefault="00034E27" w:rsidP="00F220C0">
      <w:pPr>
        <w:pStyle w:val="BodyText"/>
      </w:pPr>
      <w:r>
        <w:t xml:space="preserve">The </w:t>
      </w:r>
      <w:r w:rsidR="00C32A32">
        <w:t>Australian G</w:t>
      </w:r>
      <w:r w:rsidR="00C10A05">
        <w:t>overnment</w:t>
      </w:r>
      <w:r w:rsidR="00A92D26">
        <w:t xml:space="preserve"> </w:t>
      </w:r>
      <w:r w:rsidR="00C30646">
        <w:t>has agreed</w:t>
      </w:r>
      <w:r w:rsidR="00C10A05">
        <w:t xml:space="preserve"> to refurbish the Nauru hospital</w:t>
      </w:r>
      <w:r w:rsidR="00C30646">
        <w:t xml:space="preserve"> following a fire in August 2013.  </w:t>
      </w:r>
      <w:r w:rsidR="00C10A05">
        <w:t>Immediately</w:t>
      </w:r>
      <w:r w:rsidR="00A92D26">
        <w:t xml:space="preserve"> after the fire, Australia reallocated $1.2 million of funding to restock all pharmaceuticals and </w:t>
      </w:r>
      <w:r w:rsidR="006F7286">
        <w:t xml:space="preserve">replace </w:t>
      </w:r>
      <w:r w:rsidR="00A92D26">
        <w:t>other critical equipment such as an x-ray machine</w:t>
      </w:r>
      <w:r w:rsidR="00C10A05">
        <w:t xml:space="preserve">. </w:t>
      </w:r>
    </w:p>
    <w:p w14:paraId="590FD65B" w14:textId="5AE50F09" w:rsidR="007313DB" w:rsidRDefault="00F220C0" w:rsidP="00F220C0">
      <w:pPr>
        <w:pStyle w:val="BodyText"/>
      </w:pPr>
      <w:r>
        <w:t>Australia provides approximately 40 per cent of the Ministry for Health</w:t>
      </w:r>
      <w:r w:rsidR="00A64AC4">
        <w:t xml:space="preserve"> and Medical Services’ (MHMS)</w:t>
      </w:r>
      <w:r>
        <w:t xml:space="preserve"> operating budget to assist the Ministry in its daily operations. An independent review of the health sector undertaken in February 2014 found Australia’s support for the Ministry </w:t>
      </w:r>
      <w:r w:rsidRPr="00486F4E">
        <w:rPr>
          <w:i/>
        </w:rPr>
        <w:t xml:space="preserve">“vital and should be </w:t>
      </w:r>
      <w:r>
        <w:rPr>
          <w:i/>
        </w:rPr>
        <w:t>continued</w:t>
      </w:r>
      <w:r w:rsidR="002E05C5">
        <w:rPr>
          <w:rStyle w:val="FootnoteReference"/>
          <w:i/>
        </w:rPr>
        <w:footnoteReference w:id="7"/>
      </w:r>
      <w:r w:rsidRPr="00486F4E">
        <w:rPr>
          <w:i/>
        </w:rPr>
        <w:t>”.</w:t>
      </w:r>
      <w:r>
        <w:rPr>
          <w:i/>
        </w:rPr>
        <w:t xml:space="preserve"> </w:t>
      </w:r>
      <w:r w:rsidR="0075536B">
        <w:rPr>
          <w:i/>
        </w:rPr>
        <w:t xml:space="preserve"> </w:t>
      </w:r>
      <w:r w:rsidR="006F7286">
        <w:t>Grant</w:t>
      </w:r>
      <w:r>
        <w:t xml:space="preserve"> funding for the health sector reform program ($3.7 million) was not transferred until June 2014</w:t>
      </w:r>
      <w:r w:rsidR="00C30646">
        <w:t xml:space="preserve"> as a result of slower than expected expenditure of funds provided in 212-13.  T</w:t>
      </w:r>
      <w:r>
        <w:t xml:space="preserve">he </w:t>
      </w:r>
      <w:r w:rsidR="00BB28D5">
        <w:t xml:space="preserve">Ministry </w:t>
      </w:r>
      <w:r>
        <w:t>has been using funds provided in previous years to pursue a range of ongoing activities in 2013-14.</w:t>
      </w:r>
    </w:p>
    <w:p w14:paraId="4F9F3D72" w14:textId="6D532FB0" w:rsidR="00F2488B" w:rsidRDefault="00F220C0" w:rsidP="00137DFB">
      <w:pPr>
        <w:pStyle w:val="BodyText"/>
      </w:pPr>
      <w:r>
        <w:t>With Australian assistance, the M</w:t>
      </w:r>
      <w:r w:rsidR="00A64AC4">
        <w:t>HMS</w:t>
      </w:r>
      <w:r>
        <w:t xml:space="preserve"> continued to reach more than 95 per cent coverage for key vaccines</w:t>
      </w:r>
      <w:r>
        <w:rPr>
          <w:rStyle w:val="FootnoteReference"/>
        </w:rPr>
        <w:footnoteReference w:id="8"/>
      </w:r>
      <w:r>
        <w:t>, including tuberculosis, measles, Hepatitis B, polio, diphtheria and tetanus.</w:t>
      </w:r>
      <w:r w:rsidR="00A64AC4">
        <w:t xml:space="preserve"> For the second consecutive year, there have been zero maternal deaths</w:t>
      </w:r>
      <w:r w:rsidR="005C7684">
        <w:rPr>
          <w:rStyle w:val="FootnoteReference"/>
        </w:rPr>
        <w:footnoteReference w:id="9"/>
      </w:r>
      <w:r w:rsidR="00A64AC4">
        <w:t xml:space="preserve"> in Nauru during 2013-14, although the infant mortality rate has remained constant at </w:t>
      </w:r>
      <w:r w:rsidR="00500A32">
        <w:t xml:space="preserve">just over </w:t>
      </w:r>
      <w:r w:rsidR="00A64AC4">
        <w:t>20</w:t>
      </w:r>
      <w:r w:rsidR="00A64AC4">
        <w:rPr>
          <w:rStyle w:val="FootnoteReference"/>
        </w:rPr>
        <w:footnoteReference w:id="10"/>
      </w:r>
      <w:r w:rsidR="00A64AC4">
        <w:t xml:space="preserve"> deaths per 1,000 live births (or approximately 6 deaths per year).</w:t>
      </w:r>
      <w:r w:rsidR="00500A32">
        <w:t xml:space="preserve"> </w:t>
      </w:r>
      <w:r w:rsidR="00C10A05">
        <w:t>I</w:t>
      </w:r>
      <w:r w:rsidR="00F2488B">
        <w:t>n 2013 the Australian regional aid program funded UNICEF to establish an intensive newborn care unit which has the potential to improve these statistics.</w:t>
      </w:r>
      <w:r w:rsidR="00F2488B" w:rsidRPr="008128B0">
        <w:t xml:space="preserve"> </w:t>
      </w:r>
    </w:p>
    <w:p w14:paraId="18B5808D" w14:textId="0B3E3C93" w:rsidR="0075536B" w:rsidRDefault="00F2488B" w:rsidP="00A64AC4">
      <w:pPr>
        <w:pStyle w:val="BodyText"/>
        <w:rPr>
          <w:szCs w:val="21"/>
        </w:rPr>
      </w:pPr>
      <w:r>
        <w:t>There</w:t>
      </w:r>
      <w:r w:rsidR="00213B92">
        <w:t xml:space="preserve"> </w:t>
      </w:r>
      <w:r w:rsidR="00C10A05">
        <w:t>are gaps in</w:t>
      </w:r>
      <w:r w:rsidR="00213B92" w:rsidRPr="00164609">
        <w:t xml:space="preserve"> access to sexual and reproductive health services and information, particularly for young women</w:t>
      </w:r>
      <w:r w:rsidR="006F7286">
        <w:t>.  T</w:t>
      </w:r>
      <w:r w:rsidR="001E3F97" w:rsidRPr="003B009F">
        <w:t xml:space="preserve">he </w:t>
      </w:r>
      <w:r w:rsidR="00213B92" w:rsidRPr="008128B0">
        <w:rPr>
          <w:szCs w:val="21"/>
        </w:rPr>
        <w:t>need for family planning is also high, at 23.5</w:t>
      </w:r>
      <w:r w:rsidR="006306E1">
        <w:t> </w:t>
      </w:r>
      <w:r w:rsidR="00213B92" w:rsidRPr="008128B0">
        <w:rPr>
          <w:szCs w:val="21"/>
        </w:rPr>
        <w:t>per</w:t>
      </w:r>
      <w:r w:rsidR="006F7286">
        <w:rPr>
          <w:szCs w:val="21"/>
        </w:rPr>
        <w:t xml:space="preserve"> </w:t>
      </w:r>
      <w:r w:rsidR="00213B92" w:rsidRPr="008128B0">
        <w:rPr>
          <w:szCs w:val="21"/>
        </w:rPr>
        <w:t>cent</w:t>
      </w:r>
      <w:r w:rsidR="007D6952">
        <w:rPr>
          <w:rStyle w:val="FootnoteReference"/>
        </w:rPr>
        <w:footnoteReference w:id="11"/>
      </w:r>
      <w:r w:rsidR="00213B92">
        <w:rPr>
          <w:szCs w:val="21"/>
        </w:rPr>
        <w:t>. T</w:t>
      </w:r>
      <w:r w:rsidR="00213B92" w:rsidRPr="008128B0">
        <w:t xml:space="preserve">een </w:t>
      </w:r>
      <w:r w:rsidR="00213B92" w:rsidRPr="008128B0">
        <w:lastRenderedPageBreak/>
        <w:t xml:space="preserve">pregnancy rates </w:t>
      </w:r>
      <w:r w:rsidR="00213B92">
        <w:t xml:space="preserve">are high </w:t>
      </w:r>
      <w:r w:rsidR="00213B92" w:rsidRPr="008128B0">
        <w:t>(15 per</w:t>
      </w:r>
      <w:r w:rsidR="006F7286">
        <w:t xml:space="preserve"> </w:t>
      </w:r>
      <w:r w:rsidR="00213B92" w:rsidRPr="008128B0">
        <w:t>cent)</w:t>
      </w:r>
      <w:r w:rsidR="007D6952">
        <w:rPr>
          <w:rStyle w:val="FootnoteReference"/>
        </w:rPr>
        <w:footnoteReference w:id="12"/>
      </w:r>
      <w:r w:rsidR="00213B92">
        <w:t xml:space="preserve"> and </w:t>
      </w:r>
      <w:r w:rsidR="00213B92">
        <w:rPr>
          <w:szCs w:val="21"/>
        </w:rPr>
        <w:t>a recent</w:t>
      </w:r>
      <w:r w:rsidR="00213B92" w:rsidRPr="008128B0">
        <w:rPr>
          <w:szCs w:val="21"/>
        </w:rPr>
        <w:t xml:space="preserve"> survey of 120</w:t>
      </w:r>
      <w:r w:rsidR="006306E1">
        <w:rPr>
          <w:szCs w:val="21"/>
        </w:rPr>
        <w:t> </w:t>
      </w:r>
      <w:r w:rsidR="00213B92" w:rsidRPr="008128B0">
        <w:rPr>
          <w:szCs w:val="21"/>
        </w:rPr>
        <w:t>pregnant women found high rates of Chlamydia (32 per</w:t>
      </w:r>
      <w:r w:rsidR="006F7286">
        <w:rPr>
          <w:szCs w:val="21"/>
        </w:rPr>
        <w:t xml:space="preserve"> </w:t>
      </w:r>
      <w:r w:rsidR="00213B92" w:rsidRPr="008128B0">
        <w:rPr>
          <w:szCs w:val="21"/>
        </w:rPr>
        <w:t>cent)</w:t>
      </w:r>
      <w:r w:rsidR="007D6952">
        <w:rPr>
          <w:rStyle w:val="FootnoteReference"/>
        </w:rPr>
        <w:footnoteReference w:id="13"/>
      </w:r>
      <w:r w:rsidR="00213B92">
        <w:rPr>
          <w:szCs w:val="21"/>
        </w:rPr>
        <w:t>.</w:t>
      </w:r>
      <w:r w:rsidR="00137DFB">
        <w:rPr>
          <w:szCs w:val="21"/>
        </w:rPr>
        <w:t xml:space="preserve"> </w:t>
      </w:r>
    </w:p>
    <w:p w14:paraId="0E01B8FD" w14:textId="7FB9BA1B" w:rsidR="00395B88" w:rsidRPr="003B009F" w:rsidRDefault="006F7286" w:rsidP="00A64AC4">
      <w:pPr>
        <w:pStyle w:val="BodyText"/>
      </w:pPr>
      <w:r>
        <w:t>An Australian funded h</w:t>
      </w:r>
      <w:r w:rsidR="001E3F97" w:rsidRPr="003B009F">
        <w:t xml:space="preserve">ealth </w:t>
      </w:r>
      <w:r>
        <w:t>e</w:t>
      </w:r>
      <w:r w:rsidR="001E3F97" w:rsidRPr="003B009F">
        <w:t>ducator is undertaking targeted local capacity building for locally recruited staff</w:t>
      </w:r>
      <w:r w:rsidR="00A92D26">
        <w:t>.</w:t>
      </w:r>
      <w:r w:rsidR="001E3F97" w:rsidRPr="003B009F">
        <w:t xml:space="preserve"> </w:t>
      </w:r>
      <w:r w:rsidR="00A92D26">
        <w:t>The</w:t>
      </w:r>
      <w:r w:rsidR="001E3F97" w:rsidRPr="003B009F">
        <w:t xml:space="preserve"> efforts </w:t>
      </w:r>
      <w:r w:rsidR="00A92D26">
        <w:t>are having posi</w:t>
      </w:r>
      <w:r w:rsidR="002A31A0">
        <w:t>ti</w:t>
      </w:r>
      <w:r w:rsidR="00A92D26">
        <w:t>ve</w:t>
      </w:r>
      <w:r w:rsidR="001E3F97" w:rsidRPr="003B009F">
        <w:t xml:space="preserve"> results</w:t>
      </w:r>
      <w:r w:rsidR="00A92D26">
        <w:t xml:space="preserve">, but would be </w:t>
      </w:r>
      <w:r w:rsidR="001E3F97" w:rsidRPr="003B009F">
        <w:t xml:space="preserve">more </w:t>
      </w:r>
      <w:r w:rsidR="00A92D26">
        <w:t xml:space="preserve">effective if there were broader improvements in technical </w:t>
      </w:r>
      <w:r w:rsidR="001E3F97" w:rsidRPr="003B009F">
        <w:t xml:space="preserve">training in healthcare. </w:t>
      </w:r>
      <w:r w:rsidR="00395B88" w:rsidRPr="003B009F">
        <w:t>A further key recommendation of the health sector review is that strengthening human resource management through a focus on a sustainable nursing workforce and skills development among local school leavers be pursued.</w:t>
      </w:r>
      <w:r w:rsidR="00C1009D" w:rsidRPr="003B009F">
        <w:t xml:space="preserve"> This will be central to Australian assistance in 2014-15. </w:t>
      </w:r>
      <w:r w:rsidR="0075536B">
        <w:t>Australian funding is helping to address limited local capacity through scholarships in healthcare related studies.</w:t>
      </w:r>
    </w:p>
    <w:p w14:paraId="3D411278" w14:textId="56524211" w:rsidR="006306E1" w:rsidRDefault="002E2A88" w:rsidP="006306E1">
      <w:pPr>
        <w:pStyle w:val="BodyText"/>
      </w:pPr>
      <w:r w:rsidRPr="003B009F">
        <w:t>The Australian Sports Outreach Program in Nauru—known as Epo’n Keramen</w:t>
      </w:r>
      <w:r w:rsidR="00370DEF" w:rsidRPr="003B009F">
        <w:t xml:space="preserve"> </w:t>
      </w:r>
      <w:r w:rsidRPr="003B009F">
        <w:t xml:space="preserve">(EK)—is helping to </w:t>
      </w:r>
      <w:r w:rsidR="006128EE" w:rsidRPr="003B009F">
        <w:t>improve</w:t>
      </w:r>
      <w:r w:rsidRPr="003B009F">
        <w:t xml:space="preserve"> the health and wellbeing of Nauruans</w:t>
      </w:r>
      <w:r w:rsidR="005F4D68">
        <w:t>.</w:t>
      </w:r>
      <w:r w:rsidR="00370DEF">
        <w:t xml:space="preserve"> </w:t>
      </w:r>
      <w:r w:rsidR="005F4D68">
        <w:t>F</w:t>
      </w:r>
      <w:r w:rsidRPr="00741270">
        <w:t>unding is provided to increase leadership</w:t>
      </w:r>
      <w:r w:rsidR="00370DEF">
        <w:t xml:space="preserve"> </w:t>
      </w:r>
      <w:r w:rsidRPr="00741270">
        <w:t>opportunities and engagement of Nauruans in community activities, and to increase</w:t>
      </w:r>
      <w:r w:rsidR="00370DEF">
        <w:t xml:space="preserve"> </w:t>
      </w:r>
      <w:r w:rsidRPr="00741270">
        <w:t>participation in physical activities that will improve their health.</w:t>
      </w:r>
      <w:r w:rsidR="006128EE">
        <w:t xml:space="preserve"> More than a third of Nauruans have participated in EK.</w:t>
      </w:r>
      <w:r w:rsidR="006306E1">
        <w:t xml:space="preserve"> </w:t>
      </w:r>
      <w:r w:rsidR="006F7286">
        <w:t>This will</w:t>
      </w:r>
      <w:r w:rsidRPr="00741270">
        <w:t xml:space="preserve"> help combat </w:t>
      </w:r>
      <w:r w:rsidR="007313DB">
        <w:t xml:space="preserve">NCDs </w:t>
      </w:r>
      <w:r w:rsidRPr="00741270">
        <w:t>such as diabetes</w:t>
      </w:r>
      <w:r w:rsidR="00370DEF">
        <w:t xml:space="preserve"> </w:t>
      </w:r>
      <w:r w:rsidRPr="00741270">
        <w:t>by getting people more active more often, and by providing opportunities to deliver</w:t>
      </w:r>
      <w:r w:rsidR="00370DEF">
        <w:t xml:space="preserve"> </w:t>
      </w:r>
      <w:r w:rsidRPr="00741270">
        <w:t>messages on other risk factors including diet, tobacco and alcohol.</w:t>
      </w:r>
      <w:r w:rsidR="00370DEF">
        <w:t xml:space="preserve"> </w:t>
      </w:r>
    </w:p>
    <w:p w14:paraId="0C7A2DF6" w14:textId="77777777" w:rsidR="00370DEF" w:rsidRDefault="00F2488B" w:rsidP="003B009F">
      <w:pPr>
        <w:pStyle w:val="BodyText"/>
        <w:rPr>
          <w:b/>
        </w:rPr>
      </w:pPr>
      <w:r>
        <w:t>Regionally funded activities for Nauru supported four visits to Nauru by medical teams mobilised by the Royal Australia College of Surgeons in the areas of vascular and ear, nose and throat surgery, cardiology and gastroenterology.</w:t>
      </w:r>
    </w:p>
    <w:p w14:paraId="6B2D6432" w14:textId="77777777" w:rsidR="00EE2257" w:rsidRDefault="00EE2257" w:rsidP="00370DEF">
      <w:pPr>
        <w:pStyle w:val="BodyText"/>
        <w:spacing w:after="0"/>
        <w:rPr>
          <w:b/>
        </w:rPr>
      </w:pPr>
      <w:r w:rsidRPr="00EE2257">
        <w:rPr>
          <w:b/>
        </w:rPr>
        <w:t>Improved Education</w:t>
      </w:r>
    </w:p>
    <w:p w14:paraId="2D3BEC9F" w14:textId="77777777" w:rsidR="007B134E" w:rsidRDefault="00FF7679" w:rsidP="00A64AC4">
      <w:pPr>
        <w:pStyle w:val="BodyText"/>
      </w:pPr>
      <w:r>
        <w:t>Australia provides approximately 45 per cent of Nauru’s education sector budget</w:t>
      </w:r>
      <w:r w:rsidR="00E47886">
        <w:t xml:space="preserve"> </w:t>
      </w:r>
      <w:r w:rsidR="001625D9">
        <w:t xml:space="preserve">in grant form </w:t>
      </w:r>
      <w:r w:rsidR="00E47886">
        <w:t xml:space="preserve">as a contribution to the </w:t>
      </w:r>
      <w:r w:rsidR="00C45F9E">
        <w:t>Ministry</w:t>
      </w:r>
      <w:r w:rsidR="00E47886">
        <w:t xml:space="preserve"> of </w:t>
      </w:r>
      <w:r w:rsidR="00C45F9E">
        <w:t>Education</w:t>
      </w:r>
      <w:r w:rsidR="00E47886" w:rsidRPr="003B009F">
        <w:t xml:space="preserve"> </w:t>
      </w:r>
      <w:r w:rsidR="001625D9" w:rsidRPr="003B009F">
        <w:t xml:space="preserve">efforts to implement its </w:t>
      </w:r>
      <w:r w:rsidR="00E47886" w:rsidRPr="003B009F">
        <w:t>strategic plan.</w:t>
      </w:r>
      <w:r w:rsidR="0052572D" w:rsidRPr="003B009F">
        <w:t xml:space="preserve"> </w:t>
      </w:r>
      <w:r w:rsidR="002B6FF2" w:rsidRPr="003B009F">
        <w:t xml:space="preserve">Australia also </w:t>
      </w:r>
      <w:r w:rsidR="006306E1" w:rsidRPr="003B009F">
        <w:t>provides</w:t>
      </w:r>
      <w:r w:rsidR="002B6FF2" w:rsidRPr="003B009F">
        <w:t xml:space="preserve"> up to 10 Australia Awards scholarships each year with a total of 86 long term awards and 11 short-term awards provided to Nauru from 2007–2014. Australia Awards focus on areas of importance to the development of Nauru including health, education, commerce and public sector administration and management. </w:t>
      </w:r>
    </w:p>
    <w:p w14:paraId="413C9762" w14:textId="0653651E" w:rsidR="00B43544" w:rsidRPr="003B009F" w:rsidRDefault="00B43544" w:rsidP="00A64AC4">
      <w:pPr>
        <w:pStyle w:val="BodyText"/>
      </w:pPr>
      <w:r w:rsidRPr="003B009F">
        <w:t xml:space="preserve">In 2013 there were </w:t>
      </w:r>
      <w:r w:rsidR="007D150A" w:rsidRPr="003B009F">
        <w:t xml:space="preserve">123 teachers and </w:t>
      </w:r>
      <w:r w:rsidRPr="003B009F">
        <w:t>3,327 students enrolled across Nauru’</w:t>
      </w:r>
      <w:r w:rsidR="001971E0" w:rsidRPr="003B009F">
        <w:t>s seven</w:t>
      </w:r>
      <w:r w:rsidR="006A5221" w:rsidRPr="003B009F">
        <w:t xml:space="preserve"> schools including</w:t>
      </w:r>
      <w:r w:rsidR="007D150A" w:rsidRPr="003B009F">
        <w:t xml:space="preserve"> 1,728 girls and 1,599 boys</w:t>
      </w:r>
      <w:r w:rsidR="007D150A" w:rsidRPr="003B009F">
        <w:rPr>
          <w:rStyle w:val="FootnoteReference"/>
        </w:rPr>
        <w:footnoteReference w:id="14"/>
      </w:r>
      <w:r w:rsidR="007D150A" w:rsidRPr="003B009F">
        <w:t xml:space="preserve">. </w:t>
      </w:r>
      <w:r w:rsidR="00137DFB" w:rsidRPr="003B009F">
        <w:t xml:space="preserve">This </w:t>
      </w:r>
      <w:r w:rsidR="000D4159" w:rsidRPr="003B009F">
        <w:t xml:space="preserve">gender balance </w:t>
      </w:r>
      <w:r w:rsidR="00137DFB" w:rsidRPr="003B009F">
        <w:t xml:space="preserve">remains relatively stable through the different levels of schooling and </w:t>
      </w:r>
      <w:r w:rsidR="007D150A" w:rsidRPr="003B009F">
        <w:t xml:space="preserve">broadly reflects the gender demographic across the island. </w:t>
      </w:r>
      <w:r w:rsidR="007B134E">
        <w:t xml:space="preserve"> </w:t>
      </w:r>
      <w:r w:rsidR="00A92D26">
        <w:t xml:space="preserve">However, challenges remain. </w:t>
      </w:r>
      <w:r w:rsidR="00C45F9E">
        <w:t>Ministry of Education</w:t>
      </w:r>
      <w:r w:rsidR="007D150A" w:rsidRPr="003B009F">
        <w:t xml:space="preserve"> figures suggest</w:t>
      </w:r>
      <w:r w:rsidR="00C30646">
        <w:t xml:space="preserve"> truancy level are comparatively high </w:t>
      </w:r>
      <w:r w:rsidR="001971E0" w:rsidRPr="003B009F">
        <w:t>and year six</w:t>
      </w:r>
      <w:r w:rsidR="0027007D" w:rsidRPr="003B009F">
        <w:t xml:space="preserve"> national examination scores across all subjects </w:t>
      </w:r>
      <w:r w:rsidR="00C30646">
        <w:t>need to improve</w:t>
      </w:r>
      <w:r w:rsidR="0027007D" w:rsidRPr="003B009F">
        <w:t xml:space="preserve">. </w:t>
      </w:r>
      <w:r w:rsidR="00673050">
        <w:t xml:space="preserve"> A</w:t>
      </w:r>
      <w:r w:rsidR="00A92D26">
        <w:t xml:space="preserve">ustralian aid will need to continue to focus on </w:t>
      </w:r>
      <w:r w:rsidR="00F65B8F" w:rsidRPr="003B009F">
        <w:t>the comprehensive reform agenda</w:t>
      </w:r>
      <w:r w:rsidR="00A92D26">
        <w:t>,</w:t>
      </w:r>
      <w:r w:rsidR="00F65B8F" w:rsidRPr="003B009F">
        <w:t xml:space="preserve"> improving learning outcomes</w:t>
      </w:r>
      <w:r w:rsidR="00A92D26">
        <w:t>, and</w:t>
      </w:r>
      <w:r w:rsidR="00F65B8F" w:rsidRPr="003B009F">
        <w:t xml:space="preserve"> addressing school attendance.</w:t>
      </w:r>
    </w:p>
    <w:p w14:paraId="4C885561" w14:textId="72E8CF2B" w:rsidR="00EE2257" w:rsidRDefault="00673050" w:rsidP="00A64AC4">
      <w:pPr>
        <w:pStyle w:val="BodyText"/>
      </w:pPr>
      <w:r>
        <w:t>W</w:t>
      </w:r>
      <w:r w:rsidR="006F7286">
        <w:t>ith Australian assistance</w:t>
      </w:r>
      <w:r w:rsidR="00FF7679" w:rsidRPr="003B009F">
        <w:t xml:space="preserve"> </w:t>
      </w:r>
      <w:r w:rsidR="00E47886" w:rsidRPr="003B009F">
        <w:t xml:space="preserve">the </w:t>
      </w:r>
      <w:r w:rsidR="00C45F9E">
        <w:t>Ministry of Education</w:t>
      </w:r>
      <w:r w:rsidR="00B43544" w:rsidRPr="003B009F">
        <w:t xml:space="preserve"> has successfully developed a new strategic plan outlining comprehensive</w:t>
      </w:r>
      <w:r w:rsidR="0027007D" w:rsidRPr="003B009F">
        <w:t>,</w:t>
      </w:r>
      <w:r w:rsidR="00B43544" w:rsidRPr="003B009F">
        <w:t xml:space="preserve"> relevant and appropriate strategies to improve education outcomes. This includes up-grading teacher qualifications; supporting youth re-entry into</w:t>
      </w:r>
      <w:r w:rsidR="00B43544">
        <w:t xml:space="preserve"> education; developing early childhood education services; focussing on technical and vocational education and training; expanding teacher services for </w:t>
      </w:r>
      <w:r w:rsidR="00E00810">
        <w:t>children with a disability</w:t>
      </w:r>
      <w:r w:rsidR="00B43544">
        <w:t>; introducing an</w:t>
      </w:r>
      <w:r w:rsidR="00FF7679">
        <w:t xml:space="preserve"> </w:t>
      </w:r>
      <w:r w:rsidR="00B43544">
        <w:lastRenderedPageBreak/>
        <w:t>Australian senior secondary school curriculum; and benchmarking assessments of literacy and numeracy at key points in the school cycle.</w:t>
      </w:r>
    </w:p>
    <w:p w14:paraId="25404EB8" w14:textId="1F3D46B8" w:rsidR="00E00810" w:rsidRPr="00F65B8F" w:rsidRDefault="0027007D" w:rsidP="00E00810">
      <w:pPr>
        <w:pStyle w:val="BodyText"/>
      </w:pPr>
      <w:r>
        <w:t xml:space="preserve">There has been </w:t>
      </w:r>
      <w:r w:rsidR="006F7286">
        <w:t>s</w:t>
      </w:r>
      <w:r>
        <w:t>trong progress in important areas such as improved enrolment rate</w:t>
      </w:r>
      <w:r w:rsidR="00FF7679">
        <w:t>s</w:t>
      </w:r>
      <w:r>
        <w:t xml:space="preserve"> (net primary enrolments in 2013-14 were at </w:t>
      </w:r>
      <w:r w:rsidRPr="003B009F">
        <w:t>100</w:t>
      </w:r>
      <w:r w:rsidR="00CB3E9C" w:rsidRPr="003B009F">
        <w:t xml:space="preserve"> per cent</w:t>
      </w:r>
      <w:r w:rsidR="00CB3E9C" w:rsidRPr="003B009F">
        <w:rPr>
          <w:rStyle w:val="FootnoteReference"/>
        </w:rPr>
        <w:footnoteReference w:id="15"/>
      </w:r>
      <w:r w:rsidR="00CB3E9C" w:rsidRPr="003B009F">
        <w:t xml:space="preserve"> already meeting the Partnership for Development target for 2015), teacher qualifications (93 per cent of all Nauru’s teachers now hold either a certificate, diploma or degree level qualification</w:t>
      </w:r>
      <w:r w:rsidR="00CB3E9C" w:rsidRPr="003B009F">
        <w:rPr>
          <w:rStyle w:val="FootnoteReference"/>
        </w:rPr>
        <w:footnoteReference w:id="16"/>
      </w:r>
      <w:r w:rsidR="00CB3E9C" w:rsidRPr="003B009F">
        <w:t>). There are also some early signs of improvements in benchmarked learning outcomes with a 20 per cent increase in the number of student</w:t>
      </w:r>
      <w:r w:rsidR="00B420F5" w:rsidRPr="003B009F">
        <w:t>s</w:t>
      </w:r>
      <w:r w:rsidR="00CB3E9C" w:rsidRPr="003B009F">
        <w:t xml:space="preserve"> meeting the year 6 literacy benchmarks over 201</w:t>
      </w:r>
      <w:r w:rsidR="000D4159" w:rsidRPr="003B009F">
        <w:t>2-13</w:t>
      </w:r>
      <w:r w:rsidR="00CB3E9C" w:rsidRPr="003B009F">
        <w:t xml:space="preserve"> </w:t>
      </w:r>
      <w:r w:rsidR="000D4159" w:rsidRPr="003B009F">
        <w:t>results</w:t>
      </w:r>
      <w:r w:rsidR="00CB3E9C" w:rsidRPr="003B009F">
        <w:rPr>
          <w:rStyle w:val="FootnoteReference"/>
        </w:rPr>
        <w:footnoteReference w:id="17"/>
      </w:r>
      <w:r w:rsidR="00CB3E9C" w:rsidRPr="003B009F">
        <w:t>.</w:t>
      </w:r>
      <w:r w:rsidR="00E00810" w:rsidRPr="003B009F">
        <w:t xml:space="preserve"> Broadly speaking, both boys and girls tend to achieve similar</w:t>
      </w:r>
      <w:r w:rsidR="00E00810">
        <w:t xml:space="preserve"> </w:t>
      </w:r>
      <w:r w:rsidR="00A34DD5">
        <w:t xml:space="preserve">academic </w:t>
      </w:r>
      <w:r w:rsidR="00E00810">
        <w:t>results.</w:t>
      </w:r>
    </w:p>
    <w:p w14:paraId="2F18B293" w14:textId="4721E972" w:rsidR="00A64AC4" w:rsidRPr="003B009F" w:rsidRDefault="00373121" w:rsidP="00A64AC4">
      <w:pPr>
        <w:pStyle w:val="BodyText"/>
      </w:pPr>
      <w:r w:rsidRPr="003B009F">
        <w:t>Australian assistance will focus on consolidating these gains through ongoing support for teachers and principals over coming years</w:t>
      </w:r>
      <w:r w:rsidR="00217ED6" w:rsidRPr="003B009F">
        <w:t xml:space="preserve">. The new </w:t>
      </w:r>
      <w:r w:rsidR="00C45F9E">
        <w:t>Ministry of Education</w:t>
      </w:r>
      <w:r w:rsidR="00217ED6" w:rsidRPr="003B009F">
        <w:t xml:space="preserve"> strategic plan includes a multi-faceted school-community partnership approach to addressing the problem</w:t>
      </w:r>
      <w:r w:rsidR="00D32653">
        <w:t xml:space="preserve"> of school </w:t>
      </w:r>
      <w:r w:rsidR="00673050">
        <w:t>attendance</w:t>
      </w:r>
      <w:r w:rsidR="00217ED6" w:rsidRPr="003B009F">
        <w:t>.</w:t>
      </w:r>
    </w:p>
    <w:p w14:paraId="6187810D" w14:textId="77777777" w:rsidR="00F96FB3" w:rsidRPr="003B009F" w:rsidRDefault="00F96FB3" w:rsidP="00A64AC4">
      <w:pPr>
        <w:pStyle w:val="BodyText"/>
      </w:pPr>
      <w:r w:rsidRPr="003B009F">
        <w:t>Funding through Australian regional programs supported 36 students from Nauru to pursue studies at the University of the South Pacific</w:t>
      </w:r>
      <w:r w:rsidR="00A34DD5" w:rsidRPr="003B009F">
        <w:rPr>
          <w:rStyle w:val="FootnoteReference"/>
        </w:rPr>
        <w:footnoteReference w:id="18"/>
      </w:r>
      <w:r w:rsidRPr="003B009F">
        <w:t xml:space="preserve">, as well as </w:t>
      </w:r>
      <w:r w:rsidR="00D24477" w:rsidRPr="003B009F">
        <w:t>20</w:t>
      </w:r>
      <w:r w:rsidRPr="003B009F">
        <w:t xml:space="preserve"> enrolments and </w:t>
      </w:r>
      <w:r w:rsidR="00D24477" w:rsidRPr="003B009F">
        <w:t>12</w:t>
      </w:r>
      <w:r w:rsidRPr="003B009F">
        <w:t xml:space="preserve"> graduates through the Australian Pacific Technical College</w:t>
      </w:r>
      <w:r w:rsidR="00A34DD5" w:rsidRPr="003B009F">
        <w:rPr>
          <w:rStyle w:val="FootnoteReference"/>
        </w:rPr>
        <w:footnoteReference w:id="19"/>
      </w:r>
      <w:r w:rsidRPr="003B009F">
        <w:t>.</w:t>
      </w:r>
    </w:p>
    <w:p w14:paraId="266EACC9" w14:textId="6751192C" w:rsidR="001625D9" w:rsidRPr="001625D9" w:rsidRDefault="00DB7340" w:rsidP="003B009F">
      <w:pPr>
        <w:pStyle w:val="BodyText"/>
        <w:spacing w:after="0"/>
        <w:rPr>
          <w:b/>
        </w:rPr>
      </w:pPr>
      <w:r>
        <w:rPr>
          <w:b/>
        </w:rPr>
        <w:t>Infrastructure and E</w:t>
      </w:r>
      <w:r w:rsidR="001625D9" w:rsidRPr="003B009F">
        <w:rPr>
          <w:b/>
        </w:rPr>
        <w:t>ssential Services</w:t>
      </w:r>
    </w:p>
    <w:p w14:paraId="7EE7656B" w14:textId="08006918" w:rsidR="00471EDF" w:rsidRDefault="00D46607" w:rsidP="00A64AC4">
      <w:pPr>
        <w:pStyle w:val="BodyText"/>
      </w:pPr>
      <w:r>
        <w:t>Australian support for infrastructure and essential services is predominantly provided in the form of grant funding to support the operations and management of the N</w:t>
      </w:r>
      <w:r w:rsidR="002A31A0">
        <w:t>auru Utilities Corporation (N</w:t>
      </w:r>
      <w:r>
        <w:t>UC</w:t>
      </w:r>
      <w:r w:rsidR="002A31A0">
        <w:t>)</w:t>
      </w:r>
      <w:r>
        <w:t xml:space="preserve">. </w:t>
      </w:r>
      <w:r w:rsidR="00644BBF">
        <w:t xml:space="preserve">Australian funding </w:t>
      </w:r>
      <w:r w:rsidR="00686357">
        <w:t xml:space="preserve">in 2013-14 </w:t>
      </w:r>
      <w:r w:rsidR="00644BBF">
        <w:t>cover</w:t>
      </w:r>
      <w:r w:rsidR="00686357">
        <w:t>ed</w:t>
      </w:r>
      <w:r w:rsidR="00644BBF">
        <w:t xml:space="preserve"> the position of</w:t>
      </w:r>
      <w:r w:rsidR="007313DB">
        <w:t xml:space="preserve"> CEO</w:t>
      </w:r>
      <w:r w:rsidR="00686357">
        <w:rPr>
          <w:rStyle w:val="FootnoteReference"/>
        </w:rPr>
        <w:footnoteReference w:id="20"/>
      </w:r>
      <w:r w:rsidR="007313DB">
        <w:t>, and</w:t>
      </w:r>
      <w:r w:rsidR="00644BBF">
        <w:t xml:space="preserve"> Operations Manager</w:t>
      </w:r>
      <w:r w:rsidR="007313DB">
        <w:t>s</w:t>
      </w:r>
      <w:r w:rsidR="00644BBF">
        <w:t xml:space="preserve"> for power and</w:t>
      </w:r>
      <w:r w:rsidR="00EF5377">
        <w:t xml:space="preserve"> </w:t>
      </w:r>
      <w:r w:rsidR="00644BBF">
        <w:t>water services.</w:t>
      </w:r>
    </w:p>
    <w:p w14:paraId="0E2AC83D" w14:textId="0CCEB67F" w:rsidR="00DD7906" w:rsidRDefault="007A429A" w:rsidP="00A64AC4">
      <w:pPr>
        <w:pStyle w:val="BodyText"/>
      </w:pPr>
      <w:r>
        <w:t>Over the last few years NUC has made</w:t>
      </w:r>
      <w:r w:rsidR="0017561F">
        <w:t xml:space="preserve"> </w:t>
      </w:r>
      <w:r>
        <w:t xml:space="preserve">progress in </w:t>
      </w:r>
      <w:r w:rsidR="00D46607">
        <w:t>restoring these services to a reliable 24 hour per day</w:t>
      </w:r>
      <w:r w:rsidR="00DD7906">
        <w:t xml:space="preserve"> supply</w:t>
      </w:r>
      <w:r>
        <w:t xml:space="preserve">.  However, in </w:t>
      </w:r>
      <w:r w:rsidR="00DD7906">
        <w:t xml:space="preserve">2013-14 services </w:t>
      </w:r>
      <w:r w:rsidR="007F0915">
        <w:t xml:space="preserve">declined </w:t>
      </w:r>
      <w:r w:rsidR="00DD7906">
        <w:t xml:space="preserve">with power outages and water production </w:t>
      </w:r>
      <w:r w:rsidR="00A61CF5">
        <w:t xml:space="preserve">struggling to </w:t>
      </w:r>
      <w:r w:rsidR="00DD7906">
        <w:t xml:space="preserve">meet demand. </w:t>
      </w:r>
      <w:r w:rsidR="0017561F">
        <w:t xml:space="preserve"> These challenges can be attributed to the </w:t>
      </w:r>
      <w:r w:rsidR="00D32653">
        <w:t xml:space="preserve">expanding population base, </w:t>
      </w:r>
      <w:r w:rsidR="0017561F">
        <w:t>a</w:t>
      </w:r>
      <w:r>
        <w:t>geing infrastructure and</w:t>
      </w:r>
      <w:r w:rsidRPr="00644BBF">
        <w:t xml:space="preserve"> </w:t>
      </w:r>
      <w:r w:rsidR="00D32653">
        <w:t xml:space="preserve">demanding </w:t>
      </w:r>
      <w:r w:rsidRPr="00644BBF">
        <w:t>maintenance regimes at the NUC</w:t>
      </w:r>
      <w:r w:rsidR="0063773A">
        <w:t>.</w:t>
      </w:r>
    </w:p>
    <w:p w14:paraId="1A508422" w14:textId="6F0EE3BC" w:rsidR="001625D9" w:rsidRDefault="00DD7906" w:rsidP="00A64AC4">
      <w:pPr>
        <w:pStyle w:val="BodyText"/>
      </w:pPr>
      <w:r>
        <w:t xml:space="preserve">Australia </w:t>
      </w:r>
      <w:r w:rsidR="00161FD2">
        <w:t xml:space="preserve">did </w:t>
      </w:r>
      <w:r>
        <w:t>not provide</w:t>
      </w:r>
      <w:r w:rsidR="00161FD2">
        <w:t xml:space="preserve"> </w:t>
      </w:r>
      <w:r>
        <w:t>funding for this sector</w:t>
      </w:r>
      <w:r w:rsidR="00E63DEB">
        <w:t xml:space="preserve"> </w:t>
      </w:r>
      <w:r>
        <w:t>in 2013-14.</w:t>
      </w:r>
      <w:r w:rsidR="007553AE">
        <w:t xml:space="preserve"> Funds allocated to infrastructure and essential services have been held-over to the 2014-15 financial year and will be provided to Nauru subject to a number of benchmarks being met. Those benchmarks will be aimed at </w:t>
      </w:r>
      <w:r w:rsidR="00D32653">
        <w:t>strengthening</w:t>
      </w:r>
      <w:r w:rsidR="007553AE">
        <w:t xml:space="preserve"> management </w:t>
      </w:r>
      <w:r w:rsidR="00540C23">
        <w:t>and</w:t>
      </w:r>
      <w:r w:rsidR="007553AE">
        <w:t xml:space="preserve"> maintenance of key assets.</w:t>
      </w:r>
    </w:p>
    <w:p w14:paraId="20F2A954" w14:textId="77777777" w:rsidR="00673050" w:rsidRPr="003B009F" w:rsidRDefault="00673050" w:rsidP="00673050">
      <w:pPr>
        <w:pStyle w:val="BodyText"/>
      </w:pPr>
      <w:r w:rsidRPr="003B009F">
        <w:t>In 2013-14, Australia funded construction of a new technical and vocational training facility as part of the ongoing development of Nauru’s Learning Village that will ultimately also house a library and a University of the South Pacific campus.</w:t>
      </w:r>
    </w:p>
    <w:p w14:paraId="2F61EC4C" w14:textId="274E55D5" w:rsidR="00D24477" w:rsidRPr="003B009F" w:rsidRDefault="00D24477" w:rsidP="00A64AC4">
      <w:pPr>
        <w:pStyle w:val="BodyText"/>
      </w:pPr>
      <w:r>
        <w:lastRenderedPageBreak/>
        <w:t xml:space="preserve">Funding through the regional program supported the Secretariat of the Pacific Community’s Adaptation to Climate Change Project which provided solar powered water desalination plants to assist with sustaining </w:t>
      </w:r>
      <w:r w:rsidRPr="003B009F">
        <w:t>water supplies.</w:t>
      </w:r>
    </w:p>
    <w:p w14:paraId="735F814A" w14:textId="77777777" w:rsidR="00AD044A" w:rsidRPr="003B009F" w:rsidRDefault="00AD044A" w:rsidP="003B009F">
      <w:pPr>
        <w:pStyle w:val="BodyText"/>
        <w:spacing w:after="0"/>
        <w:rPr>
          <w:b/>
        </w:rPr>
      </w:pPr>
      <w:r w:rsidRPr="003B009F">
        <w:rPr>
          <w:b/>
        </w:rPr>
        <w:t>Private Sector Growth</w:t>
      </w:r>
    </w:p>
    <w:p w14:paraId="31EFF86F" w14:textId="33E1B765" w:rsidR="00006657" w:rsidRDefault="00FC3FA8" w:rsidP="00AD044A">
      <w:pPr>
        <w:pStyle w:val="BodyText"/>
      </w:pPr>
      <w:r>
        <w:t>An</w:t>
      </w:r>
      <w:r w:rsidR="00006657" w:rsidRPr="003B009F">
        <w:t xml:space="preserve"> </w:t>
      </w:r>
      <w:r w:rsidR="00A30B44">
        <w:t xml:space="preserve">increase in </w:t>
      </w:r>
      <w:r w:rsidR="00C10A05">
        <w:t>general economic activity</w:t>
      </w:r>
      <w:r w:rsidR="00006657" w:rsidRPr="003B009F">
        <w:t xml:space="preserve"> </w:t>
      </w:r>
      <w:r w:rsidR="00A9500A">
        <w:t>ha</w:t>
      </w:r>
      <w:r>
        <w:t>s</w:t>
      </w:r>
      <w:r w:rsidR="00006657" w:rsidRPr="003B009F">
        <w:t xml:space="preserve"> resulted in the </w:t>
      </w:r>
      <w:r w:rsidR="00A30B44">
        <w:t xml:space="preserve">revitalisation of the </w:t>
      </w:r>
      <w:r w:rsidR="00006657" w:rsidRPr="003B009F">
        <w:t xml:space="preserve">private sector in Nauru. There are new </w:t>
      </w:r>
      <w:r w:rsidR="00F47572" w:rsidRPr="003B009F">
        <w:t xml:space="preserve">Nauruan </w:t>
      </w:r>
      <w:r w:rsidR="00006657" w:rsidRPr="003B009F">
        <w:t>businesses being</w:t>
      </w:r>
      <w:r w:rsidR="00006657">
        <w:t xml:space="preserve"> established and thriving in a wide range of services</w:t>
      </w:r>
      <w:r>
        <w:t xml:space="preserve">, </w:t>
      </w:r>
      <w:r w:rsidR="00006657">
        <w:t xml:space="preserve">providing </w:t>
      </w:r>
      <w:r>
        <w:t xml:space="preserve">increased </w:t>
      </w:r>
      <w:r w:rsidR="00006657">
        <w:t>job</w:t>
      </w:r>
      <w:r>
        <w:t xml:space="preserve"> opportunities</w:t>
      </w:r>
      <w:r w:rsidR="00006657">
        <w:t xml:space="preserve"> for Nauruans, income for business owners and increased revenue for the Government from customs and other duties.</w:t>
      </w:r>
    </w:p>
    <w:p w14:paraId="4DA95220" w14:textId="4AB0EEE9" w:rsidR="00A87048" w:rsidRDefault="00AD044A" w:rsidP="00AD044A">
      <w:pPr>
        <w:pStyle w:val="BodyText"/>
      </w:pPr>
      <w:r>
        <w:t>In 201</w:t>
      </w:r>
      <w:r w:rsidR="0069331A">
        <w:t>3</w:t>
      </w:r>
      <w:r>
        <w:t>–1</w:t>
      </w:r>
      <w:r w:rsidR="0069331A">
        <w:t>4</w:t>
      </w:r>
      <w:r>
        <w:t xml:space="preserve">, </w:t>
      </w:r>
      <w:r w:rsidR="0069331A">
        <w:t>Australian assistance</w:t>
      </w:r>
      <w:r>
        <w:t xml:space="preserve"> under this objective </w:t>
      </w:r>
      <w:r w:rsidR="0069331A">
        <w:t xml:space="preserve">continued to </w:t>
      </w:r>
      <w:r>
        <w:t xml:space="preserve">focus on </w:t>
      </w:r>
      <w:r w:rsidR="0069331A">
        <w:t xml:space="preserve">support for phosphate mining </w:t>
      </w:r>
      <w:r w:rsidR="00204484">
        <w:t>funded through</w:t>
      </w:r>
      <w:r w:rsidR="0069331A">
        <w:t xml:space="preserve"> the Nauru Australia Compact of Settlement</w:t>
      </w:r>
      <w:r w:rsidR="00E83E80">
        <w:t xml:space="preserve"> (NACOS)</w:t>
      </w:r>
      <w:r w:rsidR="0069331A">
        <w:rPr>
          <w:rStyle w:val="FootnoteReference"/>
        </w:rPr>
        <w:footnoteReference w:id="21"/>
      </w:r>
      <w:r w:rsidR="0069331A">
        <w:t xml:space="preserve"> and the ongoing</w:t>
      </w:r>
      <w:r>
        <w:t xml:space="preserve"> Fisheries Institution</w:t>
      </w:r>
      <w:r w:rsidR="00E83E80">
        <w:t>al</w:t>
      </w:r>
      <w:r>
        <w:t xml:space="preserve"> </w:t>
      </w:r>
      <w:r w:rsidR="007B008B">
        <w:t>Strengthening</w:t>
      </w:r>
      <w:r>
        <w:t xml:space="preserve"> Program</w:t>
      </w:r>
      <w:r w:rsidR="0069331A">
        <w:t>.</w:t>
      </w:r>
      <w:r w:rsidR="00E83E80">
        <w:t xml:space="preserve"> Funding provided under NACOS </w:t>
      </w:r>
      <w:r w:rsidR="00014D64">
        <w:t>represented a core element of operational</w:t>
      </w:r>
      <w:r w:rsidR="00520A1C">
        <w:t xml:space="preserve"> </w:t>
      </w:r>
      <w:r w:rsidR="00014D64">
        <w:t xml:space="preserve">budget for the Nauru Rehabilitation Corporation (NRC) in pursuing its phosphate mining operations. </w:t>
      </w:r>
      <w:r w:rsidR="005925B8">
        <w:t xml:space="preserve">NACOS funding </w:t>
      </w:r>
      <w:r w:rsidR="00A87048">
        <w:t xml:space="preserve">ended </w:t>
      </w:r>
      <w:r w:rsidR="005925B8">
        <w:t>in 2013-14</w:t>
      </w:r>
      <w:r w:rsidR="006F7286">
        <w:t>.  I</w:t>
      </w:r>
      <w:r w:rsidR="005925B8">
        <w:t>t will be imp</w:t>
      </w:r>
      <w:r w:rsidR="00A87048">
        <w:t xml:space="preserve">ortant for </w:t>
      </w:r>
      <w:r w:rsidR="005925B8">
        <w:t>NRC to focus on the efficiency of mining operations if the industry is to have a sustained future</w:t>
      </w:r>
      <w:r w:rsidR="00A87048">
        <w:t>.</w:t>
      </w:r>
    </w:p>
    <w:p w14:paraId="38D04DAD" w14:textId="2414FB82" w:rsidR="00255A66" w:rsidRDefault="005A390B" w:rsidP="00AD044A">
      <w:pPr>
        <w:pStyle w:val="BodyText"/>
      </w:pPr>
      <w:r>
        <w:t>In 2013-14, Australia provided funds to support the costs of a full time fisheries advisor to oversee implementation of p</w:t>
      </w:r>
      <w:r w:rsidR="008A4AC0">
        <w:t xml:space="preserve">hase two of the Fisheries </w:t>
      </w:r>
      <w:r w:rsidR="005925B8">
        <w:t xml:space="preserve">Institutional Strengthening </w:t>
      </w:r>
      <w:r w:rsidR="008A4AC0">
        <w:t>program</w:t>
      </w:r>
      <w:r>
        <w:t xml:space="preserve">. Phase two </w:t>
      </w:r>
      <w:r w:rsidR="00A517B7">
        <w:t>is</w:t>
      </w:r>
      <w:r>
        <w:t xml:space="preserve"> </w:t>
      </w:r>
      <w:r w:rsidR="008A4AC0">
        <w:t>focuss</w:t>
      </w:r>
      <w:r w:rsidR="00A517B7">
        <w:t>ing</w:t>
      </w:r>
      <w:r w:rsidR="008A4AC0">
        <w:t xml:space="preserve"> on the</w:t>
      </w:r>
      <w:r w:rsidR="00AD044A">
        <w:t xml:space="preserve"> development of private sector opportunities in areas such as aquaculture and aquarium fisheries</w:t>
      </w:r>
      <w:r w:rsidR="00255A66">
        <w:t xml:space="preserve">, in particular, construction of infrastructure </w:t>
      </w:r>
      <w:r w:rsidR="00E83E80">
        <w:t xml:space="preserve">(holding ponds) </w:t>
      </w:r>
      <w:r w:rsidR="00255A66">
        <w:t xml:space="preserve">required to establish and </w:t>
      </w:r>
      <w:r w:rsidR="00DA0092">
        <w:t>maintain</w:t>
      </w:r>
      <w:r w:rsidR="00255A66">
        <w:t xml:space="preserve"> stocks for local Milkfish farming.</w:t>
      </w:r>
      <w:r w:rsidR="00AD044A">
        <w:t xml:space="preserve"> </w:t>
      </w:r>
      <w:r w:rsidR="007B008B">
        <w:t>Progress was also made in establishing an appropriate policy and regulatory framework for onshore private sector fisheries.</w:t>
      </w:r>
      <w:r w:rsidR="00C36E74">
        <w:t xml:space="preserve"> </w:t>
      </w:r>
      <w:r w:rsidR="00A30B44">
        <w:t>R</w:t>
      </w:r>
      <w:r w:rsidR="00DA0092" w:rsidRPr="001971E0">
        <w:t>evenue from the operations of the NFMRA continues to expand and in 2013-14</w:t>
      </w:r>
      <w:r w:rsidRPr="001971E0">
        <w:t xml:space="preserve"> revenue from the sale of fishing licences was estimated at $21 million</w:t>
      </w:r>
      <w:r w:rsidRPr="001971E0">
        <w:rPr>
          <w:rStyle w:val="FootnoteReference"/>
        </w:rPr>
        <w:footnoteReference w:id="22"/>
      </w:r>
      <w:r w:rsidRPr="001971E0">
        <w:t>, up</w:t>
      </w:r>
      <w:r>
        <w:t xml:space="preserve"> from approximately $10 million in 2012-13</w:t>
      </w:r>
      <w:r>
        <w:rPr>
          <w:rStyle w:val="FootnoteReference"/>
        </w:rPr>
        <w:footnoteReference w:id="23"/>
      </w:r>
      <w:r w:rsidR="00D24477">
        <w:t>.</w:t>
      </w:r>
    </w:p>
    <w:p w14:paraId="313EB068" w14:textId="77777777" w:rsidR="003963A4" w:rsidRDefault="003963A4" w:rsidP="000D733F">
      <w:pPr>
        <w:pStyle w:val="Heading3"/>
        <w:rPr>
          <w:b w:val="0"/>
          <w:color w:val="007FAD"/>
          <w:sz w:val="28"/>
          <w:szCs w:val="28"/>
          <w:lang w:eastAsia="en-AU"/>
        </w:rPr>
      </w:pPr>
      <w:r>
        <w:rPr>
          <w:b w:val="0"/>
          <w:color w:val="007FAD"/>
          <w:sz w:val="28"/>
          <w:szCs w:val="28"/>
          <w:lang w:eastAsia="en-AU"/>
        </w:rPr>
        <w:t>Gender</w:t>
      </w:r>
    </w:p>
    <w:p w14:paraId="4D0241B9" w14:textId="53575705" w:rsidR="00213B92" w:rsidRDefault="00213B92" w:rsidP="00213B92">
      <w:pPr>
        <w:pStyle w:val="ListBullet"/>
      </w:pPr>
      <w:r>
        <w:t>Through Pacific Wo</w:t>
      </w:r>
      <w:r w:rsidR="00BB28D5">
        <w:t>man Shaping Pacific Development</w:t>
      </w:r>
      <w:r w:rsidR="00C36E74">
        <w:t>,</w:t>
      </w:r>
      <w:r>
        <w:t xml:space="preserve"> Australia has committed approximately $5 million </w:t>
      </w:r>
      <w:r w:rsidR="0063773A">
        <w:t xml:space="preserve">to support </w:t>
      </w:r>
      <w:r>
        <w:t>women’s empowerment in Nauru. In 2013-14 a two year country plan was developed outlining the first activities</w:t>
      </w:r>
      <w:r w:rsidR="0063773A">
        <w:t>, including</w:t>
      </w:r>
      <w:r>
        <w:t xml:space="preserve"> recruit</w:t>
      </w:r>
      <w:r w:rsidR="0063773A">
        <w:t>ment of</w:t>
      </w:r>
      <w:r>
        <w:t xml:space="preserve"> </w:t>
      </w:r>
      <w:r w:rsidR="00A9500A">
        <w:t>a</w:t>
      </w:r>
      <w:r>
        <w:t xml:space="preserve"> counsellor with </w:t>
      </w:r>
      <w:r w:rsidR="00C36E74">
        <w:t xml:space="preserve">expertise in </w:t>
      </w:r>
      <w:r>
        <w:t>domestic violence and working with children.  The counsellor will be responsible for managing a caseload, training health sector workers and developing protocols for identifying</w:t>
      </w:r>
      <w:r w:rsidR="0063773A">
        <w:t xml:space="preserve"> and</w:t>
      </w:r>
      <w:r>
        <w:t xml:space="preserve"> working with survivors of violence</w:t>
      </w:r>
      <w:r w:rsidR="005F6295">
        <w:t>,</w:t>
      </w:r>
      <w:r>
        <w:t xml:space="preserve"> assist health workers to develop and roll out an awareness campaign and support improved linkages between police, health workers and the government supported safe house.</w:t>
      </w:r>
    </w:p>
    <w:p w14:paraId="66EEAF2E" w14:textId="75A0A13A" w:rsidR="00C10A05" w:rsidRPr="00A87048" w:rsidRDefault="00213B92" w:rsidP="000D733F">
      <w:pPr>
        <w:pStyle w:val="ListBullet"/>
        <w:tabs>
          <w:tab w:val="clear" w:pos="284"/>
        </w:tabs>
      </w:pPr>
      <w:r>
        <w:t xml:space="preserve">Australia is also assisting Nauru </w:t>
      </w:r>
      <w:r w:rsidR="0063773A">
        <w:t xml:space="preserve">to </w:t>
      </w:r>
      <w:r>
        <w:t>revis</w:t>
      </w:r>
      <w:r w:rsidR="0063773A">
        <w:t>e</w:t>
      </w:r>
      <w:r>
        <w:t xml:space="preserve"> its Crimes Act to include a chapter on domestic violence, continu</w:t>
      </w:r>
      <w:r w:rsidR="0063773A">
        <w:t>e</w:t>
      </w:r>
      <w:r>
        <w:t xml:space="preserve"> fund</w:t>
      </w:r>
      <w:r w:rsidR="0063773A">
        <w:t>ing</w:t>
      </w:r>
      <w:r>
        <w:t xml:space="preserve"> the Country Focal Officer for the Regional Rights Resource Team, who support</w:t>
      </w:r>
      <w:r w:rsidR="0063773A">
        <w:t>s</w:t>
      </w:r>
      <w:r>
        <w:t xml:space="preserve"> efforts on domestic violence with the justice sector.</w:t>
      </w:r>
    </w:p>
    <w:p w14:paraId="4A6DAC47" w14:textId="77777777" w:rsidR="003963A4" w:rsidRPr="00D050F5" w:rsidRDefault="004B28A8" w:rsidP="000D733F">
      <w:pPr>
        <w:pStyle w:val="Heading3"/>
        <w:rPr>
          <w:b w:val="0"/>
          <w:color w:val="007FAD"/>
          <w:sz w:val="28"/>
          <w:szCs w:val="28"/>
          <w:lang w:eastAsia="en-AU"/>
        </w:rPr>
      </w:pPr>
      <w:r w:rsidRPr="00D050F5">
        <w:rPr>
          <w:b w:val="0"/>
          <w:color w:val="007FAD"/>
          <w:sz w:val="28"/>
          <w:szCs w:val="28"/>
          <w:lang w:eastAsia="en-AU"/>
        </w:rPr>
        <w:lastRenderedPageBreak/>
        <w:t>The Australian Federal Police Capacity Building Program</w:t>
      </w:r>
    </w:p>
    <w:p w14:paraId="6C76F788" w14:textId="335E7A89" w:rsidR="004B28A8" w:rsidRDefault="004B28A8" w:rsidP="004B28A8">
      <w:pPr>
        <w:pStyle w:val="ListBullet"/>
        <w:tabs>
          <w:tab w:val="clear" w:pos="284"/>
        </w:tabs>
      </w:pPr>
      <w:r w:rsidRPr="00D050F5">
        <w:t>The Nauru Police Force (NPF) Police Capacity Program (PCP) is a bilateral component of the Australian Federal Police (AFP) Pacific Police Development Program (PPDP) and was</w:t>
      </w:r>
      <w:r w:rsidRPr="00113D7E">
        <w:t xml:space="preserve"> established in November 2004.</w:t>
      </w:r>
    </w:p>
    <w:p w14:paraId="2FB59222" w14:textId="1FFD25B4" w:rsidR="004B28A8" w:rsidRPr="00113D7E" w:rsidRDefault="002D793D" w:rsidP="004B28A8">
      <w:pPr>
        <w:pStyle w:val="ListBullet"/>
      </w:pPr>
      <w:r>
        <w:t>The PPDP trained</w:t>
      </w:r>
      <w:r w:rsidR="004B28A8" w:rsidRPr="00113D7E">
        <w:t xml:space="preserve"> the NPF in the use of their electronic Case Management System, providing the ability for the NPF to electronically record all criminal complaints, and manage the case through to finalisation.</w:t>
      </w:r>
      <w:r w:rsidR="00BF4008">
        <w:t xml:space="preserve">  </w:t>
      </w:r>
      <w:r w:rsidR="004B28A8" w:rsidRPr="00113D7E">
        <w:t>Mentoring was provided</w:t>
      </w:r>
      <w:r w:rsidR="005B64AE">
        <w:t xml:space="preserve"> </w:t>
      </w:r>
      <w:r w:rsidR="004B28A8" w:rsidRPr="00113D7E">
        <w:t>to the Criminal Investigations Unit</w:t>
      </w:r>
      <w:r w:rsidR="004B28A8">
        <w:t xml:space="preserve"> </w:t>
      </w:r>
      <w:r w:rsidR="004B28A8" w:rsidRPr="00113D7E">
        <w:t>officers during</w:t>
      </w:r>
      <w:r w:rsidR="00D32653">
        <w:t xml:space="preserve"> relating to the investigation into the </w:t>
      </w:r>
      <w:r w:rsidR="004B28A8" w:rsidRPr="00113D7E">
        <w:t xml:space="preserve">July 2013 riot at the </w:t>
      </w:r>
      <w:r>
        <w:t>OPC.</w:t>
      </w:r>
    </w:p>
    <w:p w14:paraId="09C0B69B" w14:textId="67B39757" w:rsidR="004B28A8" w:rsidRPr="00113D7E" w:rsidRDefault="004B28A8" w:rsidP="004B28A8">
      <w:pPr>
        <w:pStyle w:val="ListBullet"/>
      </w:pPr>
      <w:r w:rsidRPr="00113D7E">
        <w:t xml:space="preserve">Approximately 60 NPF officers received training </w:t>
      </w:r>
      <w:r>
        <w:t xml:space="preserve">in </w:t>
      </w:r>
      <w:r w:rsidRPr="00113D7E">
        <w:t xml:space="preserve">the 2013-14 </w:t>
      </w:r>
      <w:r>
        <w:t xml:space="preserve">financial </w:t>
      </w:r>
      <w:r w:rsidRPr="00113D7E">
        <w:t xml:space="preserve">year. </w:t>
      </w:r>
      <w:r w:rsidR="002D793D">
        <w:t>T</w:t>
      </w:r>
      <w:r w:rsidRPr="00113D7E">
        <w:t>raining was conducted by AFP trained an</w:t>
      </w:r>
      <w:r w:rsidR="002919E3">
        <w:t>d qualified NPF instructors in public order m</w:t>
      </w:r>
      <w:r w:rsidRPr="00113D7E">
        <w:t>anagement</w:t>
      </w:r>
      <w:r>
        <w:t xml:space="preserve"> (POM)</w:t>
      </w:r>
      <w:r w:rsidRPr="00113D7E">
        <w:t>. AFP trained Police Negotiators continued to perform in</w:t>
      </w:r>
      <w:r>
        <w:t>-</w:t>
      </w:r>
      <w:r w:rsidRPr="00113D7E">
        <w:t xml:space="preserve">house training on the negotiation equipment provided by the </w:t>
      </w:r>
      <w:r>
        <w:t>NPF PCP</w:t>
      </w:r>
      <w:r w:rsidRPr="00113D7E">
        <w:t xml:space="preserve">. </w:t>
      </w:r>
      <w:r>
        <w:t>Two</w:t>
      </w:r>
      <w:r w:rsidRPr="00113D7E">
        <w:t xml:space="preserve"> </w:t>
      </w:r>
      <w:r w:rsidR="002919E3">
        <w:t>commissioned NPF o</w:t>
      </w:r>
      <w:r w:rsidRPr="00113D7E">
        <w:t>fficers attended a PPDP</w:t>
      </w:r>
      <w:r w:rsidR="002919E3">
        <w:t>-r</w:t>
      </w:r>
      <w:r>
        <w:t>egional</w:t>
      </w:r>
      <w:r w:rsidRPr="00113D7E">
        <w:t xml:space="preserve"> </w:t>
      </w:r>
      <w:r w:rsidR="002919E3">
        <w:t>command control and c</w:t>
      </w:r>
      <w:r>
        <w:t xml:space="preserve">oordination </w:t>
      </w:r>
      <w:r w:rsidR="002919E3">
        <w:t>c</w:t>
      </w:r>
      <w:r w:rsidRPr="00113D7E">
        <w:t xml:space="preserve">ourse in Australia. </w:t>
      </w:r>
    </w:p>
    <w:p w14:paraId="44A750F8" w14:textId="77777777" w:rsidR="000D733F" w:rsidRPr="001375E3" w:rsidRDefault="000D733F" w:rsidP="000D733F">
      <w:pPr>
        <w:pStyle w:val="Heading3"/>
        <w:rPr>
          <w:rStyle w:val="BodyTextChar"/>
          <w:b w:val="0"/>
          <w:color w:val="auto"/>
        </w:rPr>
      </w:pPr>
      <w:r w:rsidRPr="009E38C1">
        <w:rPr>
          <w:b w:val="0"/>
          <w:color w:val="007FAD"/>
          <w:sz w:val="28"/>
          <w:szCs w:val="28"/>
          <w:lang w:eastAsia="en-AU"/>
        </w:rPr>
        <w:t>Mutual Obligations</w:t>
      </w:r>
      <w:r w:rsidRPr="009E38C1">
        <w:rPr>
          <w:b w:val="0"/>
          <w:color w:val="007FAD"/>
          <w:sz w:val="32"/>
          <w:szCs w:val="32"/>
          <w:lang w:eastAsia="en-AU"/>
        </w:rPr>
        <w:tab/>
      </w:r>
      <w:r>
        <w:tab/>
      </w:r>
      <w:r>
        <w:tab/>
      </w:r>
      <w:r>
        <w:tab/>
      </w:r>
    </w:p>
    <w:p w14:paraId="61DA0B77" w14:textId="20D1B285" w:rsidR="0041454E" w:rsidRDefault="00E857B0" w:rsidP="00CD061B">
      <w:pPr>
        <w:pStyle w:val="ListBullet"/>
      </w:pPr>
      <w:r>
        <w:t>Australia</w:t>
      </w:r>
      <w:r w:rsidR="002C333E">
        <w:t xml:space="preserve"> funded</w:t>
      </w:r>
      <w:r w:rsidR="002919E3">
        <w:t xml:space="preserve"> a human resources a</w:t>
      </w:r>
      <w:r>
        <w:t xml:space="preserve">dvisor to help </w:t>
      </w:r>
      <w:r w:rsidR="002919E3">
        <w:t xml:space="preserve">the </w:t>
      </w:r>
      <w:r w:rsidR="00965183">
        <w:t xml:space="preserve">Government of Nauru </w:t>
      </w:r>
      <w:r>
        <w:t>develop HR planning and to undertake a public sector job evaluation review aimed at developing stronger performance linked salary scales and career pathways for public sector employees.</w:t>
      </w:r>
    </w:p>
    <w:p w14:paraId="04F6B81D" w14:textId="0FC2ABBA" w:rsidR="00416A30" w:rsidRDefault="002C333E" w:rsidP="00CD061B">
      <w:pPr>
        <w:pStyle w:val="ListBullet"/>
      </w:pPr>
      <w:r>
        <w:t xml:space="preserve">Attracting a commercial bank to establish a branch in Nauru is another </w:t>
      </w:r>
      <w:r w:rsidR="00416A30">
        <w:t>priority for the G</w:t>
      </w:r>
      <w:r>
        <w:t>overnment of Nauru</w:t>
      </w:r>
      <w:r w:rsidR="00416A30">
        <w:t xml:space="preserve">. With Australian assistance </w:t>
      </w:r>
      <w:r>
        <w:t>(</w:t>
      </w:r>
      <w:r w:rsidR="00416A30">
        <w:t>through the Asian Development Bank</w:t>
      </w:r>
      <w:r>
        <w:t>)</w:t>
      </w:r>
      <w:r w:rsidR="00416A30">
        <w:t xml:space="preserve">, the Government has made all necessary arrangements to legally establish a bank in Nauru. </w:t>
      </w:r>
      <w:r w:rsidR="005F6295">
        <w:t>F</w:t>
      </w:r>
      <w:r w:rsidR="00416A30">
        <w:t>or a range of reasons</w:t>
      </w:r>
      <w:r w:rsidR="00673050">
        <w:t>,</w:t>
      </w:r>
      <w:r w:rsidR="00416A30">
        <w:t xml:space="preserve"> no bank has </w:t>
      </w:r>
      <w:r w:rsidR="00673050">
        <w:t xml:space="preserve">yet </w:t>
      </w:r>
      <w:r w:rsidR="00416A30">
        <w:t>been established</w:t>
      </w:r>
      <w:r w:rsidR="00E857B0">
        <w:t>.</w:t>
      </w:r>
    </w:p>
    <w:p w14:paraId="0801E8E3" w14:textId="08AB80AC" w:rsidR="00E74D18" w:rsidRDefault="00E74D18" w:rsidP="00CD061B">
      <w:pPr>
        <w:pStyle w:val="ListBullet"/>
      </w:pPr>
      <w:r>
        <w:t>The</w:t>
      </w:r>
      <w:r w:rsidR="002C333E">
        <w:t xml:space="preserve"> Government of Nauru </w:t>
      </w:r>
      <w:r>
        <w:t xml:space="preserve">has undertaken to improve its financial reporting by implementing the roll out of the FMIS to line agencies, preparing user manuals and providing training for </w:t>
      </w:r>
      <w:r w:rsidR="009F1A4D">
        <w:t>relevant</w:t>
      </w:r>
      <w:r>
        <w:t xml:space="preserve"> personnel. Australia will fund</w:t>
      </w:r>
      <w:r w:rsidR="002D793D">
        <w:t xml:space="preserve"> </w:t>
      </w:r>
      <w:r>
        <w:t>technical assistance</w:t>
      </w:r>
      <w:r w:rsidR="002D793D">
        <w:t xml:space="preserve"> to </w:t>
      </w:r>
      <w:r>
        <w:t>improv</w:t>
      </w:r>
      <w:r w:rsidR="002D793D">
        <w:t>e</w:t>
      </w:r>
      <w:r>
        <w:t xml:space="preserve"> the functionality of the FMIS.</w:t>
      </w:r>
    </w:p>
    <w:p w14:paraId="4C4FF05B" w14:textId="24EB7968" w:rsidR="000D733F" w:rsidRPr="001375E3" w:rsidRDefault="000D733F" w:rsidP="000D733F">
      <w:pPr>
        <w:pStyle w:val="Heading3"/>
        <w:rPr>
          <w:b w:val="0"/>
          <w:sz w:val="32"/>
          <w:szCs w:val="32"/>
        </w:rPr>
      </w:pPr>
      <w:r w:rsidRPr="009E38C1">
        <w:rPr>
          <w:b w:val="0"/>
          <w:color w:val="007FAD"/>
          <w:sz w:val="28"/>
          <w:szCs w:val="28"/>
          <w:lang w:eastAsia="en-AU"/>
        </w:rPr>
        <w:t>Program Quality and Management</w:t>
      </w:r>
      <w:r w:rsidRPr="009E38C1">
        <w:rPr>
          <w:sz w:val="28"/>
          <w:szCs w:val="28"/>
        </w:rPr>
        <w:t xml:space="preserve"> </w:t>
      </w:r>
      <w:r w:rsidRPr="009E38C1">
        <w:rPr>
          <w:sz w:val="28"/>
          <w:szCs w:val="28"/>
        </w:rPr>
        <w:tab/>
      </w:r>
      <w:r>
        <w:tab/>
      </w:r>
    </w:p>
    <w:p w14:paraId="31C4AD20" w14:textId="31925D65" w:rsidR="009455E2" w:rsidRDefault="009455E2" w:rsidP="00CD061B">
      <w:pPr>
        <w:pStyle w:val="ListBullet"/>
      </w:pPr>
      <w:r>
        <w:t xml:space="preserve">DFAT arranges </w:t>
      </w:r>
      <w:r w:rsidR="002F3679">
        <w:t xml:space="preserve">annual </w:t>
      </w:r>
      <w:r>
        <w:t xml:space="preserve">independent audits of the </w:t>
      </w:r>
      <w:r w:rsidR="00E74D18">
        <w:t>Operational A</w:t>
      </w:r>
      <w:r>
        <w:t xml:space="preserve">ccount. </w:t>
      </w:r>
      <w:r w:rsidR="00CA202F">
        <w:t>In 2013-14,</w:t>
      </w:r>
      <w:r w:rsidR="005B64AE">
        <w:t xml:space="preserve"> </w:t>
      </w:r>
      <w:r w:rsidR="00E74D18">
        <w:t>the</w:t>
      </w:r>
      <w:r w:rsidR="00CA202F">
        <w:t xml:space="preserve"> audit</w:t>
      </w:r>
      <w:r w:rsidR="00B420F5">
        <w:t xml:space="preserve"> </w:t>
      </w:r>
      <w:r w:rsidR="00744FFF">
        <w:t xml:space="preserve">reported </w:t>
      </w:r>
      <w:r w:rsidR="00CA202F">
        <w:t xml:space="preserve">a range of administrative and </w:t>
      </w:r>
      <w:r w:rsidR="00C10A05">
        <w:t xml:space="preserve">technical </w:t>
      </w:r>
      <w:r w:rsidR="00CA202F">
        <w:t xml:space="preserve">accounting </w:t>
      </w:r>
      <w:r w:rsidR="00C10A05">
        <w:t>anomalies, pointing to</w:t>
      </w:r>
      <w:r w:rsidR="00CA202F">
        <w:t xml:space="preserve"> capacity constraints in the </w:t>
      </w:r>
      <w:r w:rsidR="00F94E1B">
        <w:t>Ministry</w:t>
      </w:r>
      <w:r w:rsidR="00CA202F">
        <w:t xml:space="preserve"> </w:t>
      </w:r>
      <w:r w:rsidR="00B420F5">
        <w:t xml:space="preserve">of Finance </w:t>
      </w:r>
      <w:r w:rsidR="00CA202F">
        <w:t xml:space="preserve">over this period. Placement of three </w:t>
      </w:r>
      <w:r w:rsidR="00C10A05">
        <w:t>PACTAM</w:t>
      </w:r>
      <w:r w:rsidR="00CA202F">
        <w:t xml:space="preserve"> advisors in Deputy Secretary roles within the department in early 2014 will</w:t>
      </w:r>
      <w:r w:rsidR="00A30B44">
        <w:t xml:space="preserve"> </w:t>
      </w:r>
      <w:r w:rsidR="00CA202F">
        <w:t>help address many of these issues.</w:t>
      </w:r>
    </w:p>
    <w:p w14:paraId="43A9722B" w14:textId="59780071" w:rsidR="00FA5421" w:rsidRDefault="00787008" w:rsidP="00FA5421">
      <w:pPr>
        <w:pStyle w:val="ListBullet"/>
      </w:pPr>
      <w:r>
        <w:t xml:space="preserve">Monitoring visits by the </w:t>
      </w:r>
      <w:r w:rsidR="002C333E">
        <w:t>DFAT funded Program Monitoring and Advisory Group (PMAG)</w:t>
      </w:r>
      <w:r>
        <w:t xml:space="preserve"> take place several times per year focussing on one sector each visit. </w:t>
      </w:r>
      <w:r w:rsidR="00DE7B60">
        <w:t>In</w:t>
      </w:r>
      <w:r w:rsidR="00FA5421">
        <w:t xml:space="preserve"> 2013-14, PMAG </w:t>
      </w:r>
      <w:r w:rsidR="00DE7B60">
        <w:t xml:space="preserve">reviewed </w:t>
      </w:r>
      <w:r w:rsidR="00FA5421" w:rsidRPr="003A4847">
        <w:t xml:space="preserve">the health and education sectors, focussing on the effectiveness of Australia’s assistance. </w:t>
      </w:r>
    </w:p>
    <w:p w14:paraId="4A9C5D0B" w14:textId="55844936" w:rsidR="00194AFA" w:rsidRDefault="002F3679" w:rsidP="00027ACB">
      <w:pPr>
        <w:pStyle w:val="ListBullet"/>
      </w:pPr>
      <w:r>
        <w:t>A</w:t>
      </w:r>
      <w:r w:rsidR="00787008">
        <w:t xml:space="preserve">ssessments of Nauru’s economy and </w:t>
      </w:r>
      <w:r w:rsidR="00BB28D5">
        <w:t>P</w:t>
      </w:r>
      <w:r>
        <w:t xml:space="preserve">FM </w:t>
      </w:r>
      <w:r w:rsidR="00787008">
        <w:t>arrangements are undertaken at least once per year</w:t>
      </w:r>
      <w:r w:rsidR="00B31CCD">
        <w:t xml:space="preserve"> either through PFTAC </w:t>
      </w:r>
      <w:r>
        <w:t>or as part of a joint PMAG/ADB exercise.</w:t>
      </w:r>
      <w:r w:rsidR="00787008">
        <w:t xml:space="preserve"> </w:t>
      </w:r>
      <w:r w:rsidR="00B31CCD">
        <w:t xml:space="preserve"> In April 2014, a joint </w:t>
      </w:r>
      <w:r w:rsidR="00FA5421">
        <w:t xml:space="preserve">PMAG/ADB economic mission </w:t>
      </w:r>
      <w:r w:rsidR="00FA5421" w:rsidRPr="00651559">
        <w:t>assessed Nauru’s broader economic circumstances a</w:t>
      </w:r>
      <w:r w:rsidR="00FA5421">
        <w:t xml:space="preserve">nd the impact of the aid program in </w:t>
      </w:r>
      <w:r w:rsidR="00FA5421" w:rsidRPr="00651559">
        <w:t>strengthening PFM s</w:t>
      </w:r>
      <w:r w:rsidR="00AE708F">
        <w:t xml:space="preserve">ystems.  The assessment estimated the </w:t>
      </w:r>
      <w:r w:rsidR="00AE708F">
        <w:lastRenderedPageBreak/>
        <w:t xml:space="preserve">Nauruan economy will grow </w:t>
      </w:r>
      <w:r w:rsidR="00744FFF">
        <w:t>from</w:t>
      </w:r>
      <w:r w:rsidR="00AE708F">
        <w:t xml:space="preserve"> </w:t>
      </w:r>
      <w:r w:rsidR="00FA5421" w:rsidRPr="00651559">
        <w:t>4.9 per cent in 2013 to 10 per cent in 2014</w:t>
      </w:r>
      <w:r w:rsidR="00616418">
        <w:rPr>
          <w:rStyle w:val="FootnoteReference"/>
        </w:rPr>
        <w:footnoteReference w:id="24"/>
      </w:r>
      <w:r w:rsidR="00FA5421" w:rsidRPr="00651559">
        <w:t>. The report also notes a number of risks associated with this rapid economic growth, including the potential for an inflationary effect and distortion to the labour market</w:t>
      </w:r>
      <w:r w:rsidR="00855622">
        <w:t>. The</w:t>
      </w:r>
      <w:r w:rsidR="00543DEC">
        <w:t xml:space="preserve"> report </w:t>
      </w:r>
      <w:r w:rsidR="00C10A05">
        <w:t>suggests</w:t>
      </w:r>
      <w:r w:rsidR="00543DEC">
        <w:t xml:space="preserve"> that the focus of Australia’s assistance for PFM reform (improving efficiencies in budget and revenue management) </w:t>
      </w:r>
      <w:r w:rsidR="00855622">
        <w:t xml:space="preserve">is </w:t>
      </w:r>
      <w:r w:rsidR="00543DEC">
        <w:t xml:space="preserve">both high priority and </w:t>
      </w:r>
      <w:r w:rsidR="00C10A05">
        <w:t>appropriate</w:t>
      </w:r>
      <w:r w:rsidR="00616418">
        <w:rPr>
          <w:rStyle w:val="FootnoteReference"/>
        </w:rPr>
        <w:footnoteReference w:id="25"/>
      </w:r>
      <w:r w:rsidR="0031550C">
        <w:t>.</w:t>
      </w:r>
    </w:p>
    <w:p w14:paraId="71A82F0E" w14:textId="77777777" w:rsidR="00C27B04" w:rsidRDefault="00C27B04" w:rsidP="00C27B04">
      <w:pPr>
        <w:pStyle w:val="ListBullet"/>
      </w:pPr>
      <w:r>
        <w:t>An April 2014 PMAG/ADB assessment of Australian assistance for power and water services found that despite a return to regular power outages in 2013-14, Australia’s continued support for the NUC is appropriate, including efforts to improve corporate management – an area currently led by the ADB as part of its SOE (State Owned Enterprise) reform program</w:t>
      </w:r>
      <w:r>
        <w:rPr>
          <w:rStyle w:val="FootnoteReference"/>
        </w:rPr>
        <w:footnoteReference w:id="26"/>
      </w:r>
      <w:r>
        <w:t>. The decline in the reliability of power services in particular over the 2013-14 period suggests that in the future Australia should investigate a more effective modality of support for this sector.</w:t>
      </w:r>
    </w:p>
    <w:p w14:paraId="7DC4B667" w14:textId="77777777" w:rsidR="00C346C5" w:rsidRPr="00180B19" w:rsidRDefault="00C346C5" w:rsidP="00C346C5">
      <w:pPr>
        <w:pStyle w:val="Heading3"/>
      </w:pPr>
      <w:r>
        <w:t xml:space="preserve">Analysis of </w:t>
      </w:r>
      <w:r w:rsidRPr="00180B19">
        <w:t xml:space="preserve">Quality at Implementation </w:t>
      </w:r>
      <w:r>
        <w:t xml:space="preserve">Reports </w:t>
      </w:r>
    </w:p>
    <w:p w14:paraId="7176167D" w14:textId="0730FB65" w:rsidR="00C346C5" w:rsidRDefault="00BB28D5" w:rsidP="00C346C5">
      <w:pPr>
        <w:pStyle w:val="ListBullet"/>
        <w:tabs>
          <w:tab w:val="clear" w:pos="284"/>
        </w:tabs>
      </w:pPr>
      <w:r>
        <w:t>A summary of Quality at I</w:t>
      </w:r>
      <w:r w:rsidR="00C346C5">
        <w:t xml:space="preserve">mplementation </w:t>
      </w:r>
      <w:r>
        <w:t xml:space="preserve">(QaI) </w:t>
      </w:r>
      <w:r w:rsidR="00C346C5">
        <w:t xml:space="preserve">ratings </w:t>
      </w:r>
      <w:r w:rsidR="006A2557">
        <w:t>is a</w:t>
      </w:r>
      <w:r w:rsidR="00C346C5">
        <w:t>t Annex B.</w:t>
      </w:r>
      <w:r w:rsidR="00573A64">
        <w:t xml:space="preserve">  R</w:t>
      </w:r>
      <w:r w:rsidR="00C346C5">
        <w:t xml:space="preserve">atings for relevance remained strong. Overall the trend in ratings for 2013-14 demonstrates </w:t>
      </w:r>
      <w:r w:rsidR="00C10A05">
        <w:t>some</w:t>
      </w:r>
      <w:r w:rsidR="00C346C5">
        <w:t xml:space="preserve"> decline in quality, particularly in regard to effectiveness and efficiency.  Ratings for M&amp;E and sustainability also showed </w:t>
      </w:r>
      <w:r w:rsidR="00773352">
        <w:t>some</w:t>
      </w:r>
      <w:r w:rsidR="00C346C5">
        <w:t xml:space="preserve"> decline, although there was an improvement in the rating for M&amp;E in regard to the public sector management initiative. This reflects the ongoing scrutiny from the PMAG, PFTAC</w:t>
      </w:r>
      <w:r w:rsidR="003A4847">
        <w:t>, ADB</w:t>
      </w:r>
      <w:r w:rsidR="00C346C5">
        <w:t xml:space="preserve"> and the annual audits of the operational account.</w:t>
      </w:r>
    </w:p>
    <w:p w14:paraId="5A49A6E1" w14:textId="2F624AAE" w:rsidR="00E00810" w:rsidRDefault="00E00810" w:rsidP="00E00810">
      <w:pPr>
        <w:pStyle w:val="ListBullet"/>
        <w:tabs>
          <w:tab w:val="clear" w:pos="284"/>
        </w:tabs>
      </w:pPr>
      <w:r>
        <w:t xml:space="preserve">Ratings for gender equity showed a mixed result against last year’s QAI ratings, but overall results in this area </w:t>
      </w:r>
      <w:r w:rsidR="00773352">
        <w:t>suggests room for improvement</w:t>
      </w:r>
      <w:r>
        <w:t xml:space="preserve">. </w:t>
      </w:r>
      <w:r w:rsidR="003A4847">
        <w:t>E</w:t>
      </w:r>
      <w:r>
        <w:t xml:space="preserve">ffort will be required over the next </w:t>
      </w:r>
      <w:r w:rsidR="001971E0">
        <w:t xml:space="preserve">year to </w:t>
      </w:r>
      <w:r w:rsidR="003A4847">
        <w:t xml:space="preserve">reach </w:t>
      </w:r>
      <w:r w:rsidR="00744FFF">
        <w:t xml:space="preserve">the aid policy </w:t>
      </w:r>
      <w:r>
        <w:t>benchmark</w:t>
      </w:r>
      <w:r w:rsidR="003A4847">
        <w:t xml:space="preserve"> on gender equality</w:t>
      </w:r>
      <w:r>
        <w:t xml:space="preserve">. While this percentage will improve due to new activities under the Pacific Women Shaping Pacific Development initiative, </w:t>
      </w:r>
      <w:r w:rsidR="00773352">
        <w:t>targeted work would</w:t>
      </w:r>
      <w:r>
        <w:t xml:space="preserve"> be </w:t>
      </w:r>
      <w:r w:rsidR="00773352">
        <w:t>desirable</w:t>
      </w:r>
      <w:r>
        <w:t xml:space="preserve"> to </w:t>
      </w:r>
      <w:r w:rsidR="00776C0B">
        <w:t xml:space="preserve">mainstream </w:t>
      </w:r>
      <w:r>
        <w:t xml:space="preserve">gender equality in </w:t>
      </w:r>
      <w:r w:rsidR="00776C0B">
        <w:t xml:space="preserve">other </w:t>
      </w:r>
      <w:r>
        <w:t>programs, particularly in health, education and infrastructure.</w:t>
      </w:r>
    </w:p>
    <w:p w14:paraId="5693EE1D" w14:textId="77777777" w:rsidR="00C346C5" w:rsidRDefault="00C346C5" w:rsidP="00C346C5">
      <w:pPr>
        <w:pStyle w:val="Heading3"/>
      </w:pPr>
      <w:r>
        <w:t xml:space="preserve">Partner Performance </w:t>
      </w:r>
    </w:p>
    <w:p w14:paraId="0422A95A" w14:textId="5D574801" w:rsidR="00C346C5" w:rsidRDefault="00C346C5" w:rsidP="00C346C5">
      <w:pPr>
        <w:pStyle w:val="ListBullet"/>
        <w:tabs>
          <w:tab w:val="clear" w:pos="284"/>
        </w:tabs>
      </w:pPr>
      <w:r>
        <w:t>Australia’s key partners in delivering assistance to Nauru are New Zealand, the ADB and PFTAC. New Zealand provides funding in support of the education sector but delegates management and oversight of implementation arrangements to Australia. New Zealand provides significant assistance for the law and justice sector providing funding to support the judiciary and other senior positions within the Justice Department. New Zealand’s role in this sector is a positive compl</w:t>
      </w:r>
      <w:r w:rsidR="00213B92">
        <w:t>e</w:t>
      </w:r>
      <w:r>
        <w:t>ment to Australia’s broader role ensuring significant donor investments are underpinned by a strong and independent judicial system and rule of law.</w:t>
      </w:r>
    </w:p>
    <w:p w14:paraId="40C79ADE" w14:textId="517F81E7" w:rsidR="00C346C5" w:rsidRDefault="00C346C5" w:rsidP="00C346C5">
      <w:pPr>
        <w:pStyle w:val="ListBullet"/>
        <w:tabs>
          <w:tab w:val="clear" w:pos="284"/>
        </w:tabs>
      </w:pPr>
      <w:r>
        <w:t>Support through the ADB has also been compl</w:t>
      </w:r>
      <w:r w:rsidR="00213B92">
        <w:t>e</w:t>
      </w:r>
      <w:r>
        <w:t xml:space="preserve">mentary to Australia’s investments with significant work with the </w:t>
      </w:r>
      <w:r w:rsidR="00B60BDB">
        <w:t>NUC</w:t>
      </w:r>
      <w:r>
        <w:t xml:space="preserve"> in support of improved power and water operations, as well as on</w:t>
      </w:r>
      <w:r w:rsidR="002C3465">
        <w:t xml:space="preserve"> strengthening management and operations of SOEs more broadly. Both the ADB and PFTAC play a central role in supporting Nauru’s </w:t>
      </w:r>
      <w:r w:rsidR="00B11A32">
        <w:t>PFM</w:t>
      </w:r>
      <w:r w:rsidR="002C3465">
        <w:t xml:space="preserve"> systems through technical assistance </w:t>
      </w:r>
      <w:r w:rsidR="002C3465">
        <w:lastRenderedPageBreak/>
        <w:t xml:space="preserve">and training provided to build capacity of the </w:t>
      </w:r>
      <w:r w:rsidR="00F94E1B">
        <w:t>Ministry of Finance</w:t>
      </w:r>
      <w:r w:rsidR="002C3465">
        <w:t xml:space="preserve"> and support the Australian funded advisors working in senior management roles.</w:t>
      </w:r>
    </w:p>
    <w:p w14:paraId="448D00D4" w14:textId="08A938E0" w:rsidR="002C3465" w:rsidRPr="002715F3" w:rsidRDefault="00034825" w:rsidP="003B009F">
      <w:pPr>
        <w:pStyle w:val="ListBullet"/>
        <w:tabs>
          <w:tab w:val="clear" w:pos="284"/>
        </w:tabs>
        <w:spacing w:after="200" w:line="276" w:lineRule="auto"/>
        <w:rPr>
          <w:rFonts w:ascii="Helvetica" w:hAnsi="Helvetica"/>
          <w:b/>
          <w:color w:val="124486"/>
          <w:kern w:val="28"/>
          <w:sz w:val="22"/>
        </w:rPr>
      </w:pPr>
      <w:r>
        <w:t>While</w:t>
      </w:r>
      <w:r w:rsidR="002C3465">
        <w:t xml:space="preserve"> the</w:t>
      </w:r>
      <w:r w:rsidR="002E1B92">
        <w:t xml:space="preserve"> temporary absence</w:t>
      </w:r>
      <w:r w:rsidR="002C3465">
        <w:t xml:space="preserve"> of </w:t>
      </w:r>
      <w:r w:rsidR="0032723C" w:rsidRPr="00CB065E">
        <w:t>two</w:t>
      </w:r>
      <w:r w:rsidR="002C3465">
        <w:t xml:space="preserve"> Australian funded </w:t>
      </w:r>
      <w:r w:rsidR="00773352">
        <w:t>PACTAM</w:t>
      </w:r>
      <w:r w:rsidR="002C3465">
        <w:t xml:space="preserve"> advisors resulted in a decline in the Ministry’s </w:t>
      </w:r>
      <w:r w:rsidR="00B11A32">
        <w:t xml:space="preserve">PFM </w:t>
      </w:r>
      <w:r w:rsidR="002C3465">
        <w:t>capacities and deterioration of some accounting and administrative systems</w:t>
      </w:r>
      <w:r>
        <w:t>, these positions were subsequently</w:t>
      </w:r>
      <w:r w:rsidR="002C3465">
        <w:t xml:space="preserve"> </w:t>
      </w:r>
      <w:r w:rsidR="00DF26D3">
        <w:t>filled.</w:t>
      </w:r>
    </w:p>
    <w:p w14:paraId="7065981C" w14:textId="77777777" w:rsidR="000D733F" w:rsidRDefault="000D733F" w:rsidP="000D733F">
      <w:pPr>
        <w:pStyle w:val="Heading3"/>
      </w:pPr>
      <w:r>
        <w:t>Risks</w:t>
      </w:r>
    </w:p>
    <w:p w14:paraId="048954E0" w14:textId="77777777" w:rsidR="000D733F" w:rsidRDefault="000D733F" w:rsidP="000D733F">
      <w:pPr>
        <w:pStyle w:val="Caption"/>
      </w:pPr>
      <w:r>
        <w:t>Table 3 Management of key risks to achieving objectives</w:t>
      </w:r>
    </w:p>
    <w:tbl>
      <w:tblPr>
        <w:tblStyle w:val="APPR"/>
        <w:tblW w:w="5272" w:type="pct"/>
        <w:tblLook w:val="0600" w:firstRow="0" w:lastRow="0" w:firstColumn="0" w:lastColumn="0" w:noHBand="1" w:noVBand="1"/>
      </w:tblPr>
      <w:tblGrid>
        <w:gridCol w:w="2936"/>
        <w:gridCol w:w="2913"/>
        <w:gridCol w:w="3405"/>
      </w:tblGrid>
      <w:tr w:rsidR="000D733F" w:rsidRPr="00180B19" w14:paraId="2BFF543F" w14:textId="77777777" w:rsidTr="00835441">
        <w:tc>
          <w:tcPr>
            <w:tcW w:w="2894" w:type="dxa"/>
            <w:tcBorders>
              <w:top w:val="single" w:sz="12" w:space="0" w:color="000000" w:themeColor="text1"/>
              <w:bottom w:val="single" w:sz="12" w:space="0" w:color="000000" w:themeColor="text1"/>
            </w:tcBorders>
          </w:tcPr>
          <w:p w14:paraId="2389BBAA" w14:textId="77777777" w:rsidR="000D733F" w:rsidRPr="005023D9" w:rsidRDefault="000D733F" w:rsidP="000D733F">
            <w:pPr>
              <w:pStyle w:val="TableTextColumnHeading"/>
            </w:pPr>
            <w:r w:rsidRPr="005023D9">
              <w:t>Key risks</w:t>
            </w:r>
          </w:p>
        </w:tc>
        <w:tc>
          <w:tcPr>
            <w:tcW w:w="2885" w:type="dxa"/>
            <w:tcBorders>
              <w:top w:val="single" w:sz="12" w:space="0" w:color="000000" w:themeColor="text1"/>
              <w:bottom w:val="single" w:sz="12" w:space="0" w:color="000000" w:themeColor="text1"/>
            </w:tcBorders>
          </w:tcPr>
          <w:p w14:paraId="75F13BA0" w14:textId="77777777" w:rsidR="000D733F" w:rsidRPr="005023D9" w:rsidRDefault="000D733F" w:rsidP="000D733F">
            <w:pPr>
              <w:pStyle w:val="TableTextColumnHeading"/>
            </w:pPr>
            <w:r w:rsidRPr="005023D9">
              <w:t>What actions were taken to manage the risks over the past year</w:t>
            </w:r>
          </w:p>
        </w:tc>
        <w:tc>
          <w:tcPr>
            <w:tcW w:w="3363" w:type="dxa"/>
            <w:tcBorders>
              <w:top w:val="single" w:sz="12" w:space="0" w:color="000000" w:themeColor="text1"/>
              <w:bottom w:val="single" w:sz="12" w:space="0" w:color="000000" w:themeColor="text1"/>
            </w:tcBorders>
          </w:tcPr>
          <w:p w14:paraId="42896548" w14:textId="77777777" w:rsidR="000D733F" w:rsidRPr="005023D9" w:rsidRDefault="000D733F" w:rsidP="000D733F">
            <w:pPr>
              <w:pStyle w:val="TableTextColumnHeading"/>
            </w:pPr>
            <w:r w:rsidRPr="005023D9">
              <w:t>What further actions will be taken to manage the risks in the coming year</w:t>
            </w:r>
          </w:p>
        </w:tc>
      </w:tr>
      <w:tr w:rsidR="003A4847" w:rsidRPr="00180B19" w14:paraId="6D83D5EC" w14:textId="77777777" w:rsidTr="003A4847">
        <w:tc>
          <w:tcPr>
            <w:tcW w:w="2894" w:type="dxa"/>
            <w:tcBorders>
              <w:top w:val="single" w:sz="12" w:space="0" w:color="000000" w:themeColor="text1"/>
              <w:bottom w:val="nil"/>
            </w:tcBorders>
          </w:tcPr>
          <w:p w14:paraId="75B2C18E" w14:textId="77777777" w:rsidR="003A4847" w:rsidRPr="005749F1" w:rsidRDefault="003A4847" w:rsidP="003A4847">
            <w:pPr>
              <w:pStyle w:val="TableTextEntries"/>
            </w:pPr>
            <w:r w:rsidRPr="005749F1">
              <w:t>Political instability in Nauru impedes progress on development activities or detracts from reform agenda.</w:t>
            </w:r>
          </w:p>
          <w:p w14:paraId="65B86A55" w14:textId="77777777" w:rsidR="003A4847" w:rsidRPr="005749F1" w:rsidRDefault="003A4847" w:rsidP="003A4847">
            <w:pPr>
              <w:pStyle w:val="TableTextEntries"/>
            </w:pPr>
          </w:p>
          <w:p w14:paraId="6ED4218F" w14:textId="77777777" w:rsidR="003A4847" w:rsidRPr="005749F1" w:rsidRDefault="003A4847" w:rsidP="003A4847">
            <w:pPr>
              <w:pStyle w:val="TableTextEntries"/>
            </w:pPr>
          </w:p>
          <w:p w14:paraId="5B184D41" w14:textId="77777777" w:rsidR="003A4847" w:rsidRPr="005749F1" w:rsidRDefault="003A4847" w:rsidP="003A4847">
            <w:pPr>
              <w:pStyle w:val="TableTextEntries"/>
            </w:pPr>
          </w:p>
          <w:p w14:paraId="38766F1F" w14:textId="68D7BFD6" w:rsidR="003A4847" w:rsidRPr="005749F1" w:rsidRDefault="003A4847" w:rsidP="003A4847">
            <w:pPr>
              <w:pStyle w:val="TableTextEntries"/>
            </w:pPr>
            <w:r w:rsidRPr="005749F1">
              <w:t>A stronger domestic budget position results in a reduced commitment to the reform agenda and loss of influence by donors</w:t>
            </w:r>
            <w:r w:rsidR="00744FFF" w:rsidRPr="005749F1">
              <w:t>.</w:t>
            </w:r>
          </w:p>
          <w:p w14:paraId="4C1FBE2D" w14:textId="77777777" w:rsidR="000A1ABF" w:rsidRPr="005749F1" w:rsidRDefault="000A1ABF" w:rsidP="003A4847">
            <w:pPr>
              <w:pStyle w:val="TableTextEntries"/>
            </w:pPr>
          </w:p>
          <w:p w14:paraId="78CF9BC9" w14:textId="77777777" w:rsidR="000A1ABF" w:rsidRPr="005749F1" w:rsidRDefault="000A1ABF" w:rsidP="003A4847">
            <w:pPr>
              <w:pStyle w:val="TableTextEntries"/>
            </w:pPr>
          </w:p>
          <w:p w14:paraId="4F986D3F" w14:textId="77777777" w:rsidR="000A1ABF" w:rsidRPr="005749F1" w:rsidRDefault="000A1ABF" w:rsidP="003A4847">
            <w:pPr>
              <w:pStyle w:val="TableTextEntries"/>
            </w:pPr>
          </w:p>
          <w:p w14:paraId="47915BB2" w14:textId="77777777" w:rsidR="000A1ABF" w:rsidRPr="005749F1" w:rsidRDefault="000A1ABF" w:rsidP="003A4847">
            <w:pPr>
              <w:pStyle w:val="TableTextEntries"/>
            </w:pPr>
          </w:p>
          <w:p w14:paraId="0C5556C9" w14:textId="4E9DA4AB" w:rsidR="003A4847" w:rsidRPr="005749F1" w:rsidRDefault="00BC7366" w:rsidP="000D733F">
            <w:pPr>
              <w:pStyle w:val="TableTextColumnHeading"/>
              <w:rPr>
                <w:rFonts w:ascii="Franklin Gothic Book" w:hAnsi="Franklin Gothic Book"/>
                <w:b w:val="0"/>
              </w:rPr>
            </w:pPr>
            <w:r w:rsidRPr="005749F1">
              <w:rPr>
                <w:rFonts w:ascii="Franklin Gothic Book" w:hAnsi="Franklin Gothic Book"/>
                <w:b w:val="0"/>
              </w:rPr>
              <w:t>Fiduciary risk increased and continued use of GoN PFM systems brought into question due to l</w:t>
            </w:r>
            <w:r w:rsidR="000A1ABF" w:rsidRPr="005749F1">
              <w:rPr>
                <w:rFonts w:ascii="Franklin Gothic Book" w:hAnsi="Franklin Gothic Book"/>
                <w:b w:val="0"/>
              </w:rPr>
              <w:t xml:space="preserve">oss of advisors </w:t>
            </w:r>
            <w:r w:rsidRPr="005749F1">
              <w:rPr>
                <w:rFonts w:ascii="Franklin Gothic Book" w:hAnsi="Franklin Gothic Book"/>
                <w:b w:val="0"/>
              </w:rPr>
              <w:t xml:space="preserve">and </w:t>
            </w:r>
            <w:r w:rsidR="000A1ABF" w:rsidRPr="005749F1">
              <w:rPr>
                <w:rFonts w:ascii="Franklin Gothic Book" w:hAnsi="Franklin Gothic Book"/>
                <w:b w:val="0"/>
              </w:rPr>
              <w:t>loss of capacity</w:t>
            </w:r>
            <w:r w:rsidRPr="005749F1">
              <w:rPr>
                <w:rFonts w:ascii="Franklin Gothic Book" w:hAnsi="Franklin Gothic Book"/>
                <w:b w:val="0"/>
              </w:rPr>
              <w:t>.</w:t>
            </w:r>
          </w:p>
          <w:p w14:paraId="40EF0B1A" w14:textId="77777777" w:rsidR="00813ED7" w:rsidRPr="005749F1" w:rsidRDefault="00813ED7" w:rsidP="000D733F">
            <w:pPr>
              <w:pStyle w:val="TableTextColumnHeading"/>
              <w:rPr>
                <w:rFonts w:ascii="Franklin Gothic Book" w:hAnsi="Franklin Gothic Book"/>
                <w:b w:val="0"/>
              </w:rPr>
            </w:pPr>
          </w:p>
          <w:p w14:paraId="085D707D" w14:textId="77777777" w:rsidR="00980561" w:rsidRPr="005749F1" w:rsidRDefault="00980561" w:rsidP="000D733F">
            <w:pPr>
              <w:pStyle w:val="TableTextColumnHeading"/>
              <w:rPr>
                <w:rFonts w:ascii="Franklin Gothic Book" w:hAnsi="Franklin Gothic Book"/>
                <w:b w:val="0"/>
              </w:rPr>
            </w:pPr>
          </w:p>
          <w:p w14:paraId="40A1FB0E" w14:textId="77777777" w:rsidR="00813ED7" w:rsidRPr="005749F1" w:rsidRDefault="00813ED7" w:rsidP="00813ED7">
            <w:pPr>
              <w:pStyle w:val="TableTextEntries"/>
            </w:pPr>
            <w:r w:rsidRPr="005749F1">
              <w:t>The cessation of NACOS payments leaves phosphate mining under resourced reducing government dividends and risking job losses in mining and associated industries.</w:t>
            </w:r>
          </w:p>
          <w:p w14:paraId="2D89B31F" w14:textId="77777777" w:rsidR="00813ED7" w:rsidRPr="005749F1" w:rsidRDefault="00813ED7" w:rsidP="000D733F">
            <w:pPr>
              <w:pStyle w:val="TableTextColumnHeading"/>
              <w:rPr>
                <w:rFonts w:ascii="Franklin Gothic Book" w:hAnsi="Franklin Gothic Book"/>
                <w:b w:val="0"/>
              </w:rPr>
            </w:pPr>
          </w:p>
          <w:p w14:paraId="0B18B4BD" w14:textId="77777777" w:rsidR="00980561" w:rsidRPr="005749F1" w:rsidRDefault="00980561" w:rsidP="000D733F">
            <w:pPr>
              <w:pStyle w:val="TableTextColumnHeading"/>
              <w:rPr>
                <w:rFonts w:ascii="Franklin Gothic Book" w:hAnsi="Franklin Gothic Book"/>
                <w:b w:val="0"/>
              </w:rPr>
            </w:pPr>
          </w:p>
          <w:p w14:paraId="4DDA5C59" w14:textId="77777777" w:rsidR="00980561" w:rsidRPr="005749F1" w:rsidRDefault="00980561" w:rsidP="000D733F">
            <w:pPr>
              <w:pStyle w:val="TableTextColumnHeading"/>
              <w:rPr>
                <w:rFonts w:ascii="Franklin Gothic Book" w:hAnsi="Franklin Gothic Book"/>
                <w:b w:val="0"/>
              </w:rPr>
            </w:pPr>
          </w:p>
          <w:p w14:paraId="3331EC54" w14:textId="77777777" w:rsidR="00980561" w:rsidRPr="005749F1" w:rsidRDefault="00980561" w:rsidP="00980561">
            <w:pPr>
              <w:pStyle w:val="TableTextEntries"/>
            </w:pPr>
            <w:r w:rsidRPr="005749F1">
              <w:t>Roll out of the FMIS is unsuccessful and the GoNs capacity to effectively report on and manage PFM  processes declines.</w:t>
            </w:r>
          </w:p>
          <w:p w14:paraId="3402C5AE" w14:textId="579A25AD" w:rsidR="00813ED7" w:rsidRPr="005749F1" w:rsidRDefault="00813ED7" w:rsidP="000D733F">
            <w:pPr>
              <w:pStyle w:val="TableTextColumnHeading"/>
            </w:pPr>
          </w:p>
        </w:tc>
        <w:tc>
          <w:tcPr>
            <w:tcW w:w="2885" w:type="dxa"/>
            <w:tcBorders>
              <w:top w:val="single" w:sz="12" w:space="0" w:color="000000" w:themeColor="text1"/>
              <w:bottom w:val="nil"/>
            </w:tcBorders>
          </w:tcPr>
          <w:p w14:paraId="31137C4A" w14:textId="16F400BF" w:rsidR="003A4847" w:rsidRPr="00776C0B" w:rsidRDefault="000A1ABF" w:rsidP="003A4847">
            <w:pPr>
              <w:pStyle w:val="TableTextEntries"/>
            </w:pPr>
            <w:r>
              <w:t>C</w:t>
            </w:r>
            <w:r w:rsidR="003A4847" w:rsidRPr="00776C0B">
              <w:t>onsultations with the GoN M</w:t>
            </w:r>
            <w:r w:rsidR="003A4847">
              <w:t>oF</w:t>
            </w:r>
            <w:r w:rsidR="003A4847" w:rsidRPr="00776C0B">
              <w:t xml:space="preserve"> at Assistant Secretary level to discuss performance measures and progress and to underscore Australia’s priorities and expectations.</w:t>
            </w:r>
          </w:p>
          <w:p w14:paraId="5393E69E" w14:textId="77777777" w:rsidR="003A4847" w:rsidRPr="00776C0B" w:rsidRDefault="003A4847" w:rsidP="003A4847">
            <w:pPr>
              <w:pStyle w:val="TableTextEntries"/>
            </w:pPr>
          </w:p>
          <w:p w14:paraId="1FA5DEE6" w14:textId="77777777" w:rsidR="004C4970" w:rsidRDefault="004C4970" w:rsidP="004C4970">
            <w:pPr>
              <w:pStyle w:val="TableTextEntries"/>
            </w:pPr>
            <w:r w:rsidRPr="00776C0B">
              <w:t xml:space="preserve">Assessments of Nauru’s economy, the impact of increased revenue and the GoNs approach to managing revenue flows </w:t>
            </w:r>
            <w:r>
              <w:t>were</w:t>
            </w:r>
            <w:r w:rsidRPr="00776C0B">
              <w:t xml:space="preserve"> undertaken twice in 2013-14 by DFAT economists</w:t>
            </w:r>
            <w:r>
              <w:t xml:space="preserve"> and</w:t>
            </w:r>
            <w:r w:rsidRPr="00776C0B">
              <w:t xml:space="preserve"> PFTAC. The assessments informed regular consultations with GoN on economic management.</w:t>
            </w:r>
          </w:p>
          <w:p w14:paraId="29CD6466" w14:textId="77777777" w:rsidR="000A1ABF" w:rsidRPr="00776C0B" w:rsidRDefault="000A1ABF" w:rsidP="004C4970">
            <w:pPr>
              <w:pStyle w:val="TableTextEntries"/>
            </w:pPr>
          </w:p>
          <w:p w14:paraId="6C2F0B76" w14:textId="77777777" w:rsidR="000A1ABF" w:rsidRDefault="000A1ABF" w:rsidP="000A1ABF">
            <w:pPr>
              <w:pStyle w:val="TableTextEntries"/>
            </w:pPr>
            <w:r w:rsidRPr="00776C0B">
              <w:t xml:space="preserve">This has materialised </w:t>
            </w:r>
            <w:r>
              <w:t>in</w:t>
            </w:r>
            <w:r w:rsidRPr="00776C0B">
              <w:t xml:space="preserve"> 2013-14. DFAT has since provided additional new advisors</w:t>
            </w:r>
            <w:r>
              <w:t>. A</w:t>
            </w:r>
            <w:r w:rsidRPr="00776C0B">
              <w:t>lternative approaches are being explored to minimise use of GoN systems.</w:t>
            </w:r>
          </w:p>
          <w:p w14:paraId="41B6D664" w14:textId="77777777" w:rsidR="003A4847" w:rsidRDefault="003A4847" w:rsidP="003A4847">
            <w:pPr>
              <w:pStyle w:val="TableTextColumnHeading"/>
              <w:rPr>
                <w:rFonts w:ascii="Franklin Gothic Book" w:hAnsi="Franklin Gothic Book"/>
                <w:b w:val="0"/>
              </w:rPr>
            </w:pPr>
          </w:p>
          <w:p w14:paraId="1E4B9405" w14:textId="77777777" w:rsidR="00813ED7" w:rsidRDefault="00813ED7" w:rsidP="00813ED7">
            <w:pPr>
              <w:pStyle w:val="TableTextEntries"/>
            </w:pPr>
            <w:r w:rsidRPr="00776C0B">
              <w:t>DFAT facilitated the NRC unrestricted access to funds held in the Rehabilitation and Development Cooperation Agreement Trust Fund to support core mining operations for the next 3-4 years, until a stronger revenue base can be established and operational efficiencies improved.</w:t>
            </w:r>
          </w:p>
          <w:p w14:paraId="4C4B9826" w14:textId="77777777" w:rsidR="00980561" w:rsidRPr="00776C0B" w:rsidRDefault="00980561" w:rsidP="00813ED7">
            <w:pPr>
              <w:pStyle w:val="TableTextEntries"/>
            </w:pPr>
          </w:p>
          <w:p w14:paraId="696680E5" w14:textId="6B67CB67" w:rsidR="00813ED7" w:rsidRPr="003A4847" w:rsidRDefault="00980561" w:rsidP="00980561">
            <w:pPr>
              <w:pStyle w:val="TableTextEntries"/>
              <w:rPr>
                <w:b/>
              </w:rPr>
            </w:pPr>
            <w:r w:rsidRPr="00776C0B">
              <w:t>Minimise provision of grant funding and move toward a greater focus on managing contractor</w:t>
            </w:r>
            <w:r>
              <w:t>s</w:t>
            </w:r>
            <w:r w:rsidRPr="00776C0B">
              <w:t xml:space="preserve">  and use of other institutions such as the ADB and PFTAC</w:t>
            </w:r>
            <w:r w:rsidR="00744FFF">
              <w:t>.</w:t>
            </w:r>
          </w:p>
        </w:tc>
        <w:tc>
          <w:tcPr>
            <w:tcW w:w="3363" w:type="dxa"/>
            <w:tcBorders>
              <w:top w:val="single" w:sz="12" w:space="0" w:color="000000" w:themeColor="text1"/>
              <w:bottom w:val="nil"/>
            </w:tcBorders>
          </w:tcPr>
          <w:p w14:paraId="5E80BB44" w14:textId="0DE0A49F" w:rsidR="003A4847" w:rsidRPr="00776C0B" w:rsidRDefault="003A4847" w:rsidP="003A4847">
            <w:pPr>
              <w:pStyle w:val="TableTextEntries"/>
            </w:pPr>
            <w:r w:rsidRPr="00776C0B">
              <w:t>Assistant Secretary, High Commissioner and GoN departmental secretar</w:t>
            </w:r>
            <w:r w:rsidR="0038579B">
              <w:t>y</w:t>
            </w:r>
            <w:r>
              <w:t xml:space="preserve"> level</w:t>
            </w:r>
            <w:r w:rsidRPr="00776C0B">
              <w:t xml:space="preserve"> dialogue is maintained to ensure attention and commitment to development activities and the reform agenda.</w:t>
            </w:r>
          </w:p>
          <w:p w14:paraId="0B9CFE7E" w14:textId="77777777" w:rsidR="003A4847" w:rsidRDefault="003A4847" w:rsidP="003A4847">
            <w:pPr>
              <w:pStyle w:val="TableTextEntries"/>
            </w:pPr>
          </w:p>
          <w:p w14:paraId="20DBD2A2" w14:textId="77777777" w:rsidR="003A4847" w:rsidRPr="00776C0B" w:rsidRDefault="003A4847" w:rsidP="003A4847">
            <w:pPr>
              <w:pStyle w:val="TableTextEntries"/>
            </w:pPr>
          </w:p>
          <w:p w14:paraId="2C2C66CC" w14:textId="37E771A6" w:rsidR="003A4847" w:rsidRPr="00776C0B" w:rsidRDefault="003A4847" w:rsidP="003A4847">
            <w:pPr>
              <w:pStyle w:val="TableTextEntries"/>
            </w:pPr>
            <w:r w:rsidRPr="00776C0B">
              <w:t>As above</w:t>
            </w:r>
            <w:r w:rsidR="00744FFF">
              <w:t>.</w:t>
            </w:r>
          </w:p>
          <w:p w14:paraId="62CC6168" w14:textId="77777777" w:rsidR="000A1ABF" w:rsidRDefault="000A1ABF" w:rsidP="000A1ABF">
            <w:pPr>
              <w:pStyle w:val="TableTextEntries"/>
            </w:pPr>
          </w:p>
          <w:p w14:paraId="55C1AB0C" w14:textId="77777777" w:rsidR="000A1ABF" w:rsidRDefault="000A1ABF" w:rsidP="000A1ABF">
            <w:pPr>
              <w:pStyle w:val="TableTextEntries"/>
            </w:pPr>
          </w:p>
          <w:p w14:paraId="0130C904" w14:textId="77777777" w:rsidR="000A1ABF" w:rsidRDefault="000A1ABF" w:rsidP="000A1ABF">
            <w:pPr>
              <w:pStyle w:val="TableTextEntries"/>
            </w:pPr>
          </w:p>
          <w:p w14:paraId="479C3E73" w14:textId="77777777" w:rsidR="000A1ABF" w:rsidRDefault="000A1ABF" w:rsidP="000A1ABF">
            <w:pPr>
              <w:pStyle w:val="TableTextEntries"/>
            </w:pPr>
          </w:p>
          <w:p w14:paraId="5014A1C1" w14:textId="77777777" w:rsidR="000A1ABF" w:rsidRDefault="000A1ABF" w:rsidP="000A1ABF">
            <w:pPr>
              <w:pStyle w:val="TableTextEntries"/>
            </w:pPr>
          </w:p>
          <w:p w14:paraId="428E49FF" w14:textId="77777777" w:rsidR="000A1ABF" w:rsidRDefault="000A1ABF" w:rsidP="000A1ABF">
            <w:pPr>
              <w:pStyle w:val="TableTextEntries"/>
            </w:pPr>
          </w:p>
          <w:p w14:paraId="4230BCEB" w14:textId="77777777" w:rsidR="000A1ABF" w:rsidRPr="00776C0B" w:rsidRDefault="000A1ABF" w:rsidP="000A1ABF">
            <w:pPr>
              <w:pStyle w:val="TableTextEntries"/>
            </w:pPr>
            <w:r w:rsidRPr="00776C0B">
              <w:t>Explore and implement alternative delivery models for Australian aid focussing multilateral organisations, managing contractors and technical assistance.</w:t>
            </w:r>
          </w:p>
          <w:p w14:paraId="3B03B2C5" w14:textId="77777777" w:rsidR="003A4847" w:rsidRDefault="003A4847" w:rsidP="000D733F">
            <w:pPr>
              <w:pStyle w:val="TableTextColumnHeading"/>
            </w:pPr>
          </w:p>
          <w:p w14:paraId="20B25A8D" w14:textId="2259D5B2" w:rsidR="00980561" w:rsidRPr="00776C0B" w:rsidRDefault="00980561" w:rsidP="00980561">
            <w:pPr>
              <w:pStyle w:val="TableTextEntries"/>
            </w:pPr>
            <w:r w:rsidRPr="00776C0B">
              <w:t>No further action required</w:t>
            </w:r>
            <w:r w:rsidR="00744FFF">
              <w:t>.</w:t>
            </w:r>
          </w:p>
          <w:p w14:paraId="4C8E252B" w14:textId="77777777" w:rsidR="00980561" w:rsidRPr="00980561" w:rsidRDefault="00980561" w:rsidP="000D733F">
            <w:pPr>
              <w:pStyle w:val="TableTextColumnHeading"/>
              <w:rPr>
                <w:rFonts w:ascii="Franklin Gothic Book" w:hAnsi="Franklin Gothic Book"/>
                <w:b w:val="0"/>
              </w:rPr>
            </w:pPr>
          </w:p>
          <w:p w14:paraId="0434BCC4" w14:textId="77777777" w:rsidR="00980561" w:rsidRPr="00980561" w:rsidRDefault="00980561" w:rsidP="000D733F">
            <w:pPr>
              <w:pStyle w:val="TableTextColumnHeading"/>
              <w:rPr>
                <w:rFonts w:ascii="Franklin Gothic Book" w:hAnsi="Franklin Gothic Book"/>
                <w:b w:val="0"/>
              </w:rPr>
            </w:pPr>
          </w:p>
          <w:p w14:paraId="763A4C05" w14:textId="77777777" w:rsidR="00980561" w:rsidRPr="00980561" w:rsidRDefault="00980561" w:rsidP="000D733F">
            <w:pPr>
              <w:pStyle w:val="TableTextColumnHeading"/>
              <w:rPr>
                <w:rFonts w:ascii="Franklin Gothic Book" w:hAnsi="Franklin Gothic Book"/>
                <w:b w:val="0"/>
              </w:rPr>
            </w:pPr>
          </w:p>
          <w:p w14:paraId="35834B16" w14:textId="77777777" w:rsidR="00980561" w:rsidRPr="00980561" w:rsidRDefault="00980561" w:rsidP="000D733F">
            <w:pPr>
              <w:pStyle w:val="TableTextColumnHeading"/>
              <w:rPr>
                <w:rFonts w:ascii="Franklin Gothic Book" w:hAnsi="Franklin Gothic Book"/>
                <w:b w:val="0"/>
              </w:rPr>
            </w:pPr>
          </w:p>
          <w:p w14:paraId="4D15AA2F" w14:textId="77777777" w:rsidR="00980561" w:rsidRPr="00980561" w:rsidRDefault="00980561" w:rsidP="000D733F">
            <w:pPr>
              <w:pStyle w:val="TableTextColumnHeading"/>
              <w:rPr>
                <w:rFonts w:ascii="Franklin Gothic Book" w:hAnsi="Franklin Gothic Book"/>
                <w:b w:val="0"/>
              </w:rPr>
            </w:pPr>
          </w:p>
          <w:p w14:paraId="532E9D79" w14:textId="77777777" w:rsidR="00980561" w:rsidRPr="00980561" w:rsidRDefault="00980561" w:rsidP="000D733F">
            <w:pPr>
              <w:pStyle w:val="TableTextColumnHeading"/>
              <w:rPr>
                <w:rFonts w:ascii="Franklin Gothic Book" w:hAnsi="Franklin Gothic Book"/>
                <w:b w:val="0"/>
              </w:rPr>
            </w:pPr>
          </w:p>
          <w:p w14:paraId="08E45ACB" w14:textId="77777777" w:rsidR="00980561" w:rsidRPr="00980561" w:rsidRDefault="00980561" w:rsidP="000D733F">
            <w:pPr>
              <w:pStyle w:val="TableTextColumnHeading"/>
              <w:rPr>
                <w:rFonts w:ascii="Franklin Gothic Book" w:hAnsi="Franklin Gothic Book"/>
                <w:b w:val="0"/>
              </w:rPr>
            </w:pPr>
          </w:p>
          <w:p w14:paraId="3B7BE262" w14:textId="77777777" w:rsidR="00980561" w:rsidRDefault="00980561" w:rsidP="00980561">
            <w:pPr>
              <w:pStyle w:val="TableTextEntries"/>
            </w:pPr>
            <w:r w:rsidRPr="00776C0B">
              <w:t xml:space="preserve">DFAT will consider providing funds directly to the </w:t>
            </w:r>
            <w:r>
              <w:t>IPA</w:t>
            </w:r>
            <w:r w:rsidRPr="00776C0B">
              <w:t xml:space="preserve"> for procurements using Australian aid funding.</w:t>
            </w:r>
          </w:p>
          <w:p w14:paraId="1C6BC57C" w14:textId="77777777" w:rsidR="00980561" w:rsidRPr="005023D9" w:rsidRDefault="00980561" w:rsidP="000D733F">
            <w:pPr>
              <w:pStyle w:val="TableTextColumnHeading"/>
            </w:pPr>
          </w:p>
        </w:tc>
      </w:tr>
      <w:tr w:rsidR="00E66CB3" w:rsidRPr="00180B19" w14:paraId="6B7AF399" w14:textId="77777777" w:rsidTr="00E66CB3">
        <w:tc>
          <w:tcPr>
            <w:tcW w:w="2894" w:type="dxa"/>
            <w:tcBorders>
              <w:top w:val="nil"/>
              <w:bottom w:val="single" w:sz="12" w:space="0" w:color="000000" w:themeColor="text1"/>
            </w:tcBorders>
          </w:tcPr>
          <w:p w14:paraId="4300A051" w14:textId="1CA9094D" w:rsidR="00E66CB3" w:rsidRPr="00776C0B" w:rsidRDefault="00E66CB3" w:rsidP="00214A72">
            <w:pPr>
              <w:pStyle w:val="TableTextEntries"/>
            </w:pPr>
            <w:r>
              <w:lastRenderedPageBreak/>
              <w:t>T</w:t>
            </w:r>
            <w:r w:rsidRPr="00776C0B">
              <w:t>he new independent procurement agent (IPA) is not effectively and exclusively utilised by GoN or SOEs.</w:t>
            </w:r>
          </w:p>
          <w:p w14:paraId="0A1310FB" w14:textId="77777777" w:rsidR="00E66CB3" w:rsidRPr="00776C0B" w:rsidRDefault="00E66CB3" w:rsidP="00214A72">
            <w:pPr>
              <w:pStyle w:val="TableTextEntries"/>
            </w:pPr>
          </w:p>
          <w:p w14:paraId="187F2096" w14:textId="77777777" w:rsidR="00E66CB3" w:rsidRDefault="00E66CB3" w:rsidP="00214A72">
            <w:pPr>
              <w:pStyle w:val="TableTextEntries"/>
            </w:pPr>
          </w:p>
          <w:p w14:paraId="762B96B2" w14:textId="77777777" w:rsidR="00E66CB3" w:rsidRDefault="00E66CB3" w:rsidP="00214A72">
            <w:pPr>
              <w:pStyle w:val="TableTextEntries"/>
            </w:pPr>
          </w:p>
          <w:p w14:paraId="3A810A8E" w14:textId="77777777" w:rsidR="00E66CB3" w:rsidRDefault="00E66CB3" w:rsidP="00214A72">
            <w:pPr>
              <w:pStyle w:val="TableTextEntries"/>
            </w:pPr>
          </w:p>
          <w:p w14:paraId="625C9A2A" w14:textId="75B8A2B9" w:rsidR="00E66CB3" w:rsidRPr="005023D9" w:rsidRDefault="00BC7366" w:rsidP="00BC7366">
            <w:pPr>
              <w:pStyle w:val="TableTextEntries"/>
            </w:pPr>
            <w:r w:rsidRPr="005749F1">
              <w:t>Fiduciary risk increased due to slow expenditure of aid funding resulting from l</w:t>
            </w:r>
            <w:r w:rsidR="00E66CB3" w:rsidRPr="005749F1">
              <w:t xml:space="preserve">imited capacity in Nauruan public service </w:t>
            </w:r>
            <w:r w:rsidRPr="005749F1">
              <w:t>(r</w:t>
            </w:r>
            <w:r w:rsidR="00E66CB3" w:rsidRPr="005749F1">
              <w:t>educed numbers or low skill level</w:t>
            </w:r>
            <w:r w:rsidRPr="005749F1">
              <w:t>)</w:t>
            </w:r>
          </w:p>
        </w:tc>
        <w:tc>
          <w:tcPr>
            <w:tcW w:w="2885" w:type="dxa"/>
            <w:tcBorders>
              <w:top w:val="nil"/>
              <w:bottom w:val="single" w:sz="12" w:space="0" w:color="000000" w:themeColor="text1"/>
            </w:tcBorders>
          </w:tcPr>
          <w:p w14:paraId="39F7313A" w14:textId="77777777" w:rsidR="00E66CB3" w:rsidRPr="00776C0B" w:rsidRDefault="00E66CB3" w:rsidP="003A4847">
            <w:pPr>
              <w:pStyle w:val="TableTextEntries"/>
            </w:pPr>
            <w:r w:rsidRPr="00776C0B">
              <w:t xml:space="preserve">Formalised a requirement that all DFAT funded procurements must be managed by the IPA and have closely monitored use of the IPA by GoN and SOEs. Audit of the Operational Account also reviewed use of the IPA. </w:t>
            </w:r>
          </w:p>
          <w:p w14:paraId="4347C77E" w14:textId="77777777" w:rsidR="00E66CB3" w:rsidRPr="00776C0B" w:rsidRDefault="00E66CB3" w:rsidP="003A4847">
            <w:pPr>
              <w:pStyle w:val="TableTextEntries"/>
            </w:pPr>
          </w:p>
          <w:p w14:paraId="15931FF1" w14:textId="156D713D" w:rsidR="00E66CB3" w:rsidRPr="005023D9" w:rsidRDefault="00E66CB3" w:rsidP="003A4847">
            <w:pPr>
              <w:pStyle w:val="TableTextEntries"/>
            </w:pPr>
            <w:r w:rsidRPr="00776C0B">
              <w:t>A significant amount of funding was deferred to 2014-15. Continued support for the education sector and scholarships to increase the skill level</w:t>
            </w:r>
            <w:r w:rsidR="00744FFF">
              <w:t>.</w:t>
            </w:r>
          </w:p>
        </w:tc>
        <w:tc>
          <w:tcPr>
            <w:tcW w:w="3363" w:type="dxa"/>
            <w:tcBorders>
              <w:top w:val="nil"/>
              <w:bottom w:val="single" w:sz="12" w:space="0" w:color="000000" w:themeColor="text1"/>
            </w:tcBorders>
          </w:tcPr>
          <w:p w14:paraId="18EE47F8" w14:textId="77777777" w:rsidR="00E66CB3" w:rsidRPr="00776C0B" w:rsidRDefault="00E66CB3" w:rsidP="00214A72">
            <w:pPr>
              <w:pStyle w:val="TableTextEntries"/>
            </w:pPr>
            <w:r w:rsidRPr="00776C0B">
              <w:t xml:space="preserve">Assist GoN in undertaking a review of the IPA and attach significant PLA funding to exclusive use of the IPA. </w:t>
            </w:r>
          </w:p>
          <w:p w14:paraId="78FFCCCA" w14:textId="77777777" w:rsidR="00E66CB3" w:rsidRDefault="00E66CB3" w:rsidP="00214A72">
            <w:pPr>
              <w:pStyle w:val="TableTextEntries"/>
            </w:pPr>
          </w:p>
          <w:p w14:paraId="0F8EF84B" w14:textId="77777777" w:rsidR="00D64E5A" w:rsidRPr="00776C0B" w:rsidRDefault="00D64E5A" w:rsidP="00214A72">
            <w:pPr>
              <w:pStyle w:val="TableTextEntries"/>
            </w:pPr>
          </w:p>
          <w:p w14:paraId="74222DF2" w14:textId="77777777" w:rsidR="00E66CB3" w:rsidRDefault="00E66CB3" w:rsidP="00214A72">
            <w:pPr>
              <w:pStyle w:val="TableTextEntries"/>
            </w:pPr>
          </w:p>
          <w:p w14:paraId="5E499BB1" w14:textId="77777777" w:rsidR="00E66CB3" w:rsidRDefault="00E66CB3" w:rsidP="00214A72">
            <w:pPr>
              <w:pStyle w:val="TableTextEntries"/>
            </w:pPr>
          </w:p>
          <w:p w14:paraId="56C83381" w14:textId="07F32209" w:rsidR="00E66CB3" w:rsidRDefault="00E66CB3" w:rsidP="00214A72">
            <w:pPr>
              <w:pStyle w:val="TableTextEntries"/>
            </w:pPr>
            <w:r w:rsidRPr="00776C0B">
              <w:t>Consider reducing the number of sectors supported through the aid program. In addition, explore and implement alternative delivery models for Australian aid</w:t>
            </w:r>
            <w:r w:rsidR="00744FFF">
              <w:t>.</w:t>
            </w:r>
          </w:p>
          <w:p w14:paraId="483D1C7E" w14:textId="77777777" w:rsidR="00E66CB3" w:rsidRPr="005023D9" w:rsidRDefault="00E66CB3" w:rsidP="00CD60F6">
            <w:pPr>
              <w:pStyle w:val="TableTextEntries"/>
            </w:pPr>
          </w:p>
        </w:tc>
      </w:tr>
    </w:tbl>
    <w:p w14:paraId="312246F0" w14:textId="77777777" w:rsidR="000D733F" w:rsidRPr="003275D0" w:rsidRDefault="000D733F" w:rsidP="000D733F">
      <w:pPr>
        <w:pStyle w:val="Heading3"/>
        <w:rPr>
          <w:rStyle w:val="BodyTextChar"/>
          <w:b w:val="0"/>
          <w:color w:val="auto"/>
        </w:rPr>
      </w:pPr>
      <w:r w:rsidRPr="009E38C1">
        <w:rPr>
          <w:b w:val="0"/>
          <w:color w:val="007FAD"/>
          <w:sz w:val="32"/>
          <w:szCs w:val="32"/>
          <w:lang w:eastAsia="en-AU"/>
        </w:rPr>
        <w:t xml:space="preserve">Management </w:t>
      </w:r>
      <w:r w:rsidR="00805ADD" w:rsidRPr="009E38C1">
        <w:rPr>
          <w:b w:val="0"/>
          <w:color w:val="007FAD"/>
          <w:sz w:val="32"/>
          <w:szCs w:val="32"/>
          <w:lang w:eastAsia="en-AU"/>
        </w:rPr>
        <w:t>Responses</w:t>
      </w:r>
      <w:r w:rsidRPr="009E38C1">
        <w:rPr>
          <w:b w:val="0"/>
          <w:color w:val="007FAD"/>
          <w:sz w:val="32"/>
          <w:szCs w:val="32"/>
          <w:lang w:eastAsia="en-AU"/>
        </w:rPr>
        <w:tab/>
      </w:r>
      <w:r>
        <w:rPr>
          <w:sz w:val="32"/>
          <w:szCs w:val="32"/>
        </w:rPr>
        <w:tab/>
      </w:r>
    </w:p>
    <w:p w14:paraId="0B083C2F" w14:textId="72A44E39" w:rsidR="008548B9" w:rsidRDefault="0091489D" w:rsidP="000D733F">
      <w:pPr>
        <w:pStyle w:val="ListBullet"/>
        <w:tabs>
          <w:tab w:val="clear" w:pos="284"/>
        </w:tabs>
      </w:pPr>
      <w:r>
        <w:t>Pursue alternative delivery method</w:t>
      </w:r>
      <w:r w:rsidR="00744FFF">
        <w:t>s</w:t>
      </w:r>
      <w:r>
        <w:t xml:space="preserve"> and minimise use of </w:t>
      </w:r>
      <w:r w:rsidR="00D92F8C">
        <w:t>Government of Nauru</w:t>
      </w:r>
      <w:r>
        <w:t xml:space="preserve"> PFM systems</w:t>
      </w:r>
      <w:r w:rsidR="008548B9">
        <w:t xml:space="preserve">. Continued use of </w:t>
      </w:r>
      <w:r w:rsidR="00D92F8C">
        <w:t xml:space="preserve">Government </w:t>
      </w:r>
      <w:r w:rsidR="008548B9">
        <w:t xml:space="preserve">systems is placing additional administrative and reporting burden on </w:t>
      </w:r>
      <w:r w:rsidR="000115F4">
        <w:t>all ministries</w:t>
      </w:r>
      <w:r w:rsidR="008548B9">
        <w:t xml:space="preserve"> which </w:t>
      </w:r>
      <w:r w:rsidR="000115F4">
        <w:t>are</w:t>
      </w:r>
      <w:r w:rsidR="008548B9">
        <w:t xml:space="preserve"> already </w:t>
      </w:r>
      <w:r w:rsidR="00773352">
        <w:t>challenged</w:t>
      </w:r>
      <w:r w:rsidR="008548B9">
        <w:t xml:space="preserve"> to meet the demands of day to day operations. Alternative delivery methods such as use of managing contractors</w:t>
      </w:r>
      <w:r w:rsidR="00FD2A72">
        <w:t>,</w:t>
      </w:r>
      <w:r w:rsidR="008548B9">
        <w:t xml:space="preserve"> regional organisations and </w:t>
      </w:r>
      <w:r w:rsidR="001F14ED">
        <w:t>multilateral development banks</w:t>
      </w:r>
      <w:r w:rsidR="008548B9">
        <w:t xml:space="preserve"> should be explored.</w:t>
      </w:r>
    </w:p>
    <w:p w14:paraId="55F98621" w14:textId="1C1CF21E" w:rsidR="000115F4" w:rsidRDefault="00744FFF" w:rsidP="000D733F">
      <w:pPr>
        <w:pStyle w:val="ListBullet"/>
        <w:tabs>
          <w:tab w:val="clear" w:pos="284"/>
        </w:tabs>
      </w:pPr>
      <w:r>
        <w:t>Consolidate investments and</w:t>
      </w:r>
      <w:r w:rsidR="000115F4">
        <w:t xml:space="preserve"> focus resources and increase effectiveness and efficiency of flagship sectors such as health</w:t>
      </w:r>
      <w:r w:rsidR="00773352">
        <w:t xml:space="preserve"> and</w:t>
      </w:r>
      <w:r w:rsidR="000115F4">
        <w:t xml:space="preserve"> education.</w:t>
      </w:r>
    </w:p>
    <w:p w14:paraId="609B7C86" w14:textId="717E2D4C" w:rsidR="0091489D" w:rsidRDefault="0091489D" w:rsidP="000D733F">
      <w:pPr>
        <w:pStyle w:val="ListBullet"/>
        <w:tabs>
          <w:tab w:val="clear" w:pos="284"/>
        </w:tabs>
      </w:pPr>
      <w:r>
        <w:t xml:space="preserve">Enter into a procurement </w:t>
      </w:r>
      <w:r w:rsidR="001F14ED">
        <w:t>contract</w:t>
      </w:r>
      <w:r>
        <w:t xml:space="preserve"> with </w:t>
      </w:r>
      <w:r w:rsidR="001F14ED">
        <w:t xml:space="preserve">Nauru’s </w:t>
      </w:r>
      <w:r w:rsidR="00FD2A72">
        <w:t>IPA</w:t>
      </w:r>
      <w:r w:rsidR="008548B9">
        <w:t xml:space="preserve"> </w:t>
      </w:r>
      <w:r w:rsidR="001F14ED">
        <w:t xml:space="preserve">(or alternative procurement provider) </w:t>
      </w:r>
      <w:r w:rsidR="008548B9">
        <w:t xml:space="preserve">to </w:t>
      </w:r>
      <w:r w:rsidR="00773352">
        <w:t>give donors</w:t>
      </w:r>
      <w:r w:rsidR="000115F4">
        <w:t xml:space="preserve"> greater </w:t>
      </w:r>
      <w:r w:rsidR="00773352">
        <w:t>oversight of</w:t>
      </w:r>
      <w:r w:rsidR="000115F4">
        <w:t xml:space="preserve"> </w:t>
      </w:r>
      <w:r w:rsidR="008548B9">
        <w:t>procurements</w:t>
      </w:r>
      <w:r w:rsidR="00D352CD">
        <w:t>. This will assist</w:t>
      </w:r>
      <w:r w:rsidR="008548B9">
        <w:t xml:space="preserve"> to further minimise administrative complexities for the </w:t>
      </w:r>
      <w:r w:rsidR="00F94E1B">
        <w:t>MoF</w:t>
      </w:r>
      <w:r w:rsidR="00D352CD">
        <w:t xml:space="preserve"> and other ministries</w:t>
      </w:r>
      <w:r w:rsidR="00DF26D3">
        <w:t>, and reduce the level of grant funding.</w:t>
      </w:r>
    </w:p>
    <w:p w14:paraId="48050708" w14:textId="72EC1D46" w:rsidR="0091489D" w:rsidRDefault="0091489D" w:rsidP="000D733F">
      <w:pPr>
        <w:pStyle w:val="ListBullet"/>
        <w:tabs>
          <w:tab w:val="clear" w:pos="284"/>
        </w:tabs>
      </w:pPr>
      <w:r>
        <w:t>D</w:t>
      </w:r>
      <w:r w:rsidR="00D352CD">
        <w:t xml:space="preserve">uring negotiation of the next phase of </w:t>
      </w:r>
      <w:r w:rsidR="00673050">
        <w:t xml:space="preserve">Australia’s development assistance, </w:t>
      </w:r>
      <w:r w:rsidR="00D352CD">
        <w:t>strategies</w:t>
      </w:r>
      <w:r>
        <w:t xml:space="preserve"> for </w:t>
      </w:r>
      <w:r w:rsidR="00D352CD">
        <w:t xml:space="preserve">the health and education sectors should </w:t>
      </w:r>
      <w:r>
        <w:t xml:space="preserve">implement the recommendations of </w:t>
      </w:r>
      <w:r w:rsidR="00D352CD">
        <w:t>all recent reviews</w:t>
      </w:r>
      <w:r w:rsidR="00773352">
        <w:t>, where appropriate, resources permit and the Nauru Government agrees</w:t>
      </w:r>
      <w:r w:rsidR="00B94C5E">
        <w:t>.</w:t>
      </w:r>
    </w:p>
    <w:p w14:paraId="03EB9C65" w14:textId="3CE2919D" w:rsidR="0091489D" w:rsidRDefault="00D352CD" w:rsidP="000D733F">
      <w:pPr>
        <w:pStyle w:val="ListBullet"/>
        <w:tabs>
          <w:tab w:val="clear" w:pos="284"/>
        </w:tabs>
      </w:pPr>
      <w:r>
        <w:t>Continue to p</w:t>
      </w:r>
      <w:r w:rsidR="0091489D">
        <w:t xml:space="preserve">rovide technical assistance to implement the recommendations of the audit of the </w:t>
      </w:r>
      <w:r w:rsidR="00FD2A72">
        <w:t>Operational A</w:t>
      </w:r>
      <w:r w:rsidR="0091489D">
        <w:t>ccount.</w:t>
      </w:r>
    </w:p>
    <w:p w14:paraId="00DB840B" w14:textId="1D8120DF" w:rsidR="0055754D" w:rsidRDefault="0055754D" w:rsidP="000D733F">
      <w:pPr>
        <w:pStyle w:val="ListBullet"/>
        <w:tabs>
          <w:tab w:val="clear" w:pos="284"/>
        </w:tabs>
      </w:pPr>
      <w:r>
        <w:t xml:space="preserve">Engage with </w:t>
      </w:r>
      <w:r w:rsidR="00773352">
        <w:t>Australian</w:t>
      </w:r>
      <w:r>
        <w:t xml:space="preserve"> gender advisors to better embed gender </w:t>
      </w:r>
      <w:r w:rsidR="00744FFF">
        <w:t xml:space="preserve">considerations </w:t>
      </w:r>
      <w:r>
        <w:t xml:space="preserve">into </w:t>
      </w:r>
      <w:r w:rsidR="00B94C5E">
        <w:t>investments</w:t>
      </w:r>
      <w:r w:rsidR="00FD2A72">
        <w:t>.</w:t>
      </w:r>
    </w:p>
    <w:p w14:paraId="00655A10" w14:textId="7665A2D3" w:rsidR="00CC4090" w:rsidRDefault="00CC4090" w:rsidP="000D733F">
      <w:pPr>
        <w:pStyle w:val="ListBullet"/>
        <w:tabs>
          <w:tab w:val="clear" w:pos="284"/>
        </w:tabs>
      </w:pPr>
      <w:r>
        <w:t xml:space="preserve">Work closely with DIBP and other Australian government partners to </w:t>
      </w:r>
      <w:r w:rsidR="00773352">
        <w:t>manage</w:t>
      </w:r>
      <w:r>
        <w:t xml:space="preserve"> pressures on the Nauruan system</w:t>
      </w:r>
      <w:r w:rsidR="00773352">
        <w:t>,</w:t>
      </w:r>
      <w:r>
        <w:t xml:space="preserve"> develop</w:t>
      </w:r>
      <w:r w:rsidR="00773352">
        <w:t xml:space="preserve"> whole-of-government</w:t>
      </w:r>
      <w:r>
        <w:t xml:space="preserve"> strategies </w:t>
      </w:r>
      <w:r w:rsidR="005749F1">
        <w:t>for</w:t>
      </w:r>
      <w:r>
        <w:t xml:space="preserve"> funding requirements</w:t>
      </w:r>
      <w:r w:rsidR="00773352">
        <w:t xml:space="preserve"> </w:t>
      </w:r>
      <w:r w:rsidR="004A705E">
        <w:t>on</w:t>
      </w:r>
      <w:r w:rsidR="005749F1">
        <w:t xml:space="preserve"> agreed priority needs.</w:t>
      </w:r>
    </w:p>
    <w:p w14:paraId="41B25B34" w14:textId="2657D94D" w:rsidR="00773352" w:rsidRDefault="00773352" w:rsidP="000D733F">
      <w:pPr>
        <w:pStyle w:val="ListBullet"/>
        <w:tabs>
          <w:tab w:val="clear" w:pos="284"/>
        </w:tabs>
      </w:pPr>
      <w:r>
        <w:t>Sympathetically consider further deployments of PACTAM advisors as requested by Nauru and explore the deployment of Australian volunteers to assist Nauru at the working level in infrastructure and utilities.</w:t>
      </w:r>
    </w:p>
    <w:p w14:paraId="4B3CD6E7" w14:textId="1338366B" w:rsidR="0091489D" w:rsidRDefault="0091489D" w:rsidP="000D733F">
      <w:pPr>
        <w:pStyle w:val="ListBullet"/>
        <w:tabs>
          <w:tab w:val="clear" w:pos="284"/>
        </w:tabs>
      </w:pPr>
      <w:r>
        <w:t>Cease budget support for day to day operational expenses</w:t>
      </w:r>
      <w:r w:rsidR="008548B9">
        <w:t xml:space="preserve"> in the utilities sector </w:t>
      </w:r>
      <w:r>
        <w:t>and focus funding on major infrastructure developments such as the hospital reconstruction</w:t>
      </w:r>
      <w:r w:rsidR="00CC4090">
        <w:t>, education facilities and other essential infrastructure</w:t>
      </w:r>
      <w:r>
        <w:t>.</w:t>
      </w:r>
    </w:p>
    <w:p w14:paraId="2F37110F" w14:textId="4C90350F" w:rsidR="00CC4090" w:rsidRDefault="00CC4090" w:rsidP="00D86CC3">
      <w:pPr>
        <w:pStyle w:val="ListBullet"/>
        <w:tabs>
          <w:tab w:val="clear" w:pos="284"/>
        </w:tabs>
      </w:pPr>
      <w:r>
        <w:t>Continue to use the PMAG model with modifications to make it more effective and efficient.</w:t>
      </w:r>
    </w:p>
    <w:p w14:paraId="6E96447D" w14:textId="77777777" w:rsidR="000D733F" w:rsidRDefault="000D733F" w:rsidP="000D733F">
      <w:pPr>
        <w:pStyle w:val="ListBullet"/>
        <w:numPr>
          <w:ilvl w:val="0"/>
          <w:numId w:val="0"/>
        </w:numPr>
        <w:ind w:left="360" w:hanging="360"/>
        <w:rPr>
          <w:rFonts w:ascii="Helvetica" w:hAnsi="Helvetica" w:cs="Arial"/>
          <w:color w:val="124486"/>
          <w:spacing w:val="-10"/>
          <w:kern w:val="28"/>
          <w:sz w:val="32"/>
          <w:szCs w:val="32"/>
        </w:rPr>
        <w:sectPr w:rsidR="000D733F" w:rsidSect="003A4847">
          <w:headerReference w:type="default" r:id="rId16"/>
          <w:type w:val="continuous"/>
          <w:pgSz w:w="11907" w:h="16840" w:code="9"/>
          <w:pgMar w:top="2381" w:right="1701" w:bottom="907" w:left="1701" w:header="850" w:footer="567" w:gutter="0"/>
          <w:pgNumType w:start="1"/>
          <w:cols w:space="720"/>
          <w:docGrid w:linePitch="326"/>
        </w:sectPr>
      </w:pPr>
    </w:p>
    <w:p w14:paraId="15CE59A9" w14:textId="77777777" w:rsidR="000D733F" w:rsidRPr="009E38C1" w:rsidRDefault="000D733F" w:rsidP="000D733F">
      <w:pPr>
        <w:pStyle w:val="Heading2"/>
        <w:rPr>
          <w:sz w:val="28"/>
        </w:rPr>
      </w:pPr>
      <w:r w:rsidRPr="009E38C1">
        <w:rPr>
          <w:sz w:val="28"/>
        </w:rPr>
        <w:lastRenderedPageBreak/>
        <w:t xml:space="preserve">Annex A </w:t>
      </w:r>
    </w:p>
    <w:p w14:paraId="2852719A" w14:textId="77777777" w:rsidR="000D733F" w:rsidRPr="009E38C1" w:rsidRDefault="000D733F" w:rsidP="000D733F">
      <w:pPr>
        <w:pStyle w:val="Heading2"/>
        <w:rPr>
          <w:sz w:val="28"/>
        </w:rPr>
      </w:pPr>
      <w:r w:rsidRPr="009E38C1">
        <w:rPr>
          <w:sz w:val="28"/>
        </w:rPr>
        <w:t xml:space="preserve">Progress in addressing 2012-13 management </w:t>
      </w:r>
      <w:r w:rsidR="00805ADD" w:rsidRPr="009E38C1">
        <w:rPr>
          <w:sz w:val="28"/>
        </w:rPr>
        <w:t>responses</w:t>
      </w:r>
    </w:p>
    <w:tbl>
      <w:tblPr>
        <w:tblStyle w:val="APPR"/>
        <w:tblpPr w:leftFromText="180" w:rightFromText="180" w:vertAnchor="text" w:tblpY="1"/>
        <w:tblW w:w="5000" w:type="pct"/>
        <w:tblLayout w:type="fixed"/>
        <w:tblLook w:val="0000" w:firstRow="0" w:lastRow="0" w:firstColumn="0" w:lastColumn="0" w:noHBand="0" w:noVBand="0"/>
      </w:tblPr>
      <w:tblGrid>
        <w:gridCol w:w="6515"/>
        <w:gridCol w:w="992"/>
        <w:gridCol w:w="6938"/>
      </w:tblGrid>
      <w:tr w:rsidR="000D733F" w:rsidRPr="00180B19" w14:paraId="041EE1A4" w14:textId="77777777" w:rsidTr="000D733F">
        <w:trPr>
          <w:cnfStyle w:val="000000010000" w:firstRow="0" w:lastRow="0" w:firstColumn="0" w:lastColumn="0" w:oddVBand="0" w:evenVBand="0" w:oddHBand="0" w:evenHBand="1" w:firstRowFirstColumn="0" w:firstRowLastColumn="0" w:lastRowFirstColumn="0" w:lastRowLastColumn="0"/>
        </w:trPr>
        <w:tc>
          <w:tcPr>
            <w:tcW w:w="6473" w:type="dxa"/>
          </w:tcPr>
          <w:p w14:paraId="7DDCE62D" w14:textId="77777777" w:rsidR="000D733F" w:rsidRPr="00180B19" w:rsidRDefault="000D733F" w:rsidP="000D733F">
            <w:pPr>
              <w:pStyle w:val="TableTextColumnHeading"/>
              <w:tabs>
                <w:tab w:val="left" w:pos="1185"/>
              </w:tabs>
            </w:pPr>
            <w:r w:rsidRPr="00FE4491">
              <w:t>Management consequences identified in 201</w:t>
            </w:r>
            <w:r>
              <w:t>2-13</w:t>
            </w:r>
            <w:r w:rsidRPr="00FE4491">
              <w:t xml:space="preserve"> </w:t>
            </w:r>
            <w:r>
              <w:t>APPR</w:t>
            </w:r>
            <w:r>
              <w:tab/>
            </w:r>
          </w:p>
        </w:tc>
        <w:tc>
          <w:tcPr>
            <w:tcW w:w="964" w:type="dxa"/>
          </w:tcPr>
          <w:p w14:paraId="1E774642" w14:textId="77777777" w:rsidR="000D733F" w:rsidRPr="00180B19" w:rsidRDefault="000D733F" w:rsidP="000D733F">
            <w:pPr>
              <w:pStyle w:val="TableTextColumnHeading"/>
            </w:pPr>
            <w:r w:rsidRPr="00FE4491">
              <w:t>Rating</w:t>
            </w:r>
          </w:p>
        </w:tc>
        <w:tc>
          <w:tcPr>
            <w:tcW w:w="6896" w:type="dxa"/>
          </w:tcPr>
          <w:p w14:paraId="60CF19D5" w14:textId="28E5825C" w:rsidR="000D733F" w:rsidRPr="00180B19" w:rsidRDefault="000D733F" w:rsidP="000D733F">
            <w:pPr>
              <w:pStyle w:val="TableTextColumnHeading"/>
            </w:pPr>
            <w:r w:rsidRPr="00FE4491">
              <w:t xml:space="preserve">Progress made in </w:t>
            </w:r>
            <w:r>
              <w:t>2013-14</w:t>
            </w:r>
          </w:p>
        </w:tc>
      </w:tr>
      <w:tr w:rsidR="00B51CA2" w:rsidRPr="00180B19" w14:paraId="1A8447F3" w14:textId="77777777" w:rsidTr="000D733F">
        <w:trPr>
          <w:cnfStyle w:val="000000010000" w:firstRow="0" w:lastRow="0" w:firstColumn="0" w:lastColumn="0" w:oddVBand="0" w:evenVBand="0" w:oddHBand="0" w:evenHBand="1" w:firstRowFirstColumn="0" w:firstRowLastColumn="0" w:lastRowFirstColumn="0" w:lastRowLastColumn="0"/>
        </w:trPr>
        <w:tc>
          <w:tcPr>
            <w:tcW w:w="6473" w:type="dxa"/>
          </w:tcPr>
          <w:p w14:paraId="2FC2FB37" w14:textId="7DD6D8C9" w:rsidR="00B51CA2" w:rsidDel="00B51CA2" w:rsidRDefault="00B51CA2" w:rsidP="007F54D1">
            <w:pPr>
              <w:pStyle w:val="TableTextEntries"/>
              <w:numPr>
                <w:ilvl w:val="0"/>
                <w:numId w:val="37"/>
              </w:numPr>
            </w:pPr>
            <w:r>
              <w:t>E</w:t>
            </w:r>
            <w:r w:rsidRPr="00B11701">
              <w:t>ngage closely with the Government of Nauru, ADB and PFTAC on policy and planning relating to management and effective use of Nauru’s expanding revenue base</w:t>
            </w:r>
            <w:r w:rsidR="00744FFF">
              <w:t>.</w:t>
            </w:r>
          </w:p>
        </w:tc>
        <w:tc>
          <w:tcPr>
            <w:tcW w:w="964" w:type="dxa"/>
            <w:shd w:val="clear" w:color="auto" w:fill="72AF2F"/>
          </w:tcPr>
          <w:p w14:paraId="662C2E04" w14:textId="77777777" w:rsidR="00B51CA2" w:rsidRDefault="00B05C11" w:rsidP="000D733F">
            <w:pPr>
              <w:pStyle w:val="TableTextEntries"/>
              <w:jc w:val="center"/>
              <w:rPr>
                <w:color w:val="FFFFFF" w:themeColor="background1"/>
              </w:rPr>
            </w:pPr>
            <w:r>
              <w:rPr>
                <w:color w:val="FFFFFF" w:themeColor="background1"/>
              </w:rPr>
              <w:t>Ongoing</w:t>
            </w:r>
          </w:p>
        </w:tc>
        <w:tc>
          <w:tcPr>
            <w:tcW w:w="6896" w:type="dxa"/>
          </w:tcPr>
          <w:p w14:paraId="47EE42C5" w14:textId="77777777" w:rsidR="00B51CA2" w:rsidRPr="00FF43BE" w:rsidDel="00B51CA2" w:rsidRDefault="00B51CA2" w:rsidP="00FF43BE">
            <w:pPr>
              <w:pStyle w:val="TableTextEntries"/>
              <w:numPr>
                <w:ilvl w:val="0"/>
                <w:numId w:val="37"/>
              </w:numPr>
              <w:ind w:left="304" w:hanging="284"/>
            </w:pPr>
            <w:r w:rsidRPr="00FF43BE">
              <w:t>The ADB, PFTA</w:t>
            </w:r>
            <w:r>
              <w:t>C</w:t>
            </w:r>
            <w:r w:rsidRPr="00FF43BE">
              <w:t xml:space="preserve"> and DFA</w:t>
            </w:r>
            <w:r>
              <w:t>T</w:t>
            </w:r>
            <w:r w:rsidRPr="00FF43BE">
              <w:t xml:space="preserve"> have engaged closely over 2013-14</w:t>
            </w:r>
            <w:r>
              <w:t xml:space="preserve"> on a number of economic assessment missions and on developing plans for more effective use of excess revenue, including on developing an intergenerational Trust Fund for Nauru to help absorb revenue</w:t>
            </w:r>
          </w:p>
        </w:tc>
      </w:tr>
      <w:tr w:rsidR="00B51CA2" w:rsidRPr="00180B19" w14:paraId="1EF61FA1" w14:textId="77777777" w:rsidTr="000D733F">
        <w:trPr>
          <w:cnfStyle w:val="000000010000" w:firstRow="0" w:lastRow="0" w:firstColumn="0" w:lastColumn="0" w:oddVBand="0" w:evenVBand="0" w:oddHBand="0" w:evenHBand="1" w:firstRowFirstColumn="0" w:firstRowLastColumn="0" w:lastRowFirstColumn="0" w:lastRowLastColumn="0"/>
        </w:trPr>
        <w:tc>
          <w:tcPr>
            <w:tcW w:w="6473" w:type="dxa"/>
          </w:tcPr>
          <w:p w14:paraId="5FC8FA96" w14:textId="364785B1" w:rsidR="00B51CA2" w:rsidRDefault="00B51CA2" w:rsidP="00B51CA2">
            <w:pPr>
              <w:pStyle w:val="TableTextEntries"/>
              <w:numPr>
                <w:ilvl w:val="0"/>
                <w:numId w:val="37"/>
              </w:numPr>
            </w:pPr>
            <w:r>
              <w:t>Close e</w:t>
            </w:r>
            <w:r w:rsidRPr="007156F5">
              <w:t>ngage</w:t>
            </w:r>
            <w:r>
              <w:t>ment</w:t>
            </w:r>
            <w:r w:rsidRPr="007156F5">
              <w:t xml:space="preserve"> </w:t>
            </w:r>
            <w:r w:rsidRPr="00B11701">
              <w:t>with the ADB, PFTAC and other donors will be required to ensure ongoing participation</w:t>
            </w:r>
            <w:r>
              <w:t xml:space="preserve"> in the PMAG process</w:t>
            </w:r>
            <w:r w:rsidR="00744FFF">
              <w:t>.</w:t>
            </w:r>
          </w:p>
        </w:tc>
        <w:tc>
          <w:tcPr>
            <w:tcW w:w="964" w:type="dxa"/>
            <w:shd w:val="clear" w:color="auto" w:fill="72AF2F"/>
          </w:tcPr>
          <w:p w14:paraId="3C422702" w14:textId="77777777" w:rsidR="00B51CA2" w:rsidRDefault="00B05C11" w:rsidP="000D733F">
            <w:pPr>
              <w:pStyle w:val="TableTextEntries"/>
              <w:jc w:val="center"/>
              <w:rPr>
                <w:color w:val="FFFFFF" w:themeColor="background1"/>
              </w:rPr>
            </w:pPr>
            <w:r>
              <w:rPr>
                <w:color w:val="FFFFFF" w:themeColor="background1"/>
              </w:rPr>
              <w:t>Ongoing</w:t>
            </w:r>
          </w:p>
        </w:tc>
        <w:tc>
          <w:tcPr>
            <w:tcW w:w="6896" w:type="dxa"/>
          </w:tcPr>
          <w:p w14:paraId="50DF3B63" w14:textId="725DCC4D" w:rsidR="00B51CA2" w:rsidRPr="00FF43BE" w:rsidRDefault="00B51CA2" w:rsidP="00B11A32">
            <w:pPr>
              <w:pStyle w:val="TableTextEntries"/>
              <w:numPr>
                <w:ilvl w:val="0"/>
                <w:numId w:val="37"/>
              </w:numPr>
              <w:ind w:left="304" w:hanging="284"/>
            </w:pPr>
            <w:r>
              <w:t xml:space="preserve">The ADB and PFTAC have been actively engaged in PMAG processes throughout 2013-14 including on economic assessment missions and </w:t>
            </w:r>
            <w:r w:rsidR="00B11A32">
              <w:t>PFM</w:t>
            </w:r>
            <w:r>
              <w:t xml:space="preserve"> assessments.</w:t>
            </w:r>
          </w:p>
        </w:tc>
      </w:tr>
      <w:tr w:rsidR="00B51CA2" w:rsidRPr="00180B19" w14:paraId="475197F0" w14:textId="77777777" w:rsidTr="009B47D3">
        <w:trPr>
          <w:cnfStyle w:val="000000010000" w:firstRow="0" w:lastRow="0" w:firstColumn="0" w:lastColumn="0" w:oddVBand="0" w:evenVBand="0" w:oddHBand="0" w:evenHBand="1" w:firstRowFirstColumn="0" w:firstRowLastColumn="0" w:lastRowFirstColumn="0" w:lastRowLastColumn="0"/>
        </w:trPr>
        <w:tc>
          <w:tcPr>
            <w:tcW w:w="6473" w:type="dxa"/>
          </w:tcPr>
          <w:p w14:paraId="63283515" w14:textId="77777777" w:rsidR="00B51CA2" w:rsidRPr="00100AA2" w:rsidRDefault="00B51CA2" w:rsidP="007F54D1">
            <w:pPr>
              <w:pStyle w:val="TableTextEntries"/>
              <w:numPr>
                <w:ilvl w:val="0"/>
                <w:numId w:val="37"/>
              </w:numPr>
            </w:pPr>
            <w:r>
              <w:t>Develop a performance assessment framework.</w:t>
            </w:r>
          </w:p>
        </w:tc>
        <w:tc>
          <w:tcPr>
            <w:tcW w:w="964" w:type="dxa"/>
            <w:shd w:val="clear" w:color="auto" w:fill="FF0000"/>
          </w:tcPr>
          <w:p w14:paraId="18895F6B" w14:textId="3BC9F805" w:rsidR="00B51CA2" w:rsidRDefault="00B05C11" w:rsidP="000D733F">
            <w:pPr>
              <w:pStyle w:val="TableTextEntries"/>
              <w:jc w:val="center"/>
              <w:rPr>
                <w:color w:val="FFFFFF" w:themeColor="background1"/>
              </w:rPr>
            </w:pPr>
            <w:r>
              <w:rPr>
                <w:color w:val="FFFFFF" w:themeColor="background1"/>
              </w:rPr>
              <w:t>Not Achieved</w:t>
            </w:r>
          </w:p>
        </w:tc>
        <w:tc>
          <w:tcPr>
            <w:tcW w:w="6896" w:type="dxa"/>
          </w:tcPr>
          <w:p w14:paraId="691E37DA" w14:textId="3A8A8F2D" w:rsidR="00B51CA2" w:rsidRPr="00B30E77" w:rsidRDefault="009B47D3" w:rsidP="009B47D3">
            <w:pPr>
              <w:pStyle w:val="TableTextEntries"/>
              <w:numPr>
                <w:ilvl w:val="0"/>
                <w:numId w:val="37"/>
              </w:numPr>
              <w:ind w:left="304" w:hanging="284"/>
              <w:rPr>
                <w:color w:val="92D050"/>
              </w:rPr>
            </w:pPr>
            <w:r>
              <w:t>Sectors in which p</w:t>
            </w:r>
            <w:r w:rsidR="005E480B">
              <w:t xml:space="preserve">erformance benchmarks </w:t>
            </w:r>
            <w:r>
              <w:t xml:space="preserve">will apply </w:t>
            </w:r>
            <w:r w:rsidR="005E480B">
              <w:t>have been agreed between the Governments of Australia and Nauru</w:t>
            </w:r>
            <w:r>
              <w:t>, with verification measures to now be agreed</w:t>
            </w:r>
            <w:r w:rsidR="005E480B">
              <w:t>.</w:t>
            </w:r>
          </w:p>
        </w:tc>
      </w:tr>
      <w:tr w:rsidR="00B51CA2" w:rsidRPr="00180B19" w14:paraId="446DD3C1" w14:textId="77777777" w:rsidTr="009B47D3">
        <w:trPr>
          <w:cnfStyle w:val="000000010000" w:firstRow="0" w:lastRow="0" w:firstColumn="0" w:lastColumn="0" w:oddVBand="0" w:evenVBand="0" w:oddHBand="0" w:evenHBand="1" w:firstRowFirstColumn="0" w:firstRowLastColumn="0" w:lastRowFirstColumn="0" w:lastRowLastColumn="0"/>
        </w:trPr>
        <w:tc>
          <w:tcPr>
            <w:tcW w:w="6473" w:type="dxa"/>
          </w:tcPr>
          <w:p w14:paraId="203EA1B0" w14:textId="77777777" w:rsidR="00B51CA2" w:rsidRPr="00100AA2" w:rsidRDefault="00B51CA2" w:rsidP="007F54D1">
            <w:pPr>
              <w:pStyle w:val="TableTextEntries"/>
              <w:numPr>
                <w:ilvl w:val="0"/>
                <w:numId w:val="37"/>
              </w:numPr>
            </w:pPr>
            <w:r>
              <w:t>Establish reference groups for the health, education and infrastructure sectors involving DFAT specialists and Nauru program personnel as well as representatives of Nauru’s departments of health and education and the Nauru Utilities Corporation.</w:t>
            </w:r>
          </w:p>
        </w:tc>
        <w:tc>
          <w:tcPr>
            <w:tcW w:w="964" w:type="dxa"/>
            <w:shd w:val="clear" w:color="auto" w:fill="FF0000"/>
          </w:tcPr>
          <w:p w14:paraId="1DCDAC10" w14:textId="171F4D31" w:rsidR="00B51CA2" w:rsidRDefault="00B05C11" w:rsidP="00B05C11">
            <w:pPr>
              <w:pStyle w:val="TableTextEntries"/>
              <w:jc w:val="center"/>
              <w:rPr>
                <w:color w:val="FFFFFF" w:themeColor="background1"/>
              </w:rPr>
            </w:pPr>
            <w:r>
              <w:rPr>
                <w:color w:val="FFFFFF" w:themeColor="background1"/>
              </w:rPr>
              <w:t>Not Achieved</w:t>
            </w:r>
          </w:p>
        </w:tc>
        <w:tc>
          <w:tcPr>
            <w:tcW w:w="6896" w:type="dxa"/>
          </w:tcPr>
          <w:p w14:paraId="764EB475" w14:textId="7E6A3131" w:rsidR="00B51CA2" w:rsidRPr="00B30E77" w:rsidRDefault="00B05C11" w:rsidP="007F54D1">
            <w:pPr>
              <w:pStyle w:val="TableTextEntries"/>
              <w:numPr>
                <w:ilvl w:val="0"/>
                <w:numId w:val="37"/>
              </w:numPr>
              <w:ind w:left="304" w:hanging="284"/>
              <w:rPr>
                <w:color w:val="92D050"/>
              </w:rPr>
            </w:pPr>
            <w:r w:rsidRPr="007F54D1">
              <w:t xml:space="preserve">No </w:t>
            </w:r>
            <w:r w:rsidR="00864B98">
              <w:t>longer a priority.</w:t>
            </w:r>
          </w:p>
        </w:tc>
      </w:tr>
      <w:tr w:rsidR="00B51CA2" w:rsidRPr="00180B19" w14:paraId="02373B99" w14:textId="77777777" w:rsidTr="000D733F">
        <w:trPr>
          <w:cnfStyle w:val="000000010000" w:firstRow="0" w:lastRow="0" w:firstColumn="0" w:lastColumn="0" w:oddVBand="0" w:evenVBand="0" w:oddHBand="0" w:evenHBand="1" w:firstRowFirstColumn="0" w:firstRowLastColumn="0" w:lastRowFirstColumn="0" w:lastRowLastColumn="0"/>
        </w:trPr>
        <w:tc>
          <w:tcPr>
            <w:tcW w:w="6473" w:type="dxa"/>
          </w:tcPr>
          <w:p w14:paraId="4461787E" w14:textId="77777777" w:rsidR="00B51CA2" w:rsidRPr="00100AA2" w:rsidRDefault="00B51CA2" w:rsidP="007F54D1">
            <w:pPr>
              <w:pStyle w:val="TableTextEntries"/>
              <w:numPr>
                <w:ilvl w:val="0"/>
                <w:numId w:val="37"/>
              </w:numPr>
            </w:pPr>
            <w:r>
              <w:t>Undertake a review of assistance to the education sector including an Australia Awards tracer study.</w:t>
            </w:r>
          </w:p>
        </w:tc>
        <w:tc>
          <w:tcPr>
            <w:tcW w:w="964" w:type="dxa"/>
            <w:shd w:val="clear" w:color="auto" w:fill="72AF2F"/>
          </w:tcPr>
          <w:p w14:paraId="6A584A65" w14:textId="77777777" w:rsidR="00B51CA2" w:rsidRDefault="00B05C11" w:rsidP="000D733F">
            <w:pPr>
              <w:pStyle w:val="TableTextEntries"/>
              <w:jc w:val="center"/>
              <w:rPr>
                <w:color w:val="FFFFFF" w:themeColor="background1"/>
              </w:rPr>
            </w:pPr>
            <w:r>
              <w:rPr>
                <w:color w:val="FFFFFF" w:themeColor="background1"/>
              </w:rPr>
              <w:t>Achieved</w:t>
            </w:r>
          </w:p>
        </w:tc>
        <w:tc>
          <w:tcPr>
            <w:tcW w:w="6896" w:type="dxa"/>
          </w:tcPr>
          <w:p w14:paraId="582AEF9D" w14:textId="77777777" w:rsidR="00B51CA2" w:rsidRPr="00B30E77" w:rsidRDefault="00B05C11" w:rsidP="007F54D1">
            <w:pPr>
              <w:pStyle w:val="TableTextEntries"/>
              <w:numPr>
                <w:ilvl w:val="0"/>
                <w:numId w:val="37"/>
              </w:numPr>
              <w:ind w:left="304" w:hanging="284"/>
              <w:rPr>
                <w:color w:val="92D050"/>
              </w:rPr>
            </w:pPr>
            <w:r>
              <w:t>Completed</w:t>
            </w:r>
            <w:r w:rsidR="007F54D1">
              <w:t>.</w:t>
            </w:r>
          </w:p>
        </w:tc>
      </w:tr>
      <w:tr w:rsidR="00B51CA2" w:rsidRPr="00180B19" w14:paraId="3F6DE7E0" w14:textId="77777777" w:rsidTr="000D733F">
        <w:trPr>
          <w:cnfStyle w:val="000000010000" w:firstRow="0" w:lastRow="0" w:firstColumn="0" w:lastColumn="0" w:oddVBand="0" w:evenVBand="0" w:oddHBand="0" w:evenHBand="1" w:firstRowFirstColumn="0" w:firstRowLastColumn="0" w:lastRowFirstColumn="0" w:lastRowLastColumn="0"/>
        </w:trPr>
        <w:tc>
          <w:tcPr>
            <w:tcW w:w="6473" w:type="dxa"/>
          </w:tcPr>
          <w:p w14:paraId="1BF5FCBB" w14:textId="77777777" w:rsidR="00B51CA2" w:rsidRPr="00100AA2" w:rsidRDefault="00B51CA2" w:rsidP="007F54D1">
            <w:pPr>
              <w:pStyle w:val="TableTextEntries"/>
              <w:numPr>
                <w:ilvl w:val="0"/>
                <w:numId w:val="37"/>
              </w:numPr>
            </w:pPr>
            <w:r>
              <w:t>Agree on a timeline for the Government of Nauru and ADB for shifting our funding emphasis in the infrastructure sector from operational expenses to institutional reform of the Nauru Utilities Corporation, as well as other strategic infrastructure investments.</w:t>
            </w:r>
          </w:p>
        </w:tc>
        <w:tc>
          <w:tcPr>
            <w:tcW w:w="964" w:type="dxa"/>
            <w:shd w:val="clear" w:color="auto" w:fill="72AF2F"/>
          </w:tcPr>
          <w:p w14:paraId="46ED427D" w14:textId="77777777" w:rsidR="00B51CA2" w:rsidRDefault="00B05C11" w:rsidP="000D733F">
            <w:pPr>
              <w:pStyle w:val="TableTextEntries"/>
              <w:jc w:val="center"/>
              <w:rPr>
                <w:color w:val="FFFFFF" w:themeColor="background1"/>
              </w:rPr>
            </w:pPr>
            <w:r>
              <w:rPr>
                <w:color w:val="FFFFFF" w:themeColor="background1"/>
              </w:rPr>
              <w:t>Achieved</w:t>
            </w:r>
          </w:p>
        </w:tc>
        <w:tc>
          <w:tcPr>
            <w:tcW w:w="6896" w:type="dxa"/>
          </w:tcPr>
          <w:p w14:paraId="171C9ADE" w14:textId="77777777" w:rsidR="00B51CA2" w:rsidRPr="00B30E77" w:rsidRDefault="00B05C11" w:rsidP="007F54D1">
            <w:pPr>
              <w:pStyle w:val="TableTextEntries"/>
              <w:numPr>
                <w:ilvl w:val="0"/>
                <w:numId w:val="37"/>
              </w:numPr>
              <w:ind w:left="304" w:hanging="284"/>
              <w:rPr>
                <w:color w:val="92D050"/>
              </w:rPr>
            </w:pPr>
            <w:r>
              <w:t>Timeline agreed as 2014-15 onwards</w:t>
            </w:r>
            <w:r w:rsidR="007F54D1">
              <w:t>.</w:t>
            </w:r>
          </w:p>
        </w:tc>
      </w:tr>
      <w:tr w:rsidR="00B51CA2" w:rsidRPr="00180B19" w14:paraId="2F6CF5A0" w14:textId="77777777" w:rsidTr="000D733F">
        <w:trPr>
          <w:cnfStyle w:val="000000010000" w:firstRow="0" w:lastRow="0" w:firstColumn="0" w:lastColumn="0" w:oddVBand="0" w:evenVBand="0" w:oddHBand="0" w:evenHBand="1" w:firstRowFirstColumn="0" w:firstRowLastColumn="0" w:lastRowFirstColumn="0" w:lastRowLastColumn="0"/>
        </w:trPr>
        <w:tc>
          <w:tcPr>
            <w:tcW w:w="6473" w:type="dxa"/>
          </w:tcPr>
          <w:p w14:paraId="7665632C" w14:textId="77777777" w:rsidR="00B51CA2" w:rsidRPr="00100AA2" w:rsidRDefault="00B51CA2" w:rsidP="007F54D1">
            <w:pPr>
              <w:pStyle w:val="TableTextEntries"/>
              <w:numPr>
                <w:ilvl w:val="0"/>
                <w:numId w:val="37"/>
              </w:numPr>
            </w:pPr>
            <w:r>
              <w:t>Undertake a gender analysis, develop a gender strategy and establish mechanisms for gathering statistics on gender issues.</w:t>
            </w:r>
          </w:p>
        </w:tc>
        <w:tc>
          <w:tcPr>
            <w:tcW w:w="964" w:type="dxa"/>
            <w:shd w:val="clear" w:color="auto" w:fill="72AF2F"/>
          </w:tcPr>
          <w:p w14:paraId="2A9A9748" w14:textId="77777777" w:rsidR="00B51CA2" w:rsidRDefault="00B05C11" w:rsidP="00B05C11">
            <w:pPr>
              <w:pStyle w:val="TableTextEntries"/>
              <w:jc w:val="center"/>
              <w:rPr>
                <w:color w:val="FFFFFF" w:themeColor="background1"/>
              </w:rPr>
            </w:pPr>
            <w:r>
              <w:rPr>
                <w:color w:val="FFFFFF" w:themeColor="background1"/>
              </w:rPr>
              <w:t>Achieved</w:t>
            </w:r>
          </w:p>
        </w:tc>
        <w:tc>
          <w:tcPr>
            <w:tcW w:w="6896" w:type="dxa"/>
          </w:tcPr>
          <w:p w14:paraId="07AA6839" w14:textId="77777777" w:rsidR="00B51CA2" w:rsidRPr="00B30E77" w:rsidRDefault="00B05C11" w:rsidP="00741270">
            <w:pPr>
              <w:pStyle w:val="TableTextEntries"/>
              <w:numPr>
                <w:ilvl w:val="0"/>
                <w:numId w:val="37"/>
              </w:numPr>
              <w:ind w:left="304" w:hanging="284"/>
              <w:rPr>
                <w:color w:val="92D050"/>
              </w:rPr>
            </w:pPr>
            <w:r>
              <w:t>Gender analysis undertaken and a country plan prepared for roll out of the Pacific Women Shaping Pacific Development initiative over the next two years.  Regional funding to SPC to improve gender relevant data collection and analysis could also potentially support Nauru</w:t>
            </w:r>
          </w:p>
        </w:tc>
      </w:tr>
      <w:tr w:rsidR="00B51CA2" w:rsidRPr="00180B19" w14:paraId="42596E86" w14:textId="77777777" w:rsidTr="009B47D3">
        <w:trPr>
          <w:cnfStyle w:val="000000010000" w:firstRow="0" w:lastRow="0" w:firstColumn="0" w:lastColumn="0" w:oddVBand="0" w:evenVBand="0" w:oddHBand="0" w:evenHBand="1" w:firstRowFirstColumn="0" w:firstRowLastColumn="0" w:lastRowFirstColumn="0" w:lastRowLastColumn="0"/>
        </w:trPr>
        <w:tc>
          <w:tcPr>
            <w:tcW w:w="6473" w:type="dxa"/>
          </w:tcPr>
          <w:p w14:paraId="0217C755" w14:textId="70E095B7" w:rsidR="00B51CA2" w:rsidRPr="00100AA2" w:rsidRDefault="00B51CA2" w:rsidP="007F54D1">
            <w:pPr>
              <w:pStyle w:val="TableTextEntries"/>
              <w:numPr>
                <w:ilvl w:val="0"/>
                <w:numId w:val="37"/>
              </w:numPr>
            </w:pPr>
            <w:r>
              <w:t>Undertake a private sector development needs assessment through the ADB’s Private Sector Development Initiative</w:t>
            </w:r>
            <w:r w:rsidR="00744FFF">
              <w:t>.</w:t>
            </w:r>
          </w:p>
        </w:tc>
        <w:tc>
          <w:tcPr>
            <w:tcW w:w="964" w:type="dxa"/>
            <w:shd w:val="clear" w:color="auto" w:fill="FF0000"/>
          </w:tcPr>
          <w:p w14:paraId="6546B0F0" w14:textId="4BB82F85" w:rsidR="00B51CA2" w:rsidRDefault="00B05C11" w:rsidP="000D733F">
            <w:pPr>
              <w:pStyle w:val="TableTextEntries"/>
              <w:jc w:val="center"/>
              <w:rPr>
                <w:color w:val="FFFFFF" w:themeColor="background1"/>
              </w:rPr>
            </w:pPr>
            <w:r>
              <w:rPr>
                <w:color w:val="FFFFFF" w:themeColor="background1"/>
              </w:rPr>
              <w:t>Not Achieved</w:t>
            </w:r>
          </w:p>
        </w:tc>
        <w:tc>
          <w:tcPr>
            <w:tcW w:w="6896" w:type="dxa"/>
          </w:tcPr>
          <w:p w14:paraId="63FED5B5" w14:textId="7DE993E6" w:rsidR="00B51CA2" w:rsidRPr="00B30E77" w:rsidRDefault="00C1352A" w:rsidP="007F54D1">
            <w:pPr>
              <w:pStyle w:val="TableTextEntries"/>
              <w:numPr>
                <w:ilvl w:val="0"/>
                <w:numId w:val="37"/>
              </w:numPr>
              <w:ind w:left="304" w:hanging="284"/>
              <w:rPr>
                <w:color w:val="92D050"/>
              </w:rPr>
            </w:pPr>
            <w:r>
              <w:t>Awaiting ADB input</w:t>
            </w:r>
          </w:p>
        </w:tc>
      </w:tr>
      <w:tr w:rsidR="00B51CA2" w:rsidRPr="00180B19" w14:paraId="00DD14D2" w14:textId="77777777" w:rsidTr="000D733F">
        <w:trPr>
          <w:cnfStyle w:val="000000010000" w:firstRow="0" w:lastRow="0" w:firstColumn="0" w:lastColumn="0" w:oddVBand="0" w:evenVBand="0" w:oddHBand="0" w:evenHBand="1" w:firstRowFirstColumn="0" w:firstRowLastColumn="0" w:lastRowFirstColumn="0" w:lastRowLastColumn="0"/>
        </w:trPr>
        <w:tc>
          <w:tcPr>
            <w:tcW w:w="6473" w:type="dxa"/>
          </w:tcPr>
          <w:p w14:paraId="7BF1E87D" w14:textId="77777777" w:rsidR="00B51CA2" w:rsidRPr="00100AA2" w:rsidRDefault="00B51CA2" w:rsidP="00B51CA2">
            <w:pPr>
              <w:pStyle w:val="TableTextEntries"/>
              <w:numPr>
                <w:ilvl w:val="0"/>
                <w:numId w:val="37"/>
              </w:numPr>
            </w:pPr>
            <w:r>
              <w:t>Discuss future funding options for the phosphate mining and land rehabilitation programs with the Nauru Rehabilitation Corporation and the Government of Nauru recognising that annual contributions under the Nauru Australia Compact of settlement (NACOS) ended in 2014.</w:t>
            </w:r>
          </w:p>
        </w:tc>
        <w:tc>
          <w:tcPr>
            <w:tcW w:w="964" w:type="dxa"/>
            <w:shd w:val="clear" w:color="auto" w:fill="72AF2F"/>
          </w:tcPr>
          <w:p w14:paraId="0A70ED23" w14:textId="1DAA2F7B" w:rsidR="00B51CA2" w:rsidRDefault="00BD52C4" w:rsidP="000D733F">
            <w:pPr>
              <w:pStyle w:val="TableTextEntries"/>
              <w:jc w:val="center"/>
              <w:rPr>
                <w:color w:val="FFFFFF" w:themeColor="background1"/>
              </w:rPr>
            </w:pPr>
            <w:r>
              <w:rPr>
                <w:color w:val="FFFFFF" w:themeColor="background1"/>
              </w:rPr>
              <w:t>Ongoing</w:t>
            </w:r>
          </w:p>
        </w:tc>
        <w:tc>
          <w:tcPr>
            <w:tcW w:w="6896" w:type="dxa"/>
          </w:tcPr>
          <w:p w14:paraId="29461695" w14:textId="77777777" w:rsidR="00B51CA2" w:rsidRPr="00B30E77" w:rsidRDefault="00B05C11" w:rsidP="007F54D1">
            <w:pPr>
              <w:pStyle w:val="TableTextEntries"/>
              <w:numPr>
                <w:ilvl w:val="0"/>
                <w:numId w:val="37"/>
              </w:numPr>
              <w:ind w:left="304" w:hanging="284"/>
              <w:rPr>
                <w:color w:val="92D050"/>
              </w:rPr>
            </w:pPr>
            <w:r>
              <w:t>Options discussed with NRC and DFAT. It was subsequently agreed to provide NRC unrestricted access to $13 million in NACOS funding held in the Rehabilitation and Development Cooperation Trust Account. These funds will underpin core mining and rehabilitation operations over the next 3-4 years.</w:t>
            </w:r>
          </w:p>
        </w:tc>
      </w:tr>
      <w:tr w:rsidR="00B51CA2" w:rsidRPr="00180B19" w14:paraId="759E50C7" w14:textId="77777777" w:rsidTr="007F54D1">
        <w:trPr>
          <w:cnfStyle w:val="000000010000" w:firstRow="0" w:lastRow="0" w:firstColumn="0" w:lastColumn="0" w:oddVBand="0" w:evenVBand="0" w:oddHBand="0" w:evenHBand="1" w:firstRowFirstColumn="0" w:firstRowLastColumn="0" w:lastRowFirstColumn="0" w:lastRowLastColumn="0"/>
        </w:trPr>
        <w:tc>
          <w:tcPr>
            <w:tcW w:w="6473" w:type="dxa"/>
          </w:tcPr>
          <w:p w14:paraId="3C7462BA" w14:textId="77777777" w:rsidR="00B51CA2" w:rsidRDefault="00B51CA2" w:rsidP="00B51CA2">
            <w:pPr>
              <w:pStyle w:val="TableTextEntries"/>
              <w:numPr>
                <w:ilvl w:val="0"/>
                <w:numId w:val="37"/>
              </w:numPr>
            </w:pPr>
            <w:r>
              <w:t>Increase the department’s resourcing at Post</w:t>
            </w:r>
            <w:r w:rsidRPr="005A582F">
              <w:t xml:space="preserve"> </w:t>
            </w:r>
            <w:r>
              <w:t>to satisfactorily manage and monitor the wide range of priorities under the Partnership for Development impacting on almost all sectors in Nauru.</w:t>
            </w:r>
          </w:p>
        </w:tc>
        <w:tc>
          <w:tcPr>
            <w:tcW w:w="964" w:type="dxa"/>
            <w:shd w:val="clear" w:color="auto" w:fill="FEA022" w:themeFill="accent6"/>
          </w:tcPr>
          <w:p w14:paraId="57FC5A61" w14:textId="77777777" w:rsidR="00B05C11" w:rsidRDefault="00B05C11" w:rsidP="000D733F">
            <w:pPr>
              <w:pStyle w:val="TableTextEntries"/>
              <w:jc w:val="center"/>
              <w:rPr>
                <w:color w:val="FFFFFF" w:themeColor="background1"/>
              </w:rPr>
            </w:pPr>
            <w:r>
              <w:rPr>
                <w:color w:val="FFFFFF" w:themeColor="background1"/>
              </w:rPr>
              <w:t>Partly</w:t>
            </w:r>
          </w:p>
          <w:p w14:paraId="07241442" w14:textId="77777777" w:rsidR="00B51CA2" w:rsidRDefault="00B05C11" w:rsidP="000D733F">
            <w:pPr>
              <w:pStyle w:val="TableTextEntries"/>
              <w:jc w:val="center"/>
              <w:rPr>
                <w:color w:val="FFFFFF" w:themeColor="background1"/>
              </w:rPr>
            </w:pPr>
            <w:r>
              <w:rPr>
                <w:color w:val="FFFFFF" w:themeColor="background1"/>
              </w:rPr>
              <w:t>Achieved</w:t>
            </w:r>
          </w:p>
        </w:tc>
        <w:tc>
          <w:tcPr>
            <w:tcW w:w="6896" w:type="dxa"/>
          </w:tcPr>
          <w:p w14:paraId="0E29D35D" w14:textId="77777777" w:rsidR="00B51CA2" w:rsidRPr="00B30E77" w:rsidRDefault="00B05C11" w:rsidP="007F54D1">
            <w:pPr>
              <w:pStyle w:val="TableTextEntries"/>
              <w:numPr>
                <w:ilvl w:val="0"/>
                <w:numId w:val="37"/>
              </w:numPr>
              <w:ind w:left="304" w:hanging="284"/>
              <w:rPr>
                <w:color w:val="92D050"/>
              </w:rPr>
            </w:pPr>
            <w:r>
              <w:t>An additional A-based officer has been deployed on a 6 monthly rotational basis for the duration of 2013-14.</w:t>
            </w:r>
          </w:p>
        </w:tc>
      </w:tr>
    </w:tbl>
    <w:p w14:paraId="558DD2C2" w14:textId="77777777" w:rsidR="000D733F" w:rsidRPr="00FE4491" w:rsidRDefault="000D733F" w:rsidP="000D733F">
      <w:pPr>
        <w:pStyle w:val="Note"/>
      </w:pPr>
      <w:r w:rsidRPr="00FE4491">
        <w:lastRenderedPageBreak/>
        <w:t xml:space="preserve">Note: </w:t>
      </w:r>
    </w:p>
    <w:p w14:paraId="3CDB4F0B" w14:textId="77777777" w:rsidR="000D733F" w:rsidRPr="00671434" w:rsidRDefault="000D733F" w:rsidP="000D733F">
      <w:pPr>
        <w:pStyle w:val="Note"/>
      </w:pPr>
      <w:r w:rsidRPr="0075352D">
        <w:rPr>
          <w:color w:val="72AF2F"/>
        </w:rPr>
        <w:sym w:font="Webdings" w:char="F067"/>
      </w:r>
      <w:r w:rsidRPr="00FE4491">
        <w:t> </w:t>
      </w:r>
      <w:r w:rsidRPr="00FE4491">
        <w:t xml:space="preserve"> </w:t>
      </w:r>
      <w:r w:rsidRPr="00EA3BAD">
        <w:t>Achieved.</w:t>
      </w:r>
      <w:r w:rsidRPr="00706D30">
        <w:t xml:space="preserve">  Significant progress has been made in addressing </w:t>
      </w:r>
      <w:r>
        <w:t xml:space="preserve">the issue </w:t>
      </w:r>
    </w:p>
    <w:p w14:paraId="4474286C" w14:textId="77777777" w:rsidR="000D733F" w:rsidRPr="00EA3BAD" w:rsidRDefault="000D733F" w:rsidP="000D733F">
      <w:pPr>
        <w:pStyle w:val="Note"/>
      </w:pPr>
      <w:r w:rsidRPr="00EA3BAD">
        <w:rPr>
          <w:color w:val="E36C0A"/>
        </w:rPr>
        <w:sym w:font="Webdings" w:char="F067"/>
      </w:r>
      <w:r w:rsidRPr="00EA3BAD">
        <w:t> </w:t>
      </w:r>
      <w:r w:rsidRPr="00EA3BAD">
        <w:t xml:space="preserve"> Partly achieved.  </w:t>
      </w:r>
      <w:r>
        <w:t>Some pr</w:t>
      </w:r>
      <w:r w:rsidRPr="00EA3BAD">
        <w:t xml:space="preserve">ogress </w:t>
      </w:r>
      <w:r>
        <w:t xml:space="preserve">has been made in addressing the issue, but the issue has not been resolved </w:t>
      </w:r>
    </w:p>
    <w:p w14:paraId="373F7F64" w14:textId="77777777" w:rsidR="000D733F" w:rsidRDefault="000D733F" w:rsidP="000D733F">
      <w:pPr>
        <w:pStyle w:val="Note"/>
      </w:pPr>
      <w:r w:rsidRPr="00EA3BAD">
        <w:rPr>
          <w:color w:val="FF0000"/>
        </w:rPr>
        <w:sym w:font="Webdings" w:char="F067"/>
      </w:r>
      <w:r w:rsidRPr="00EA3BAD">
        <w:t> </w:t>
      </w:r>
      <w:r w:rsidRPr="00EA3BAD">
        <w:t xml:space="preserve"> Not achieved. Progress </w:t>
      </w:r>
      <w:r>
        <w:t xml:space="preserve">in addressing the issue </w:t>
      </w:r>
      <w:r w:rsidRPr="00EA3BAD">
        <w:t>has been significantly below expectations</w:t>
      </w:r>
    </w:p>
    <w:p w14:paraId="1A06F619" w14:textId="77777777" w:rsidR="000D733F" w:rsidRDefault="000D733F" w:rsidP="000D733F">
      <w:pPr>
        <w:pStyle w:val="BodyText"/>
      </w:pPr>
    </w:p>
    <w:p w14:paraId="181BDD99" w14:textId="77777777" w:rsidR="000D733F" w:rsidRDefault="000D733F" w:rsidP="000D733F">
      <w:pPr>
        <w:spacing w:after="200" w:line="276" w:lineRule="auto"/>
        <w:rPr>
          <w:rFonts w:ascii="Franklin Gothic Book" w:hAnsi="Franklin Gothic Book"/>
          <w:sz w:val="21"/>
        </w:rPr>
      </w:pPr>
      <w:r>
        <w:br w:type="page"/>
      </w:r>
    </w:p>
    <w:p w14:paraId="0010F91F" w14:textId="77777777" w:rsidR="000D733F" w:rsidRPr="009E38C1" w:rsidRDefault="000D733F" w:rsidP="000D733F">
      <w:pPr>
        <w:pStyle w:val="Heading2"/>
        <w:tabs>
          <w:tab w:val="left" w:pos="1560"/>
        </w:tabs>
        <w:rPr>
          <w:sz w:val="28"/>
        </w:rPr>
      </w:pPr>
      <w:r w:rsidRPr="009E38C1">
        <w:rPr>
          <w:sz w:val="28"/>
        </w:rPr>
        <w:lastRenderedPageBreak/>
        <w:t xml:space="preserve">Annex B </w:t>
      </w:r>
      <w:r w:rsidRPr="009E38C1">
        <w:rPr>
          <w:sz w:val="28"/>
        </w:rPr>
        <w:tab/>
      </w:r>
    </w:p>
    <w:p w14:paraId="2631D921" w14:textId="77777777" w:rsidR="000D733F" w:rsidRPr="009E38C1" w:rsidRDefault="000D733F" w:rsidP="000D733F">
      <w:pPr>
        <w:pStyle w:val="Heading2"/>
        <w:rPr>
          <w:sz w:val="28"/>
        </w:rPr>
      </w:pPr>
      <w:r w:rsidRPr="009E38C1">
        <w:rPr>
          <w:sz w:val="28"/>
        </w:rPr>
        <w:t>Quality at Implementation ratings</w:t>
      </w:r>
    </w:p>
    <w:tbl>
      <w:tblPr>
        <w:tblStyle w:val="APPR"/>
        <w:tblW w:w="4244" w:type="pct"/>
        <w:tblLayout w:type="fixed"/>
        <w:tblLook w:val="0000" w:firstRow="0" w:lastRow="0" w:firstColumn="0" w:lastColumn="0" w:noHBand="0" w:noVBand="0"/>
      </w:tblPr>
      <w:tblGrid>
        <w:gridCol w:w="2539"/>
        <w:gridCol w:w="1795"/>
        <w:gridCol w:w="1164"/>
        <w:gridCol w:w="473"/>
        <w:gridCol w:w="1168"/>
        <w:gridCol w:w="1030"/>
        <w:gridCol w:w="1030"/>
        <w:gridCol w:w="1089"/>
        <w:gridCol w:w="946"/>
        <w:gridCol w:w="1027"/>
      </w:tblGrid>
      <w:tr w:rsidR="002F1A1D" w:rsidRPr="009D53C4" w14:paraId="2C679CB3" w14:textId="77777777" w:rsidTr="002F1A1D">
        <w:trPr>
          <w:cnfStyle w:val="000000010000" w:firstRow="0" w:lastRow="0" w:firstColumn="0" w:lastColumn="0" w:oddVBand="0" w:evenVBand="0" w:oddHBand="0" w:evenHBand="1" w:firstRowFirstColumn="0" w:firstRowLastColumn="0" w:lastRowFirstColumn="0" w:lastRowLastColumn="0"/>
          <w:trHeight w:val="1413"/>
        </w:trPr>
        <w:tc>
          <w:tcPr>
            <w:tcW w:w="1021" w:type="pct"/>
          </w:tcPr>
          <w:p w14:paraId="616389AD" w14:textId="77777777" w:rsidR="000D733F" w:rsidRPr="00FE4491" w:rsidRDefault="000D733F" w:rsidP="000D733F">
            <w:pPr>
              <w:pStyle w:val="TableTextColumnHeading"/>
            </w:pPr>
            <w:r w:rsidRPr="00FE4491">
              <w:rPr>
                <w:noProof/>
                <w:lang w:eastAsia="en-AU"/>
              </w:rPr>
              <w:drawing>
                <wp:anchor distT="0" distB="0" distL="114300" distR="114300" simplePos="0" relativeHeight="251665408" behindDoc="0" locked="0" layoutInCell="1" allowOverlap="1" wp14:anchorId="1C535E7A" wp14:editId="455C2924">
                  <wp:simplePos x="0" y="0"/>
                  <wp:positionH relativeFrom="column">
                    <wp:posOffset>0</wp:posOffset>
                  </wp:positionH>
                  <wp:positionV relativeFrom="paragraph">
                    <wp:posOffset>0</wp:posOffset>
                  </wp:positionV>
                  <wp:extent cx="1857375" cy="228600"/>
                  <wp:effectExtent l="0" t="0" r="9525" b="0"/>
                  <wp:wrapNone/>
                  <wp:docPr id="14" name="Picture 1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CD2">
              <w:t>Investment</w:t>
            </w:r>
            <w:r w:rsidRPr="00FE4491">
              <w:t xml:space="preserve"> name</w:t>
            </w:r>
          </w:p>
        </w:tc>
        <w:tc>
          <w:tcPr>
            <w:tcW w:w="722" w:type="pct"/>
            <w:textDirection w:val="btLr"/>
          </w:tcPr>
          <w:p w14:paraId="42A58C49" w14:textId="77777777" w:rsidR="000D733F" w:rsidRPr="00FE4491" w:rsidRDefault="000D733F" w:rsidP="000D733F">
            <w:pPr>
              <w:pStyle w:val="TableTextColumnHeading"/>
            </w:pPr>
            <w:r w:rsidRPr="00FE4491">
              <w:t>Approved budget and duration</w:t>
            </w:r>
          </w:p>
        </w:tc>
        <w:tc>
          <w:tcPr>
            <w:tcW w:w="464" w:type="pct"/>
            <w:textDirection w:val="btLr"/>
          </w:tcPr>
          <w:p w14:paraId="6403AF93" w14:textId="77777777" w:rsidR="000D733F" w:rsidRPr="00FE4491" w:rsidRDefault="000D733F" w:rsidP="000D733F">
            <w:pPr>
              <w:pStyle w:val="TableTextColumnHeading"/>
            </w:pPr>
            <w:r w:rsidRPr="00FE4491">
              <w:t>QaI year</w:t>
            </w:r>
          </w:p>
        </w:tc>
        <w:tc>
          <w:tcPr>
            <w:tcW w:w="648" w:type="pct"/>
            <w:gridSpan w:val="2"/>
            <w:textDirection w:val="btLr"/>
          </w:tcPr>
          <w:p w14:paraId="7C73792F" w14:textId="77777777" w:rsidR="000D733F" w:rsidRPr="00FE4491" w:rsidRDefault="000D733F" w:rsidP="000D733F">
            <w:pPr>
              <w:pStyle w:val="TableTextColumnHeading"/>
            </w:pPr>
            <w:r w:rsidRPr="00FE4491">
              <w:t>Relevance</w:t>
            </w:r>
          </w:p>
        </w:tc>
        <w:tc>
          <w:tcPr>
            <w:tcW w:w="409" w:type="pct"/>
            <w:textDirection w:val="btLr"/>
          </w:tcPr>
          <w:p w14:paraId="74FCF7A8" w14:textId="77777777" w:rsidR="000D733F" w:rsidRPr="00FE4491" w:rsidRDefault="000D733F" w:rsidP="000D733F">
            <w:pPr>
              <w:pStyle w:val="TableTextColumnHeading"/>
            </w:pPr>
            <w:r w:rsidRPr="00FE4491">
              <w:t>Effectiveness</w:t>
            </w:r>
          </w:p>
        </w:tc>
        <w:tc>
          <w:tcPr>
            <w:tcW w:w="409" w:type="pct"/>
            <w:textDirection w:val="btLr"/>
          </w:tcPr>
          <w:p w14:paraId="27B5E457" w14:textId="77777777" w:rsidR="000D733F" w:rsidRPr="00FE4491" w:rsidRDefault="000D733F" w:rsidP="000D733F">
            <w:pPr>
              <w:pStyle w:val="TableTextColumnHeading"/>
            </w:pPr>
            <w:r w:rsidRPr="00FE4491">
              <w:t>Efficiency</w:t>
            </w:r>
          </w:p>
        </w:tc>
        <w:tc>
          <w:tcPr>
            <w:tcW w:w="434" w:type="pct"/>
            <w:textDirection w:val="btLr"/>
          </w:tcPr>
          <w:p w14:paraId="08059E46" w14:textId="77777777" w:rsidR="000D733F" w:rsidRPr="00FE4491" w:rsidRDefault="000D733F" w:rsidP="000D733F">
            <w:pPr>
              <w:pStyle w:val="TableTextColumnHeading"/>
            </w:pPr>
            <w:r w:rsidRPr="00FE4491">
              <w:t>Monitoring and Evaluation</w:t>
            </w:r>
          </w:p>
        </w:tc>
        <w:tc>
          <w:tcPr>
            <w:tcW w:w="375" w:type="pct"/>
            <w:textDirection w:val="btLr"/>
          </w:tcPr>
          <w:p w14:paraId="5A958D8A" w14:textId="77777777" w:rsidR="000D733F" w:rsidRPr="00FE4491" w:rsidRDefault="000D733F" w:rsidP="000D733F">
            <w:pPr>
              <w:pStyle w:val="TableTextColumnHeading"/>
            </w:pPr>
            <w:r w:rsidRPr="00FE4491">
              <w:t>Sustainability</w:t>
            </w:r>
          </w:p>
        </w:tc>
        <w:tc>
          <w:tcPr>
            <w:tcW w:w="402" w:type="pct"/>
            <w:textDirection w:val="btLr"/>
          </w:tcPr>
          <w:p w14:paraId="3663C41F" w14:textId="77777777" w:rsidR="000D733F" w:rsidRPr="00FE4491" w:rsidRDefault="000D733F" w:rsidP="000D733F">
            <w:pPr>
              <w:pStyle w:val="TableTextColumnHeading"/>
            </w:pPr>
            <w:r w:rsidRPr="00FE4491">
              <w:t>Gender equality</w:t>
            </w:r>
          </w:p>
        </w:tc>
      </w:tr>
      <w:tr w:rsidR="002F1A1D" w:rsidRPr="009D53C4" w14:paraId="26A479AB" w14:textId="77777777" w:rsidTr="007B134E">
        <w:trPr>
          <w:cnfStyle w:val="000000010000" w:firstRow="0" w:lastRow="0" w:firstColumn="0" w:lastColumn="0" w:oddVBand="0" w:evenVBand="0" w:oddHBand="0" w:evenHBand="1" w:firstRowFirstColumn="0" w:firstRowLastColumn="0" w:lastRowFirstColumn="0" w:lastRowLastColumn="0"/>
          <w:trHeight w:val="284"/>
        </w:trPr>
        <w:tc>
          <w:tcPr>
            <w:tcW w:w="1021" w:type="pct"/>
            <w:vMerge w:val="restart"/>
          </w:tcPr>
          <w:p w14:paraId="1DF344CA" w14:textId="77777777" w:rsidR="000D733F" w:rsidRPr="00FE4491" w:rsidRDefault="0051605C" w:rsidP="0051605C">
            <w:pPr>
              <w:pStyle w:val="TableTextEntries"/>
            </w:pPr>
            <w:r>
              <w:t>Public sector management</w:t>
            </w:r>
          </w:p>
        </w:tc>
        <w:tc>
          <w:tcPr>
            <w:tcW w:w="722" w:type="pct"/>
            <w:vMerge w:val="restart"/>
          </w:tcPr>
          <w:p w14:paraId="18A2B0FB" w14:textId="77777777" w:rsidR="000D733F" w:rsidRPr="00FE4491" w:rsidRDefault="000D733F" w:rsidP="000D733F">
            <w:pPr>
              <w:pStyle w:val="TableTextEntries"/>
            </w:pPr>
          </w:p>
        </w:tc>
        <w:tc>
          <w:tcPr>
            <w:tcW w:w="646" w:type="pct"/>
            <w:gridSpan w:val="2"/>
          </w:tcPr>
          <w:p w14:paraId="346C5E7B" w14:textId="77777777" w:rsidR="000D733F" w:rsidRPr="00FE4491" w:rsidRDefault="000D733F" w:rsidP="000D733F">
            <w:pPr>
              <w:pStyle w:val="TableTextEntries"/>
            </w:pPr>
            <w:r w:rsidRPr="00FE4491">
              <w:t>201</w:t>
            </w:r>
            <w:r>
              <w:t>3</w:t>
            </w:r>
          </w:p>
        </w:tc>
        <w:tc>
          <w:tcPr>
            <w:tcW w:w="466" w:type="pct"/>
            <w:shd w:val="clear" w:color="auto" w:fill="74A510" w:themeFill="background2" w:themeFillShade="80"/>
            <w:noWrap/>
          </w:tcPr>
          <w:p w14:paraId="3C717198" w14:textId="77777777" w:rsidR="000D733F" w:rsidRPr="00FE4491" w:rsidRDefault="002F1A1D" w:rsidP="000D733F">
            <w:pPr>
              <w:pStyle w:val="TableTextEntries"/>
              <w:jc w:val="center"/>
            </w:pPr>
            <w:r>
              <w:t>5</w:t>
            </w:r>
          </w:p>
        </w:tc>
        <w:tc>
          <w:tcPr>
            <w:tcW w:w="409" w:type="pct"/>
            <w:shd w:val="clear" w:color="auto" w:fill="74A510" w:themeFill="background2" w:themeFillShade="80"/>
            <w:noWrap/>
          </w:tcPr>
          <w:p w14:paraId="671FB70C" w14:textId="08B5DDC5" w:rsidR="000D733F" w:rsidRPr="00FE4491" w:rsidRDefault="005E480B" w:rsidP="000D733F">
            <w:pPr>
              <w:pStyle w:val="TableTextEntries"/>
              <w:jc w:val="center"/>
            </w:pPr>
            <w:r>
              <w:t>5</w:t>
            </w:r>
          </w:p>
        </w:tc>
        <w:tc>
          <w:tcPr>
            <w:tcW w:w="409" w:type="pct"/>
            <w:shd w:val="clear" w:color="auto" w:fill="74A510" w:themeFill="background2" w:themeFillShade="80"/>
            <w:noWrap/>
          </w:tcPr>
          <w:p w14:paraId="46BE379A" w14:textId="44098ACF" w:rsidR="000D733F" w:rsidRPr="00FE4491" w:rsidRDefault="005E480B" w:rsidP="000D733F">
            <w:pPr>
              <w:pStyle w:val="TableTextEntries"/>
              <w:jc w:val="center"/>
            </w:pPr>
            <w:r>
              <w:t>5</w:t>
            </w:r>
          </w:p>
        </w:tc>
        <w:tc>
          <w:tcPr>
            <w:tcW w:w="434" w:type="pct"/>
            <w:shd w:val="clear" w:color="auto" w:fill="74A510" w:themeFill="background2" w:themeFillShade="80"/>
            <w:noWrap/>
          </w:tcPr>
          <w:p w14:paraId="0A67EC89" w14:textId="77777777" w:rsidR="000D733F" w:rsidRPr="00FE4491" w:rsidRDefault="00F07410" w:rsidP="000D733F">
            <w:pPr>
              <w:pStyle w:val="TableTextEntries"/>
              <w:jc w:val="center"/>
            </w:pPr>
            <w:r>
              <w:t>5</w:t>
            </w:r>
          </w:p>
        </w:tc>
        <w:tc>
          <w:tcPr>
            <w:tcW w:w="375" w:type="pct"/>
            <w:shd w:val="clear" w:color="auto" w:fill="74A510" w:themeFill="background2" w:themeFillShade="80"/>
            <w:noWrap/>
          </w:tcPr>
          <w:p w14:paraId="4FE9F239" w14:textId="3D1F028A" w:rsidR="000D733F" w:rsidRPr="00FE4491" w:rsidRDefault="005E480B" w:rsidP="000D733F">
            <w:pPr>
              <w:pStyle w:val="TableTextEntries"/>
              <w:jc w:val="center"/>
            </w:pPr>
            <w:r>
              <w:t>5</w:t>
            </w:r>
          </w:p>
        </w:tc>
        <w:tc>
          <w:tcPr>
            <w:tcW w:w="402" w:type="pct"/>
            <w:shd w:val="clear" w:color="auto" w:fill="74A510" w:themeFill="background2" w:themeFillShade="80"/>
            <w:noWrap/>
          </w:tcPr>
          <w:p w14:paraId="5CFE6639" w14:textId="69B12BB7" w:rsidR="000D733F" w:rsidRPr="00FE4491" w:rsidRDefault="005E480B" w:rsidP="000D733F">
            <w:pPr>
              <w:pStyle w:val="TableTextEntries"/>
              <w:jc w:val="center"/>
            </w:pPr>
            <w:r>
              <w:t>5</w:t>
            </w:r>
          </w:p>
        </w:tc>
      </w:tr>
      <w:tr w:rsidR="002F1A1D" w:rsidRPr="009D53C4" w14:paraId="71FF31D7" w14:textId="77777777" w:rsidTr="003E1480">
        <w:trPr>
          <w:cnfStyle w:val="000000010000" w:firstRow="0" w:lastRow="0" w:firstColumn="0" w:lastColumn="0" w:oddVBand="0" w:evenVBand="0" w:oddHBand="0" w:evenHBand="1" w:firstRowFirstColumn="0" w:firstRowLastColumn="0" w:lastRowFirstColumn="0" w:lastRowLastColumn="0"/>
          <w:trHeight w:val="284"/>
        </w:trPr>
        <w:tc>
          <w:tcPr>
            <w:tcW w:w="1021" w:type="pct"/>
            <w:vMerge/>
          </w:tcPr>
          <w:p w14:paraId="0EDC4A40" w14:textId="77777777" w:rsidR="0051605C" w:rsidRPr="00FE4491" w:rsidRDefault="0051605C" w:rsidP="000D733F">
            <w:pPr>
              <w:pStyle w:val="TableTextEntries"/>
            </w:pPr>
          </w:p>
        </w:tc>
        <w:tc>
          <w:tcPr>
            <w:tcW w:w="722" w:type="pct"/>
            <w:vMerge/>
          </w:tcPr>
          <w:p w14:paraId="34192469" w14:textId="77777777" w:rsidR="0051605C" w:rsidRPr="00FE4491" w:rsidRDefault="0051605C" w:rsidP="000D733F">
            <w:pPr>
              <w:pStyle w:val="TableTextEntries"/>
            </w:pPr>
          </w:p>
        </w:tc>
        <w:tc>
          <w:tcPr>
            <w:tcW w:w="646" w:type="pct"/>
            <w:gridSpan w:val="2"/>
          </w:tcPr>
          <w:p w14:paraId="43969B99" w14:textId="77777777" w:rsidR="0051605C" w:rsidRPr="00FE4491" w:rsidRDefault="0051605C" w:rsidP="000D733F">
            <w:pPr>
              <w:pStyle w:val="TableTextEntries"/>
            </w:pPr>
            <w:r w:rsidRPr="00FE4491">
              <w:t>201</w:t>
            </w:r>
            <w:r>
              <w:t>2</w:t>
            </w:r>
          </w:p>
        </w:tc>
        <w:tc>
          <w:tcPr>
            <w:tcW w:w="466" w:type="pct"/>
            <w:shd w:val="clear" w:color="auto" w:fill="74A510" w:themeFill="background2" w:themeFillShade="80"/>
            <w:noWrap/>
          </w:tcPr>
          <w:p w14:paraId="03DC130E" w14:textId="77777777" w:rsidR="0051605C" w:rsidRPr="00FE4491" w:rsidRDefault="0051605C" w:rsidP="0091489D">
            <w:pPr>
              <w:pStyle w:val="TableTextEntries"/>
              <w:jc w:val="center"/>
            </w:pPr>
            <w:r w:rsidRPr="00FE4491">
              <w:t>5</w:t>
            </w:r>
          </w:p>
        </w:tc>
        <w:tc>
          <w:tcPr>
            <w:tcW w:w="409" w:type="pct"/>
            <w:shd w:val="clear" w:color="auto" w:fill="D67B01" w:themeFill="accent6" w:themeFillShade="BF"/>
            <w:noWrap/>
          </w:tcPr>
          <w:p w14:paraId="2CD3A4BA" w14:textId="77777777" w:rsidR="0051605C" w:rsidRPr="00FE4491" w:rsidRDefault="003E1480" w:rsidP="003E1480">
            <w:pPr>
              <w:pStyle w:val="TableTextEntries"/>
              <w:jc w:val="center"/>
            </w:pPr>
            <w:r>
              <w:t>3</w:t>
            </w:r>
          </w:p>
        </w:tc>
        <w:tc>
          <w:tcPr>
            <w:tcW w:w="409" w:type="pct"/>
            <w:shd w:val="clear" w:color="auto" w:fill="FFFF00"/>
            <w:noWrap/>
          </w:tcPr>
          <w:p w14:paraId="4E634697" w14:textId="77777777" w:rsidR="0051605C" w:rsidRPr="00FE4491" w:rsidRDefault="0051605C" w:rsidP="000D733F">
            <w:pPr>
              <w:pStyle w:val="TableTextEntries"/>
              <w:jc w:val="center"/>
            </w:pPr>
            <w:r>
              <w:t>4</w:t>
            </w:r>
          </w:p>
        </w:tc>
        <w:tc>
          <w:tcPr>
            <w:tcW w:w="434" w:type="pct"/>
            <w:shd w:val="clear" w:color="auto" w:fill="6E9400" w:themeFill="accent1" w:themeFillShade="BF"/>
            <w:noWrap/>
          </w:tcPr>
          <w:p w14:paraId="5197F296" w14:textId="77777777" w:rsidR="0051605C" w:rsidRPr="00FE4491" w:rsidRDefault="0051605C" w:rsidP="000D733F">
            <w:pPr>
              <w:pStyle w:val="TableTextEntries"/>
              <w:jc w:val="center"/>
            </w:pPr>
            <w:r>
              <w:t>5</w:t>
            </w:r>
          </w:p>
        </w:tc>
        <w:tc>
          <w:tcPr>
            <w:tcW w:w="375" w:type="pct"/>
            <w:shd w:val="clear" w:color="auto" w:fill="FFFF00"/>
            <w:noWrap/>
          </w:tcPr>
          <w:p w14:paraId="4D423544" w14:textId="77777777" w:rsidR="0051605C" w:rsidRPr="00FE4491" w:rsidRDefault="0051605C" w:rsidP="000D733F">
            <w:pPr>
              <w:pStyle w:val="TableTextEntries"/>
              <w:jc w:val="center"/>
            </w:pPr>
            <w:r>
              <w:t>4</w:t>
            </w:r>
          </w:p>
        </w:tc>
        <w:tc>
          <w:tcPr>
            <w:tcW w:w="402" w:type="pct"/>
            <w:shd w:val="clear" w:color="auto" w:fill="D67B01" w:themeFill="accent6" w:themeFillShade="BF"/>
            <w:noWrap/>
          </w:tcPr>
          <w:p w14:paraId="00024434" w14:textId="77777777" w:rsidR="0051605C" w:rsidRPr="00FE4491" w:rsidRDefault="0051605C" w:rsidP="000D733F">
            <w:pPr>
              <w:pStyle w:val="TableTextEntries"/>
              <w:jc w:val="center"/>
            </w:pPr>
            <w:r>
              <w:t>3</w:t>
            </w:r>
          </w:p>
        </w:tc>
      </w:tr>
      <w:tr w:rsidR="002F1A1D" w:rsidRPr="009D53C4" w14:paraId="7DABAED0" w14:textId="77777777" w:rsidTr="007B134E">
        <w:trPr>
          <w:cnfStyle w:val="000000010000" w:firstRow="0" w:lastRow="0" w:firstColumn="0" w:lastColumn="0" w:oddVBand="0" w:evenVBand="0" w:oddHBand="0" w:evenHBand="1" w:firstRowFirstColumn="0" w:firstRowLastColumn="0" w:lastRowFirstColumn="0" w:lastRowLastColumn="0"/>
          <w:trHeight w:val="284"/>
        </w:trPr>
        <w:tc>
          <w:tcPr>
            <w:tcW w:w="1021" w:type="pct"/>
            <w:vMerge w:val="restart"/>
          </w:tcPr>
          <w:p w14:paraId="6627F2BA" w14:textId="77777777" w:rsidR="0051605C" w:rsidRPr="0051605C" w:rsidRDefault="0051605C" w:rsidP="000D733F">
            <w:pPr>
              <w:pStyle w:val="TableTextEntries"/>
            </w:pPr>
            <w:r w:rsidRPr="0051605C">
              <w:t>Education</w:t>
            </w:r>
          </w:p>
        </w:tc>
        <w:tc>
          <w:tcPr>
            <w:tcW w:w="722" w:type="pct"/>
            <w:vMerge w:val="restart"/>
          </w:tcPr>
          <w:p w14:paraId="2597A74F" w14:textId="77777777" w:rsidR="0051605C" w:rsidRPr="00FE4491" w:rsidRDefault="0051605C" w:rsidP="000D733F">
            <w:pPr>
              <w:pStyle w:val="TableTextEntries"/>
            </w:pPr>
          </w:p>
        </w:tc>
        <w:tc>
          <w:tcPr>
            <w:tcW w:w="646" w:type="pct"/>
            <w:gridSpan w:val="2"/>
          </w:tcPr>
          <w:p w14:paraId="45FA3E17" w14:textId="77777777" w:rsidR="0051605C" w:rsidRPr="00FE4491" w:rsidRDefault="0051605C" w:rsidP="000D733F">
            <w:pPr>
              <w:pStyle w:val="TableTextEntries"/>
            </w:pPr>
            <w:r w:rsidRPr="00FE4491">
              <w:t>201</w:t>
            </w:r>
            <w:r>
              <w:t>3</w:t>
            </w:r>
          </w:p>
        </w:tc>
        <w:tc>
          <w:tcPr>
            <w:tcW w:w="466" w:type="pct"/>
            <w:shd w:val="clear" w:color="auto" w:fill="74A510" w:themeFill="background2" w:themeFillShade="80"/>
            <w:noWrap/>
          </w:tcPr>
          <w:p w14:paraId="2C2CE1A2" w14:textId="77777777" w:rsidR="0051605C" w:rsidRPr="00FE4491" w:rsidRDefault="00F07410" w:rsidP="000D733F">
            <w:pPr>
              <w:pStyle w:val="TableTextEntries"/>
              <w:jc w:val="center"/>
            </w:pPr>
            <w:r>
              <w:t>5</w:t>
            </w:r>
          </w:p>
        </w:tc>
        <w:tc>
          <w:tcPr>
            <w:tcW w:w="409" w:type="pct"/>
            <w:shd w:val="clear" w:color="auto" w:fill="FFFF00"/>
            <w:noWrap/>
          </w:tcPr>
          <w:p w14:paraId="50D8BF32" w14:textId="4CE7058A" w:rsidR="0051605C" w:rsidRPr="00FE4491" w:rsidRDefault="005E480B" w:rsidP="000D733F">
            <w:pPr>
              <w:pStyle w:val="TableTextEntries"/>
              <w:jc w:val="center"/>
            </w:pPr>
            <w:r>
              <w:t>4</w:t>
            </w:r>
          </w:p>
        </w:tc>
        <w:tc>
          <w:tcPr>
            <w:tcW w:w="409" w:type="pct"/>
            <w:shd w:val="clear" w:color="auto" w:fill="74A510" w:themeFill="background2" w:themeFillShade="80"/>
            <w:noWrap/>
          </w:tcPr>
          <w:p w14:paraId="262BB59C" w14:textId="55CC54DA" w:rsidR="0051605C" w:rsidRPr="00FE4491" w:rsidRDefault="005E480B" w:rsidP="000D733F">
            <w:pPr>
              <w:pStyle w:val="TableTextEntries"/>
              <w:jc w:val="center"/>
            </w:pPr>
            <w:r>
              <w:t>5</w:t>
            </w:r>
          </w:p>
        </w:tc>
        <w:tc>
          <w:tcPr>
            <w:tcW w:w="434" w:type="pct"/>
            <w:shd w:val="clear" w:color="auto" w:fill="FFFF00"/>
            <w:noWrap/>
          </w:tcPr>
          <w:p w14:paraId="75E2F058" w14:textId="1AE0013F" w:rsidR="0051605C" w:rsidRPr="00FE4491" w:rsidRDefault="005E480B" w:rsidP="000D733F">
            <w:pPr>
              <w:pStyle w:val="TableTextEntries"/>
              <w:jc w:val="center"/>
            </w:pPr>
            <w:r>
              <w:t>4</w:t>
            </w:r>
          </w:p>
        </w:tc>
        <w:tc>
          <w:tcPr>
            <w:tcW w:w="375" w:type="pct"/>
            <w:shd w:val="clear" w:color="auto" w:fill="74A510" w:themeFill="background2" w:themeFillShade="80"/>
            <w:noWrap/>
          </w:tcPr>
          <w:p w14:paraId="1E2B5589" w14:textId="1E9C7D65" w:rsidR="0051605C" w:rsidRPr="00FE4491" w:rsidRDefault="005E480B" w:rsidP="000D733F">
            <w:pPr>
              <w:pStyle w:val="TableTextEntries"/>
              <w:jc w:val="center"/>
            </w:pPr>
            <w:r>
              <w:t>5</w:t>
            </w:r>
          </w:p>
        </w:tc>
        <w:tc>
          <w:tcPr>
            <w:tcW w:w="402" w:type="pct"/>
            <w:shd w:val="clear" w:color="auto" w:fill="FFFF00"/>
            <w:noWrap/>
          </w:tcPr>
          <w:p w14:paraId="7F7D1C18" w14:textId="7483454F" w:rsidR="0051605C" w:rsidRPr="00FE4491" w:rsidRDefault="005E480B" w:rsidP="000D733F">
            <w:pPr>
              <w:pStyle w:val="TableTextEntries"/>
              <w:jc w:val="center"/>
            </w:pPr>
            <w:r>
              <w:t>4</w:t>
            </w:r>
          </w:p>
        </w:tc>
      </w:tr>
      <w:tr w:rsidR="002F1A1D" w:rsidRPr="009D53C4" w14:paraId="005468A0" w14:textId="77777777" w:rsidTr="00C740AB">
        <w:trPr>
          <w:cnfStyle w:val="000000010000" w:firstRow="0" w:lastRow="0" w:firstColumn="0" w:lastColumn="0" w:oddVBand="0" w:evenVBand="0" w:oddHBand="0" w:evenHBand="1" w:firstRowFirstColumn="0" w:firstRowLastColumn="0" w:lastRowFirstColumn="0" w:lastRowLastColumn="0"/>
          <w:trHeight w:val="284"/>
        </w:trPr>
        <w:tc>
          <w:tcPr>
            <w:tcW w:w="1021" w:type="pct"/>
            <w:vMerge/>
          </w:tcPr>
          <w:p w14:paraId="3E5E698F" w14:textId="77777777" w:rsidR="0051605C" w:rsidRPr="0051605C" w:rsidRDefault="0051605C" w:rsidP="000D733F">
            <w:pPr>
              <w:pStyle w:val="TableTextEntries"/>
            </w:pPr>
          </w:p>
        </w:tc>
        <w:tc>
          <w:tcPr>
            <w:tcW w:w="722" w:type="pct"/>
            <w:vMerge/>
          </w:tcPr>
          <w:p w14:paraId="47046080" w14:textId="77777777" w:rsidR="0051605C" w:rsidRPr="00FE4491" w:rsidRDefault="0051605C" w:rsidP="000D733F">
            <w:pPr>
              <w:pStyle w:val="TableTextEntries"/>
            </w:pPr>
          </w:p>
        </w:tc>
        <w:tc>
          <w:tcPr>
            <w:tcW w:w="646" w:type="pct"/>
            <w:gridSpan w:val="2"/>
          </w:tcPr>
          <w:p w14:paraId="0DF6E844" w14:textId="77777777" w:rsidR="0051605C" w:rsidRPr="00FE4491" w:rsidRDefault="0051605C" w:rsidP="000D733F">
            <w:pPr>
              <w:pStyle w:val="TableTextEntries"/>
            </w:pPr>
            <w:r w:rsidRPr="00FE4491">
              <w:t>201</w:t>
            </w:r>
            <w:r>
              <w:t>2</w:t>
            </w:r>
          </w:p>
        </w:tc>
        <w:tc>
          <w:tcPr>
            <w:tcW w:w="466" w:type="pct"/>
            <w:shd w:val="clear" w:color="auto" w:fill="74A510" w:themeFill="background2" w:themeFillShade="80"/>
            <w:noWrap/>
          </w:tcPr>
          <w:p w14:paraId="54394368" w14:textId="77777777" w:rsidR="0051605C" w:rsidRPr="00FE4491" w:rsidRDefault="002F1A1D" w:rsidP="000D733F">
            <w:pPr>
              <w:pStyle w:val="TableTextEntries"/>
              <w:jc w:val="center"/>
            </w:pPr>
            <w:r>
              <w:t>5</w:t>
            </w:r>
          </w:p>
        </w:tc>
        <w:tc>
          <w:tcPr>
            <w:tcW w:w="409" w:type="pct"/>
            <w:shd w:val="clear" w:color="auto" w:fill="FFFF00"/>
            <w:noWrap/>
          </w:tcPr>
          <w:p w14:paraId="33DBCA4B" w14:textId="77777777" w:rsidR="0051605C" w:rsidRPr="00FE4491" w:rsidRDefault="002F1A1D" w:rsidP="000D733F">
            <w:pPr>
              <w:pStyle w:val="TableTextEntries"/>
              <w:jc w:val="center"/>
            </w:pPr>
            <w:r>
              <w:t>4</w:t>
            </w:r>
          </w:p>
        </w:tc>
        <w:tc>
          <w:tcPr>
            <w:tcW w:w="409" w:type="pct"/>
            <w:shd w:val="clear" w:color="auto" w:fill="74A510" w:themeFill="background2" w:themeFillShade="80"/>
            <w:noWrap/>
          </w:tcPr>
          <w:p w14:paraId="11EC6D1A" w14:textId="77777777" w:rsidR="0051605C" w:rsidRPr="00FE4491" w:rsidRDefault="002F1A1D" w:rsidP="000D733F">
            <w:pPr>
              <w:pStyle w:val="TableTextEntries"/>
              <w:jc w:val="center"/>
            </w:pPr>
            <w:r>
              <w:t>5</w:t>
            </w:r>
          </w:p>
        </w:tc>
        <w:tc>
          <w:tcPr>
            <w:tcW w:w="434" w:type="pct"/>
            <w:shd w:val="clear" w:color="auto" w:fill="FFFF00"/>
            <w:noWrap/>
          </w:tcPr>
          <w:p w14:paraId="3622275B" w14:textId="77777777" w:rsidR="0051605C" w:rsidRPr="00FE4491" w:rsidRDefault="002F1A1D" w:rsidP="000D733F">
            <w:pPr>
              <w:pStyle w:val="TableTextEntries"/>
              <w:jc w:val="center"/>
            </w:pPr>
            <w:r>
              <w:t>4</w:t>
            </w:r>
          </w:p>
        </w:tc>
        <w:tc>
          <w:tcPr>
            <w:tcW w:w="375" w:type="pct"/>
            <w:shd w:val="clear" w:color="auto" w:fill="FFFF00"/>
            <w:noWrap/>
          </w:tcPr>
          <w:p w14:paraId="574CAEA4" w14:textId="77777777" w:rsidR="0051605C" w:rsidRPr="00FE4491" w:rsidRDefault="002F1A1D" w:rsidP="000D733F">
            <w:pPr>
              <w:pStyle w:val="TableTextEntries"/>
              <w:jc w:val="center"/>
            </w:pPr>
            <w:r>
              <w:t>4</w:t>
            </w:r>
          </w:p>
        </w:tc>
        <w:tc>
          <w:tcPr>
            <w:tcW w:w="402" w:type="pct"/>
            <w:shd w:val="clear" w:color="auto" w:fill="74A510" w:themeFill="background2" w:themeFillShade="80"/>
            <w:noWrap/>
          </w:tcPr>
          <w:p w14:paraId="33D4A897" w14:textId="77777777" w:rsidR="0051605C" w:rsidRPr="00FE4491" w:rsidRDefault="002F1A1D" w:rsidP="000D733F">
            <w:pPr>
              <w:pStyle w:val="TableTextEntries"/>
              <w:jc w:val="center"/>
            </w:pPr>
            <w:r>
              <w:t>5</w:t>
            </w:r>
          </w:p>
        </w:tc>
      </w:tr>
      <w:tr w:rsidR="00F07410" w:rsidRPr="009D53C4" w14:paraId="5966D1D9" w14:textId="77777777" w:rsidTr="007B134E">
        <w:trPr>
          <w:cnfStyle w:val="000000010000" w:firstRow="0" w:lastRow="0" w:firstColumn="0" w:lastColumn="0" w:oddVBand="0" w:evenVBand="0" w:oddHBand="0" w:evenHBand="1" w:firstRowFirstColumn="0" w:firstRowLastColumn="0" w:lastRowFirstColumn="0" w:lastRowLastColumn="0"/>
          <w:trHeight w:val="284"/>
        </w:trPr>
        <w:tc>
          <w:tcPr>
            <w:tcW w:w="1021" w:type="pct"/>
          </w:tcPr>
          <w:p w14:paraId="413E6557" w14:textId="77777777" w:rsidR="002F1A1D" w:rsidRPr="0051605C" w:rsidRDefault="002F1A1D" w:rsidP="000D733F">
            <w:pPr>
              <w:pStyle w:val="TableTextEntries"/>
            </w:pPr>
            <w:r w:rsidRPr="0051605C">
              <w:t>Health</w:t>
            </w:r>
          </w:p>
        </w:tc>
        <w:tc>
          <w:tcPr>
            <w:tcW w:w="722" w:type="pct"/>
          </w:tcPr>
          <w:p w14:paraId="11C2A2AF" w14:textId="77777777" w:rsidR="002F1A1D" w:rsidRPr="00FE4491" w:rsidRDefault="002F1A1D" w:rsidP="000D733F">
            <w:pPr>
              <w:pStyle w:val="TableTextEntries"/>
            </w:pPr>
          </w:p>
        </w:tc>
        <w:tc>
          <w:tcPr>
            <w:tcW w:w="646" w:type="pct"/>
            <w:gridSpan w:val="2"/>
          </w:tcPr>
          <w:p w14:paraId="72E7E0E6" w14:textId="77777777" w:rsidR="002F1A1D" w:rsidRPr="00FE4491" w:rsidRDefault="002F1A1D" w:rsidP="0091489D">
            <w:pPr>
              <w:pStyle w:val="TableTextEntries"/>
            </w:pPr>
            <w:r w:rsidRPr="00FE4491">
              <w:t>201</w:t>
            </w:r>
            <w:r>
              <w:t>3</w:t>
            </w:r>
          </w:p>
        </w:tc>
        <w:tc>
          <w:tcPr>
            <w:tcW w:w="466" w:type="pct"/>
            <w:shd w:val="clear" w:color="auto" w:fill="74A510" w:themeFill="background2" w:themeFillShade="80"/>
            <w:noWrap/>
          </w:tcPr>
          <w:p w14:paraId="44ABC2C7" w14:textId="77777777" w:rsidR="002F1A1D" w:rsidRPr="00FE4491" w:rsidRDefault="00F07410" w:rsidP="0091489D">
            <w:pPr>
              <w:pStyle w:val="TableTextEntries"/>
              <w:jc w:val="center"/>
            </w:pPr>
            <w:r>
              <w:t>5</w:t>
            </w:r>
          </w:p>
        </w:tc>
        <w:tc>
          <w:tcPr>
            <w:tcW w:w="409" w:type="pct"/>
            <w:shd w:val="clear" w:color="auto" w:fill="FFFF00"/>
            <w:noWrap/>
          </w:tcPr>
          <w:p w14:paraId="0C5C2370" w14:textId="6B06DBB0" w:rsidR="002F1A1D" w:rsidRPr="00FE4491" w:rsidRDefault="005E480B" w:rsidP="0091489D">
            <w:pPr>
              <w:pStyle w:val="TableTextEntries"/>
              <w:jc w:val="center"/>
            </w:pPr>
            <w:r>
              <w:t>4</w:t>
            </w:r>
          </w:p>
        </w:tc>
        <w:tc>
          <w:tcPr>
            <w:tcW w:w="409" w:type="pct"/>
            <w:shd w:val="clear" w:color="auto" w:fill="FFFF00"/>
            <w:noWrap/>
          </w:tcPr>
          <w:p w14:paraId="45C83CAE" w14:textId="0126CFAD" w:rsidR="002F1A1D" w:rsidRPr="00FE4491" w:rsidRDefault="005E480B" w:rsidP="0091489D">
            <w:pPr>
              <w:pStyle w:val="TableTextEntries"/>
              <w:jc w:val="center"/>
            </w:pPr>
            <w:r>
              <w:t>4</w:t>
            </w:r>
          </w:p>
        </w:tc>
        <w:tc>
          <w:tcPr>
            <w:tcW w:w="434" w:type="pct"/>
            <w:shd w:val="clear" w:color="auto" w:fill="FFFF00"/>
            <w:noWrap/>
          </w:tcPr>
          <w:p w14:paraId="2DCCB382" w14:textId="48F9C024" w:rsidR="002F1A1D" w:rsidRPr="00FE4491" w:rsidRDefault="005E480B" w:rsidP="0091489D">
            <w:pPr>
              <w:pStyle w:val="TableTextEntries"/>
              <w:jc w:val="center"/>
            </w:pPr>
            <w:r>
              <w:t>4</w:t>
            </w:r>
          </w:p>
        </w:tc>
        <w:tc>
          <w:tcPr>
            <w:tcW w:w="375" w:type="pct"/>
            <w:shd w:val="clear" w:color="auto" w:fill="FFFF00"/>
            <w:noWrap/>
          </w:tcPr>
          <w:p w14:paraId="210F42F8" w14:textId="304D09EF" w:rsidR="002F1A1D" w:rsidRPr="00FE4491" w:rsidRDefault="005E480B" w:rsidP="0091489D">
            <w:pPr>
              <w:pStyle w:val="TableTextEntries"/>
              <w:jc w:val="center"/>
            </w:pPr>
            <w:r>
              <w:t>4</w:t>
            </w:r>
          </w:p>
        </w:tc>
        <w:tc>
          <w:tcPr>
            <w:tcW w:w="402" w:type="pct"/>
            <w:shd w:val="clear" w:color="auto" w:fill="FFFF00"/>
            <w:noWrap/>
          </w:tcPr>
          <w:p w14:paraId="6188D52C" w14:textId="1682E780" w:rsidR="002F1A1D" w:rsidRPr="00FE4491" w:rsidRDefault="005E480B" w:rsidP="0091489D">
            <w:pPr>
              <w:pStyle w:val="TableTextEntries"/>
              <w:jc w:val="center"/>
            </w:pPr>
            <w:r>
              <w:t>4</w:t>
            </w:r>
          </w:p>
        </w:tc>
      </w:tr>
      <w:tr w:rsidR="002F1A1D" w:rsidRPr="009D53C4" w14:paraId="269A874D" w14:textId="77777777" w:rsidTr="00C740AB">
        <w:trPr>
          <w:cnfStyle w:val="000000010000" w:firstRow="0" w:lastRow="0" w:firstColumn="0" w:lastColumn="0" w:oddVBand="0" w:evenVBand="0" w:oddHBand="0" w:evenHBand="1" w:firstRowFirstColumn="0" w:firstRowLastColumn="0" w:lastRowFirstColumn="0" w:lastRowLastColumn="0"/>
          <w:trHeight w:val="284"/>
        </w:trPr>
        <w:tc>
          <w:tcPr>
            <w:tcW w:w="1021" w:type="pct"/>
          </w:tcPr>
          <w:p w14:paraId="588D5C01" w14:textId="77777777" w:rsidR="002F1A1D" w:rsidRPr="0051605C" w:rsidRDefault="002F1A1D" w:rsidP="000D733F">
            <w:pPr>
              <w:pStyle w:val="TableTextEntries"/>
            </w:pPr>
          </w:p>
        </w:tc>
        <w:tc>
          <w:tcPr>
            <w:tcW w:w="722" w:type="pct"/>
          </w:tcPr>
          <w:p w14:paraId="420F7AF7" w14:textId="77777777" w:rsidR="002F1A1D" w:rsidRPr="00FE4491" w:rsidRDefault="002F1A1D" w:rsidP="000D733F">
            <w:pPr>
              <w:pStyle w:val="TableTextEntries"/>
            </w:pPr>
          </w:p>
        </w:tc>
        <w:tc>
          <w:tcPr>
            <w:tcW w:w="646" w:type="pct"/>
            <w:gridSpan w:val="2"/>
          </w:tcPr>
          <w:p w14:paraId="66ED1F15" w14:textId="77777777" w:rsidR="002F1A1D" w:rsidRPr="00FE4491" w:rsidRDefault="002F1A1D" w:rsidP="0091489D">
            <w:pPr>
              <w:pStyle w:val="TableTextEntries"/>
            </w:pPr>
            <w:r>
              <w:t>2012</w:t>
            </w:r>
          </w:p>
        </w:tc>
        <w:tc>
          <w:tcPr>
            <w:tcW w:w="466" w:type="pct"/>
            <w:shd w:val="clear" w:color="auto" w:fill="74A510" w:themeFill="background2" w:themeFillShade="80"/>
            <w:noWrap/>
          </w:tcPr>
          <w:p w14:paraId="31CE622A" w14:textId="77777777" w:rsidR="002F1A1D" w:rsidRPr="00FE4491" w:rsidRDefault="002F1A1D" w:rsidP="0091489D">
            <w:pPr>
              <w:pStyle w:val="TableTextEntries"/>
              <w:jc w:val="center"/>
            </w:pPr>
            <w:r>
              <w:t>6</w:t>
            </w:r>
          </w:p>
        </w:tc>
        <w:tc>
          <w:tcPr>
            <w:tcW w:w="409" w:type="pct"/>
            <w:shd w:val="clear" w:color="auto" w:fill="FFFF00"/>
            <w:noWrap/>
          </w:tcPr>
          <w:p w14:paraId="5598B08F" w14:textId="77777777" w:rsidR="002F1A1D" w:rsidRPr="00FE4491" w:rsidRDefault="002F1A1D" w:rsidP="0091489D">
            <w:pPr>
              <w:pStyle w:val="TableTextEntries"/>
              <w:jc w:val="center"/>
            </w:pPr>
            <w:r>
              <w:t>4</w:t>
            </w:r>
          </w:p>
        </w:tc>
        <w:tc>
          <w:tcPr>
            <w:tcW w:w="409" w:type="pct"/>
            <w:shd w:val="clear" w:color="auto" w:fill="74A510" w:themeFill="background2" w:themeFillShade="80"/>
            <w:noWrap/>
          </w:tcPr>
          <w:p w14:paraId="5DBA4CD7" w14:textId="77777777" w:rsidR="002F1A1D" w:rsidRPr="00FE4491" w:rsidRDefault="002F1A1D" w:rsidP="0091489D">
            <w:pPr>
              <w:pStyle w:val="TableTextEntries"/>
              <w:jc w:val="center"/>
            </w:pPr>
            <w:r>
              <w:t>5</w:t>
            </w:r>
          </w:p>
        </w:tc>
        <w:tc>
          <w:tcPr>
            <w:tcW w:w="434" w:type="pct"/>
            <w:shd w:val="clear" w:color="auto" w:fill="FFFF00"/>
            <w:noWrap/>
          </w:tcPr>
          <w:p w14:paraId="4F22CDB7" w14:textId="77777777" w:rsidR="002F1A1D" w:rsidRPr="00FE4491" w:rsidRDefault="002F1A1D" w:rsidP="0091489D">
            <w:pPr>
              <w:pStyle w:val="TableTextEntries"/>
              <w:jc w:val="center"/>
            </w:pPr>
            <w:r>
              <w:t>4</w:t>
            </w:r>
          </w:p>
        </w:tc>
        <w:tc>
          <w:tcPr>
            <w:tcW w:w="375" w:type="pct"/>
            <w:shd w:val="clear" w:color="auto" w:fill="FFFF00"/>
            <w:noWrap/>
          </w:tcPr>
          <w:p w14:paraId="053AB7C1" w14:textId="77777777" w:rsidR="002F1A1D" w:rsidRPr="00FE4491" w:rsidRDefault="002F1A1D" w:rsidP="0091489D">
            <w:pPr>
              <w:pStyle w:val="TableTextEntries"/>
              <w:jc w:val="center"/>
            </w:pPr>
            <w:r>
              <w:t>4</w:t>
            </w:r>
          </w:p>
        </w:tc>
        <w:tc>
          <w:tcPr>
            <w:tcW w:w="402" w:type="pct"/>
            <w:shd w:val="clear" w:color="auto" w:fill="FFFF00"/>
            <w:noWrap/>
          </w:tcPr>
          <w:p w14:paraId="38A82B86" w14:textId="77777777" w:rsidR="002F1A1D" w:rsidRPr="00FE4491" w:rsidRDefault="002F1A1D" w:rsidP="0091489D">
            <w:pPr>
              <w:pStyle w:val="TableTextEntries"/>
              <w:jc w:val="center"/>
            </w:pPr>
            <w:r>
              <w:t>4</w:t>
            </w:r>
          </w:p>
        </w:tc>
      </w:tr>
      <w:tr w:rsidR="00F07410" w:rsidRPr="009D53C4" w14:paraId="4AAEB9E1" w14:textId="77777777" w:rsidTr="007B134E">
        <w:trPr>
          <w:cnfStyle w:val="000000010000" w:firstRow="0" w:lastRow="0" w:firstColumn="0" w:lastColumn="0" w:oddVBand="0" w:evenVBand="0" w:oddHBand="0" w:evenHBand="1" w:firstRowFirstColumn="0" w:firstRowLastColumn="0" w:lastRowFirstColumn="0" w:lastRowLastColumn="0"/>
          <w:trHeight w:val="284"/>
        </w:trPr>
        <w:tc>
          <w:tcPr>
            <w:tcW w:w="1021" w:type="pct"/>
          </w:tcPr>
          <w:p w14:paraId="114563BA" w14:textId="77777777" w:rsidR="002F1A1D" w:rsidRPr="0051605C" w:rsidRDefault="002F1A1D" w:rsidP="000D733F">
            <w:pPr>
              <w:pStyle w:val="TableTextEntries"/>
            </w:pPr>
            <w:r w:rsidRPr="0051605C">
              <w:t>Infrastructure</w:t>
            </w:r>
          </w:p>
        </w:tc>
        <w:tc>
          <w:tcPr>
            <w:tcW w:w="722" w:type="pct"/>
          </w:tcPr>
          <w:p w14:paraId="2E0F8660" w14:textId="77777777" w:rsidR="002F1A1D" w:rsidRPr="00FE4491" w:rsidRDefault="002F1A1D" w:rsidP="000D733F">
            <w:pPr>
              <w:pStyle w:val="TableTextEntries"/>
            </w:pPr>
          </w:p>
        </w:tc>
        <w:tc>
          <w:tcPr>
            <w:tcW w:w="646" w:type="pct"/>
            <w:gridSpan w:val="2"/>
          </w:tcPr>
          <w:p w14:paraId="24A2E65F" w14:textId="77777777" w:rsidR="002F1A1D" w:rsidRPr="00FE4491" w:rsidRDefault="002F1A1D" w:rsidP="0091489D">
            <w:pPr>
              <w:pStyle w:val="TableTextEntries"/>
            </w:pPr>
            <w:r w:rsidRPr="00FE4491">
              <w:t>201</w:t>
            </w:r>
            <w:r>
              <w:t>3</w:t>
            </w:r>
          </w:p>
        </w:tc>
        <w:tc>
          <w:tcPr>
            <w:tcW w:w="466" w:type="pct"/>
            <w:shd w:val="clear" w:color="auto" w:fill="FFFF00"/>
            <w:noWrap/>
          </w:tcPr>
          <w:p w14:paraId="186C87A8" w14:textId="77777777" w:rsidR="002F1A1D" w:rsidRPr="00FE4491" w:rsidRDefault="00F07410" w:rsidP="0091489D">
            <w:pPr>
              <w:pStyle w:val="TableTextEntries"/>
              <w:jc w:val="center"/>
            </w:pPr>
            <w:r>
              <w:t>4</w:t>
            </w:r>
          </w:p>
        </w:tc>
        <w:tc>
          <w:tcPr>
            <w:tcW w:w="409" w:type="pct"/>
            <w:shd w:val="clear" w:color="auto" w:fill="FFFF00"/>
            <w:noWrap/>
          </w:tcPr>
          <w:p w14:paraId="169CF3E7" w14:textId="36F7CC87" w:rsidR="002F1A1D" w:rsidRPr="00FE4491" w:rsidRDefault="005E480B" w:rsidP="0091489D">
            <w:pPr>
              <w:pStyle w:val="TableTextEntries"/>
              <w:jc w:val="center"/>
            </w:pPr>
            <w:r>
              <w:t>4</w:t>
            </w:r>
          </w:p>
        </w:tc>
        <w:tc>
          <w:tcPr>
            <w:tcW w:w="409" w:type="pct"/>
            <w:shd w:val="clear" w:color="auto" w:fill="FFFF00"/>
            <w:noWrap/>
          </w:tcPr>
          <w:p w14:paraId="1E459D6B" w14:textId="5B6E2544" w:rsidR="002F1A1D" w:rsidRPr="00FE4491" w:rsidRDefault="005E480B" w:rsidP="0091489D">
            <w:pPr>
              <w:pStyle w:val="TableTextEntries"/>
              <w:jc w:val="center"/>
            </w:pPr>
            <w:r>
              <w:t>4</w:t>
            </w:r>
          </w:p>
        </w:tc>
        <w:tc>
          <w:tcPr>
            <w:tcW w:w="434" w:type="pct"/>
            <w:shd w:val="clear" w:color="auto" w:fill="74A510" w:themeFill="background2" w:themeFillShade="80"/>
            <w:noWrap/>
          </w:tcPr>
          <w:p w14:paraId="6FB4C3B2" w14:textId="2B9893D2" w:rsidR="002F1A1D" w:rsidRPr="00FE4491" w:rsidRDefault="005E480B" w:rsidP="0091489D">
            <w:pPr>
              <w:pStyle w:val="TableTextEntries"/>
              <w:jc w:val="center"/>
            </w:pPr>
            <w:r>
              <w:t>5</w:t>
            </w:r>
          </w:p>
        </w:tc>
        <w:tc>
          <w:tcPr>
            <w:tcW w:w="375" w:type="pct"/>
            <w:shd w:val="clear" w:color="auto" w:fill="74A510" w:themeFill="background2" w:themeFillShade="80"/>
            <w:noWrap/>
          </w:tcPr>
          <w:p w14:paraId="04C47BDA" w14:textId="176BAB45" w:rsidR="002F1A1D" w:rsidRPr="00FE4491" w:rsidRDefault="005E480B" w:rsidP="0091489D">
            <w:pPr>
              <w:pStyle w:val="TableTextEntries"/>
              <w:jc w:val="center"/>
            </w:pPr>
            <w:r>
              <w:t>5</w:t>
            </w:r>
          </w:p>
        </w:tc>
        <w:tc>
          <w:tcPr>
            <w:tcW w:w="402" w:type="pct"/>
            <w:shd w:val="clear" w:color="auto" w:fill="D67B01" w:themeFill="accent6" w:themeFillShade="BF"/>
            <w:noWrap/>
          </w:tcPr>
          <w:p w14:paraId="00D01B2A" w14:textId="18963097" w:rsidR="002F1A1D" w:rsidRPr="00FE4491" w:rsidRDefault="005E480B" w:rsidP="0091489D">
            <w:pPr>
              <w:pStyle w:val="TableTextEntries"/>
              <w:jc w:val="center"/>
            </w:pPr>
            <w:r>
              <w:t>3</w:t>
            </w:r>
          </w:p>
        </w:tc>
      </w:tr>
      <w:tr w:rsidR="002F1A1D" w:rsidRPr="009D53C4" w14:paraId="75E9A596" w14:textId="77777777" w:rsidTr="00C740AB">
        <w:trPr>
          <w:cnfStyle w:val="000000010000" w:firstRow="0" w:lastRow="0" w:firstColumn="0" w:lastColumn="0" w:oddVBand="0" w:evenVBand="0" w:oddHBand="0" w:evenHBand="1" w:firstRowFirstColumn="0" w:firstRowLastColumn="0" w:lastRowFirstColumn="0" w:lastRowLastColumn="0"/>
          <w:trHeight w:val="284"/>
        </w:trPr>
        <w:tc>
          <w:tcPr>
            <w:tcW w:w="1021" w:type="pct"/>
          </w:tcPr>
          <w:p w14:paraId="2C1DB93E" w14:textId="77777777" w:rsidR="002F1A1D" w:rsidRPr="0051605C" w:rsidRDefault="002F1A1D" w:rsidP="000D733F">
            <w:pPr>
              <w:pStyle w:val="TableTextEntries"/>
            </w:pPr>
          </w:p>
        </w:tc>
        <w:tc>
          <w:tcPr>
            <w:tcW w:w="722" w:type="pct"/>
          </w:tcPr>
          <w:p w14:paraId="0B584FED" w14:textId="77777777" w:rsidR="002F1A1D" w:rsidRPr="00FE4491" w:rsidRDefault="002F1A1D" w:rsidP="000D733F">
            <w:pPr>
              <w:pStyle w:val="TableTextEntries"/>
            </w:pPr>
          </w:p>
        </w:tc>
        <w:tc>
          <w:tcPr>
            <w:tcW w:w="646" w:type="pct"/>
            <w:gridSpan w:val="2"/>
          </w:tcPr>
          <w:p w14:paraId="55FEE6C0" w14:textId="77777777" w:rsidR="002F1A1D" w:rsidRPr="00FE4491" w:rsidRDefault="002F1A1D" w:rsidP="0091489D">
            <w:pPr>
              <w:pStyle w:val="TableTextEntries"/>
            </w:pPr>
            <w:r>
              <w:t>2012</w:t>
            </w:r>
          </w:p>
        </w:tc>
        <w:tc>
          <w:tcPr>
            <w:tcW w:w="466" w:type="pct"/>
            <w:shd w:val="clear" w:color="auto" w:fill="74A510" w:themeFill="background2" w:themeFillShade="80"/>
            <w:noWrap/>
          </w:tcPr>
          <w:p w14:paraId="2EE741AC" w14:textId="77777777" w:rsidR="002F1A1D" w:rsidRPr="00FE4491" w:rsidRDefault="002F1A1D" w:rsidP="0091489D">
            <w:pPr>
              <w:pStyle w:val="TableTextEntries"/>
              <w:jc w:val="center"/>
            </w:pPr>
            <w:r>
              <w:t>5</w:t>
            </w:r>
          </w:p>
        </w:tc>
        <w:tc>
          <w:tcPr>
            <w:tcW w:w="409" w:type="pct"/>
            <w:shd w:val="clear" w:color="auto" w:fill="74A510" w:themeFill="background2" w:themeFillShade="80"/>
            <w:noWrap/>
          </w:tcPr>
          <w:p w14:paraId="78CF28DD" w14:textId="77777777" w:rsidR="002F1A1D" w:rsidRPr="00FE4491" w:rsidRDefault="002F1A1D" w:rsidP="0091489D">
            <w:pPr>
              <w:pStyle w:val="TableTextEntries"/>
              <w:jc w:val="center"/>
            </w:pPr>
            <w:r>
              <w:t>5</w:t>
            </w:r>
          </w:p>
        </w:tc>
        <w:tc>
          <w:tcPr>
            <w:tcW w:w="409" w:type="pct"/>
            <w:shd w:val="clear" w:color="auto" w:fill="74A510" w:themeFill="background2" w:themeFillShade="80"/>
            <w:noWrap/>
          </w:tcPr>
          <w:p w14:paraId="3E5FAE21" w14:textId="77777777" w:rsidR="002F1A1D" w:rsidRPr="00FE4491" w:rsidRDefault="002F1A1D" w:rsidP="0091489D">
            <w:pPr>
              <w:pStyle w:val="TableTextEntries"/>
              <w:jc w:val="center"/>
            </w:pPr>
            <w:r>
              <w:t>5</w:t>
            </w:r>
          </w:p>
        </w:tc>
        <w:tc>
          <w:tcPr>
            <w:tcW w:w="434" w:type="pct"/>
            <w:shd w:val="clear" w:color="auto" w:fill="FFFF00"/>
            <w:noWrap/>
          </w:tcPr>
          <w:p w14:paraId="77A80DF6" w14:textId="77777777" w:rsidR="002F1A1D" w:rsidRPr="00FE4491" w:rsidRDefault="002F1A1D" w:rsidP="0091489D">
            <w:pPr>
              <w:pStyle w:val="TableTextEntries"/>
              <w:jc w:val="center"/>
            </w:pPr>
            <w:r>
              <w:t>4</w:t>
            </w:r>
          </w:p>
        </w:tc>
        <w:tc>
          <w:tcPr>
            <w:tcW w:w="375" w:type="pct"/>
            <w:shd w:val="clear" w:color="auto" w:fill="FFFF00"/>
            <w:noWrap/>
          </w:tcPr>
          <w:p w14:paraId="052C9EBE" w14:textId="77777777" w:rsidR="002F1A1D" w:rsidRPr="00FE4491" w:rsidRDefault="002F1A1D" w:rsidP="0091489D">
            <w:pPr>
              <w:pStyle w:val="TableTextEntries"/>
              <w:jc w:val="center"/>
            </w:pPr>
            <w:r>
              <w:t>4</w:t>
            </w:r>
          </w:p>
        </w:tc>
        <w:tc>
          <w:tcPr>
            <w:tcW w:w="402" w:type="pct"/>
            <w:shd w:val="clear" w:color="auto" w:fill="FF0000"/>
            <w:noWrap/>
          </w:tcPr>
          <w:p w14:paraId="1BD2829E" w14:textId="77777777" w:rsidR="002F1A1D" w:rsidRPr="00FE4491" w:rsidRDefault="002F1A1D" w:rsidP="0091489D">
            <w:pPr>
              <w:pStyle w:val="TableTextEntries"/>
              <w:jc w:val="center"/>
            </w:pPr>
            <w:r>
              <w:t>2</w:t>
            </w:r>
          </w:p>
        </w:tc>
      </w:tr>
      <w:tr w:rsidR="00F07410" w:rsidRPr="009D53C4" w14:paraId="0A820E64" w14:textId="77777777" w:rsidTr="007B134E">
        <w:trPr>
          <w:cnfStyle w:val="000000010000" w:firstRow="0" w:lastRow="0" w:firstColumn="0" w:lastColumn="0" w:oddVBand="0" w:evenVBand="0" w:oddHBand="0" w:evenHBand="1" w:firstRowFirstColumn="0" w:firstRowLastColumn="0" w:lastRowFirstColumn="0" w:lastRowLastColumn="0"/>
          <w:trHeight w:val="284"/>
        </w:trPr>
        <w:tc>
          <w:tcPr>
            <w:tcW w:w="1021" w:type="pct"/>
          </w:tcPr>
          <w:p w14:paraId="1F82628E" w14:textId="77777777" w:rsidR="002F1A1D" w:rsidRPr="0051605C" w:rsidRDefault="002F1A1D" w:rsidP="000D733F">
            <w:pPr>
              <w:pStyle w:val="TableTextEntries"/>
            </w:pPr>
            <w:r w:rsidRPr="0051605C">
              <w:t>Australia awards</w:t>
            </w:r>
          </w:p>
        </w:tc>
        <w:tc>
          <w:tcPr>
            <w:tcW w:w="722" w:type="pct"/>
          </w:tcPr>
          <w:p w14:paraId="680BAD30" w14:textId="77777777" w:rsidR="002F1A1D" w:rsidRPr="00FE4491" w:rsidRDefault="002F1A1D" w:rsidP="000D733F">
            <w:pPr>
              <w:pStyle w:val="TableTextEntries"/>
            </w:pPr>
          </w:p>
        </w:tc>
        <w:tc>
          <w:tcPr>
            <w:tcW w:w="646" w:type="pct"/>
            <w:gridSpan w:val="2"/>
          </w:tcPr>
          <w:p w14:paraId="22FFEED8" w14:textId="77777777" w:rsidR="002F1A1D" w:rsidRPr="00FE4491" w:rsidRDefault="002F1A1D" w:rsidP="0091489D">
            <w:pPr>
              <w:pStyle w:val="TableTextEntries"/>
            </w:pPr>
            <w:r w:rsidRPr="00FE4491">
              <w:t>201</w:t>
            </w:r>
            <w:r>
              <w:t>3</w:t>
            </w:r>
          </w:p>
        </w:tc>
        <w:tc>
          <w:tcPr>
            <w:tcW w:w="466" w:type="pct"/>
            <w:shd w:val="clear" w:color="auto" w:fill="74A510" w:themeFill="background2" w:themeFillShade="80"/>
            <w:noWrap/>
          </w:tcPr>
          <w:p w14:paraId="4F7A973B" w14:textId="77777777" w:rsidR="002F1A1D" w:rsidRPr="00FE4491" w:rsidRDefault="00F07410" w:rsidP="0091489D">
            <w:pPr>
              <w:pStyle w:val="TableTextEntries"/>
              <w:jc w:val="center"/>
            </w:pPr>
            <w:r>
              <w:t>5</w:t>
            </w:r>
          </w:p>
        </w:tc>
        <w:tc>
          <w:tcPr>
            <w:tcW w:w="409" w:type="pct"/>
            <w:shd w:val="clear" w:color="auto" w:fill="74A510" w:themeFill="background2" w:themeFillShade="80"/>
            <w:noWrap/>
          </w:tcPr>
          <w:p w14:paraId="2D088634" w14:textId="54D2BF03" w:rsidR="002F1A1D" w:rsidRPr="00FE4491" w:rsidRDefault="005E480B" w:rsidP="0091489D">
            <w:pPr>
              <w:pStyle w:val="TableTextEntries"/>
              <w:jc w:val="center"/>
            </w:pPr>
            <w:r>
              <w:t>5</w:t>
            </w:r>
          </w:p>
        </w:tc>
        <w:tc>
          <w:tcPr>
            <w:tcW w:w="409" w:type="pct"/>
            <w:shd w:val="clear" w:color="auto" w:fill="FFFF00"/>
            <w:noWrap/>
          </w:tcPr>
          <w:p w14:paraId="3B115594" w14:textId="33F6ABBC" w:rsidR="002F1A1D" w:rsidRPr="00FE4491" w:rsidRDefault="005E480B" w:rsidP="0091489D">
            <w:pPr>
              <w:pStyle w:val="TableTextEntries"/>
              <w:jc w:val="center"/>
            </w:pPr>
            <w:r>
              <w:t>4</w:t>
            </w:r>
          </w:p>
        </w:tc>
        <w:tc>
          <w:tcPr>
            <w:tcW w:w="434" w:type="pct"/>
            <w:shd w:val="clear" w:color="auto" w:fill="D67B01" w:themeFill="accent6" w:themeFillShade="BF"/>
            <w:noWrap/>
          </w:tcPr>
          <w:p w14:paraId="230CDCB1" w14:textId="19271661" w:rsidR="002F1A1D" w:rsidRPr="00FE4491" w:rsidRDefault="005E480B" w:rsidP="0091489D">
            <w:pPr>
              <w:pStyle w:val="TableTextEntries"/>
              <w:jc w:val="center"/>
            </w:pPr>
            <w:r>
              <w:t>3</w:t>
            </w:r>
          </w:p>
        </w:tc>
        <w:tc>
          <w:tcPr>
            <w:tcW w:w="375" w:type="pct"/>
            <w:shd w:val="clear" w:color="auto" w:fill="74A510" w:themeFill="background2" w:themeFillShade="80"/>
            <w:noWrap/>
          </w:tcPr>
          <w:p w14:paraId="3F7B488B" w14:textId="0B923ADE" w:rsidR="002F1A1D" w:rsidRPr="00FE4491" w:rsidRDefault="005E480B" w:rsidP="0091489D">
            <w:pPr>
              <w:pStyle w:val="TableTextEntries"/>
              <w:jc w:val="center"/>
            </w:pPr>
            <w:r>
              <w:t>5</w:t>
            </w:r>
          </w:p>
        </w:tc>
        <w:tc>
          <w:tcPr>
            <w:tcW w:w="402" w:type="pct"/>
            <w:shd w:val="clear" w:color="auto" w:fill="74A510" w:themeFill="background2" w:themeFillShade="80"/>
            <w:noWrap/>
          </w:tcPr>
          <w:p w14:paraId="779AD8F4" w14:textId="03E90FE6" w:rsidR="002F1A1D" w:rsidRPr="00FE4491" w:rsidRDefault="005E480B" w:rsidP="0091489D">
            <w:pPr>
              <w:pStyle w:val="TableTextEntries"/>
              <w:jc w:val="center"/>
            </w:pPr>
            <w:r>
              <w:t>5</w:t>
            </w:r>
          </w:p>
        </w:tc>
      </w:tr>
      <w:tr w:rsidR="002F1A1D" w:rsidRPr="009D53C4" w14:paraId="2997E441" w14:textId="77777777" w:rsidTr="00C740AB">
        <w:trPr>
          <w:cnfStyle w:val="000000010000" w:firstRow="0" w:lastRow="0" w:firstColumn="0" w:lastColumn="0" w:oddVBand="0" w:evenVBand="0" w:oddHBand="0" w:evenHBand="1" w:firstRowFirstColumn="0" w:firstRowLastColumn="0" w:lastRowFirstColumn="0" w:lastRowLastColumn="0"/>
          <w:trHeight w:val="284"/>
        </w:trPr>
        <w:tc>
          <w:tcPr>
            <w:tcW w:w="1021" w:type="pct"/>
          </w:tcPr>
          <w:p w14:paraId="3A6ECEA5" w14:textId="77777777" w:rsidR="002F1A1D" w:rsidRPr="0051605C" w:rsidRDefault="002F1A1D" w:rsidP="000D733F">
            <w:pPr>
              <w:pStyle w:val="TableTextEntries"/>
            </w:pPr>
          </w:p>
        </w:tc>
        <w:tc>
          <w:tcPr>
            <w:tcW w:w="722" w:type="pct"/>
          </w:tcPr>
          <w:p w14:paraId="47FA723F" w14:textId="77777777" w:rsidR="002F1A1D" w:rsidRPr="00FE4491" w:rsidRDefault="002F1A1D" w:rsidP="000D733F">
            <w:pPr>
              <w:pStyle w:val="TableTextEntries"/>
            </w:pPr>
          </w:p>
        </w:tc>
        <w:tc>
          <w:tcPr>
            <w:tcW w:w="646" w:type="pct"/>
            <w:gridSpan w:val="2"/>
          </w:tcPr>
          <w:p w14:paraId="6DFDC0B6" w14:textId="77777777" w:rsidR="002F1A1D" w:rsidRPr="00FE4491" w:rsidRDefault="002F1A1D" w:rsidP="0091489D">
            <w:pPr>
              <w:pStyle w:val="TableTextEntries"/>
            </w:pPr>
            <w:r>
              <w:t>2012</w:t>
            </w:r>
          </w:p>
        </w:tc>
        <w:tc>
          <w:tcPr>
            <w:tcW w:w="466" w:type="pct"/>
            <w:tcBorders>
              <w:bottom w:val="single" w:sz="12" w:space="0" w:color="000000" w:themeColor="text1"/>
            </w:tcBorders>
            <w:shd w:val="clear" w:color="auto" w:fill="74A510" w:themeFill="background2" w:themeFillShade="80"/>
            <w:noWrap/>
          </w:tcPr>
          <w:p w14:paraId="3AD7008D" w14:textId="77777777" w:rsidR="002F1A1D" w:rsidRPr="00FE4491" w:rsidRDefault="002F1A1D" w:rsidP="0091489D">
            <w:pPr>
              <w:pStyle w:val="TableTextEntries"/>
              <w:jc w:val="center"/>
            </w:pPr>
            <w:r>
              <w:t>5</w:t>
            </w:r>
          </w:p>
        </w:tc>
        <w:tc>
          <w:tcPr>
            <w:tcW w:w="409" w:type="pct"/>
            <w:tcBorders>
              <w:bottom w:val="single" w:sz="12" w:space="0" w:color="000000" w:themeColor="text1"/>
            </w:tcBorders>
            <w:shd w:val="clear" w:color="auto" w:fill="FFFF00"/>
            <w:noWrap/>
          </w:tcPr>
          <w:p w14:paraId="653CF36B" w14:textId="77777777" w:rsidR="002F1A1D" w:rsidRPr="00FE4491" w:rsidRDefault="002F1A1D" w:rsidP="0091489D">
            <w:pPr>
              <w:pStyle w:val="TableTextEntries"/>
              <w:jc w:val="center"/>
            </w:pPr>
            <w:r>
              <w:t>4</w:t>
            </w:r>
          </w:p>
        </w:tc>
        <w:tc>
          <w:tcPr>
            <w:tcW w:w="409" w:type="pct"/>
            <w:tcBorders>
              <w:bottom w:val="single" w:sz="12" w:space="0" w:color="000000" w:themeColor="text1"/>
            </w:tcBorders>
            <w:shd w:val="clear" w:color="auto" w:fill="FFFF00"/>
            <w:noWrap/>
          </w:tcPr>
          <w:p w14:paraId="6E5333AC" w14:textId="77777777" w:rsidR="002F1A1D" w:rsidRPr="00FE4491" w:rsidRDefault="002F1A1D" w:rsidP="0091489D">
            <w:pPr>
              <w:pStyle w:val="TableTextEntries"/>
              <w:jc w:val="center"/>
            </w:pPr>
            <w:r>
              <w:t>4</w:t>
            </w:r>
          </w:p>
        </w:tc>
        <w:tc>
          <w:tcPr>
            <w:tcW w:w="434" w:type="pct"/>
            <w:tcBorders>
              <w:bottom w:val="single" w:sz="12" w:space="0" w:color="000000" w:themeColor="text1"/>
            </w:tcBorders>
            <w:shd w:val="clear" w:color="auto" w:fill="D67B01" w:themeFill="accent6" w:themeFillShade="BF"/>
            <w:noWrap/>
          </w:tcPr>
          <w:p w14:paraId="08F24B98" w14:textId="77777777" w:rsidR="002F1A1D" w:rsidRPr="00FE4491" w:rsidRDefault="002F1A1D" w:rsidP="0091489D">
            <w:pPr>
              <w:pStyle w:val="TableTextEntries"/>
              <w:jc w:val="center"/>
            </w:pPr>
            <w:r>
              <w:t>3</w:t>
            </w:r>
          </w:p>
        </w:tc>
        <w:tc>
          <w:tcPr>
            <w:tcW w:w="375" w:type="pct"/>
            <w:tcBorders>
              <w:bottom w:val="single" w:sz="12" w:space="0" w:color="000000" w:themeColor="text1"/>
            </w:tcBorders>
            <w:shd w:val="clear" w:color="auto" w:fill="74A510" w:themeFill="background2" w:themeFillShade="80"/>
            <w:noWrap/>
          </w:tcPr>
          <w:p w14:paraId="524AAE4E" w14:textId="77777777" w:rsidR="002F1A1D" w:rsidRPr="00FE4491" w:rsidRDefault="002F1A1D" w:rsidP="0091489D">
            <w:pPr>
              <w:pStyle w:val="TableTextEntries"/>
              <w:jc w:val="center"/>
            </w:pPr>
            <w:r>
              <w:t>5</w:t>
            </w:r>
          </w:p>
        </w:tc>
        <w:tc>
          <w:tcPr>
            <w:tcW w:w="402" w:type="pct"/>
            <w:tcBorders>
              <w:bottom w:val="single" w:sz="12" w:space="0" w:color="000000" w:themeColor="text1"/>
            </w:tcBorders>
            <w:shd w:val="clear" w:color="auto" w:fill="FFFF00"/>
            <w:noWrap/>
          </w:tcPr>
          <w:p w14:paraId="160DC6FF" w14:textId="77777777" w:rsidR="002F1A1D" w:rsidRPr="00FE4491" w:rsidRDefault="002F1A1D" w:rsidP="0091489D">
            <w:pPr>
              <w:pStyle w:val="TableTextEntries"/>
              <w:jc w:val="center"/>
            </w:pPr>
            <w:r>
              <w:t>4</w:t>
            </w:r>
          </w:p>
        </w:tc>
      </w:tr>
    </w:tbl>
    <w:p w14:paraId="431C4D42" w14:textId="77777777" w:rsidR="000D733F" w:rsidRDefault="000D733F" w:rsidP="000D733F">
      <w:pPr>
        <w:pStyle w:val="Note"/>
      </w:pPr>
      <w:r>
        <w:t>Definitions of rating scale:</w:t>
      </w:r>
      <w:r>
        <w:tab/>
      </w:r>
    </w:p>
    <w:p w14:paraId="2FCCA6EF" w14:textId="77777777" w:rsidR="000D733F" w:rsidRDefault="000D733F" w:rsidP="000D733F">
      <w:pPr>
        <w:pStyle w:val="Note"/>
      </w:pPr>
      <w:r>
        <w:t>Satisfactory (4, 5 and 6)</w:t>
      </w:r>
    </w:p>
    <w:p w14:paraId="592CDD03" w14:textId="77777777" w:rsidR="000D733F" w:rsidRDefault="000D733F" w:rsidP="000D733F">
      <w:pPr>
        <w:pStyle w:val="Note"/>
      </w:pPr>
      <w:r w:rsidRPr="00593946">
        <w:rPr>
          <w:color w:val="72AF2F"/>
        </w:rPr>
        <w:sym w:font="Webdings" w:char="F067"/>
      </w:r>
      <w:r>
        <w:t xml:space="preserve"> = 6 = Very high quality</w:t>
      </w:r>
    </w:p>
    <w:p w14:paraId="2927B327" w14:textId="77777777" w:rsidR="000D733F" w:rsidRDefault="000D733F" w:rsidP="000D733F">
      <w:pPr>
        <w:pStyle w:val="Note"/>
      </w:pPr>
      <w:r w:rsidRPr="00593946">
        <w:rPr>
          <w:color w:val="72AF2F"/>
        </w:rPr>
        <w:sym w:font="Webdings" w:char="F067"/>
      </w:r>
      <w:r>
        <w:t xml:space="preserve"> = 5 = Good quality</w:t>
      </w:r>
    </w:p>
    <w:p w14:paraId="7310AAB1" w14:textId="77777777" w:rsidR="000D733F" w:rsidRDefault="000D733F" w:rsidP="000D733F">
      <w:pPr>
        <w:pStyle w:val="Note"/>
      </w:pPr>
      <w:r w:rsidRPr="000774FD">
        <w:rPr>
          <w:color w:val="FFFF00"/>
        </w:rPr>
        <w:sym w:font="Webdings" w:char="F067"/>
      </w:r>
      <w:r>
        <w:t xml:space="preserve"> = 4 = Adequate quality, needs some work</w:t>
      </w:r>
    </w:p>
    <w:p w14:paraId="61714C19" w14:textId="77777777" w:rsidR="000D733F" w:rsidRDefault="000D733F" w:rsidP="000D733F">
      <w:pPr>
        <w:pStyle w:val="Note"/>
      </w:pPr>
      <w:r>
        <w:t>Less than satisfactory (1, 2 and 3)</w:t>
      </w:r>
    </w:p>
    <w:p w14:paraId="52814867" w14:textId="77777777" w:rsidR="000D733F" w:rsidRDefault="000D733F" w:rsidP="000D733F">
      <w:pPr>
        <w:pStyle w:val="Note"/>
      </w:pPr>
      <w:r w:rsidRPr="00593946">
        <w:rPr>
          <w:color w:val="E36C0A"/>
        </w:rPr>
        <w:sym w:font="Webdings" w:char="F067"/>
      </w:r>
      <w:r w:rsidRPr="00593946">
        <w:rPr>
          <w:color w:val="E36C0A"/>
        </w:rPr>
        <w:t xml:space="preserve"> </w:t>
      </w:r>
      <w:r>
        <w:t>= 3 = Less than adequate quality; needs significant work</w:t>
      </w:r>
    </w:p>
    <w:p w14:paraId="44C371C8" w14:textId="77777777" w:rsidR="000D733F" w:rsidRDefault="000D733F" w:rsidP="000D733F">
      <w:pPr>
        <w:pStyle w:val="Note"/>
      </w:pPr>
      <w:r w:rsidRPr="000774FD">
        <w:rPr>
          <w:color w:val="FF0000"/>
        </w:rPr>
        <w:sym w:font="Webdings" w:char="F067"/>
      </w:r>
      <w:r>
        <w:t xml:space="preserve"> = 2 = Poor quality; needs major work to improve</w:t>
      </w:r>
    </w:p>
    <w:p w14:paraId="18F0E1BF" w14:textId="77777777" w:rsidR="000D733F" w:rsidRDefault="000D733F" w:rsidP="000D733F">
      <w:pPr>
        <w:pStyle w:val="Note"/>
      </w:pPr>
      <w:r w:rsidRPr="000774FD">
        <w:rPr>
          <w:color w:val="FF0000"/>
        </w:rPr>
        <w:sym w:font="Webdings" w:char="F067"/>
      </w:r>
      <w:r>
        <w:t xml:space="preserve"> = 1 = Very poor quality; needs major overhaul</w:t>
      </w:r>
    </w:p>
    <w:p w14:paraId="6C1118ED" w14:textId="77777777" w:rsidR="000D733F" w:rsidRDefault="000D733F" w:rsidP="000D733F">
      <w:pPr>
        <w:pStyle w:val="Note"/>
      </w:pPr>
    </w:p>
    <w:p w14:paraId="66F6334E" w14:textId="77777777" w:rsidR="000D733F" w:rsidRDefault="000D733F" w:rsidP="000D733F">
      <w:pPr>
        <w:spacing w:after="200" w:line="276" w:lineRule="auto"/>
        <w:rPr>
          <w:rFonts w:ascii="Franklin Gothic Demi" w:hAnsi="Franklin Gothic Demi" w:cs="Arial"/>
          <w:color w:val="AD495D"/>
          <w:kern w:val="28"/>
          <w:sz w:val="28"/>
          <w:szCs w:val="28"/>
        </w:rPr>
      </w:pPr>
      <w:r>
        <w:br w:type="page"/>
      </w:r>
    </w:p>
    <w:p w14:paraId="0E1B373E" w14:textId="77777777" w:rsidR="000D733F" w:rsidRPr="009E38C1" w:rsidRDefault="000D733F" w:rsidP="000D733F">
      <w:pPr>
        <w:pStyle w:val="Heading2"/>
        <w:rPr>
          <w:sz w:val="28"/>
        </w:rPr>
      </w:pPr>
      <w:r w:rsidRPr="009E38C1">
        <w:rPr>
          <w:sz w:val="28"/>
        </w:rPr>
        <w:lastRenderedPageBreak/>
        <w:t>Annex C</w:t>
      </w:r>
    </w:p>
    <w:p w14:paraId="4522FB52" w14:textId="77777777" w:rsidR="000D733F" w:rsidRPr="009E38C1" w:rsidRDefault="000D733F" w:rsidP="000D733F">
      <w:pPr>
        <w:pStyle w:val="Heading2"/>
        <w:rPr>
          <w:sz w:val="28"/>
        </w:rPr>
      </w:pPr>
      <w:r w:rsidRPr="009E38C1">
        <w:rPr>
          <w:sz w:val="28"/>
        </w:rPr>
        <w:t>Evaluation and Review Pipeline Planning</w:t>
      </w:r>
    </w:p>
    <w:p w14:paraId="6A1062A9" w14:textId="77777777" w:rsidR="000D733F" w:rsidRPr="00500954" w:rsidRDefault="000D733F" w:rsidP="000D733F">
      <w:pPr>
        <w:pStyle w:val="ListBullet"/>
        <w:tabs>
          <w:tab w:val="clear" w:pos="284"/>
        </w:tabs>
      </w:pPr>
      <w:r w:rsidRPr="00500954">
        <w:t xml:space="preserve">List all evaluations completed in the reporting period. A completed evaluation means the final report has been received and a management response has been </w:t>
      </w:r>
      <w:r w:rsidR="008C4903">
        <w:t>approved.</w:t>
      </w:r>
      <w:r w:rsidRPr="00500954">
        <w:t xml:space="preserve"> </w:t>
      </w:r>
    </w:p>
    <w:p w14:paraId="11A5E07D" w14:textId="77777777" w:rsidR="000D733F" w:rsidRPr="00071B95" w:rsidRDefault="000D733F" w:rsidP="000D733F">
      <w:pPr>
        <w:pStyle w:val="Caption"/>
      </w:pPr>
      <w:r w:rsidRPr="00071B95">
        <w:t xml:space="preserve">List of </w:t>
      </w:r>
      <w:r w:rsidR="00805ADD">
        <w:t>e</w:t>
      </w:r>
      <w:r w:rsidRPr="00071B95">
        <w:t>valuations completed</w:t>
      </w:r>
      <w:r>
        <w:t xml:space="preserve"> </w:t>
      </w:r>
      <w:r w:rsidRPr="00071B95">
        <w:t xml:space="preserve">in the reporting period </w:t>
      </w:r>
    </w:p>
    <w:tbl>
      <w:tblPr>
        <w:tblStyle w:val="APPR"/>
        <w:tblW w:w="0" w:type="auto"/>
        <w:tblLook w:val="04A0" w:firstRow="1" w:lastRow="0" w:firstColumn="1" w:lastColumn="0" w:noHBand="0" w:noVBand="1"/>
      </w:tblPr>
      <w:tblGrid>
        <w:gridCol w:w="1944"/>
        <w:gridCol w:w="1961"/>
        <w:gridCol w:w="2059"/>
        <w:gridCol w:w="1967"/>
        <w:gridCol w:w="1949"/>
        <w:gridCol w:w="1771"/>
        <w:gridCol w:w="1545"/>
      </w:tblGrid>
      <w:tr w:rsidR="000D733F" w:rsidRPr="00071B95" w14:paraId="018E331B" w14:textId="77777777" w:rsidTr="000D733F">
        <w:trPr>
          <w:cnfStyle w:val="100000000000" w:firstRow="1" w:lastRow="0" w:firstColumn="0" w:lastColumn="0" w:oddVBand="0" w:evenVBand="0" w:oddHBand="0" w:evenHBand="0" w:firstRowFirstColumn="0" w:firstRowLastColumn="0" w:lastRowFirstColumn="0" w:lastRowLastColumn="0"/>
        </w:trPr>
        <w:tc>
          <w:tcPr>
            <w:tcW w:w="1902" w:type="dxa"/>
          </w:tcPr>
          <w:p w14:paraId="23A1CEE3" w14:textId="77777777" w:rsidR="000D733F" w:rsidRPr="00071B95" w:rsidRDefault="000D733F" w:rsidP="000D733F">
            <w:pPr>
              <w:pStyle w:val="TableTextColumnHeading"/>
              <w:rPr>
                <w:b/>
              </w:rPr>
            </w:pPr>
            <w:r w:rsidRPr="00071B95">
              <w:rPr>
                <w:b/>
              </w:rPr>
              <w:t xml:space="preserve">Name of </w:t>
            </w:r>
            <w:r w:rsidR="00501CD2">
              <w:rPr>
                <w:b/>
              </w:rPr>
              <w:t>Investment</w:t>
            </w:r>
          </w:p>
        </w:tc>
        <w:tc>
          <w:tcPr>
            <w:tcW w:w="1933" w:type="dxa"/>
          </w:tcPr>
          <w:p w14:paraId="118AAC24" w14:textId="77777777" w:rsidR="000D733F" w:rsidRPr="00071B95" w:rsidRDefault="000D733F" w:rsidP="000D733F">
            <w:pPr>
              <w:pStyle w:val="TableTextColumnHeading"/>
              <w:rPr>
                <w:b/>
              </w:rPr>
            </w:pPr>
            <w:r w:rsidRPr="00071B95">
              <w:rPr>
                <w:b/>
              </w:rPr>
              <w:t>Aidworks number</w:t>
            </w:r>
          </w:p>
        </w:tc>
        <w:tc>
          <w:tcPr>
            <w:tcW w:w="2031" w:type="dxa"/>
          </w:tcPr>
          <w:p w14:paraId="0FFA941C" w14:textId="77777777" w:rsidR="000D733F" w:rsidRPr="00071B95" w:rsidRDefault="000D733F" w:rsidP="000D733F">
            <w:pPr>
              <w:pStyle w:val="TableTextColumnHeading"/>
              <w:rPr>
                <w:b/>
              </w:rPr>
            </w:pPr>
            <w:r>
              <w:rPr>
                <w:b/>
              </w:rPr>
              <w:t>Name of evaluation</w:t>
            </w:r>
          </w:p>
        </w:tc>
        <w:tc>
          <w:tcPr>
            <w:tcW w:w="1939" w:type="dxa"/>
          </w:tcPr>
          <w:p w14:paraId="1B109E09" w14:textId="77777777" w:rsidR="000D733F" w:rsidRPr="00071B95" w:rsidRDefault="000D733F" w:rsidP="000D733F">
            <w:pPr>
              <w:pStyle w:val="TableTextColumnHeading"/>
              <w:rPr>
                <w:b/>
              </w:rPr>
            </w:pPr>
            <w:r w:rsidRPr="00071B95">
              <w:rPr>
                <w:b/>
              </w:rPr>
              <w:t xml:space="preserve">Date </w:t>
            </w:r>
            <w:r>
              <w:rPr>
                <w:b/>
              </w:rPr>
              <w:t>finalised</w:t>
            </w:r>
          </w:p>
        </w:tc>
        <w:tc>
          <w:tcPr>
            <w:tcW w:w="1921" w:type="dxa"/>
          </w:tcPr>
          <w:p w14:paraId="678B8B05" w14:textId="77777777" w:rsidR="000D733F" w:rsidRPr="00071B95" w:rsidRDefault="000D733F" w:rsidP="000D733F">
            <w:pPr>
              <w:pStyle w:val="TableTextColumnHeading"/>
              <w:rPr>
                <w:b/>
              </w:rPr>
            </w:pPr>
            <w:r w:rsidRPr="00071B95">
              <w:rPr>
                <w:b/>
              </w:rPr>
              <w:t>Date Evaluation report Uploaded into Aidworks</w:t>
            </w:r>
          </w:p>
        </w:tc>
        <w:tc>
          <w:tcPr>
            <w:tcW w:w="1743" w:type="dxa"/>
          </w:tcPr>
          <w:p w14:paraId="6F613128" w14:textId="77777777" w:rsidR="000D733F" w:rsidRPr="00071B95" w:rsidRDefault="000D733F" w:rsidP="000D733F">
            <w:pPr>
              <w:pStyle w:val="TableTextColumnHeading"/>
              <w:rPr>
                <w:b/>
              </w:rPr>
            </w:pPr>
            <w:r w:rsidRPr="00071B95">
              <w:rPr>
                <w:b/>
              </w:rPr>
              <w:t>Date Management response uploaded into Aidworks</w:t>
            </w:r>
          </w:p>
        </w:tc>
        <w:tc>
          <w:tcPr>
            <w:tcW w:w="1503" w:type="dxa"/>
          </w:tcPr>
          <w:p w14:paraId="7EA7AC69" w14:textId="77777777" w:rsidR="000D733F" w:rsidRPr="00071B95" w:rsidRDefault="000D733F" w:rsidP="000D733F">
            <w:pPr>
              <w:pStyle w:val="TableTextColumnHeading"/>
              <w:rPr>
                <w:b/>
              </w:rPr>
            </w:pPr>
            <w:r w:rsidRPr="00071B95">
              <w:rPr>
                <w:b/>
              </w:rPr>
              <w:t>Published on website</w:t>
            </w:r>
          </w:p>
        </w:tc>
      </w:tr>
      <w:tr w:rsidR="000D733F" w:rsidRPr="00071B95" w14:paraId="2CBF2029" w14:textId="77777777" w:rsidTr="000D733F">
        <w:trPr>
          <w:cnfStyle w:val="100000000000" w:firstRow="1" w:lastRow="0" w:firstColumn="0" w:lastColumn="0" w:oddVBand="0" w:evenVBand="0" w:oddHBand="0" w:evenHBand="0" w:firstRowFirstColumn="0" w:firstRowLastColumn="0" w:lastRowFirstColumn="0" w:lastRowLastColumn="0"/>
        </w:trPr>
        <w:tc>
          <w:tcPr>
            <w:tcW w:w="1902" w:type="dxa"/>
          </w:tcPr>
          <w:p w14:paraId="474B4922" w14:textId="77777777" w:rsidR="000D733F" w:rsidRPr="00547421" w:rsidRDefault="00547421" w:rsidP="000D733F">
            <w:pPr>
              <w:pStyle w:val="TableTextEntries"/>
              <w:rPr>
                <w:b w:val="0"/>
              </w:rPr>
            </w:pPr>
            <w:r w:rsidRPr="00547421">
              <w:rPr>
                <w:b w:val="0"/>
              </w:rPr>
              <w:t xml:space="preserve">Improved Education </w:t>
            </w:r>
          </w:p>
        </w:tc>
        <w:tc>
          <w:tcPr>
            <w:tcW w:w="1933" w:type="dxa"/>
          </w:tcPr>
          <w:p w14:paraId="2E416B48" w14:textId="77777777" w:rsidR="000D733F" w:rsidRPr="00547421" w:rsidRDefault="007F54D1" w:rsidP="000D733F">
            <w:pPr>
              <w:pStyle w:val="TableTextEntries"/>
              <w:rPr>
                <w:b w:val="0"/>
              </w:rPr>
            </w:pPr>
            <w:r>
              <w:rPr>
                <w:b w:val="0"/>
              </w:rPr>
              <w:t>INI950</w:t>
            </w:r>
          </w:p>
        </w:tc>
        <w:tc>
          <w:tcPr>
            <w:tcW w:w="2031" w:type="dxa"/>
          </w:tcPr>
          <w:p w14:paraId="1EBD6480" w14:textId="77777777" w:rsidR="000D733F" w:rsidRPr="00547421" w:rsidRDefault="00547421" w:rsidP="000D733F">
            <w:pPr>
              <w:pStyle w:val="TableTextEntries"/>
              <w:rPr>
                <w:b w:val="0"/>
              </w:rPr>
            </w:pPr>
            <w:r w:rsidRPr="00547421">
              <w:rPr>
                <w:b w:val="0"/>
              </w:rPr>
              <w:t>Education sector Review 2014</w:t>
            </w:r>
          </w:p>
        </w:tc>
        <w:tc>
          <w:tcPr>
            <w:tcW w:w="1939" w:type="dxa"/>
          </w:tcPr>
          <w:p w14:paraId="62C556F1" w14:textId="77777777" w:rsidR="000D733F" w:rsidRPr="00547421" w:rsidRDefault="00547421" w:rsidP="000D733F">
            <w:pPr>
              <w:pStyle w:val="TableTextEntries"/>
              <w:rPr>
                <w:b w:val="0"/>
              </w:rPr>
            </w:pPr>
            <w:r w:rsidRPr="00547421">
              <w:rPr>
                <w:b w:val="0"/>
              </w:rPr>
              <w:t>January 2014</w:t>
            </w:r>
          </w:p>
        </w:tc>
        <w:tc>
          <w:tcPr>
            <w:tcW w:w="1921" w:type="dxa"/>
          </w:tcPr>
          <w:p w14:paraId="47A55097" w14:textId="77777777" w:rsidR="000D733F" w:rsidRPr="00547421" w:rsidRDefault="000D733F" w:rsidP="000D733F">
            <w:pPr>
              <w:pStyle w:val="TableTextEntries"/>
              <w:rPr>
                <w:b w:val="0"/>
              </w:rPr>
            </w:pPr>
          </w:p>
        </w:tc>
        <w:tc>
          <w:tcPr>
            <w:tcW w:w="1743" w:type="dxa"/>
          </w:tcPr>
          <w:p w14:paraId="2C11800E" w14:textId="77777777" w:rsidR="000D733F" w:rsidRPr="00547421" w:rsidRDefault="00547421" w:rsidP="000D733F">
            <w:pPr>
              <w:pStyle w:val="TableTextEntries"/>
              <w:rPr>
                <w:b w:val="0"/>
              </w:rPr>
            </w:pPr>
            <w:r w:rsidRPr="00547421">
              <w:rPr>
                <w:b w:val="0"/>
              </w:rPr>
              <w:t>N/A</w:t>
            </w:r>
          </w:p>
        </w:tc>
        <w:tc>
          <w:tcPr>
            <w:tcW w:w="1503" w:type="dxa"/>
          </w:tcPr>
          <w:p w14:paraId="366A72B3" w14:textId="77777777" w:rsidR="000D733F" w:rsidRPr="00071B95" w:rsidRDefault="000D733F" w:rsidP="000D733F">
            <w:pPr>
              <w:pStyle w:val="TableTextEntries"/>
              <w:rPr>
                <w:b w:val="0"/>
              </w:rPr>
            </w:pPr>
            <w:r w:rsidRPr="00071B95">
              <w:rPr>
                <w:b w:val="0"/>
              </w:rPr>
              <w:t>No</w:t>
            </w:r>
          </w:p>
        </w:tc>
      </w:tr>
      <w:tr w:rsidR="000D733F" w:rsidRPr="00071B95" w14:paraId="6FB0C4F8" w14:textId="77777777" w:rsidTr="000D733F">
        <w:trPr>
          <w:cnfStyle w:val="100000000000" w:firstRow="1" w:lastRow="0" w:firstColumn="0" w:lastColumn="0" w:oddVBand="0" w:evenVBand="0" w:oddHBand="0" w:evenHBand="0" w:firstRowFirstColumn="0" w:firstRowLastColumn="0" w:lastRowFirstColumn="0" w:lastRowLastColumn="0"/>
        </w:trPr>
        <w:tc>
          <w:tcPr>
            <w:tcW w:w="1902" w:type="dxa"/>
          </w:tcPr>
          <w:p w14:paraId="3B418449" w14:textId="77777777" w:rsidR="000D733F" w:rsidRPr="00547421" w:rsidRDefault="00547421" w:rsidP="000D733F">
            <w:pPr>
              <w:pStyle w:val="TableTextEntries"/>
              <w:rPr>
                <w:b w:val="0"/>
              </w:rPr>
            </w:pPr>
            <w:r w:rsidRPr="00547421">
              <w:rPr>
                <w:b w:val="0"/>
              </w:rPr>
              <w:t>Improved Health</w:t>
            </w:r>
          </w:p>
        </w:tc>
        <w:tc>
          <w:tcPr>
            <w:tcW w:w="1933" w:type="dxa"/>
          </w:tcPr>
          <w:p w14:paraId="5B7CB19F" w14:textId="77777777" w:rsidR="000D733F" w:rsidRPr="007F54D1" w:rsidRDefault="007F54D1" w:rsidP="000D733F">
            <w:pPr>
              <w:pStyle w:val="TableTextEntries"/>
              <w:rPr>
                <w:b w:val="0"/>
              </w:rPr>
            </w:pPr>
            <w:r w:rsidRPr="007F54D1">
              <w:rPr>
                <w:b w:val="0"/>
              </w:rPr>
              <w:t>INI970</w:t>
            </w:r>
          </w:p>
        </w:tc>
        <w:tc>
          <w:tcPr>
            <w:tcW w:w="2031" w:type="dxa"/>
          </w:tcPr>
          <w:p w14:paraId="59B6F714" w14:textId="77777777" w:rsidR="000D733F" w:rsidRPr="00547421" w:rsidRDefault="00547421" w:rsidP="000D733F">
            <w:pPr>
              <w:pStyle w:val="TableTextEntries"/>
              <w:rPr>
                <w:b w:val="0"/>
              </w:rPr>
            </w:pPr>
            <w:r w:rsidRPr="00547421">
              <w:rPr>
                <w:b w:val="0"/>
              </w:rPr>
              <w:t>Health Sector Review</w:t>
            </w:r>
          </w:p>
        </w:tc>
        <w:tc>
          <w:tcPr>
            <w:tcW w:w="1939" w:type="dxa"/>
          </w:tcPr>
          <w:p w14:paraId="5B319DB2" w14:textId="77777777" w:rsidR="000D733F" w:rsidRPr="00547421" w:rsidRDefault="00547421" w:rsidP="000D733F">
            <w:pPr>
              <w:pStyle w:val="TableTextEntries"/>
              <w:rPr>
                <w:b w:val="0"/>
              </w:rPr>
            </w:pPr>
            <w:r w:rsidRPr="00547421">
              <w:rPr>
                <w:b w:val="0"/>
              </w:rPr>
              <w:t>February 2014</w:t>
            </w:r>
          </w:p>
        </w:tc>
        <w:tc>
          <w:tcPr>
            <w:tcW w:w="1921" w:type="dxa"/>
          </w:tcPr>
          <w:p w14:paraId="197B90EE" w14:textId="77777777" w:rsidR="000D733F" w:rsidRPr="00547421" w:rsidRDefault="000D733F" w:rsidP="000D733F">
            <w:pPr>
              <w:pStyle w:val="TableTextEntries"/>
              <w:rPr>
                <w:b w:val="0"/>
              </w:rPr>
            </w:pPr>
          </w:p>
        </w:tc>
        <w:tc>
          <w:tcPr>
            <w:tcW w:w="1743" w:type="dxa"/>
          </w:tcPr>
          <w:p w14:paraId="3473B714" w14:textId="77777777" w:rsidR="000D733F" w:rsidRPr="00547421" w:rsidRDefault="00547421" w:rsidP="000D733F">
            <w:pPr>
              <w:pStyle w:val="TableTextEntries"/>
              <w:rPr>
                <w:b w:val="0"/>
              </w:rPr>
            </w:pPr>
            <w:r w:rsidRPr="00547421">
              <w:rPr>
                <w:b w:val="0"/>
              </w:rPr>
              <w:t>N/A</w:t>
            </w:r>
          </w:p>
        </w:tc>
        <w:tc>
          <w:tcPr>
            <w:tcW w:w="1503" w:type="dxa"/>
          </w:tcPr>
          <w:p w14:paraId="56435215" w14:textId="77777777" w:rsidR="000D733F" w:rsidRPr="00547421" w:rsidRDefault="00547421" w:rsidP="000D733F">
            <w:pPr>
              <w:pStyle w:val="TableTextEntries"/>
              <w:rPr>
                <w:b w:val="0"/>
              </w:rPr>
            </w:pPr>
            <w:r w:rsidRPr="00547421">
              <w:rPr>
                <w:b w:val="0"/>
              </w:rPr>
              <w:t>No</w:t>
            </w:r>
          </w:p>
        </w:tc>
      </w:tr>
      <w:tr w:rsidR="000D733F" w:rsidRPr="00071B95" w14:paraId="7B8F1FED" w14:textId="77777777" w:rsidTr="000D733F">
        <w:trPr>
          <w:cnfStyle w:val="100000000000" w:firstRow="1" w:lastRow="0" w:firstColumn="0" w:lastColumn="0" w:oddVBand="0" w:evenVBand="0" w:oddHBand="0" w:evenHBand="0" w:firstRowFirstColumn="0" w:firstRowLastColumn="0" w:lastRowFirstColumn="0" w:lastRowLastColumn="0"/>
        </w:trPr>
        <w:tc>
          <w:tcPr>
            <w:tcW w:w="1902" w:type="dxa"/>
          </w:tcPr>
          <w:p w14:paraId="6B815A06" w14:textId="77777777" w:rsidR="000D733F" w:rsidRPr="00071B95" w:rsidRDefault="000D733F" w:rsidP="000D733F">
            <w:pPr>
              <w:pStyle w:val="TableTextEntries"/>
            </w:pPr>
          </w:p>
        </w:tc>
        <w:tc>
          <w:tcPr>
            <w:tcW w:w="1933" w:type="dxa"/>
          </w:tcPr>
          <w:p w14:paraId="5C6782A7" w14:textId="77777777" w:rsidR="000D733F" w:rsidRPr="00071B95" w:rsidRDefault="000D733F" w:rsidP="000D733F">
            <w:pPr>
              <w:pStyle w:val="TableTextEntries"/>
            </w:pPr>
          </w:p>
        </w:tc>
        <w:tc>
          <w:tcPr>
            <w:tcW w:w="2031" w:type="dxa"/>
          </w:tcPr>
          <w:p w14:paraId="0A0C1EDB" w14:textId="77777777" w:rsidR="000D733F" w:rsidRPr="00071B95" w:rsidRDefault="000D733F" w:rsidP="000D733F">
            <w:pPr>
              <w:pStyle w:val="TableTextEntries"/>
            </w:pPr>
          </w:p>
        </w:tc>
        <w:tc>
          <w:tcPr>
            <w:tcW w:w="1939" w:type="dxa"/>
          </w:tcPr>
          <w:p w14:paraId="0E087767" w14:textId="77777777" w:rsidR="000D733F" w:rsidRPr="00071B95" w:rsidRDefault="000D733F" w:rsidP="000D733F">
            <w:pPr>
              <w:pStyle w:val="TableTextEntries"/>
            </w:pPr>
          </w:p>
        </w:tc>
        <w:tc>
          <w:tcPr>
            <w:tcW w:w="1921" w:type="dxa"/>
          </w:tcPr>
          <w:p w14:paraId="75D9549A" w14:textId="77777777" w:rsidR="000D733F" w:rsidRPr="00071B95" w:rsidRDefault="000D733F" w:rsidP="000D733F">
            <w:pPr>
              <w:pStyle w:val="TableTextEntries"/>
            </w:pPr>
          </w:p>
        </w:tc>
        <w:tc>
          <w:tcPr>
            <w:tcW w:w="1743" w:type="dxa"/>
          </w:tcPr>
          <w:p w14:paraId="2D8F7BE7" w14:textId="77777777" w:rsidR="000D733F" w:rsidRPr="00071B95" w:rsidRDefault="000D733F" w:rsidP="000D733F">
            <w:pPr>
              <w:pStyle w:val="TableTextEntries"/>
            </w:pPr>
          </w:p>
        </w:tc>
        <w:tc>
          <w:tcPr>
            <w:tcW w:w="1503" w:type="dxa"/>
          </w:tcPr>
          <w:p w14:paraId="74910C3B" w14:textId="77777777" w:rsidR="000D733F" w:rsidRPr="00071B95" w:rsidRDefault="000D733F" w:rsidP="000D733F">
            <w:pPr>
              <w:pStyle w:val="TableTextEntries"/>
            </w:pPr>
          </w:p>
        </w:tc>
      </w:tr>
    </w:tbl>
    <w:p w14:paraId="3CC8C7E6" w14:textId="77777777" w:rsidR="000D733F" w:rsidRPr="00071B95" w:rsidRDefault="000D733F" w:rsidP="000D733F">
      <w:pPr>
        <w:rPr>
          <w:b/>
        </w:rPr>
      </w:pPr>
    </w:p>
    <w:p w14:paraId="7DA9A5AE" w14:textId="77777777" w:rsidR="000D733F" w:rsidRPr="00071B95" w:rsidRDefault="000D733F" w:rsidP="000D733F">
      <w:pPr>
        <w:pStyle w:val="Caption"/>
      </w:pPr>
      <w:r w:rsidRPr="00071B95">
        <w:t xml:space="preserve">List of evaluations planned in the next 12 months </w:t>
      </w:r>
    </w:p>
    <w:p w14:paraId="70461053" w14:textId="77777777" w:rsidR="000D733F" w:rsidRDefault="000D733F" w:rsidP="000D733F">
      <w:pPr>
        <w:pStyle w:val="TableTextColumnHeading"/>
        <w:sectPr w:rsidR="000D733F" w:rsidSect="003A4847">
          <w:headerReference w:type="even" r:id="rId17"/>
          <w:footerReference w:type="first" r:id="rId18"/>
          <w:pgSz w:w="16838" w:h="11906" w:orient="landscape" w:code="9"/>
          <w:pgMar w:top="1814" w:right="1814" w:bottom="851" w:left="851" w:header="709" w:footer="425" w:gutter="0"/>
          <w:cols w:space="708"/>
          <w:docGrid w:linePitch="360"/>
        </w:sectPr>
      </w:pPr>
    </w:p>
    <w:tbl>
      <w:tblPr>
        <w:tblStyle w:val="APPR"/>
        <w:tblW w:w="0" w:type="auto"/>
        <w:tblLook w:val="0600" w:firstRow="0" w:lastRow="0" w:firstColumn="0" w:lastColumn="0" w:noHBand="1" w:noVBand="1"/>
      </w:tblPr>
      <w:tblGrid>
        <w:gridCol w:w="2643"/>
        <w:gridCol w:w="2558"/>
        <w:gridCol w:w="2640"/>
        <w:gridCol w:w="2640"/>
        <w:gridCol w:w="2659"/>
      </w:tblGrid>
      <w:tr w:rsidR="000D733F" w:rsidRPr="00071B95" w14:paraId="41D5C686" w14:textId="77777777" w:rsidTr="000D733F">
        <w:tc>
          <w:tcPr>
            <w:tcW w:w="2601" w:type="dxa"/>
          </w:tcPr>
          <w:p w14:paraId="4AED339E" w14:textId="77777777" w:rsidR="000D733F" w:rsidRPr="00071B95" w:rsidRDefault="000D733F" w:rsidP="000D733F">
            <w:pPr>
              <w:pStyle w:val="TableTextColumnHeading"/>
            </w:pPr>
            <w:r w:rsidRPr="00071B95">
              <w:lastRenderedPageBreak/>
              <w:t xml:space="preserve">Name of </w:t>
            </w:r>
            <w:r w:rsidR="00501CD2">
              <w:t>Investment</w:t>
            </w:r>
          </w:p>
        </w:tc>
        <w:tc>
          <w:tcPr>
            <w:tcW w:w="2530" w:type="dxa"/>
          </w:tcPr>
          <w:p w14:paraId="08E20ACB" w14:textId="77777777" w:rsidR="000D733F" w:rsidRPr="00071B95" w:rsidRDefault="000D733F" w:rsidP="000D733F">
            <w:pPr>
              <w:pStyle w:val="TableTextColumnHeading"/>
            </w:pPr>
            <w:r w:rsidRPr="00071B95">
              <w:t>Aidworks number</w:t>
            </w:r>
          </w:p>
        </w:tc>
        <w:tc>
          <w:tcPr>
            <w:tcW w:w="2612" w:type="dxa"/>
          </w:tcPr>
          <w:p w14:paraId="62C4D1C7" w14:textId="77777777" w:rsidR="000D733F" w:rsidRPr="00071B95" w:rsidRDefault="000D733F" w:rsidP="000D733F">
            <w:pPr>
              <w:pStyle w:val="TableTextColumnHeading"/>
            </w:pPr>
            <w:r w:rsidRPr="00071B95">
              <w:t>Type of evaluation</w:t>
            </w:r>
          </w:p>
        </w:tc>
        <w:tc>
          <w:tcPr>
            <w:tcW w:w="2612" w:type="dxa"/>
          </w:tcPr>
          <w:p w14:paraId="33B0BCCD" w14:textId="77777777" w:rsidR="000D733F" w:rsidRPr="00071B95" w:rsidRDefault="000D733F" w:rsidP="000D733F">
            <w:pPr>
              <w:pStyle w:val="TableTextColumnHeading"/>
            </w:pPr>
            <w:r w:rsidRPr="00071B95">
              <w:t>Purpose of evaluation</w:t>
            </w:r>
          </w:p>
        </w:tc>
        <w:tc>
          <w:tcPr>
            <w:tcW w:w="2617" w:type="dxa"/>
          </w:tcPr>
          <w:p w14:paraId="1E47C177" w14:textId="77777777" w:rsidR="000D733F" w:rsidRPr="00071B95" w:rsidRDefault="000D733F" w:rsidP="000D733F">
            <w:pPr>
              <w:pStyle w:val="TableTextColumnHeading"/>
            </w:pPr>
            <w:r w:rsidRPr="00071B95">
              <w:t>Expected completion date</w:t>
            </w:r>
          </w:p>
        </w:tc>
      </w:tr>
      <w:tr w:rsidR="000D733F" w:rsidRPr="00071B95" w14:paraId="18DD0A94" w14:textId="77777777" w:rsidTr="000D733F">
        <w:tc>
          <w:tcPr>
            <w:tcW w:w="2601" w:type="dxa"/>
          </w:tcPr>
          <w:p w14:paraId="412DE9C8" w14:textId="77777777" w:rsidR="000D733F" w:rsidRPr="003275D0" w:rsidRDefault="00547421" w:rsidP="003275D0">
            <w:pPr>
              <w:pStyle w:val="TableTextEntries"/>
            </w:pPr>
            <w:r>
              <w:t>Public Sector Management</w:t>
            </w:r>
          </w:p>
        </w:tc>
        <w:tc>
          <w:tcPr>
            <w:tcW w:w="2530" w:type="dxa"/>
          </w:tcPr>
          <w:p w14:paraId="196E751A" w14:textId="77777777" w:rsidR="000D733F" w:rsidRPr="003275D0" w:rsidRDefault="007F54D1" w:rsidP="003275D0">
            <w:pPr>
              <w:pStyle w:val="TableTextEntries"/>
            </w:pPr>
            <w:r>
              <w:t>INI943</w:t>
            </w:r>
          </w:p>
        </w:tc>
        <w:tc>
          <w:tcPr>
            <w:tcW w:w="2612" w:type="dxa"/>
          </w:tcPr>
          <w:p w14:paraId="3D8F18F3" w14:textId="0D0DE03D" w:rsidR="000D733F" w:rsidRPr="003275D0" w:rsidRDefault="00B11A32" w:rsidP="003275D0">
            <w:pPr>
              <w:pStyle w:val="TableTextEntries"/>
            </w:pPr>
            <w:r>
              <w:t>PFM</w:t>
            </w:r>
            <w:r w:rsidR="00547421">
              <w:t xml:space="preserve"> Review</w:t>
            </w:r>
          </w:p>
        </w:tc>
        <w:tc>
          <w:tcPr>
            <w:tcW w:w="2612" w:type="dxa"/>
          </w:tcPr>
          <w:p w14:paraId="35BCE617" w14:textId="77777777" w:rsidR="000D733F" w:rsidRPr="003275D0" w:rsidRDefault="000D733F" w:rsidP="00547421">
            <w:pPr>
              <w:pStyle w:val="TableTextEntries"/>
              <w:rPr>
                <w:color w:val="000000" w:themeColor="text1" w:themeShade="BF"/>
              </w:rPr>
            </w:pPr>
            <w:r w:rsidRPr="003275D0">
              <w:t xml:space="preserve">e.g. To </w:t>
            </w:r>
            <w:r w:rsidR="00547421" w:rsidRPr="00547421">
              <w:t>assess progress in implementing reforms identified through the 2010 Public Expenditure and Financial Accountability review.</w:t>
            </w:r>
          </w:p>
        </w:tc>
        <w:tc>
          <w:tcPr>
            <w:tcW w:w="2617" w:type="dxa"/>
          </w:tcPr>
          <w:p w14:paraId="2AD3C298" w14:textId="77777777" w:rsidR="000D733F" w:rsidRPr="003275D0" w:rsidRDefault="001F14ED" w:rsidP="003275D0">
            <w:pPr>
              <w:pStyle w:val="TableTextEntries"/>
            </w:pPr>
            <w:r>
              <w:t>March 2015</w:t>
            </w:r>
          </w:p>
        </w:tc>
      </w:tr>
      <w:tr w:rsidR="000D733F" w:rsidRPr="00071B95" w14:paraId="7FA90AEE" w14:textId="77777777" w:rsidTr="000D733F">
        <w:tc>
          <w:tcPr>
            <w:tcW w:w="2601" w:type="dxa"/>
          </w:tcPr>
          <w:p w14:paraId="72EB7C92" w14:textId="77777777" w:rsidR="000D733F" w:rsidRPr="00071B95" w:rsidRDefault="000D733F" w:rsidP="000D733F">
            <w:pPr>
              <w:pStyle w:val="TableTextEntries"/>
            </w:pPr>
          </w:p>
        </w:tc>
        <w:tc>
          <w:tcPr>
            <w:tcW w:w="2530" w:type="dxa"/>
          </w:tcPr>
          <w:p w14:paraId="4F16DEB4" w14:textId="77777777" w:rsidR="000D733F" w:rsidRPr="00071B95" w:rsidRDefault="000D733F" w:rsidP="000D733F">
            <w:pPr>
              <w:pStyle w:val="TableTextEntries"/>
            </w:pPr>
          </w:p>
        </w:tc>
        <w:tc>
          <w:tcPr>
            <w:tcW w:w="2612" w:type="dxa"/>
          </w:tcPr>
          <w:p w14:paraId="3B6A8E5C" w14:textId="77777777" w:rsidR="000D733F" w:rsidRPr="00071B95" w:rsidRDefault="000D733F" w:rsidP="000D733F">
            <w:pPr>
              <w:pStyle w:val="TableTextEntries"/>
            </w:pPr>
          </w:p>
        </w:tc>
        <w:tc>
          <w:tcPr>
            <w:tcW w:w="2612" w:type="dxa"/>
          </w:tcPr>
          <w:p w14:paraId="01E439A4" w14:textId="77777777" w:rsidR="000D733F" w:rsidRPr="00071B95" w:rsidRDefault="000D733F" w:rsidP="000D733F">
            <w:pPr>
              <w:pStyle w:val="TableTextEntries"/>
            </w:pPr>
          </w:p>
        </w:tc>
        <w:tc>
          <w:tcPr>
            <w:tcW w:w="2617" w:type="dxa"/>
          </w:tcPr>
          <w:p w14:paraId="2B83F05E" w14:textId="77777777" w:rsidR="000D733F" w:rsidRPr="00071B95" w:rsidRDefault="000D733F" w:rsidP="000D733F">
            <w:pPr>
              <w:pStyle w:val="TableTextEntries"/>
            </w:pPr>
          </w:p>
        </w:tc>
      </w:tr>
    </w:tbl>
    <w:p w14:paraId="131559EE" w14:textId="77777777" w:rsidR="000D733F" w:rsidRDefault="000D733F" w:rsidP="000D733F">
      <w:pPr>
        <w:rPr>
          <w:b/>
        </w:rPr>
        <w:sectPr w:rsidR="000D733F" w:rsidSect="003A4847">
          <w:footnotePr>
            <w:numRestart w:val="eachPage"/>
          </w:footnotePr>
          <w:type w:val="continuous"/>
          <w:pgSz w:w="16838" w:h="11906" w:orient="landscape" w:code="9"/>
          <w:pgMar w:top="1814" w:right="1814" w:bottom="851" w:left="851" w:header="709" w:footer="425" w:gutter="0"/>
          <w:cols w:space="708"/>
          <w:titlePg/>
          <w:docGrid w:linePitch="360"/>
        </w:sectPr>
      </w:pPr>
    </w:p>
    <w:p w14:paraId="3527B08A" w14:textId="77777777" w:rsidR="008F6C08" w:rsidRPr="009E38C1" w:rsidRDefault="008F6C08" w:rsidP="008F6C08">
      <w:pPr>
        <w:pStyle w:val="Heading2"/>
        <w:rPr>
          <w:sz w:val="28"/>
        </w:rPr>
      </w:pPr>
      <w:r w:rsidRPr="009E38C1">
        <w:rPr>
          <w:sz w:val="28"/>
        </w:rPr>
        <w:lastRenderedPageBreak/>
        <w:t>Annex D</w:t>
      </w:r>
    </w:p>
    <w:p w14:paraId="4EAC76FF" w14:textId="77777777" w:rsidR="008F6C08" w:rsidRPr="009E38C1" w:rsidRDefault="008F6C08" w:rsidP="008F6C08">
      <w:pPr>
        <w:pStyle w:val="Heading2"/>
        <w:rPr>
          <w:sz w:val="28"/>
        </w:rPr>
      </w:pPr>
      <w:r>
        <w:rPr>
          <w:sz w:val="28"/>
        </w:rPr>
        <w:t xml:space="preserve">Nauru - </w:t>
      </w:r>
      <w:r w:rsidRPr="009E38C1">
        <w:rPr>
          <w:sz w:val="28"/>
        </w:rPr>
        <w:t>Performance Benchmarks 2014 -15</w:t>
      </w:r>
    </w:p>
    <w:tbl>
      <w:tblPr>
        <w:tblStyle w:val="DFATTable"/>
        <w:tblW w:w="5000" w:type="pct"/>
        <w:tblBorders>
          <w:insideH w:val="single" w:sz="12" w:space="0" w:color="auto"/>
        </w:tblBorders>
        <w:tblLook w:val="04A0" w:firstRow="1" w:lastRow="0" w:firstColumn="1" w:lastColumn="0" w:noHBand="0" w:noVBand="1"/>
      </w:tblPr>
      <w:tblGrid>
        <w:gridCol w:w="3301"/>
        <w:gridCol w:w="3301"/>
        <w:gridCol w:w="7279"/>
      </w:tblGrid>
      <w:tr w:rsidR="008F6C08" w:rsidRPr="004F7D80" w14:paraId="3CDC8030" w14:textId="77777777" w:rsidTr="001971E0">
        <w:trPr>
          <w:tblHeader/>
        </w:trPr>
        <w:tc>
          <w:tcPr>
            <w:tcW w:w="1189" w:type="pct"/>
            <w:tcMar>
              <w:top w:w="57" w:type="dxa"/>
              <w:bottom w:w="57" w:type="dxa"/>
            </w:tcMar>
          </w:tcPr>
          <w:p w14:paraId="495DFECF" w14:textId="77777777" w:rsidR="008F6C08" w:rsidRPr="002749B6" w:rsidRDefault="008F6C08" w:rsidP="008F6C08">
            <w:pPr>
              <w:pStyle w:val="TableHeading1"/>
            </w:pPr>
            <w:r w:rsidRPr="002749B6">
              <w:t>Program strategic objective</w:t>
            </w:r>
          </w:p>
        </w:tc>
        <w:tc>
          <w:tcPr>
            <w:tcW w:w="1189" w:type="pct"/>
          </w:tcPr>
          <w:p w14:paraId="360533CD" w14:textId="77777777" w:rsidR="008F6C08" w:rsidRPr="002749B6" w:rsidRDefault="008F6C08" w:rsidP="008F6C08">
            <w:pPr>
              <w:pStyle w:val="TableHeading1"/>
            </w:pPr>
            <w:r w:rsidRPr="002749B6">
              <w:t xml:space="preserve">2014-15 benchmark </w:t>
            </w:r>
          </w:p>
        </w:tc>
        <w:tc>
          <w:tcPr>
            <w:tcW w:w="2622" w:type="pct"/>
          </w:tcPr>
          <w:p w14:paraId="00A108D5" w14:textId="77777777" w:rsidR="008F6C08" w:rsidRPr="002749B6" w:rsidRDefault="008F6C08" w:rsidP="008F6C08">
            <w:pPr>
              <w:pStyle w:val="TableHeading1"/>
            </w:pPr>
            <w:r w:rsidRPr="002749B6">
              <w:t>Rationale for selecting this performance benchmark</w:t>
            </w:r>
          </w:p>
        </w:tc>
      </w:tr>
      <w:tr w:rsidR="008F6C08" w:rsidRPr="004F7D80" w14:paraId="1CBCD879" w14:textId="77777777" w:rsidTr="001971E0">
        <w:tc>
          <w:tcPr>
            <w:tcW w:w="1189" w:type="pct"/>
            <w:tcMar>
              <w:top w:w="57" w:type="dxa"/>
              <w:bottom w:w="57" w:type="dxa"/>
            </w:tcMar>
          </w:tcPr>
          <w:p w14:paraId="722E7CBD" w14:textId="77777777" w:rsidR="008F6C08" w:rsidRPr="002749B6" w:rsidRDefault="008F6C08" w:rsidP="008F6C08">
            <w:pPr>
              <w:pStyle w:val="TableTextEntries"/>
            </w:pPr>
            <w:r w:rsidRPr="008F6C08">
              <w:rPr>
                <w:u w:val="single"/>
              </w:rPr>
              <w:t>Education</w:t>
            </w:r>
            <w:r>
              <w:t>:  Improving the quality and access to primary and secondary school level education to ensure high student retention rates and education attainment levels</w:t>
            </w:r>
          </w:p>
        </w:tc>
        <w:tc>
          <w:tcPr>
            <w:tcW w:w="1189" w:type="pct"/>
          </w:tcPr>
          <w:p w14:paraId="75ADCDDD" w14:textId="36936147" w:rsidR="00C823A9" w:rsidRPr="002749B6" w:rsidRDefault="00EA6CC2" w:rsidP="00C823A9">
            <w:pPr>
              <w:pStyle w:val="TableTextEntries"/>
            </w:pPr>
            <w:r>
              <w:t>Government of Nauru has developed and implemented strategy to reduce truancy rates in Nauruan schools</w:t>
            </w:r>
          </w:p>
        </w:tc>
        <w:tc>
          <w:tcPr>
            <w:tcW w:w="2622" w:type="pct"/>
          </w:tcPr>
          <w:p w14:paraId="7C31C76F" w14:textId="24B539FA" w:rsidR="00FA4F00" w:rsidRPr="002749B6" w:rsidRDefault="00537975" w:rsidP="00314FF5">
            <w:pPr>
              <w:pStyle w:val="TableTextEntries"/>
            </w:pPr>
            <w:r>
              <w:t>To date</w:t>
            </w:r>
            <w:r w:rsidR="00A1725D">
              <w:t>,</w:t>
            </w:r>
            <w:r>
              <w:t xml:space="preserve"> Nauru has made </w:t>
            </w:r>
            <w:r w:rsidR="003F39C0">
              <w:t>impr</w:t>
            </w:r>
            <w:r>
              <w:t xml:space="preserve">essive progress on improving access to and quality of education, as evidence by the </w:t>
            </w:r>
            <w:r w:rsidR="00A1725D">
              <w:t>levels of en</w:t>
            </w:r>
            <w:r>
              <w:t>rolment rates and teacher qualifications.  The challenge for Nauru, is to improve student participation</w:t>
            </w:r>
            <w:r w:rsidR="00FA4F00">
              <w:t>.  DFAT provides earmarked budget support to Nauru’s education sector to implement their education strategic plan.  In addition, this benchmark is also one of the proposed five benchmarks that Nauru needs to achieve in order to receive additional $5.5 million aid funding in the current financial year.</w:t>
            </w:r>
          </w:p>
        </w:tc>
      </w:tr>
      <w:tr w:rsidR="00537975" w:rsidRPr="004F7D80" w14:paraId="77358E46" w14:textId="77777777" w:rsidTr="001971E0">
        <w:tc>
          <w:tcPr>
            <w:tcW w:w="1189" w:type="pct"/>
            <w:tcMar>
              <w:top w:w="57" w:type="dxa"/>
              <w:bottom w:w="57" w:type="dxa"/>
            </w:tcMar>
          </w:tcPr>
          <w:p w14:paraId="13C96A0F" w14:textId="159B4F4D" w:rsidR="00537975" w:rsidRPr="002749B6" w:rsidRDefault="00537975" w:rsidP="008F6C08">
            <w:pPr>
              <w:pStyle w:val="TableTextEntries"/>
            </w:pPr>
            <w:r w:rsidRPr="00C823A9">
              <w:rPr>
                <w:u w:val="single"/>
              </w:rPr>
              <w:t>Health:</w:t>
            </w:r>
            <w:r w:rsidRPr="00935BB8">
              <w:t xml:space="preserve">  </w:t>
            </w:r>
            <w:r w:rsidR="00935BB8" w:rsidRPr="00935BB8">
              <w:t>A cost effective health system which delivers improved health comes</w:t>
            </w:r>
          </w:p>
        </w:tc>
        <w:tc>
          <w:tcPr>
            <w:tcW w:w="1189" w:type="pct"/>
          </w:tcPr>
          <w:p w14:paraId="30F67B98" w14:textId="5E0DD0CE" w:rsidR="00537975" w:rsidRPr="002749B6" w:rsidRDefault="0077254C" w:rsidP="009D25FC">
            <w:pPr>
              <w:pStyle w:val="TableTextEntries"/>
            </w:pPr>
            <w:r>
              <w:t>Improved management of NCDs along the whole continuum of care.</w:t>
            </w:r>
          </w:p>
        </w:tc>
        <w:tc>
          <w:tcPr>
            <w:tcW w:w="2622" w:type="pct"/>
          </w:tcPr>
          <w:p w14:paraId="6FF72439" w14:textId="489508F4" w:rsidR="00FA4F00" w:rsidRPr="002749B6" w:rsidRDefault="00A1725D" w:rsidP="00314FF5">
            <w:pPr>
              <w:pStyle w:val="TableTextEntries"/>
            </w:pPr>
            <w:r>
              <w:t xml:space="preserve">Although screening of NCDs has improved, to reduce the number of </w:t>
            </w:r>
            <w:r w:rsidR="003F39C0">
              <w:t xml:space="preserve">NCD related premature </w:t>
            </w:r>
            <w:r>
              <w:t xml:space="preserve">deaths </w:t>
            </w:r>
            <w:r w:rsidR="003F39C0">
              <w:t xml:space="preserve">there needs to be </w:t>
            </w:r>
            <w:r>
              <w:t>great</w:t>
            </w:r>
            <w:r w:rsidR="003F39C0">
              <w:t>er</w:t>
            </w:r>
            <w:r>
              <w:t xml:space="preserve"> focus on </w:t>
            </w:r>
            <w:r w:rsidR="00314FF5">
              <w:t>the whole continuum of care</w:t>
            </w:r>
            <w:r>
              <w:t>.</w:t>
            </w:r>
            <w:r w:rsidR="00314FF5">
              <w:t xml:space="preserve">  </w:t>
            </w:r>
            <w:r w:rsidR="00FA4F00">
              <w:t>DFAT provides earmarked budget support to Nauru’s health sector to implement their health strategy</w:t>
            </w:r>
            <w:r w:rsidR="0077254C">
              <w:t xml:space="preserve">.  In addition, this benchmark is also one of the proposed five benchmarks that Nauru needs to achieve in order to receive additional </w:t>
            </w:r>
            <w:r w:rsidR="00C82CCB">
              <w:t>$5.5 </w:t>
            </w:r>
            <w:r w:rsidR="0077254C">
              <w:t>million aid funding in the current financial year.</w:t>
            </w:r>
          </w:p>
        </w:tc>
      </w:tr>
      <w:tr w:rsidR="00537975" w:rsidRPr="004F7D80" w14:paraId="07505C8F" w14:textId="77777777" w:rsidTr="001971E0">
        <w:tc>
          <w:tcPr>
            <w:tcW w:w="1189" w:type="pct"/>
            <w:tcMar>
              <w:top w:w="57" w:type="dxa"/>
              <w:bottom w:w="57" w:type="dxa"/>
            </w:tcMar>
          </w:tcPr>
          <w:p w14:paraId="5C9FFF1A" w14:textId="77777777" w:rsidR="00537975" w:rsidRPr="00C823A9" w:rsidRDefault="00537975" w:rsidP="008F6C08">
            <w:pPr>
              <w:pStyle w:val="TableTextEntries"/>
              <w:rPr>
                <w:u w:val="single"/>
              </w:rPr>
            </w:pPr>
            <w:r>
              <w:rPr>
                <w:u w:val="single"/>
              </w:rPr>
              <w:t>Infrastructure:</w:t>
            </w:r>
            <w:r w:rsidRPr="007C0500">
              <w:t xml:space="preserve"> </w:t>
            </w:r>
            <w:r>
              <w:t>Reliable and cost effective provision of essential infrastructure and services</w:t>
            </w:r>
          </w:p>
        </w:tc>
        <w:tc>
          <w:tcPr>
            <w:tcW w:w="1189" w:type="pct"/>
          </w:tcPr>
          <w:p w14:paraId="010A630A" w14:textId="5A60A496" w:rsidR="00537975" w:rsidRDefault="00537975" w:rsidP="007C0500">
            <w:pPr>
              <w:pStyle w:val="TableTextEntries"/>
            </w:pPr>
            <w:r>
              <w:t xml:space="preserve">Stage One of RoN </w:t>
            </w:r>
            <w:r w:rsidRPr="007C0500">
              <w:t>Hospital redevelopment is completed</w:t>
            </w:r>
            <w:r w:rsidR="00554AED">
              <w:t xml:space="preserve"> by July 2015</w:t>
            </w:r>
            <w:r>
              <w:t>.</w:t>
            </w:r>
          </w:p>
        </w:tc>
        <w:tc>
          <w:tcPr>
            <w:tcW w:w="2622" w:type="pct"/>
          </w:tcPr>
          <w:p w14:paraId="61C2C019" w14:textId="664ACF72" w:rsidR="00537975" w:rsidRPr="002749B6" w:rsidRDefault="00537975" w:rsidP="001F0FEC">
            <w:pPr>
              <w:pStyle w:val="TableTextEntries"/>
            </w:pPr>
            <w:r>
              <w:t>Provision of essential infrastructure for the entire Nauruan community, is a key priority for both the GoN and Australia.  Improving access to modern health services, through the hospital redevelopment, will in the long term contribute to improving health outcomes for the Nauruan people.</w:t>
            </w:r>
            <w:r w:rsidR="00314FF5">
              <w:t xml:space="preserve">  </w:t>
            </w:r>
            <w:r>
              <w:t>S</w:t>
            </w:r>
            <w:r w:rsidRPr="007C0500">
              <w:t>tage one will focus on addressing urgent medical infrastructure needs resulting from (i)</w:t>
            </w:r>
            <w:r w:rsidR="001F0FEC">
              <w:t> </w:t>
            </w:r>
            <w:r w:rsidRPr="007C0500">
              <w:t>the lost of buildings from Aug 2013 fire; and (ii) Nauru’s rapidly expanding population</w:t>
            </w:r>
            <w:r>
              <w:t>.</w:t>
            </w:r>
            <w:r w:rsidR="00EA6CC2">
              <w:t xml:space="preserve">  </w:t>
            </w:r>
            <w:r w:rsidR="00314FF5">
              <w:t xml:space="preserve">It is anticipated that </w:t>
            </w:r>
            <w:r w:rsidR="00EA6CC2">
              <w:t>Stage One will be</w:t>
            </w:r>
            <w:r w:rsidR="00314FF5">
              <w:t xml:space="preserve"> delivered </w:t>
            </w:r>
            <w:r w:rsidR="00EA6CC2">
              <w:t>by Department of Immi</w:t>
            </w:r>
            <w:r w:rsidR="00314FF5">
              <w:t xml:space="preserve">gration and Border Protection. </w:t>
            </w:r>
            <w:r w:rsidR="00EA6CC2">
              <w:t xml:space="preserve"> </w:t>
            </w:r>
          </w:p>
        </w:tc>
      </w:tr>
      <w:tr w:rsidR="00537975" w:rsidRPr="004F7D80" w14:paraId="2352D0DF" w14:textId="77777777" w:rsidTr="001971E0">
        <w:tc>
          <w:tcPr>
            <w:tcW w:w="1189" w:type="pct"/>
            <w:tcMar>
              <w:top w:w="57" w:type="dxa"/>
              <w:bottom w:w="57" w:type="dxa"/>
            </w:tcMar>
          </w:tcPr>
          <w:p w14:paraId="30FB912C" w14:textId="77777777" w:rsidR="00537975" w:rsidRPr="002749B6" w:rsidRDefault="00537975" w:rsidP="00651559">
            <w:pPr>
              <w:pStyle w:val="TableTextEntries"/>
            </w:pPr>
            <w:r w:rsidRPr="009D25FC">
              <w:rPr>
                <w:u w:val="single"/>
              </w:rPr>
              <w:t>Operational:</w:t>
            </w:r>
            <w:r>
              <w:t xml:space="preserve">  Increased number of programs adequately addressing gender equality considerations</w:t>
            </w:r>
          </w:p>
        </w:tc>
        <w:tc>
          <w:tcPr>
            <w:tcW w:w="1189" w:type="pct"/>
          </w:tcPr>
          <w:p w14:paraId="3DFD19CE" w14:textId="2CA05BD3" w:rsidR="00537975" w:rsidRPr="002749B6" w:rsidRDefault="00537975" w:rsidP="001971E0">
            <w:pPr>
              <w:pStyle w:val="TableTextEntries"/>
            </w:pPr>
            <w:r>
              <w:t>80</w:t>
            </w:r>
            <w:r w:rsidR="001971E0">
              <w:t xml:space="preserve"> per cent </w:t>
            </w:r>
            <w:r>
              <w:t>of programs adequately addressing gender equality</w:t>
            </w:r>
          </w:p>
        </w:tc>
        <w:tc>
          <w:tcPr>
            <w:tcW w:w="2622" w:type="pct"/>
          </w:tcPr>
          <w:p w14:paraId="31D3BEFD" w14:textId="77777777" w:rsidR="00537975" w:rsidRPr="002749B6" w:rsidRDefault="00537975" w:rsidP="001971E0">
            <w:pPr>
              <w:pStyle w:val="TableTextEntries"/>
            </w:pPr>
            <w:r>
              <w:t xml:space="preserve">The Minister for Foreign Affairs announced </w:t>
            </w:r>
            <w:r w:rsidR="001971E0">
              <w:t xml:space="preserve">the performance benchmark of 80 per cent </w:t>
            </w:r>
            <w:r>
              <w:t>of programs performing adequately on gender equality in June 2014 as part of the elevatio</w:t>
            </w:r>
            <w:r w:rsidR="001971E0">
              <w:t>n of gender equality as one of six</w:t>
            </w:r>
            <w:r>
              <w:t xml:space="preserve"> key pillars to deliver Australia’s aid program.</w:t>
            </w:r>
          </w:p>
        </w:tc>
      </w:tr>
      <w:bookmarkEnd w:id="2"/>
    </w:tbl>
    <w:p w14:paraId="3B23B023" w14:textId="77777777" w:rsidR="008F6C08" w:rsidRPr="00D95DDC" w:rsidRDefault="008F6C08" w:rsidP="008F6C08"/>
    <w:sectPr w:rsidR="008F6C08" w:rsidRPr="00D95DDC" w:rsidSect="003A4847">
      <w:pgSz w:w="16840" w:h="11907" w:orient="landscape" w:code="9"/>
      <w:pgMar w:top="1871" w:right="2268" w:bottom="1871" w:left="907"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FA9DF" w14:textId="77777777" w:rsidR="00C32A32" w:rsidRDefault="00C32A32" w:rsidP="0050529F">
      <w:r>
        <w:separator/>
      </w:r>
    </w:p>
    <w:p w14:paraId="1084A270" w14:textId="77777777" w:rsidR="00C32A32" w:rsidRDefault="00C32A32"/>
    <w:p w14:paraId="4B584EAC" w14:textId="77777777" w:rsidR="00C32A32" w:rsidRDefault="00C32A32"/>
    <w:p w14:paraId="15CEE7DD" w14:textId="77777777" w:rsidR="00C32A32" w:rsidRDefault="00C32A32"/>
    <w:p w14:paraId="3DA1D8C9" w14:textId="77777777" w:rsidR="00C32A32" w:rsidRDefault="00C32A32"/>
    <w:p w14:paraId="05066626" w14:textId="77777777" w:rsidR="00C32A32" w:rsidRDefault="00C32A32"/>
    <w:p w14:paraId="61896C16" w14:textId="77777777" w:rsidR="00C32A32" w:rsidRDefault="00C32A32"/>
  </w:endnote>
  <w:endnote w:type="continuationSeparator" w:id="0">
    <w:p w14:paraId="752C82E6" w14:textId="77777777" w:rsidR="00C32A32" w:rsidRDefault="00C32A32" w:rsidP="0050529F">
      <w:r>
        <w:continuationSeparator/>
      </w:r>
    </w:p>
    <w:p w14:paraId="47A6A89E" w14:textId="77777777" w:rsidR="00C32A32" w:rsidRDefault="00C32A32"/>
    <w:p w14:paraId="5F9F8100" w14:textId="77777777" w:rsidR="00C32A32" w:rsidRDefault="00C32A32"/>
    <w:p w14:paraId="0524C168" w14:textId="77777777" w:rsidR="00C32A32" w:rsidRDefault="00C32A32"/>
    <w:p w14:paraId="6E1C758A" w14:textId="77777777" w:rsidR="00C32A32" w:rsidRDefault="00C32A32"/>
    <w:p w14:paraId="54D62944" w14:textId="77777777" w:rsidR="00C32A32" w:rsidRDefault="00C32A32"/>
    <w:p w14:paraId="36F9F264" w14:textId="77777777" w:rsidR="00C32A32" w:rsidRDefault="00C32A32"/>
  </w:endnote>
  <w:endnote w:type="continuationNotice" w:id="1">
    <w:p w14:paraId="5413F7DB" w14:textId="77777777" w:rsidR="00C32A32" w:rsidRDefault="00C32A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727A6" w14:textId="77777777" w:rsidR="00C32A32" w:rsidRPr="0091071F" w:rsidRDefault="00C32A32" w:rsidP="000D733F">
    <w:pPr>
      <w:pStyle w:val="Footer"/>
    </w:pPr>
    <w:r w:rsidRPr="0091071F">
      <w:fldChar w:fldCharType="begin"/>
    </w:r>
    <w:r w:rsidRPr="0091071F">
      <w:instrText xml:space="preserve"> PAGE </w:instrText>
    </w:r>
    <w:r w:rsidRPr="0091071F">
      <w:fldChar w:fldCharType="separate"/>
    </w:r>
    <w:r>
      <w:rPr>
        <w:noProof/>
      </w:rPr>
      <w:t>10</w:t>
    </w:r>
    <w:r w:rsidRPr="0091071F">
      <w:fldChar w:fldCharType="end"/>
    </w:r>
    <w:r w:rsidRPr="0091071F">
      <w:tab/>
    </w:r>
    <w:r>
      <w:fldChar w:fldCharType="begin"/>
    </w:r>
    <w:r>
      <w:instrText xml:space="preserve"> STYLEREF  Title </w:instrText>
    </w:r>
    <w:r>
      <w:rPr>
        <w:noProof/>
      </w:rPr>
      <w:fldChar w:fldCharType="end"/>
    </w:r>
    <w:r>
      <w:t xml:space="preserve"> &lt;&lt;Name of Country Program&gt;&gt;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70772" w14:textId="33F027BA" w:rsidR="00C32A32" w:rsidRPr="0091071F" w:rsidRDefault="00C32A32" w:rsidP="000D733F">
    <w:pPr>
      <w:pStyle w:val="Footer"/>
    </w:pPr>
    <w:r>
      <w:tab/>
    </w:r>
    <w:r w:rsidR="00673050">
      <w:fldChar w:fldCharType="begin"/>
    </w:r>
    <w:r w:rsidR="00673050">
      <w:instrText xml:space="preserve"> STYLEREF Title \* MERGEFORMAT </w:instrText>
    </w:r>
    <w:r w:rsidR="00673050">
      <w:rPr>
        <w:noProof/>
      </w:rPr>
      <w:fldChar w:fldCharType="end"/>
    </w:r>
    <w:r w:rsidRPr="0091071F">
      <w:tab/>
    </w:r>
    <w:r w:rsidRPr="0091071F">
      <w:rPr>
        <w:rStyle w:val="PageNumber"/>
        <w:color w:val="3E3935"/>
      </w:rPr>
      <w:tab/>
    </w:r>
    <w:r w:rsidRPr="0091071F">
      <w:rPr>
        <w:rStyle w:val="PageNumber"/>
        <w:color w:val="3E3935"/>
      </w:rPr>
      <w:fldChar w:fldCharType="begin"/>
    </w:r>
    <w:r w:rsidRPr="0091071F">
      <w:rPr>
        <w:rStyle w:val="PageNumber"/>
        <w:color w:val="3E3935"/>
      </w:rPr>
      <w:instrText xml:space="preserve"> PAGE </w:instrText>
    </w:r>
    <w:r w:rsidRPr="0091071F">
      <w:rPr>
        <w:rStyle w:val="PageNumber"/>
        <w:color w:val="3E3935"/>
      </w:rPr>
      <w:fldChar w:fldCharType="separate"/>
    </w:r>
    <w:r w:rsidR="006111B2">
      <w:rPr>
        <w:rStyle w:val="PageNumber"/>
        <w:noProof/>
        <w:color w:val="3E3935"/>
      </w:rPr>
      <w:t>1</w:t>
    </w:r>
    <w:r w:rsidRPr="0091071F">
      <w:rPr>
        <w:rStyle w:val="PageNumber"/>
        <w:color w:val="3E39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77E3E" w14:textId="77777777" w:rsidR="00C32A32" w:rsidRPr="004C4A3E" w:rsidRDefault="00C32A32"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0704" behindDoc="1" locked="1" layoutInCell="1" allowOverlap="1" wp14:anchorId="0432CFE8" wp14:editId="2C5EBC11">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AusAID web address graphic" style="position:absolute;margin-left:0;margin-top:671.9pt;width:581.1pt;height:171.8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Aid Program Performance Report 2013-14</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10</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19680" behindDoc="1" locked="0" layoutInCell="1" allowOverlap="1" wp14:anchorId="428165F0" wp14:editId="7930803A">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69.2pt;width:581.1pt;height:17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18656" behindDoc="1" locked="0" layoutInCell="1" allowOverlap="1" wp14:anchorId="54B41B51" wp14:editId="1C88E1FF">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1308D" w14:textId="77777777" w:rsidR="00C32A32" w:rsidRDefault="00C32A32" w:rsidP="0050529F">
      <w:r>
        <w:separator/>
      </w:r>
    </w:p>
    <w:p w14:paraId="4450769A" w14:textId="77777777" w:rsidR="00C32A32" w:rsidRDefault="00C32A32" w:rsidP="00D86B20"/>
  </w:footnote>
  <w:footnote w:type="continuationSeparator" w:id="0">
    <w:p w14:paraId="5F51FF78" w14:textId="77777777" w:rsidR="00C32A32" w:rsidRDefault="00C32A32" w:rsidP="0050529F">
      <w:r>
        <w:continuationSeparator/>
      </w:r>
    </w:p>
    <w:p w14:paraId="67C27C07" w14:textId="77777777" w:rsidR="00C32A32" w:rsidRDefault="00C32A32"/>
    <w:p w14:paraId="2B1D05CA" w14:textId="77777777" w:rsidR="00C32A32" w:rsidRDefault="00C32A32"/>
    <w:p w14:paraId="1373E9C8" w14:textId="77777777" w:rsidR="00C32A32" w:rsidRDefault="00C32A32"/>
    <w:p w14:paraId="60DC5780" w14:textId="77777777" w:rsidR="00C32A32" w:rsidRDefault="00C32A32"/>
    <w:p w14:paraId="0015AC09" w14:textId="77777777" w:rsidR="00C32A32" w:rsidRDefault="00C32A32"/>
    <w:p w14:paraId="5A758346" w14:textId="77777777" w:rsidR="00C32A32" w:rsidRDefault="00C32A32"/>
  </w:footnote>
  <w:footnote w:type="continuationNotice" w:id="1">
    <w:p w14:paraId="717EC974" w14:textId="77777777" w:rsidR="00C32A32" w:rsidRDefault="00C32A32"/>
  </w:footnote>
  <w:footnote w:id="2">
    <w:p w14:paraId="2E3F827F" w14:textId="5F545BCB" w:rsidR="00C32A32" w:rsidRDefault="00C32A32">
      <w:pPr>
        <w:pStyle w:val="FootnoteText"/>
      </w:pPr>
      <w:r>
        <w:rPr>
          <w:rStyle w:val="FootnoteReference"/>
        </w:rPr>
        <w:footnoteRef/>
      </w:r>
      <w:r>
        <w:t xml:space="preserve"> Nauru Education Sector Review, February 2014, page 26</w:t>
      </w:r>
    </w:p>
  </w:footnote>
  <w:footnote w:id="3">
    <w:p w14:paraId="557F365C" w14:textId="77777777" w:rsidR="00C32A32" w:rsidRDefault="00C32A32" w:rsidP="00B37ACF">
      <w:pPr>
        <w:pStyle w:val="FootnoteText"/>
      </w:pPr>
      <w:r>
        <w:rPr>
          <w:rStyle w:val="FootnoteReference"/>
        </w:rPr>
        <w:footnoteRef/>
      </w:r>
      <w:r>
        <w:t xml:space="preserve"> Nauru 2014-15 Budget Paper 1, page 8</w:t>
      </w:r>
    </w:p>
  </w:footnote>
  <w:footnote w:id="4">
    <w:p w14:paraId="24AB15F8" w14:textId="3636C566" w:rsidR="00C32A32" w:rsidRDefault="00C32A32" w:rsidP="006A5078">
      <w:pPr>
        <w:pStyle w:val="FootnoteText"/>
      </w:pPr>
      <w:r>
        <w:rPr>
          <w:rStyle w:val="FootnoteReference"/>
        </w:rPr>
        <w:footnoteRef/>
      </w:r>
      <w:r>
        <w:t xml:space="preserve"> Decision not to provide full bilateral aid allocation was made in light of slow expenditure of previous year’s aid allocation.</w:t>
      </w:r>
    </w:p>
  </w:footnote>
  <w:footnote w:id="5">
    <w:p w14:paraId="36FAEF9D" w14:textId="77777777" w:rsidR="00C32A32" w:rsidRDefault="00C32A32" w:rsidP="00B420F5">
      <w:pPr>
        <w:pStyle w:val="FootnoteText"/>
      </w:pPr>
      <w:r>
        <w:rPr>
          <w:rStyle w:val="FootnoteReference"/>
        </w:rPr>
        <w:footnoteRef/>
      </w:r>
      <w:r>
        <w:t xml:space="preserve"> Note: This reporting does not include $2.7 million in logistical support and program management and monitoring costs.</w:t>
      </w:r>
    </w:p>
  </w:footnote>
  <w:footnote w:id="6">
    <w:p w14:paraId="108E27DD" w14:textId="77777777" w:rsidR="00C32A32" w:rsidRDefault="00C32A32" w:rsidP="00853CB9">
      <w:pPr>
        <w:pStyle w:val="FootnoteText"/>
      </w:pPr>
      <w:r>
        <w:rPr>
          <w:rStyle w:val="FootnoteReference"/>
        </w:rPr>
        <w:footnoteRef/>
      </w:r>
      <w:r>
        <w:t xml:space="preserve"> PFTAC  Aide Memoir on PFM Review Mission, April 2013 page 1.</w:t>
      </w:r>
    </w:p>
  </w:footnote>
  <w:footnote w:id="7">
    <w:p w14:paraId="18F79509" w14:textId="185D73DF" w:rsidR="00C32A32" w:rsidRDefault="00C32A32">
      <w:pPr>
        <w:pStyle w:val="FootnoteText"/>
      </w:pPr>
      <w:r>
        <w:rPr>
          <w:rStyle w:val="FootnoteReference"/>
        </w:rPr>
        <w:footnoteRef/>
      </w:r>
      <w:r>
        <w:t xml:space="preserve"> Nauru Health Sector Review February 2014, page 4.</w:t>
      </w:r>
    </w:p>
  </w:footnote>
  <w:footnote w:id="8">
    <w:p w14:paraId="46CE25DA" w14:textId="77777777" w:rsidR="00C32A32" w:rsidRDefault="00C32A32">
      <w:pPr>
        <w:pStyle w:val="FootnoteText"/>
      </w:pPr>
      <w:r>
        <w:rPr>
          <w:rStyle w:val="FootnoteReference"/>
        </w:rPr>
        <w:footnoteRef/>
      </w:r>
      <w:r>
        <w:t xml:space="preserve"> Nauru Health Sector Review, February 2014, page 26 Table </w:t>
      </w:r>
    </w:p>
  </w:footnote>
  <w:footnote w:id="9">
    <w:p w14:paraId="6D8EECF7" w14:textId="77777777" w:rsidR="00C32A32" w:rsidRDefault="00C32A32">
      <w:pPr>
        <w:pStyle w:val="FootnoteText"/>
      </w:pPr>
      <w:r>
        <w:rPr>
          <w:rStyle w:val="FootnoteReference"/>
        </w:rPr>
        <w:footnoteRef/>
      </w:r>
      <w:r>
        <w:t xml:space="preserve"> Ministry for Health and Medical Services informal reporting, July 2014.</w:t>
      </w:r>
    </w:p>
  </w:footnote>
  <w:footnote w:id="10">
    <w:p w14:paraId="1F25B898" w14:textId="77777777" w:rsidR="00C32A32" w:rsidRDefault="00C32A32">
      <w:pPr>
        <w:pStyle w:val="FootnoteText"/>
      </w:pPr>
      <w:r>
        <w:rPr>
          <w:rStyle w:val="FootnoteReference"/>
        </w:rPr>
        <w:footnoteRef/>
      </w:r>
      <w:r>
        <w:t xml:space="preserve"> Nauru Health Sector Review February 2014, page 25</w:t>
      </w:r>
    </w:p>
  </w:footnote>
  <w:footnote w:id="11">
    <w:p w14:paraId="14D115DC" w14:textId="77777777" w:rsidR="00C32A32" w:rsidRDefault="00C32A32">
      <w:pPr>
        <w:pStyle w:val="FootnoteText"/>
      </w:pPr>
      <w:r>
        <w:rPr>
          <w:rStyle w:val="FootnoteReference"/>
        </w:rPr>
        <w:footnoteRef/>
      </w:r>
      <w:r>
        <w:t xml:space="preserve"> Nauru Gender Country Plan, April 2014, page 10</w:t>
      </w:r>
    </w:p>
  </w:footnote>
  <w:footnote w:id="12">
    <w:p w14:paraId="34404D13" w14:textId="77777777" w:rsidR="00C32A32" w:rsidRDefault="00C32A32">
      <w:pPr>
        <w:pStyle w:val="FootnoteText"/>
      </w:pPr>
      <w:r>
        <w:rPr>
          <w:rStyle w:val="FootnoteReference"/>
        </w:rPr>
        <w:footnoteRef/>
      </w:r>
      <w:r>
        <w:t xml:space="preserve"> ibid</w:t>
      </w:r>
    </w:p>
  </w:footnote>
  <w:footnote w:id="13">
    <w:p w14:paraId="21D99591" w14:textId="30B5F620" w:rsidR="00C32A32" w:rsidRDefault="00C32A32">
      <w:pPr>
        <w:pStyle w:val="FootnoteText"/>
      </w:pPr>
      <w:r>
        <w:rPr>
          <w:rStyle w:val="FootnoteReference"/>
        </w:rPr>
        <w:footnoteRef/>
      </w:r>
      <w:r>
        <w:t xml:space="preserve"> Supra N9</w:t>
      </w:r>
    </w:p>
  </w:footnote>
  <w:footnote w:id="14">
    <w:p w14:paraId="5F2F63CE" w14:textId="77777777" w:rsidR="00C32A32" w:rsidRDefault="00C32A32">
      <w:pPr>
        <w:pStyle w:val="FootnoteText"/>
      </w:pPr>
      <w:r>
        <w:rPr>
          <w:rStyle w:val="FootnoteReference"/>
        </w:rPr>
        <w:footnoteRef/>
      </w:r>
      <w:r>
        <w:t xml:space="preserve"> Nauru Education Sector Review, February 2014, page 13</w:t>
      </w:r>
    </w:p>
  </w:footnote>
  <w:footnote w:id="15">
    <w:p w14:paraId="208AC4A0" w14:textId="62328810" w:rsidR="00C32A32" w:rsidRDefault="00C32A32">
      <w:pPr>
        <w:pStyle w:val="FootnoteText"/>
      </w:pPr>
      <w:r>
        <w:rPr>
          <w:rStyle w:val="FootnoteReference"/>
        </w:rPr>
        <w:footnoteRef/>
      </w:r>
      <w:r>
        <w:t xml:space="preserve"> ibid, page 18</w:t>
      </w:r>
    </w:p>
  </w:footnote>
  <w:footnote w:id="16">
    <w:p w14:paraId="06A5DFA8" w14:textId="645A7BC6" w:rsidR="00C32A32" w:rsidRDefault="00C32A32">
      <w:pPr>
        <w:pStyle w:val="FootnoteText"/>
      </w:pPr>
      <w:r>
        <w:rPr>
          <w:rStyle w:val="FootnoteReference"/>
        </w:rPr>
        <w:footnoteRef/>
      </w:r>
      <w:r>
        <w:t xml:space="preserve"> ibid, page 26</w:t>
      </w:r>
    </w:p>
  </w:footnote>
  <w:footnote w:id="17">
    <w:p w14:paraId="2481E5FB" w14:textId="77777777" w:rsidR="00C32A32" w:rsidRDefault="00C32A32">
      <w:pPr>
        <w:pStyle w:val="FootnoteText"/>
      </w:pPr>
      <w:r>
        <w:rPr>
          <w:rStyle w:val="FootnoteReference"/>
        </w:rPr>
        <w:footnoteRef/>
      </w:r>
      <w:r>
        <w:t xml:space="preserve"> ibid</w:t>
      </w:r>
    </w:p>
  </w:footnote>
  <w:footnote w:id="18">
    <w:p w14:paraId="63D8CE56" w14:textId="77777777" w:rsidR="00C32A32" w:rsidRDefault="00C32A32">
      <w:pPr>
        <w:pStyle w:val="FootnoteText"/>
      </w:pPr>
      <w:r>
        <w:rPr>
          <w:rStyle w:val="FootnoteReference"/>
        </w:rPr>
        <w:footnoteRef/>
      </w:r>
      <w:r>
        <w:t xml:space="preserve"> USP 2013 Annual Report</w:t>
      </w:r>
    </w:p>
  </w:footnote>
  <w:footnote w:id="19">
    <w:p w14:paraId="0F7093D5" w14:textId="77777777" w:rsidR="00C32A32" w:rsidRDefault="00C32A32">
      <w:pPr>
        <w:pStyle w:val="FootnoteText"/>
      </w:pPr>
      <w:r>
        <w:rPr>
          <w:rStyle w:val="FootnoteReference"/>
        </w:rPr>
        <w:footnoteRef/>
      </w:r>
      <w:r>
        <w:t xml:space="preserve"> APTC Quarterly Reports September 2013 and March 2014</w:t>
      </w:r>
    </w:p>
  </w:footnote>
  <w:footnote w:id="20">
    <w:p w14:paraId="127964BE" w14:textId="779747EC" w:rsidR="00C32A32" w:rsidRDefault="00C32A32">
      <w:pPr>
        <w:pStyle w:val="FootnoteText"/>
      </w:pPr>
      <w:r>
        <w:rPr>
          <w:rStyle w:val="FootnoteReference"/>
        </w:rPr>
        <w:footnoteRef/>
      </w:r>
      <w:r>
        <w:t xml:space="preserve"> Funding for the CEO NUC will not continue beyond 2013-14</w:t>
      </w:r>
    </w:p>
  </w:footnote>
  <w:footnote w:id="21">
    <w:p w14:paraId="6CE41D01" w14:textId="77777777" w:rsidR="00C32A32" w:rsidRPr="0069331A" w:rsidRDefault="00C32A32" w:rsidP="00E50357">
      <w:pPr>
        <w:pStyle w:val="FootnoteText"/>
        <w:spacing w:line="240" w:lineRule="exact"/>
        <w:rPr>
          <w:szCs w:val="16"/>
        </w:rPr>
      </w:pPr>
      <w:r>
        <w:rPr>
          <w:rStyle w:val="FootnoteReference"/>
        </w:rPr>
        <w:footnoteRef/>
      </w:r>
      <w:r w:rsidRPr="00E50357">
        <w:rPr>
          <w:rStyle w:val="FootnoteReference"/>
        </w:rPr>
        <w:t xml:space="preserve"> </w:t>
      </w:r>
      <w:r w:rsidRPr="00E50357">
        <w:t xml:space="preserve">The Nauru Australia Compact of Settlement (NACOS) was finalised in 1993 as an out of court settlement. The Government of Nauru agreed to discontinue its claim against Australia in the International Court of Justice for compensation for phosphate lands </w:t>
      </w:r>
      <w:r w:rsidRPr="0069331A">
        <w:rPr>
          <w:szCs w:val="16"/>
        </w:rPr>
        <w:t xml:space="preserve">mined before 1st July 1967, while </w:t>
      </w:r>
      <w:r>
        <w:rPr>
          <w:szCs w:val="16"/>
        </w:rPr>
        <w:t>Australia</w:t>
      </w:r>
      <w:r w:rsidRPr="0069331A">
        <w:rPr>
          <w:szCs w:val="16"/>
        </w:rPr>
        <w:t xml:space="preserve"> agreed to pay Nauru a cash settlement of $107 million: $57 million upfront and $50 million at an annual rate of $2.5 million (in real terms) over 20 years commencing in 1993-94.</w:t>
      </w:r>
      <w:r>
        <w:rPr>
          <w:szCs w:val="16"/>
        </w:rPr>
        <w:t xml:space="preserve"> </w:t>
      </w:r>
    </w:p>
  </w:footnote>
  <w:footnote w:id="22">
    <w:p w14:paraId="0639AC46" w14:textId="77777777" w:rsidR="00C32A32" w:rsidRDefault="00C32A32">
      <w:pPr>
        <w:pStyle w:val="FootnoteText"/>
      </w:pPr>
      <w:r>
        <w:rPr>
          <w:rStyle w:val="FootnoteReference"/>
        </w:rPr>
        <w:footnoteRef/>
      </w:r>
      <w:r>
        <w:t xml:space="preserve"> Government of Nauru Budget Paper 1, 2013-14 Table 3 page 5.</w:t>
      </w:r>
    </w:p>
  </w:footnote>
  <w:footnote w:id="23">
    <w:p w14:paraId="6D92A51C" w14:textId="38A87C66" w:rsidR="00C32A32" w:rsidRDefault="00C32A32">
      <w:pPr>
        <w:pStyle w:val="FootnoteText"/>
      </w:pPr>
      <w:r>
        <w:rPr>
          <w:rStyle w:val="FootnoteReference"/>
        </w:rPr>
        <w:footnoteRef/>
      </w:r>
      <w:r>
        <w:t xml:space="preserve"> ibid.</w:t>
      </w:r>
    </w:p>
  </w:footnote>
  <w:footnote w:id="24">
    <w:p w14:paraId="73EDB823" w14:textId="610C71FD" w:rsidR="00C32A32" w:rsidRDefault="00C32A32">
      <w:pPr>
        <w:pStyle w:val="FootnoteText"/>
      </w:pPr>
      <w:r>
        <w:rPr>
          <w:rStyle w:val="FootnoteReference"/>
        </w:rPr>
        <w:footnoteRef/>
      </w:r>
      <w:r>
        <w:t xml:space="preserve"> PMAG independent review report April 2014, page 3 paragraph 15</w:t>
      </w:r>
    </w:p>
  </w:footnote>
  <w:footnote w:id="25">
    <w:p w14:paraId="62D92EBF" w14:textId="6C6EC8C9" w:rsidR="00C32A32" w:rsidRDefault="00C32A32">
      <w:pPr>
        <w:pStyle w:val="FootnoteText"/>
      </w:pPr>
      <w:r>
        <w:rPr>
          <w:rStyle w:val="FootnoteReference"/>
        </w:rPr>
        <w:footnoteRef/>
      </w:r>
      <w:r>
        <w:t xml:space="preserve"> ibid executive summary page VI</w:t>
      </w:r>
    </w:p>
  </w:footnote>
  <w:footnote w:id="26">
    <w:p w14:paraId="5C222445" w14:textId="77777777" w:rsidR="00C32A32" w:rsidRDefault="00C32A32" w:rsidP="00C27B04">
      <w:pPr>
        <w:pStyle w:val="FootnoteText"/>
      </w:pPr>
      <w:r>
        <w:rPr>
          <w:rStyle w:val="FootnoteReference"/>
        </w:rPr>
        <w:footnoteRef/>
      </w:r>
      <w:r>
        <w:t xml:space="preserve"> Supra N24 page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4D03D" w14:textId="77777777" w:rsidR="00C32A32" w:rsidRDefault="00C32A32" w:rsidP="00AA31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4E70B" w14:textId="77777777" w:rsidR="00C32A32" w:rsidRDefault="00C32A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C2977E"/>
    <w:lvl w:ilvl="0">
      <w:start w:val="1"/>
      <w:numFmt w:val="decimal"/>
      <w:lvlText w:val="%1."/>
      <w:lvlJc w:val="left"/>
      <w:pPr>
        <w:tabs>
          <w:tab w:val="num" w:pos="1492"/>
        </w:tabs>
        <w:ind w:left="1492" w:hanging="360"/>
      </w:pPr>
    </w:lvl>
  </w:abstractNum>
  <w:abstractNum w:abstractNumId="1">
    <w:nsid w:val="FFFFFF7D"/>
    <w:multiLevelType w:val="singleLevel"/>
    <w:tmpl w:val="3A0AE7DC"/>
    <w:lvl w:ilvl="0">
      <w:start w:val="1"/>
      <w:numFmt w:val="decimal"/>
      <w:lvlText w:val="%1."/>
      <w:lvlJc w:val="left"/>
      <w:pPr>
        <w:tabs>
          <w:tab w:val="num" w:pos="1209"/>
        </w:tabs>
        <w:ind w:left="1209" w:hanging="360"/>
      </w:pPr>
    </w:lvl>
  </w:abstractNum>
  <w:abstractNum w:abstractNumId="2">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3">
    <w:nsid w:val="FFFFFF80"/>
    <w:multiLevelType w:val="singleLevel"/>
    <w:tmpl w:val="E24C2F64"/>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FA181B4A"/>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6">
    <w:nsid w:val="063D7532"/>
    <w:multiLevelType w:val="hybridMultilevel"/>
    <w:tmpl w:val="7AC07B9C"/>
    <w:lvl w:ilvl="0" w:tplc="0442966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7B67778"/>
    <w:multiLevelType w:val="hybridMultilevel"/>
    <w:tmpl w:val="2E445AB6"/>
    <w:lvl w:ilvl="0" w:tplc="EEB2B4C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80665BC"/>
    <w:multiLevelType w:val="hybridMultilevel"/>
    <w:tmpl w:val="28E67FD2"/>
    <w:lvl w:ilvl="0" w:tplc="E95294B4">
      <w:start w:val="1"/>
      <w:numFmt w:val="decimal"/>
      <w:lvlText w:val="%1."/>
      <w:lvlJc w:val="left"/>
      <w:pPr>
        <w:ind w:left="360" w:hanging="360"/>
      </w:pPr>
      <w:rPr>
        <w:rFonts w:hint="default"/>
      </w:rPr>
    </w:lvl>
    <w:lvl w:ilvl="1" w:tplc="1AC44F52" w:tentative="1">
      <w:start w:val="1"/>
      <w:numFmt w:val="lowerLetter"/>
      <w:lvlText w:val="%2."/>
      <w:lvlJc w:val="left"/>
      <w:pPr>
        <w:tabs>
          <w:tab w:val="num" w:pos="1440"/>
        </w:tabs>
        <w:ind w:left="1440" w:hanging="360"/>
      </w:pPr>
    </w:lvl>
    <w:lvl w:ilvl="2" w:tplc="80663A2E" w:tentative="1">
      <w:start w:val="1"/>
      <w:numFmt w:val="lowerRoman"/>
      <w:lvlText w:val="%3."/>
      <w:lvlJc w:val="right"/>
      <w:pPr>
        <w:tabs>
          <w:tab w:val="num" w:pos="2160"/>
        </w:tabs>
        <w:ind w:left="2160" w:hanging="180"/>
      </w:pPr>
    </w:lvl>
    <w:lvl w:ilvl="3" w:tplc="7494D2F4" w:tentative="1">
      <w:start w:val="1"/>
      <w:numFmt w:val="decimal"/>
      <w:lvlText w:val="%4."/>
      <w:lvlJc w:val="left"/>
      <w:pPr>
        <w:tabs>
          <w:tab w:val="num" w:pos="2880"/>
        </w:tabs>
        <w:ind w:left="2880" w:hanging="360"/>
      </w:pPr>
    </w:lvl>
    <w:lvl w:ilvl="4" w:tplc="5824E6D8" w:tentative="1">
      <w:start w:val="1"/>
      <w:numFmt w:val="lowerLetter"/>
      <w:lvlText w:val="%5."/>
      <w:lvlJc w:val="left"/>
      <w:pPr>
        <w:tabs>
          <w:tab w:val="num" w:pos="3600"/>
        </w:tabs>
        <w:ind w:left="3600" w:hanging="360"/>
      </w:pPr>
    </w:lvl>
    <w:lvl w:ilvl="5" w:tplc="9E0A90D6" w:tentative="1">
      <w:start w:val="1"/>
      <w:numFmt w:val="lowerRoman"/>
      <w:lvlText w:val="%6."/>
      <w:lvlJc w:val="right"/>
      <w:pPr>
        <w:tabs>
          <w:tab w:val="num" w:pos="4320"/>
        </w:tabs>
        <w:ind w:left="4320" w:hanging="180"/>
      </w:pPr>
    </w:lvl>
    <w:lvl w:ilvl="6" w:tplc="D8F6E7D8" w:tentative="1">
      <w:start w:val="1"/>
      <w:numFmt w:val="decimal"/>
      <w:lvlText w:val="%7."/>
      <w:lvlJc w:val="left"/>
      <w:pPr>
        <w:tabs>
          <w:tab w:val="num" w:pos="5040"/>
        </w:tabs>
        <w:ind w:left="5040" w:hanging="360"/>
      </w:pPr>
    </w:lvl>
    <w:lvl w:ilvl="7" w:tplc="CB6C9680" w:tentative="1">
      <w:start w:val="1"/>
      <w:numFmt w:val="lowerLetter"/>
      <w:lvlText w:val="%8."/>
      <w:lvlJc w:val="left"/>
      <w:pPr>
        <w:tabs>
          <w:tab w:val="num" w:pos="5760"/>
        </w:tabs>
        <w:ind w:left="5760" w:hanging="360"/>
      </w:pPr>
    </w:lvl>
    <w:lvl w:ilvl="8" w:tplc="11204952" w:tentative="1">
      <w:start w:val="1"/>
      <w:numFmt w:val="lowerRoman"/>
      <w:lvlText w:val="%9."/>
      <w:lvlJc w:val="right"/>
      <w:pPr>
        <w:tabs>
          <w:tab w:val="num" w:pos="6480"/>
        </w:tabs>
        <w:ind w:left="6480" w:hanging="180"/>
      </w:pPr>
    </w:lvl>
  </w:abstractNum>
  <w:abstractNum w:abstractNumId="12">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13">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4">
    <w:nsid w:val="21D46874"/>
    <w:multiLevelType w:val="hybridMultilevel"/>
    <w:tmpl w:val="A49A1408"/>
    <w:lvl w:ilvl="0" w:tplc="BA447846">
      <w:start w:val="1"/>
      <w:numFmt w:val="bullet"/>
      <w:lvlText w:val=""/>
      <w:lvlJc w:val="left"/>
      <w:pPr>
        <w:tabs>
          <w:tab w:val="num" w:pos="360"/>
        </w:tabs>
        <w:ind w:left="360" w:hanging="360"/>
      </w:pPr>
      <w:rPr>
        <w:rFonts w:ascii="Symbol" w:hAnsi="Symbol" w:hint="default"/>
        <w:strike w:val="0"/>
        <w:color w:val="auto"/>
      </w:rPr>
    </w:lvl>
    <w:lvl w:ilvl="1" w:tplc="93EEBC22">
      <w:start w:val="1"/>
      <w:numFmt w:val="bullet"/>
      <w:lvlText w:val="o"/>
      <w:lvlJc w:val="left"/>
      <w:pPr>
        <w:tabs>
          <w:tab w:val="num" w:pos="1440"/>
        </w:tabs>
        <w:ind w:left="1440" w:hanging="360"/>
      </w:pPr>
      <w:rPr>
        <w:rFonts w:ascii="Courier New" w:hAnsi="Courier New" w:hint="default"/>
      </w:rPr>
    </w:lvl>
    <w:lvl w:ilvl="2" w:tplc="F5E29052">
      <w:start w:val="1"/>
      <w:numFmt w:val="bullet"/>
      <w:lvlText w:val=""/>
      <w:lvlJc w:val="left"/>
      <w:pPr>
        <w:tabs>
          <w:tab w:val="num" w:pos="2160"/>
        </w:tabs>
        <w:ind w:left="2160" w:hanging="360"/>
      </w:pPr>
      <w:rPr>
        <w:rFonts w:ascii="Symbol" w:hAnsi="Symbol" w:hint="default"/>
        <w:color w:val="auto"/>
      </w:rPr>
    </w:lvl>
    <w:lvl w:ilvl="3" w:tplc="31528D04">
      <w:numFmt w:val="bullet"/>
      <w:lvlText w:val="•"/>
      <w:lvlJc w:val="left"/>
      <w:pPr>
        <w:ind w:left="2880" w:hanging="360"/>
      </w:pPr>
      <w:rPr>
        <w:rFonts w:ascii="Times New Roman" w:eastAsia="Times New Roman" w:hAnsi="Times New Roman" w:hint="default"/>
      </w:rPr>
    </w:lvl>
    <w:lvl w:ilvl="4" w:tplc="449A1E14" w:tentative="1">
      <w:start w:val="1"/>
      <w:numFmt w:val="bullet"/>
      <w:lvlText w:val="o"/>
      <w:lvlJc w:val="left"/>
      <w:pPr>
        <w:tabs>
          <w:tab w:val="num" w:pos="3600"/>
        </w:tabs>
        <w:ind w:left="3600" w:hanging="360"/>
      </w:pPr>
      <w:rPr>
        <w:rFonts w:ascii="Courier New" w:hAnsi="Courier New" w:hint="default"/>
      </w:rPr>
    </w:lvl>
    <w:lvl w:ilvl="5" w:tplc="26480102" w:tentative="1">
      <w:start w:val="1"/>
      <w:numFmt w:val="bullet"/>
      <w:lvlText w:val=""/>
      <w:lvlJc w:val="left"/>
      <w:pPr>
        <w:tabs>
          <w:tab w:val="num" w:pos="4320"/>
        </w:tabs>
        <w:ind w:left="4320" w:hanging="360"/>
      </w:pPr>
      <w:rPr>
        <w:rFonts w:ascii="Wingdings" w:hAnsi="Wingdings" w:hint="default"/>
      </w:rPr>
    </w:lvl>
    <w:lvl w:ilvl="6" w:tplc="F370CA96" w:tentative="1">
      <w:start w:val="1"/>
      <w:numFmt w:val="bullet"/>
      <w:lvlText w:val=""/>
      <w:lvlJc w:val="left"/>
      <w:pPr>
        <w:tabs>
          <w:tab w:val="num" w:pos="5040"/>
        </w:tabs>
        <w:ind w:left="5040" w:hanging="360"/>
      </w:pPr>
      <w:rPr>
        <w:rFonts w:ascii="Symbol" w:hAnsi="Symbol" w:hint="default"/>
      </w:rPr>
    </w:lvl>
    <w:lvl w:ilvl="7" w:tplc="69123D24" w:tentative="1">
      <w:start w:val="1"/>
      <w:numFmt w:val="bullet"/>
      <w:lvlText w:val="o"/>
      <w:lvlJc w:val="left"/>
      <w:pPr>
        <w:tabs>
          <w:tab w:val="num" w:pos="5760"/>
        </w:tabs>
        <w:ind w:left="5760" w:hanging="360"/>
      </w:pPr>
      <w:rPr>
        <w:rFonts w:ascii="Courier New" w:hAnsi="Courier New" w:hint="default"/>
      </w:rPr>
    </w:lvl>
    <w:lvl w:ilvl="8" w:tplc="FDE007D0" w:tentative="1">
      <w:start w:val="1"/>
      <w:numFmt w:val="bullet"/>
      <w:lvlText w:val=""/>
      <w:lvlJc w:val="left"/>
      <w:pPr>
        <w:tabs>
          <w:tab w:val="num" w:pos="6480"/>
        </w:tabs>
        <w:ind w:left="6480" w:hanging="360"/>
      </w:pPr>
      <w:rPr>
        <w:rFonts w:ascii="Wingdings" w:hAnsi="Wingdings" w:hint="default"/>
      </w:rPr>
    </w:lvl>
  </w:abstractNum>
  <w:abstractNum w:abstractNumId="15">
    <w:nsid w:val="23F77084"/>
    <w:multiLevelType w:val="hybridMultilevel"/>
    <w:tmpl w:val="7DC0A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8">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9">
    <w:nsid w:val="327B4CBA"/>
    <w:multiLevelType w:val="hybridMultilevel"/>
    <w:tmpl w:val="7E7489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35454C1"/>
    <w:multiLevelType w:val="hybridMultilevel"/>
    <w:tmpl w:val="346EC210"/>
    <w:lvl w:ilvl="0" w:tplc="53E6244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233F6B"/>
    <w:multiLevelType w:val="hybridMultilevel"/>
    <w:tmpl w:val="CBEA5018"/>
    <w:lvl w:ilvl="0" w:tplc="C8A4C5E0">
      <w:start w:val="1"/>
      <w:numFmt w:val="lowerLetter"/>
      <w:lvlText w:val="%1."/>
      <w:lvlJc w:val="left"/>
      <w:pPr>
        <w:ind w:left="644" w:hanging="360"/>
      </w:pPr>
      <w:rPr>
        <w:rFonts w:hint="default"/>
      </w:rPr>
    </w:lvl>
    <w:lvl w:ilvl="1" w:tplc="BE7AE256" w:tentative="1">
      <w:start w:val="1"/>
      <w:numFmt w:val="lowerLetter"/>
      <w:lvlText w:val="%2."/>
      <w:lvlJc w:val="left"/>
      <w:pPr>
        <w:tabs>
          <w:tab w:val="num" w:pos="1440"/>
        </w:tabs>
        <w:ind w:left="1440" w:hanging="360"/>
      </w:pPr>
    </w:lvl>
    <w:lvl w:ilvl="2" w:tplc="804668A8" w:tentative="1">
      <w:start w:val="1"/>
      <w:numFmt w:val="lowerRoman"/>
      <w:lvlText w:val="%3."/>
      <w:lvlJc w:val="right"/>
      <w:pPr>
        <w:tabs>
          <w:tab w:val="num" w:pos="2160"/>
        </w:tabs>
        <w:ind w:left="2160" w:hanging="180"/>
      </w:pPr>
    </w:lvl>
    <w:lvl w:ilvl="3" w:tplc="84B0F012" w:tentative="1">
      <w:start w:val="1"/>
      <w:numFmt w:val="decimal"/>
      <w:lvlText w:val="%4."/>
      <w:lvlJc w:val="left"/>
      <w:pPr>
        <w:tabs>
          <w:tab w:val="num" w:pos="2880"/>
        </w:tabs>
        <w:ind w:left="2880" w:hanging="360"/>
      </w:pPr>
    </w:lvl>
    <w:lvl w:ilvl="4" w:tplc="80D6161A" w:tentative="1">
      <w:start w:val="1"/>
      <w:numFmt w:val="lowerLetter"/>
      <w:lvlText w:val="%5."/>
      <w:lvlJc w:val="left"/>
      <w:pPr>
        <w:tabs>
          <w:tab w:val="num" w:pos="3600"/>
        </w:tabs>
        <w:ind w:left="3600" w:hanging="360"/>
      </w:pPr>
    </w:lvl>
    <w:lvl w:ilvl="5" w:tplc="235ABDF6" w:tentative="1">
      <w:start w:val="1"/>
      <w:numFmt w:val="lowerRoman"/>
      <w:lvlText w:val="%6."/>
      <w:lvlJc w:val="right"/>
      <w:pPr>
        <w:tabs>
          <w:tab w:val="num" w:pos="4320"/>
        </w:tabs>
        <w:ind w:left="4320" w:hanging="180"/>
      </w:pPr>
    </w:lvl>
    <w:lvl w:ilvl="6" w:tplc="1A184932" w:tentative="1">
      <w:start w:val="1"/>
      <w:numFmt w:val="decimal"/>
      <w:lvlText w:val="%7."/>
      <w:lvlJc w:val="left"/>
      <w:pPr>
        <w:tabs>
          <w:tab w:val="num" w:pos="5040"/>
        </w:tabs>
        <w:ind w:left="5040" w:hanging="360"/>
      </w:pPr>
    </w:lvl>
    <w:lvl w:ilvl="7" w:tplc="5D7016F8" w:tentative="1">
      <w:start w:val="1"/>
      <w:numFmt w:val="lowerLetter"/>
      <w:lvlText w:val="%8."/>
      <w:lvlJc w:val="left"/>
      <w:pPr>
        <w:tabs>
          <w:tab w:val="num" w:pos="5760"/>
        </w:tabs>
        <w:ind w:left="5760" w:hanging="360"/>
      </w:pPr>
    </w:lvl>
    <w:lvl w:ilvl="8" w:tplc="8C18ED62" w:tentative="1">
      <w:start w:val="1"/>
      <w:numFmt w:val="lowerRoman"/>
      <w:lvlText w:val="%9."/>
      <w:lvlJc w:val="right"/>
      <w:pPr>
        <w:tabs>
          <w:tab w:val="num" w:pos="6480"/>
        </w:tabs>
        <w:ind w:left="6480" w:hanging="180"/>
      </w:pPr>
    </w:lvl>
  </w:abstractNum>
  <w:abstractNum w:abstractNumId="23">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36C215D"/>
    <w:multiLevelType w:val="multilevel"/>
    <w:tmpl w:val="CC48A5C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6">
    <w:nsid w:val="54AD41DD"/>
    <w:multiLevelType w:val="hybridMultilevel"/>
    <w:tmpl w:val="9CFE5A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4611E40"/>
    <w:multiLevelType w:val="hybridMultilevel"/>
    <w:tmpl w:val="784A2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0">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6F6C4890"/>
    <w:multiLevelType w:val="hybridMultilevel"/>
    <w:tmpl w:val="DF42676E"/>
    <w:lvl w:ilvl="0" w:tplc="109469C8">
      <w:start w:val="1"/>
      <w:numFmt w:val="bullet"/>
      <w:lvlText w:val=""/>
      <w:lvlJc w:val="left"/>
      <w:pPr>
        <w:ind w:left="720" w:hanging="360"/>
      </w:pPr>
      <w:rPr>
        <w:rFonts w:ascii="Symbol" w:hAnsi="Symbol" w:hint="default"/>
      </w:rPr>
    </w:lvl>
    <w:lvl w:ilvl="1" w:tplc="9956011E" w:tentative="1">
      <w:start w:val="1"/>
      <w:numFmt w:val="bullet"/>
      <w:lvlText w:val="o"/>
      <w:lvlJc w:val="left"/>
      <w:pPr>
        <w:ind w:left="1440" w:hanging="360"/>
      </w:pPr>
      <w:rPr>
        <w:rFonts w:ascii="Courier New" w:hAnsi="Courier New" w:cs="Courier New" w:hint="default"/>
      </w:rPr>
    </w:lvl>
    <w:lvl w:ilvl="2" w:tplc="27FA2A3E" w:tentative="1">
      <w:start w:val="1"/>
      <w:numFmt w:val="bullet"/>
      <w:lvlText w:val=""/>
      <w:lvlJc w:val="left"/>
      <w:pPr>
        <w:ind w:left="2160" w:hanging="360"/>
      </w:pPr>
      <w:rPr>
        <w:rFonts w:ascii="Wingdings" w:hAnsi="Wingdings" w:hint="default"/>
      </w:rPr>
    </w:lvl>
    <w:lvl w:ilvl="3" w:tplc="EBC0D15E" w:tentative="1">
      <w:start w:val="1"/>
      <w:numFmt w:val="bullet"/>
      <w:lvlText w:val=""/>
      <w:lvlJc w:val="left"/>
      <w:pPr>
        <w:ind w:left="2880" w:hanging="360"/>
      </w:pPr>
      <w:rPr>
        <w:rFonts w:ascii="Symbol" w:hAnsi="Symbol" w:hint="default"/>
      </w:rPr>
    </w:lvl>
    <w:lvl w:ilvl="4" w:tplc="A25659F4" w:tentative="1">
      <w:start w:val="1"/>
      <w:numFmt w:val="bullet"/>
      <w:lvlText w:val="o"/>
      <w:lvlJc w:val="left"/>
      <w:pPr>
        <w:ind w:left="3600" w:hanging="360"/>
      </w:pPr>
      <w:rPr>
        <w:rFonts w:ascii="Courier New" w:hAnsi="Courier New" w:cs="Courier New" w:hint="default"/>
      </w:rPr>
    </w:lvl>
    <w:lvl w:ilvl="5" w:tplc="50CC0414" w:tentative="1">
      <w:start w:val="1"/>
      <w:numFmt w:val="bullet"/>
      <w:lvlText w:val=""/>
      <w:lvlJc w:val="left"/>
      <w:pPr>
        <w:ind w:left="4320" w:hanging="360"/>
      </w:pPr>
      <w:rPr>
        <w:rFonts w:ascii="Wingdings" w:hAnsi="Wingdings" w:hint="default"/>
      </w:rPr>
    </w:lvl>
    <w:lvl w:ilvl="6" w:tplc="EDC68026" w:tentative="1">
      <w:start w:val="1"/>
      <w:numFmt w:val="bullet"/>
      <w:lvlText w:val=""/>
      <w:lvlJc w:val="left"/>
      <w:pPr>
        <w:ind w:left="5040" w:hanging="360"/>
      </w:pPr>
      <w:rPr>
        <w:rFonts w:ascii="Symbol" w:hAnsi="Symbol" w:hint="default"/>
      </w:rPr>
    </w:lvl>
    <w:lvl w:ilvl="7" w:tplc="B8B47C86" w:tentative="1">
      <w:start w:val="1"/>
      <w:numFmt w:val="bullet"/>
      <w:lvlText w:val="o"/>
      <w:lvlJc w:val="left"/>
      <w:pPr>
        <w:ind w:left="5760" w:hanging="360"/>
      </w:pPr>
      <w:rPr>
        <w:rFonts w:ascii="Courier New" w:hAnsi="Courier New" w:cs="Courier New" w:hint="default"/>
      </w:rPr>
    </w:lvl>
    <w:lvl w:ilvl="8" w:tplc="C8D2A412" w:tentative="1">
      <w:start w:val="1"/>
      <w:numFmt w:val="bullet"/>
      <w:lvlText w:val=""/>
      <w:lvlJc w:val="left"/>
      <w:pPr>
        <w:ind w:left="6480" w:hanging="360"/>
      </w:pPr>
      <w:rPr>
        <w:rFonts w:ascii="Wingdings" w:hAnsi="Wingdings" w:hint="default"/>
      </w:rPr>
    </w:lvl>
  </w:abstractNum>
  <w:abstractNum w:abstractNumId="33">
    <w:nsid w:val="778E5054"/>
    <w:multiLevelType w:val="hybridMultilevel"/>
    <w:tmpl w:val="E1BC7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7"/>
  </w:num>
  <w:num w:numId="3">
    <w:abstractNumId w:val="10"/>
  </w:num>
  <w:num w:numId="4">
    <w:abstractNumId w:val="24"/>
  </w:num>
  <w:num w:numId="5">
    <w:abstractNumId w:val="23"/>
  </w:num>
  <w:num w:numId="6">
    <w:abstractNumId w:val="21"/>
  </w:num>
  <w:num w:numId="7">
    <w:abstractNumId w:val="31"/>
  </w:num>
  <w:num w:numId="8">
    <w:abstractNumId w:val="9"/>
  </w:num>
  <w:num w:numId="9">
    <w:abstractNumId w:val="13"/>
  </w:num>
  <w:num w:numId="10">
    <w:abstractNumId w:val="34"/>
  </w:num>
  <w:num w:numId="11">
    <w:abstractNumId w:val="35"/>
  </w:num>
  <w:num w:numId="12">
    <w:abstractNumId w:val="2"/>
  </w:num>
  <w:num w:numId="13">
    <w:abstractNumId w:val="7"/>
  </w:num>
  <w:num w:numId="14">
    <w:abstractNumId w:val="30"/>
  </w:num>
  <w:num w:numId="15">
    <w:abstractNumId w:val="5"/>
  </w:num>
  <w:num w:numId="16">
    <w:abstractNumId w:val="18"/>
  </w:num>
  <w:num w:numId="17">
    <w:abstractNumId w:val="22"/>
  </w:num>
  <w:num w:numId="18">
    <w:abstractNumId w:val="8"/>
  </w:num>
  <w:num w:numId="19">
    <w:abstractNumId w:val="4"/>
  </w:num>
  <w:num w:numId="20">
    <w:abstractNumId w:val="3"/>
  </w:num>
  <w:num w:numId="21">
    <w:abstractNumId w:val="1"/>
  </w:num>
  <w:num w:numId="22">
    <w:abstractNumId w:val="0"/>
  </w:num>
  <w:num w:numId="23">
    <w:abstractNumId w:val="26"/>
  </w:num>
  <w:num w:numId="24">
    <w:abstractNumId w:val="16"/>
  </w:num>
  <w:num w:numId="25">
    <w:abstractNumId w:val="12"/>
  </w:num>
  <w:num w:numId="26">
    <w:abstractNumId w:val="15"/>
  </w:num>
  <w:num w:numId="27">
    <w:abstractNumId w:val="19"/>
  </w:num>
  <w:num w:numId="28">
    <w:abstractNumId w:val="28"/>
  </w:num>
  <w:num w:numId="29">
    <w:abstractNumId w:val="11"/>
  </w:num>
  <w:num w:numId="30">
    <w:abstractNumId w:val="6"/>
  </w:num>
  <w:num w:numId="31">
    <w:abstractNumId w:val="33"/>
  </w:num>
  <w:num w:numId="32">
    <w:abstractNumId w:val="35"/>
  </w:num>
  <w:num w:numId="33">
    <w:abstractNumId w:val="35"/>
  </w:num>
  <w:num w:numId="34">
    <w:abstractNumId w:val="35"/>
  </w:num>
  <w:num w:numId="35">
    <w:abstractNumId w:val="35"/>
  </w:num>
  <w:num w:numId="36">
    <w:abstractNumId w:val="35"/>
  </w:num>
  <w:num w:numId="37">
    <w:abstractNumId w:val="20"/>
  </w:num>
  <w:num w:numId="38">
    <w:abstractNumId w:val="35"/>
  </w:num>
  <w:num w:numId="39">
    <w:abstractNumId w:val="35"/>
  </w:num>
  <w:num w:numId="40">
    <w:abstractNumId w:val="14"/>
  </w:num>
  <w:num w:numId="41">
    <w:abstractNumId w:val="32"/>
  </w:num>
  <w:num w:numId="42">
    <w:abstractNumId w:val="35"/>
  </w:num>
  <w:num w:numId="43">
    <w:abstractNumId w:val="25"/>
  </w:num>
  <w:num w:numId="44">
    <w:abstractNumId w:val="12"/>
  </w:num>
  <w:num w:numId="45">
    <w:abstractNumId w:val="12"/>
  </w:num>
  <w:num w:numId="46">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4FF"/>
    <w:rsid w:val="00002161"/>
    <w:rsid w:val="0000242A"/>
    <w:rsid w:val="00002A92"/>
    <w:rsid w:val="00002E28"/>
    <w:rsid w:val="000039CF"/>
    <w:rsid w:val="00004E18"/>
    <w:rsid w:val="00006657"/>
    <w:rsid w:val="000076CD"/>
    <w:rsid w:val="00007E94"/>
    <w:rsid w:val="000115F4"/>
    <w:rsid w:val="00013AE3"/>
    <w:rsid w:val="000142A2"/>
    <w:rsid w:val="000143D9"/>
    <w:rsid w:val="00014D64"/>
    <w:rsid w:val="00016F8B"/>
    <w:rsid w:val="00020121"/>
    <w:rsid w:val="000207D1"/>
    <w:rsid w:val="00021A9E"/>
    <w:rsid w:val="00023178"/>
    <w:rsid w:val="00027629"/>
    <w:rsid w:val="0002798B"/>
    <w:rsid w:val="00027ACB"/>
    <w:rsid w:val="00030111"/>
    <w:rsid w:val="00031100"/>
    <w:rsid w:val="00031EB5"/>
    <w:rsid w:val="0003231A"/>
    <w:rsid w:val="00034825"/>
    <w:rsid w:val="00034E27"/>
    <w:rsid w:val="000370F0"/>
    <w:rsid w:val="00040AF6"/>
    <w:rsid w:val="000426DF"/>
    <w:rsid w:val="00050F51"/>
    <w:rsid w:val="000529AD"/>
    <w:rsid w:val="0005506B"/>
    <w:rsid w:val="000550B0"/>
    <w:rsid w:val="00055E78"/>
    <w:rsid w:val="00057589"/>
    <w:rsid w:val="00057D09"/>
    <w:rsid w:val="000603FC"/>
    <w:rsid w:val="00064422"/>
    <w:rsid w:val="00071B95"/>
    <w:rsid w:val="0007395B"/>
    <w:rsid w:val="000745E2"/>
    <w:rsid w:val="0007703B"/>
    <w:rsid w:val="000774FD"/>
    <w:rsid w:val="00081F4E"/>
    <w:rsid w:val="000905A8"/>
    <w:rsid w:val="00091878"/>
    <w:rsid w:val="000944ED"/>
    <w:rsid w:val="000957FC"/>
    <w:rsid w:val="000979A0"/>
    <w:rsid w:val="00097B02"/>
    <w:rsid w:val="000A13BC"/>
    <w:rsid w:val="000A1618"/>
    <w:rsid w:val="000A1ABF"/>
    <w:rsid w:val="000A2992"/>
    <w:rsid w:val="000B2E40"/>
    <w:rsid w:val="000B3121"/>
    <w:rsid w:val="000B5812"/>
    <w:rsid w:val="000B68F6"/>
    <w:rsid w:val="000B6BE5"/>
    <w:rsid w:val="000B6FEA"/>
    <w:rsid w:val="000B75E8"/>
    <w:rsid w:val="000C258A"/>
    <w:rsid w:val="000C29BF"/>
    <w:rsid w:val="000C5703"/>
    <w:rsid w:val="000C6080"/>
    <w:rsid w:val="000C60A8"/>
    <w:rsid w:val="000D0C2F"/>
    <w:rsid w:val="000D151B"/>
    <w:rsid w:val="000D1993"/>
    <w:rsid w:val="000D2C24"/>
    <w:rsid w:val="000D4159"/>
    <w:rsid w:val="000D733F"/>
    <w:rsid w:val="000E4573"/>
    <w:rsid w:val="000E64B9"/>
    <w:rsid w:val="000E7297"/>
    <w:rsid w:val="000E7A8D"/>
    <w:rsid w:val="000E7F70"/>
    <w:rsid w:val="000F2D94"/>
    <w:rsid w:val="00100485"/>
    <w:rsid w:val="00100AA2"/>
    <w:rsid w:val="00106185"/>
    <w:rsid w:val="00106BDC"/>
    <w:rsid w:val="0010729C"/>
    <w:rsid w:val="00112E97"/>
    <w:rsid w:val="001139DE"/>
    <w:rsid w:val="00114751"/>
    <w:rsid w:val="001154CA"/>
    <w:rsid w:val="001171DE"/>
    <w:rsid w:val="001178C6"/>
    <w:rsid w:val="00117BFB"/>
    <w:rsid w:val="00120FC7"/>
    <w:rsid w:val="00122038"/>
    <w:rsid w:val="001227C3"/>
    <w:rsid w:val="0012429A"/>
    <w:rsid w:val="00124420"/>
    <w:rsid w:val="0012573C"/>
    <w:rsid w:val="001258C6"/>
    <w:rsid w:val="001263C7"/>
    <w:rsid w:val="0012793C"/>
    <w:rsid w:val="00131FF0"/>
    <w:rsid w:val="00132003"/>
    <w:rsid w:val="00133AAD"/>
    <w:rsid w:val="00134093"/>
    <w:rsid w:val="00135806"/>
    <w:rsid w:val="001366B4"/>
    <w:rsid w:val="001375E3"/>
    <w:rsid w:val="00137DFB"/>
    <w:rsid w:val="00141500"/>
    <w:rsid w:val="00141A30"/>
    <w:rsid w:val="00143053"/>
    <w:rsid w:val="0014411B"/>
    <w:rsid w:val="001448E7"/>
    <w:rsid w:val="00147846"/>
    <w:rsid w:val="0015043E"/>
    <w:rsid w:val="00152DFD"/>
    <w:rsid w:val="00154397"/>
    <w:rsid w:val="00154EF9"/>
    <w:rsid w:val="00156ECA"/>
    <w:rsid w:val="001571B3"/>
    <w:rsid w:val="00157858"/>
    <w:rsid w:val="001612CE"/>
    <w:rsid w:val="00161FD2"/>
    <w:rsid w:val="001621FB"/>
    <w:rsid w:val="001624FB"/>
    <w:rsid w:val="001625D9"/>
    <w:rsid w:val="0016544D"/>
    <w:rsid w:val="001657F1"/>
    <w:rsid w:val="00167331"/>
    <w:rsid w:val="0016740F"/>
    <w:rsid w:val="001733FC"/>
    <w:rsid w:val="00173C6E"/>
    <w:rsid w:val="0017561F"/>
    <w:rsid w:val="001764E1"/>
    <w:rsid w:val="0017692C"/>
    <w:rsid w:val="0017753D"/>
    <w:rsid w:val="00180B19"/>
    <w:rsid w:val="0018196F"/>
    <w:rsid w:val="001829BB"/>
    <w:rsid w:val="0018305E"/>
    <w:rsid w:val="0018353A"/>
    <w:rsid w:val="00185201"/>
    <w:rsid w:val="00191CAE"/>
    <w:rsid w:val="00192498"/>
    <w:rsid w:val="001943B6"/>
    <w:rsid w:val="00194806"/>
    <w:rsid w:val="00194AFA"/>
    <w:rsid w:val="00194BA3"/>
    <w:rsid w:val="001966E6"/>
    <w:rsid w:val="001971E0"/>
    <w:rsid w:val="001A0A3D"/>
    <w:rsid w:val="001A2D50"/>
    <w:rsid w:val="001A374B"/>
    <w:rsid w:val="001A6961"/>
    <w:rsid w:val="001B1A0C"/>
    <w:rsid w:val="001B2948"/>
    <w:rsid w:val="001B41CD"/>
    <w:rsid w:val="001B45B1"/>
    <w:rsid w:val="001B714C"/>
    <w:rsid w:val="001C1EA0"/>
    <w:rsid w:val="001C31B9"/>
    <w:rsid w:val="001C507E"/>
    <w:rsid w:val="001C700E"/>
    <w:rsid w:val="001C7117"/>
    <w:rsid w:val="001C745A"/>
    <w:rsid w:val="001C7DDD"/>
    <w:rsid w:val="001D0E1C"/>
    <w:rsid w:val="001D20FC"/>
    <w:rsid w:val="001D210A"/>
    <w:rsid w:val="001D44EE"/>
    <w:rsid w:val="001D4817"/>
    <w:rsid w:val="001D6059"/>
    <w:rsid w:val="001E3F97"/>
    <w:rsid w:val="001E4BDE"/>
    <w:rsid w:val="001E6635"/>
    <w:rsid w:val="001F03C5"/>
    <w:rsid w:val="001F0FEC"/>
    <w:rsid w:val="001F12A2"/>
    <w:rsid w:val="001F14ED"/>
    <w:rsid w:val="001F4027"/>
    <w:rsid w:val="001F5CB1"/>
    <w:rsid w:val="001F61A8"/>
    <w:rsid w:val="001F69A5"/>
    <w:rsid w:val="001F7480"/>
    <w:rsid w:val="00200247"/>
    <w:rsid w:val="00201174"/>
    <w:rsid w:val="00201C94"/>
    <w:rsid w:val="00202880"/>
    <w:rsid w:val="00202E4E"/>
    <w:rsid w:val="0020382F"/>
    <w:rsid w:val="00203BCC"/>
    <w:rsid w:val="00204484"/>
    <w:rsid w:val="00205E0B"/>
    <w:rsid w:val="00205F2B"/>
    <w:rsid w:val="00211551"/>
    <w:rsid w:val="002115BD"/>
    <w:rsid w:val="0021199A"/>
    <w:rsid w:val="002126BA"/>
    <w:rsid w:val="00212B27"/>
    <w:rsid w:val="00213B92"/>
    <w:rsid w:val="00214A72"/>
    <w:rsid w:val="0021515C"/>
    <w:rsid w:val="00217ED6"/>
    <w:rsid w:val="002217DD"/>
    <w:rsid w:val="002219F6"/>
    <w:rsid w:val="002227A9"/>
    <w:rsid w:val="002229EE"/>
    <w:rsid w:val="0022318A"/>
    <w:rsid w:val="00226DEE"/>
    <w:rsid w:val="00227B38"/>
    <w:rsid w:val="002307CD"/>
    <w:rsid w:val="00231D45"/>
    <w:rsid w:val="002323B6"/>
    <w:rsid w:val="002335A9"/>
    <w:rsid w:val="002343CF"/>
    <w:rsid w:val="00235D29"/>
    <w:rsid w:val="002363D9"/>
    <w:rsid w:val="00236B8C"/>
    <w:rsid w:val="00237C4B"/>
    <w:rsid w:val="00240D59"/>
    <w:rsid w:val="002441D5"/>
    <w:rsid w:val="002456AD"/>
    <w:rsid w:val="00246E5F"/>
    <w:rsid w:val="00253120"/>
    <w:rsid w:val="00255A66"/>
    <w:rsid w:val="00255C74"/>
    <w:rsid w:val="00261E78"/>
    <w:rsid w:val="0027007D"/>
    <w:rsid w:val="00270898"/>
    <w:rsid w:val="002715F3"/>
    <w:rsid w:val="00272AF0"/>
    <w:rsid w:val="00273C6F"/>
    <w:rsid w:val="00275C42"/>
    <w:rsid w:val="002849B4"/>
    <w:rsid w:val="00290D84"/>
    <w:rsid w:val="002911A4"/>
    <w:rsid w:val="002919E3"/>
    <w:rsid w:val="00291F1C"/>
    <w:rsid w:val="002925DE"/>
    <w:rsid w:val="00292F85"/>
    <w:rsid w:val="00297FA7"/>
    <w:rsid w:val="002A15F4"/>
    <w:rsid w:val="002A1935"/>
    <w:rsid w:val="002A1A79"/>
    <w:rsid w:val="002A21D1"/>
    <w:rsid w:val="002A22F7"/>
    <w:rsid w:val="002A31A0"/>
    <w:rsid w:val="002A4AB2"/>
    <w:rsid w:val="002A4D70"/>
    <w:rsid w:val="002B1F66"/>
    <w:rsid w:val="002B31B3"/>
    <w:rsid w:val="002B433A"/>
    <w:rsid w:val="002B4D84"/>
    <w:rsid w:val="002B61A8"/>
    <w:rsid w:val="002B6EBE"/>
    <w:rsid w:val="002B6FF2"/>
    <w:rsid w:val="002B79D4"/>
    <w:rsid w:val="002C1E00"/>
    <w:rsid w:val="002C333E"/>
    <w:rsid w:val="002C3465"/>
    <w:rsid w:val="002C5FD0"/>
    <w:rsid w:val="002C639B"/>
    <w:rsid w:val="002D1328"/>
    <w:rsid w:val="002D5D7B"/>
    <w:rsid w:val="002D6914"/>
    <w:rsid w:val="002D6DF0"/>
    <w:rsid w:val="002D793D"/>
    <w:rsid w:val="002D7FFA"/>
    <w:rsid w:val="002E05C5"/>
    <w:rsid w:val="002E1B92"/>
    <w:rsid w:val="002E2A88"/>
    <w:rsid w:val="002E55EA"/>
    <w:rsid w:val="002E5604"/>
    <w:rsid w:val="002E5A56"/>
    <w:rsid w:val="002F1A1D"/>
    <w:rsid w:val="002F3679"/>
    <w:rsid w:val="002F479A"/>
    <w:rsid w:val="002F49D7"/>
    <w:rsid w:val="002F54F3"/>
    <w:rsid w:val="002F5A14"/>
    <w:rsid w:val="00303038"/>
    <w:rsid w:val="0030318A"/>
    <w:rsid w:val="003059F4"/>
    <w:rsid w:val="00306734"/>
    <w:rsid w:val="00310426"/>
    <w:rsid w:val="00310974"/>
    <w:rsid w:val="00310E9A"/>
    <w:rsid w:val="00314FF5"/>
    <w:rsid w:val="00315135"/>
    <w:rsid w:val="0031550C"/>
    <w:rsid w:val="00315D13"/>
    <w:rsid w:val="003167E5"/>
    <w:rsid w:val="00320FCE"/>
    <w:rsid w:val="003223F8"/>
    <w:rsid w:val="0032292A"/>
    <w:rsid w:val="00322D92"/>
    <w:rsid w:val="0032486D"/>
    <w:rsid w:val="003260C0"/>
    <w:rsid w:val="003266E1"/>
    <w:rsid w:val="00326B5A"/>
    <w:rsid w:val="0032723C"/>
    <w:rsid w:val="003275D0"/>
    <w:rsid w:val="003279FD"/>
    <w:rsid w:val="003327F8"/>
    <w:rsid w:val="00335F19"/>
    <w:rsid w:val="00336135"/>
    <w:rsid w:val="003363C7"/>
    <w:rsid w:val="00341177"/>
    <w:rsid w:val="00341311"/>
    <w:rsid w:val="00342BF7"/>
    <w:rsid w:val="00343B25"/>
    <w:rsid w:val="00345B8E"/>
    <w:rsid w:val="00346BD5"/>
    <w:rsid w:val="00351ACA"/>
    <w:rsid w:val="00352AE5"/>
    <w:rsid w:val="00357648"/>
    <w:rsid w:val="00357AF7"/>
    <w:rsid w:val="00360662"/>
    <w:rsid w:val="00362E73"/>
    <w:rsid w:val="00370DEF"/>
    <w:rsid w:val="00371787"/>
    <w:rsid w:val="00371F53"/>
    <w:rsid w:val="00372E1B"/>
    <w:rsid w:val="00373121"/>
    <w:rsid w:val="003743C8"/>
    <w:rsid w:val="00383294"/>
    <w:rsid w:val="00383F3F"/>
    <w:rsid w:val="00384342"/>
    <w:rsid w:val="0038579B"/>
    <w:rsid w:val="00385A4C"/>
    <w:rsid w:val="00392981"/>
    <w:rsid w:val="00392CBB"/>
    <w:rsid w:val="00394E74"/>
    <w:rsid w:val="00395B88"/>
    <w:rsid w:val="00395CFA"/>
    <w:rsid w:val="003963A4"/>
    <w:rsid w:val="003A27D2"/>
    <w:rsid w:val="003A2D7B"/>
    <w:rsid w:val="003A425E"/>
    <w:rsid w:val="003A4847"/>
    <w:rsid w:val="003A74BF"/>
    <w:rsid w:val="003B009F"/>
    <w:rsid w:val="003B122C"/>
    <w:rsid w:val="003B1C3F"/>
    <w:rsid w:val="003B2756"/>
    <w:rsid w:val="003C288C"/>
    <w:rsid w:val="003C31EE"/>
    <w:rsid w:val="003C3938"/>
    <w:rsid w:val="003C4436"/>
    <w:rsid w:val="003C7721"/>
    <w:rsid w:val="003D081D"/>
    <w:rsid w:val="003D2E2F"/>
    <w:rsid w:val="003D44F4"/>
    <w:rsid w:val="003D6173"/>
    <w:rsid w:val="003E0E66"/>
    <w:rsid w:val="003E1480"/>
    <w:rsid w:val="003E4982"/>
    <w:rsid w:val="003E63B3"/>
    <w:rsid w:val="003E7AA9"/>
    <w:rsid w:val="003F0A4E"/>
    <w:rsid w:val="003F39C0"/>
    <w:rsid w:val="00403152"/>
    <w:rsid w:val="00403AAA"/>
    <w:rsid w:val="00404CC4"/>
    <w:rsid w:val="00406000"/>
    <w:rsid w:val="00412707"/>
    <w:rsid w:val="00413539"/>
    <w:rsid w:val="0041396D"/>
    <w:rsid w:val="0041454E"/>
    <w:rsid w:val="00415A92"/>
    <w:rsid w:val="00416A30"/>
    <w:rsid w:val="0041730D"/>
    <w:rsid w:val="00420E02"/>
    <w:rsid w:val="004228CD"/>
    <w:rsid w:val="0042527A"/>
    <w:rsid w:val="00426354"/>
    <w:rsid w:val="004309E9"/>
    <w:rsid w:val="004329AE"/>
    <w:rsid w:val="00432BED"/>
    <w:rsid w:val="00437C95"/>
    <w:rsid w:val="00440A71"/>
    <w:rsid w:val="00441E77"/>
    <w:rsid w:val="00443639"/>
    <w:rsid w:val="004453CE"/>
    <w:rsid w:val="00445A3B"/>
    <w:rsid w:val="00445C4E"/>
    <w:rsid w:val="00446742"/>
    <w:rsid w:val="00451765"/>
    <w:rsid w:val="0045475F"/>
    <w:rsid w:val="00454E9D"/>
    <w:rsid w:val="00455BE6"/>
    <w:rsid w:val="004571FE"/>
    <w:rsid w:val="00462000"/>
    <w:rsid w:val="00464D2D"/>
    <w:rsid w:val="00465816"/>
    <w:rsid w:val="0046614F"/>
    <w:rsid w:val="00466C66"/>
    <w:rsid w:val="00466C98"/>
    <w:rsid w:val="00467C3F"/>
    <w:rsid w:val="00467CE4"/>
    <w:rsid w:val="00471EDF"/>
    <w:rsid w:val="00472E6C"/>
    <w:rsid w:val="00474B6B"/>
    <w:rsid w:val="004754EC"/>
    <w:rsid w:val="0047710F"/>
    <w:rsid w:val="00481777"/>
    <w:rsid w:val="00485D19"/>
    <w:rsid w:val="00486F4E"/>
    <w:rsid w:val="00490BDE"/>
    <w:rsid w:val="00494504"/>
    <w:rsid w:val="004957EC"/>
    <w:rsid w:val="00496F8D"/>
    <w:rsid w:val="004A0EA6"/>
    <w:rsid w:val="004A4CB4"/>
    <w:rsid w:val="004A568F"/>
    <w:rsid w:val="004A705E"/>
    <w:rsid w:val="004A7359"/>
    <w:rsid w:val="004A7400"/>
    <w:rsid w:val="004B201A"/>
    <w:rsid w:val="004B28A8"/>
    <w:rsid w:val="004B41B9"/>
    <w:rsid w:val="004B4EA5"/>
    <w:rsid w:val="004B64F3"/>
    <w:rsid w:val="004B6E03"/>
    <w:rsid w:val="004C36CF"/>
    <w:rsid w:val="004C4970"/>
    <w:rsid w:val="004C4A3E"/>
    <w:rsid w:val="004C551D"/>
    <w:rsid w:val="004C59EA"/>
    <w:rsid w:val="004C65C6"/>
    <w:rsid w:val="004C660D"/>
    <w:rsid w:val="004C7E92"/>
    <w:rsid w:val="004D0699"/>
    <w:rsid w:val="004D1529"/>
    <w:rsid w:val="004D19CE"/>
    <w:rsid w:val="004D23F6"/>
    <w:rsid w:val="004D2ED0"/>
    <w:rsid w:val="004D4522"/>
    <w:rsid w:val="004D6A1F"/>
    <w:rsid w:val="004E01E9"/>
    <w:rsid w:val="004E3E40"/>
    <w:rsid w:val="004E4F88"/>
    <w:rsid w:val="004E570D"/>
    <w:rsid w:val="004E6400"/>
    <w:rsid w:val="004E642E"/>
    <w:rsid w:val="004E6924"/>
    <w:rsid w:val="004E6A61"/>
    <w:rsid w:val="004E6E33"/>
    <w:rsid w:val="004E702A"/>
    <w:rsid w:val="004E755F"/>
    <w:rsid w:val="004F0C2D"/>
    <w:rsid w:val="004F3D7E"/>
    <w:rsid w:val="004F3F6A"/>
    <w:rsid w:val="004F521E"/>
    <w:rsid w:val="00500A32"/>
    <w:rsid w:val="00500EB4"/>
    <w:rsid w:val="00501CD2"/>
    <w:rsid w:val="00503974"/>
    <w:rsid w:val="0050439B"/>
    <w:rsid w:val="0050529F"/>
    <w:rsid w:val="00505700"/>
    <w:rsid w:val="00505EA7"/>
    <w:rsid w:val="00506A51"/>
    <w:rsid w:val="005110C3"/>
    <w:rsid w:val="0051208E"/>
    <w:rsid w:val="005141D9"/>
    <w:rsid w:val="00514B5E"/>
    <w:rsid w:val="005157C1"/>
    <w:rsid w:val="00515954"/>
    <w:rsid w:val="00515E3D"/>
    <w:rsid w:val="0051605C"/>
    <w:rsid w:val="005208AC"/>
    <w:rsid w:val="00520A1C"/>
    <w:rsid w:val="0052286C"/>
    <w:rsid w:val="00522AB9"/>
    <w:rsid w:val="00524322"/>
    <w:rsid w:val="0052572D"/>
    <w:rsid w:val="005265B9"/>
    <w:rsid w:val="005307E8"/>
    <w:rsid w:val="0053175E"/>
    <w:rsid w:val="00533533"/>
    <w:rsid w:val="00535C99"/>
    <w:rsid w:val="00535E24"/>
    <w:rsid w:val="00537975"/>
    <w:rsid w:val="00537E02"/>
    <w:rsid w:val="00540209"/>
    <w:rsid w:val="00540C23"/>
    <w:rsid w:val="005420B6"/>
    <w:rsid w:val="00542718"/>
    <w:rsid w:val="00543224"/>
    <w:rsid w:val="00543DEC"/>
    <w:rsid w:val="005440F6"/>
    <w:rsid w:val="00544B27"/>
    <w:rsid w:val="00544CCD"/>
    <w:rsid w:val="0054557A"/>
    <w:rsid w:val="00546DD6"/>
    <w:rsid w:val="00547421"/>
    <w:rsid w:val="005474AB"/>
    <w:rsid w:val="0055172C"/>
    <w:rsid w:val="00554AED"/>
    <w:rsid w:val="00554E37"/>
    <w:rsid w:val="0055754D"/>
    <w:rsid w:val="0055771D"/>
    <w:rsid w:val="00563267"/>
    <w:rsid w:val="0056330A"/>
    <w:rsid w:val="00565055"/>
    <w:rsid w:val="00565635"/>
    <w:rsid w:val="00566165"/>
    <w:rsid w:val="00567FCF"/>
    <w:rsid w:val="00570765"/>
    <w:rsid w:val="00572680"/>
    <w:rsid w:val="005732BD"/>
    <w:rsid w:val="00573A64"/>
    <w:rsid w:val="00573E59"/>
    <w:rsid w:val="005749F1"/>
    <w:rsid w:val="00575295"/>
    <w:rsid w:val="005814CA"/>
    <w:rsid w:val="00581C01"/>
    <w:rsid w:val="0058242D"/>
    <w:rsid w:val="005843BC"/>
    <w:rsid w:val="005845CB"/>
    <w:rsid w:val="0058498A"/>
    <w:rsid w:val="00585E4C"/>
    <w:rsid w:val="00586350"/>
    <w:rsid w:val="005925B8"/>
    <w:rsid w:val="0059461A"/>
    <w:rsid w:val="00597520"/>
    <w:rsid w:val="005A18C5"/>
    <w:rsid w:val="005A390B"/>
    <w:rsid w:val="005A3ED5"/>
    <w:rsid w:val="005A42E8"/>
    <w:rsid w:val="005A511C"/>
    <w:rsid w:val="005A5589"/>
    <w:rsid w:val="005A7CF6"/>
    <w:rsid w:val="005B42EE"/>
    <w:rsid w:val="005B64AE"/>
    <w:rsid w:val="005B7C71"/>
    <w:rsid w:val="005C0952"/>
    <w:rsid w:val="005C1AF2"/>
    <w:rsid w:val="005C37BE"/>
    <w:rsid w:val="005C426E"/>
    <w:rsid w:val="005C4A6B"/>
    <w:rsid w:val="005C661F"/>
    <w:rsid w:val="005C7684"/>
    <w:rsid w:val="005D2A59"/>
    <w:rsid w:val="005D77DF"/>
    <w:rsid w:val="005D7D49"/>
    <w:rsid w:val="005E0A3F"/>
    <w:rsid w:val="005E480B"/>
    <w:rsid w:val="005F0C00"/>
    <w:rsid w:val="005F15ED"/>
    <w:rsid w:val="005F33F2"/>
    <w:rsid w:val="005F460C"/>
    <w:rsid w:val="005F4D68"/>
    <w:rsid w:val="005F51F6"/>
    <w:rsid w:val="005F6295"/>
    <w:rsid w:val="005F74D0"/>
    <w:rsid w:val="0060117A"/>
    <w:rsid w:val="006111B2"/>
    <w:rsid w:val="006128EE"/>
    <w:rsid w:val="00612AA1"/>
    <w:rsid w:val="00612C17"/>
    <w:rsid w:val="00612E14"/>
    <w:rsid w:val="00616418"/>
    <w:rsid w:val="00617F30"/>
    <w:rsid w:val="00624800"/>
    <w:rsid w:val="0062598A"/>
    <w:rsid w:val="00625A52"/>
    <w:rsid w:val="0062686B"/>
    <w:rsid w:val="006306E1"/>
    <w:rsid w:val="00633A74"/>
    <w:rsid w:val="00634BCE"/>
    <w:rsid w:val="00637549"/>
    <w:rsid w:val="0063773A"/>
    <w:rsid w:val="00642A6F"/>
    <w:rsid w:val="00642E50"/>
    <w:rsid w:val="006431EB"/>
    <w:rsid w:val="006449F6"/>
    <w:rsid w:val="00644BBF"/>
    <w:rsid w:val="00646049"/>
    <w:rsid w:val="00646497"/>
    <w:rsid w:val="00647FBA"/>
    <w:rsid w:val="00651559"/>
    <w:rsid w:val="0065268F"/>
    <w:rsid w:val="0065391A"/>
    <w:rsid w:val="0065679C"/>
    <w:rsid w:val="00657108"/>
    <w:rsid w:val="00663306"/>
    <w:rsid w:val="00663909"/>
    <w:rsid w:val="00663E95"/>
    <w:rsid w:val="006659FF"/>
    <w:rsid w:val="006671BC"/>
    <w:rsid w:val="006712D9"/>
    <w:rsid w:val="0067299B"/>
    <w:rsid w:val="00673050"/>
    <w:rsid w:val="00673287"/>
    <w:rsid w:val="00673FB6"/>
    <w:rsid w:val="00680679"/>
    <w:rsid w:val="0068146D"/>
    <w:rsid w:val="00682DB1"/>
    <w:rsid w:val="00683FFB"/>
    <w:rsid w:val="006862A9"/>
    <w:rsid w:val="00686357"/>
    <w:rsid w:val="0068768A"/>
    <w:rsid w:val="00690BEA"/>
    <w:rsid w:val="0069331A"/>
    <w:rsid w:val="006951A3"/>
    <w:rsid w:val="00695279"/>
    <w:rsid w:val="00697C69"/>
    <w:rsid w:val="006A2557"/>
    <w:rsid w:val="006A5078"/>
    <w:rsid w:val="006A5221"/>
    <w:rsid w:val="006A6274"/>
    <w:rsid w:val="006A7D91"/>
    <w:rsid w:val="006B0F12"/>
    <w:rsid w:val="006B13C1"/>
    <w:rsid w:val="006B23EE"/>
    <w:rsid w:val="006B2C7D"/>
    <w:rsid w:val="006B33A7"/>
    <w:rsid w:val="006B375F"/>
    <w:rsid w:val="006B69AA"/>
    <w:rsid w:val="006B69AB"/>
    <w:rsid w:val="006C1260"/>
    <w:rsid w:val="006C2232"/>
    <w:rsid w:val="006C3025"/>
    <w:rsid w:val="006C5496"/>
    <w:rsid w:val="006C6800"/>
    <w:rsid w:val="006D0BC5"/>
    <w:rsid w:val="006D2CF2"/>
    <w:rsid w:val="006D2E37"/>
    <w:rsid w:val="006D34C3"/>
    <w:rsid w:val="006D6D43"/>
    <w:rsid w:val="006E327C"/>
    <w:rsid w:val="006E6B60"/>
    <w:rsid w:val="006E7795"/>
    <w:rsid w:val="006E7E9F"/>
    <w:rsid w:val="006E7FA8"/>
    <w:rsid w:val="006F00DB"/>
    <w:rsid w:val="006F13C6"/>
    <w:rsid w:val="006F1721"/>
    <w:rsid w:val="006F3867"/>
    <w:rsid w:val="006F4623"/>
    <w:rsid w:val="006F4B40"/>
    <w:rsid w:val="006F7286"/>
    <w:rsid w:val="006F75FA"/>
    <w:rsid w:val="00701FEA"/>
    <w:rsid w:val="007040D1"/>
    <w:rsid w:val="007069F7"/>
    <w:rsid w:val="00706DE1"/>
    <w:rsid w:val="00710059"/>
    <w:rsid w:val="00710337"/>
    <w:rsid w:val="007110C9"/>
    <w:rsid w:val="00712349"/>
    <w:rsid w:val="0071244E"/>
    <w:rsid w:val="00712FCE"/>
    <w:rsid w:val="00714BA3"/>
    <w:rsid w:val="007167AE"/>
    <w:rsid w:val="00716D09"/>
    <w:rsid w:val="00721098"/>
    <w:rsid w:val="00722ECF"/>
    <w:rsid w:val="0072495B"/>
    <w:rsid w:val="007311E0"/>
    <w:rsid w:val="007313DB"/>
    <w:rsid w:val="007360D3"/>
    <w:rsid w:val="0073644C"/>
    <w:rsid w:val="00737641"/>
    <w:rsid w:val="00737C72"/>
    <w:rsid w:val="00740207"/>
    <w:rsid w:val="00741270"/>
    <w:rsid w:val="0074253B"/>
    <w:rsid w:val="00744FFF"/>
    <w:rsid w:val="007452F9"/>
    <w:rsid w:val="0074660C"/>
    <w:rsid w:val="00747B69"/>
    <w:rsid w:val="00750E77"/>
    <w:rsid w:val="00751174"/>
    <w:rsid w:val="00751449"/>
    <w:rsid w:val="0075536B"/>
    <w:rsid w:val="007553AE"/>
    <w:rsid w:val="00755D95"/>
    <w:rsid w:val="00756B0E"/>
    <w:rsid w:val="00757BAA"/>
    <w:rsid w:val="0076278B"/>
    <w:rsid w:val="00762B9C"/>
    <w:rsid w:val="00766BCF"/>
    <w:rsid w:val="00766F34"/>
    <w:rsid w:val="00767F39"/>
    <w:rsid w:val="007705BC"/>
    <w:rsid w:val="0077117D"/>
    <w:rsid w:val="0077254C"/>
    <w:rsid w:val="007726E1"/>
    <w:rsid w:val="00773352"/>
    <w:rsid w:val="00774F4B"/>
    <w:rsid w:val="007751E0"/>
    <w:rsid w:val="00776C0B"/>
    <w:rsid w:val="0078538C"/>
    <w:rsid w:val="00787008"/>
    <w:rsid w:val="0079256F"/>
    <w:rsid w:val="0079307B"/>
    <w:rsid w:val="007940E7"/>
    <w:rsid w:val="007941CF"/>
    <w:rsid w:val="00796F48"/>
    <w:rsid w:val="00797681"/>
    <w:rsid w:val="007A2A5E"/>
    <w:rsid w:val="007A3C6A"/>
    <w:rsid w:val="007A429A"/>
    <w:rsid w:val="007A5821"/>
    <w:rsid w:val="007A6B87"/>
    <w:rsid w:val="007B008B"/>
    <w:rsid w:val="007B0890"/>
    <w:rsid w:val="007B0EBF"/>
    <w:rsid w:val="007B12EF"/>
    <w:rsid w:val="007B134E"/>
    <w:rsid w:val="007B1600"/>
    <w:rsid w:val="007B51E2"/>
    <w:rsid w:val="007B6F81"/>
    <w:rsid w:val="007C0500"/>
    <w:rsid w:val="007C08B4"/>
    <w:rsid w:val="007C24D3"/>
    <w:rsid w:val="007D002B"/>
    <w:rsid w:val="007D1024"/>
    <w:rsid w:val="007D150A"/>
    <w:rsid w:val="007D542A"/>
    <w:rsid w:val="007D5D8D"/>
    <w:rsid w:val="007D647D"/>
    <w:rsid w:val="007D6952"/>
    <w:rsid w:val="007E10A5"/>
    <w:rsid w:val="007E2A95"/>
    <w:rsid w:val="007E3027"/>
    <w:rsid w:val="007E3D71"/>
    <w:rsid w:val="007E579F"/>
    <w:rsid w:val="007F0036"/>
    <w:rsid w:val="007F0915"/>
    <w:rsid w:val="007F20AC"/>
    <w:rsid w:val="007F2841"/>
    <w:rsid w:val="007F3E30"/>
    <w:rsid w:val="007F54D1"/>
    <w:rsid w:val="0080096B"/>
    <w:rsid w:val="00800B90"/>
    <w:rsid w:val="00802A66"/>
    <w:rsid w:val="00805ADD"/>
    <w:rsid w:val="008103A0"/>
    <w:rsid w:val="00810DE3"/>
    <w:rsid w:val="00812CAB"/>
    <w:rsid w:val="00813ED7"/>
    <w:rsid w:val="00820AA2"/>
    <w:rsid w:val="00821541"/>
    <w:rsid w:val="00821A06"/>
    <w:rsid w:val="008220F3"/>
    <w:rsid w:val="00822273"/>
    <w:rsid w:val="008235DB"/>
    <w:rsid w:val="008266B7"/>
    <w:rsid w:val="00826FE4"/>
    <w:rsid w:val="008273BA"/>
    <w:rsid w:val="008302DE"/>
    <w:rsid w:val="00830647"/>
    <w:rsid w:val="00830E5F"/>
    <w:rsid w:val="00830E80"/>
    <w:rsid w:val="008317D4"/>
    <w:rsid w:val="00832911"/>
    <w:rsid w:val="00833EB7"/>
    <w:rsid w:val="00835441"/>
    <w:rsid w:val="00837A15"/>
    <w:rsid w:val="0084092F"/>
    <w:rsid w:val="00841E92"/>
    <w:rsid w:val="0084282F"/>
    <w:rsid w:val="00844C87"/>
    <w:rsid w:val="008532FB"/>
    <w:rsid w:val="00853CB9"/>
    <w:rsid w:val="008540F0"/>
    <w:rsid w:val="008548B9"/>
    <w:rsid w:val="00855122"/>
    <w:rsid w:val="00855622"/>
    <w:rsid w:val="008568C0"/>
    <w:rsid w:val="0086398F"/>
    <w:rsid w:val="00864874"/>
    <w:rsid w:val="00864B98"/>
    <w:rsid w:val="00871CA1"/>
    <w:rsid w:val="00874F47"/>
    <w:rsid w:val="00877D87"/>
    <w:rsid w:val="00880132"/>
    <w:rsid w:val="00880255"/>
    <w:rsid w:val="008810FA"/>
    <w:rsid w:val="00884878"/>
    <w:rsid w:val="00885B9C"/>
    <w:rsid w:val="00886D18"/>
    <w:rsid w:val="00887E94"/>
    <w:rsid w:val="00892303"/>
    <w:rsid w:val="00892AC8"/>
    <w:rsid w:val="0089643F"/>
    <w:rsid w:val="00896927"/>
    <w:rsid w:val="00897E16"/>
    <w:rsid w:val="008A144E"/>
    <w:rsid w:val="008A310A"/>
    <w:rsid w:val="008A3844"/>
    <w:rsid w:val="008A4AC0"/>
    <w:rsid w:val="008A6603"/>
    <w:rsid w:val="008B4288"/>
    <w:rsid w:val="008B5D48"/>
    <w:rsid w:val="008B5F65"/>
    <w:rsid w:val="008C0FBD"/>
    <w:rsid w:val="008C172C"/>
    <w:rsid w:val="008C4903"/>
    <w:rsid w:val="008C5617"/>
    <w:rsid w:val="008C6687"/>
    <w:rsid w:val="008C70BD"/>
    <w:rsid w:val="008C7643"/>
    <w:rsid w:val="008C79C7"/>
    <w:rsid w:val="008C7AC8"/>
    <w:rsid w:val="008D0242"/>
    <w:rsid w:val="008D27EF"/>
    <w:rsid w:val="008D28DF"/>
    <w:rsid w:val="008D2BB7"/>
    <w:rsid w:val="008D2DC8"/>
    <w:rsid w:val="008D34F9"/>
    <w:rsid w:val="008D3D8E"/>
    <w:rsid w:val="008D61D5"/>
    <w:rsid w:val="008D745E"/>
    <w:rsid w:val="008E29AB"/>
    <w:rsid w:val="008E44A5"/>
    <w:rsid w:val="008E4EF2"/>
    <w:rsid w:val="008E6938"/>
    <w:rsid w:val="008F06F2"/>
    <w:rsid w:val="008F0A53"/>
    <w:rsid w:val="008F1E28"/>
    <w:rsid w:val="008F4C4B"/>
    <w:rsid w:val="008F5D80"/>
    <w:rsid w:val="008F6C08"/>
    <w:rsid w:val="009006D2"/>
    <w:rsid w:val="00903A03"/>
    <w:rsid w:val="009041BD"/>
    <w:rsid w:val="009103F3"/>
    <w:rsid w:val="009126A4"/>
    <w:rsid w:val="0091489D"/>
    <w:rsid w:val="00914AF9"/>
    <w:rsid w:val="009163AF"/>
    <w:rsid w:val="00916D52"/>
    <w:rsid w:val="00917212"/>
    <w:rsid w:val="009216FC"/>
    <w:rsid w:val="00923D3D"/>
    <w:rsid w:val="00924CCB"/>
    <w:rsid w:val="0092520A"/>
    <w:rsid w:val="00927978"/>
    <w:rsid w:val="00932FAD"/>
    <w:rsid w:val="00935BB8"/>
    <w:rsid w:val="00935E13"/>
    <w:rsid w:val="00936ECF"/>
    <w:rsid w:val="0093717C"/>
    <w:rsid w:val="00937307"/>
    <w:rsid w:val="009445BA"/>
    <w:rsid w:val="00945130"/>
    <w:rsid w:val="009455E2"/>
    <w:rsid w:val="00945B0A"/>
    <w:rsid w:val="00946F68"/>
    <w:rsid w:val="009475F3"/>
    <w:rsid w:val="00947AFE"/>
    <w:rsid w:val="00951562"/>
    <w:rsid w:val="00951651"/>
    <w:rsid w:val="00953CAB"/>
    <w:rsid w:val="00954EF3"/>
    <w:rsid w:val="00955167"/>
    <w:rsid w:val="0095593B"/>
    <w:rsid w:val="0095603B"/>
    <w:rsid w:val="00957948"/>
    <w:rsid w:val="00964873"/>
    <w:rsid w:val="00964C46"/>
    <w:rsid w:val="00965183"/>
    <w:rsid w:val="00966410"/>
    <w:rsid w:val="009668EF"/>
    <w:rsid w:val="009713CF"/>
    <w:rsid w:val="009729A9"/>
    <w:rsid w:val="009761F8"/>
    <w:rsid w:val="00976AF1"/>
    <w:rsid w:val="00976FB3"/>
    <w:rsid w:val="0098030D"/>
    <w:rsid w:val="00980561"/>
    <w:rsid w:val="00981E62"/>
    <w:rsid w:val="00982457"/>
    <w:rsid w:val="009851E8"/>
    <w:rsid w:val="009928E1"/>
    <w:rsid w:val="00992A07"/>
    <w:rsid w:val="0099329E"/>
    <w:rsid w:val="00994D57"/>
    <w:rsid w:val="00996460"/>
    <w:rsid w:val="0099677B"/>
    <w:rsid w:val="009A1E07"/>
    <w:rsid w:val="009A2395"/>
    <w:rsid w:val="009A290D"/>
    <w:rsid w:val="009B341D"/>
    <w:rsid w:val="009B47D3"/>
    <w:rsid w:val="009B5190"/>
    <w:rsid w:val="009B5381"/>
    <w:rsid w:val="009B654F"/>
    <w:rsid w:val="009B6F84"/>
    <w:rsid w:val="009C16DF"/>
    <w:rsid w:val="009C1FDC"/>
    <w:rsid w:val="009C264C"/>
    <w:rsid w:val="009C4804"/>
    <w:rsid w:val="009C67FC"/>
    <w:rsid w:val="009C6F6D"/>
    <w:rsid w:val="009C703F"/>
    <w:rsid w:val="009D0A4C"/>
    <w:rsid w:val="009D104E"/>
    <w:rsid w:val="009D1FDF"/>
    <w:rsid w:val="009D25FC"/>
    <w:rsid w:val="009D3524"/>
    <w:rsid w:val="009D5236"/>
    <w:rsid w:val="009D6BD0"/>
    <w:rsid w:val="009E0A30"/>
    <w:rsid w:val="009E1667"/>
    <w:rsid w:val="009E1CA8"/>
    <w:rsid w:val="009E28E1"/>
    <w:rsid w:val="009E38C1"/>
    <w:rsid w:val="009E5021"/>
    <w:rsid w:val="009E5FB2"/>
    <w:rsid w:val="009E6780"/>
    <w:rsid w:val="009E696F"/>
    <w:rsid w:val="009E79EC"/>
    <w:rsid w:val="009F1A4D"/>
    <w:rsid w:val="009F4D99"/>
    <w:rsid w:val="009F50F0"/>
    <w:rsid w:val="00A01327"/>
    <w:rsid w:val="00A018E7"/>
    <w:rsid w:val="00A03911"/>
    <w:rsid w:val="00A05140"/>
    <w:rsid w:val="00A06FC9"/>
    <w:rsid w:val="00A07512"/>
    <w:rsid w:val="00A10DE1"/>
    <w:rsid w:val="00A11D59"/>
    <w:rsid w:val="00A123C7"/>
    <w:rsid w:val="00A12A12"/>
    <w:rsid w:val="00A13029"/>
    <w:rsid w:val="00A14E44"/>
    <w:rsid w:val="00A14E66"/>
    <w:rsid w:val="00A1725D"/>
    <w:rsid w:val="00A203D7"/>
    <w:rsid w:val="00A20730"/>
    <w:rsid w:val="00A22538"/>
    <w:rsid w:val="00A27E2B"/>
    <w:rsid w:val="00A30B44"/>
    <w:rsid w:val="00A33B7B"/>
    <w:rsid w:val="00A34039"/>
    <w:rsid w:val="00A34DD5"/>
    <w:rsid w:val="00A3552E"/>
    <w:rsid w:val="00A417FA"/>
    <w:rsid w:val="00A42760"/>
    <w:rsid w:val="00A443C7"/>
    <w:rsid w:val="00A458B3"/>
    <w:rsid w:val="00A45B60"/>
    <w:rsid w:val="00A45E73"/>
    <w:rsid w:val="00A478E0"/>
    <w:rsid w:val="00A517B7"/>
    <w:rsid w:val="00A5551F"/>
    <w:rsid w:val="00A61322"/>
    <w:rsid w:val="00A61CF5"/>
    <w:rsid w:val="00A62E17"/>
    <w:rsid w:val="00A64AC4"/>
    <w:rsid w:val="00A65CAA"/>
    <w:rsid w:val="00A662CF"/>
    <w:rsid w:val="00A71991"/>
    <w:rsid w:val="00A72460"/>
    <w:rsid w:val="00A766FD"/>
    <w:rsid w:val="00A77FA3"/>
    <w:rsid w:val="00A80353"/>
    <w:rsid w:val="00A820E7"/>
    <w:rsid w:val="00A82DF8"/>
    <w:rsid w:val="00A87048"/>
    <w:rsid w:val="00A92D26"/>
    <w:rsid w:val="00A930B8"/>
    <w:rsid w:val="00A93265"/>
    <w:rsid w:val="00A9333E"/>
    <w:rsid w:val="00A94EC5"/>
    <w:rsid w:val="00A9500A"/>
    <w:rsid w:val="00A9554E"/>
    <w:rsid w:val="00AA31F2"/>
    <w:rsid w:val="00AA406C"/>
    <w:rsid w:val="00AA4F9F"/>
    <w:rsid w:val="00AA5E1B"/>
    <w:rsid w:val="00AA7256"/>
    <w:rsid w:val="00AB0054"/>
    <w:rsid w:val="00AB0987"/>
    <w:rsid w:val="00AB3900"/>
    <w:rsid w:val="00AB7215"/>
    <w:rsid w:val="00AC005D"/>
    <w:rsid w:val="00AC14DE"/>
    <w:rsid w:val="00AC3D92"/>
    <w:rsid w:val="00AC47E8"/>
    <w:rsid w:val="00AC56C2"/>
    <w:rsid w:val="00AC5E19"/>
    <w:rsid w:val="00AC61CD"/>
    <w:rsid w:val="00AD044A"/>
    <w:rsid w:val="00AD2723"/>
    <w:rsid w:val="00AD445D"/>
    <w:rsid w:val="00AD6F47"/>
    <w:rsid w:val="00AE2781"/>
    <w:rsid w:val="00AE3FFD"/>
    <w:rsid w:val="00AE5C52"/>
    <w:rsid w:val="00AE6D76"/>
    <w:rsid w:val="00AE6E0A"/>
    <w:rsid w:val="00AE708F"/>
    <w:rsid w:val="00AF045F"/>
    <w:rsid w:val="00AF0750"/>
    <w:rsid w:val="00AF0FA2"/>
    <w:rsid w:val="00AF0FDD"/>
    <w:rsid w:val="00AF5A70"/>
    <w:rsid w:val="00AF5C5C"/>
    <w:rsid w:val="00B016B7"/>
    <w:rsid w:val="00B025A2"/>
    <w:rsid w:val="00B03FB1"/>
    <w:rsid w:val="00B05C11"/>
    <w:rsid w:val="00B10CA3"/>
    <w:rsid w:val="00B11A32"/>
    <w:rsid w:val="00B145B3"/>
    <w:rsid w:val="00B1567E"/>
    <w:rsid w:val="00B15829"/>
    <w:rsid w:val="00B17308"/>
    <w:rsid w:val="00B17A9D"/>
    <w:rsid w:val="00B21170"/>
    <w:rsid w:val="00B21C2F"/>
    <w:rsid w:val="00B2354A"/>
    <w:rsid w:val="00B249B7"/>
    <w:rsid w:val="00B2764E"/>
    <w:rsid w:val="00B30E77"/>
    <w:rsid w:val="00B31CCD"/>
    <w:rsid w:val="00B33F27"/>
    <w:rsid w:val="00B34B88"/>
    <w:rsid w:val="00B35016"/>
    <w:rsid w:val="00B378CA"/>
    <w:rsid w:val="00B37A25"/>
    <w:rsid w:val="00B37ACF"/>
    <w:rsid w:val="00B420F5"/>
    <w:rsid w:val="00B42B12"/>
    <w:rsid w:val="00B43544"/>
    <w:rsid w:val="00B44032"/>
    <w:rsid w:val="00B456CC"/>
    <w:rsid w:val="00B478EF"/>
    <w:rsid w:val="00B51BAD"/>
    <w:rsid w:val="00B51CA2"/>
    <w:rsid w:val="00B52F4F"/>
    <w:rsid w:val="00B53273"/>
    <w:rsid w:val="00B55BE4"/>
    <w:rsid w:val="00B564A3"/>
    <w:rsid w:val="00B56514"/>
    <w:rsid w:val="00B56551"/>
    <w:rsid w:val="00B57AE9"/>
    <w:rsid w:val="00B57CA2"/>
    <w:rsid w:val="00B60BDB"/>
    <w:rsid w:val="00B638BD"/>
    <w:rsid w:val="00B65EB5"/>
    <w:rsid w:val="00B66555"/>
    <w:rsid w:val="00B72CEC"/>
    <w:rsid w:val="00B73156"/>
    <w:rsid w:val="00B737CD"/>
    <w:rsid w:val="00B74929"/>
    <w:rsid w:val="00B7716B"/>
    <w:rsid w:val="00B777E6"/>
    <w:rsid w:val="00B80134"/>
    <w:rsid w:val="00B80707"/>
    <w:rsid w:val="00B853C4"/>
    <w:rsid w:val="00B861D4"/>
    <w:rsid w:val="00B86B7B"/>
    <w:rsid w:val="00B8737A"/>
    <w:rsid w:val="00B87675"/>
    <w:rsid w:val="00B910DF"/>
    <w:rsid w:val="00B91B00"/>
    <w:rsid w:val="00B922B9"/>
    <w:rsid w:val="00B93EB3"/>
    <w:rsid w:val="00B94C5E"/>
    <w:rsid w:val="00B95043"/>
    <w:rsid w:val="00B9550D"/>
    <w:rsid w:val="00B9749F"/>
    <w:rsid w:val="00BA3026"/>
    <w:rsid w:val="00BA3EFF"/>
    <w:rsid w:val="00BA4972"/>
    <w:rsid w:val="00BA5665"/>
    <w:rsid w:val="00BA5DDE"/>
    <w:rsid w:val="00BA5FE7"/>
    <w:rsid w:val="00BA760F"/>
    <w:rsid w:val="00BB1C24"/>
    <w:rsid w:val="00BB2580"/>
    <w:rsid w:val="00BB27EC"/>
    <w:rsid w:val="00BB28D5"/>
    <w:rsid w:val="00BB37EE"/>
    <w:rsid w:val="00BB530B"/>
    <w:rsid w:val="00BB58D3"/>
    <w:rsid w:val="00BC179B"/>
    <w:rsid w:val="00BC432E"/>
    <w:rsid w:val="00BC57B7"/>
    <w:rsid w:val="00BC6774"/>
    <w:rsid w:val="00BC6C8B"/>
    <w:rsid w:val="00BC6EEF"/>
    <w:rsid w:val="00BC7366"/>
    <w:rsid w:val="00BC758B"/>
    <w:rsid w:val="00BC7980"/>
    <w:rsid w:val="00BC7C89"/>
    <w:rsid w:val="00BD228F"/>
    <w:rsid w:val="00BD28C5"/>
    <w:rsid w:val="00BD2FEE"/>
    <w:rsid w:val="00BD3469"/>
    <w:rsid w:val="00BD379C"/>
    <w:rsid w:val="00BD4D43"/>
    <w:rsid w:val="00BD52C4"/>
    <w:rsid w:val="00BD6AF3"/>
    <w:rsid w:val="00BD7695"/>
    <w:rsid w:val="00BE0D5C"/>
    <w:rsid w:val="00BE0EE1"/>
    <w:rsid w:val="00BE4BDF"/>
    <w:rsid w:val="00BE5FED"/>
    <w:rsid w:val="00BE65E4"/>
    <w:rsid w:val="00BE7D81"/>
    <w:rsid w:val="00BF065F"/>
    <w:rsid w:val="00BF0AA7"/>
    <w:rsid w:val="00BF2F97"/>
    <w:rsid w:val="00BF4008"/>
    <w:rsid w:val="00C00765"/>
    <w:rsid w:val="00C00E26"/>
    <w:rsid w:val="00C03A2E"/>
    <w:rsid w:val="00C04485"/>
    <w:rsid w:val="00C06287"/>
    <w:rsid w:val="00C1009D"/>
    <w:rsid w:val="00C10A05"/>
    <w:rsid w:val="00C12309"/>
    <w:rsid w:val="00C1352A"/>
    <w:rsid w:val="00C14394"/>
    <w:rsid w:val="00C206A2"/>
    <w:rsid w:val="00C20D5E"/>
    <w:rsid w:val="00C21371"/>
    <w:rsid w:val="00C23583"/>
    <w:rsid w:val="00C27B04"/>
    <w:rsid w:val="00C30646"/>
    <w:rsid w:val="00C309C7"/>
    <w:rsid w:val="00C3106E"/>
    <w:rsid w:val="00C312CC"/>
    <w:rsid w:val="00C32A32"/>
    <w:rsid w:val="00C346C5"/>
    <w:rsid w:val="00C366E4"/>
    <w:rsid w:val="00C36C67"/>
    <w:rsid w:val="00C36E74"/>
    <w:rsid w:val="00C4066A"/>
    <w:rsid w:val="00C40D0E"/>
    <w:rsid w:val="00C45F9E"/>
    <w:rsid w:val="00C469FC"/>
    <w:rsid w:val="00C50E58"/>
    <w:rsid w:val="00C51DF7"/>
    <w:rsid w:val="00C5255D"/>
    <w:rsid w:val="00C56BAB"/>
    <w:rsid w:val="00C57E14"/>
    <w:rsid w:val="00C602B7"/>
    <w:rsid w:val="00C60D92"/>
    <w:rsid w:val="00C65930"/>
    <w:rsid w:val="00C664F9"/>
    <w:rsid w:val="00C67B43"/>
    <w:rsid w:val="00C740AB"/>
    <w:rsid w:val="00C75AB0"/>
    <w:rsid w:val="00C76F9A"/>
    <w:rsid w:val="00C823A9"/>
    <w:rsid w:val="00C82AA4"/>
    <w:rsid w:val="00C82CCB"/>
    <w:rsid w:val="00C8305C"/>
    <w:rsid w:val="00C844D6"/>
    <w:rsid w:val="00C85FF6"/>
    <w:rsid w:val="00C9326B"/>
    <w:rsid w:val="00C95691"/>
    <w:rsid w:val="00C96A47"/>
    <w:rsid w:val="00C970CE"/>
    <w:rsid w:val="00CA1ECD"/>
    <w:rsid w:val="00CA202F"/>
    <w:rsid w:val="00CA3E02"/>
    <w:rsid w:val="00CA4C7F"/>
    <w:rsid w:val="00CB065E"/>
    <w:rsid w:val="00CB13B7"/>
    <w:rsid w:val="00CB222C"/>
    <w:rsid w:val="00CB3E9C"/>
    <w:rsid w:val="00CB7087"/>
    <w:rsid w:val="00CB723D"/>
    <w:rsid w:val="00CC018A"/>
    <w:rsid w:val="00CC37B4"/>
    <w:rsid w:val="00CC4090"/>
    <w:rsid w:val="00CC41EE"/>
    <w:rsid w:val="00CC4457"/>
    <w:rsid w:val="00CC6423"/>
    <w:rsid w:val="00CC7197"/>
    <w:rsid w:val="00CD061B"/>
    <w:rsid w:val="00CD0BF5"/>
    <w:rsid w:val="00CD0FA4"/>
    <w:rsid w:val="00CD1089"/>
    <w:rsid w:val="00CD114E"/>
    <w:rsid w:val="00CD1BCD"/>
    <w:rsid w:val="00CD41F8"/>
    <w:rsid w:val="00CD593A"/>
    <w:rsid w:val="00CD60F6"/>
    <w:rsid w:val="00CD6D61"/>
    <w:rsid w:val="00CD7D66"/>
    <w:rsid w:val="00CD7FFC"/>
    <w:rsid w:val="00CE2C6E"/>
    <w:rsid w:val="00CE2D75"/>
    <w:rsid w:val="00CE6C2D"/>
    <w:rsid w:val="00CE6C66"/>
    <w:rsid w:val="00CE799B"/>
    <w:rsid w:val="00CF321C"/>
    <w:rsid w:val="00CF3220"/>
    <w:rsid w:val="00CF4FE6"/>
    <w:rsid w:val="00CF556F"/>
    <w:rsid w:val="00CF57C3"/>
    <w:rsid w:val="00CF5974"/>
    <w:rsid w:val="00D0030F"/>
    <w:rsid w:val="00D01D87"/>
    <w:rsid w:val="00D04444"/>
    <w:rsid w:val="00D0445F"/>
    <w:rsid w:val="00D050F5"/>
    <w:rsid w:val="00D0608D"/>
    <w:rsid w:val="00D061D5"/>
    <w:rsid w:val="00D06E87"/>
    <w:rsid w:val="00D06EFC"/>
    <w:rsid w:val="00D074BF"/>
    <w:rsid w:val="00D1197E"/>
    <w:rsid w:val="00D122E5"/>
    <w:rsid w:val="00D1619E"/>
    <w:rsid w:val="00D219C1"/>
    <w:rsid w:val="00D22C33"/>
    <w:rsid w:val="00D24283"/>
    <w:rsid w:val="00D24477"/>
    <w:rsid w:val="00D27373"/>
    <w:rsid w:val="00D32653"/>
    <w:rsid w:val="00D32833"/>
    <w:rsid w:val="00D32938"/>
    <w:rsid w:val="00D33DA7"/>
    <w:rsid w:val="00D3507E"/>
    <w:rsid w:val="00D352CD"/>
    <w:rsid w:val="00D354D0"/>
    <w:rsid w:val="00D41D9A"/>
    <w:rsid w:val="00D44412"/>
    <w:rsid w:val="00D46607"/>
    <w:rsid w:val="00D472D8"/>
    <w:rsid w:val="00D5255B"/>
    <w:rsid w:val="00D52ADF"/>
    <w:rsid w:val="00D538F6"/>
    <w:rsid w:val="00D5457D"/>
    <w:rsid w:val="00D548AF"/>
    <w:rsid w:val="00D54EF5"/>
    <w:rsid w:val="00D56FF4"/>
    <w:rsid w:val="00D5726C"/>
    <w:rsid w:val="00D6213A"/>
    <w:rsid w:val="00D64E5A"/>
    <w:rsid w:val="00D70226"/>
    <w:rsid w:val="00D72FB1"/>
    <w:rsid w:val="00D73760"/>
    <w:rsid w:val="00D74036"/>
    <w:rsid w:val="00D77FDA"/>
    <w:rsid w:val="00D802BD"/>
    <w:rsid w:val="00D808EE"/>
    <w:rsid w:val="00D8535D"/>
    <w:rsid w:val="00D86B20"/>
    <w:rsid w:val="00D86CC3"/>
    <w:rsid w:val="00D87FE7"/>
    <w:rsid w:val="00D91885"/>
    <w:rsid w:val="00D92F8C"/>
    <w:rsid w:val="00D930F1"/>
    <w:rsid w:val="00D93663"/>
    <w:rsid w:val="00D94097"/>
    <w:rsid w:val="00D95DDC"/>
    <w:rsid w:val="00D96B60"/>
    <w:rsid w:val="00DA0092"/>
    <w:rsid w:val="00DA0634"/>
    <w:rsid w:val="00DA3E6F"/>
    <w:rsid w:val="00DA5723"/>
    <w:rsid w:val="00DA62C5"/>
    <w:rsid w:val="00DA7CB8"/>
    <w:rsid w:val="00DA7DA7"/>
    <w:rsid w:val="00DB0CB2"/>
    <w:rsid w:val="00DB7340"/>
    <w:rsid w:val="00DC08BC"/>
    <w:rsid w:val="00DC1F63"/>
    <w:rsid w:val="00DC3934"/>
    <w:rsid w:val="00DD1011"/>
    <w:rsid w:val="00DD24D0"/>
    <w:rsid w:val="00DD6893"/>
    <w:rsid w:val="00DD7906"/>
    <w:rsid w:val="00DE221F"/>
    <w:rsid w:val="00DE23AD"/>
    <w:rsid w:val="00DE3A2A"/>
    <w:rsid w:val="00DE55E6"/>
    <w:rsid w:val="00DE5DBB"/>
    <w:rsid w:val="00DE64C4"/>
    <w:rsid w:val="00DE7B60"/>
    <w:rsid w:val="00DF169D"/>
    <w:rsid w:val="00DF26D3"/>
    <w:rsid w:val="00DF4108"/>
    <w:rsid w:val="00DF7AE1"/>
    <w:rsid w:val="00DF7CD5"/>
    <w:rsid w:val="00E00810"/>
    <w:rsid w:val="00E0241F"/>
    <w:rsid w:val="00E04482"/>
    <w:rsid w:val="00E04CE1"/>
    <w:rsid w:val="00E04D37"/>
    <w:rsid w:val="00E05840"/>
    <w:rsid w:val="00E07968"/>
    <w:rsid w:val="00E10BA8"/>
    <w:rsid w:val="00E12448"/>
    <w:rsid w:val="00E14683"/>
    <w:rsid w:val="00E207DB"/>
    <w:rsid w:val="00E21EFB"/>
    <w:rsid w:val="00E2267F"/>
    <w:rsid w:val="00E235D4"/>
    <w:rsid w:val="00E25FBA"/>
    <w:rsid w:val="00E270B7"/>
    <w:rsid w:val="00E27C9F"/>
    <w:rsid w:val="00E3049F"/>
    <w:rsid w:val="00E36A50"/>
    <w:rsid w:val="00E41B22"/>
    <w:rsid w:val="00E43C87"/>
    <w:rsid w:val="00E443B3"/>
    <w:rsid w:val="00E44BDB"/>
    <w:rsid w:val="00E46F50"/>
    <w:rsid w:val="00E47886"/>
    <w:rsid w:val="00E50357"/>
    <w:rsid w:val="00E528EB"/>
    <w:rsid w:val="00E5370B"/>
    <w:rsid w:val="00E54BD2"/>
    <w:rsid w:val="00E56811"/>
    <w:rsid w:val="00E56A3E"/>
    <w:rsid w:val="00E6139F"/>
    <w:rsid w:val="00E61E1E"/>
    <w:rsid w:val="00E62387"/>
    <w:rsid w:val="00E62868"/>
    <w:rsid w:val="00E63DEB"/>
    <w:rsid w:val="00E6455C"/>
    <w:rsid w:val="00E64B3B"/>
    <w:rsid w:val="00E66CB3"/>
    <w:rsid w:val="00E67D97"/>
    <w:rsid w:val="00E67DAF"/>
    <w:rsid w:val="00E71A05"/>
    <w:rsid w:val="00E742BC"/>
    <w:rsid w:val="00E74D18"/>
    <w:rsid w:val="00E80AB0"/>
    <w:rsid w:val="00E8217A"/>
    <w:rsid w:val="00E83E80"/>
    <w:rsid w:val="00E8435E"/>
    <w:rsid w:val="00E84DDB"/>
    <w:rsid w:val="00E857B0"/>
    <w:rsid w:val="00E86A47"/>
    <w:rsid w:val="00E90B9D"/>
    <w:rsid w:val="00E923F1"/>
    <w:rsid w:val="00E92DA5"/>
    <w:rsid w:val="00E96A6F"/>
    <w:rsid w:val="00EA1B79"/>
    <w:rsid w:val="00EA3F41"/>
    <w:rsid w:val="00EA42B1"/>
    <w:rsid w:val="00EA6CC2"/>
    <w:rsid w:val="00EA6D03"/>
    <w:rsid w:val="00EB1D3D"/>
    <w:rsid w:val="00EB3D8A"/>
    <w:rsid w:val="00EB4AF9"/>
    <w:rsid w:val="00EB4F5F"/>
    <w:rsid w:val="00EB711D"/>
    <w:rsid w:val="00EC0476"/>
    <w:rsid w:val="00EC3F42"/>
    <w:rsid w:val="00EC71ED"/>
    <w:rsid w:val="00EC7486"/>
    <w:rsid w:val="00ED2536"/>
    <w:rsid w:val="00ED27A5"/>
    <w:rsid w:val="00ED3C4C"/>
    <w:rsid w:val="00ED505D"/>
    <w:rsid w:val="00ED6C8E"/>
    <w:rsid w:val="00ED7B38"/>
    <w:rsid w:val="00EE0057"/>
    <w:rsid w:val="00EE0E84"/>
    <w:rsid w:val="00EE208F"/>
    <w:rsid w:val="00EE2257"/>
    <w:rsid w:val="00EE308D"/>
    <w:rsid w:val="00EE44C9"/>
    <w:rsid w:val="00EE525C"/>
    <w:rsid w:val="00EF087C"/>
    <w:rsid w:val="00EF2769"/>
    <w:rsid w:val="00EF366A"/>
    <w:rsid w:val="00EF4DF3"/>
    <w:rsid w:val="00EF5377"/>
    <w:rsid w:val="00F02F28"/>
    <w:rsid w:val="00F034F4"/>
    <w:rsid w:val="00F0484C"/>
    <w:rsid w:val="00F07410"/>
    <w:rsid w:val="00F0799D"/>
    <w:rsid w:val="00F11E04"/>
    <w:rsid w:val="00F12744"/>
    <w:rsid w:val="00F136D2"/>
    <w:rsid w:val="00F13F24"/>
    <w:rsid w:val="00F1419E"/>
    <w:rsid w:val="00F15A11"/>
    <w:rsid w:val="00F209D8"/>
    <w:rsid w:val="00F21765"/>
    <w:rsid w:val="00F220C0"/>
    <w:rsid w:val="00F235CC"/>
    <w:rsid w:val="00F2488B"/>
    <w:rsid w:val="00F27ED1"/>
    <w:rsid w:val="00F30CF8"/>
    <w:rsid w:val="00F31315"/>
    <w:rsid w:val="00F35777"/>
    <w:rsid w:val="00F40408"/>
    <w:rsid w:val="00F41C2B"/>
    <w:rsid w:val="00F42301"/>
    <w:rsid w:val="00F42F5E"/>
    <w:rsid w:val="00F46297"/>
    <w:rsid w:val="00F46ABC"/>
    <w:rsid w:val="00F47572"/>
    <w:rsid w:val="00F5172B"/>
    <w:rsid w:val="00F53655"/>
    <w:rsid w:val="00F53C1E"/>
    <w:rsid w:val="00F55290"/>
    <w:rsid w:val="00F55956"/>
    <w:rsid w:val="00F56CA9"/>
    <w:rsid w:val="00F6071E"/>
    <w:rsid w:val="00F616C5"/>
    <w:rsid w:val="00F62CFC"/>
    <w:rsid w:val="00F639E2"/>
    <w:rsid w:val="00F65284"/>
    <w:rsid w:val="00F65B8F"/>
    <w:rsid w:val="00F711FF"/>
    <w:rsid w:val="00F71512"/>
    <w:rsid w:val="00F7382C"/>
    <w:rsid w:val="00F74363"/>
    <w:rsid w:val="00F74FA5"/>
    <w:rsid w:val="00F7658C"/>
    <w:rsid w:val="00F769FF"/>
    <w:rsid w:val="00F77300"/>
    <w:rsid w:val="00F77E6A"/>
    <w:rsid w:val="00F81D93"/>
    <w:rsid w:val="00F822FA"/>
    <w:rsid w:val="00F831FB"/>
    <w:rsid w:val="00F86AC3"/>
    <w:rsid w:val="00F86C62"/>
    <w:rsid w:val="00F87CC5"/>
    <w:rsid w:val="00F900F4"/>
    <w:rsid w:val="00F907B5"/>
    <w:rsid w:val="00F93164"/>
    <w:rsid w:val="00F93332"/>
    <w:rsid w:val="00F940A3"/>
    <w:rsid w:val="00F9413F"/>
    <w:rsid w:val="00F94A2D"/>
    <w:rsid w:val="00F94D21"/>
    <w:rsid w:val="00F94E1B"/>
    <w:rsid w:val="00F96FB3"/>
    <w:rsid w:val="00FA11D0"/>
    <w:rsid w:val="00FA14EB"/>
    <w:rsid w:val="00FA3073"/>
    <w:rsid w:val="00FA344A"/>
    <w:rsid w:val="00FA39DE"/>
    <w:rsid w:val="00FA406D"/>
    <w:rsid w:val="00FA44DE"/>
    <w:rsid w:val="00FA4570"/>
    <w:rsid w:val="00FA4F00"/>
    <w:rsid w:val="00FA5421"/>
    <w:rsid w:val="00FA7047"/>
    <w:rsid w:val="00FB142E"/>
    <w:rsid w:val="00FB1FB7"/>
    <w:rsid w:val="00FB3748"/>
    <w:rsid w:val="00FB5056"/>
    <w:rsid w:val="00FC015B"/>
    <w:rsid w:val="00FC19A6"/>
    <w:rsid w:val="00FC3C87"/>
    <w:rsid w:val="00FC3FA8"/>
    <w:rsid w:val="00FC6E1E"/>
    <w:rsid w:val="00FD0CB0"/>
    <w:rsid w:val="00FD1315"/>
    <w:rsid w:val="00FD19F3"/>
    <w:rsid w:val="00FD2A72"/>
    <w:rsid w:val="00FD7BD8"/>
    <w:rsid w:val="00FD7C14"/>
    <w:rsid w:val="00FE1536"/>
    <w:rsid w:val="00FE25EE"/>
    <w:rsid w:val="00FE4491"/>
    <w:rsid w:val="00FE5718"/>
    <w:rsid w:val="00FE68CD"/>
    <w:rsid w:val="00FF061A"/>
    <w:rsid w:val="00FF1F74"/>
    <w:rsid w:val="00FF2137"/>
    <w:rsid w:val="00FF2D07"/>
    <w:rsid w:val="00FF3DA4"/>
    <w:rsid w:val="00FF43BE"/>
    <w:rsid w:val="00FF6A90"/>
    <w:rsid w:val="00FF6B6F"/>
    <w:rsid w:val="00FF767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103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annotation text" w:uiPriority="0"/>
    <w:lsdException w:name="footer"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6D0BC5"/>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D0BC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1685A" w:themeColor="accent2"/>
        <w:left w:val="single" w:sz="8" w:space="0" w:color="71685A" w:themeColor="accent2"/>
        <w:bottom w:val="single" w:sz="8" w:space="0" w:color="71685A" w:themeColor="accent2"/>
        <w:right w:val="single" w:sz="8" w:space="0" w:color="71685A" w:themeColor="accent2"/>
        <w:insideH w:val="single" w:sz="8" w:space="0" w:color="71685A" w:themeColor="accent2"/>
        <w:insideV w:val="single" w:sz="8" w:space="0" w:color="71685A" w:themeColor="accent2"/>
      </w:tblBorders>
      <w:tblCellMar>
        <w:top w:w="0" w:type="dxa"/>
        <w:left w:w="108" w:type="dxa"/>
        <w:bottom w:w="0" w:type="dxa"/>
        <w:right w:w="108" w:type="dxa"/>
      </w:tblCellMar>
    </w:tblPr>
    <w:tcPr>
      <w:shd w:val="clear" w:color="auto" w:fill="DDD9D4" w:themeFill="accent2" w:themeFillTint="3F"/>
    </w:tcPr>
    <w:tblStylePr w:type="firstRow">
      <w:rPr>
        <w:b/>
        <w:bCs/>
        <w:color w:val="000000" w:themeColor="text1"/>
      </w:rPr>
      <w:tblPr/>
      <w:tcPr>
        <w:shd w:val="clear" w:color="auto" w:fill="F1F0E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0DC" w:themeFill="accent2" w:themeFillTint="33"/>
      </w:tcPr>
    </w:tblStylePr>
    <w:tblStylePr w:type="band1Vert">
      <w:tblPr/>
      <w:tcPr>
        <w:shd w:val="clear" w:color="auto" w:fill="BBB4A9" w:themeFill="accent2" w:themeFillTint="7F"/>
      </w:tcPr>
    </w:tblStylePr>
    <w:tblStylePr w:type="band1Horz">
      <w:tblPr/>
      <w:tcPr>
        <w:tcBorders>
          <w:insideH w:val="single" w:sz="6" w:space="0" w:color="71685A" w:themeColor="accent2"/>
          <w:insideV w:val="single" w:sz="6" w:space="0" w:color="71685A" w:themeColor="accent2"/>
        </w:tcBorders>
        <w:shd w:val="clear" w:color="auto" w:fill="BBB4A9"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56B4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56B43" w:themeFill="accent5"/>
      </w:tcPr>
    </w:tblStylePr>
    <w:tblStylePr w:type="lastCol">
      <w:rPr>
        <w:b/>
        <w:bCs/>
        <w:color w:val="FFFFFF" w:themeColor="background1"/>
      </w:rPr>
      <w:tblPr/>
      <w:tcPr>
        <w:tcBorders>
          <w:left w:val="nil"/>
          <w:right w:val="nil"/>
          <w:insideH w:val="nil"/>
          <w:insideV w:val="nil"/>
        </w:tcBorders>
        <w:shd w:val="clear" w:color="auto" w:fill="956B4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6E9400" w:themeColor="accent1" w:themeShade="BF"/>
    </w:rPr>
    <w:tblPr>
      <w:tblStyleRowBandSize w:val="1"/>
      <w:tblStyleColBandSize w:val="1"/>
      <w:tblInd w:w="0" w:type="dxa"/>
      <w:tblBorders>
        <w:top w:val="single" w:sz="8" w:space="0" w:color="94C600" w:themeColor="accent1"/>
        <w:bottom w:val="single" w:sz="8" w:space="0" w:color="94C60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4C600" w:themeColor="accent1"/>
          <w:left w:val="nil"/>
          <w:bottom w:val="single" w:sz="8" w:space="0" w:color="94C600" w:themeColor="accent1"/>
          <w:right w:val="nil"/>
          <w:insideH w:val="nil"/>
          <w:insideV w:val="nil"/>
        </w:tcBorders>
      </w:tcPr>
    </w:tblStylePr>
    <w:tblStylePr w:type="lastRow">
      <w:pPr>
        <w:spacing w:before="0" w:after="0" w:line="240" w:lineRule="auto"/>
      </w:pPr>
      <w:rPr>
        <w:b/>
        <w:bCs/>
      </w:rPr>
      <w:tblPr/>
      <w:tcPr>
        <w:tcBorders>
          <w:top w:val="single" w:sz="8" w:space="0" w:color="94C600" w:themeColor="accent1"/>
          <w:left w:val="nil"/>
          <w:bottom w:val="single" w:sz="8" w:space="0" w:color="94C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FB1" w:themeFill="accent1" w:themeFillTint="3F"/>
      </w:tcPr>
    </w:tblStylePr>
    <w:tblStylePr w:type="band1Horz">
      <w:tblPr/>
      <w:tcPr>
        <w:tcBorders>
          <w:left w:val="nil"/>
          <w:right w:val="nil"/>
          <w:insideH w:val="nil"/>
          <w:insideV w:val="nil"/>
        </w:tcBorders>
        <w:shd w:val="clear" w:color="auto" w:fill="EBFFB1"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iPriority w:val="99"/>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aliases w:val="ftref,fr,16 Point,Superscript 6 Point,Normal + Font:9 Point,Superscript 3 Point Times,Ref,de nota al pie,(NECG) Footnote Reference"/>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BF4D00" w:themeColor="accent3" w:themeShade="BF"/>
    </w:rPr>
    <w:tblPr>
      <w:tblStyleRowBandSize w:val="1"/>
      <w:tblStyleColBandSize w:val="1"/>
      <w:tblInd w:w="0" w:type="dxa"/>
      <w:tblBorders>
        <w:top w:val="single" w:sz="8" w:space="0" w:color="FF6700" w:themeColor="accent3"/>
        <w:bottom w:val="single" w:sz="8" w:space="0" w:color="FF670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6700" w:themeColor="accent3"/>
          <w:left w:val="nil"/>
          <w:bottom w:val="single" w:sz="8" w:space="0" w:color="FF6700" w:themeColor="accent3"/>
          <w:right w:val="nil"/>
          <w:insideH w:val="nil"/>
          <w:insideV w:val="nil"/>
        </w:tcBorders>
      </w:tcPr>
    </w:tblStylePr>
    <w:tblStylePr w:type="lastRow">
      <w:pPr>
        <w:spacing w:before="0" w:after="0" w:line="240" w:lineRule="auto"/>
      </w:pPr>
      <w:rPr>
        <w:b/>
        <w:bCs/>
      </w:rPr>
      <w:tblPr/>
      <w:tcPr>
        <w:tcBorders>
          <w:top w:val="single" w:sz="8" w:space="0" w:color="FF6700" w:themeColor="accent3"/>
          <w:left w:val="nil"/>
          <w:bottom w:val="single" w:sz="8" w:space="0" w:color="FF67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hemeFill="accent3" w:themeFillTint="3F"/>
      </w:tcPr>
    </w:tblStylePr>
    <w:tblStylePr w:type="band1Horz">
      <w:tblPr/>
      <w:tcPr>
        <w:tcBorders>
          <w:left w:val="nil"/>
          <w:right w:val="nil"/>
          <w:insideH w:val="nil"/>
          <w:insideV w:val="nil"/>
        </w:tcBorders>
        <w:shd w:val="clear" w:color="auto" w:fill="FFD9C0"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24"/>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25"/>
      </w:numPr>
      <w:spacing w:after="120" w:line="240" w:lineRule="auto"/>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annotation text" w:uiPriority="0"/>
    <w:lsdException w:name="footer"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6D0BC5"/>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D0BC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1685A" w:themeColor="accent2"/>
        <w:left w:val="single" w:sz="8" w:space="0" w:color="71685A" w:themeColor="accent2"/>
        <w:bottom w:val="single" w:sz="8" w:space="0" w:color="71685A" w:themeColor="accent2"/>
        <w:right w:val="single" w:sz="8" w:space="0" w:color="71685A" w:themeColor="accent2"/>
        <w:insideH w:val="single" w:sz="8" w:space="0" w:color="71685A" w:themeColor="accent2"/>
        <w:insideV w:val="single" w:sz="8" w:space="0" w:color="71685A" w:themeColor="accent2"/>
      </w:tblBorders>
      <w:tblCellMar>
        <w:top w:w="0" w:type="dxa"/>
        <w:left w:w="108" w:type="dxa"/>
        <w:bottom w:w="0" w:type="dxa"/>
        <w:right w:w="108" w:type="dxa"/>
      </w:tblCellMar>
    </w:tblPr>
    <w:tcPr>
      <w:shd w:val="clear" w:color="auto" w:fill="DDD9D4" w:themeFill="accent2" w:themeFillTint="3F"/>
    </w:tcPr>
    <w:tblStylePr w:type="firstRow">
      <w:rPr>
        <w:b/>
        <w:bCs/>
        <w:color w:val="000000" w:themeColor="text1"/>
      </w:rPr>
      <w:tblPr/>
      <w:tcPr>
        <w:shd w:val="clear" w:color="auto" w:fill="F1F0E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0DC" w:themeFill="accent2" w:themeFillTint="33"/>
      </w:tcPr>
    </w:tblStylePr>
    <w:tblStylePr w:type="band1Vert">
      <w:tblPr/>
      <w:tcPr>
        <w:shd w:val="clear" w:color="auto" w:fill="BBB4A9" w:themeFill="accent2" w:themeFillTint="7F"/>
      </w:tcPr>
    </w:tblStylePr>
    <w:tblStylePr w:type="band1Horz">
      <w:tblPr/>
      <w:tcPr>
        <w:tcBorders>
          <w:insideH w:val="single" w:sz="6" w:space="0" w:color="71685A" w:themeColor="accent2"/>
          <w:insideV w:val="single" w:sz="6" w:space="0" w:color="71685A" w:themeColor="accent2"/>
        </w:tcBorders>
        <w:shd w:val="clear" w:color="auto" w:fill="BBB4A9"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56B4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56B43" w:themeFill="accent5"/>
      </w:tcPr>
    </w:tblStylePr>
    <w:tblStylePr w:type="lastCol">
      <w:rPr>
        <w:b/>
        <w:bCs/>
        <w:color w:val="FFFFFF" w:themeColor="background1"/>
      </w:rPr>
      <w:tblPr/>
      <w:tcPr>
        <w:tcBorders>
          <w:left w:val="nil"/>
          <w:right w:val="nil"/>
          <w:insideH w:val="nil"/>
          <w:insideV w:val="nil"/>
        </w:tcBorders>
        <w:shd w:val="clear" w:color="auto" w:fill="956B4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6E9400" w:themeColor="accent1" w:themeShade="BF"/>
    </w:rPr>
    <w:tblPr>
      <w:tblStyleRowBandSize w:val="1"/>
      <w:tblStyleColBandSize w:val="1"/>
      <w:tblInd w:w="0" w:type="dxa"/>
      <w:tblBorders>
        <w:top w:val="single" w:sz="8" w:space="0" w:color="94C600" w:themeColor="accent1"/>
        <w:bottom w:val="single" w:sz="8" w:space="0" w:color="94C60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4C600" w:themeColor="accent1"/>
          <w:left w:val="nil"/>
          <w:bottom w:val="single" w:sz="8" w:space="0" w:color="94C600" w:themeColor="accent1"/>
          <w:right w:val="nil"/>
          <w:insideH w:val="nil"/>
          <w:insideV w:val="nil"/>
        </w:tcBorders>
      </w:tcPr>
    </w:tblStylePr>
    <w:tblStylePr w:type="lastRow">
      <w:pPr>
        <w:spacing w:before="0" w:after="0" w:line="240" w:lineRule="auto"/>
      </w:pPr>
      <w:rPr>
        <w:b/>
        <w:bCs/>
      </w:rPr>
      <w:tblPr/>
      <w:tcPr>
        <w:tcBorders>
          <w:top w:val="single" w:sz="8" w:space="0" w:color="94C600" w:themeColor="accent1"/>
          <w:left w:val="nil"/>
          <w:bottom w:val="single" w:sz="8" w:space="0" w:color="94C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FB1" w:themeFill="accent1" w:themeFillTint="3F"/>
      </w:tcPr>
    </w:tblStylePr>
    <w:tblStylePr w:type="band1Horz">
      <w:tblPr/>
      <w:tcPr>
        <w:tcBorders>
          <w:left w:val="nil"/>
          <w:right w:val="nil"/>
          <w:insideH w:val="nil"/>
          <w:insideV w:val="nil"/>
        </w:tcBorders>
        <w:shd w:val="clear" w:color="auto" w:fill="EBFFB1"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iPriority w:val="99"/>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aliases w:val="ftref,fr,16 Point,Superscript 6 Point,Normal + Font:9 Point,Superscript 3 Point Times,Ref,de nota al pie,(NECG) Footnote Reference"/>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BF4D00" w:themeColor="accent3" w:themeShade="BF"/>
    </w:rPr>
    <w:tblPr>
      <w:tblStyleRowBandSize w:val="1"/>
      <w:tblStyleColBandSize w:val="1"/>
      <w:tblInd w:w="0" w:type="dxa"/>
      <w:tblBorders>
        <w:top w:val="single" w:sz="8" w:space="0" w:color="FF6700" w:themeColor="accent3"/>
        <w:bottom w:val="single" w:sz="8" w:space="0" w:color="FF670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6700" w:themeColor="accent3"/>
          <w:left w:val="nil"/>
          <w:bottom w:val="single" w:sz="8" w:space="0" w:color="FF6700" w:themeColor="accent3"/>
          <w:right w:val="nil"/>
          <w:insideH w:val="nil"/>
          <w:insideV w:val="nil"/>
        </w:tcBorders>
      </w:tcPr>
    </w:tblStylePr>
    <w:tblStylePr w:type="lastRow">
      <w:pPr>
        <w:spacing w:before="0" w:after="0" w:line="240" w:lineRule="auto"/>
      </w:pPr>
      <w:rPr>
        <w:b/>
        <w:bCs/>
      </w:rPr>
      <w:tblPr/>
      <w:tcPr>
        <w:tcBorders>
          <w:top w:val="single" w:sz="8" w:space="0" w:color="FF6700" w:themeColor="accent3"/>
          <w:left w:val="nil"/>
          <w:bottom w:val="single" w:sz="8" w:space="0" w:color="FF67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hemeFill="accent3" w:themeFillTint="3F"/>
      </w:tcPr>
    </w:tblStylePr>
    <w:tblStylePr w:type="band1Horz">
      <w:tblPr/>
      <w:tcPr>
        <w:tcBorders>
          <w:left w:val="nil"/>
          <w:right w:val="nil"/>
          <w:insideH w:val="nil"/>
          <w:insideV w:val="nil"/>
        </w:tcBorders>
        <w:shd w:val="clear" w:color="auto" w:fill="FFD9C0"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24"/>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25"/>
      </w:numPr>
      <w:spacing w:after="120" w:line="240" w:lineRule="auto"/>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6229">
      <w:bodyDiv w:val="1"/>
      <w:marLeft w:val="0"/>
      <w:marRight w:val="0"/>
      <w:marTop w:val="0"/>
      <w:marBottom w:val="0"/>
      <w:divBdr>
        <w:top w:val="none" w:sz="0" w:space="0" w:color="auto"/>
        <w:left w:val="none" w:sz="0" w:space="0" w:color="auto"/>
        <w:bottom w:val="none" w:sz="0" w:space="0" w:color="auto"/>
        <w:right w:val="none" w:sz="0" w:space="0" w:color="auto"/>
      </w:divBdr>
    </w:div>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362092467">
      <w:bodyDiv w:val="1"/>
      <w:marLeft w:val="0"/>
      <w:marRight w:val="0"/>
      <w:marTop w:val="0"/>
      <w:marBottom w:val="0"/>
      <w:divBdr>
        <w:top w:val="none" w:sz="0" w:space="0" w:color="auto"/>
        <w:left w:val="none" w:sz="0" w:space="0" w:color="auto"/>
        <w:bottom w:val="none" w:sz="0" w:space="0" w:color="auto"/>
        <w:right w:val="none" w:sz="0" w:space="0" w:color="auto"/>
      </w:divBdr>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025906">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8B6C8-D330-42AC-B8A6-FCA1D7A45827}"/>
</file>

<file path=customXml/itemProps2.xml><?xml version="1.0" encoding="utf-8"?>
<ds:datastoreItem xmlns:ds="http://schemas.openxmlformats.org/officeDocument/2006/customXml" ds:itemID="{C9514666-743A-47B9-879B-C6722833369A}"/>
</file>

<file path=customXml/itemProps3.xml><?xml version="1.0" encoding="utf-8"?>
<ds:datastoreItem xmlns:ds="http://schemas.openxmlformats.org/officeDocument/2006/customXml" ds:itemID="{C0365663-05BE-41A2-A060-9C67065AF9D5}"/>
</file>

<file path=customXml/itemProps4.xml><?xml version="1.0" encoding="utf-8"?>
<ds:datastoreItem xmlns:ds="http://schemas.openxmlformats.org/officeDocument/2006/customXml" ds:itemID="{D6E27620-DB28-434E-9054-6B131DDB41C1}"/>
</file>

<file path=docProps/app.xml><?xml version="1.0" encoding="utf-8"?>
<Properties xmlns="http://schemas.openxmlformats.org/officeDocument/2006/extended-properties" xmlns:vt="http://schemas.openxmlformats.org/officeDocument/2006/docPropsVTypes">
  <Template>E588E6C2</Template>
  <TotalTime>0</TotalTime>
  <Pages>18</Pages>
  <Words>6360</Words>
  <Characters>35861</Characters>
  <Application>Microsoft Office Word</Application>
  <DocSecurity>0</DocSecurity>
  <Lines>901</Lines>
  <Paragraphs>351</Paragraphs>
  <ScaleCrop>false</ScaleCrop>
  <HeadingPairs>
    <vt:vector size="2" baseType="variant">
      <vt:variant>
        <vt:lpstr>Title</vt:lpstr>
      </vt:variant>
      <vt:variant>
        <vt:i4>1</vt:i4>
      </vt:variant>
    </vt:vector>
  </HeadingPairs>
  <TitlesOfParts>
    <vt:vector size="1" baseType="lpstr">
      <vt:lpstr>DFAT Formal Factsheet</vt:lpstr>
    </vt:vector>
  </TitlesOfParts>
  <LinksUpToDate>false</LinksUpToDate>
  <CharactersWithSpaces>41986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Formal Factsheet</dc:title>
  <dc:creator/>
  <cp:lastModifiedBy/>
  <cp:revision>1</cp:revision>
  <dcterms:created xsi:type="dcterms:W3CDTF">2015-01-29T02:49:00Z</dcterms:created>
  <dcterms:modified xsi:type="dcterms:W3CDTF">2015-01-29T02:49:00Z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933100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