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1EDAF" w14:textId="3A8F4543" w:rsidR="0050529F" w:rsidRPr="00D17249" w:rsidRDefault="00826911" w:rsidP="007B2943">
      <w:pPr>
        <w:pStyle w:val="Title"/>
        <w:ind w:right="-313"/>
      </w:pPr>
      <w:r w:rsidRPr="00CA6DB6">
        <w:t>Aid Program Performance Report 2012</w:t>
      </w:r>
      <w:r w:rsidRPr="00052BF3">
        <w:t>−</w:t>
      </w:r>
      <w:r w:rsidRPr="00CA6DB6">
        <w:t xml:space="preserve">13 </w:t>
      </w:r>
      <w:r w:rsidR="00680E3A">
        <w:t>Nauru</w:t>
      </w:r>
    </w:p>
    <w:p w14:paraId="7601EDD2" w14:textId="3B1C765C" w:rsidR="00180B19" w:rsidRPr="00180B19" w:rsidRDefault="00180B19" w:rsidP="00180B19">
      <w:pPr>
        <w:pStyle w:val="Heading1"/>
      </w:pPr>
      <w:r w:rsidRPr="00180B19">
        <w:t xml:space="preserve">Key </w:t>
      </w:r>
      <w:r w:rsidR="005C0900">
        <w:t>m</w:t>
      </w:r>
      <w:r w:rsidRPr="00180B19">
        <w:t>essages</w:t>
      </w:r>
    </w:p>
    <w:p w14:paraId="13409EC4" w14:textId="740985AB" w:rsidR="005C0900" w:rsidRPr="007156F5" w:rsidRDefault="005C0900" w:rsidP="00067A68">
      <w:pPr>
        <w:pStyle w:val="BodyText"/>
      </w:pPr>
      <w:r w:rsidRPr="007156F5">
        <w:t xml:space="preserve">This </w:t>
      </w:r>
      <w:bookmarkStart w:id="0" w:name="_GoBack"/>
      <w:bookmarkEnd w:id="0"/>
      <w:r w:rsidR="00C05C61">
        <w:t>Aid</w:t>
      </w:r>
      <w:r w:rsidRPr="007156F5">
        <w:t xml:space="preserve"> Program Performance Report summarises the Australian aid program’s progress in Nauru from January 2012 to June 2013. </w:t>
      </w:r>
    </w:p>
    <w:p w14:paraId="6D4C7392" w14:textId="7F08E033" w:rsidR="005C0900" w:rsidRPr="007156F5" w:rsidRDefault="005C0900" w:rsidP="00067A68">
      <w:pPr>
        <w:pStyle w:val="BodyText"/>
      </w:pPr>
      <w:r w:rsidRPr="007156F5">
        <w:t>Key findings include:</w:t>
      </w:r>
    </w:p>
    <w:p w14:paraId="4DD15F7D" w14:textId="06F7C84A" w:rsidR="00537B2E" w:rsidRDefault="00936C89" w:rsidP="00067A68">
      <w:pPr>
        <w:pStyle w:val="BodyText"/>
      </w:pPr>
      <w:r w:rsidRPr="00407148">
        <w:t xml:space="preserve">Under </w:t>
      </w:r>
      <w:r w:rsidR="00295022">
        <w:t xml:space="preserve">Partnership </w:t>
      </w:r>
      <w:r w:rsidRPr="00407148">
        <w:t xml:space="preserve">Objective </w:t>
      </w:r>
      <w:r w:rsidR="006A6852">
        <w:t xml:space="preserve">1 </w:t>
      </w:r>
      <w:r w:rsidR="00537B2E">
        <w:t>(</w:t>
      </w:r>
      <w:r w:rsidR="00537B2E" w:rsidRPr="00062561">
        <w:t xml:space="preserve">Public </w:t>
      </w:r>
      <w:r w:rsidR="006A6852" w:rsidRPr="00062561">
        <w:t>s</w:t>
      </w:r>
      <w:r w:rsidR="00537B2E" w:rsidRPr="00062561">
        <w:t xml:space="preserve">ector </w:t>
      </w:r>
      <w:r w:rsidR="006A6852" w:rsidRPr="00062561">
        <w:t>m</w:t>
      </w:r>
      <w:r w:rsidR="00537B2E" w:rsidRPr="00062561">
        <w:t>anagement</w:t>
      </w:r>
      <w:r w:rsidR="00537B2E">
        <w:t xml:space="preserve">) significant progress has been made toward </w:t>
      </w:r>
      <w:r w:rsidR="00B90C9A">
        <w:t>p</w:t>
      </w:r>
      <w:r w:rsidR="00537B2E">
        <w:t xml:space="preserve">artnership targets </w:t>
      </w:r>
      <w:r w:rsidR="00E60BED">
        <w:t>of better</w:t>
      </w:r>
      <w:r w:rsidR="00537B2E">
        <w:t xml:space="preserve"> budget management, revenue </w:t>
      </w:r>
      <w:r w:rsidR="00EB53BC">
        <w:t>collection, debt</w:t>
      </w:r>
      <w:r w:rsidR="00E60BED">
        <w:t xml:space="preserve"> reduction</w:t>
      </w:r>
      <w:r w:rsidR="00EB53BC">
        <w:t xml:space="preserve"> and improved public procurement systems</w:t>
      </w:r>
      <w:r w:rsidR="00537B2E">
        <w:t xml:space="preserve">. We are on track to achieve </w:t>
      </w:r>
      <w:r w:rsidR="00B90C9A">
        <w:t>p</w:t>
      </w:r>
      <w:r w:rsidR="00537B2E">
        <w:t>artnership targets by 2015</w:t>
      </w:r>
      <w:r w:rsidR="00B2323A">
        <w:t>,</w:t>
      </w:r>
      <w:r w:rsidR="00DD53EE">
        <w:t xml:space="preserve"> but capacity in </w:t>
      </w:r>
      <w:r w:rsidR="006A6852">
        <w:t xml:space="preserve">Nauru’s </w:t>
      </w:r>
      <w:r w:rsidR="00DD53EE">
        <w:t>Department of Finance continue</w:t>
      </w:r>
      <w:r w:rsidR="006A6852">
        <w:t>s</w:t>
      </w:r>
      <w:r w:rsidR="00DD53EE">
        <w:t xml:space="preserve"> to constrain deliver</w:t>
      </w:r>
      <w:r w:rsidR="006A6852">
        <w:t>y of the country’s</w:t>
      </w:r>
      <w:r w:rsidR="00DD53EE">
        <w:t xml:space="preserve"> ambitious reform agenda</w:t>
      </w:r>
      <w:r w:rsidR="00537B2E">
        <w:t>.</w:t>
      </w:r>
    </w:p>
    <w:p w14:paraId="74491D0B" w14:textId="740A8EC4" w:rsidR="00537B2E" w:rsidRDefault="00936C89" w:rsidP="00067A68">
      <w:pPr>
        <w:pStyle w:val="BodyText"/>
        <w:rPr>
          <w:b/>
        </w:rPr>
      </w:pPr>
      <w:r w:rsidRPr="00407148">
        <w:t xml:space="preserve">Under Objective </w:t>
      </w:r>
      <w:r w:rsidR="006A6852">
        <w:t xml:space="preserve">2 </w:t>
      </w:r>
      <w:r>
        <w:t>(</w:t>
      </w:r>
      <w:r w:rsidRPr="00062561">
        <w:t>Improved</w:t>
      </w:r>
      <w:r w:rsidR="00537B2E" w:rsidRPr="00062561">
        <w:t xml:space="preserve"> </w:t>
      </w:r>
      <w:r w:rsidR="006A6852" w:rsidRPr="00062561">
        <w:t>e</w:t>
      </w:r>
      <w:r w:rsidR="00537B2E" w:rsidRPr="00062561">
        <w:t>ducation</w:t>
      </w:r>
      <w:r w:rsidR="00537B2E">
        <w:t xml:space="preserve">) </w:t>
      </w:r>
      <w:r w:rsidR="00537B2E" w:rsidRPr="008121D1">
        <w:t>Australian aid is</w:t>
      </w:r>
      <w:r w:rsidR="00537B2E">
        <w:t xml:space="preserve"> contributing to better education infrastructure and facilities, more and better qualified teachers</w:t>
      </w:r>
      <w:r w:rsidR="000A08C5">
        <w:t xml:space="preserve">, </w:t>
      </w:r>
      <w:r w:rsidR="00537B2E">
        <w:t>improv</w:t>
      </w:r>
      <w:r w:rsidR="000A08C5">
        <w:t xml:space="preserve">ed </w:t>
      </w:r>
      <w:r w:rsidR="00537B2E">
        <w:t>enrolment rates</w:t>
      </w:r>
      <w:r w:rsidR="008121D1">
        <w:t xml:space="preserve"> and</w:t>
      </w:r>
      <w:r w:rsidR="00537B2E">
        <w:t xml:space="preserve"> take up of technical and vocational</w:t>
      </w:r>
      <w:r w:rsidR="002833AA">
        <w:t xml:space="preserve"> education and</w:t>
      </w:r>
      <w:r w:rsidR="00537B2E">
        <w:t xml:space="preserve"> training</w:t>
      </w:r>
      <w:r w:rsidR="002833AA">
        <w:t xml:space="preserve"> (TVET)</w:t>
      </w:r>
      <w:r w:rsidR="00537B2E">
        <w:t xml:space="preserve"> programs. We have concerns about the slow</w:t>
      </w:r>
      <w:r w:rsidR="00837EFF">
        <w:t xml:space="preserve"> </w:t>
      </w:r>
      <w:r w:rsidR="00537B2E">
        <w:t xml:space="preserve">progress on improving education outcomes although expect this to improve as </w:t>
      </w:r>
      <w:r w:rsidR="00641B28">
        <w:t xml:space="preserve">institutional </w:t>
      </w:r>
      <w:r w:rsidR="00537B2E">
        <w:t xml:space="preserve">improvements </w:t>
      </w:r>
      <w:r w:rsidR="00A04D58">
        <w:t xml:space="preserve">in the sector </w:t>
      </w:r>
      <w:r w:rsidR="00537B2E">
        <w:t xml:space="preserve">start to </w:t>
      </w:r>
      <w:r w:rsidR="00295022">
        <w:t>have an effect</w:t>
      </w:r>
      <w:r w:rsidR="005C0900">
        <w:t xml:space="preserve">. </w:t>
      </w:r>
      <w:r w:rsidR="00537B2E">
        <w:t>We are on</w:t>
      </w:r>
      <w:r w:rsidR="008121D1">
        <w:t xml:space="preserve"> </w:t>
      </w:r>
      <w:r w:rsidR="00537B2E">
        <w:t xml:space="preserve">track to achieve the </w:t>
      </w:r>
      <w:r w:rsidR="00B90C9A">
        <w:t>p</w:t>
      </w:r>
      <w:r w:rsidR="00537B2E">
        <w:t>artnership targets for education by 2015.</w:t>
      </w:r>
    </w:p>
    <w:p w14:paraId="33EC18A5" w14:textId="76837619" w:rsidR="00537B2E" w:rsidRPr="00906519" w:rsidRDefault="00537B2E" w:rsidP="00067A68">
      <w:pPr>
        <w:pStyle w:val="BodyText"/>
        <w:rPr>
          <w:b/>
        </w:rPr>
      </w:pPr>
      <w:r w:rsidRPr="00407148">
        <w:t xml:space="preserve">Under Objective </w:t>
      </w:r>
      <w:r w:rsidR="006A6852">
        <w:t>3</w:t>
      </w:r>
      <w:r w:rsidR="006A6852" w:rsidRPr="00A44A49">
        <w:rPr>
          <w:i/>
        </w:rPr>
        <w:t xml:space="preserve"> </w:t>
      </w:r>
      <w:r>
        <w:t>(</w:t>
      </w:r>
      <w:r w:rsidRPr="00062561">
        <w:t xml:space="preserve">Improved </w:t>
      </w:r>
      <w:r w:rsidR="006A6852" w:rsidRPr="00062561">
        <w:t>h</w:t>
      </w:r>
      <w:r w:rsidRPr="00062561">
        <w:t>ealth</w:t>
      </w:r>
      <w:r>
        <w:t>)</w:t>
      </w:r>
      <w:r w:rsidR="00837EFF">
        <w:t xml:space="preserve"> the focus on institutional </w:t>
      </w:r>
      <w:r w:rsidR="00295022">
        <w:t xml:space="preserve">strengthening </w:t>
      </w:r>
      <w:r w:rsidR="00837EFF">
        <w:t xml:space="preserve">has resulted in </w:t>
      </w:r>
      <w:r w:rsidR="00641B28">
        <w:t>improvements to</w:t>
      </w:r>
      <w:r w:rsidR="00837EFF">
        <w:t xml:space="preserve"> the quality of healthcare services and facilities. The challenge is to </w:t>
      </w:r>
      <w:r w:rsidR="00770557">
        <w:t>translate these improved services into better health</w:t>
      </w:r>
      <w:r w:rsidR="00837EFF">
        <w:t xml:space="preserve"> outcomes for the community. </w:t>
      </w:r>
      <w:r w:rsidR="00674D50">
        <w:t>While Nauru has made strong progress toward health</w:t>
      </w:r>
      <w:r w:rsidR="008121D1">
        <w:t>-</w:t>
      </w:r>
      <w:r w:rsidR="00674D50">
        <w:t xml:space="preserve">related </w:t>
      </w:r>
      <w:r w:rsidR="009E5812">
        <w:t>Millennium</w:t>
      </w:r>
      <w:r w:rsidR="00583A44">
        <w:t xml:space="preserve"> Development Goals</w:t>
      </w:r>
      <w:r w:rsidR="000C6ADB">
        <w:t xml:space="preserve"> (MDGs)</w:t>
      </w:r>
      <w:r w:rsidR="00674D50">
        <w:t>, t</w:t>
      </w:r>
      <w:r w:rsidR="00837EFF">
        <w:t>he incidence of non-communicable diseases</w:t>
      </w:r>
      <w:r w:rsidR="006B43EB">
        <w:t xml:space="preserve"> (NCDs)</w:t>
      </w:r>
      <w:r w:rsidR="00837EFF">
        <w:t xml:space="preserve"> remains </w:t>
      </w:r>
      <w:r w:rsidR="00641B28">
        <w:t>high</w:t>
      </w:r>
      <w:r w:rsidR="00674D50">
        <w:t xml:space="preserve">. </w:t>
      </w:r>
      <w:r w:rsidR="00641B28">
        <w:t>G</w:t>
      </w:r>
      <w:r w:rsidR="00674D50">
        <w:t xml:space="preserve">reater engagement in regular policy </w:t>
      </w:r>
      <w:r w:rsidR="006A6852">
        <w:t xml:space="preserve">discussion </w:t>
      </w:r>
      <w:r w:rsidR="00674D50">
        <w:t>is required if progress is to continue to build. We are on track to meet the partnership targets</w:t>
      </w:r>
      <w:r w:rsidR="008121D1">
        <w:t xml:space="preserve"> for improved health</w:t>
      </w:r>
      <w:r w:rsidR="00674D50">
        <w:t xml:space="preserve"> by 2015.</w:t>
      </w:r>
    </w:p>
    <w:p w14:paraId="49B2075D" w14:textId="083984AC" w:rsidR="00537B2E" w:rsidRDefault="00674D50" w:rsidP="00067A68">
      <w:pPr>
        <w:pStyle w:val="BodyText"/>
      </w:pPr>
      <w:r w:rsidRPr="00407148">
        <w:t xml:space="preserve">Under Objective </w:t>
      </w:r>
      <w:r w:rsidR="008121D1">
        <w:t xml:space="preserve">4 </w:t>
      </w:r>
      <w:r>
        <w:t>(</w:t>
      </w:r>
      <w:r w:rsidRPr="00062561">
        <w:t xml:space="preserve">Infrastructure and </w:t>
      </w:r>
      <w:r w:rsidR="008121D1">
        <w:t>e</w:t>
      </w:r>
      <w:r w:rsidRPr="00062561">
        <w:t xml:space="preserve">ssential </w:t>
      </w:r>
      <w:r w:rsidR="008121D1">
        <w:t>s</w:t>
      </w:r>
      <w:r w:rsidRPr="00062561">
        <w:t>ervices</w:t>
      </w:r>
      <w:r w:rsidRPr="008121D1">
        <w:t>) the</w:t>
      </w:r>
      <w:r>
        <w:t xml:space="preserve"> bulk of Australian assistance </w:t>
      </w:r>
      <w:r w:rsidR="009E5812">
        <w:t>is</w:t>
      </w:r>
      <w:r>
        <w:t xml:space="preserve"> used to maintain reliable power and water supplies for the community. With that goal having been </w:t>
      </w:r>
      <w:r w:rsidR="003C158F">
        <w:t>achieved</w:t>
      </w:r>
      <w:r w:rsidR="00F14D3E">
        <w:t xml:space="preserve">, </w:t>
      </w:r>
      <w:r w:rsidR="0085581C">
        <w:t xml:space="preserve">our </w:t>
      </w:r>
      <w:r>
        <w:t>assistance will shift from supporting operational costs to</w:t>
      </w:r>
      <w:r w:rsidR="00F627C4">
        <w:t xml:space="preserve"> </w:t>
      </w:r>
      <w:r w:rsidR="00583A44">
        <w:t xml:space="preserve">institutional </w:t>
      </w:r>
      <w:r w:rsidR="00F627C4">
        <w:t xml:space="preserve">reform and </w:t>
      </w:r>
      <w:r>
        <w:t xml:space="preserve">strategic infrastructure investments such as </w:t>
      </w:r>
      <w:r w:rsidR="008121D1">
        <w:t xml:space="preserve">port </w:t>
      </w:r>
      <w:r>
        <w:t xml:space="preserve">improvements. The Government of Nauru’s improving revenue base </w:t>
      </w:r>
      <w:r w:rsidR="008121D1">
        <w:t xml:space="preserve">means </w:t>
      </w:r>
      <w:r>
        <w:t xml:space="preserve">it </w:t>
      </w:r>
      <w:r w:rsidR="008121D1">
        <w:t>is</w:t>
      </w:r>
      <w:r>
        <w:t xml:space="preserve"> better placed to take greater responsibility for </w:t>
      </w:r>
      <w:proofErr w:type="gramStart"/>
      <w:r>
        <w:t>operational</w:t>
      </w:r>
      <w:proofErr w:type="gramEnd"/>
      <w:r>
        <w:t xml:space="preserve"> expenses.</w:t>
      </w:r>
      <w:r w:rsidR="00583A44">
        <w:t xml:space="preserve"> We are on track to meet some </w:t>
      </w:r>
      <w:r w:rsidR="00B90C9A">
        <w:t>p</w:t>
      </w:r>
      <w:r w:rsidR="00583A44">
        <w:t>artnership targets</w:t>
      </w:r>
      <w:r w:rsidR="008121D1">
        <w:t xml:space="preserve"> for infrastructure and essential services</w:t>
      </w:r>
      <w:r w:rsidR="00583A44">
        <w:t xml:space="preserve"> by 2015.</w:t>
      </w:r>
    </w:p>
    <w:p w14:paraId="1051D104" w14:textId="642975D0" w:rsidR="00674D50" w:rsidRDefault="00674D50" w:rsidP="00067A68">
      <w:pPr>
        <w:pStyle w:val="BodyText"/>
      </w:pPr>
      <w:r w:rsidRPr="00407148">
        <w:t xml:space="preserve">Under Objective </w:t>
      </w:r>
      <w:r w:rsidR="008121D1">
        <w:t xml:space="preserve">5 </w:t>
      </w:r>
      <w:r>
        <w:t>(</w:t>
      </w:r>
      <w:r w:rsidRPr="00062561">
        <w:t xml:space="preserve">Private </w:t>
      </w:r>
      <w:r w:rsidR="008121D1">
        <w:t>s</w:t>
      </w:r>
      <w:r w:rsidRPr="00062561">
        <w:t xml:space="preserve">ector </w:t>
      </w:r>
      <w:r w:rsidR="008121D1">
        <w:t>g</w:t>
      </w:r>
      <w:r w:rsidRPr="00062561">
        <w:t>rowth</w:t>
      </w:r>
      <w:r w:rsidRPr="008121D1">
        <w:t>)</w:t>
      </w:r>
      <w:r w:rsidR="00FE11AA" w:rsidRPr="008121D1">
        <w:t xml:space="preserve"> </w:t>
      </w:r>
      <w:r w:rsidR="008121D1">
        <w:t>Australian</w:t>
      </w:r>
      <w:r w:rsidR="008121D1" w:rsidRPr="008121D1">
        <w:t xml:space="preserve"> </w:t>
      </w:r>
      <w:r w:rsidR="00FE11AA" w:rsidRPr="008121D1">
        <w:t>assistance</w:t>
      </w:r>
      <w:r w:rsidR="00FE11AA">
        <w:t xml:space="preserve"> focused primarily on improving the operating environment to attract commercial banking operations b</w:t>
      </w:r>
      <w:r w:rsidR="00F627C4">
        <w:t>ack to Nauru. The Bank o</w:t>
      </w:r>
      <w:r w:rsidR="00FE11AA">
        <w:t>f Nauru liquidation process is coming into its final stages with debtor payments beginning to flow and creditors receiving some payouts</w:t>
      </w:r>
      <w:r w:rsidR="005C0900">
        <w:t xml:space="preserve">. </w:t>
      </w:r>
      <w:r w:rsidR="00F14D3E">
        <w:t>S</w:t>
      </w:r>
      <w:r w:rsidR="00FE11AA">
        <w:t xml:space="preserve">ignificant growth in </w:t>
      </w:r>
      <w:r w:rsidR="00F14D3E">
        <w:t xml:space="preserve">the </w:t>
      </w:r>
      <w:r w:rsidR="00FE11AA">
        <w:t>private sector in 2012 represents a</w:t>
      </w:r>
      <w:r w:rsidR="00F14D3E">
        <w:t>n</w:t>
      </w:r>
      <w:r w:rsidR="00FE11AA">
        <w:t xml:space="preserve"> opportunity to engage with the </w:t>
      </w:r>
      <w:r w:rsidR="00FC7564">
        <w:t>g</w:t>
      </w:r>
      <w:r w:rsidR="00FE11AA">
        <w:t xml:space="preserve">overnment to boost </w:t>
      </w:r>
      <w:r w:rsidR="008121D1">
        <w:t xml:space="preserve">private sector </w:t>
      </w:r>
      <w:r w:rsidR="00FE11AA">
        <w:t>sustainability.</w:t>
      </w:r>
    </w:p>
    <w:p w14:paraId="3F6E8693" w14:textId="040126C3" w:rsidR="007A3FF8" w:rsidRDefault="0085581C" w:rsidP="00067A68">
      <w:pPr>
        <w:pStyle w:val="BodyText"/>
      </w:pPr>
      <w:r>
        <w:t>The f</w:t>
      </w:r>
      <w:r w:rsidR="007A3FF8">
        <w:t xml:space="preserve">unding </w:t>
      </w:r>
      <w:r w:rsidR="00B2323A">
        <w:t xml:space="preserve">Australia </w:t>
      </w:r>
      <w:r w:rsidR="007A3FF8">
        <w:t>provide</w:t>
      </w:r>
      <w:r w:rsidR="00B2323A">
        <w:t>s</w:t>
      </w:r>
      <w:r w:rsidR="007A3FF8">
        <w:t xml:space="preserve"> under the </w:t>
      </w:r>
      <w:r w:rsidR="007A3FF8" w:rsidRPr="00062561">
        <w:t>Nauru Australia Compact of Settlement</w:t>
      </w:r>
      <w:r>
        <w:t xml:space="preserve"> (NACOS)</w:t>
      </w:r>
      <w:r w:rsidR="007A3FF8">
        <w:t xml:space="preserve"> has assisted Nauru to re-invigorate the phosphate mining industry leading to highe</w:t>
      </w:r>
      <w:r w:rsidR="00B5703B">
        <w:t>r</w:t>
      </w:r>
      <w:r w:rsidR="007A3FF8">
        <w:t xml:space="preserve"> export levels in recent years. However, progress on land rehabilitation under this </w:t>
      </w:r>
      <w:r w:rsidR="00063FF4">
        <w:t>program</w:t>
      </w:r>
      <w:r w:rsidR="007A3FF8">
        <w:t xml:space="preserve"> has been slow to produce results.</w:t>
      </w:r>
      <w:r w:rsidR="00063FF4">
        <w:t xml:space="preserve"> We are on track to meet some of the objectives of the NACOS program before it concludes in 2013</w:t>
      </w:r>
      <w:r w:rsidR="00B2323A">
        <w:t>–</w:t>
      </w:r>
      <w:r w:rsidR="00063FF4">
        <w:t>14.</w:t>
      </w:r>
    </w:p>
    <w:p w14:paraId="7601EDD8" w14:textId="77777777" w:rsidR="00180B19" w:rsidRPr="00180B19" w:rsidRDefault="00180B19" w:rsidP="00180B19">
      <w:pPr>
        <w:pStyle w:val="Heading1"/>
      </w:pPr>
      <w:r w:rsidRPr="00180B19">
        <w:lastRenderedPageBreak/>
        <w:t xml:space="preserve">Context </w:t>
      </w:r>
    </w:p>
    <w:p w14:paraId="7308A0A4" w14:textId="2AED2319" w:rsidR="00295022" w:rsidRPr="00407148" w:rsidRDefault="00295022" w:rsidP="00067A68">
      <w:pPr>
        <w:pStyle w:val="Heading3"/>
      </w:pPr>
      <w:r w:rsidRPr="00407148">
        <w:t xml:space="preserve">Economic </w:t>
      </w:r>
      <w:r w:rsidR="005C0900">
        <w:t>p</w:t>
      </w:r>
      <w:r w:rsidRPr="00407148">
        <w:t>erformance</w:t>
      </w:r>
    </w:p>
    <w:p w14:paraId="38A383B3" w14:textId="3F249895" w:rsidR="00A426F2" w:rsidRDefault="00295022" w:rsidP="00067A68">
      <w:pPr>
        <w:pStyle w:val="BodyText"/>
      </w:pPr>
      <w:r>
        <w:t xml:space="preserve">Following the decline of Nauru’s phosphate industry in the 1990s, and poor management of </w:t>
      </w:r>
      <w:r w:rsidR="008121D1">
        <w:t xml:space="preserve">the country’s </w:t>
      </w:r>
      <w:r>
        <w:t>finances</w:t>
      </w:r>
      <w:r w:rsidR="00B2323A">
        <w:t>—</w:t>
      </w:r>
      <w:r>
        <w:t>including taking on unsustainable debt levels</w:t>
      </w:r>
      <w:r w:rsidR="00142A29" w:rsidRPr="00062561">
        <w:rPr>
          <w:sz w:val="16"/>
          <w:szCs w:val="16"/>
          <w:vertAlign w:val="superscript"/>
        </w:rPr>
        <w:footnoteReference w:id="1"/>
      </w:r>
      <w:r w:rsidR="00B2323A">
        <w:t>—</w:t>
      </w:r>
      <w:r>
        <w:t>Nauru’s prospects have improved</w:t>
      </w:r>
      <w:r w:rsidR="00142A29" w:rsidRPr="00E92DD0">
        <w:t>.</w:t>
      </w:r>
      <w:r w:rsidR="00A426F2">
        <w:t xml:space="preserve"> </w:t>
      </w:r>
      <w:r w:rsidR="00142A29" w:rsidRPr="00E92DD0">
        <w:t>With a revitalised phosphate industry</w:t>
      </w:r>
      <w:r w:rsidR="00A04D58">
        <w:t>,</w:t>
      </w:r>
      <w:r w:rsidR="00142A29" w:rsidRPr="00E92DD0">
        <w:t xml:space="preserve"> significant increases in </w:t>
      </w:r>
      <w:r w:rsidR="0033442D">
        <w:t>f</w:t>
      </w:r>
      <w:r w:rsidR="00142A29" w:rsidRPr="00E92DD0">
        <w:t>isheries income</w:t>
      </w:r>
      <w:r w:rsidR="00A04D58">
        <w:t xml:space="preserve"> and</w:t>
      </w:r>
      <w:r w:rsidR="0033442D">
        <w:t xml:space="preserve"> </w:t>
      </w:r>
      <w:r w:rsidR="00063FF4">
        <w:t xml:space="preserve">a return to </w:t>
      </w:r>
      <w:r w:rsidR="0033442D">
        <w:t>prudent macroeconomic management</w:t>
      </w:r>
      <w:r w:rsidR="00E85D09">
        <w:t>,</w:t>
      </w:r>
      <w:r w:rsidR="0033442D">
        <w:t xml:space="preserve"> </w:t>
      </w:r>
      <w:r w:rsidR="00142A29" w:rsidRPr="00E92DD0">
        <w:t xml:space="preserve">modest </w:t>
      </w:r>
      <w:r w:rsidR="00E85D09">
        <w:t xml:space="preserve">but </w:t>
      </w:r>
      <w:r w:rsidR="00466AF4">
        <w:t xml:space="preserve">growing </w:t>
      </w:r>
      <w:r w:rsidR="00142A29" w:rsidRPr="00E92DD0">
        <w:t>revenues</w:t>
      </w:r>
      <w:r w:rsidR="00466AF4">
        <w:t xml:space="preserve"> have been flow</w:t>
      </w:r>
      <w:r w:rsidR="00031174">
        <w:t>ing to the government since 2006</w:t>
      </w:r>
      <w:r w:rsidR="00E85D09">
        <w:t>. D</w:t>
      </w:r>
      <w:r w:rsidR="0033442D">
        <w:t>ebt is now at manageable levels</w:t>
      </w:r>
      <w:r w:rsidR="00142A29" w:rsidRPr="00E92DD0">
        <w:t>.</w:t>
      </w:r>
      <w:r w:rsidR="0033442D">
        <w:t xml:space="preserve"> The establishment of the </w:t>
      </w:r>
      <w:r w:rsidR="00583A44">
        <w:t>R</w:t>
      </w:r>
      <w:r w:rsidR="00B2323A">
        <w:t>egional Immigration Processing Centre</w:t>
      </w:r>
      <w:r w:rsidR="0033442D">
        <w:t xml:space="preserve"> in 201</w:t>
      </w:r>
      <w:r w:rsidR="00510AE9">
        <w:t>2</w:t>
      </w:r>
      <w:r w:rsidR="0033442D">
        <w:t xml:space="preserve"> has also contributed</w:t>
      </w:r>
      <w:r w:rsidR="00510AE9">
        <w:t xml:space="preserve"> to increased economic activity</w:t>
      </w:r>
      <w:r w:rsidR="0033442D">
        <w:t xml:space="preserve"> </w:t>
      </w:r>
      <w:r w:rsidR="00510AE9">
        <w:t xml:space="preserve">and </w:t>
      </w:r>
      <w:r w:rsidR="006E5CEB">
        <w:t>government revenue</w:t>
      </w:r>
      <w:r w:rsidR="00B2323A">
        <w:t xml:space="preserve">. </w:t>
      </w:r>
    </w:p>
    <w:p w14:paraId="16A4F57E" w14:textId="5911B7EC" w:rsidR="001750E6" w:rsidRDefault="00D947F4" w:rsidP="00067A68">
      <w:pPr>
        <w:pStyle w:val="BodyText"/>
      </w:pPr>
      <w:r>
        <w:t xml:space="preserve">In 2012, </w:t>
      </w:r>
      <w:r w:rsidR="00510AE9">
        <w:t>Nauru’s economy grew by 4.9</w:t>
      </w:r>
      <w:r w:rsidR="005C0900">
        <w:t xml:space="preserve"> </w:t>
      </w:r>
      <w:r w:rsidR="00510AE9">
        <w:t>per cent</w:t>
      </w:r>
      <w:r w:rsidR="00295022">
        <w:rPr>
          <w:rStyle w:val="FootnoteReference"/>
        </w:rPr>
        <w:footnoteReference w:id="2"/>
      </w:r>
      <w:r w:rsidR="00295022">
        <w:t xml:space="preserve"> with</w:t>
      </w:r>
      <w:r w:rsidR="00510AE9">
        <w:t xml:space="preserve"> phosphate </w:t>
      </w:r>
      <w:r>
        <w:t>exports reach</w:t>
      </w:r>
      <w:r w:rsidR="00510AE9">
        <w:t>ing</w:t>
      </w:r>
      <w:r>
        <w:t xml:space="preserve"> 519</w:t>
      </w:r>
      <w:r w:rsidR="006F573F">
        <w:t>,</w:t>
      </w:r>
      <w:r>
        <w:t>000 ton</w:t>
      </w:r>
      <w:r w:rsidR="00510AE9">
        <w:t>s</w:t>
      </w:r>
      <w:r w:rsidR="005C0900">
        <w:t>—</w:t>
      </w:r>
      <w:r>
        <w:t>the highest level since mining recommenced in 2007</w:t>
      </w:r>
      <w:r w:rsidR="0033442D">
        <w:t>.</w:t>
      </w:r>
      <w:r>
        <w:rPr>
          <w:rStyle w:val="FootnoteReference"/>
        </w:rPr>
        <w:footnoteReference w:id="3"/>
      </w:r>
      <w:r w:rsidR="00960656">
        <w:t xml:space="preserve"> </w:t>
      </w:r>
      <w:r w:rsidR="006E5CEB">
        <w:t xml:space="preserve">The economy is </w:t>
      </w:r>
      <w:r w:rsidR="00295022">
        <w:t>forecast</w:t>
      </w:r>
      <w:r w:rsidR="006E5CEB">
        <w:t xml:space="preserve"> to grow in 2013 and 2014 at a rate of 8 per cent</w:t>
      </w:r>
      <w:r w:rsidR="00E85D09">
        <w:t xml:space="preserve"> each year</w:t>
      </w:r>
      <w:r w:rsidR="006E5CEB">
        <w:t xml:space="preserve"> due to the combined impacts of the phosphate industry </w:t>
      </w:r>
      <w:r w:rsidR="001750E6">
        <w:t xml:space="preserve">and </w:t>
      </w:r>
      <w:r w:rsidR="006E5CEB">
        <w:t xml:space="preserve">the </w:t>
      </w:r>
      <w:r w:rsidR="00B2323A">
        <w:t>Regional Immigration Processing Centre</w:t>
      </w:r>
      <w:r w:rsidR="006E5CEB">
        <w:t xml:space="preserve">. </w:t>
      </w:r>
      <w:r w:rsidR="001750E6">
        <w:t>D</w:t>
      </w:r>
      <w:r w:rsidR="001750E6" w:rsidRPr="00E92DD0">
        <w:t xml:space="preserve">espite the employment opportunities the </w:t>
      </w:r>
      <w:r w:rsidR="001750E6">
        <w:t>RPC</w:t>
      </w:r>
      <w:r w:rsidR="001750E6" w:rsidRPr="00E92DD0">
        <w:t xml:space="preserve"> provides</w:t>
      </w:r>
      <w:r w:rsidR="001750E6">
        <w:rPr>
          <w:rStyle w:val="FootnoteReference"/>
        </w:rPr>
        <w:footnoteReference w:id="4"/>
      </w:r>
      <w:r w:rsidR="001750E6" w:rsidRPr="00E92DD0">
        <w:t>, unemployment remain</w:t>
      </w:r>
      <w:r w:rsidR="00295022">
        <w:t>s</w:t>
      </w:r>
      <w:r w:rsidR="001750E6" w:rsidRPr="00E92DD0">
        <w:t xml:space="preserve"> high</w:t>
      </w:r>
      <w:r w:rsidR="001750E6">
        <w:t xml:space="preserve"> at 25</w:t>
      </w:r>
      <w:r w:rsidR="002C309B">
        <w:t xml:space="preserve"> </w:t>
      </w:r>
      <w:r w:rsidR="008E1A1D">
        <w:t>per cent</w:t>
      </w:r>
      <w:r w:rsidR="005C0900">
        <w:t>.</w:t>
      </w:r>
      <w:r w:rsidR="001750E6">
        <w:rPr>
          <w:rStyle w:val="FootnoteReference"/>
        </w:rPr>
        <w:footnoteReference w:id="5"/>
      </w:r>
      <w:r w:rsidR="005C0900">
        <w:t xml:space="preserve"> </w:t>
      </w:r>
      <w:r w:rsidR="001750E6">
        <w:t xml:space="preserve">  </w:t>
      </w:r>
    </w:p>
    <w:p w14:paraId="3728E23E" w14:textId="17C9AEE8" w:rsidR="006E5CEB" w:rsidRDefault="00295022" w:rsidP="00067A68">
      <w:pPr>
        <w:pStyle w:val="BodyText"/>
      </w:pPr>
      <w:r>
        <w:t>T</w:t>
      </w:r>
      <w:r w:rsidR="001750E6">
        <w:t>he Government of Nauru</w:t>
      </w:r>
      <w:r>
        <w:t>’s</w:t>
      </w:r>
      <w:r w:rsidR="001750E6">
        <w:t xml:space="preserve"> strong public financ</w:t>
      </w:r>
      <w:r>
        <w:t>ial management has been backed by</w:t>
      </w:r>
      <w:r w:rsidR="001750E6">
        <w:t xml:space="preserve"> reforms to expand its domestic revenue base and reduce its debt</w:t>
      </w:r>
      <w:r w:rsidR="00530CC3">
        <w:t xml:space="preserve"> levels</w:t>
      </w:r>
      <w:r w:rsidR="00FD699B">
        <w:t>. Since 2004</w:t>
      </w:r>
      <w:r w:rsidR="00E85D09">
        <w:t>,</w:t>
      </w:r>
      <w:r w:rsidR="001750E6">
        <w:t xml:space="preserve"> the </w:t>
      </w:r>
      <w:r w:rsidR="00FC7564">
        <w:t>g</w:t>
      </w:r>
      <w:r w:rsidR="001750E6">
        <w:t>overnment has achieved modest budget surpluses and this continued in 2012</w:t>
      </w:r>
      <w:r w:rsidR="005C0900">
        <w:t>–</w:t>
      </w:r>
      <w:r w:rsidR="001750E6">
        <w:t xml:space="preserve">13. </w:t>
      </w:r>
      <w:r w:rsidR="00E85D09">
        <w:t>Before</w:t>
      </w:r>
      <w:r w:rsidR="001750E6">
        <w:t xml:space="preserve"> the </w:t>
      </w:r>
      <w:r w:rsidR="00B2323A">
        <w:t>Regional Immigration Processing Centre</w:t>
      </w:r>
      <w:r w:rsidR="00E85D09">
        <w:t xml:space="preserve"> was established</w:t>
      </w:r>
      <w:r w:rsidR="001750E6">
        <w:t xml:space="preserve">, the </w:t>
      </w:r>
      <w:r w:rsidR="00FC7564">
        <w:t>g</w:t>
      </w:r>
      <w:r w:rsidR="001750E6">
        <w:t xml:space="preserve">overnment’s domestic revenue steadily </w:t>
      </w:r>
      <w:r w:rsidR="00FD699B">
        <w:t>increas</w:t>
      </w:r>
      <w:r w:rsidR="00E85D09">
        <w:t>ed</w:t>
      </w:r>
      <w:r w:rsidR="00FD699B">
        <w:t xml:space="preserve"> from $13.6</w:t>
      </w:r>
      <w:r w:rsidR="000C6ADB">
        <w:t> </w:t>
      </w:r>
      <w:r w:rsidR="00FD699B">
        <w:t>million in 2003</w:t>
      </w:r>
      <w:r w:rsidR="005C0900">
        <w:t>–</w:t>
      </w:r>
      <w:r w:rsidR="00FD699B">
        <w:t>4 to $</w:t>
      </w:r>
      <w:r w:rsidR="00ED3004">
        <w:t>41</w:t>
      </w:r>
      <w:r w:rsidR="001750E6">
        <w:t xml:space="preserve"> m</w:t>
      </w:r>
      <w:r w:rsidR="00FD699B">
        <w:t>illion</w:t>
      </w:r>
      <w:r w:rsidR="001750E6">
        <w:t xml:space="preserve"> in 2011</w:t>
      </w:r>
      <w:r w:rsidR="005C0900">
        <w:t>–</w:t>
      </w:r>
      <w:r w:rsidR="00FD699B">
        <w:t>12</w:t>
      </w:r>
      <w:r w:rsidR="001750E6">
        <w:t>.</w:t>
      </w:r>
      <w:r w:rsidR="00ED3004">
        <w:rPr>
          <w:rStyle w:val="FootnoteReference"/>
        </w:rPr>
        <w:footnoteReference w:id="6"/>
      </w:r>
      <w:r w:rsidR="001750E6">
        <w:t xml:space="preserve"> </w:t>
      </w:r>
      <w:r w:rsidR="00ED3004">
        <w:t>In 2012</w:t>
      </w:r>
      <w:r w:rsidR="005C0900">
        <w:t>–</w:t>
      </w:r>
      <w:r w:rsidR="00ED3004">
        <w:t>13</w:t>
      </w:r>
      <w:r w:rsidR="00BB66B3">
        <w:t>,</w:t>
      </w:r>
      <w:r w:rsidR="00ED3004">
        <w:t xml:space="preserve"> </w:t>
      </w:r>
      <w:r w:rsidR="00BB66B3">
        <w:t>revenue is expected to continue to grow to an estimated $61</w:t>
      </w:r>
      <w:r w:rsidR="00E85D09">
        <w:t> </w:t>
      </w:r>
      <w:r w:rsidR="00BB66B3">
        <w:t>million, up almost 50</w:t>
      </w:r>
      <w:r w:rsidR="00B2323A">
        <w:t> </w:t>
      </w:r>
      <w:r w:rsidR="00BB66B3">
        <w:t>per cent on 2011</w:t>
      </w:r>
      <w:r w:rsidR="005C0900">
        <w:t>–</w:t>
      </w:r>
      <w:r w:rsidR="00BB66B3">
        <w:t xml:space="preserve">12, due to increased customs duties and other revenues arising from the </w:t>
      </w:r>
      <w:r w:rsidR="00B2323A">
        <w:t>Regional Immigration Processing Centre</w:t>
      </w:r>
      <w:r w:rsidR="005C0900">
        <w:t>.</w:t>
      </w:r>
      <w:r w:rsidR="00ED3004">
        <w:rPr>
          <w:rStyle w:val="FootnoteReference"/>
        </w:rPr>
        <w:footnoteReference w:id="7"/>
      </w:r>
      <w:r w:rsidR="005C0900">
        <w:t xml:space="preserve"> </w:t>
      </w:r>
      <w:r w:rsidR="003533AC">
        <w:t>Th</w:t>
      </w:r>
      <w:r w:rsidR="00E85D09">
        <w:t>is</w:t>
      </w:r>
      <w:r w:rsidR="003533AC">
        <w:t xml:space="preserve"> </w:t>
      </w:r>
      <w:r w:rsidR="00BB66B3">
        <w:t>growth should</w:t>
      </w:r>
      <w:r w:rsidR="003533AC">
        <w:t xml:space="preserve"> create</w:t>
      </w:r>
      <w:r w:rsidR="00530CC3">
        <w:t xml:space="preserve"> </w:t>
      </w:r>
      <w:r w:rsidR="003533AC">
        <w:t>opportunit</w:t>
      </w:r>
      <w:r w:rsidR="00BB66B3">
        <w:t>ies</w:t>
      </w:r>
      <w:r w:rsidR="003533AC">
        <w:t xml:space="preserve"> for donors to redirect aid from funding operational costs</w:t>
      </w:r>
      <w:r w:rsidR="00530CC3">
        <w:t xml:space="preserve"> </w:t>
      </w:r>
      <w:r w:rsidR="003533AC">
        <w:t xml:space="preserve">toward capital investment. </w:t>
      </w:r>
    </w:p>
    <w:p w14:paraId="0B436B2D" w14:textId="3BE78C26" w:rsidR="00407148" w:rsidRDefault="00407148" w:rsidP="00067A68">
      <w:pPr>
        <w:pStyle w:val="BodyText"/>
      </w:pPr>
      <w:r w:rsidRPr="00744E66">
        <w:rPr>
          <w:rFonts w:cs="Arial"/>
          <w:szCs w:val="22"/>
        </w:rPr>
        <w:t xml:space="preserve">The Republic of Nauru has been without commercial banking services since the collapse of the </w:t>
      </w:r>
      <w:r>
        <w:rPr>
          <w:rFonts w:cs="Arial"/>
          <w:szCs w:val="22"/>
        </w:rPr>
        <w:t>Bank of Nauru in the early 2000</w:t>
      </w:r>
      <w:r w:rsidRPr="00744E66">
        <w:rPr>
          <w:rFonts w:cs="Arial"/>
          <w:szCs w:val="22"/>
        </w:rPr>
        <w:t>s. The</w:t>
      </w:r>
      <w:r>
        <w:rPr>
          <w:rFonts w:cs="Arial"/>
          <w:szCs w:val="22"/>
        </w:rPr>
        <w:t xml:space="preserve"> absence of a </w:t>
      </w:r>
      <w:r w:rsidRPr="00744E66">
        <w:rPr>
          <w:rFonts w:cs="Arial"/>
          <w:szCs w:val="22"/>
        </w:rPr>
        <w:t xml:space="preserve">formal system </w:t>
      </w:r>
      <w:r>
        <w:rPr>
          <w:rFonts w:cs="Arial"/>
          <w:szCs w:val="22"/>
        </w:rPr>
        <w:t xml:space="preserve">for the community and industry </w:t>
      </w:r>
      <w:r w:rsidRPr="00744E66">
        <w:rPr>
          <w:rFonts w:cs="Arial"/>
          <w:szCs w:val="22"/>
        </w:rPr>
        <w:t>to deposit</w:t>
      </w:r>
      <w:r>
        <w:rPr>
          <w:rFonts w:cs="Arial"/>
          <w:szCs w:val="22"/>
        </w:rPr>
        <w:t xml:space="preserve"> funds</w:t>
      </w:r>
      <w:r w:rsidRPr="00744E66">
        <w:rPr>
          <w:rFonts w:cs="Arial"/>
          <w:szCs w:val="22"/>
        </w:rPr>
        <w:t xml:space="preserve"> or access credit</w:t>
      </w:r>
      <w:r>
        <w:rPr>
          <w:rFonts w:cs="Arial"/>
          <w:szCs w:val="22"/>
        </w:rPr>
        <w:t xml:space="preserve"> is a major</w:t>
      </w:r>
      <w:r w:rsidRPr="00744E66">
        <w:rPr>
          <w:rFonts w:cs="Arial"/>
          <w:szCs w:val="22"/>
        </w:rPr>
        <w:t xml:space="preserve"> im</w:t>
      </w:r>
      <w:r>
        <w:rPr>
          <w:rFonts w:cs="Arial"/>
          <w:szCs w:val="22"/>
        </w:rPr>
        <w:t xml:space="preserve">pediment to </w:t>
      </w:r>
      <w:r w:rsidR="00E85D09">
        <w:rPr>
          <w:rFonts w:cs="Arial"/>
          <w:szCs w:val="22"/>
        </w:rPr>
        <w:t xml:space="preserve">private sector </w:t>
      </w:r>
      <w:r>
        <w:rPr>
          <w:rFonts w:cs="Arial"/>
          <w:szCs w:val="22"/>
        </w:rPr>
        <w:t>development.</w:t>
      </w:r>
    </w:p>
    <w:p w14:paraId="790AACE2" w14:textId="2233E507" w:rsidR="00645C9B" w:rsidRPr="00407148" w:rsidRDefault="00645C9B" w:rsidP="00067A68">
      <w:pPr>
        <w:pStyle w:val="Heading3"/>
      </w:pPr>
      <w:r w:rsidRPr="00407148">
        <w:t xml:space="preserve">Political </w:t>
      </w:r>
      <w:r w:rsidR="005C0900">
        <w:t>c</w:t>
      </w:r>
      <w:r w:rsidRPr="00407148">
        <w:t xml:space="preserve">ontext and </w:t>
      </w:r>
      <w:r w:rsidR="005C0900">
        <w:t>g</w:t>
      </w:r>
      <w:r w:rsidRPr="00407148">
        <w:t>overnance</w:t>
      </w:r>
    </w:p>
    <w:p w14:paraId="0AB4FD31" w14:textId="0DAB3F5C" w:rsidR="001F3F9D" w:rsidRDefault="00647D3F" w:rsidP="00067A68">
      <w:pPr>
        <w:pStyle w:val="BodyText"/>
      </w:pPr>
      <w:r>
        <w:t>Instability</w:t>
      </w:r>
      <w:r w:rsidR="00F035DB">
        <w:t xml:space="preserve"> has been a </w:t>
      </w:r>
      <w:r w:rsidR="001E7DA0">
        <w:t>constant feature</w:t>
      </w:r>
      <w:r w:rsidR="00F035DB">
        <w:t xml:space="preserve"> of the political landscape in Nauru since</w:t>
      </w:r>
      <w:r>
        <w:t xml:space="preserve"> </w:t>
      </w:r>
      <w:r w:rsidR="00E85D09">
        <w:t>I</w:t>
      </w:r>
      <w:r w:rsidR="00F035DB">
        <w:t>ndependence in 1968</w:t>
      </w:r>
      <w:r>
        <w:t xml:space="preserve"> </w:t>
      </w:r>
      <w:r w:rsidR="00054BF2">
        <w:t>with</w:t>
      </w:r>
      <w:r>
        <w:t>, for example, six presidents since 2004</w:t>
      </w:r>
      <w:r w:rsidR="008778BA">
        <w:t xml:space="preserve"> in the</w:t>
      </w:r>
      <w:r w:rsidR="00E85D09">
        <w:t xml:space="preserve"> country’s</w:t>
      </w:r>
      <w:r w:rsidR="008778BA">
        <w:t xml:space="preserve"> 18</w:t>
      </w:r>
      <w:r w:rsidR="00E85D09">
        <w:t>-</w:t>
      </w:r>
      <w:r w:rsidR="008778BA">
        <w:t>member parliament</w:t>
      </w:r>
      <w:r>
        <w:t xml:space="preserve">. </w:t>
      </w:r>
      <w:r w:rsidR="00FF5E5D">
        <w:t xml:space="preserve">Instability </w:t>
      </w:r>
      <w:r w:rsidR="008778BA">
        <w:t xml:space="preserve">is fuelled </w:t>
      </w:r>
      <w:r w:rsidR="00E85D09">
        <w:t xml:space="preserve">in part </w:t>
      </w:r>
      <w:r w:rsidR="008778BA">
        <w:t xml:space="preserve">by the lack of </w:t>
      </w:r>
      <w:r w:rsidR="00054BF2">
        <w:t>formal political parties</w:t>
      </w:r>
      <w:r w:rsidR="008778BA">
        <w:t xml:space="preserve"> and the ability of </w:t>
      </w:r>
      <w:r w:rsidR="00054BF2">
        <w:t>M</w:t>
      </w:r>
      <w:r w:rsidR="00E85D09">
        <w:t>embers of Parliament</w:t>
      </w:r>
      <w:r w:rsidR="001E7DA0">
        <w:t xml:space="preserve"> </w:t>
      </w:r>
      <w:r w:rsidR="008778BA">
        <w:t>to realign</w:t>
      </w:r>
      <w:r w:rsidR="00615C69">
        <w:t xml:space="preserve"> with</w:t>
      </w:r>
      <w:r w:rsidR="00E85D09">
        <w:t xml:space="preserve"> the</w:t>
      </w:r>
      <w:r w:rsidR="00615C69">
        <w:t xml:space="preserve"> </w:t>
      </w:r>
      <w:r w:rsidR="008778BA">
        <w:t xml:space="preserve">alternative side </w:t>
      </w:r>
      <w:r w:rsidR="00615C69">
        <w:t>of political debate</w:t>
      </w:r>
      <w:r w:rsidR="008778BA">
        <w:t>. I</w:t>
      </w:r>
      <w:r w:rsidR="00615C69">
        <w:t>n 2012</w:t>
      </w:r>
      <w:r w:rsidR="008778BA">
        <w:t>,</w:t>
      </w:r>
      <w:r w:rsidR="00615C69">
        <w:t xml:space="preserve"> legislation was passed creating a new 19</w:t>
      </w:r>
      <w:r w:rsidR="00615C69" w:rsidRPr="00407148">
        <w:rPr>
          <w:vertAlign w:val="superscript"/>
        </w:rPr>
        <w:t>th</w:t>
      </w:r>
      <w:r w:rsidR="00615C69">
        <w:t xml:space="preserve"> seat in </w:t>
      </w:r>
      <w:r w:rsidR="000C6ADB">
        <w:t>P</w:t>
      </w:r>
      <w:r w:rsidR="00615C69">
        <w:t xml:space="preserve">arliament in an effort to avoid </w:t>
      </w:r>
      <w:r w:rsidR="00054BF2">
        <w:t>hung parliaments</w:t>
      </w:r>
      <w:r w:rsidR="00615C69">
        <w:t>. Subsequent elections held in June 2013 resulted in a new government holding a 14</w:t>
      </w:r>
      <w:r w:rsidR="005C0900">
        <w:t xml:space="preserve"> to</w:t>
      </w:r>
      <w:r w:rsidR="00FF5E5D">
        <w:t xml:space="preserve"> </w:t>
      </w:r>
      <w:r w:rsidR="00615C69">
        <w:t>5 seat majority.</w:t>
      </w:r>
    </w:p>
    <w:p w14:paraId="5C61E48A" w14:textId="5696059E" w:rsidR="001F3F9D" w:rsidRDefault="001F3F9D" w:rsidP="00067A68">
      <w:pPr>
        <w:pStyle w:val="BodyText"/>
      </w:pPr>
      <w:r>
        <w:t xml:space="preserve">Despite political </w:t>
      </w:r>
      <w:r w:rsidR="008778BA">
        <w:t>uncertainty</w:t>
      </w:r>
      <w:r>
        <w:t>, there has been broad bipartisan support for Nauru’s develop</w:t>
      </w:r>
      <w:r w:rsidR="00E85D09">
        <w:t>ment</w:t>
      </w:r>
      <w:r>
        <w:t xml:space="preserve"> planning</w:t>
      </w:r>
      <w:r w:rsidR="00C51F72">
        <w:t>,</w:t>
      </w:r>
      <w:r>
        <w:t xml:space="preserve"> as outlined in </w:t>
      </w:r>
      <w:r w:rsidR="00E85D09">
        <w:t xml:space="preserve">its </w:t>
      </w:r>
      <w:r>
        <w:t xml:space="preserve">National Sustainable Development Strategy </w:t>
      </w:r>
      <w:r w:rsidR="00E360F3">
        <w:t xml:space="preserve">2005–25 </w:t>
      </w:r>
      <w:r>
        <w:t xml:space="preserve">(NSDS). This has </w:t>
      </w:r>
      <w:r w:rsidR="00C51F72">
        <w:t xml:space="preserve">helped </w:t>
      </w:r>
      <w:r>
        <w:t>minimis</w:t>
      </w:r>
      <w:r w:rsidR="00C51F72">
        <w:t>e</w:t>
      </w:r>
      <w:r>
        <w:t xml:space="preserve"> the potential impact on development outcomes that can result from </w:t>
      </w:r>
      <w:r>
        <w:lastRenderedPageBreak/>
        <w:t xml:space="preserve">political </w:t>
      </w:r>
      <w:r w:rsidR="008778BA">
        <w:t>instability</w:t>
      </w:r>
      <w:r>
        <w:t>. The end result has been steady progress toward an ambitious and credible reform agenda since 2004</w:t>
      </w:r>
      <w:r w:rsidR="00C31BD8">
        <w:t>,</w:t>
      </w:r>
      <w:r>
        <w:t xml:space="preserve"> focusing on improved governance standards and better services for the community</w:t>
      </w:r>
      <w:r w:rsidR="005C0900">
        <w:t xml:space="preserve">. </w:t>
      </w:r>
      <w:r w:rsidR="00060125">
        <w:t xml:space="preserve">Despite this steady progress, </w:t>
      </w:r>
      <w:r w:rsidR="00B333AC">
        <w:t xml:space="preserve">there </w:t>
      </w:r>
      <w:r w:rsidR="00C31BD8">
        <w:t xml:space="preserve">is </w:t>
      </w:r>
      <w:r w:rsidR="00B333AC">
        <w:t xml:space="preserve">considerable scope </w:t>
      </w:r>
      <w:r w:rsidR="00C31BD8">
        <w:t>to</w:t>
      </w:r>
      <w:r w:rsidR="00B333AC">
        <w:t xml:space="preserve"> improve governance standards</w:t>
      </w:r>
      <w:r w:rsidR="00060125">
        <w:t xml:space="preserve"> in the public sector</w:t>
      </w:r>
      <w:r w:rsidR="008778BA">
        <w:t>.</w:t>
      </w:r>
      <w:r w:rsidR="00054BF2">
        <w:t xml:space="preserve"> </w:t>
      </w:r>
      <w:r w:rsidR="00D950E1">
        <w:t xml:space="preserve">Given </w:t>
      </w:r>
      <w:r w:rsidR="00C51F72">
        <w:t>its</w:t>
      </w:r>
      <w:r w:rsidR="00054BF2">
        <w:t xml:space="preserve"> capacity </w:t>
      </w:r>
      <w:r w:rsidR="00D950E1">
        <w:t>constraints,</w:t>
      </w:r>
      <w:r w:rsidR="00C51F72">
        <w:t xml:space="preserve"> however,</w:t>
      </w:r>
      <w:r w:rsidR="00054BF2">
        <w:t xml:space="preserve"> Nauru relies heavily on expatriate personnel to fill many key technical and leadership roles in the public sector.</w:t>
      </w:r>
    </w:p>
    <w:p w14:paraId="2EB810C7" w14:textId="5462625A" w:rsidR="00645C9B" w:rsidRPr="00407148" w:rsidRDefault="00544AC5" w:rsidP="00BD0809">
      <w:pPr>
        <w:pStyle w:val="Heading3"/>
      </w:pPr>
      <w:r w:rsidRPr="00544AC5">
        <w:t xml:space="preserve">Social </w:t>
      </w:r>
      <w:r w:rsidR="005C0900">
        <w:t>i</w:t>
      </w:r>
      <w:r>
        <w:t>ndicators</w:t>
      </w:r>
    </w:p>
    <w:p w14:paraId="39B56559" w14:textId="0B75D482" w:rsidR="00544AC5" w:rsidRDefault="00544AC5" w:rsidP="00067A68">
      <w:pPr>
        <w:pStyle w:val="BodyText"/>
      </w:pPr>
      <w:r w:rsidRPr="00E92DD0">
        <w:t>With donor contributions making up a</w:t>
      </w:r>
      <w:r>
        <w:t xml:space="preserve"> significant proportion of</w:t>
      </w:r>
      <w:r w:rsidRPr="00E92DD0">
        <w:t xml:space="preserve"> the national budget</w:t>
      </w:r>
      <w:r w:rsidRPr="00062561">
        <w:rPr>
          <w:vertAlign w:val="superscript"/>
        </w:rPr>
        <w:footnoteReference w:id="8"/>
      </w:r>
      <w:r w:rsidRPr="00E92DD0">
        <w:t xml:space="preserve">, </w:t>
      </w:r>
      <w:r>
        <w:t xml:space="preserve">the Government of </w:t>
      </w:r>
      <w:r w:rsidRPr="00E92DD0">
        <w:t xml:space="preserve">Nauru relies on donor support to maintain basic services. </w:t>
      </w:r>
      <w:r>
        <w:t xml:space="preserve">There is some potential for this to change, at least in the short term, if the </w:t>
      </w:r>
      <w:r w:rsidR="00FC7564">
        <w:t>g</w:t>
      </w:r>
      <w:r>
        <w:t xml:space="preserve">overnment’s revenue base continues to increase. </w:t>
      </w:r>
      <w:r w:rsidR="00142A29" w:rsidRPr="00E92DD0">
        <w:t xml:space="preserve">Health and education standards remain poor </w:t>
      </w:r>
      <w:r>
        <w:t>although some progress has been made in improving infant and maternal mortality rates and in ensuring equitable access to education services, the latter being listed as on</w:t>
      </w:r>
      <w:r w:rsidR="00C51F72">
        <w:t xml:space="preserve"> </w:t>
      </w:r>
      <w:r>
        <w:t xml:space="preserve">track </w:t>
      </w:r>
      <w:r w:rsidRPr="00D055EB">
        <w:t>in the 2012 M</w:t>
      </w:r>
      <w:r w:rsidR="000C6ADB" w:rsidRPr="00D055EB">
        <w:t>DG</w:t>
      </w:r>
      <w:r w:rsidRPr="00D055EB">
        <w:t xml:space="preserve"> </w:t>
      </w:r>
      <w:r w:rsidR="009446DE" w:rsidRPr="00D055EB">
        <w:t>t</w:t>
      </w:r>
      <w:r w:rsidRPr="00D055EB">
        <w:t>racking report</w:t>
      </w:r>
      <w:r w:rsidR="00063FF4" w:rsidRPr="00D055EB">
        <w:t xml:space="preserve"> for the </w:t>
      </w:r>
      <w:r w:rsidR="00FF5E5D" w:rsidRPr="00D055EB">
        <w:t>P</w:t>
      </w:r>
      <w:r w:rsidR="00063FF4" w:rsidRPr="00D055EB">
        <w:t>acific, produced by the Pacific Islands Forum Secretariat</w:t>
      </w:r>
      <w:r w:rsidR="005C0900">
        <w:t xml:space="preserve">. </w:t>
      </w:r>
    </w:p>
    <w:p w14:paraId="0281998C" w14:textId="59F1FAD4" w:rsidR="003654DA" w:rsidRDefault="00C51F72" w:rsidP="00067A68">
      <w:pPr>
        <w:pStyle w:val="BodyText"/>
      </w:pPr>
      <w:r>
        <w:t>In 2012</w:t>
      </w:r>
      <w:r w:rsidR="00D055EB">
        <w:t>,</w:t>
      </w:r>
      <w:r>
        <w:t xml:space="preserve"> Naur</w:t>
      </w:r>
      <w:r w:rsidR="00EC029D">
        <w:t>u</w:t>
      </w:r>
      <w:r>
        <w:t xml:space="preserve"> had</w:t>
      </w:r>
      <w:r w:rsidR="003654DA">
        <w:t xml:space="preserve"> nine schools</w:t>
      </w:r>
      <w:r>
        <w:t xml:space="preserve"> and</w:t>
      </w:r>
      <w:r w:rsidR="003654DA">
        <w:t xml:space="preserve"> a student population of only 2</w:t>
      </w:r>
      <w:r w:rsidR="006F573F">
        <w:t>,</w:t>
      </w:r>
      <w:r w:rsidR="003654DA">
        <w:t>757</w:t>
      </w:r>
      <w:r w:rsidR="009446DE">
        <w:t>.</w:t>
      </w:r>
      <w:r w:rsidR="003654DA">
        <w:rPr>
          <w:rStyle w:val="FootnoteReference"/>
        </w:rPr>
        <w:footnoteReference w:id="9"/>
      </w:r>
      <w:r w:rsidR="003654DA">
        <w:t xml:space="preserve"> A central hospital services the entire community’s healthcare needs and one central utilities facility provides all of the island</w:t>
      </w:r>
      <w:r>
        <w:t>’</w:t>
      </w:r>
      <w:r w:rsidR="003654DA">
        <w:t>s energy and desalinated water supplies.</w:t>
      </w:r>
    </w:p>
    <w:p w14:paraId="654D9EC7" w14:textId="33308C0E" w:rsidR="007645E3" w:rsidRDefault="00142A29" w:rsidP="00067A68">
      <w:pPr>
        <w:pStyle w:val="BodyText"/>
      </w:pPr>
      <w:r w:rsidRPr="00E92DD0">
        <w:t xml:space="preserve">While there is no evidence of </w:t>
      </w:r>
      <w:r w:rsidR="00BB6B12">
        <w:t>extreme</w:t>
      </w:r>
      <w:r w:rsidRPr="00E92DD0">
        <w:t xml:space="preserve"> poverty in Nauru</w:t>
      </w:r>
      <w:r w:rsidR="00F83A71">
        <w:t>,</w:t>
      </w:r>
      <w:r w:rsidR="00F83A71" w:rsidRPr="00F83A71">
        <w:t xml:space="preserve"> </w:t>
      </w:r>
      <w:r w:rsidR="00F83A71">
        <w:t>most people live modest lifestyles by developed country standards</w:t>
      </w:r>
      <w:r w:rsidR="00DA3F8B">
        <w:t xml:space="preserve"> </w:t>
      </w:r>
      <w:r w:rsidR="000410B9">
        <w:t>(</w:t>
      </w:r>
      <w:r w:rsidR="00C51F72">
        <w:t>gross domestic product</w:t>
      </w:r>
      <w:r w:rsidRPr="00E92DD0">
        <w:t xml:space="preserve"> per capita </w:t>
      </w:r>
      <w:r w:rsidR="000410B9">
        <w:t>is</w:t>
      </w:r>
      <w:r w:rsidRPr="00E92DD0">
        <w:t xml:space="preserve"> a</w:t>
      </w:r>
      <w:r w:rsidR="005567D7">
        <w:t xml:space="preserve">pproximately </w:t>
      </w:r>
      <w:r w:rsidRPr="00E92DD0">
        <w:t>$7</w:t>
      </w:r>
      <w:r w:rsidR="006F573F">
        <w:t>,</w:t>
      </w:r>
      <w:r w:rsidRPr="00E92DD0">
        <w:t>000</w:t>
      </w:r>
      <w:r w:rsidR="000C6ADB">
        <w:t> </w:t>
      </w:r>
      <w:r w:rsidRPr="00E92DD0">
        <w:t xml:space="preserve">per </w:t>
      </w:r>
      <w:r w:rsidR="00C51F72">
        <w:t>year</w:t>
      </w:r>
      <w:r w:rsidRPr="00062561">
        <w:rPr>
          <w:vertAlign w:val="superscript"/>
        </w:rPr>
        <w:footnoteReference w:id="10"/>
      </w:r>
      <w:r w:rsidR="000410B9">
        <w:t>)</w:t>
      </w:r>
      <w:r w:rsidRPr="00E92DD0">
        <w:t xml:space="preserve">. </w:t>
      </w:r>
      <w:r w:rsidR="003654DA" w:rsidRPr="00E92DD0">
        <w:t>There are no banking services on</w:t>
      </w:r>
      <w:r w:rsidR="00C51F72">
        <w:t xml:space="preserve"> the</w:t>
      </w:r>
      <w:r w:rsidR="003654DA" w:rsidRPr="00E92DD0">
        <w:t xml:space="preserve"> island</w:t>
      </w:r>
      <w:r w:rsidR="00C51F72">
        <w:t>, which means there is no</w:t>
      </w:r>
      <w:r w:rsidR="003654DA">
        <w:t xml:space="preserve"> access to financial services that might support business growth or private sector activity. The</w:t>
      </w:r>
      <w:r w:rsidR="003654DA" w:rsidRPr="00E92DD0">
        <w:t xml:space="preserve"> community relies entirely on costly imported goods</w:t>
      </w:r>
      <w:r w:rsidR="003654DA">
        <w:t xml:space="preserve"> as local food production is limited and efforts to rehabilitate land for gardens have been slow to produce results.</w:t>
      </w:r>
    </w:p>
    <w:p w14:paraId="3948641F" w14:textId="0DAE0DD2" w:rsidR="00544AC5" w:rsidRDefault="00142A29" w:rsidP="00067A68">
      <w:pPr>
        <w:pStyle w:val="BodyText"/>
      </w:pPr>
      <w:r w:rsidRPr="00E92DD0">
        <w:t xml:space="preserve">Progress toward the </w:t>
      </w:r>
      <w:r w:rsidR="000410B9">
        <w:t>M</w:t>
      </w:r>
      <w:r w:rsidR="000C6ADB">
        <w:t>DGs</w:t>
      </w:r>
      <w:r w:rsidR="000410B9">
        <w:t xml:space="preserve"> has been</w:t>
      </w:r>
      <w:r w:rsidRPr="00E92DD0">
        <w:t xml:space="preserve"> mixed with environmental sustainability</w:t>
      </w:r>
      <w:r w:rsidR="00A426F2">
        <w:t xml:space="preserve"> and eradicating extreme poverty</w:t>
      </w:r>
      <w:r w:rsidR="00BB6B12">
        <w:t xml:space="preserve"> and hunger</w:t>
      </w:r>
      <w:r w:rsidR="003654DA">
        <w:t xml:space="preserve"> listed as off</w:t>
      </w:r>
      <w:r w:rsidR="00C31BD8">
        <w:t xml:space="preserve"> </w:t>
      </w:r>
      <w:r w:rsidR="003654DA">
        <w:t>track in the</w:t>
      </w:r>
      <w:r w:rsidR="00C31BD8">
        <w:t xml:space="preserve"> 2012</w:t>
      </w:r>
      <w:r w:rsidR="000C6ADB">
        <w:t> </w:t>
      </w:r>
      <w:r w:rsidR="00BB6B12">
        <w:t xml:space="preserve">MDG </w:t>
      </w:r>
      <w:r w:rsidR="009446DE">
        <w:t>t</w:t>
      </w:r>
      <w:r w:rsidR="00BB6B12">
        <w:t xml:space="preserve">racking </w:t>
      </w:r>
      <w:r w:rsidR="009446DE">
        <w:t>r</w:t>
      </w:r>
      <w:r w:rsidR="00BB6B12">
        <w:t xml:space="preserve">eport. </w:t>
      </w:r>
      <w:r w:rsidR="00DA3F8B">
        <w:t>Despite one in four Nauruan’s having incomes below the basic needs poverty line</w:t>
      </w:r>
      <w:r w:rsidR="00DA3F8B">
        <w:rPr>
          <w:rStyle w:val="FootnoteReference"/>
        </w:rPr>
        <w:footnoteReference w:id="11"/>
      </w:r>
      <w:r w:rsidR="00DA3F8B">
        <w:t xml:space="preserve"> t</w:t>
      </w:r>
      <w:r w:rsidR="00BB6B12">
        <w:t xml:space="preserve">his </w:t>
      </w:r>
      <w:r w:rsidR="00DA3F8B">
        <w:t xml:space="preserve">rating possibly </w:t>
      </w:r>
      <w:r w:rsidR="00BB6B12">
        <w:t>reflects lack of reliable data</w:t>
      </w:r>
      <w:r w:rsidR="00DA3F8B">
        <w:t xml:space="preserve"> </w:t>
      </w:r>
      <w:r w:rsidR="00F83A71">
        <w:t xml:space="preserve">on relevant indicators (poverty gap, productivity and employment for vulnerable groups) </w:t>
      </w:r>
      <w:r w:rsidR="00DA3F8B">
        <w:t xml:space="preserve">given Nauru’s comparatively high (by developing country standards) per capita </w:t>
      </w:r>
      <w:r w:rsidR="00C31BD8">
        <w:t>gross domestic product</w:t>
      </w:r>
      <w:r w:rsidR="009446DE">
        <w:t>.</w:t>
      </w:r>
      <w:r w:rsidR="00DA3F8B">
        <w:rPr>
          <w:rStyle w:val="FootnoteReference"/>
        </w:rPr>
        <w:footnoteReference w:id="12"/>
      </w:r>
      <w:r w:rsidR="00BB6B12">
        <w:t xml:space="preserve"> </w:t>
      </w:r>
    </w:p>
    <w:p w14:paraId="6954EA9B" w14:textId="77777777" w:rsidR="00BD0809" w:rsidRDefault="00BD0809" w:rsidP="00067A68">
      <w:pPr>
        <w:pStyle w:val="BodyText"/>
      </w:pPr>
    </w:p>
    <w:tbl>
      <w:tblPr>
        <w:tblStyle w:val="TableGrid"/>
        <w:tblW w:w="5000" w:type="pct"/>
        <w:tblInd w:w="170" w:type="dxa"/>
        <w:tblLook w:val="04A0" w:firstRow="1" w:lastRow="0" w:firstColumn="1" w:lastColumn="0" w:noHBand="0" w:noVBand="1"/>
      </w:tblPr>
      <w:tblGrid>
        <w:gridCol w:w="1068"/>
        <w:gridCol w:w="1069"/>
        <w:gridCol w:w="1069"/>
        <w:gridCol w:w="1069"/>
        <w:gridCol w:w="1068"/>
        <w:gridCol w:w="1069"/>
        <w:gridCol w:w="1069"/>
        <w:gridCol w:w="1069"/>
      </w:tblGrid>
      <w:tr w:rsidR="00933D6E" w14:paraId="67E28C1D" w14:textId="77777777" w:rsidTr="00BD0809">
        <w:tc>
          <w:tcPr>
            <w:tcW w:w="1061" w:type="dxa"/>
            <w:shd w:val="clear" w:color="auto" w:fill="FF0000"/>
          </w:tcPr>
          <w:p w14:paraId="21FE5F8C" w14:textId="448C4457" w:rsidR="00933D6E" w:rsidRPr="00933D6E" w:rsidRDefault="00933D6E" w:rsidP="00067A68">
            <w:pPr>
              <w:pStyle w:val="BodyText"/>
              <w:rPr>
                <w:sz w:val="16"/>
                <w:szCs w:val="16"/>
              </w:rPr>
            </w:pPr>
            <w:r w:rsidRPr="00933D6E">
              <w:rPr>
                <w:sz w:val="16"/>
                <w:szCs w:val="16"/>
              </w:rPr>
              <w:t>Off track</w:t>
            </w:r>
          </w:p>
        </w:tc>
        <w:tc>
          <w:tcPr>
            <w:tcW w:w="1062" w:type="dxa"/>
            <w:shd w:val="clear" w:color="auto" w:fill="92D050"/>
          </w:tcPr>
          <w:p w14:paraId="36A43CCD" w14:textId="3ACEF371" w:rsidR="00933D6E" w:rsidRPr="00933D6E" w:rsidRDefault="00933D6E" w:rsidP="00067A68">
            <w:pPr>
              <w:pStyle w:val="BodyText"/>
              <w:rPr>
                <w:sz w:val="16"/>
                <w:szCs w:val="16"/>
              </w:rPr>
            </w:pPr>
            <w:r w:rsidRPr="00933D6E">
              <w:rPr>
                <w:sz w:val="16"/>
                <w:szCs w:val="16"/>
              </w:rPr>
              <w:t>On t</w:t>
            </w:r>
            <w:r w:rsidRPr="00933D6E">
              <w:rPr>
                <w:sz w:val="16"/>
                <w:szCs w:val="16"/>
                <w:shd w:val="clear" w:color="auto" w:fill="92D050"/>
              </w:rPr>
              <w:t>r</w:t>
            </w:r>
            <w:r w:rsidRPr="00933D6E">
              <w:rPr>
                <w:sz w:val="16"/>
                <w:szCs w:val="16"/>
              </w:rPr>
              <w:t>ack</w:t>
            </w:r>
          </w:p>
        </w:tc>
        <w:tc>
          <w:tcPr>
            <w:tcW w:w="1062" w:type="dxa"/>
            <w:shd w:val="clear" w:color="auto" w:fill="FFFF00"/>
          </w:tcPr>
          <w:p w14:paraId="55BD6521" w14:textId="3060AD78" w:rsidR="00933D6E" w:rsidRPr="00933D6E" w:rsidRDefault="00933D6E" w:rsidP="00067A68">
            <w:pPr>
              <w:pStyle w:val="BodyText"/>
              <w:rPr>
                <w:sz w:val="16"/>
                <w:szCs w:val="16"/>
              </w:rPr>
            </w:pPr>
            <w:r w:rsidRPr="00933D6E">
              <w:rPr>
                <w:sz w:val="16"/>
                <w:szCs w:val="16"/>
              </w:rPr>
              <w:t>Mixed</w:t>
            </w:r>
          </w:p>
        </w:tc>
        <w:tc>
          <w:tcPr>
            <w:tcW w:w="1062" w:type="dxa"/>
            <w:shd w:val="clear" w:color="auto" w:fill="FFFF00"/>
          </w:tcPr>
          <w:p w14:paraId="5DDD88F7" w14:textId="22D3D82B" w:rsidR="00933D6E" w:rsidRPr="00933D6E" w:rsidRDefault="00933D6E" w:rsidP="00067A68">
            <w:pPr>
              <w:pStyle w:val="BodyText"/>
              <w:rPr>
                <w:sz w:val="16"/>
                <w:szCs w:val="16"/>
              </w:rPr>
            </w:pPr>
            <w:r w:rsidRPr="00933D6E">
              <w:rPr>
                <w:sz w:val="16"/>
                <w:szCs w:val="16"/>
              </w:rPr>
              <w:t>Mixed</w:t>
            </w:r>
          </w:p>
        </w:tc>
        <w:tc>
          <w:tcPr>
            <w:tcW w:w="1061" w:type="dxa"/>
            <w:shd w:val="clear" w:color="auto" w:fill="FFFF00"/>
          </w:tcPr>
          <w:p w14:paraId="16DC4DBD" w14:textId="07EBA61F" w:rsidR="00933D6E" w:rsidRPr="00933D6E" w:rsidRDefault="00933D6E" w:rsidP="00067A68">
            <w:pPr>
              <w:pStyle w:val="BodyText"/>
              <w:rPr>
                <w:sz w:val="16"/>
                <w:szCs w:val="16"/>
              </w:rPr>
            </w:pPr>
            <w:r w:rsidRPr="00933D6E">
              <w:rPr>
                <w:sz w:val="16"/>
                <w:szCs w:val="16"/>
              </w:rPr>
              <w:t>Mixed</w:t>
            </w:r>
          </w:p>
        </w:tc>
        <w:tc>
          <w:tcPr>
            <w:tcW w:w="1062" w:type="dxa"/>
            <w:shd w:val="clear" w:color="auto" w:fill="92D050"/>
          </w:tcPr>
          <w:p w14:paraId="1C9F159E" w14:textId="76509859" w:rsidR="00933D6E" w:rsidRPr="00933D6E" w:rsidRDefault="00933D6E" w:rsidP="00067A68">
            <w:pPr>
              <w:pStyle w:val="BodyText"/>
              <w:rPr>
                <w:sz w:val="16"/>
                <w:szCs w:val="16"/>
              </w:rPr>
            </w:pPr>
            <w:r w:rsidRPr="00933D6E">
              <w:rPr>
                <w:sz w:val="16"/>
                <w:szCs w:val="16"/>
              </w:rPr>
              <w:t>On track</w:t>
            </w:r>
          </w:p>
        </w:tc>
        <w:tc>
          <w:tcPr>
            <w:tcW w:w="1062" w:type="dxa"/>
            <w:shd w:val="clear" w:color="auto" w:fill="FF0000"/>
          </w:tcPr>
          <w:p w14:paraId="1E0D0C97" w14:textId="0CF18B2B" w:rsidR="00933D6E" w:rsidRPr="00933D6E" w:rsidRDefault="00933D6E" w:rsidP="00067A68">
            <w:pPr>
              <w:pStyle w:val="BodyText"/>
              <w:rPr>
                <w:sz w:val="16"/>
                <w:szCs w:val="16"/>
              </w:rPr>
            </w:pPr>
            <w:r w:rsidRPr="00933D6E">
              <w:rPr>
                <w:sz w:val="16"/>
                <w:szCs w:val="16"/>
              </w:rPr>
              <w:t>Off track</w:t>
            </w:r>
          </w:p>
        </w:tc>
        <w:tc>
          <w:tcPr>
            <w:tcW w:w="1062" w:type="dxa"/>
            <w:shd w:val="clear" w:color="auto" w:fill="D9D9D9" w:themeFill="background1" w:themeFillShade="D9"/>
          </w:tcPr>
          <w:p w14:paraId="75A8CD8D" w14:textId="2974956A" w:rsidR="00933D6E" w:rsidRPr="00933D6E" w:rsidRDefault="00933D6E" w:rsidP="00067A68">
            <w:pPr>
              <w:pStyle w:val="BodyText"/>
              <w:rPr>
                <w:sz w:val="16"/>
                <w:szCs w:val="16"/>
              </w:rPr>
            </w:pPr>
            <w:r w:rsidRPr="00933D6E">
              <w:rPr>
                <w:sz w:val="16"/>
                <w:szCs w:val="16"/>
              </w:rPr>
              <w:t>N/A</w:t>
            </w:r>
          </w:p>
        </w:tc>
      </w:tr>
    </w:tbl>
    <w:p w14:paraId="45FC0FA8" w14:textId="773FFFEF" w:rsidR="000619BE" w:rsidRDefault="00DA4480" w:rsidP="00067A68">
      <w:pPr>
        <w:pStyle w:val="BodyText"/>
      </w:pPr>
      <w:r w:rsidRPr="00DA4480">
        <w:rPr>
          <w:noProof/>
        </w:rPr>
        <w:drawing>
          <wp:inline distT="0" distB="0" distL="0" distR="0" wp14:anchorId="6F95D82F" wp14:editId="4A828ED3">
            <wp:extent cx="5421600" cy="907200"/>
            <wp:effectExtent l="0" t="0" r="0" b="7620"/>
            <wp:docPr id="27" name="Picture 27" descr="http://www.caritas-europa.org/module/images2/BigHeaders929/InternationalCooperation/International_Cooperation_Policies_MDGs_9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itas-europa.org/module/images2/BigHeaders929/InternationalCooperation/International_Cooperation_Policies_MDGs_929.jp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421600" cy="907200"/>
                    </a:xfrm>
                    <a:prstGeom prst="rect">
                      <a:avLst/>
                    </a:prstGeom>
                    <a:noFill/>
                    <a:ln>
                      <a:noFill/>
                    </a:ln>
                    <a:extLst>
                      <a:ext uri="{53640926-AAD7-44D8-BBD7-CCE9431645EC}">
                        <a14:shadowObscured xmlns:a14="http://schemas.microsoft.com/office/drawing/2010/main"/>
                      </a:ext>
                    </a:extLst>
                  </pic:spPr>
                </pic:pic>
              </a:graphicData>
            </a:graphic>
          </wp:inline>
        </w:drawing>
      </w:r>
    </w:p>
    <w:p w14:paraId="74B608D4" w14:textId="44B1FA04" w:rsidR="00497854" w:rsidRPr="00407148" w:rsidRDefault="00497854" w:rsidP="00BD0809">
      <w:pPr>
        <w:pStyle w:val="Heading3"/>
      </w:pPr>
      <w:r w:rsidRPr="00407148">
        <w:t xml:space="preserve">Donor </w:t>
      </w:r>
      <w:r w:rsidR="009446DE">
        <w:t>e</w:t>
      </w:r>
      <w:r w:rsidRPr="00407148">
        <w:t>nvironment</w:t>
      </w:r>
    </w:p>
    <w:p w14:paraId="1C2AFC7A" w14:textId="71C6F0EF" w:rsidR="00406131" w:rsidRDefault="003654DA" w:rsidP="00067A68">
      <w:pPr>
        <w:pStyle w:val="BodyText"/>
      </w:pPr>
      <w:r>
        <w:t>Nauru is one of the smallest of the Pacific microstates with a population of only 10</w:t>
      </w:r>
      <w:r w:rsidR="006F573F">
        <w:t>,</w:t>
      </w:r>
      <w:r>
        <w:t xml:space="preserve">000 people. </w:t>
      </w:r>
      <w:r w:rsidR="00D844BC">
        <w:t>Given</w:t>
      </w:r>
      <w:r w:rsidR="00C31BD8">
        <w:t xml:space="preserve"> </w:t>
      </w:r>
      <w:r>
        <w:t xml:space="preserve">this micro scale, </w:t>
      </w:r>
      <w:r w:rsidR="00D844BC">
        <w:t>modest outcomes can often have significant impact representing major</w:t>
      </w:r>
      <w:r>
        <w:t xml:space="preserve"> achievements. For example, according to reporting from Nauru’s </w:t>
      </w:r>
      <w:r>
        <w:lastRenderedPageBreak/>
        <w:t xml:space="preserve">Department of Education, one Nauruan teacher gained formal qualifications in </w:t>
      </w:r>
      <w:r w:rsidR="009446DE">
        <w:t>s</w:t>
      </w:r>
      <w:r>
        <w:t xml:space="preserve">pecial </w:t>
      </w:r>
      <w:r w:rsidR="009446DE">
        <w:t>n</w:t>
      </w:r>
      <w:r>
        <w:t xml:space="preserve">eeds </w:t>
      </w:r>
      <w:r w:rsidR="009446DE">
        <w:t>e</w:t>
      </w:r>
      <w:r>
        <w:t>ducation</w:t>
      </w:r>
      <w:r w:rsidR="00C31BD8">
        <w:t xml:space="preserve"> in 2012</w:t>
      </w:r>
      <w:r w:rsidR="00FF5E5D">
        <w:t>–</w:t>
      </w:r>
      <w:r w:rsidR="00C31BD8">
        <w:t>13</w:t>
      </w:r>
      <w:r>
        <w:t xml:space="preserve">. This teacher is able to service the education needs of Nauru’s entire special needs student cohort. </w:t>
      </w:r>
      <w:r w:rsidR="00142A29" w:rsidRPr="00E92DD0">
        <w:t>As Nauru’s largest donor</w:t>
      </w:r>
      <w:r w:rsidR="007251E6">
        <w:t>,</w:t>
      </w:r>
      <w:r w:rsidR="00142A29" w:rsidRPr="00E92DD0">
        <w:t xml:space="preserve"> Australia </w:t>
      </w:r>
      <w:r w:rsidR="00031174">
        <w:t xml:space="preserve">plays </w:t>
      </w:r>
      <w:r w:rsidR="00142A29" w:rsidRPr="00E92DD0">
        <w:t xml:space="preserve">a </w:t>
      </w:r>
      <w:r w:rsidR="00D9456B">
        <w:t>major</w:t>
      </w:r>
      <w:r w:rsidR="008E1A1D">
        <w:t xml:space="preserve"> </w:t>
      </w:r>
      <w:r w:rsidR="00142A29" w:rsidRPr="00E92DD0">
        <w:t xml:space="preserve">role in helping </w:t>
      </w:r>
      <w:r w:rsidR="00FF5E5D">
        <w:t>the</w:t>
      </w:r>
      <w:r w:rsidR="00C31BD8">
        <w:t xml:space="preserve"> microstate</w:t>
      </w:r>
      <w:r w:rsidR="00142A29" w:rsidRPr="00E92DD0">
        <w:t xml:space="preserve"> overcome the</w:t>
      </w:r>
      <w:r w:rsidR="00D9456B">
        <w:t xml:space="preserve"> </w:t>
      </w:r>
      <w:r w:rsidR="00142A29" w:rsidRPr="00E92DD0">
        <w:t>challenges it faces</w:t>
      </w:r>
      <w:r w:rsidR="00C31BD8">
        <w:t xml:space="preserve"> </w:t>
      </w:r>
      <w:r w:rsidR="007251E6">
        <w:t>i</w:t>
      </w:r>
      <w:r w:rsidR="00C31BD8">
        <w:t>n realising</w:t>
      </w:r>
      <w:r w:rsidR="00142A29" w:rsidRPr="00E92DD0">
        <w:t xml:space="preserve"> economic </w:t>
      </w:r>
      <w:r w:rsidR="0068166F">
        <w:t xml:space="preserve">stability and </w:t>
      </w:r>
      <w:r w:rsidR="00142A29" w:rsidRPr="00E92DD0">
        <w:t>security.</w:t>
      </w:r>
      <w:r w:rsidR="000619BE">
        <w:t xml:space="preserve"> </w:t>
      </w:r>
      <w:r w:rsidR="00406131">
        <w:t>In th</w:t>
      </w:r>
      <w:r w:rsidR="00C31BD8">
        <w:t>is</w:t>
      </w:r>
      <w:r w:rsidR="00406131">
        <w:t xml:space="preserve"> context, it is important to recognise the issues of scale as they relate to the aid program and statistics</w:t>
      </w:r>
      <w:r w:rsidR="00D9456B">
        <w:t xml:space="preserve"> on</w:t>
      </w:r>
      <w:r w:rsidR="00406131">
        <w:t xml:space="preserve"> achievements. </w:t>
      </w:r>
    </w:p>
    <w:p w14:paraId="08FC8C38" w14:textId="21C72CB1" w:rsidR="00142A29" w:rsidRDefault="00142A29" w:rsidP="00067A68">
      <w:pPr>
        <w:pStyle w:val="BodyText"/>
      </w:pPr>
      <w:r>
        <w:t xml:space="preserve">Nauru also receives significant aid flows from other donors, most notably </w:t>
      </w:r>
      <w:r w:rsidR="00C31BD8">
        <w:t xml:space="preserve">Japan, New Zealand, </w:t>
      </w:r>
      <w:r>
        <w:t xml:space="preserve">Russia, </w:t>
      </w:r>
      <w:r w:rsidR="00C31BD8">
        <w:t>Taiwan</w:t>
      </w:r>
      <w:r>
        <w:t>, A</w:t>
      </w:r>
      <w:r w:rsidR="00C31BD8">
        <w:t>DB</w:t>
      </w:r>
      <w:r>
        <w:t>, European Union,</w:t>
      </w:r>
      <w:r w:rsidR="000C6ADB">
        <w:t xml:space="preserve"> and</w:t>
      </w:r>
      <w:r>
        <w:t xml:space="preserve"> United Nations </w:t>
      </w:r>
      <w:r w:rsidR="003654DA">
        <w:t xml:space="preserve">(UN) </w:t>
      </w:r>
      <w:r>
        <w:t xml:space="preserve">organisations and Pacific </w:t>
      </w:r>
      <w:r w:rsidR="00B429AA">
        <w:t>regional organisations</w:t>
      </w:r>
      <w:r w:rsidR="00D50353">
        <w:t>. Approximately 65 per cent of</w:t>
      </w:r>
      <w:r>
        <w:t xml:space="preserve"> </w:t>
      </w:r>
      <w:r w:rsidR="00031174">
        <w:t>total aid</w:t>
      </w:r>
      <w:r>
        <w:t xml:space="preserve"> </w:t>
      </w:r>
      <w:r w:rsidR="00D50353">
        <w:t xml:space="preserve">is </w:t>
      </w:r>
      <w:r>
        <w:t>provided as budget support</w:t>
      </w:r>
      <w:r w:rsidR="00C31BD8">
        <w:t>.</w:t>
      </w:r>
      <w:r w:rsidR="00D50353">
        <w:rPr>
          <w:rStyle w:val="FootnoteReference"/>
        </w:rPr>
        <w:footnoteReference w:id="13"/>
      </w:r>
      <w:r>
        <w:t xml:space="preserve"> </w:t>
      </w:r>
      <w:r w:rsidR="00C31BD8">
        <w:t xml:space="preserve">This support is </w:t>
      </w:r>
      <w:r>
        <w:t>channelled directly through Government of Nauru financial management systems</w:t>
      </w:r>
      <w:r w:rsidR="008F1717">
        <w:t xml:space="preserve"> and</w:t>
      </w:r>
      <w:r w:rsidR="00FF5E5D">
        <w:t xml:space="preserve"> is</w:t>
      </w:r>
      <w:r w:rsidR="008F1717">
        <w:t xml:space="preserve"> therefore constrained by the capacity of </w:t>
      </w:r>
      <w:r w:rsidR="00066642">
        <w:t xml:space="preserve">the </w:t>
      </w:r>
      <w:r w:rsidR="009446DE">
        <w:t>government</w:t>
      </w:r>
      <w:r w:rsidR="008F1717">
        <w:t xml:space="preserve"> to deliver.</w:t>
      </w:r>
    </w:p>
    <w:p w14:paraId="3FA75C7A" w14:textId="710A540B" w:rsidR="00AE30B4" w:rsidRDefault="00AE30B4" w:rsidP="00067A68">
      <w:pPr>
        <w:pStyle w:val="BodyText"/>
      </w:pPr>
      <w:r>
        <w:t>The Australia</w:t>
      </w:r>
      <w:r w:rsidR="009446DE">
        <w:t xml:space="preserve"> – </w:t>
      </w:r>
      <w:r>
        <w:t>Nauru Partnership for Development 2009</w:t>
      </w:r>
      <w:r w:rsidR="009446DE">
        <w:t>–</w:t>
      </w:r>
      <w:r>
        <w:t>2015</w:t>
      </w:r>
      <w:r w:rsidR="00FF5E5D">
        <w:t xml:space="preserve"> </w:t>
      </w:r>
      <w:r>
        <w:t>aims to advance Nauru’s development vision as articulated in its NSDS and make</w:t>
      </w:r>
      <w:r w:rsidR="000C6ADB">
        <w:t>s</w:t>
      </w:r>
      <w:r>
        <w:t xml:space="preserve"> progress toward the M</w:t>
      </w:r>
      <w:r w:rsidR="000C6ADB">
        <w:t>DGs</w:t>
      </w:r>
      <w:r>
        <w:t xml:space="preserve"> through support for: </w:t>
      </w:r>
    </w:p>
    <w:p w14:paraId="12939CA0" w14:textId="28752B16" w:rsidR="00AE30B4" w:rsidRDefault="00AE30B4" w:rsidP="00067A68">
      <w:pPr>
        <w:pStyle w:val="BoxListBullet"/>
      </w:pPr>
      <w:r>
        <w:t>more efficient and accountable public sector management</w:t>
      </w:r>
    </w:p>
    <w:p w14:paraId="43EC539B" w14:textId="3202A942" w:rsidR="00AE30B4" w:rsidRDefault="00AE30B4" w:rsidP="00067A68">
      <w:pPr>
        <w:pStyle w:val="BoxListBullet"/>
      </w:pPr>
      <w:r>
        <w:t>improved education</w:t>
      </w:r>
    </w:p>
    <w:p w14:paraId="5C5044F6" w14:textId="2E1738F3" w:rsidR="00AE30B4" w:rsidRDefault="00AE30B4" w:rsidP="00067A68">
      <w:pPr>
        <w:pStyle w:val="BoxListBullet"/>
      </w:pPr>
      <w:r>
        <w:t>a cost</w:t>
      </w:r>
      <w:r w:rsidR="0085581C">
        <w:t>-</w:t>
      </w:r>
      <w:r>
        <w:t>effective health system which delivers improved health outcomes</w:t>
      </w:r>
    </w:p>
    <w:p w14:paraId="0E72818A" w14:textId="4BF09513" w:rsidR="00AE30B4" w:rsidRDefault="00AE30B4" w:rsidP="00067A68">
      <w:pPr>
        <w:pStyle w:val="BoxListBullet"/>
      </w:pPr>
      <w:r>
        <w:t>more reliable and cost</w:t>
      </w:r>
      <w:r w:rsidR="0085581C">
        <w:t>-</w:t>
      </w:r>
      <w:r>
        <w:t xml:space="preserve">effective provision of essential infrastructure and services </w:t>
      </w:r>
    </w:p>
    <w:p w14:paraId="59E03B63" w14:textId="77777777" w:rsidR="00AE30B4" w:rsidRPr="00E92DD0" w:rsidRDefault="00AE30B4" w:rsidP="00067A68">
      <w:pPr>
        <w:pStyle w:val="BoxListBullet"/>
      </w:pPr>
      <w:proofErr w:type="gramStart"/>
      <w:r>
        <w:t>increased</w:t>
      </w:r>
      <w:proofErr w:type="gramEnd"/>
      <w:r>
        <w:t xml:space="preserve"> private sector growth.</w:t>
      </w:r>
    </w:p>
    <w:p w14:paraId="7B3D7A0F" w14:textId="2A67F94D" w:rsidR="00583A44" w:rsidRDefault="00583A44" w:rsidP="00067A68">
      <w:pPr>
        <w:pStyle w:val="BodyText"/>
      </w:pPr>
      <w:r>
        <w:t xml:space="preserve">Support for </w:t>
      </w:r>
      <w:r w:rsidR="008F1717">
        <w:t xml:space="preserve">the </w:t>
      </w:r>
      <w:r w:rsidR="00D36EA1">
        <w:t>l</w:t>
      </w:r>
      <w:r>
        <w:t xml:space="preserve">aw and </w:t>
      </w:r>
      <w:r w:rsidR="00D36EA1">
        <w:t>j</w:t>
      </w:r>
      <w:r>
        <w:t>ustice</w:t>
      </w:r>
      <w:r w:rsidR="008F1717">
        <w:t xml:space="preserve"> sector is provided</w:t>
      </w:r>
      <w:r>
        <w:t xml:space="preserve"> principally </w:t>
      </w:r>
      <w:r w:rsidR="008F1717">
        <w:t>by New Zealand</w:t>
      </w:r>
      <w:r w:rsidR="0085581C">
        <w:t>’s</w:t>
      </w:r>
      <w:r w:rsidR="008F1717">
        <w:t xml:space="preserve"> aid program and </w:t>
      </w:r>
      <w:r>
        <w:t>the Australian Federal Police</w:t>
      </w:r>
      <w:r w:rsidR="000C4F50">
        <w:t xml:space="preserve"> (AFP)</w:t>
      </w:r>
      <w:r w:rsidR="008F1717">
        <w:t xml:space="preserve">. While </w:t>
      </w:r>
      <w:r w:rsidR="0085581C">
        <w:t>law and justice</w:t>
      </w:r>
      <w:r>
        <w:t xml:space="preserve"> </w:t>
      </w:r>
      <w:r w:rsidR="000C6ADB">
        <w:t xml:space="preserve">are </w:t>
      </w:r>
      <w:r>
        <w:t xml:space="preserve">not listed as a priority sector under the </w:t>
      </w:r>
      <w:r w:rsidR="00D36EA1">
        <w:t>p</w:t>
      </w:r>
      <w:r>
        <w:t xml:space="preserve">artnership, </w:t>
      </w:r>
      <w:r w:rsidR="008F1717">
        <w:t>it</w:t>
      </w:r>
      <w:r>
        <w:t xml:space="preserve"> is included as an enabling o</w:t>
      </w:r>
      <w:r w:rsidR="00CC7D9A">
        <w:t>utcome area, recognising that an effective law and justice system underpins all aspects of community development.</w:t>
      </w:r>
    </w:p>
    <w:p w14:paraId="1A2EC2FC" w14:textId="0A79A63E" w:rsidR="00D55A7C" w:rsidRDefault="00142A29" w:rsidP="00067A68">
      <w:pPr>
        <w:pStyle w:val="BodyText"/>
      </w:pPr>
      <w:r>
        <w:t>The</w:t>
      </w:r>
      <w:r w:rsidR="0085581C">
        <w:t xml:space="preserve"> size of</w:t>
      </w:r>
      <w:r>
        <w:t xml:space="preserve"> Australia</w:t>
      </w:r>
      <w:r w:rsidR="0085581C">
        <w:t>’s</w:t>
      </w:r>
      <w:r>
        <w:t xml:space="preserve"> aid program has steadily increased under the Partnership </w:t>
      </w:r>
      <w:r w:rsidR="000410B9">
        <w:t>for Development</w:t>
      </w:r>
      <w:r w:rsidR="0085581C">
        <w:t>,</w:t>
      </w:r>
      <w:r w:rsidR="000410B9">
        <w:t xml:space="preserve"> </w:t>
      </w:r>
      <w:r>
        <w:t>from $23.4 million in 2009</w:t>
      </w:r>
      <w:r w:rsidR="00D36EA1">
        <w:t>–</w:t>
      </w:r>
      <w:r>
        <w:t>10 to $31.6 million in 2012</w:t>
      </w:r>
      <w:r w:rsidR="00D36EA1">
        <w:t>–</w:t>
      </w:r>
      <w:r>
        <w:t xml:space="preserve">13. </w:t>
      </w:r>
      <w:r w:rsidR="00031174">
        <w:t>In 2012</w:t>
      </w:r>
      <w:r w:rsidR="00D36EA1">
        <w:t>–</w:t>
      </w:r>
      <w:r w:rsidR="00031174">
        <w:t xml:space="preserve">13, </w:t>
      </w:r>
      <w:r w:rsidR="00FF5E5D">
        <w:t xml:space="preserve">our </w:t>
      </w:r>
      <w:r w:rsidR="00031174">
        <w:t xml:space="preserve">aid </w:t>
      </w:r>
      <w:r>
        <w:t>comprise</w:t>
      </w:r>
      <w:r w:rsidR="00031174">
        <w:t>d</w:t>
      </w:r>
      <w:r>
        <w:t xml:space="preserve"> $23.7 million delivered as bilateral assistance; $5.7 million delivered through regional programs </w:t>
      </w:r>
      <w:r w:rsidR="00D55A7C">
        <w:t>and</w:t>
      </w:r>
      <w:r>
        <w:t xml:space="preserve"> the annual</w:t>
      </w:r>
      <w:r w:rsidR="000C6ADB">
        <w:t xml:space="preserve"> </w:t>
      </w:r>
      <w:r>
        <w:t>NACOS payment</w:t>
      </w:r>
      <w:r>
        <w:rPr>
          <w:rStyle w:val="FootnoteReference"/>
        </w:rPr>
        <w:footnoteReference w:id="14"/>
      </w:r>
      <w:r w:rsidR="00D36EA1">
        <w:t>,</w:t>
      </w:r>
      <w:r>
        <w:t xml:space="preserve"> and $2.2 million through other Australian Government </w:t>
      </w:r>
      <w:r w:rsidR="00D36EA1">
        <w:t>d</w:t>
      </w:r>
      <w:r>
        <w:t xml:space="preserve">epartments, primarily the </w:t>
      </w:r>
      <w:r w:rsidR="0037468E">
        <w:t>AFP</w:t>
      </w:r>
      <w:r>
        <w:t xml:space="preserve"> and A</w:t>
      </w:r>
      <w:r w:rsidR="00CC7D9A">
        <w:t>ustralian Sports Commission</w:t>
      </w:r>
      <w:r>
        <w:t>.</w:t>
      </w:r>
    </w:p>
    <w:p w14:paraId="5B9BE7E8" w14:textId="1744C76D" w:rsidR="00142A29" w:rsidRDefault="00142A29" w:rsidP="00067A68">
      <w:pPr>
        <w:pStyle w:val="BodyText"/>
      </w:pPr>
      <w:r>
        <w:t xml:space="preserve">Australian assistance is provided </w:t>
      </w:r>
      <w:r w:rsidR="0085581C">
        <w:t>through</w:t>
      </w:r>
      <w:r>
        <w:t xml:space="preserve"> targeted budget support and technical assistance. Approximately 80 per cent of </w:t>
      </w:r>
      <w:r w:rsidR="0085581C">
        <w:t xml:space="preserve">our </w:t>
      </w:r>
      <w:r w:rsidR="00031174">
        <w:t xml:space="preserve">bilateral </w:t>
      </w:r>
      <w:r>
        <w:t xml:space="preserve">program is channelled through Government of Nauru </w:t>
      </w:r>
      <w:r w:rsidR="00453EFA">
        <w:t xml:space="preserve">budget processes and </w:t>
      </w:r>
      <w:r>
        <w:t xml:space="preserve">financial management systems with implementation of agreed activities managed by the Government of Nauru (with support from </w:t>
      </w:r>
      <w:r w:rsidR="005375E2">
        <w:t>Australian</w:t>
      </w:r>
      <w:r w:rsidR="00BB269C">
        <w:t>-</w:t>
      </w:r>
      <w:r w:rsidR="005375E2">
        <w:t>funded</w:t>
      </w:r>
      <w:r>
        <w:t xml:space="preserve"> advisors and in-line personnel). </w:t>
      </w:r>
      <w:r w:rsidR="00BB269C">
        <w:t>We provided p</w:t>
      </w:r>
      <w:r w:rsidR="00B57F48">
        <w:t>erformance</w:t>
      </w:r>
      <w:r w:rsidR="00BB269C">
        <w:t>-</w:t>
      </w:r>
      <w:r w:rsidR="00D55A7C">
        <w:t>l</w:t>
      </w:r>
      <w:r w:rsidR="00B57F48">
        <w:t xml:space="preserve">inked </w:t>
      </w:r>
      <w:r w:rsidR="00D55A7C">
        <w:t>a</w:t>
      </w:r>
      <w:r w:rsidR="00B57F48">
        <w:t xml:space="preserve">id payments totalling $1.75 million </w:t>
      </w:r>
      <w:r>
        <w:t xml:space="preserve">as general budget support </w:t>
      </w:r>
      <w:r w:rsidR="00585C08">
        <w:t>(linked to the priorities of the N</w:t>
      </w:r>
      <w:r w:rsidR="00BB269C">
        <w:t>SDS</w:t>
      </w:r>
      <w:r w:rsidR="00585C08">
        <w:t xml:space="preserve">) </w:t>
      </w:r>
      <w:r w:rsidR="00D55A7C">
        <w:t xml:space="preserve">in recognition of the achievement of </w:t>
      </w:r>
      <w:r w:rsidR="00B57F48">
        <w:t>reforms.</w:t>
      </w:r>
    </w:p>
    <w:p w14:paraId="3428505F" w14:textId="130432B3" w:rsidR="003A66D0" w:rsidRDefault="00E46DDD" w:rsidP="00067A68">
      <w:pPr>
        <w:pStyle w:val="BodyText"/>
      </w:pPr>
      <w:r>
        <w:t>I</w:t>
      </w:r>
      <w:r w:rsidR="00634171">
        <w:t>n 2012</w:t>
      </w:r>
      <w:r>
        <w:t xml:space="preserve">, </w:t>
      </w:r>
      <w:r w:rsidR="00BB269C">
        <w:t xml:space="preserve">the Australian </w:t>
      </w:r>
      <w:r w:rsidR="009D4B34">
        <w:t>Government</w:t>
      </w:r>
      <w:r>
        <w:t xml:space="preserve"> established</w:t>
      </w:r>
      <w:r w:rsidR="000C4F50">
        <w:t xml:space="preserve"> </w:t>
      </w:r>
      <w:r w:rsidR="0012724D">
        <w:t xml:space="preserve">the program monitoring and advisory group </w:t>
      </w:r>
      <w:r w:rsidR="00634171">
        <w:t>(P</w:t>
      </w:r>
      <w:r w:rsidR="008A216A">
        <w:t>MAG</w:t>
      </w:r>
      <w:r w:rsidR="00634171">
        <w:t>)</w:t>
      </w:r>
      <w:r>
        <w:t xml:space="preserve"> to provide</w:t>
      </w:r>
      <w:r w:rsidR="00634171">
        <w:t xml:space="preserve"> monitoring and evaluation services for the Nauru program. PMAG reviews of the public sector management and infrastructure initiatives were undertaken between October 2012 and March 2013</w:t>
      </w:r>
      <w:r>
        <w:t xml:space="preserve"> respectively</w:t>
      </w:r>
      <w:r w:rsidR="00634171">
        <w:t>. PMAG</w:t>
      </w:r>
      <w:r w:rsidR="00BB269C">
        <w:t>’s</w:t>
      </w:r>
      <w:r w:rsidR="00634171">
        <w:t xml:space="preserve"> team leader coordinated the involvement of the </w:t>
      </w:r>
      <w:r w:rsidR="00CC7D9A">
        <w:t>ADB</w:t>
      </w:r>
      <w:r w:rsidR="00634171">
        <w:t xml:space="preserve">, </w:t>
      </w:r>
      <w:r w:rsidR="00CC7D9A">
        <w:t>Pacific Financial Technical Assistance Centre (PFTAC)</w:t>
      </w:r>
      <w:r w:rsidR="00634171">
        <w:t xml:space="preserve"> and Pacific Infrastructure Advisory Centre in the reviews. </w:t>
      </w:r>
      <w:r>
        <w:t>T</w:t>
      </w:r>
      <w:r w:rsidR="00634171">
        <w:t xml:space="preserve">he PMAG </w:t>
      </w:r>
      <w:r>
        <w:t>will</w:t>
      </w:r>
      <w:r w:rsidR="00634171">
        <w:t xml:space="preserve"> establish clear monitoring </w:t>
      </w:r>
      <w:r w:rsidR="00634171">
        <w:lastRenderedPageBreak/>
        <w:t xml:space="preserve">frameworks for all </w:t>
      </w:r>
      <w:r w:rsidR="00B90C9A">
        <w:t>p</w:t>
      </w:r>
      <w:r w:rsidR="00634171">
        <w:t xml:space="preserve">artnership initiatives </w:t>
      </w:r>
      <w:r>
        <w:t>and</w:t>
      </w:r>
      <w:r w:rsidR="00634171">
        <w:t xml:space="preserve"> improve outcomes more broadly by informing programming decisions and planning. </w:t>
      </w:r>
      <w:r w:rsidR="00585C08">
        <w:t xml:space="preserve">However, it </w:t>
      </w:r>
      <w:r w:rsidR="00BB269C">
        <w:t xml:space="preserve">is </w:t>
      </w:r>
      <w:r w:rsidR="00585C08">
        <w:t>important to engage Nauru’s broader donor community in the PMAG process if objectives are to be fully realised</w:t>
      </w:r>
      <w:r w:rsidR="0012724D">
        <w:t>.</w:t>
      </w:r>
    </w:p>
    <w:p w14:paraId="7601EDDC" w14:textId="06189EF6" w:rsidR="00180B19" w:rsidRPr="00180B19" w:rsidRDefault="00B66058" w:rsidP="00067A68">
      <w:pPr>
        <w:pStyle w:val="BodyText"/>
      </w:pPr>
      <w:r>
        <w:t xml:space="preserve">DFAT </w:t>
      </w:r>
      <w:r w:rsidR="00634171">
        <w:t xml:space="preserve">also works in cooperation with the ADB in public sector and </w:t>
      </w:r>
      <w:r w:rsidR="007517DC">
        <w:t>state</w:t>
      </w:r>
      <w:r w:rsidR="00BB269C">
        <w:t>-</w:t>
      </w:r>
      <w:r w:rsidR="007517DC">
        <w:t>owned enterprise</w:t>
      </w:r>
      <w:r w:rsidR="00634171">
        <w:t xml:space="preserve"> reform. </w:t>
      </w:r>
      <w:r w:rsidR="00293037">
        <w:t>Aus</w:t>
      </w:r>
      <w:r w:rsidR="007D1771">
        <w:t xml:space="preserve">tralia </w:t>
      </w:r>
      <w:r w:rsidR="00293037">
        <w:t xml:space="preserve">and New Zealand cooperate on a pooled funding arrangement for assistance to the education sector. Under this arrangement, </w:t>
      </w:r>
      <w:r w:rsidR="0047317B">
        <w:t>the department</w:t>
      </w:r>
      <w:r>
        <w:t xml:space="preserve"> </w:t>
      </w:r>
      <w:r w:rsidR="00293037">
        <w:t>oversees and monitors implementation of assistance to the education sector on behalf of both countries.</w:t>
      </w:r>
    </w:p>
    <w:p w14:paraId="5553C449" w14:textId="02939033" w:rsidR="00C877AB" w:rsidRDefault="00C877AB" w:rsidP="00C877AB">
      <w:pPr>
        <w:pStyle w:val="Heading2"/>
      </w:pPr>
      <w:r>
        <w:t>Expenditure</w:t>
      </w:r>
    </w:p>
    <w:p w14:paraId="4725B28A" w14:textId="58E3554F" w:rsidR="00C877AB" w:rsidRDefault="00C877AB" w:rsidP="00C877AB">
      <w:pPr>
        <w:pStyle w:val="Caption"/>
      </w:pPr>
      <w:r>
        <w:t xml:space="preserve">Table </w:t>
      </w:r>
      <w:r w:rsidR="002D03A4">
        <w:fldChar w:fldCharType="begin"/>
      </w:r>
      <w:r w:rsidR="002D03A4">
        <w:instrText xml:space="preserve"> SEQ Table \* ARABIC </w:instrText>
      </w:r>
      <w:r w:rsidR="002D03A4">
        <w:fldChar w:fldCharType="separate"/>
      </w:r>
      <w:r w:rsidR="00CE5AA7">
        <w:rPr>
          <w:noProof/>
        </w:rPr>
        <w:t>1</w:t>
      </w:r>
      <w:r w:rsidR="002D03A4">
        <w:rPr>
          <w:noProof/>
        </w:rPr>
        <w:fldChar w:fldCharType="end"/>
      </w:r>
      <w:proofErr w:type="gramStart"/>
      <w:r>
        <w:t>A</w:t>
      </w:r>
      <w:proofErr w:type="gramEnd"/>
      <w:r>
        <w:t xml:space="preserve"> Expenditure 01 Jan 2012</w:t>
      </w:r>
      <w:r w:rsidR="00D36EA1">
        <w:t>–</w:t>
      </w:r>
      <w:r>
        <w:t xml:space="preserve"> 30 Jun 2013</w:t>
      </w:r>
    </w:p>
    <w:tbl>
      <w:tblPr>
        <w:tblStyle w:val="APPR"/>
        <w:tblW w:w="5000" w:type="pct"/>
        <w:tblLayout w:type="fixed"/>
        <w:tblLook w:val="04A0" w:firstRow="1" w:lastRow="0" w:firstColumn="1" w:lastColumn="0" w:noHBand="0" w:noVBand="1"/>
      </w:tblPr>
      <w:tblGrid>
        <w:gridCol w:w="6108"/>
        <w:gridCol w:w="1011"/>
        <w:gridCol w:w="1487"/>
      </w:tblGrid>
      <w:tr w:rsidR="00C877AB" w14:paraId="456A04D7" w14:textId="77777777" w:rsidTr="00BD0809">
        <w:trPr>
          <w:cnfStyle w:val="100000000000" w:firstRow="1" w:lastRow="0" w:firstColumn="0" w:lastColumn="0" w:oddVBand="0" w:evenVBand="0" w:oddHBand="0" w:evenHBand="0" w:firstRowFirstColumn="0" w:firstRowLastColumn="0" w:lastRowFirstColumn="0" w:lastRowLastColumn="0"/>
        </w:trPr>
        <w:tc>
          <w:tcPr>
            <w:tcW w:w="6585" w:type="dxa"/>
            <w:tcBorders>
              <w:left w:val="nil"/>
              <w:right w:val="nil"/>
            </w:tcBorders>
            <w:hideMark/>
          </w:tcPr>
          <w:p w14:paraId="0C3F34AC" w14:textId="77777777" w:rsidR="00C877AB" w:rsidRPr="00BD0809" w:rsidRDefault="00C877AB" w:rsidP="00BD0809">
            <w:pPr>
              <w:pStyle w:val="TableTextColumnHeading"/>
              <w:rPr>
                <w:b/>
              </w:rPr>
            </w:pPr>
            <w:r w:rsidRPr="00BD0809">
              <w:rPr>
                <w:b/>
              </w:rPr>
              <w:t>Objective</w:t>
            </w:r>
          </w:p>
        </w:tc>
        <w:tc>
          <w:tcPr>
            <w:tcW w:w="1049" w:type="dxa"/>
            <w:tcBorders>
              <w:left w:val="nil"/>
              <w:right w:val="nil"/>
            </w:tcBorders>
            <w:hideMark/>
          </w:tcPr>
          <w:p w14:paraId="6FD46A78" w14:textId="77777777" w:rsidR="00C877AB" w:rsidRPr="00BD0809" w:rsidRDefault="00C877AB" w:rsidP="00BD0809">
            <w:pPr>
              <w:pStyle w:val="TableTextColumnHeading"/>
              <w:rPr>
                <w:b/>
              </w:rPr>
            </w:pPr>
            <w:r w:rsidRPr="00BD0809">
              <w:rPr>
                <w:b/>
              </w:rPr>
              <w:t>A$ million</w:t>
            </w:r>
          </w:p>
        </w:tc>
        <w:tc>
          <w:tcPr>
            <w:tcW w:w="1552" w:type="dxa"/>
            <w:tcBorders>
              <w:left w:val="nil"/>
              <w:right w:val="nil"/>
            </w:tcBorders>
            <w:hideMark/>
          </w:tcPr>
          <w:p w14:paraId="43058271" w14:textId="244C96EF" w:rsidR="00C877AB" w:rsidRPr="00BD0809" w:rsidRDefault="00D36EA1" w:rsidP="00BD0809">
            <w:pPr>
              <w:pStyle w:val="TableTextColumnHeading"/>
              <w:rPr>
                <w:b/>
              </w:rPr>
            </w:pPr>
            <w:r w:rsidRPr="00BD0809">
              <w:rPr>
                <w:b/>
              </w:rPr>
              <w:t>%</w:t>
            </w:r>
            <w:r w:rsidR="00C877AB" w:rsidRPr="00BD0809">
              <w:rPr>
                <w:b/>
              </w:rPr>
              <w:t xml:space="preserve"> of bilateral program</w:t>
            </w:r>
          </w:p>
        </w:tc>
      </w:tr>
      <w:tr w:rsidR="00C877AB" w14:paraId="4DE0466F" w14:textId="77777777" w:rsidTr="00BD0809">
        <w:trPr>
          <w:cnfStyle w:val="100000000000" w:firstRow="1" w:lastRow="0" w:firstColumn="0" w:lastColumn="0" w:oddVBand="0" w:evenVBand="0" w:oddHBand="0" w:evenHBand="0" w:firstRowFirstColumn="0" w:firstRowLastColumn="0" w:lastRowFirstColumn="0" w:lastRowLastColumn="0"/>
        </w:trPr>
        <w:tc>
          <w:tcPr>
            <w:tcW w:w="6585" w:type="dxa"/>
            <w:tcBorders>
              <w:left w:val="nil"/>
              <w:right w:val="nil"/>
            </w:tcBorders>
            <w:hideMark/>
          </w:tcPr>
          <w:p w14:paraId="0F487324" w14:textId="29297C5B" w:rsidR="00C877AB" w:rsidRPr="00BD0809" w:rsidRDefault="00C877AB" w:rsidP="00BD0809">
            <w:pPr>
              <w:pStyle w:val="TableTextEntries"/>
              <w:rPr>
                <w:b w:val="0"/>
              </w:rPr>
            </w:pPr>
            <w:r w:rsidRPr="00BD0809">
              <w:rPr>
                <w:b w:val="0"/>
              </w:rPr>
              <w:t xml:space="preserve">Public </w:t>
            </w:r>
            <w:r w:rsidR="00D36EA1" w:rsidRPr="00BD0809">
              <w:rPr>
                <w:b w:val="0"/>
              </w:rPr>
              <w:t>s</w:t>
            </w:r>
            <w:r w:rsidRPr="00BD0809">
              <w:rPr>
                <w:b w:val="0"/>
              </w:rPr>
              <w:t xml:space="preserve">ector </w:t>
            </w:r>
            <w:r w:rsidR="00D36EA1" w:rsidRPr="00BD0809">
              <w:rPr>
                <w:b w:val="0"/>
              </w:rPr>
              <w:t>r</w:t>
            </w:r>
            <w:r w:rsidRPr="00BD0809">
              <w:rPr>
                <w:b w:val="0"/>
              </w:rPr>
              <w:t>eform</w:t>
            </w:r>
          </w:p>
        </w:tc>
        <w:tc>
          <w:tcPr>
            <w:tcW w:w="1049" w:type="dxa"/>
            <w:tcBorders>
              <w:left w:val="nil"/>
              <w:right w:val="nil"/>
            </w:tcBorders>
            <w:hideMark/>
          </w:tcPr>
          <w:p w14:paraId="6975E70B" w14:textId="379471E5" w:rsidR="00C877AB" w:rsidRPr="00BD0809" w:rsidRDefault="00104855" w:rsidP="00BD0809">
            <w:pPr>
              <w:pStyle w:val="TableTextEntries"/>
              <w:rPr>
                <w:b w:val="0"/>
              </w:rPr>
            </w:pPr>
            <w:r w:rsidRPr="00BD0809">
              <w:rPr>
                <w:b w:val="0"/>
              </w:rPr>
              <w:t>6.4</w:t>
            </w:r>
          </w:p>
        </w:tc>
        <w:tc>
          <w:tcPr>
            <w:tcW w:w="1552" w:type="dxa"/>
            <w:tcBorders>
              <w:left w:val="nil"/>
              <w:right w:val="nil"/>
            </w:tcBorders>
            <w:hideMark/>
          </w:tcPr>
          <w:p w14:paraId="6B2D8F53" w14:textId="54E238EE" w:rsidR="00C877AB" w:rsidRPr="00BD0809" w:rsidRDefault="00104855" w:rsidP="00BD0809">
            <w:pPr>
              <w:pStyle w:val="TableTextEntries"/>
              <w:rPr>
                <w:b w:val="0"/>
              </w:rPr>
            </w:pPr>
            <w:r w:rsidRPr="00BD0809">
              <w:rPr>
                <w:b w:val="0"/>
              </w:rPr>
              <w:t>20</w:t>
            </w:r>
          </w:p>
        </w:tc>
      </w:tr>
      <w:tr w:rsidR="00C877AB" w14:paraId="22269CC3" w14:textId="77777777" w:rsidTr="00BD0809">
        <w:trPr>
          <w:cnfStyle w:val="100000000000" w:firstRow="1" w:lastRow="0" w:firstColumn="0" w:lastColumn="0" w:oddVBand="0" w:evenVBand="0" w:oddHBand="0" w:evenHBand="0" w:firstRowFirstColumn="0" w:firstRowLastColumn="0" w:lastRowFirstColumn="0" w:lastRowLastColumn="0"/>
        </w:trPr>
        <w:tc>
          <w:tcPr>
            <w:tcW w:w="6585" w:type="dxa"/>
            <w:tcBorders>
              <w:left w:val="nil"/>
              <w:right w:val="nil"/>
            </w:tcBorders>
            <w:hideMark/>
          </w:tcPr>
          <w:p w14:paraId="2FFADDBA" w14:textId="05AEDB08" w:rsidR="00C877AB" w:rsidRPr="00BD0809" w:rsidRDefault="00C877AB" w:rsidP="00BD0809">
            <w:pPr>
              <w:pStyle w:val="TableTextEntries"/>
              <w:rPr>
                <w:b w:val="0"/>
              </w:rPr>
            </w:pPr>
            <w:r w:rsidRPr="00BD0809">
              <w:rPr>
                <w:b w:val="0"/>
              </w:rPr>
              <w:t xml:space="preserve">Improved </w:t>
            </w:r>
            <w:r w:rsidR="00D36EA1" w:rsidRPr="00BD0809">
              <w:rPr>
                <w:b w:val="0"/>
              </w:rPr>
              <w:t>e</w:t>
            </w:r>
            <w:r w:rsidRPr="00BD0809">
              <w:rPr>
                <w:b w:val="0"/>
              </w:rPr>
              <w:t>ducation</w:t>
            </w:r>
          </w:p>
        </w:tc>
        <w:tc>
          <w:tcPr>
            <w:tcW w:w="1049" w:type="dxa"/>
            <w:tcBorders>
              <w:left w:val="nil"/>
              <w:right w:val="nil"/>
            </w:tcBorders>
            <w:hideMark/>
          </w:tcPr>
          <w:p w14:paraId="4618F466" w14:textId="201569D8" w:rsidR="00C877AB" w:rsidRPr="00BD0809" w:rsidRDefault="00104855" w:rsidP="00BD0809">
            <w:pPr>
              <w:pStyle w:val="TableTextEntries"/>
              <w:rPr>
                <w:b w:val="0"/>
              </w:rPr>
            </w:pPr>
            <w:r w:rsidRPr="00BD0809">
              <w:rPr>
                <w:b w:val="0"/>
              </w:rPr>
              <w:t>4.8</w:t>
            </w:r>
            <w:r w:rsidR="00C877AB" w:rsidRPr="00BD0809">
              <w:rPr>
                <w:b w:val="0"/>
              </w:rPr>
              <w:t xml:space="preserve"> </w:t>
            </w:r>
          </w:p>
        </w:tc>
        <w:tc>
          <w:tcPr>
            <w:tcW w:w="1552" w:type="dxa"/>
            <w:tcBorders>
              <w:left w:val="nil"/>
              <w:right w:val="nil"/>
            </w:tcBorders>
            <w:hideMark/>
          </w:tcPr>
          <w:p w14:paraId="4664C000" w14:textId="708A5630" w:rsidR="00C877AB" w:rsidRPr="00BD0809" w:rsidRDefault="00104855" w:rsidP="00BD0809">
            <w:pPr>
              <w:pStyle w:val="TableTextEntries"/>
              <w:rPr>
                <w:b w:val="0"/>
              </w:rPr>
            </w:pPr>
            <w:r w:rsidRPr="00BD0809">
              <w:rPr>
                <w:b w:val="0"/>
              </w:rPr>
              <w:t>15</w:t>
            </w:r>
            <w:r w:rsidR="00C877AB" w:rsidRPr="00BD0809">
              <w:rPr>
                <w:b w:val="0"/>
              </w:rPr>
              <w:t xml:space="preserve"> </w:t>
            </w:r>
          </w:p>
        </w:tc>
      </w:tr>
      <w:tr w:rsidR="00C877AB" w14:paraId="3D7FC4D9" w14:textId="77777777" w:rsidTr="00BD0809">
        <w:trPr>
          <w:cnfStyle w:val="100000000000" w:firstRow="1" w:lastRow="0" w:firstColumn="0" w:lastColumn="0" w:oddVBand="0" w:evenVBand="0" w:oddHBand="0" w:evenHBand="0" w:firstRowFirstColumn="0" w:firstRowLastColumn="0" w:lastRowFirstColumn="0" w:lastRowLastColumn="0"/>
        </w:trPr>
        <w:tc>
          <w:tcPr>
            <w:tcW w:w="6585" w:type="dxa"/>
            <w:tcBorders>
              <w:left w:val="nil"/>
              <w:right w:val="nil"/>
            </w:tcBorders>
            <w:hideMark/>
          </w:tcPr>
          <w:p w14:paraId="3E58B9BC" w14:textId="06195DA9" w:rsidR="00C877AB" w:rsidRPr="00BD0809" w:rsidRDefault="00C877AB" w:rsidP="00BD0809">
            <w:pPr>
              <w:pStyle w:val="TableTextEntries"/>
              <w:rPr>
                <w:b w:val="0"/>
              </w:rPr>
            </w:pPr>
            <w:r w:rsidRPr="00BD0809">
              <w:rPr>
                <w:b w:val="0"/>
              </w:rPr>
              <w:t xml:space="preserve">Improved </w:t>
            </w:r>
            <w:r w:rsidR="00D36EA1" w:rsidRPr="00BD0809">
              <w:rPr>
                <w:b w:val="0"/>
              </w:rPr>
              <w:t>h</w:t>
            </w:r>
            <w:r w:rsidRPr="00BD0809">
              <w:rPr>
                <w:b w:val="0"/>
              </w:rPr>
              <w:t>ealth</w:t>
            </w:r>
          </w:p>
          <w:p w14:paraId="6CDA336A" w14:textId="162AD75E" w:rsidR="00C877AB" w:rsidRPr="00BD0809" w:rsidRDefault="00C877AB" w:rsidP="00BD0809">
            <w:pPr>
              <w:pStyle w:val="TableTextEntries"/>
              <w:rPr>
                <w:b w:val="0"/>
              </w:rPr>
            </w:pPr>
            <w:r w:rsidRPr="00BD0809">
              <w:rPr>
                <w:b w:val="0"/>
              </w:rPr>
              <w:t xml:space="preserve">Infrastructure and </w:t>
            </w:r>
            <w:r w:rsidR="00D36EA1" w:rsidRPr="00BD0809">
              <w:rPr>
                <w:b w:val="0"/>
              </w:rPr>
              <w:t>s</w:t>
            </w:r>
            <w:r w:rsidRPr="00BD0809">
              <w:rPr>
                <w:b w:val="0"/>
              </w:rPr>
              <w:t>ervices</w:t>
            </w:r>
          </w:p>
          <w:p w14:paraId="09F36CB6" w14:textId="5ECBC307" w:rsidR="00C877AB" w:rsidRPr="00BD0809" w:rsidRDefault="00C877AB" w:rsidP="00BD0809">
            <w:pPr>
              <w:pStyle w:val="TableTextEntries"/>
              <w:rPr>
                <w:b w:val="0"/>
              </w:rPr>
            </w:pPr>
            <w:r w:rsidRPr="00BD0809">
              <w:rPr>
                <w:b w:val="0"/>
              </w:rPr>
              <w:t xml:space="preserve">Private </w:t>
            </w:r>
            <w:r w:rsidR="00D36EA1" w:rsidRPr="00BD0809">
              <w:rPr>
                <w:b w:val="0"/>
              </w:rPr>
              <w:t>s</w:t>
            </w:r>
            <w:r w:rsidRPr="00BD0809">
              <w:rPr>
                <w:b w:val="0"/>
              </w:rPr>
              <w:t xml:space="preserve">ector </w:t>
            </w:r>
            <w:r w:rsidR="00D36EA1" w:rsidRPr="00BD0809">
              <w:rPr>
                <w:b w:val="0"/>
              </w:rPr>
              <w:t>g</w:t>
            </w:r>
            <w:r w:rsidRPr="00BD0809">
              <w:rPr>
                <w:b w:val="0"/>
              </w:rPr>
              <w:t>rowth</w:t>
            </w:r>
          </w:p>
        </w:tc>
        <w:tc>
          <w:tcPr>
            <w:tcW w:w="1049" w:type="dxa"/>
            <w:tcBorders>
              <w:left w:val="nil"/>
              <w:right w:val="nil"/>
            </w:tcBorders>
            <w:hideMark/>
          </w:tcPr>
          <w:p w14:paraId="5A9E37B1" w14:textId="4A05D73B" w:rsidR="00C877AB" w:rsidRPr="00BD0809" w:rsidRDefault="00104855" w:rsidP="00BD0809">
            <w:pPr>
              <w:pStyle w:val="TableTextEntries"/>
              <w:rPr>
                <w:b w:val="0"/>
              </w:rPr>
            </w:pPr>
            <w:r w:rsidRPr="00BD0809">
              <w:rPr>
                <w:b w:val="0"/>
              </w:rPr>
              <w:t>5.6</w:t>
            </w:r>
            <w:r w:rsidR="00C877AB" w:rsidRPr="00BD0809">
              <w:rPr>
                <w:b w:val="0"/>
              </w:rPr>
              <w:t xml:space="preserve"> </w:t>
            </w:r>
          </w:p>
          <w:p w14:paraId="02CB5646" w14:textId="5D1EDDA8" w:rsidR="00C877AB" w:rsidRPr="00BD0809" w:rsidRDefault="00104855" w:rsidP="00BD0809">
            <w:pPr>
              <w:pStyle w:val="TableTextEntries"/>
              <w:rPr>
                <w:b w:val="0"/>
              </w:rPr>
            </w:pPr>
            <w:r w:rsidRPr="00BD0809">
              <w:rPr>
                <w:b w:val="0"/>
              </w:rPr>
              <w:t>10.1</w:t>
            </w:r>
            <w:r w:rsidR="00C877AB" w:rsidRPr="00BD0809">
              <w:rPr>
                <w:b w:val="0"/>
              </w:rPr>
              <w:t xml:space="preserve"> </w:t>
            </w:r>
          </w:p>
          <w:p w14:paraId="4DB96E28" w14:textId="042A4D1A" w:rsidR="00C877AB" w:rsidRPr="00BD0809" w:rsidRDefault="00C877AB" w:rsidP="00BD0809">
            <w:pPr>
              <w:pStyle w:val="TableTextEntries"/>
              <w:rPr>
                <w:b w:val="0"/>
              </w:rPr>
            </w:pPr>
            <w:r w:rsidRPr="00BD0809">
              <w:rPr>
                <w:b w:val="0"/>
              </w:rPr>
              <w:t>0.</w:t>
            </w:r>
            <w:r w:rsidR="00104855" w:rsidRPr="00BD0809">
              <w:rPr>
                <w:b w:val="0"/>
              </w:rPr>
              <w:t>8</w:t>
            </w:r>
            <w:r w:rsidRPr="00BD0809">
              <w:rPr>
                <w:b w:val="0"/>
              </w:rPr>
              <w:t xml:space="preserve">5 </w:t>
            </w:r>
          </w:p>
        </w:tc>
        <w:tc>
          <w:tcPr>
            <w:tcW w:w="1552" w:type="dxa"/>
            <w:tcBorders>
              <w:left w:val="nil"/>
              <w:right w:val="nil"/>
            </w:tcBorders>
            <w:hideMark/>
          </w:tcPr>
          <w:p w14:paraId="5DC3CD3F" w14:textId="65DC9477" w:rsidR="00C877AB" w:rsidRPr="00BD0809" w:rsidRDefault="00104855" w:rsidP="00BD0809">
            <w:pPr>
              <w:pStyle w:val="TableTextEntries"/>
              <w:rPr>
                <w:b w:val="0"/>
              </w:rPr>
            </w:pPr>
            <w:r w:rsidRPr="00BD0809">
              <w:rPr>
                <w:b w:val="0"/>
              </w:rPr>
              <w:t>17</w:t>
            </w:r>
          </w:p>
          <w:p w14:paraId="3BA5DD21" w14:textId="5A389802" w:rsidR="00C877AB" w:rsidRPr="00BD0809" w:rsidRDefault="00104855" w:rsidP="00BD0809">
            <w:pPr>
              <w:pStyle w:val="TableTextEntries"/>
              <w:rPr>
                <w:b w:val="0"/>
              </w:rPr>
            </w:pPr>
            <w:r w:rsidRPr="00BD0809">
              <w:rPr>
                <w:b w:val="0"/>
              </w:rPr>
              <w:t>30</w:t>
            </w:r>
          </w:p>
          <w:p w14:paraId="6520FC66" w14:textId="482C6B74" w:rsidR="00C877AB" w:rsidRPr="00BD0809" w:rsidRDefault="00C877AB" w:rsidP="00BD0809">
            <w:pPr>
              <w:pStyle w:val="TableTextEntries"/>
              <w:rPr>
                <w:b w:val="0"/>
              </w:rPr>
            </w:pPr>
            <w:r w:rsidRPr="00BD0809">
              <w:rPr>
                <w:b w:val="0"/>
              </w:rPr>
              <w:t xml:space="preserve"> </w:t>
            </w:r>
            <w:r w:rsidR="00104855" w:rsidRPr="00BD0809">
              <w:rPr>
                <w:b w:val="0"/>
              </w:rPr>
              <w:t>3</w:t>
            </w:r>
          </w:p>
        </w:tc>
      </w:tr>
    </w:tbl>
    <w:p w14:paraId="69AF92F8" w14:textId="6B231C1A" w:rsidR="00C877AB" w:rsidRDefault="00C877AB" w:rsidP="00C877AB">
      <w:pPr>
        <w:pStyle w:val="Note"/>
      </w:pPr>
      <w:r>
        <w:t xml:space="preserve">Source: </w:t>
      </w:r>
      <w:proofErr w:type="spellStart"/>
      <w:r w:rsidR="00A50B20">
        <w:t>Aid</w:t>
      </w:r>
      <w:r w:rsidR="00BB269C">
        <w:t>W</w:t>
      </w:r>
      <w:r w:rsidR="00A50B20">
        <w:t>orks</w:t>
      </w:r>
      <w:proofErr w:type="spellEnd"/>
    </w:p>
    <w:p w14:paraId="587F2299" w14:textId="77777777" w:rsidR="00E1068C" w:rsidRPr="00E1068C" w:rsidRDefault="00E1068C" w:rsidP="00E1068C"/>
    <w:p w14:paraId="7365597B" w14:textId="3CF9FEEB" w:rsidR="00C877AB" w:rsidRDefault="00C877AB" w:rsidP="00C877AB">
      <w:pPr>
        <w:pStyle w:val="Caption"/>
      </w:pPr>
      <w:r>
        <w:t>Table 1B Estimated expenditure in FY 2012</w:t>
      </w:r>
      <w:r w:rsidR="00424F3E">
        <w:t>–</w:t>
      </w:r>
      <w:r>
        <w:t>13</w:t>
      </w:r>
    </w:p>
    <w:tbl>
      <w:tblPr>
        <w:tblStyle w:val="APPR"/>
        <w:tblW w:w="5000" w:type="pct"/>
        <w:tblLayout w:type="fixed"/>
        <w:tblLook w:val="04A0" w:firstRow="1" w:lastRow="0" w:firstColumn="1" w:lastColumn="0" w:noHBand="0" w:noVBand="1"/>
      </w:tblPr>
      <w:tblGrid>
        <w:gridCol w:w="6131"/>
        <w:gridCol w:w="998"/>
        <w:gridCol w:w="1477"/>
      </w:tblGrid>
      <w:tr w:rsidR="00C877AB" w14:paraId="54D31BCF" w14:textId="77777777" w:rsidTr="00BD0809">
        <w:trPr>
          <w:cnfStyle w:val="100000000000" w:firstRow="1" w:lastRow="0" w:firstColumn="0" w:lastColumn="0" w:oddVBand="0" w:evenVBand="0" w:oddHBand="0" w:evenHBand="0" w:firstRowFirstColumn="0" w:firstRowLastColumn="0" w:lastRowFirstColumn="0" w:lastRowLastColumn="0"/>
        </w:trPr>
        <w:tc>
          <w:tcPr>
            <w:tcW w:w="6048" w:type="dxa"/>
            <w:tcBorders>
              <w:left w:val="nil"/>
              <w:right w:val="nil"/>
            </w:tcBorders>
            <w:hideMark/>
          </w:tcPr>
          <w:p w14:paraId="1226B9C6" w14:textId="77777777" w:rsidR="00C877AB" w:rsidRPr="00BD0809" w:rsidRDefault="00C877AB" w:rsidP="00BD0809">
            <w:pPr>
              <w:pStyle w:val="TableTextColumnHeading"/>
              <w:rPr>
                <w:b/>
              </w:rPr>
            </w:pPr>
            <w:r w:rsidRPr="00BD0809">
              <w:rPr>
                <w:b/>
              </w:rPr>
              <w:t>Objective</w:t>
            </w:r>
          </w:p>
        </w:tc>
        <w:tc>
          <w:tcPr>
            <w:tcW w:w="964" w:type="dxa"/>
            <w:tcBorders>
              <w:left w:val="nil"/>
              <w:right w:val="nil"/>
            </w:tcBorders>
            <w:hideMark/>
          </w:tcPr>
          <w:p w14:paraId="72B19E98" w14:textId="77777777" w:rsidR="00C877AB" w:rsidRPr="00BD0809" w:rsidRDefault="00C877AB" w:rsidP="00BD0809">
            <w:pPr>
              <w:pStyle w:val="TableTextColumnHeading"/>
              <w:rPr>
                <w:b/>
              </w:rPr>
            </w:pPr>
            <w:r w:rsidRPr="00BD0809">
              <w:rPr>
                <w:b/>
              </w:rPr>
              <w:t>A$ million</w:t>
            </w:r>
          </w:p>
        </w:tc>
        <w:tc>
          <w:tcPr>
            <w:tcW w:w="1426" w:type="dxa"/>
            <w:tcBorders>
              <w:left w:val="nil"/>
              <w:right w:val="nil"/>
            </w:tcBorders>
            <w:hideMark/>
          </w:tcPr>
          <w:p w14:paraId="231E19DE" w14:textId="5DB53F62" w:rsidR="00C877AB" w:rsidRPr="00BD0809" w:rsidRDefault="00424F3E" w:rsidP="00BD0809">
            <w:pPr>
              <w:pStyle w:val="TableTextColumnHeading"/>
              <w:rPr>
                <w:b/>
              </w:rPr>
            </w:pPr>
            <w:r w:rsidRPr="00BD0809">
              <w:rPr>
                <w:b/>
              </w:rPr>
              <w:t>%</w:t>
            </w:r>
            <w:r w:rsidR="00C877AB" w:rsidRPr="00BD0809">
              <w:rPr>
                <w:b/>
              </w:rPr>
              <w:t xml:space="preserve"> of bilateral program</w:t>
            </w:r>
          </w:p>
        </w:tc>
      </w:tr>
      <w:tr w:rsidR="00C877AB" w14:paraId="120ECA26" w14:textId="77777777" w:rsidTr="00BD0809">
        <w:trPr>
          <w:cnfStyle w:val="100000000000" w:firstRow="1" w:lastRow="0" w:firstColumn="0" w:lastColumn="0" w:oddVBand="0" w:evenVBand="0" w:oddHBand="0" w:evenHBand="0" w:firstRowFirstColumn="0" w:firstRowLastColumn="0" w:lastRowFirstColumn="0" w:lastRowLastColumn="0"/>
        </w:trPr>
        <w:tc>
          <w:tcPr>
            <w:tcW w:w="6048" w:type="dxa"/>
            <w:tcBorders>
              <w:left w:val="nil"/>
              <w:right w:val="nil"/>
            </w:tcBorders>
            <w:hideMark/>
          </w:tcPr>
          <w:p w14:paraId="41DEBCF3" w14:textId="6E6B5B0A" w:rsidR="00C877AB" w:rsidRPr="00BD0809" w:rsidRDefault="00C877AB" w:rsidP="00BD0809">
            <w:pPr>
              <w:pStyle w:val="TableTextEntries"/>
              <w:rPr>
                <w:b w:val="0"/>
              </w:rPr>
            </w:pPr>
            <w:r w:rsidRPr="00BD0809">
              <w:rPr>
                <w:b w:val="0"/>
              </w:rPr>
              <w:t xml:space="preserve">Public </w:t>
            </w:r>
            <w:r w:rsidR="00424F3E" w:rsidRPr="00BD0809">
              <w:rPr>
                <w:b w:val="0"/>
              </w:rPr>
              <w:t>s</w:t>
            </w:r>
            <w:r w:rsidRPr="00BD0809">
              <w:rPr>
                <w:b w:val="0"/>
              </w:rPr>
              <w:t xml:space="preserve">ector </w:t>
            </w:r>
            <w:r w:rsidR="00424F3E" w:rsidRPr="00BD0809">
              <w:rPr>
                <w:b w:val="0"/>
              </w:rPr>
              <w:t>r</w:t>
            </w:r>
            <w:r w:rsidRPr="00BD0809">
              <w:rPr>
                <w:b w:val="0"/>
              </w:rPr>
              <w:t>eform</w:t>
            </w:r>
          </w:p>
        </w:tc>
        <w:tc>
          <w:tcPr>
            <w:tcW w:w="964" w:type="dxa"/>
            <w:tcBorders>
              <w:left w:val="nil"/>
              <w:right w:val="nil"/>
            </w:tcBorders>
            <w:hideMark/>
          </w:tcPr>
          <w:p w14:paraId="19038D92" w14:textId="6D6BB497" w:rsidR="00C877AB" w:rsidRPr="00BD0809" w:rsidRDefault="00C877AB" w:rsidP="00BD0809">
            <w:pPr>
              <w:pStyle w:val="TableTextEntries"/>
              <w:rPr>
                <w:b w:val="0"/>
              </w:rPr>
            </w:pPr>
            <w:r w:rsidRPr="00BD0809">
              <w:rPr>
                <w:b w:val="0"/>
              </w:rPr>
              <w:t>5</w:t>
            </w:r>
          </w:p>
        </w:tc>
        <w:tc>
          <w:tcPr>
            <w:tcW w:w="1426" w:type="dxa"/>
            <w:tcBorders>
              <w:left w:val="nil"/>
              <w:right w:val="nil"/>
            </w:tcBorders>
            <w:hideMark/>
          </w:tcPr>
          <w:p w14:paraId="385AE4F8" w14:textId="57FBFD7D" w:rsidR="00C877AB" w:rsidRPr="00BD0809" w:rsidRDefault="00C877AB" w:rsidP="00BD0809">
            <w:pPr>
              <w:pStyle w:val="TableTextEntries"/>
              <w:rPr>
                <w:b w:val="0"/>
              </w:rPr>
            </w:pPr>
            <w:r w:rsidRPr="00BD0809">
              <w:rPr>
                <w:b w:val="0"/>
              </w:rPr>
              <w:t>21</w:t>
            </w:r>
          </w:p>
        </w:tc>
      </w:tr>
      <w:tr w:rsidR="00C877AB" w14:paraId="7118F5EC" w14:textId="77777777" w:rsidTr="00BD0809">
        <w:trPr>
          <w:cnfStyle w:val="100000000000" w:firstRow="1" w:lastRow="0" w:firstColumn="0" w:lastColumn="0" w:oddVBand="0" w:evenVBand="0" w:oddHBand="0" w:evenHBand="0" w:firstRowFirstColumn="0" w:firstRowLastColumn="0" w:lastRowFirstColumn="0" w:lastRowLastColumn="0"/>
        </w:trPr>
        <w:tc>
          <w:tcPr>
            <w:tcW w:w="6048" w:type="dxa"/>
            <w:tcBorders>
              <w:left w:val="nil"/>
              <w:right w:val="nil"/>
            </w:tcBorders>
            <w:hideMark/>
          </w:tcPr>
          <w:p w14:paraId="5C6DD54A" w14:textId="79388F54" w:rsidR="00C877AB" w:rsidRPr="00BD0809" w:rsidRDefault="00C877AB" w:rsidP="00BD0809">
            <w:pPr>
              <w:pStyle w:val="TableTextEntries"/>
              <w:rPr>
                <w:b w:val="0"/>
              </w:rPr>
            </w:pPr>
            <w:r w:rsidRPr="00BD0809">
              <w:rPr>
                <w:b w:val="0"/>
              </w:rPr>
              <w:t xml:space="preserve">Improved </w:t>
            </w:r>
            <w:r w:rsidR="00424F3E" w:rsidRPr="00BD0809">
              <w:rPr>
                <w:b w:val="0"/>
              </w:rPr>
              <w:t>e</w:t>
            </w:r>
            <w:r w:rsidRPr="00BD0809">
              <w:rPr>
                <w:b w:val="0"/>
              </w:rPr>
              <w:t>ducation</w:t>
            </w:r>
          </w:p>
        </w:tc>
        <w:tc>
          <w:tcPr>
            <w:tcW w:w="964" w:type="dxa"/>
            <w:tcBorders>
              <w:left w:val="nil"/>
              <w:right w:val="nil"/>
            </w:tcBorders>
            <w:hideMark/>
          </w:tcPr>
          <w:p w14:paraId="7C9C6EA4" w14:textId="60DB3C58" w:rsidR="00C877AB" w:rsidRPr="00BD0809" w:rsidRDefault="00C877AB" w:rsidP="00BD0809">
            <w:pPr>
              <w:pStyle w:val="TableTextEntries"/>
              <w:rPr>
                <w:b w:val="0"/>
              </w:rPr>
            </w:pPr>
            <w:r w:rsidRPr="00BD0809">
              <w:rPr>
                <w:b w:val="0"/>
              </w:rPr>
              <w:t>6.6</w:t>
            </w:r>
          </w:p>
        </w:tc>
        <w:tc>
          <w:tcPr>
            <w:tcW w:w="1426" w:type="dxa"/>
            <w:tcBorders>
              <w:left w:val="nil"/>
              <w:right w:val="nil"/>
            </w:tcBorders>
            <w:hideMark/>
          </w:tcPr>
          <w:p w14:paraId="184D85F6" w14:textId="55A6E0D2" w:rsidR="00C877AB" w:rsidRPr="00BD0809" w:rsidRDefault="00C877AB" w:rsidP="00BD0809">
            <w:pPr>
              <w:pStyle w:val="TableTextEntries"/>
              <w:rPr>
                <w:b w:val="0"/>
              </w:rPr>
            </w:pPr>
            <w:r w:rsidRPr="00BD0809">
              <w:rPr>
                <w:b w:val="0"/>
              </w:rPr>
              <w:t>27</w:t>
            </w:r>
          </w:p>
        </w:tc>
      </w:tr>
      <w:tr w:rsidR="00C877AB" w14:paraId="5763EA1B" w14:textId="77777777" w:rsidTr="00BD0809">
        <w:trPr>
          <w:cnfStyle w:val="100000000000" w:firstRow="1" w:lastRow="0" w:firstColumn="0" w:lastColumn="0" w:oddVBand="0" w:evenVBand="0" w:oddHBand="0" w:evenHBand="0" w:firstRowFirstColumn="0" w:firstRowLastColumn="0" w:lastRowFirstColumn="0" w:lastRowLastColumn="0"/>
        </w:trPr>
        <w:tc>
          <w:tcPr>
            <w:tcW w:w="6048" w:type="dxa"/>
            <w:tcBorders>
              <w:left w:val="nil"/>
              <w:right w:val="nil"/>
            </w:tcBorders>
            <w:hideMark/>
          </w:tcPr>
          <w:p w14:paraId="659F4A7B" w14:textId="7E0BC4DB" w:rsidR="00C877AB" w:rsidRPr="00BD0809" w:rsidRDefault="00C877AB" w:rsidP="00BD0809">
            <w:pPr>
              <w:pStyle w:val="TableTextEntries"/>
              <w:rPr>
                <w:b w:val="0"/>
              </w:rPr>
            </w:pPr>
            <w:r w:rsidRPr="00BD0809">
              <w:rPr>
                <w:b w:val="0"/>
              </w:rPr>
              <w:t xml:space="preserve">Improved </w:t>
            </w:r>
            <w:r w:rsidR="00424F3E" w:rsidRPr="00BD0809">
              <w:rPr>
                <w:b w:val="0"/>
              </w:rPr>
              <w:t>h</w:t>
            </w:r>
            <w:r w:rsidRPr="00BD0809">
              <w:rPr>
                <w:b w:val="0"/>
              </w:rPr>
              <w:t>ealth</w:t>
            </w:r>
          </w:p>
          <w:p w14:paraId="2AF93251" w14:textId="248C0D55" w:rsidR="00C877AB" w:rsidRPr="00BD0809" w:rsidRDefault="00C877AB" w:rsidP="00BD0809">
            <w:pPr>
              <w:pStyle w:val="TableTextEntries"/>
              <w:rPr>
                <w:b w:val="0"/>
              </w:rPr>
            </w:pPr>
            <w:r w:rsidRPr="00BD0809">
              <w:rPr>
                <w:b w:val="0"/>
              </w:rPr>
              <w:t xml:space="preserve">Infrastructure and </w:t>
            </w:r>
            <w:r w:rsidR="00424F3E" w:rsidRPr="00BD0809">
              <w:rPr>
                <w:b w:val="0"/>
              </w:rPr>
              <w:t>s</w:t>
            </w:r>
            <w:r w:rsidRPr="00BD0809">
              <w:rPr>
                <w:b w:val="0"/>
              </w:rPr>
              <w:t>ervices</w:t>
            </w:r>
          </w:p>
          <w:p w14:paraId="350C1AE7" w14:textId="054AD0F1" w:rsidR="00C877AB" w:rsidRPr="00BD0809" w:rsidRDefault="00C877AB" w:rsidP="00BD0809">
            <w:pPr>
              <w:pStyle w:val="TableTextEntries"/>
              <w:rPr>
                <w:b w:val="0"/>
              </w:rPr>
            </w:pPr>
            <w:r w:rsidRPr="00BD0809">
              <w:rPr>
                <w:b w:val="0"/>
              </w:rPr>
              <w:t xml:space="preserve">Private </w:t>
            </w:r>
            <w:r w:rsidR="00424F3E" w:rsidRPr="00BD0809">
              <w:rPr>
                <w:b w:val="0"/>
              </w:rPr>
              <w:t>s</w:t>
            </w:r>
            <w:r w:rsidRPr="00BD0809">
              <w:rPr>
                <w:b w:val="0"/>
              </w:rPr>
              <w:t xml:space="preserve">ector </w:t>
            </w:r>
            <w:r w:rsidR="00424F3E" w:rsidRPr="00BD0809">
              <w:rPr>
                <w:b w:val="0"/>
              </w:rPr>
              <w:t>g</w:t>
            </w:r>
            <w:r w:rsidRPr="00BD0809">
              <w:rPr>
                <w:b w:val="0"/>
              </w:rPr>
              <w:t>rowth</w:t>
            </w:r>
          </w:p>
        </w:tc>
        <w:tc>
          <w:tcPr>
            <w:tcW w:w="964" w:type="dxa"/>
            <w:tcBorders>
              <w:left w:val="nil"/>
              <w:right w:val="nil"/>
            </w:tcBorders>
            <w:hideMark/>
          </w:tcPr>
          <w:p w14:paraId="2C70E2B7" w14:textId="4C4B702A" w:rsidR="00C877AB" w:rsidRPr="00BD0809" w:rsidRDefault="00C877AB" w:rsidP="00BD0809">
            <w:pPr>
              <w:pStyle w:val="TableTextEntries"/>
              <w:rPr>
                <w:b w:val="0"/>
              </w:rPr>
            </w:pPr>
            <w:r w:rsidRPr="00BD0809">
              <w:rPr>
                <w:b w:val="0"/>
              </w:rPr>
              <w:t>3.6</w:t>
            </w:r>
          </w:p>
          <w:p w14:paraId="01B6554F" w14:textId="73ACD7E3" w:rsidR="00C877AB" w:rsidRPr="00BD0809" w:rsidRDefault="00C877AB" w:rsidP="00BD0809">
            <w:pPr>
              <w:pStyle w:val="TableTextEntries"/>
              <w:rPr>
                <w:b w:val="0"/>
              </w:rPr>
            </w:pPr>
            <w:r w:rsidRPr="00BD0809">
              <w:rPr>
                <w:b w:val="0"/>
              </w:rPr>
              <w:t>7.1</w:t>
            </w:r>
          </w:p>
          <w:p w14:paraId="4AF36E79" w14:textId="496895B7" w:rsidR="00C877AB" w:rsidRPr="00BD0809" w:rsidRDefault="00C877AB" w:rsidP="00BD0809">
            <w:pPr>
              <w:pStyle w:val="TableTextEntries"/>
              <w:rPr>
                <w:b w:val="0"/>
              </w:rPr>
            </w:pPr>
            <w:r w:rsidRPr="00BD0809">
              <w:rPr>
                <w:b w:val="0"/>
              </w:rPr>
              <w:t>1.1</w:t>
            </w:r>
          </w:p>
        </w:tc>
        <w:tc>
          <w:tcPr>
            <w:tcW w:w="1426" w:type="dxa"/>
            <w:tcBorders>
              <w:left w:val="nil"/>
              <w:right w:val="nil"/>
            </w:tcBorders>
            <w:hideMark/>
          </w:tcPr>
          <w:p w14:paraId="77E1E954" w14:textId="4C4478C7" w:rsidR="00C877AB" w:rsidRPr="00BD0809" w:rsidRDefault="00C877AB" w:rsidP="00BD0809">
            <w:pPr>
              <w:pStyle w:val="TableTextEntries"/>
              <w:rPr>
                <w:b w:val="0"/>
              </w:rPr>
            </w:pPr>
            <w:r w:rsidRPr="00BD0809">
              <w:rPr>
                <w:b w:val="0"/>
              </w:rPr>
              <w:t>15</w:t>
            </w:r>
          </w:p>
          <w:p w14:paraId="30C13666" w14:textId="79DA4853" w:rsidR="00C877AB" w:rsidRPr="00BD0809" w:rsidRDefault="00C877AB" w:rsidP="00BD0809">
            <w:pPr>
              <w:pStyle w:val="TableTextEntries"/>
              <w:rPr>
                <w:b w:val="0"/>
              </w:rPr>
            </w:pPr>
            <w:r w:rsidRPr="00BD0809">
              <w:rPr>
                <w:b w:val="0"/>
              </w:rPr>
              <w:t>29</w:t>
            </w:r>
          </w:p>
          <w:p w14:paraId="7F50BCB2" w14:textId="461596C8" w:rsidR="00C877AB" w:rsidRPr="00BD0809" w:rsidRDefault="00C877AB" w:rsidP="00BD0809">
            <w:pPr>
              <w:pStyle w:val="TableTextEntries"/>
              <w:rPr>
                <w:b w:val="0"/>
              </w:rPr>
            </w:pPr>
            <w:r w:rsidRPr="00BD0809">
              <w:rPr>
                <w:b w:val="0"/>
              </w:rPr>
              <w:t xml:space="preserve"> 4</w:t>
            </w:r>
          </w:p>
        </w:tc>
      </w:tr>
    </w:tbl>
    <w:p w14:paraId="7601EE05" w14:textId="45464F99" w:rsidR="004C4A3E" w:rsidRPr="004C4A3E" w:rsidRDefault="00A50B20" w:rsidP="004C4A3E">
      <w:pPr>
        <w:pStyle w:val="Note"/>
      </w:pPr>
      <w:r>
        <w:t xml:space="preserve">Source: </w:t>
      </w:r>
      <w:proofErr w:type="spellStart"/>
      <w:r>
        <w:t>Aid</w:t>
      </w:r>
      <w:r w:rsidR="00BB269C">
        <w:t>W</w:t>
      </w:r>
      <w:r>
        <w:t>orks</w:t>
      </w:r>
      <w:proofErr w:type="spellEnd"/>
    </w:p>
    <w:p w14:paraId="7601EE06" w14:textId="77777777" w:rsidR="00180B19" w:rsidRPr="00180B19" w:rsidRDefault="00180B19" w:rsidP="00180B19">
      <w:pPr>
        <w:pStyle w:val="Heading1"/>
      </w:pPr>
      <w:r w:rsidRPr="00180B19">
        <w:t>Progress towards objectives</w:t>
      </w:r>
    </w:p>
    <w:p w14:paraId="27B8B925" w14:textId="2B595D3D" w:rsidR="004059D2" w:rsidRDefault="00CF1049" w:rsidP="00067A68">
      <w:pPr>
        <w:pStyle w:val="BodyText"/>
      </w:pPr>
      <w:r>
        <w:t>The Australian aid program made s</w:t>
      </w:r>
      <w:r w:rsidR="007D1771">
        <w:t>trong</w:t>
      </w:r>
      <w:r>
        <w:t xml:space="preserve"> progress toward </w:t>
      </w:r>
      <w:r w:rsidR="00B90C9A">
        <w:t>p</w:t>
      </w:r>
      <w:r>
        <w:t>artnership priorities in</w:t>
      </w:r>
      <w:r w:rsidR="005B713D">
        <w:t xml:space="preserve"> </w:t>
      </w:r>
      <w:r>
        <w:t>20</w:t>
      </w:r>
      <w:r w:rsidR="005B713D">
        <w:t>12</w:t>
      </w:r>
      <w:r w:rsidR="00E13548">
        <w:t>–</w:t>
      </w:r>
      <w:r w:rsidR="005B713D">
        <w:t>13</w:t>
      </w:r>
      <w:r w:rsidR="005456EC">
        <w:t xml:space="preserve"> </w:t>
      </w:r>
      <w:r w:rsidR="005B713D">
        <w:t>through</w:t>
      </w:r>
      <w:r w:rsidR="005456EC">
        <w:t xml:space="preserve"> funding</w:t>
      </w:r>
      <w:r w:rsidR="005B713D">
        <w:t xml:space="preserve"> for </w:t>
      </w:r>
      <w:r w:rsidR="005456EC">
        <w:t>identified priority i</w:t>
      </w:r>
      <w:r w:rsidR="005B713D">
        <w:t xml:space="preserve">nitiatives and </w:t>
      </w:r>
      <w:r w:rsidR="007A7A87">
        <w:t xml:space="preserve">public sector governance </w:t>
      </w:r>
      <w:r w:rsidR="005B713D">
        <w:t>policy dialogue</w:t>
      </w:r>
      <w:r w:rsidR="005C0900">
        <w:t xml:space="preserve">. </w:t>
      </w:r>
      <w:r w:rsidR="007A7A87">
        <w:t>T</w:t>
      </w:r>
      <w:r w:rsidR="005456EC">
        <w:t>he latter</w:t>
      </w:r>
      <w:r w:rsidR="004059D2">
        <w:t xml:space="preserve"> </w:t>
      </w:r>
      <w:r w:rsidR="007A7A87">
        <w:t xml:space="preserve">has </w:t>
      </w:r>
      <w:r w:rsidR="005456EC">
        <w:t>result</w:t>
      </w:r>
      <w:r w:rsidR="007A7A87">
        <w:t>ed</w:t>
      </w:r>
      <w:r w:rsidR="005456EC">
        <w:t xml:space="preserve"> in some </w:t>
      </w:r>
      <w:r w:rsidR="004059D2">
        <w:t>significant reforms</w:t>
      </w:r>
      <w:r w:rsidR="006B24E9">
        <w:t>,</w:t>
      </w:r>
      <w:r w:rsidR="004059D2">
        <w:t xml:space="preserve"> including</w:t>
      </w:r>
      <w:r w:rsidR="00163280">
        <w:t xml:space="preserve"> the</w:t>
      </w:r>
      <w:r w:rsidR="004059D2">
        <w:t xml:space="preserve"> introduction of an independent procurement agent for all public procurements </w:t>
      </w:r>
      <w:r w:rsidR="00163280">
        <w:t>worth more than</w:t>
      </w:r>
      <w:r w:rsidR="004059D2">
        <w:t xml:space="preserve"> $3</w:t>
      </w:r>
      <w:r w:rsidR="006F573F">
        <w:t>,</w:t>
      </w:r>
      <w:r w:rsidR="004059D2">
        <w:t>000. This will lead to better value for money</w:t>
      </w:r>
      <w:r w:rsidR="007A7A87">
        <w:t>,</w:t>
      </w:r>
      <w:r w:rsidR="004059D2">
        <w:t xml:space="preserve"> more streamlined administration </w:t>
      </w:r>
      <w:r w:rsidR="006E1662">
        <w:t xml:space="preserve">for the Government of Nauru, </w:t>
      </w:r>
      <w:r w:rsidR="007A7A87">
        <w:t>and</w:t>
      </w:r>
      <w:r w:rsidR="004059D2">
        <w:t xml:space="preserve"> improved transparency and accountability.</w:t>
      </w:r>
      <w:r w:rsidR="00B57F48">
        <w:t xml:space="preserve"> Greater engagement in policy dialogue in other sectors </w:t>
      </w:r>
      <w:r w:rsidR="00163280">
        <w:t xml:space="preserve">is </w:t>
      </w:r>
      <w:r w:rsidR="00B57F48">
        <w:t>important to ensure similar advances can be made.</w:t>
      </w:r>
    </w:p>
    <w:p w14:paraId="238A9249" w14:textId="1925A9CB" w:rsidR="007D1771" w:rsidRDefault="007D1771" w:rsidP="00067A68">
      <w:pPr>
        <w:pStyle w:val="BodyText"/>
      </w:pPr>
      <w:r>
        <w:t xml:space="preserve">The </w:t>
      </w:r>
      <w:r w:rsidR="00163280">
        <w:t xml:space="preserve">PMAG </w:t>
      </w:r>
      <w:r>
        <w:t>r</w:t>
      </w:r>
      <w:r w:rsidR="00122B5C">
        <w:t>eviews of the public sector management and infrastructure initiatives</w:t>
      </w:r>
      <w:r w:rsidR="00163280">
        <w:t>,</w:t>
      </w:r>
      <w:r w:rsidR="000C6ADB">
        <w:t xml:space="preserve"> </w:t>
      </w:r>
      <w:r w:rsidR="00122B5C">
        <w:t>undertaken</w:t>
      </w:r>
      <w:r w:rsidR="00163280">
        <w:t xml:space="preserve"> </w:t>
      </w:r>
      <w:r w:rsidR="00122B5C">
        <w:t>in late 2012</w:t>
      </w:r>
      <w:r w:rsidR="007A7A87">
        <w:t xml:space="preserve"> and</w:t>
      </w:r>
      <w:r w:rsidR="00407148">
        <w:t xml:space="preserve"> </w:t>
      </w:r>
      <w:r w:rsidR="00122B5C">
        <w:t>early 2013</w:t>
      </w:r>
      <w:r w:rsidR="00163280">
        <w:t>,</w:t>
      </w:r>
      <w:r w:rsidR="00122B5C">
        <w:t xml:space="preserve"> confirm</w:t>
      </w:r>
      <w:r w:rsidR="006B24E9">
        <w:t>ed that these</w:t>
      </w:r>
      <w:r w:rsidR="00122B5C">
        <w:t xml:space="preserve"> </w:t>
      </w:r>
      <w:r w:rsidR="00E13548">
        <w:t>p</w:t>
      </w:r>
      <w:r w:rsidR="00122B5C">
        <w:t xml:space="preserve">artnership priorities </w:t>
      </w:r>
      <w:r w:rsidR="006B24E9">
        <w:t>remain</w:t>
      </w:r>
      <w:r w:rsidR="00122B5C">
        <w:t xml:space="preserve"> relevant and appropriate. The reviews</w:t>
      </w:r>
      <w:r w:rsidR="007A7A87">
        <w:t xml:space="preserve"> </w:t>
      </w:r>
      <w:r w:rsidR="00122B5C">
        <w:t>found</w:t>
      </w:r>
      <w:r w:rsidR="00FF5E5D">
        <w:t xml:space="preserve"> that</w:t>
      </w:r>
      <w:r w:rsidR="00122B5C">
        <w:t xml:space="preserve"> progress</w:t>
      </w:r>
      <w:r w:rsidR="00163280">
        <w:t xml:space="preserve"> was </w:t>
      </w:r>
      <w:r w:rsidR="00122B5C">
        <w:t xml:space="preserve">satisfactory and in line with </w:t>
      </w:r>
      <w:r w:rsidR="00163280">
        <w:t xml:space="preserve">partnership </w:t>
      </w:r>
      <w:r w:rsidR="00122B5C">
        <w:t xml:space="preserve">targets. </w:t>
      </w:r>
      <w:r>
        <w:t xml:space="preserve">However, </w:t>
      </w:r>
      <w:r w:rsidR="007A7A87">
        <w:t>g</w:t>
      </w:r>
      <w:r>
        <w:t xml:space="preserve">reater efficiencies </w:t>
      </w:r>
      <w:r w:rsidR="00163280">
        <w:t xml:space="preserve">are </w:t>
      </w:r>
      <w:r>
        <w:t>need</w:t>
      </w:r>
      <w:r w:rsidR="007A7A87">
        <w:t>ed</w:t>
      </w:r>
      <w:r>
        <w:t xml:space="preserve"> </w:t>
      </w:r>
      <w:r w:rsidR="007A7A87">
        <w:t xml:space="preserve">to promote stronger governance in </w:t>
      </w:r>
      <w:r>
        <w:t xml:space="preserve">the infrastructure initiative. </w:t>
      </w:r>
      <w:r w:rsidR="00163280">
        <w:t>The reports also indicated that p</w:t>
      </w:r>
      <w:r>
        <w:t xml:space="preserve">rogress </w:t>
      </w:r>
      <w:r w:rsidR="00163280">
        <w:t>was</w:t>
      </w:r>
      <w:r>
        <w:t xml:space="preserve"> limited in shifting responsibility for day</w:t>
      </w:r>
      <w:r w:rsidR="00163280">
        <w:t>-</w:t>
      </w:r>
      <w:r>
        <w:t>to</w:t>
      </w:r>
      <w:r w:rsidR="00163280">
        <w:t>-</w:t>
      </w:r>
      <w:r>
        <w:t xml:space="preserve">day operational expenses to </w:t>
      </w:r>
      <w:r w:rsidR="00FC7564">
        <w:t>g</w:t>
      </w:r>
      <w:r>
        <w:t>overnment.</w:t>
      </w:r>
    </w:p>
    <w:p w14:paraId="7EF98189" w14:textId="6C26D9F1" w:rsidR="00016901" w:rsidRDefault="00122B5C" w:rsidP="00067A68">
      <w:pPr>
        <w:pStyle w:val="BodyText"/>
      </w:pPr>
      <w:r>
        <w:t xml:space="preserve">Reporting from Nauru’s Department of Education </w:t>
      </w:r>
      <w:r w:rsidR="004059D2">
        <w:t xml:space="preserve">and Ministry for Health </w:t>
      </w:r>
      <w:r>
        <w:t xml:space="preserve">indicates that many </w:t>
      </w:r>
      <w:r w:rsidR="00B90C9A">
        <w:t>p</w:t>
      </w:r>
      <w:r>
        <w:t xml:space="preserve">artnership targets </w:t>
      </w:r>
      <w:r w:rsidR="006E1662">
        <w:t>in these</w:t>
      </w:r>
      <w:r>
        <w:t xml:space="preserve"> sector</w:t>
      </w:r>
      <w:r w:rsidR="006E1662">
        <w:t>s</w:t>
      </w:r>
      <w:r>
        <w:t xml:space="preserve"> have been met and in some cases</w:t>
      </w:r>
      <w:r w:rsidR="00163280">
        <w:t xml:space="preserve"> were</w:t>
      </w:r>
      <w:r>
        <w:t xml:space="preserve"> exceeded </w:t>
      </w:r>
      <w:r w:rsidR="00163280">
        <w:t xml:space="preserve">in </w:t>
      </w:r>
      <w:r>
        <w:t>2012</w:t>
      </w:r>
      <w:r w:rsidR="00E13548">
        <w:t>–</w:t>
      </w:r>
      <w:r>
        <w:t xml:space="preserve">13. This reporting will be verified </w:t>
      </w:r>
      <w:r w:rsidR="007F1B0D">
        <w:t>through</w:t>
      </w:r>
      <w:r>
        <w:t xml:space="preserve"> </w:t>
      </w:r>
      <w:r w:rsidR="007F1B0D">
        <w:t xml:space="preserve">separate </w:t>
      </w:r>
      <w:r w:rsidR="005456EC">
        <w:t xml:space="preserve">PMAG </w:t>
      </w:r>
      <w:r>
        <w:t>review</w:t>
      </w:r>
      <w:r w:rsidR="004059D2">
        <w:t>s</w:t>
      </w:r>
      <w:r>
        <w:t xml:space="preserve"> of </w:t>
      </w:r>
      <w:r w:rsidR="00163280">
        <w:t xml:space="preserve">our </w:t>
      </w:r>
      <w:r>
        <w:t>support for the</w:t>
      </w:r>
      <w:r w:rsidR="004059D2">
        <w:t>se sectors</w:t>
      </w:r>
      <w:r w:rsidR="00163280">
        <w:t>,</w:t>
      </w:r>
      <w:r w:rsidR="00FD154C">
        <w:t xml:space="preserve"> scheduled</w:t>
      </w:r>
      <w:r>
        <w:t xml:space="preserve"> </w:t>
      </w:r>
      <w:r w:rsidR="00163280">
        <w:t>for</w:t>
      </w:r>
      <w:r w:rsidR="0056641F">
        <w:t xml:space="preserve"> </w:t>
      </w:r>
      <w:r w:rsidR="007A7A87">
        <w:t>late</w:t>
      </w:r>
      <w:r w:rsidR="0056641F">
        <w:t xml:space="preserve"> 2013</w:t>
      </w:r>
      <w:r w:rsidR="004059D2">
        <w:t xml:space="preserve">. </w:t>
      </w:r>
    </w:p>
    <w:p w14:paraId="2D8F3869" w14:textId="7996EC80" w:rsidR="00610848" w:rsidRDefault="007D1771" w:rsidP="00067A68">
      <w:pPr>
        <w:pStyle w:val="BodyText"/>
      </w:pPr>
      <w:r>
        <w:lastRenderedPageBreak/>
        <w:t xml:space="preserve">Some </w:t>
      </w:r>
      <w:r w:rsidR="00610848">
        <w:t xml:space="preserve">progress has been made toward the private sector growth objectives of the </w:t>
      </w:r>
      <w:r w:rsidR="00E13548">
        <w:t>p</w:t>
      </w:r>
      <w:r w:rsidR="00610848">
        <w:t>artnership</w:t>
      </w:r>
      <w:r w:rsidR="00C646BD">
        <w:t>. W</w:t>
      </w:r>
      <w:r w:rsidR="00610848">
        <w:t xml:space="preserve">ork on the </w:t>
      </w:r>
      <w:r w:rsidR="0047317B">
        <w:t>Australian Government</w:t>
      </w:r>
      <w:r w:rsidR="00163280">
        <w:t>-</w:t>
      </w:r>
      <w:r w:rsidR="00A30BE4">
        <w:t xml:space="preserve">funded </w:t>
      </w:r>
      <w:r w:rsidR="00610848">
        <w:t>Bank of Nauru liquidation</w:t>
      </w:r>
      <w:r w:rsidR="00163280">
        <w:t>, scheduled</w:t>
      </w:r>
      <w:r w:rsidR="00913870">
        <w:t xml:space="preserve"> to be finished </w:t>
      </w:r>
      <w:r w:rsidR="005C1C05">
        <w:t>by the end of 2013</w:t>
      </w:r>
      <w:r w:rsidR="00163280">
        <w:t>,</w:t>
      </w:r>
      <w:r w:rsidR="007A7A87">
        <w:t xml:space="preserve"> is expected to improve</w:t>
      </w:r>
      <w:r w:rsidR="00407148">
        <w:t xml:space="preserve"> </w:t>
      </w:r>
      <w:r w:rsidR="007A7A87">
        <w:t>the</w:t>
      </w:r>
      <w:r w:rsidR="00C646BD">
        <w:t xml:space="preserve"> prospects of attracting a new commercial banking operation to the island</w:t>
      </w:r>
      <w:r w:rsidR="007A7A87">
        <w:t xml:space="preserve">. </w:t>
      </w:r>
      <w:r w:rsidR="00C646BD">
        <w:t>The Fisheries Institutional Reform program continue</w:t>
      </w:r>
      <w:r w:rsidR="007A7A87">
        <w:t>d</w:t>
      </w:r>
      <w:r w:rsidR="00C646BD">
        <w:t xml:space="preserve"> to improve the operations </w:t>
      </w:r>
      <w:r w:rsidR="00974693">
        <w:t>of</w:t>
      </w:r>
      <w:r w:rsidR="006B24E9">
        <w:t>,</w:t>
      </w:r>
      <w:r w:rsidR="00974693">
        <w:t xml:space="preserve"> </w:t>
      </w:r>
      <w:r w:rsidR="00C646BD">
        <w:t>and returns from</w:t>
      </w:r>
      <w:r w:rsidR="006B24E9">
        <w:t>,</w:t>
      </w:r>
      <w:r w:rsidR="00C646BD">
        <w:t xml:space="preserve"> the fishing industry</w:t>
      </w:r>
      <w:r w:rsidR="007A7A87">
        <w:t xml:space="preserve"> and </w:t>
      </w:r>
      <w:r w:rsidR="00163280">
        <w:t xml:space="preserve">provide </w:t>
      </w:r>
      <w:r w:rsidR="007A7A87">
        <w:t xml:space="preserve">support </w:t>
      </w:r>
      <w:r w:rsidR="00163280">
        <w:t xml:space="preserve">to </w:t>
      </w:r>
      <w:r w:rsidR="007A7A87">
        <w:t>commercial</w:t>
      </w:r>
      <w:r w:rsidR="00C646BD">
        <w:t xml:space="preserve"> aquaculture and aquarium fisheries. </w:t>
      </w:r>
    </w:p>
    <w:p w14:paraId="7601EE0F" w14:textId="4592F7EC" w:rsidR="00BE65E4" w:rsidRDefault="006E1662" w:rsidP="00BE65E4">
      <w:pPr>
        <w:pStyle w:val="Caption"/>
      </w:pPr>
      <w:r>
        <w:t>T</w:t>
      </w:r>
      <w:r w:rsidR="00BE65E4">
        <w:t xml:space="preserve">able </w:t>
      </w:r>
      <w:r w:rsidR="002D03A4">
        <w:fldChar w:fldCharType="begin"/>
      </w:r>
      <w:r w:rsidR="002D03A4">
        <w:instrText xml:space="preserve"> SEQ Table \* ARABIC </w:instrText>
      </w:r>
      <w:r w:rsidR="002D03A4">
        <w:fldChar w:fldCharType="separate"/>
      </w:r>
      <w:r w:rsidR="00CE5AA7">
        <w:rPr>
          <w:noProof/>
        </w:rPr>
        <w:t>2</w:t>
      </w:r>
      <w:r w:rsidR="002D03A4">
        <w:rPr>
          <w:noProof/>
        </w:rPr>
        <w:fldChar w:fldCharType="end"/>
      </w:r>
      <w:r w:rsidR="00BE65E4">
        <w:t xml:space="preserve"> Rating of the program's progress towards the objectives</w:t>
      </w:r>
    </w:p>
    <w:tbl>
      <w:tblPr>
        <w:tblStyle w:val="APPR"/>
        <w:tblW w:w="5000" w:type="pct"/>
        <w:tblLook w:val="0000" w:firstRow="0" w:lastRow="0" w:firstColumn="0" w:lastColumn="0" w:noHBand="0" w:noVBand="0"/>
      </w:tblPr>
      <w:tblGrid>
        <w:gridCol w:w="6111"/>
        <w:gridCol w:w="1006"/>
        <w:gridCol w:w="419"/>
        <w:gridCol w:w="1070"/>
      </w:tblGrid>
      <w:tr w:rsidR="00FE4491" w:rsidRPr="0019341B" w14:paraId="7601EE14" w14:textId="77777777" w:rsidTr="00BE65E4">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7601EE10" w14:textId="77777777" w:rsidR="00FE4491" w:rsidRPr="0019341B" w:rsidRDefault="00FE4491" w:rsidP="00443639">
            <w:pPr>
              <w:pStyle w:val="TableTextColumnHeading"/>
            </w:pPr>
            <w:r w:rsidRPr="0019341B">
              <w:rPr>
                <w:noProof/>
                <w:lang w:eastAsia="en-AU"/>
              </w:rPr>
              <w:drawing>
                <wp:anchor distT="0" distB="0" distL="114300" distR="114300" simplePos="0" relativeHeight="251662336" behindDoc="0" locked="0" layoutInCell="1" allowOverlap="1" wp14:anchorId="7601EF30" wp14:editId="7601EF31">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14:paraId="7601EE11" w14:textId="6E13329F" w:rsidR="00FE4491" w:rsidRPr="0019341B" w:rsidRDefault="00FE4491" w:rsidP="00E13548">
            <w:pPr>
              <w:pStyle w:val="TableTextColumnHeading"/>
            </w:pPr>
            <w:r>
              <w:t xml:space="preserve">Current </w:t>
            </w:r>
            <w:r w:rsidR="00E13548">
              <w:t>r</w:t>
            </w:r>
            <w:r>
              <w:t>ating</w:t>
            </w:r>
          </w:p>
        </w:tc>
        <w:tc>
          <w:tcPr>
            <w:tcW w:w="388" w:type="dxa"/>
          </w:tcPr>
          <w:p w14:paraId="7601EE12" w14:textId="77777777" w:rsidR="00FE4491" w:rsidRDefault="00FE4491" w:rsidP="00443639">
            <w:pPr>
              <w:pStyle w:val="TableTextColumnHeading"/>
            </w:pPr>
          </w:p>
        </w:tc>
        <w:tc>
          <w:tcPr>
            <w:tcW w:w="1021" w:type="dxa"/>
          </w:tcPr>
          <w:p w14:paraId="7601EE13" w14:textId="7189F99E" w:rsidR="00FE4491" w:rsidRPr="0019341B" w:rsidRDefault="00FE4491" w:rsidP="00E13548">
            <w:pPr>
              <w:pStyle w:val="TableTextColumnHeading"/>
            </w:pPr>
            <w:r>
              <w:t xml:space="preserve">Previous </w:t>
            </w:r>
            <w:r w:rsidR="00E13548">
              <w:t>r</w:t>
            </w:r>
            <w:r>
              <w:t>ating</w:t>
            </w:r>
          </w:p>
        </w:tc>
      </w:tr>
      <w:tr w:rsidR="00FE4491" w:rsidRPr="009D53C4" w14:paraId="7601EE19" w14:textId="77777777" w:rsidTr="0025101C">
        <w:trPr>
          <w:cnfStyle w:val="000000010000" w:firstRow="0" w:lastRow="0" w:firstColumn="0" w:lastColumn="0" w:oddVBand="0" w:evenVBand="0" w:oddHBand="0" w:evenHBand="1" w:firstRowFirstColumn="0" w:firstRowLastColumn="0" w:lastRowFirstColumn="0" w:lastRowLastColumn="0"/>
        </w:trPr>
        <w:tc>
          <w:tcPr>
            <w:tcW w:w="6029" w:type="dxa"/>
          </w:tcPr>
          <w:p w14:paraId="7601EE15" w14:textId="2E043119" w:rsidR="00FE4491" w:rsidRPr="0019341B" w:rsidRDefault="002B38AF" w:rsidP="00E13548">
            <w:pPr>
              <w:pStyle w:val="TableTextEntries"/>
            </w:pPr>
            <w:r>
              <w:t xml:space="preserve">Public </w:t>
            </w:r>
            <w:r w:rsidR="00E13548">
              <w:t>s</w:t>
            </w:r>
            <w:r>
              <w:t xml:space="preserve">ector </w:t>
            </w:r>
            <w:r w:rsidR="00E13548">
              <w:t>m</w:t>
            </w:r>
            <w:r>
              <w:t>anagement</w:t>
            </w:r>
          </w:p>
        </w:tc>
        <w:tc>
          <w:tcPr>
            <w:tcW w:w="972" w:type="dxa"/>
            <w:shd w:val="clear" w:color="auto" w:fill="92D050"/>
            <w:noWrap/>
          </w:tcPr>
          <w:p w14:paraId="7601EE16" w14:textId="77777777" w:rsidR="00FE4491" w:rsidRPr="00443639" w:rsidRDefault="00443639" w:rsidP="00443639">
            <w:pPr>
              <w:pStyle w:val="TableTextEntries"/>
              <w:jc w:val="center"/>
              <w:rPr>
                <w:color w:val="FFFFFF" w:themeColor="background1"/>
              </w:rPr>
            </w:pPr>
            <w:r w:rsidRPr="00443639">
              <w:rPr>
                <w:color w:val="FFFFFF" w:themeColor="background1"/>
              </w:rPr>
              <w:t>Green</w:t>
            </w:r>
          </w:p>
        </w:tc>
        <w:tc>
          <w:tcPr>
            <w:tcW w:w="388" w:type="dxa"/>
          </w:tcPr>
          <w:p w14:paraId="7601EE17" w14:textId="77777777" w:rsidR="00FE4491" w:rsidRPr="00443639" w:rsidRDefault="00FE4491" w:rsidP="00443639">
            <w:pPr>
              <w:pStyle w:val="TableTextEntries"/>
              <w:jc w:val="center"/>
              <w:rPr>
                <w:color w:val="FFFFFF" w:themeColor="background1"/>
              </w:rPr>
            </w:pPr>
          </w:p>
        </w:tc>
        <w:tc>
          <w:tcPr>
            <w:tcW w:w="1021" w:type="dxa"/>
            <w:shd w:val="clear" w:color="auto" w:fill="92D050"/>
            <w:noWrap/>
          </w:tcPr>
          <w:p w14:paraId="7601EE18" w14:textId="31490ED3" w:rsidR="00FE4491" w:rsidRPr="0025101C" w:rsidRDefault="0025101C" w:rsidP="00443639">
            <w:pPr>
              <w:pStyle w:val="TableTextEntries"/>
              <w:jc w:val="center"/>
              <w:rPr>
                <w:color w:val="92D050"/>
              </w:rPr>
            </w:pPr>
            <w:r w:rsidRPr="0025101C">
              <w:rPr>
                <w:color w:val="FFFFFF" w:themeColor="background1"/>
              </w:rPr>
              <w:t>Green</w:t>
            </w:r>
          </w:p>
        </w:tc>
      </w:tr>
      <w:tr w:rsidR="00FE4491" w:rsidRPr="009D53C4" w14:paraId="7601EE1E" w14:textId="77777777" w:rsidTr="0025101C">
        <w:trPr>
          <w:cnfStyle w:val="000000010000" w:firstRow="0" w:lastRow="0" w:firstColumn="0" w:lastColumn="0" w:oddVBand="0" w:evenVBand="0" w:oddHBand="0" w:evenHBand="1" w:firstRowFirstColumn="0" w:firstRowLastColumn="0" w:lastRowFirstColumn="0" w:lastRowLastColumn="0"/>
        </w:trPr>
        <w:tc>
          <w:tcPr>
            <w:tcW w:w="6029" w:type="dxa"/>
          </w:tcPr>
          <w:p w14:paraId="7601EE1A" w14:textId="05C60FB6" w:rsidR="00FE4491" w:rsidRPr="0019341B" w:rsidRDefault="002B38AF" w:rsidP="00443639">
            <w:pPr>
              <w:pStyle w:val="TableTextEntries"/>
            </w:pPr>
            <w:r>
              <w:t>Education</w:t>
            </w:r>
          </w:p>
        </w:tc>
        <w:tc>
          <w:tcPr>
            <w:tcW w:w="972" w:type="dxa"/>
            <w:shd w:val="clear" w:color="auto" w:fill="92D050"/>
            <w:noWrap/>
          </w:tcPr>
          <w:p w14:paraId="7601EE1B" w14:textId="4FF44C54" w:rsidR="00FE4491" w:rsidRPr="00443639" w:rsidRDefault="0025101C" w:rsidP="00443639">
            <w:pPr>
              <w:pStyle w:val="TableTextEntries"/>
              <w:jc w:val="center"/>
              <w:rPr>
                <w:color w:val="FFFFFF" w:themeColor="background1"/>
              </w:rPr>
            </w:pPr>
            <w:r>
              <w:rPr>
                <w:color w:val="FFFFFF" w:themeColor="background1"/>
              </w:rPr>
              <w:t>Green</w:t>
            </w:r>
          </w:p>
        </w:tc>
        <w:tc>
          <w:tcPr>
            <w:tcW w:w="388" w:type="dxa"/>
          </w:tcPr>
          <w:p w14:paraId="7601EE1C" w14:textId="77777777" w:rsidR="00FE4491" w:rsidRPr="00443639" w:rsidRDefault="00FE4491" w:rsidP="00443639">
            <w:pPr>
              <w:pStyle w:val="TableTextEntries"/>
              <w:jc w:val="center"/>
              <w:rPr>
                <w:color w:val="FFFFFF" w:themeColor="background1"/>
              </w:rPr>
            </w:pPr>
          </w:p>
        </w:tc>
        <w:tc>
          <w:tcPr>
            <w:tcW w:w="1021" w:type="dxa"/>
            <w:shd w:val="clear" w:color="auto" w:fill="92D050"/>
            <w:noWrap/>
          </w:tcPr>
          <w:p w14:paraId="7601EE1D" w14:textId="77777777" w:rsidR="00FE4491" w:rsidRPr="00443639" w:rsidRDefault="00FE4491" w:rsidP="00443639">
            <w:pPr>
              <w:pStyle w:val="TableTextEntries"/>
              <w:jc w:val="center"/>
              <w:rPr>
                <w:color w:val="FFFFFF" w:themeColor="background1"/>
              </w:rPr>
            </w:pPr>
            <w:r w:rsidRPr="00443639">
              <w:rPr>
                <w:color w:val="FFFFFF" w:themeColor="background1"/>
              </w:rPr>
              <w:t>G</w:t>
            </w:r>
            <w:r w:rsidR="00443639" w:rsidRPr="00443639">
              <w:rPr>
                <w:color w:val="FFFFFF" w:themeColor="background1"/>
              </w:rPr>
              <w:t>reen</w:t>
            </w:r>
          </w:p>
        </w:tc>
      </w:tr>
      <w:tr w:rsidR="00FE4491" w:rsidRPr="009D53C4" w14:paraId="7601EE23" w14:textId="77777777" w:rsidTr="0025101C">
        <w:trPr>
          <w:cnfStyle w:val="000000010000" w:firstRow="0" w:lastRow="0" w:firstColumn="0" w:lastColumn="0" w:oddVBand="0" w:evenVBand="0" w:oddHBand="0" w:evenHBand="1" w:firstRowFirstColumn="0" w:firstRowLastColumn="0" w:lastRowFirstColumn="0" w:lastRowLastColumn="0"/>
        </w:trPr>
        <w:tc>
          <w:tcPr>
            <w:tcW w:w="6029" w:type="dxa"/>
          </w:tcPr>
          <w:p w14:paraId="7601EE1F" w14:textId="459E4D6C" w:rsidR="00FE4491" w:rsidRDefault="002B38AF" w:rsidP="00443639">
            <w:pPr>
              <w:pStyle w:val="TableTextEntries"/>
            </w:pPr>
            <w:r>
              <w:t>Health</w:t>
            </w:r>
          </w:p>
        </w:tc>
        <w:tc>
          <w:tcPr>
            <w:tcW w:w="972" w:type="dxa"/>
            <w:shd w:val="clear" w:color="auto" w:fill="92D050"/>
            <w:noWrap/>
          </w:tcPr>
          <w:p w14:paraId="7601EE20" w14:textId="57F6C408" w:rsidR="00FE4491" w:rsidRPr="00443639" w:rsidRDefault="0025101C" w:rsidP="00443639">
            <w:pPr>
              <w:pStyle w:val="TableTextEntries"/>
              <w:jc w:val="center"/>
              <w:rPr>
                <w:color w:val="FFFFFF" w:themeColor="background1"/>
              </w:rPr>
            </w:pPr>
            <w:r>
              <w:rPr>
                <w:color w:val="FFFFFF" w:themeColor="background1"/>
              </w:rPr>
              <w:t>Green</w:t>
            </w:r>
          </w:p>
        </w:tc>
        <w:tc>
          <w:tcPr>
            <w:tcW w:w="388" w:type="dxa"/>
          </w:tcPr>
          <w:p w14:paraId="7601EE21" w14:textId="77777777" w:rsidR="00FE4491" w:rsidRPr="00443639" w:rsidRDefault="00FE4491" w:rsidP="00443639">
            <w:pPr>
              <w:pStyle w:val="TableTextEntries"/>
              <w:jc w:val="center"/>
              <w:rPr>
                <w:color w:val="FFFFFF" w:themeColor="background1"/>
              </w:rPr>
            </w:pPr>
          </w:p>
        </w:tc>
        <w:tc>
          <w:tcPr>
            <w:tcW w:w="1021" w:type="dxa"/>
            <w:shd w:val="clear" w:color="auto" w:fill="E36C0A" w:themeFill="accent6" w:themeFillShade="BF"/>
            <w:noWrap/>
          </w:tcPr>
          <w:p w14:paraId="7601EE22" w14:textId="4DAE30BF" w:rsidR="00FE4491" w:rsidRPr="00443639" w:rsidRDefault="0025101C" w:rsidP="00443639">
            <w:pPr>
              <w:pStyle w:val="TableTextEntries"/>
              <w:jc w:val="center"/>
              <w:rPr>
                <w:color w:val="FFFFFF" w:themeColor="background1"/>
              </w:rPr>
            </w:pPr>
            <w:r>
              <w:rPr>
                <w:color w:val="FFFFFF" w:themeColor="background1"/>
              </w:rPr>
              <w:t>Amber</w:t>
            </w:r>
          </w:p>
        </w:tc>
      </w:tr>
      <w:tr w:rsidR="002B38AF" w:rsidRPr="009D53C4" w14:paraId="4BE7FF9A" w14:textId="77777777" w:rsidTr="0025101C">
        <w:trPr>
          <w:cnfStyle w:val="000000010000" w:firstRow="0" w:lastRow="0" w:firstColumn="0" w:lastColumn="0" w:oddVBand="0" w:evenVBand="0" w:oddHBand="0" w:evenHBand="1" w:firstRowFirstColumn="0" w:firstRowLastColumn="0" w:lastRowFirstColumn="0" w:lastRowLastColumn="0"/>
        </w:trPr>
        <w:tc>
          <w:tcPr>
            <w:tcW w:w="6029" w:type="dxa"/>
          </w:tcPr>
          <w:p w14:paraId="547CB659" w14:textId="0422DC2F" w:rsidR="002B38AF" w:rsidRDefault="002B38AF" w:rsidP="00443639">
            <w:pPr>
              <w:pStyle w:val="TableTextEntries"/>
            </w:pPr>
            <w:r>
              <w:t>Infrastructure and essential services</w:t>
            </w:r>
          </w:p>
        </w:tc>
        <w:tc>
          <w:tcPr>
            <w:tcW w:w="972" w:type="dxa"/>
            <w:shd w:val="clear" w:color="auto" w:fill="92D050"/>
            <w:noWrap/>
          </w:tcPr>
          <w:p w14:paraId="4F6C4734" w14:textId="34B3A01B" w:rsidR="002B38AF" w:rsidRPr="00443639" w:rsidRDefault="0025101C" w:rsidP="00443639">
            <w:pPr>
              <w:pStyle w:val="TableTextEntries"/>
              <w:jc w:val="center"/>
              <w:rPr>
                <w:color w:val="FFFFFF" w:themeColor="background1"/>
              </w:rPr>
            </w:pPr>
            <w:r>
              <w:rPr>
                <w:color w:val="FFFFFF" w:themeColor="background1"/>
              </w:rPr>
              <w:t>Green</w:t>
            </w:r>
          </w:p>
        </w:tc>
        <w:tc>
          <w:tcPr>
            <w:tcW w:w="388" w:type="dxa"/>
            <w:shd w:val="clear" w:color="auto" w:fill="auto"/>
          </w:tcPr>
          <w:p w14:paraId="07F46BB0" w14:textId="77777777" w:rsidR="002B38AF" w:rsidRPr="00443639" w:rsidRDefault="002B38AF" w:rsidP="00443639">
            <w:pPr>
              <w:pStyle w:val="TableTextEntries"/>
              <w:jc w:val="center"/>
              <w:rPr>
                <w:color w:val="FFFFFF" w:themeColor="background1"/>
              </w:rPr>
            </w:pPr>
          </w:p>
        </w:tc>
        <w:tc>
          <w:tcPr>
            <w:tcW w:w="1021" w:type="dxa"/>
            <w:shd w:val="clear" w:color="auto" w:fill="92D050"/>
            <w:noWrap/>
          </w:tcPr>
          <w:p w14:paraId="46D3F197" w14:textId="6421562A" w:rsidR="002B38AF" w:rsidRPr="00443639" w:rsidRDefault="0025101C" w:rsidP="00443639">
            <w:pPr>
              <w:pStyle w:val="TableTextEntries"/>
              <w:jc w:val="center"/>
              <w:rPr>
                <w:color w:val="FFFFFF" w:themeColor="background1"/>
              </w:rPr>
            </w:pPr>
            <w:r>
              <w:rPr>
                <w:color w:val="FFFFFF" w:themeColor="background1"/>
              </w:rPr>
              <w:t>Green</w:t>
            </w:r>
          </w:p>
        </w:tc>
      </w:tr>
      <w:tr w:rsidR="002B38AF" w:rsidRPr="009D53C4" w14:paraId="1E67833F" w14:textId="77777777" w:rsidTr="0025101C">
        <w:trPr>
          <w:cnfStyle w:val="000000010000" w:firstRow="0" w:lastRow="0" w:firstColumn="0" w:lastColumn="0" w:oddVBand="0" w:evenVBand="0" w:oddHBand="0" w:evenHBand="1" w:firstRowFirstColumn="0" w:firstRowLastColumn="0" w:lastRowFirstColumn="0" w:lastRowLastColumn="0"/>
        </w:trPr>
        <w:tc>
          <w:tcPr>
            <w:tcW w:w="6029" w:type="dxa"/>
          </w:tcPr>
          <w:p w14:paraId="6AA992E5" w14:textId="2AACF50B" w:rsidR="002B38AF" w:rsidRDefault="002B38AF" w:rsidP="00E13548">
            <w:pPr>
              <w:pStyle w:val="TableTextEntries"/>
            </w:pPr>
            <w:r>
              <w:t xml:space="preserve">Private </w:t>
            </w:r>
            <w:r w:rsidR="00E13548">
              <w:t>s</w:t>
            </w:r>
            <w:r>
              <w:t xml:space="preserve">ector </w:t>
            </w:r>
            <w:r w:rsidR="00E13548">
              <w:t>g</w:t>
            </w:r>
            <w:r>
              <w:t>rowth</w:t>
            </w:r>
          </w:p>
        </w:tc>
        <w:tc>
          <w:tcPr>
            <w:tcW w:w="972" w:type="dxa"/>
            <w:shd w:val="clear" w:color="auto" w:fill="E36C0A" w:themeFill="accent6" w:themeFillShade="BF"/>
            <w:noWrap/>
          </w:tcPr>
          <w:p w14:paraId="067557F3" w14:textId="45AB3CC5" w:rsidR="002B38AF" w:rsidRPr="00443639" w:rsidRDefault="0025101C" w:rsidP="00443639">
            <w:pPr>
              <w:pStyle w:val="TableTextEntries"/>
              <w:jc w:val="center"/>
              <w:rPr>
                <w:color w:val="FFFFFF" w:themeColor="background1"/>
              </w:rPr>
            </w:pPr>
            <w:r>
              <w:rPr>
                <w:color w:val="FFFFFF" w:themeColor="background1"/>
              </w:rPr>
              <w:t>Amber</w:t>
            </w:r>
          </w:p>
        </w:tc>
        <w:tc>
          <w:tcPr>
            <w:tcW w:w="388" w:type="dxa"/>
          </w:tcPr>
          <w:p w14:paraId="5EBBC950" w14:textId="77777777" w:rsidR="002B38AF" w:rsidRPr="00443639" w:rsidRDefault="002B38AF" w:rsidP="00443639">
            <w:pPr>
              <w:pStyle w:val="TableTextEntries"/>
              <w:jc w:val="center"/>
              <w:rPr>
                <w:color w:val="FFFFFF" w:themeColor="background1"/>
              </w:rPr>
            </w:pPr>
          </w:p>
        </w:tc>
        <w:tc>
          <w:tcPr>
            <w:tcW w:w="1021" w:type="dxa"/>
            <w:shd w:val="clear" w:color="auto" w:fill="E36C0A" w:themeFill="accent6" w:themeFillShade="BF"/>
            <w:noWrap/>
          </w:tcPr>
          <w:p w14:paraId="6526D934" w14:textId="678F6A2A" w:rsidR="002B38AF" w:rsidRPr="00443639" w:rsidRDefault="0025101C" w:rsidP="00443639">
            <w:pPr>
              <w:pStyle w:val="TableTextEntries"/>
              <w:jc w:val="center"/>
              <w:rPr>
                <w:color w:val="FFFFFF" w:themeColor="background1"/>
              </w:rPr>
            </w:pPr>
            <w:r>
              <w:rPr>
                <w:color w:val="FFFFFF" w:themeColor="background1"/>
              </w:rPr>
              <w:t>Amber</w:t>
            </w:r>
          </w:p>
        </w:tc>
      </w:tr>
    </w:tbl>
    <w:p w14:paraId="7601EE24" w14:textId="77777777" w:rsidR="00180B19" w:rsidRPr="00180B19" w:rsidRDefault="00180B19" w:rsidP="00100AA2">
      <w:pPr>
        <w:pStyle w:val="Note"/>
      </w:pPr>
      <w:r w:rsidRPr="00180B19">
        <w:t xml:space="preserve">Note: </w:t>
      </w:r>
    </w:p>
    <w:p w14:paraId="7601EE25" w14:textId="77777777" w:rsidR="00180B19" w:rsidRPr="00180B19" w:rsidRDefault="00180B19" w:rsidP="00100AA2">
      <w:pPr>
        <w:pStyle w:val="Note"/>
      </w:pPr>
      <w:r w:rsidRPr="004C4A3E">
        <w:rPr>
          <w:color w:val="92D050"/>
        </w:rPr>
        <w:sym w:font="Webdings" w:char="F067"/>
      </w:r>
      <w:r w:rsidRPr="00180B19">
        <w:t> </w:t>
      </w:r>
      <w:r w:rsidRPr="00180B19">
        <w:t xml:space="preserve"> </w:t>
      </w:r>
      <w:proofErr w:type="gramStart"/>
      <w:r w:rsidR="00443639">
        <w:t>Green.</w:t>
      </w:r>
      <w:proofErr w:type="gramEnd"/>
      <w:r w:rsidR="00443639">
        <w:t xml:space="preserve"> </w:t>
      </w:r>
      <w:r w:rsidRPr="00180B19">
        <w:t>Progress is as expected for this point in time and it is likely that the objective will be achieved. Standard program management practices are sufficient.</w:t>
      </w:r>
    </w:p>
    <w:p w14:paraId="7601EE26" w14:textId="77777777" w:rsidR="00180B19" w:rsidRPr="00180B19" w:rsidRDefault="00180B19" w:rsidP="00100AA2">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7601EE27" w14:textId="77777777" w:rsidR="00180B19" w:rsidRPr="00180B19" w:rsidRDefault="00180B19" w:rsidP="00020121">
      <w:pPr>
        <w:pStyle w:val="Note"/>
      </w:pPr>
      <w:r w:rsidRPr="004C4A3E">
        <w:rPr>
          <w:color w:val="FF0000"/>
        </w:rPr>
        <w:sym w:font="Webdings" w:char="F067"/>
      </w:r>
      <w:r w:rsidRPr="00180B19">
        <w:t> </w:t>
      </w:r>
      <w:r w:rsidRPr="00180B19">
        <w:t xml:space="preserve"> </w:t>
      </w:r>
      <w:proofErr w:type="gramStart"/>
      <w:r w:rsidR="00443639">
        <w:t>Red.</w:t>
      </w:r>
      <w:proofErr w:type="gramEnd"/>
      <w:r w:rsidR="00443639">
        <w:t xml:space="preserve"> </w:t>
      </w:r>
      <w:r w:rsidRPr="00180B19">
        <w:t xml:space="preserve">Progress is significantly less than expected for this point in time and the objective is not likely to be met given available resources and priorities. Recasting the objective may be required. </w:t>
      </w:r>
    </w:p>
    <w:p w14:paraId="7601EE28" w14:textId="396814CC" w:rsidR="00180B19" w:rsidRPr="00180B19" w:rsidRDefault="00180B19" w:rsidP="00C65930">
      <w:pPr>
        <w:pStyle w:val="Heading2"/>
      </w:pPr>
      <w:r w:rsidRPr="00021A9E">
        <w:t>Objective</w:t>
      </w:r>
      <w:r w:rsidR="00805C2C">
        <w:t xml:space="preserve"> 1</w:t>
      </w:r>
      <w:r w:rsidR="0025101C">
        <w:t xml:space="preserve">: More </w:t>
      </w:r>
      <w:r w:rsidR="00E13548">
        <w:t>e</w:t>
      </w:r>
      <w:r w:rsidR="0025101C">
        <w:t xml:space="preserve">fficient and </w:t>
      </w:r>
      <w:r w:rsidR="00E13548">
        <w:t>a</w:t>
      </w:r>
      <w:r w:rsidR="0025101C">
        <w:t xml:space="preserve">ccountable </w:t>
      </w:r>
      <w:r w:rsidR="00E13548">
        <w:t>p</w:t>
      </w:r>
      <w:r w:rsidR="0025101C">
        <w:t xml:space="preserve">ublic </w:t>
      </w:r>
      <w:r w:rsidR="00E13548">
        <w:t>s</w:t>
      </w:r>
      <w:r w:rsidR="0025101C">
        <w:t xml:space="preserve">ector </w:t>
      </w:r>
      <w:r w:rsidR="00E13548">
        <w:t>m</w:t>
      </w:r>
      <w:r w:rsidR="0025101C">
        <w:t>anagement</w:t>
      </w:r>
    </w:p>
    <w:p w14:paraId="32D6F4F9" w14:textId="68F2B4F7" w:rsidR="000619BE" w:rsidRDefault="00CD67E4" w:rsidP="00067A68">
      <w:pPr>
        <w:pStyle w:val="BodyText"/>
      </w:pPr>
      <w:r>
        <w:t xml:space="preserve">Under this </w:t>
      </w:r>
      <w:r w:rsidR="0012724D">
        <w:t>objective</w:t>
      </w:r>
      <w:r>
        <w:t>, Australia’s commitment is to:</w:t>
      </w:r>
    </w:p>
    <w:p w14:paraId="69C53B8A" w14:textId="42156649" w:rsidR="00725462" w:rsidRDefault="00F51004" w:rsidP="00067A68">
      <w:pPr>
        <w:pStyle w:val="ListBullet"/>
      </w:pPr>
      <w:r>
        <w:t>s</w:t>
      </w:r>
      <w:r w:rsidR="00725462">
        <w:t>trengthen the capacity of central agencies to deliver and manage national budgets that are aligned with national development policies and plans</w:t>
      </w:r>
    </w:p>
    <w:p w14:paraId="52D93BD9" w14:textId="4DADFCFF" w:rsidR="00725462" w:rsidRDefault="00F51004" w:rsidP="00067A68">
      <w:pPr>
        <w:pStyle w:val="ListBullet"/>
      </w:pPr>
      <w:r>
        <w:t>d</w:t>
      </w:r>
      <w:r w:rsidR="00725462">
        <w:t>evelop and implement policies that reduce fiscal risks and improve revenue generation</w:t>
      </w:r>
    </w:p>
    <w:p w14:paraId="14AC6FA7" w14:textId="0E95BA1F" w:rsidR="00725462" w:rsidRDefault="00F51004" w:rsidP="00067A68">
      <w:pPr>
        <w:pStyle w:val="ListBullet"/>
      </w:pPr>
      <w:r>
        <w:t>i</w:t>
      </w:r>
      <w:r w:rsidR="00725462">
        <w:t>mprove communications between the Government of Nauru and the community on policy development and implementation</w:t>
      </w:r>
    </w:p>
    <w:p w14:paraId="767DE137" w14:textId="71F7E235" w:rsidR="00725462" w:rsidRDefault="00F51004" w:rsidP="00067A68">
      <w:pPr>
        <w:pStyle w:val="ListBullet"/>
      </w:pPr>
      <w:proofErr w:type="gramStart"/>
      <w:r>
        <w:t>i</w:t>
      </w:r>
      <w:r w:rsidR="00725462">
        <w:t>mprove</w:t>
      </w:r>
      <w:proofErr w:type="gramEnd"/>
      <w:r w:rsidR="00725462">
        <w:t xml:space="preserve"> collection and management of development statistics.</w:t>
      </w:r>
    </w:p>
    <w:p w14:paraId="68D7F446" w14:textId="4A01D057" w:rsidR="00606290" w:rsidRDefault="00F51004" w:rsidP="00067A68">
      <w:pPr>
        <w:pStyle w:val="BodyText"/>
      </w:pPr>
      <w:r w:rsidRPr="00AA2A7C">
        <w:t xml:space="preserve">Rating: Green. </w:t>
      </w:r>
      <w:r w:rsidR="004968CE">
        <w:t xml:space="preserve">The program is </w:t>
      </w:r>
      <w:r w:rsidRPr="00AA2A7C">
        <w:t xml:space="preserve">on track to meet </w:t>
      </w:r>
      <w:r w:rsidR="00E13548">
        <w:t>p</w:t>
      </w:r>
      <w:r w:rsidRPr="00AA2A7C">
        <w:t xml:space="preserve">artnership targets for public sector management by </w:t>
      </w:r>
      <w:r w:rsidRPr="002D7EED">
        <w:t>2015</w:t>
      </w:r>
      <w:r w:rsidR="00F203C9" w:rsidRPr="00062561">
        <w:t>.</w:t>
      </w:r>
      <w:r w:rsidR="008E1A1D" w:rsidRPr="00062561">
        <w:t xml:space="preserve"> </w:t>
      </w:r>
    </w:p>
    <w:p w14:paraId="6746B81C" w14:textId="1F11E98F" w:rsidR="00F644E2" w:rsidRPr="00062561" w:rsidRDefault="00F644E2" w:rsidP="00BD0809">
      <w:pPr>
        <w:pStyle w:val="Heading3"/>
      </w:pPr>
      <w:r w:rsidRPr="00062561">
        <w:t>Overview</w:t>
      </w:r>
    </w:p>
    <w:p w14:paraId="1871EE99" w14:textId="42D40952" w:rsidR="009720BF" w:rsidRDefault="00000BF2" w:rsidP="00067A68">
      <w:pPr>
        <w:pStyle w:val="BodyText"/>
      </w:pPr>
      <w:r w:rsidRPr="002D7EED">
        <w:t>In</w:t>
      </w:r>
      <w:r>
        <w:t xml:space="preserve"> 2012</w:t>
      </w:r>
      <w:r w:rsidR="00E13548">
        <w:t>–</w:t>
      </w:r>
      <w:r>
        <w:t>13</w:t>
      </w:r>
      <w:r w:rsidR="002D7EED">
        <w:t>,</w:t>
      </w:r>
      <w:r>
        <w:t xml:space="preserve"> the </w:t>
      </w:r>
      <w:r w:rsidR="00E13548">
        <w:t>g</w:t>
      </w:r>
      <w:r>
        <w:t xml:space="preserve">overnment’s budget continued </w:t>
      </w:r>
      <w:r w:rsidR="009720BF">
        <w:t>to align</w:t>
      </w:r>
      <w:r>
        <w:t xml:space="preserve"> behind the N</w:t>
      </w:r>
      <w:r w:rsidR="004968CE">
        <w:t>SDS</w:t>
      </w:r>
      <w:r w:rsidR="00F203C9">
        <w:t xml:space="preserve">. </w:t>
      </w:r>
      <w:r w:rsidRPr="00000BF2">
        <w:t>Combined domestic allocation</w:t>
      </w:r>
      <w:r w:rsidR="004968CE">
        <w:t>s</w:t>
      </w:r>
      <w:r w:rsidRPr="00000BF2">
        <w:t xml:space="preserve"> to health and education </w:t>
      </w:r>
      <w:r>
        <w:t>increased from $6.4 million in 2011</w:t>
      </w:r>
      <w:r w:rsidR="00E13548">
        <w:t>–</w:t>
      </w:r>
      <w:r>
        <w:t xml:space="preserve">12 to </w:t>
      </w:r>
      <w:r w:rsidR="002D7EED">
        <w:t>the</w:t>
      </w:r>
      <w:r>
        <w:t xml:space="preserve"> planned $8 million in 2012</w:t>
      </w:r>
      <w:r w:rsidR="00E13548">
        <w:t>–</w:t>
      </w:r>
      <w:r>
        <w:t>13. However, as a proportion of domestic expenditure</w:t>
      </w:r>
      <w:r w:rsidR="002D7EED">
        <w:t>,</w:t>
      </w:r>
      <w:r>
        <w:t xml:space="preserve"> </w:t>
      </w:r>
      <w:r w:rsidR="002D7EED">
        <w:t xml:space="preserve">allocations </w:t>
      </w:r>
      <w:r>
        <w:t xml:space="preserve">declined from </w:t>
      </w:r>
      <w:r w:rsidR="009720BF">
        <w:t>17</w:t>
      </w:r>
      <w:r w:rsidR="008E1A1D">
        <w:t xml:space="preserve"> </w:t>
      </w:r>
      <w:r w:rsidR="004C08A2">
        <w:t>per cent</w:t>
      </w:r>
      <w:r w:rsidR="009720BF">
        <w:t xml:space="preserve"> to 14</w:t>
      </w:r>
      <w:r w:rsidR="008E1A1D">
        <w:t xml:space="preserve"> </w:t>
      </w:r>
      <w:r w:rsidR="004C08A2">
        <w:t>per cent</w:t>
      </w:r>
      <w:r w:rsidR="009720BF">
        <w:t>. In 2012</w:t>
      </w:r>
      <w:r w:rsidR="00E13548">
        <w:t>–</w:t>
      </w:r>
      <w:r w:rsidR="009720BF">
        <w:t>13</w:t>
      </w:r>
      <w:r w:rsidR="002D7EED">
        <w:t>,</w:t>
      </w:r>
      <w:r w:rsidR="009720BF">
        <w:t xml:space="preserve"> the </w:t>
      </w:r>
      <w:r w:rsidR="00E13548">
        <w:t>Government of Nauru</w:t>
      </w:r>
      <w:r w:rsidR="009720BF">
        <w:t xml:space="preserve"> spent a large share of its increased revenues on paying back domestic debt and </w:t>
      </w:r>
      <w:r w:rsidR="002D7EED">
        <w:t>buying</w:t>
      </w:r>
      <w:r w:rsidR="009720BF">
        <w:t xml:space="preserve"> fuel (</w:t>
      </w:r>
      <w:r w:rsidR="00407148">
        <w:t>previously</w:t>
      </w:r>
      <w:r w:rsidR="009720BF">
        <w:t xml:space="preserve"> funded by </w:t>
      </w:r>
      <w:r w:rsidR="004968CE">
        <w:t>donors</w:t>
      </w:r>
      <w:r w:rsidR="009720BF">
        <w:t>)</w:t>
      </w:r>
      <w:r w:rsidR="002D7EED">
        <w:t>,</w:t>
      </w:r>
      <w:r w:rsidR="009720BF">
        <w:t xml:space="preserve"> which is in line with NSDS Goal 1: </w:t>
      </w:r>
      <w:r w:rsidR="009720BF" w:rsidRPr="00062561">
        <w:t>Stable, trustworthy, fiscally responsible government.</w:t>
      </w:r>
      <w:r w:rsidR="009720BF">
        <w:t xml:space="preserve"> Between 2011</w:t>
      </w:r>
      <w:r w:rsidR="00E13548">
        <w:t>–</w:t>
      </w:r>
      <w:r w:rsidR="009720BF">
        <w:t xml:space="preserve">12 and </w:t>
      </w:r>
      <w:r>
        <w:t>2012</w:t>
      </w:r>
      <w:r w:rsidR="00E13548">
        <w:t>–</w:t>
      </w:r>
      <w:r>
        <w:t>13</w:t>
      </w:r>
      <w:r w:rsidR="004D568A">
        <w:t>,</w:t>
      </w:r>
      <w:r>
        <w:t xml:space="preserve"> the </w:t>
      </w:r>
      <w:r w:rsidR="00E13548">
        <w:t>g</w:t>
      </w:r>
      <w:r>
        <w:t xml:space="preserve">overnment’s domestic revenues increased </w:t>
      </w:r>
      <w:r w:rsidR="009720BF">
        <w:t>from $41</w:t>
      </w:r>
      <w:r w:rsidR="002D7EED">
        <w:t> </w:t>
      </w:r>
      <w:r w:rsidR="009720BF">
        <w:t>million to $61 million</w:t>
      </w:r>
      <w:r w:rsidR="00F203C9">
        <w:t xml:space="preserve">. </w:t>
      </w:r>
      <w:r w:rsidR="009720BF">
        <w:t>The</w:t>
      </w:r>
      <w:r w:rsidR="002D7EED">
        <w:t>se</w:t>
      </w:r>
      <w:r w:rsidR="009720BF">
        <w:t xml:space="preserve"> increases largely result</w:t>
      </w:r>
      <w:r w:rsidR="002D7EED">
        <w:t>ed from</w:t>
      </w:r>
      <w:r w:rsidR="009720BF">
        <w:t xml:space="preserve"> </w:t>
      </w:r>
      <w:r w:rsidR="009720BF">
        <w:lastRenderedPageBreak/>
        <w:t>policy changes (</w:t>
      </w:r>
      <w:r w:rsidR="002D7EED">
        <w:t>for example,</w:t>
      </w:r>
      <w:r w:rsidR="009720BF">
        <w:t xml:space="preserve"> introducing the Vessel Day Scheme</w:t>
      </w:r>
      <w:r w:rsidR="00AB4E26">
        <w:rPr>
          <w:rStyle w:val="FootnoteReference"/>
        </w:rPr>
        <w:footnoteReference w:id="15"/>
      </w:r>
      <w:r w:rsidR="009720BF">
        <w:t>, increasing custom duties on cigarettes and alcohol</w:t>
      </w:r>
      <w:r w:rsidR="002D7EED">
        <w:t>,</w:t>
      </w:r>
      <w:r w:rsidR="009720BF">
        <w:t xml:space="preserve"> and improving compliance) </w:t>
      </w:r>
      <w:r w:rsidR="004968CE">
        <w:t>and</w:t>
      </w:r>
      <w:r w:rsidR="009720BF">
        <w:t xml:space="preserve"> increased economic activity</w:t>
      </w:r>
      <w:r w:rsidR="00B2323A">
        <w:t xml:space="preserve">. </w:t>
      </w:r>
      <w:r w:rsidR="009720BF">
        <w:t xml:space="preserve"> </w:t>
      </w:r>
    </w:p>
    <w:p w14:paraId="0D39CF32" w14:textId="7DCE6623" w:rsidR="00F644E2" w:rsidRPr="00062561" w:rsidRDefault="00F644E2" w:rsidP="00BD0809">
      <w:pPr>
        <w:pStyle w:val="Heading3"/>
      </w:pPr>
      <w:r w:rsidRPr="00062561">
        <w:t>The program</w:t>
      </w:r>
    </w:p>
    <w:p w14:paraId="04A47174" w14:textId="2DFBDFFD" w:rsidR="002D7EED" w:rsidRDefault="004D568A" w:rsidP="00067A68">
      <w:pPr>
        <w:pStyle w:val="BodyText"/>
      </w:pPr>
      <w:r>
        <w:t xml:space="preserve">Australian </w:t>
      </w:r>
      <w:r w:rsidR="002D7EED">
        <w:t>a</w:t>
      </w:r>
      <w:r w:rsidR="0025101C">
        <w:t xml:space="preserve">ssistance </w:t>
      </w:r>
      <w:r w:rsidR="00C307E2">
        <w:t>through</w:t>
      </w:r>
      <w:r w:rsidR="0025101C">
        <w:t xml:space="preserve"> this </w:t>
      </w:r>
      <w:r w:rsidR="00C307E2">
        <w:t>initiative</w:t>
      </w:r>
      <w:r w:rsidR="0025101C">
        <w:t xml:space="preserve"> is primarily targeted at </w:t>
      </w:r>
      <w:r w:rsidR="00725462">
        <w:t>strengthening</w:t>
      </w:r>
      <w:r w:rsidR="0025101C">
        <w:t xml:space="preserve"> public financial management and economic </w:t>
      </w:r>
      <w:r w:rsidR="0038229A">
        <w:t>governance</w:t>
      </w:r>
      <w:r w:rsidR="009B7AFB">
        <w:t xml:space="preserve"> and government communications by providing budget support and technical assistance. </w:t>
      </w:r>
      <w:r w:rsidR="002D7EED">
        <w:t>The PMAG November 2012</w:t>
      </w:r>
      <w:r w:rsidR="009B7AFB">
        <w:t xml:space="preserve"> review of </w:t>
      </w:r>
      <w:r>
        <w:t xml:space="preserve">our </w:t>
      </w:r>
      <w:r w:rsidR="009B7AFB">
        <w:t xml:space="preserve">assistance under this initiative concluded that: </w:t>
      </w:r>
    </w:p>
    <w:p w14:paraId="2D0E4550" w14:textId="1242800E" w:rsidR="009B7AFB" w:rsidRPr="00067A68" w:rsidRDefault="009B7AFB" w:rsidP="00067A68">
      <w:pPr>
        <w:pStyle w:val="BodyText"/>
        <w:rPr>
          <w:i/>
        </w:rPr>
      </w:pPr>
      <w:r w:rsidRPr="00067A68">
        <w:rPr>
          <w:i/>
        </w:rPr>
        <w:t xml:space="preserve">Overall, the Australian Program focusses on key areas of Nauru’s National Sustainable Development Strategy (NSDS) and the Partnership for Development and the PMAG concludes that this is highly relevant. The focus of this initiative on improved public financial management is supported by the PMAG and is of critical importance in enabling the </w:t>
      </w:r>
      <w:r w:rsidR="00E13548" w:rsidRPr="00067A68">
        <w:rPr>
          <w:i/>
        </w:rPr>
        <w:t>Government of Nauru</w:t>
      </w:r>
      <w:r w:rsidRPr="00067A68">
        <w:rPr>
          <w:i/>
        </w:rPr>
        <w:t xml:space="preserve"> to make best use of its scarce resources</w:t>
      </w:r>
      <w:r w:rsidR="002D7EED" w:rsidRPr="00067A68">
        <w:rPr>
          <w:i/>
        </w:rPr>
        <w:t>.</w:t>
      </w:r>
      <w:r w:rsidRPr="00067A68">
        <w:rPr>
          <w:rStyle w:val="FootnoteReference"/>
          <w:i/>
          <w:sz w:val="14"/>
          <w:szCs w:val="14"/>
        </w:rPr>
        <w:footnoteReference w:id="16"/>
      </w:r>
    </w:p>
    <w:p w14:paraId="11175431" w14:textId="79DA97C4" w:rsidR="00B35542" w:rsidRDefault="004D568A" w:rsidP="00067A68">
      <w:pPr>
        <w:pStyle w:val="BodyText"/>
      </w:pPr>
      <w:r>
        <w:t xml:space="preserve">Our </w:t>
      </w:r>
      <w:r w:rsidR="002D7EED">
        <w:t>b</w:t>
      </w:r>
      <w:r w:rsidR="00C307E2">
        <w:t xml:space="preserve">udget support </w:t>
      </w:r>
      <w:r w:rsidR="009B7AFB">
        <w:t xml:space="preserve">is </w:t>
      </w:r>
      <w:r w:rsidR="00F429B7">
        <w:t xml:space="preserve">earmarked to agreed priorities </w:t>
      </w:r>
      <w:r w:rsidR="00C307E2">
        <w:t>and channelled through G</w:t>
      </w:r>
      <w:r w:rsidR="00B90C9A">
        <w:t>overnment of Nauru</w:t>
      </w:r>
      <w:r w:rsidR="00C307E2">
        <w:t xml:space="preserve"> financial management systems using a </w:t>
      </w:r>
      <w:r w:rsidR="00B90C9A">
        <w:t>government</w:t>
      </w:r>
      <w:r w:rsidR="002D7EED">
        <w:t>-</w:t>
      </w:r>
      <w:r w:rsidR="00C307E2">
        <w:t xml:space="preserve">managed </w:t>
      </w:r>
      <w:r w:rsidR="00DC1811">
        <w:t>o</w:t>
      </w:r>
      <w:r w:rsidR="00C307E2">
        <w:t xml:space="preserve">perational </w:t>
      </w:r>
      <w:r w:rsidR="00DC1811">
        <w:t>a</w:t>
      </w:r>
      <w:r w:rsidR="00C307E2">
        <w:t>ccount. Annual</w:t>
      </w:r>
      <w:r w:rsidR="00407148">
        <w:t xml:space="preserve"> </w:t>
      </w:r>
      <w:r w:rsidR="00C307E2">
        <w:t>independent audits of th</w:t>
      </w:r>
      <w:r w:rsidR="002D7EED">
        <w:t>is</w:t>
      </w:r>
      <w:r w:rsidR="00C307E2">
        <w:t xml:space="preserve"> </w:t>
      </w:r>
      <w:r w:rsidR="00B90C9A">
        <w:t>a</w:t>
      </w:r>
      <w:r w:rsidR="00C307E2">
        <w:t>ccount have consistently reconcile</w:t>
      </w:r>
      <w:r w:rsidR="002D44FF">
        <w:t>d</w:t>
      </w:r>
      <w:r w:rsidR="00C307E2">
        <w:t xml:space="preserve"> all funds a</w:t>
      </w:r>
      <w:r w:rsidR="002D44FF">
        <w:t>nd identified no</w:t>
      </w:r>
      <w:r w:rsidR="002D7EED">
        <w:t xml:space="preserve"> mismanagement</w:t>
      </w:r>
      <w:r w:rsidR="002D44FF">
        <w:t xml:space="preserve"> issues.</w:t>
      </w:r>
      <w:r w:rsidR="00974693">
        <w:t xml:space="preserve"> The audits also confirm</w:t>
      </w:r>
      <w:r w:rsidR="009B7AFB">
        <w:t>ed that</w:t>
      </w:r>
      <w:r w:rsidR="00974693">
        <w:t xml:space="preserve"> all funds provided through the </w:t>
      </w:r>
      <w:r w:rsidR="00B90C9A">
        <w:t>o</w:t>
      </w:r>
      <w:r w:rsidR="00974693">
        <w:t xml:space="preserve">perational </w:t>
      </w:r>
      <w:r w:rsidR="00B90C9A">
        <w:t>a</w:t>
      </w:r>
      <w:r w:rsidR="00974693">
        <w:t xml:space="preserve">ccount </w:t>
      </w:r>
      <w:r w:rsidR="002D7EED">
        <w:t>were</w:t>
      </w:r>
      <w:r w:rsidR="00974693">
        <w:t xml:space="preserve"> directed toward agreed activities.</w:t>
      </w:r>
      <w:r w:rsidR="00F04015">
        <w:t xml:space="preserve"> </w:t>
      </w:r>
      <w:r w:rsidR="002D7EED">
        <w:t>P</w:t>
      </w:r>
      <w:r w:rsidR="00F04015">
        <w:t>rovi</w:t>
      </w:r>
      <w:r w:rsidR="002D7EED">
        <w:t xml:space="preserve">ding </w:t>
      </w:r>
      <w:r w:rsidR="00F04015">
        <w:t>a large proportion of Australian and other donor funds as budget support</w:t>
      </w:r>
      <w:r w:rsidR="002D7EED">
        <w:t xml:space="preserve"> has many benefits. It</w:t>
      </w:r>
      <w:r w:rsidR="00F04015">
        <w:t xml:space="preserve"> reduces implementation</w:t>
      </w:r>
      <w:r w:rsidR="002D7EED">
        <w:t xml:space="preserve"> time</w:t>
      </w:r>
      <w:r w:rsidR="00F04015">
        <w:t>, offers greater flexibility in how</w:t>
      </w:r>
      <w:r w:rsidR="002D7EED">
        <w:t xml:space="preserve"> to pursue</w:t>
      </w:r>
      <w:r w:rsidR="00F04015">
        <w:t xml:space="preserve"> outcomes, strengthens partner systems, enhances ownership, reduces transaction costs and avoids external costs such as management fees.</w:t>
      </w:r>
    </w:p>
    <w:p w14:paraId="14157024" w14:textId="77777777" w:rsidR="004D568A" w:rsidRDefault="002D44FF" w:rsidP="00067A68">
      <w:pPr>
        <w:pStyle w:val="BodyText"/>
      </w:pPr>
      <w:r>
        <w:t xml:space="preserve">Use of </w:t>
      </w:r>
      <w:r w:rsidR="00066642">
        <w:t>Government of Nauru</w:t>
      </w:r>
      <w:r>
        <w:t xml:space="preserve"> systems </w:t>
      </w:r>
      <w:r w:rsidR="00F203C9">
        <w:t>with</w:t>
      </w:r>
      <w:r>
        <w:t xml:space="preserve"> oversight from Australian</w:t>
      </w:r>
      <w:r w:rsidR="002D7EED">
        <w:t>-</w:t>
      </w:r>
      <w:r>
        <w:t>funded personnel</w:t>
      </w:r>
      <w:r w:rsidR="002D7EED">
        <w:t>—</w:t>
      </w:r>
      <w:r>
        <w:t xml:space="preserve">in </w:t>
      </w:r>
      <w:r w:rsidR="00F203C9">
        <w:t>roles such as</w:t>
      </w:r>
      <w:r>
        <w:t xml:space="preserve"> Secretary for Finance, Deputy Secretary Treasury, Deputy Secretary Revenue and Deputy Secretary Planning and Aid Coordination</w:t>
      </w:r>
      <w:r w:rsidR="002D7EED">
        <w:t>—</w:t>
      </w:r>
      <w:r>
        <w:t>is helping to strengthen fiscal management and governance a</w:t>
      </w:r>
      <w:r w:rsidR="004873BB">
        <w:t>s well as</w:t>
      </w:r>
      <w:r>
        <w:t xml:space="preserve"> development planning and management</w:t>
      </w:r>
      <w:r w:rsidR="00F04015">
        <w:t xml:space="preserve">. </w:t>
      </w:r>
      <w:r>
        <w:t xml:space="preserve">The PFTAC </w:t>
      </w:r>
      <w:r w:rsidRPr="00062561">
        <w:rPr>
          <w:i/>
        </w:rPr>
        <w:t>Economic and Fiscal Outlook</w:t>
      </w:r>
      <w:r>
        <w:t xml:space="preserve"> report of October 2012 note</w:t>
      </w:r>
      <w:r w:rsidR="00F51004">
        <w:t>d</w:t>
      </w:r>
      <w:r w:rsidR="00107FF6">
        <w:t xml:space="preserve"> that</w:t>
      </w:r>
      <w:r w:rsidR="004D568A">
        <w:t>:</w:t>
      </w:r>
    </w:p>
    <w:p w14:paraId="6FED79A7" w14:textId="1887AD1A" w:rsidR="004D568A" w:rsidRPr="00067A68" w:rsidRDefault="004D568A" w:rsidP="00067A68">
      <w:pPr>
        <w:pStyle w:val="BodyText"/>
        <w:rPr>
          <w:i/>
        </w:rPr>
      </w:pPr>
      <w:r w:rsidRPr="00067A68">
        <w:rPr>
          <w:i/>
        </w:rPr>
        <w:t xml:space="preserve">... </w:t>
      </w:r>
      <w:proofErr w:type="gramStart"/>
      <w:r w:rsidR="002D44FF" w:rsidRPr="00067A68">
        <w:rPr>
          <w:i/>
        </w:rPr>
        <w:t>the</w:t>
      </w:r>
      <w:proofErr w:type="gramEnd"/>
      <w:r w:rsidR="002D44FF" w:rsidRPr="00067A68">
        <w:rPr>
          <w:i/>
        </w:rPr>
        <w:t xml:space="preserve"> </w:t>
      </w:r>
      <w:r w:rsidR="00FC7564" w:rsidRPr="00067A68">
        <w:rPr>
          <w:i/>
        </w:rPr>
        <w:t>g</w:t>
      </w:r>
      <w:r w:rsidR="002D44FF" w:rsidRPr="00067A68">
        <w:rPr>
          <w:i/>
        </w:rPr>
        <w:t>overnment has maintained a prudent fiscal stance for a number of years</w:t>
      </w:r>
      <w:r w:rsidR="000C6ADB" w:rsidRPr="00067A68">
        <w:rPr>
          <w:i/>
        </w:rPr>
        <w:t xml:space="preserve"> </w:t>
      </w:r>
      <w:r w:rsidR="002D44FF" w:rsidRPr="00067A68">
        <w:rPr>
          <w:i/>
        </w:rPr>
        <w:t>… budgets have been broadly balanced. This has been made possible (in part) by increased aid from development partners</w:t>
      </w:r>
      <w:r w:rsidR="00107FF6" w:rsidRPr="00067A68">
        <w:rPr>
          <w:i/>
        </w:rPr>
        <w:t>.</w:t>
      </w:r>
      <w:r w:rsidR="002D44FF" w:rsidRPr="00067A68">
        <w:rPr>
          <w:i/>
        </w:rPr>
        <w:t xml:space="preserve"> </w:t>
      </w:r>
    </w:p>
    <w:p w14:paraId="61991606" w14:textId="68EA26AD" w:rsidR="004873BB" w:rsidRPr="00062561" w:rsidRDefault="002D44FF" w:rsidP="00067A68">
      <w:pPr>
        <w:pStyle w:val="BodyText"/>
      </w:pPr>
      <w:r w:rsidRPr="00107FF6">
        <w:t>The</w:t>
      </w:r>
      <w:r w:rsidR="00107FF6">
        <w:t xml:space="preserve"> PFTAC</w:t>
      </w:r>
      <w:r w:rsidRPr="00107FF6">
        <w:t xml:space="preserve"> report also note</w:t>
      </w:r>
      <w:r w:rsidR="00F51004" w:rsidRPr="00107FF6">
        <w:t>d</w:t>
      </w:r>
      <w:r w:rsidRPr="00107FF6">
        <w:t xml:space="preserve"> that ‘</w:t>
      </w:r>
      <w:r w:rsidRPr="00062561">
        <w:t>fiscal prudence has enabled inroads to be made into Nauru’s debt burden</w:t>
      </w:r>
      <w:r w:rsidR="00107FF6">
        <w:t xml:space="preserve"> </w:t>
      </w:r>
      <w:r w:rsidRPr="00062561">
        <w:t>…</w:t>
      </w:r>
      <w:r w:rsidR="00107FF6">
        <w:t xml:space="preserve"> </w:t>
      </w:r>
      <w:r w:rsidRPr="00062561">
        <w:t>and has enabled total debt to be reduced by around $100 million</w:t>
      </w:r>
      <w:r w:rsidR="00DC1811" w:rsidRPr="00107FF6">
        <w:t>’.</w:t>
      </w:r>
      <w:r w:rsidR="007B4B4D" w:rsidRPr="00062561">
        <w:rPr>
          <w:rStyle w:val="FootnoteReference"/>
        </w:rPr>
        <w:t xml:space="preserve"> </w:t>
      </w:r>
      <w:r w:rsidR="007B4B4D" w:rsidRPr="00062561">
        <w:rPr>
          <w:rStyle w:val="FootnoteReference"/>
        </w:rPr>
        <w:footnoteReference w:id="17"/>
      </w:r>
      <w:r w:rsidR="00E21E42" w:rsidRPr="00107FF6">
        <w:t xml:space="preserve"> </w:t>
      </w:r>
      <w:r w:rsidR="00107FF6">
        <w:t>With</w:t>
      </w:r>
      <w:r w:rsidR="00E21E42" w:rsidRPr="00107FF6">
        <w:t xml:space="preserve"> revenue management, the report state</w:t>
      </w:r>
      <w:r w:rsidR="00F51004" w:rsidRPr="00107FF6">
        <w:t>d</w:t>
      </w:r>
      <w:r w:rsidR="00E21E42" w:rsidRPr="00107FF6">
        <w:t xml:space="preserve"> that </w:t>
      </w:r>
      <w:r w:rsidR="00DC1811" w:rsidRPr="00107FF6">
        <w:t>‘</w:t>
      </w:r>
      <w:r w:rsidR="00E21E42" w:rsidRPr="00062561">
        <w:t>The appointment of an experienced Deputy Secretary</w:t>
      </w:r>
      <w:r w:rsidR="000C6ADB">
        <w:t xml:space="preserve"> of</w:t>
      </w:r>
      <w:r w:rsidR="00E21E42" w:rsidRPr="00062561">
        <w:t xml:space="preserve"> Revenue has enabled the Nauru Revenue Office to take a number of important measures to more rigorously enforce compliance with the revenue framework</w:t>
      </w:r>
      <w:r w:rsidR="00DC1811" w:rsidRPr="00062561">
        <w:t>’</w:t>
      </w:r>
      <w:r w:rsidR="004D568A">
        <w:t>.</w:t>
      </w:r>
      <w:r w:rsidR="007B4B4D" w:rsidRPr="00062561">
        <w:rPr>
          <w:rStyle w:val="FootnoteReference"/>
        </w:rPr>
        <w:footnoteReference w:id="18"/>
      </w:r>
    </w:p>
    <w:p w14:paraId="723136A9" w14:textId="650AEB9A" w:rsidR="00F644E2" w:rsidRPr="00062561" w:rsidRDefault="00F644E2" w:rsidP="00BD0809">
      <w:pPr>
        <w:pStyle w:val="Heading3"/>
      </w:pPr>
      <w:r w:rsidRPr="00062561">
        <w:t>Outcomes</w:t>
      </w:r>
    </w:p>
    <w:p w14:paraId="24CD4F4A" w14:textId="684B9D3F" w:rsidR="00CC0336" w:rsidRDefault="006605F9" w:rsidP="00067A68">
      <w:pPr>
        <w:pStyle w:val="BodyText"/>
      </w:pPr>
      <w:r>
        <w:t>Despite these notable</w:t>
      </w:r>
      <w:r w:rsidR="00107FF6">
        <w:t xml:space="preserve"> successes, </w:t>
      </w:r>
      <w:r w:rsidR="00AB4E26">
        <w:t xml:space="preserve">work under this objective </w:t>
      </w:r>
      <w:r w:rsidR="00CC0336">
        <w:t xml:space="preserve">has had limited success in building the skills and capacity of local </w:t>
      </w:r>
      <w:r w:rsidR="006B493B">
        <w:t xml:space="preserve">government </w:t>
      </w:r>
      <w:r w:rsidR="00CC0336">
        <w:t>personnel. One exception is that a skilled Nauruan national</w:t>
      </w:r>
      <w:r>
        <w:t>,</w:t>
      </w:r>
      <w:r w:rsidR="00CC0336">
        <w:t xml:space="preserve"> mentored by Australian</w:t>
      </w:r>
      <w:r>
        <w:t>-</w:t>
      </w:r>
      <w:r w:rsidR="00CC0336">
        <w:t>funded advisors over the past four years</w:t>
      </w:r>
      <w:r>
        <w:t>,</w:t>
      </w:r>
      <w:r w:rsidR="00CC0336">
        <w:t xml:space="preserve"> was appointed to the position of Secretary for Finance in mid-2012. </w:t>
      </w:r>
      <w:r>
        <w:t xml:space="preserve">We </w:t>
      </w:r>
      <w:r w:rsidR="00CC0336">
        <w:t xml:space="preserve">provide salary supplementation for this </w:t>
      </w:r>
      <w:r w:rsidR="00CC0336">
        <w:lastRenderedPageBreak/>
        <w:t>role. While the</w:t>
      </w:r>
      <w:r>
        <w:t xml:space="preserve"> sector continues to rely </w:t>
      </w:r>
      <w:r w:rsidR="00CC0336">
        <w:t>heav</w:t>
      </w:r>
      <w:r>
        <w:t>il</w:t>
      </w:r>
      <w:r w:rsidR="00CC0336">
        <w:t xml:space="preserve">y on expatriate technical assistance, it is important to recognise the extent </w:t>
      </w:r>
      <w:r>
        <w:t>to which this support is addressing</w:t>
      </w:r>
      <w:r w:rsidR="00CC0336">
        <w:t xml:space="preserve"> capacity gaps </w:t>
      </w:r>
      <w:r>
        <w:t xml:space="preserve">and </w:t>
      </w:r>
      <w:r w:rsidR="00CC0336">
        <w:t>achieving results.</w:t>
      </w:r>
    </w:p>
    <w:p w14:paraId="1D4AC5F4" w14:textId="73EE0CBD" w:rsidR="00E21E42" w:rsidRDefault="001C7AB1" w:rsidP="00067A68">
      <w:pPr>
        <w:pStyle w:val="BodyText"/>
      </w:pPr>
      <w:r>
        <w:t>We have</w:t>
      </w:r>
      <w:r w:rsidR="00F04015">
        <w:t xml:space="preserve"> </w:t>
      </w:r>
      <w:r w:rsidR="006B493B">
        <w:t xml:space="preserve">provided technical assistance and funding to </w:t>
      </w:r>
      <w:r w:rsidR="00F04015">
        <w:t>support</w:t>
      </w:r>
      <w:r w:rsidR="00E21E42">
        <w:t xml:space="preserve"> </w:t>
      </w:r>
      <w:r w:rsidR="00F203C9">
        <w:t>the</w:t>
      </w:r>
      <w:r w:rsidR="00E21E42">
        <w:t xml:space="preserve"> </w:t>
      </w:r>
      <w:r w:rsidR="008E1A1D">
        <w:t>introduction</w:t>
      </w:r>
      <w:r w:rsidR="00F203C9">
        <w:t xml:space="preserve"> of</w:t>
      </w:r>
      <w:r w:rsidR="00E21E42">
        <w:t xml:space="preserve"> an independent third</w:t>
      </w:r>
      <w:r w:rsidR="006605F9">
        <w:t>-</w:t>
      </w:r>
      <w:r w:rsidR="00E21E42">
        <w:t xml:space="preserve">party procurement agent for all </w:t>
      </w:r>
      <w:r w:rsidR="00FC7564">
        <w:t>g</w:t>
      </w:r>
      <w:r w:rsidR="00E21E42">
        <w:t>overnment procurements</w:t>
      </w:r>
      <w:r w:rsidR="006605F9">
        <w:t xml:space="preserve"> worth</w:t>
      </w:r>
      <w:r w:rsidR="00E21E42">
        <w:t xml:space="preserve"> </w:t>
      </w:r>
      <w:r w:rsidR="002D7EED">
        <w:t xml:space="preserve">more than </w:t>
      </w:r>
      <w:r w:rsidR="00E21E42">
        <w:t>$3</w:t>
      </w:r>
      <w:r w:rsidR="006F573F">
        <w:t>,</w:t>
      </w:r>
      <w:r w:rsidR="00E21E42">
        <w:t>000</w:t>
      </w:r>
      <w:r w:rsidR="00F203C9">
        <w:t xml:space="preserve"> (</w:t>
      </w:r>
      <w:r w:rsidR="00E21E42">
        <w:t>including for state</w:t>
      </w:r>
      <w:r w:rsidR="006605F9">
        <w:t>-</w:t>
      </w:r>
      <w:r w:rsidR="00E21E42">
        <w:t>owned enterprises</w:t>
      </w:r>
      <w:r w:rsidR="00F203C9">
        <w:t>)</w:t>
      </w:r>
      <w:r w:rsidR="00E21E42">
        <w:t>. This will realise better value</w:t>
      </w:r>
      <w:r>
        <w:t>-</w:t>
      </w:r>
      <w:r w:rsidR="00E21E42">
        <w:t>for</w:t>
      </w:r>
      <w:r>
        <w:t>-</w:t>
      </w:r>
      <w:r w:rsidR="00E21E42">
        <w:t>money procurement outcomes</w:t>
      </w:r>
      <w:r w:rsidR="002511D4">
        <w:t>, reduce risks and improve transparency and accountability. Following an</w:t>
      </w:r>
      <w:r w:rsidR="00F203C9">
        <w:t xml:space="preserve"> </w:t>
      </w:r>
      <w:r w:rsidR="002511D4">
        <w:t>international tender undertaken in February 2013 (conducted with assistance from an Australian</w:t>
      </w:r>
      <w:r>
        <w:t>-</w:t>
      </w:r>
      <w:r w:rsidR="002511D4">
        <w:t>funded procurement advisor), the preferred bidder for this work is expected to be operat</w:t>
      </w:r>
      <w:r>
        <w:t>ing</w:t>
      </w:r>
      <w:r w:rsidR="002511D4">
        <w:t xml:space="preserve"> in Nauru </w:t>
      </w:r>
      <w:r w:rsidR="008D3482">
        <w:t>by</w:t>
      </w:r>
      <w:r w:rsidR="00A51D3E">
        <w:t xml:space="preserve"> </w:t>
      </w:r>
      <w:r w:rsidR="006B493B">
        <w:t>September</w:t>
      </w:r>
      <w:r w:rsidR="00A51D3E">
        <w:t xml:space="preserve"> </w:t>
      </w:r>
      <w:r w:rsidR="002511D4">
        <w:t>2013.</w:t>
      </w:r>
      <w:r w:rsidR="004873BB">
        <w:t xml:space="preserve"> </w:t>
      </w:r>
      <w:r>
        <w:t>We used p</w:t>
      </w:r>
      <w:r w:rsidR="002511D4">
        <w:t>erformance</w:t>
      </w:r>
      <w:r>
        <w:t>-</w:t>
      </w:r>
      <w:r w:rsidR="00A51D3E">
        <w:t>l</w:t>
      </w:r>
      <w:r w:rsidR="002511D4">
        <w:t xml:space="preserve">inked </w:t>
      </w:r>
      <w:r w:rsidR="00CC0336">
        <w:t xml:space="preserve">funding </w:t>
      </w:r>
      <w:r>
        <w:t>for</w:t>
      </w:r>
      <w:r w:rsidR="002511D4">
        <w:t xml:space="preserve"> the development of policy guidelines, reforms to legislation and development of training modules to facilitate </w:t>
      </w:r>
      <w:r w:rsidR="00A51D3E">
        <w:t xml:space="preserve">the </w:t>
      </w:r>
      <w:r w:rsidR="006B493B">
        <w:t xml:space="preserve">introduction </w:t>
      </w:r>
      <w:r w:rsidR="002511D4">
        <w:t>of the procurement agent.</w:t>
      </w:r>
    </w:p>
    <w:p w14:paraId="396DBBAD" w14:textId="4AF5460D" w:rsidR="0025101C" w:rsidRDefault="001C7AB1" w:rsidP="00067A68">
      <w:pPr>
        <w:pStyle w:val="BodyText"/>
      </w:pPr>
      <w:r>
        <w:t xml:space="preserve">We have also provided </w:t>
      </w:r>
      <w:r w:rsidR="008F43AB">
        <w:t xml:space="preserve">assistance </w:t>
      </w:r>
      <w:r>
        <w:t>that is</w:t>
      </w:r>
      <w:r w:rsidR="008F43AB">
        <w:t xml:space="preserve"> central to broader financial management reforms</w:t>
      </w:r>
      <w:r>
        <w:t>,</w:t>
      </w:r>
      <w:r w:rsidR="00603D6C">
        <w:t xml:space="preserve"> including</w:t>
      </w:r>
      <w:r w:rsidR="00A51D3E">
        <w:t xml:space="preserve"> the</w:t>
      </w:r>
      <w:r w:rsidR="00603D6C">
        <w:t xml:space="preserve"> introduction of a </w:t>
      </w:r>
      <w:r>
        <w:t>f</w:t>
      </w:r>
      <w:r w:rsidR="00603D6C">
        <w:t xml:space="preserve">inancial </w:t>
      </w:r>
      <w:r>
        <w:t>m</w:t>
      </w:r>
      <w:r w:rsidR="00603D6C">
        <w:t xml:space="preserve">anagement </w:t>
      </w:r>
      <w:r>
        <w:t>i</w:t>
      </w:r>
      <w:r w:rsidR="00603D6C">
        <w:t xml:space="preserve">nformation </w:t>
      </w:r>
      <w:r>
        <w:t>s</w:t>
      </w:r>
      <w:r w:rsidR="00603D6C">
        <w:t xml:space="preserve">ystem. However, implementation has been </w:t>
      </w:r>
      <w:r w:rsidR="00CC0336">
        <w:t>delayed</w:t>
      </w:r>
      <w:r w:rsidR="00603D6C">
        <w:t xml:space="preserve"> and additional assistance required to ensure </w:t>
      </w:r>
      <w:r>
        <w:t>it can</w:t>
      </w:r>
      <w:r w:rsidR="00603D6C">
        <w:t xml:space="preserve"> be used effectively by </w:t>
      </w:r>
      <w:r w:rsidR="00066642">
        <w:t>Government of Nauru</w:t>
      </w:r>
      <w:r w:rsidR="00603D6C">
        <w:t xml:space="preserve"> personnel. </w:t>
      </w:r>
      <w:r>
        <w:t>O</w:t>
      </w:r>
      <w:r w:rsidR="00603D6C">
        <w:t xml:space="preserve">nce fully operational, </w:t>
      </w:r>
      <w:r>
        <w:t xml:space="preserve">the system </w:t>
      </w:r>
      <w:r w:rsidR="00603D6C">
        <w:t>will improve reporting functions, strengthen internal controls, reduce administration, and improve acco</w:t>
      </w:r>
      <w:r w:rsidR="00D8169F">
        <w:t>unting and financial management processes.</w:t>
      </w:r>
    </w:p>
    <w:p w14:paraId="577F0221" w14:textId="7670023D" w:rsidR="0025101C" w:rsidRDefault="00416AD3" w:rsidP="00067A68">
      <w:pPr>
        <w:pStyle w:val="BodyText"/>
      </w:pPr>
      <w:r>
        <w:t xml:space="preserve">Despite this </w:t>
      </w:r>
      <w:r w:rsidR="00C703E4">
        <w:t>progress</w:t>
      </w:r>
      <w:r>
        <w:t xml:space="preserve">, </w:t>
      </w:r>
      <w:r w:rsidR="00C703E4">
        <w:t>t</w:t>
      </w:r>
      <w:r w:rsidR="00D43BAD">
        <w:t>h</w:t>
      </w:r>
      <w:r>
        <w:t>e</w:t>
      </w:r>
      <w:r w:rsidR="001C7AB1">
        <w:t xml:space="preserve"> October 2012</w:t>
      </w:r>
      <w:r>
        <w:t xml:space="preserve"> PMAG report note</w:t>
      </w:r>
      <w:r w:rsidR="00C703E4">
        <w:t>d</w:t>
      </w:r>
      <w:r>
        <w:t xml:space="preserve"> that </w:t>
      </w:r>
      <w:r w:rsidR="003C1055" w:rsidRPr="001C7AB1">
        <w:t>‘</w:t>
      </w:r>
      <w:r w:rsidRPr="00062561">
        <w:t>a number of the public financial management reforms have stalled, the remaining agenda is daunting and capacity to implement the reforms is stretched</w:t>
      </w:r>
      <w:r w:rsidR="003C1055" w:rsidRPr="00062561">
        <w:t>’</w:t>
      </w:r>
      <w:r w:rsidR="00CF1592">
        <w:t xml:space="preserve"> One area of risk we have identified is the reform of state-owned enterprises that </w:t>
      </w:r>
      <w:r w:rsidR="004D568A">
        <w:t xml:space="preserve">we </w:t>
      </w:r>
      <w:r w:rsidR="00CF1592">
        <w:t>support through funding</w:t>
      </w:r>
      <w:r w:rsidR="004D568A">
        <w:t xml:space="preserve"> we</w:t>
      </w:r>
      <w:r w:rsidR="00CF1592">
        <w:t xml:space="preserve"> provide to the ADB. </w:t>
      </w:r>
      <w:r w:rsidR="00CC0336">
        <w:t xml:space="preserve">In response to the PMAG report, PFTAC reviewed and </w:t>
      </w:r>
      <w:r w:rsidR="00D43BAD">
        <w:t>prioritised</w:t>
      </w:r>
      <w:r w:rsidR="00407148">
        <w:t xml:space="preserve"> </w:t>
      </w:r>
      <w:r w:rsidR="008D3482">
        <w:t>Nauru’s</w:t>
      </w:r>
      <w:r w:rsidR="004873BB">
        <w:t xml:space="preserve"> </w:t>
      </w:r>
      <w:r w:rsidR="001C7AB1">
        <w:t>p</w:t>
      </w:r>
      <w:r w:rsidR="004873BB">
        <w:t xml:space="preserve">ublic </w:t>
      </w:r>
      <w:r w:rsidR="001C7AB1">
        <w:t>f</w:t>
      </w:r>
      <w:r w:rsidR="004873BB">
        <w:t xml:space="preserve">inancial </w:t>
      </w:r>
      <w:r w:rsidR="001C7AB1">
        <w:t>m</w:t>
      </w:r>
      <w:r w:rsidR="004873BB">
        <w:t xml:space="preserve">anagement </w:t>
      </w:r>
      <w:r w:rsidR="001C7AB1">
        <w:t>r</w:t>
      </w:r>
      <w:r w:rsidR="004873BB">
        <w:t xml:space="preserve">oadmap </w:t>
      </w:r>
      <w:r w:rsidR="005C1C05">
        <w:t>in February 2013</w:t>
      </w:r>
      <w:r w:rsidR="00D43BAD">
        <w:t xml:space="preserve"> </w:t>
      </w:r>
      <w:r w:rsidR="004873BB">
        <w:t>to ensure a more strategic and manageable approach to the reform agenda.</w:t>
      </w:r>
      <w:r w:rsidR="00C703E4">
        <w:t xml:space="preserve"> </w:t>
      </w:r>
      <w:r w:rsidR="001C7AB1">
        <w:t xml:space="preserve">We </w:t>
      </w:r>
      <w:r w:rsidR="00C703E4">
        <w:t xml:space="preserve">will </w:t>
      </w:r>
      <w:r w:rsidR="002221CA">
        <w:t xml:space="preserve">work closely with the ADB and PFTAC to take forward </w:t>
      </w:r>
      <w:r w:rsidR="00F429B7">
        <w:t>the revised</w:t>
      </w:r>
      <w:r w:rsidR="002221CA">
        <w:t xml:space="preserve"> </w:t>
      </w:r>
      <w:r w:rsidR="001C7AB1">
        <w:t>r</w:t>
      </w:r>
      <w:r w:rsidR="002221CA">
        <w:t>oadmap</w:t>
      </w:r>
      <w:r w:rsidR="00F429B7">
        <w:t xml:space="preserve"> by </w:t>
      </w:r>
      <w:r w:rsidR="00CF1592">
        <w:t xml:space="preserve">ensuring </w:t>
      </w:r>
      <w:r w:rsidR="00F429B7">
        <w:t>both closely align</w:t>
      </w:r>
      <w:r w:rsidR="001C7AB1">
        <w:t xml:space="preserve"> programming</w:t>
      </w:r>
      <w:r w:rsidR="00F429B7">
        <w:t xml:space="preserve"> with </w:t>
      </w:r>
      <w:r w:rsidR="001C7AB1">
        <w:t xml:space="preserve">our </w:t>
      </w:r>
      <w:r w:rsidR="005E351A">
        <w:t xml:space="preserve">policy </w:t>
      </w:r>
      <w:r w:rsidR="00F429B7">
        <w:t xml:space="preserve">approach in the </w:t>
      </w:r>
      <w:r w:rsidR="00CF1592">
        <w:t xml:space="preserve">public sector management </w:t>
      </w:r>
      <w:r w:rsidR="00F429B7">
        <w:t>sector</w:t>
      </w:r>
      <w:r w:rsidR="00A51D3E">
        <w:t>.</w:t>
      </w:r>
      <w:r w:rsidR="005E351A">
        <w:t xml:space="preserve"> </w:t>
      </w:r>
    </w:p>
    <w:p w14:paraId="1D750646" w14:textId="1630A420" w:rsidR="00844F6D" w:rsidRDefault="00C703E4" w:rsidP="00067A68">
      <w:pPr>
        <w:pStyle w:val="BodyText"/>
      </w:pPr>
      <w:r>
        <w:t>The ability of the</w:t>
      </w:r>
      <w:r w:rsidR="00562CA5">
        <w:t xml:space="preserve"> Government of Nauru’s</w:t>
      </w:r>
      <w:r>
        <w:t xml:space="preserve"> Department of Finance to effectively manage rapidly increasing revenues and inflation risks resulting from increased economic activity</w:t>
      </w:r>
      <w:r w:rsidR="000C6ADB">
        <w:t xml:space="preserve"> </w:t>
      </w:r>
      <w:r>
        <w:t>need</w:t>
      </w:r>
      <w:r w:rsidR="00562CA5">
        <w:t>s</w:t>
      </w:r>
      <w:r>
        <w:t xml:space="preserve"> careful monitoring. </w:t>
      </w:r>
      <w:r w:rsidR="006F573F">
        <w:t>DFAT</w:t>
      </w:r>
      <w:r w:rsidR="004C73F8">
        <w:t xml:space="preserve"> </w:t>
      </w:r>
      <w:r w:rsidR="00D43BAD">
        <w:t>will continue to engage</w:t>
      </w:r>
      <w:r w:rsidR="00562CA5">
        <w:t xml:space="preserve"> with</w:t>
      </w:r>
      <w:r w:rsidR="00066642">
        <w:t xml:space="preserve"> the</w:t>
      </w:r>
      <w:r>
        <w:t xml:space="preserve"> </w:t>
      </w:r>
      <w:r w:rsidR="00562CA5">
        <w:t>g</w:t>
      </w:r>
      <w:r w:rsidR="00066642">
        <w:t>overnment o</w:t>
      </w:r>
      <w:r w:rsidR="00562CA5">
        <w:t>n how to distribute</w:t>
      </w:r>
      <w:r w:rsidR="00D43BAD">
        <w:t xml:space="preserve"> </w:t>
      </w:r>
      <w:r w:rsidR="002221CA">
        <w:t xml:space="preserve">the benefits of </w:t>
      </w:r>
      <w:r w:rsidR="00562CA5">
        <w:t>its</w:t>
      </w:r>
      <w:r w:rsidR="002221CA">
        <w:t xml:space="preserve"> growing economy </w:t>
      </w:r>
      <w:r w:rsidR="00562CA5">
        <w:t>so they are shared</w:t>
      </w:r>
      <w:r w:rsidR="002221CA">
        <w:t xml:space="preserve"> by all sect</w:t>
      </w:r>
      <w:r w:rsidR="00562CA5">
        <w:t xml:space="preserve">ions of </w:t>
      </w:r>
      <w:r w:rsidR="002221CA">
        <w:t>the community, including the most vulnerable.</w:t>
      </w:r>
    </w:p>
    <w:p w14:paraId="3B1CC7E1" w14:textId="6D855D15" w:rsidR="001C3F8F" w:rsidRPr="00067A68" w:rsidRDefault="001C3F8F" w:rsidP="00BD0809">
      <w:pPr>
        <w:pStyle w:val="Heading3"/>
      </w:pPr>
      <w:r w:rsidRPr="00067A68">
        <w:t>Management consequences</w:t>
      </w:r>
    </w:p>
    <w:p w14:paraId="253BDCAB" w14:textId="631509F5" w:rsidR="00CF1592" w:rsidRDefault="007342D3" w:rsidP="00067A68">
      <w:pPr>
        <w:pStyle w:val="ListBullet"/>
      </w:pPr>
      <w:r>
        <w:t xml:space="preserve">DFAT </w:t>
      </w:r>
      <w:r w:rsidR="001C3F8F">
        <w:t>need</w:t>
      </w:r>
      <w:r w:rsidR="00562CA5">
        <w:t>s</w:t>
      </w:r>
      <w:r w:rsidR="001C3F8F">
        <w:t xml:space="preserve"> to engage </w:t>
      </w:r>
      <w:r w:rsidR="00CF1592">
        <w:t xml:space="preserve">more </w:t>
      </w:r>
      <w:r w:rsidR="001C3F8F">
        <w:t xml:space="preserve">closely with </w:t>
      </w:r>
      <w:r w:rsidR="00562CA5">
        <w:t>t</w:t>
      </w:r>
      <w:r w:rsidR="00066642">
        <w:t>he Government of Nauru</w:t>
      </w:r>
      <w:r w:rsidR="00873896">
        <w:t>, ADB and PFTAC</w:t>
      </w:r>
      <w:r w:rsidR="001C3F8F">
        <w:t xml:space="preserve"> on policy </w:t>
      </w:r>
      <w:r w:rsidR="00805C2C">
        <w:t xml:space="preserve">and planning </w:t>
      </w:r>
      <w:r w:rsidR="001C3F8F">
        <w:t xml:space="preserve">relating to </w:t>
      </w:r>
      <w:r w:rsidR="00805C2C">
        <w:t xml:space="preserve">management and effective use of </w:t>
      </w:r>
      <w:r w:rsidR="00AC644F">
        <w:t>Nauru’s expanding</w:t>
      </w:r>
      <w:r w:rsidR="001C3F8F">
        <w:t xml:space="preserve"> revenue </w:t>
      </w:r>
      <w:r w:rsidR="00AC644F">
        <w:t>base</w:t>
      </w:r>
      <w:r w:rsidR="00805C2C">
        <w:t xml:space="preserve"> </w:t>
      </w:r>
      <w:r w:rsidR="00873896">
        <w:t xml:space="preserve">(potentially through a </w:t>
      </w:r>
      <w:r w:rsidR="00562CA5">
        <w:t>j</w:t>
      </w:r>
      <w:r w:rsidR="00873896">
        <w:t xml:space="preserve">oint </w:t>
      </w:r>
      <w:r w:rsidR="00562CA5">
        <w:t>p</w:t>
      </w:r>
      <w:r w:rsidR="00873896">
        <w:t>olicy</w:t>
      </w:r>
      <w:r w:rsidR="00562CA5">
        <w:t xml:space="preserve"> r</w:t>
      </w:r>
      <w:r w:rsidR="00873896">
        <w:t xml:space="preserve">eform program) </w:t>
      </w:r>
      <w:r w:rsidR="00805C2C">
        <w:t xml:space="preserve">to </w:t>
      </w:r>
      <w:r w:rsidR="00562CA5">
        <w:t xml:space="preserve">focus </w:t>
      </w:r>
      <w:r w:rsidR="001C3F8F">
        <w:t xml:space="preserve">expenditure on </w:t>
      </w:r>
      <w:r w:rsidR="00805C2C">
        <w:t>strategic investments,</w:t>
      </w:r>
      <w:r w:rsidR="00CF1592">
        <w:t xml:space="preserve"> sav</w:t>
      </w:r>
      <w:r w:rsidR="002833AA">
        <w:t>e</w:t>
      </w:r>
      <w:r w:rsidR="00CF1592">
        <w:t xml:space="preserve"> for the future,</w:t>
      </w:r>
      <w:r w:rsidR="00805C2C">
        <w:t xml:space="preserve"> improv</w:t>
      </w:r>
      <w:r w:rsidR="002833AA">
        <w:t>e</w:t>
      </w:r>
      <w:r w:rsidR="00805C2C">
        <w:t xml:space="preserve"> critical infrastructure</w:t>
      </w:r>
      <w:r w:rsidR="00CF1592">
        <w:t xml:space="preserve"> and</w:t>
      </w:r>
      <w:r w:rsidR="00805C2C">
        <w:t xml:space="preserve"> reduc</w:t>
      </w:r>
      <w:r w:rsidR="002833AA">
        <w:t>e</w:t>
      </w:r>
      <w:r w:rsidR="00805C2C">
        <w:t xml:space="preserve"> debt</w:t>
      </w:r>
      <w:r w:rsidR="00907A2E">
        <w:t>.</w:t>
      </w:r>
      <w:r w:rsidR="00063650">
        <w:t xml:space="preserve"> </w:t>
      </w:r>
    </w:p>
    <w:p w14:paraId="0A7B6F44" w14:textId="392BEDE5" w:rsidR="00E1068C" w:rsidRDefault="007342D3" w:rsidP="00E1068C">
      <w:pPr>
        <w:pStyle w:val="ListBullet"/>
      </w:pPr>
      <w:r>
        <w:t xml:space="preserve">DFAT </w:t>
      </w:r>
      <w:r w:rsidR="002833AA">
        <w:t>needs to place g</w:t>
      </w:r>
      <w:r w:rsidR="00063650">
        <w:t>reater emphasis</w:t>
      </w:r>
      <w:r w:rsidR="002833AA">
        <w:t xml:space="preserve"> </w:t>
      </w:r>
      <w:r w:rsidR="00063650">
        <w:t xml:space="preserve">on support for the ADB’s </w:t>
      </w:r>
      <w:r w:rsidR="00BB269C">
        <w:t xml:space="preserve">state-owned enterprise </w:t>
      </w:r>
      <w:r w:rsidR="00063650">
        <w:t>reform program.</w:t>
      </w:r>
    </w:p>
    <w:p w14:paraId="7F6BD64C" w14:textId="2092B25F" w:rsidR="00BB0898" w:rsidRPr="00E1068C" w:rsidRDefault="007342D3" w:rsidP="00E1068C">
      <w:pPr>
        <w:pStyle w:val="ListBullet"/>
      </w:pPr>
      <w:r>
        <w:t xml:space="preserve">DFAT </w:t>
      </w:r>
      <w:r w:rsidR="00CF1592">
        <w:t xml:space="preserve">will more closely </w:t>
      </w:r>
      <w:r w:rsidR="00656F9D">
        <w:t>engage</w:t>
      </w:r>
      <w:r w:rsidR="00CF1592">
        <w:t xml:space="preserve"> </w:t>
      </w:r>
      <w:r w:rsidR="00656F9D">
        <w:t>with PFTAC</w:t>
      </w:r>
      <w:r w:rsidR="00CF1592">
        <w:t>,</w:t>
      </w:r>
      <w:r w:rsidR="00063650">
        <w:t xml:space="preserve"> ADB and other donors </w:t>
      </w:r>
      <w:r w:rsidR="00656F9D">
        <w:t xml:space="preserve">to ensure ongoing participation in the PMAG process, including through annual economic review missions. </w:t>
      </w:r>
    </w:p>
    <w:p w14:paraId="1CFA4D53" w14:textId="1544780E" w:rsidR="00844F6D" w:rsidRPr="00805C2C" w:rsidRDefault="00805C2C" w:rsidP="00067A68">
      <w:pPr>
        <w:pStyle w:val="Heading2"/>
      </w:pPr>
      <w:r w:rsidRPr="00805C2C">
        <w:t xml:space="preserve">Objective </w:t>
      </w:r>
      <w:r>
        <w:t xml:space="preserve">2: Improved </w:t>
      </w:r>
      <w:r w:rsidR="003C1055">
        <w:t>e</w:t>
      </w:r>
      <w:r>
        <w:t>ducation</w:t>
      </w:r>
    </w:p>
    <w:p w14:paraId="40BABD95" w14:textId="492F50D7" w:rsidR="00CD67E4" w:rsidRDefault="00CD67E4" w:rsidP="00067A68">
      <w:pPr>
        <w:pStyle w:val="BodyText"/>
      </w:pPr>
      <w:r>
        <w:t xml:space="preserve">Under this </w:t>
      </w:r>
      <w:r w:rsidR="00450705">
        <w:t>objective</w:t>
      </w:r>
      <w:r>
        <w:t xml:space="preserve"> Australia’s commitment is to</w:t>
      </w:r>
      <w:r w:rsidR="003C1055">
        <w:t xml:space="preserve"> improve</w:t>
      </w:r>
      <w:r w:rsidR="002833AA">
        <w:t xml:space="preserve"> the</w:t>
      </w:r>
      <w:r>
        <w:t>:</w:t>
      </w:r>
    </w:p>
    <w:p w14:paraId="497530EF" w14:textId="4632A74F" w:rsidR="00844F6D" w:rsidRPr="00067A68" w:rsidRDefault="00CD67E4" w:rsidP="00067A68">
      <w:pPr>
        <w:pStyle w:val="ListBullet"/>
      </w:pPr>
      <w:r w:rsidRPr="00067A68">
        <w:t xml:space="preserve">quality </w:t>
      </w:r>
      <w:r w:rsidR="00430ED3" w:rsidRPr="00067A68">
        <w:t xml:space="preserve">of </w:t>
      </w:r>
      <w:r w:rsidRPr="00067A68">
        <w:t>and increase the number of teaching staff</w:t>
      </w:r>
    </w:p>
    <w:p w14:paraId="3C1E9B9F" w14:textId="204961FC" w:rsidR="00CD67E4" w:rsidRPr="00067A68" w:rsidRDefault="00CD67E4" w:rsidP="00067A68">
      <w:pPr>
        <w:pStyle w:val="ListBullet"/>
      </w:pPr>
      <w:r w:rsidRPr="00067A68">
        <w:t>quality and access to primary and secondary education to ensure higher student retention rates and education attainment levels</w:t>
      </w:r>
    </w:p>
    <w:p w14:paraId="59791EAE" w14:textId="4D80C6BC" w:rsidR="00CD67E4" w:rsidRPr="00067A68" w:rsidRDefault="00CD67E4" w:rsidP="00067A68">
      <w:pPr>
        <w:pStyle w:val="ListBullet"/>
      </w:pPr>
      <w:proofErr w:type="gramStart"/>
      <w:r w:rsidRPr="00067A68">
        <w:lastRenderedPageBreak/>
        <w:t>access</w:t>
      </w:r>
      <w:proofErr w:type="gramEnd"/>
      <w:r w:rsidRPr="00067A68">
        <w:t xml:space="preserve"> to good quality and relevant tertiary</w:t>
      </w:r>
      <w:r w:rsidR="002833AA" w:rsidRPr="00067A68">
        <w:t xml:space="preserve"> and</w:t>
      </w:r>
      <w:r w:rsidR="00D055EB" w:rsidRPr="00067A68">
        <w:t xml:space="preserve"> </w:t>
      </w:r>
      <w:r w:rsidR="000C4F50" w:rsidRPr="00067A68">
        <w:t xml:space="preserve">TVET </w:t>
      </w:r>
      <w:r w:rsidRPr="00067A68">
        <w:t>services.</w:t>
      </w:r>
    </w:p>
    <w:p w14:paraId="10A6507F" w14:textId="515FC1F6" w:rsidR="00264F10" w:rsidRDefault="00264F10" w:rsidP="00067A68">
      <w:pPr>
        <w:pStyle w:val="BodyText"/>
      </w:pPr>
      <w:r>
        <w:t xml:space="preserve">Rating: Green. We are on track to meet our </w:t>
      </w:r>
      <w:r w:rsidR="003C1055">
        <w:t>p</w:t>
      </w:r>
      <w:r>
        <w:t>artnership targets for improved education.</w:t>
      </w:r>
    </w:p>
    <w:p w14:paraId="7F2843B9" w14:textId="26D5D97E" w:rsidR="00760171" w:rsidRPr="00062561" w:rsidRDefault="000836ED" w:rsidP="00067A68">
      <w:pPr>
        <w:pStyle w:val="BodyText"/>
      </w:pPr>
      <w:r>
        <w:t>I</w:t>
      </w:r>
      <w:r w:rsidR="00760171">
        <w:t>n 2011</w:t>
      </w:r>
      <w:r w:rsidR="003C1055">
        <w:t>–</w:t>
      </w:r>
      <w:r w:rsidR="00760171">
        <w:t>12</w:t>
      </w:r>
      <w:r w:rsidR="00606290">
        <w:t>,</w:t>
      </w:r>
      <w:r w:rsidR="00760171">
        <w:t xml:space="preserve"> </w:t>
      </w:r>
      <w:r w:rsidR="00B62C31">
        <w:t xml:space="preserve">the Government of Nauru agreed that </w:t>
      </w:r>
      <w:r w:rsidR="00760171">
        <w:t xml:space="preserve">Australia and New Zealand </w:t>
      </w:r>
      <w:r w:rsidR="00B62C31">
        <w:t>w</w:t>
      </w:r>
      <w:r w:rsidR="002967DB">
        <w:t>ould</w:t>
      </w:r>
      <w:r w:rsidR="00B62C31">
        <w:t xml:space="preserve"> </w:t>
      </w:r>
      <w:r w:rsidR="00606290">
        <w:t>provide support for education services</w:t>
      </w:r>
      <w:r w:rsidR="00B62C31">
        <w:t xml:space="preserve"> under a </w:t>
      </w:r>
      <w:r w:rsidR="00760171">
        <w:t xml:space="preserve">pooled funding arrangement </w:t>
      </w:r>
      <w:r w:rsidR="00B62C31">
        <w:t>(or delegated aid arrangement)</w:t>
      </w:r>
      <w:r w:rsidR="009328FB">
        <w:t xml:space="preserve">. </w:t>
      </w:r>
      <w:r w:rsidR="00760171">
        <w:t xml:space="preserve">Under this arrangement, </w:t>
      </w:r>
      <w:r w:rsidR="009328FB">
        <w:t xml:space="preserve">both countries </w:t>
      </w:r>
      <w:r w:rsidR="00606290">
        <w:t xml:space="preserve">are </w:t>
      </w:r>
      <w:r w:rsidR="009328FB">
        <w:t>target</w:t>
      </w:r>
      <w:r w:rsidR="00606290">
        <w:t>ing</w:t>
      </w:r>
      <w:r w:rsidR="009328FB">
        <w:t xml:space="preserve"> budget support</w:t>
      </w:r>
      <w:r w:rsidR="002A737B">
        <w:t xml:space="preserve"> for the education sector</w:t>
      </w:r>
      <w:r w:rsidR="00606290">
        <w:t>. P</w:t>
      </w:r>
      <w:r w:rsidR="002A737B">
        <w:t>lanning and implementation</w:t>
      </w:r>
      <w:r w:rsidR="00606290">
        <w:t xml:space="preserve"> is being</w:t>
      </w:r>
      <w:r w:rsidR="002A737B">
        <w:t xml:space="preserve"> managed by two Australian</w:t>
      </w:r>
      <w:r w:rsidR="001C7AB1">
        <w:t>-</w:t>
      </w:r>
      <w:r w:rsidR="002A737B">
        <w:t>funded education advisors</w:t>
      </w:r>
      <w:r w:rsidR="00B62C31">
        <w:t xml:space="preserve"> assisting the Nauruan Secretary </w:t>
      </w:r>
      <w:r w:rsidR="00430ED3">
        <w:t>o</w:t>
      </w:r>
      <w:r w:rsidR="00B62C31">
        <w:t>f Education</w:t>
      </w:r>
      <w:r w:rsidR="002A737B">
        <w:t xml:space="preserve">. </w:t>
      </w:r>
      <w:r w:rsidR="006F573F">
        <w:t xml:space="preserve">DFAT </w:t>
      </w:r>
      <w:r w:rsidR="009328FB">
        <w:t xml:space="preserve">provides monitoring and oversight to the education sector on behalf of </w:t>
      </w:r>
      <w:r w:rsidR="00606290">
        <w:t>Australia and New Zealand</w:t>
      </w:r>
      <w:r w:rsidR="009328FB">
        <w:t>.</w:t>
      </w:r>
      <w:r w:rsidR="002A737B">
        <w:t xml:space="preserve"> This approach reduces administration and reporting requirements for the Government of Nauru</w:t>
      </w:r>
      <w:r w:rsidR="00AC6F18">
        <w:t xml:space="preserve"> and </w:t>
      </w:r>
      <w:r w:rsidR="00E05E81">
        <w:t>ensures funding is targeted to the</w:t>
      </w:r>
      <w:r w:rsidR="00004D3C">
        <w:t xml:space="preserve"> </w:t>
      </w:r>
      <w:r w:rsidR="00E05E81">
        <w:t>agreed priorities of all three countries.</w:t>
      </w:r>
      <w:r w:rsidR="00B6596A">
        <w:t xml:space="preserve"> This approach also aligns closely with the principles outlined in</w:t>
      </w:r>
      <w:r w:rsidR="00B6596A" w:rsidRPr="002967DB">
        <w:t xml:space="preserve"> the</w:t>
      </w:r>
      <w:r w:rsidR="00B6596A" w:rsidRPr="002967DB">
        <w:rPr>
          <w:i/>
        </w:rPr>
        <w:t xml:space="preserve"> </w:t>
      </w:r>
      <w:r w:rsidR="00CE7DC2" w:rsidRPr="007156F5">
        <w:t>Cairns</w:t>
      </w:r>
      <w:r w:rsidR="00CE7DC2">
        <w:t xml:space="preserve"> </w:t>
      </w:r>
      <w:r w:rsidR="00B6596A" w:rsidRPr="00062561">
        <w:t>Compact on Strengthening D</w:t>
      </w:r>
      <w:r w:rsidR="00CE7DC2">
        <w:t>evelopment</w:t>
      </w:r>
      <w:r w:rsidR="00B6596A" w:rsidRPr="00062561">
        <w:t xml:space="preserve"> Coordination in the Pacific</w:t>
      </w:r>
      <w:r w:rsidR="002833AA">
        <w:t>.</w:t>
      </w:r>
      <w:r w:rsidR="00CE7DC2">
        <w:rPr>
          <w:rStyle w:val="FootnoteReference"/>
        </w:rPr>
        <w:footnoteReference w:id="19"/>
      </w:r>
    </w:p>
    <w:p w14:paraId="648E12F3" w14:textId="37C881BA" w:rsidR="00B6596A" w:rsidRDefault="00B6596A" w:rsidP="00067A68">
      <w:pPr>
        <w:pStyle w:val="BodyText"/>
      </w:pPr>
      <w:r>
        <w:t>As well as technical assistance, in 2012</w:t>
      </w:r>
      <w:r w:rsidR="003C1055">
        <w:t>–</w:t>
      </w:r>
      <w:r>
        <w:t>13 the Australia</w:t>
      </w:r>
      <w:r w:rsidR="00606290">
        <w:t xml:space="preserve"> – </w:t>
      </w:r>
      <w:r>
        <w:t xml:space="preserve">New Zealand program </w:t>
      </w:r>
      <w:r w:rsidR="00606290">
        <w:t xml:space="preserve">for Nauru </w:t>
      </w:r>
      <w:r>
        <w:t>provided:</w:t>
      </w:r>
    </w:p>
    <w:p w14:paraId="1173642D" w14:textId="7B9F6B7F" w:rsidR="00B6596A" w:rsidRDefault="005540B2" w:rsidP="00067A68">
      <w:pPr>
        <w:pStyle w:val="ListBullet"/>
      </w:pPr>
      <w:r>
        <w:t>f</w:t>
      </w:r>
      <w:r w:rsidR="00B6596A">
        <w:t>unding for a school refurbishment and maintenance program</w:t>
      </w:r>
      <w:r w:rsidR="00606290">
        <w:t>,</w:t>
      </w:r>
      <w:r w:rsidR="00B6596A">
        <w:t xml:space="preserve"> providing safe and healthy learning environments at </w:t>
      </w:r>
      <w:r w:rsidR="0077698D">
        <w:t xml:space="preserve">Nauru’s </w:t>
      </w:r>
      <w:r w:rsidR="00302D74">
        <w:t>nine</w:t>
      </w:r>
      <w:r w:rsidR="0077698D">
        <w:t xml:space="preserve"> schools</w:t>
      </w:r>
    </w:p>
    <w:p w14:paraId="46FF0269" w14:textId="7971FB86" w:rsidR="0077698D" w:rsidRDefault="005540B2" w:rsidP="00067A68">
      <w:pPr>
        <w:pStyle w:val="ListBullet"/>
      </w:pPr>
      <w:r>
        <w:t>f</w:t>
      </w:r>
      <w:r w:rsidR="0077698D">
        <w:t>inancial support for planning and design</w:t>
      </w:r>
      <w:r w:rsidR="00606290">
        <w:t>ing</w:t>
      </w:r>
      <w:r w:rsidR="0077698D">
        <w:t xml:space="preserve"> a Learning Village which will see </w:t>
      </w:r>
      <w:r w:rsidR="00DA5F54">
        <w:t>secondary school</w:t>
      </w:r>
      <w:r w:rsidR="0077698D">
        <w:t>, TVET and adult education resources (including a University of the South Pacific campus and new library) co-located in a modern, practical, accessible and fit-for-purpose</w:t>
      </w:r>
      <w:r w:rsidR="003C1055">
        <w:t xml:space="preserve"> </w:t>
      </w:r>
      <w:r w:rsidR="0077698D">
        <w:t>facility</w:t>
      </w:r>
    </w:p>
    <w:p w14:paraId="483033D4" w14:textId="39785D1D" w:rsidR="0077698D" w:rsidRDefault="005540B2" w:rsidP="00067A68">
      <w:pPr>
        <w:pStyle w:val="ListBullet"/>
      </w:pPr>
      <w:r>
        <w:t>f</w:t>
      </w:r>
      <w:r w:rsidR="0077698D">
        <w:t>inancial support for roll</w:t>
      </w:r>
      <w:r w:rsidR="00606290">
        <w:t xml:space="preserve">ing </w:t>
      </w:r>
      <w:r w:rsidR="0077698D">
        <w:t>out cost</w:t>
      </w:r>
      <w:r w:rsidR="00606290">
        <w:t>-</w:t>
      </w:r>
      <w:r w:rsidR="0077698D">
        <w:t xml:space="preserve">effective </w:t>
      </w:r>
      <w:r w:rsidR="000C5C9B">
        <w:t>i</w:t>
      </w:r>
      <w:r w:rsidR="0077698D">
        <w:t xml:space="preserve">nformation and </w:t>
      </w:r>
      <w:r w:rsidR="000C5C9B">
        <w:t>c</w:t>
      </w:r>
      <w:r w:rsidR="0077698D">
        <w:t xml:space="preserve">ommunication </w:t>
      </w:r>
      <w:r w:rsidR="000C5C9B">
        <w:t>t</w:t>
      </w:r>
      <w:r w:rsidR="0077698D">
        <w:t>echnology resources to all schools to build competence in the use of</w:t>
      </w:r>
      <w:r w:rsidR="002833AA">
        <w:t xml:space="preserve"> information and communication technology</w:t>
      </w:r>
      <w:r w:rsidR="0077698D">
        <w:t xml:space="preserve"> equipment and provide access to global information networks</w:t>
      </w:r>
    </w:p>
    <w:p w14:paraId="0A694E04" w14:textId="298FA035" w:rsidR="0077698D" w:rsidRDefault="00A41536" w:rsidP="00067A68">
      <w:pPr>
        <w:pStyle w:val="ListBullet"/>
      </w:pPr>
      <w:r>
        <w:t xml:space="preserve">financial </w:t>
      </w:r>
      <w:r w:rsidR="005540B2">
        <w:t>c</w:t>
      </w:r>
      <w:r w:rsidR="0077698D">
        <w:t>ontributions toward teacher salaries and training costs</w:t>
      </w:r>
    </w:p>
    <w:p w14:paraId="36F93FE4" w14:textId="104084F1" w:rsidR="0077698D" w:rsidRDefault="00A41536" w:rsidP="00067A68">
      <w:pPr>
        <w:pStyle w:val="ListBullet"/>
      </w:pPr>
      <w:proofErr w:type="gramStart"/>
      <w:r>
        <w:t>financial</w:t>
      </w:r>
      <w:proofErr w:type="gramEnd"/>
      <w:r>
        <w:t xml:space="preserve"> support for the </w:t>
      </w:r>
      <w:r w:rsidR="005540B2">
        <w:t>e</w:t>
      </w:r>
      <w:r w:rsidR="0077698D">
        <w:t xml:space="preserve">stablishment of a </w:t>
      </w:r>
      <w:r w:rsidR="0077698D" w:rsidRPr="00606290">
        <w:t xml:space="preserve">Recognition of Prior Learning and Current Competencies </w:t>
      </w:r>
      <w:r w:rsidR="0077698D">
        <w:t>program to provide skilled but unqualified trades persons with formal qualifications.</w:t>
      </w:r>
    </w:p>
    <w:p w14:paraId="334F375C" w14:textId="5998F8D3" w:rsidR="00760171" w:rsidRPr="00760171" w:rsidRDefault="00760171" w:rsidP="00067A68">
      <w:pPr>
        <w:pStyle w:val="BodyText"/>
      </w:pPr>
      <w:r w:rsidRPr="00760171">
        <w:t xml:space="preserve">Poor education outcomes continue to be one of </w:t>
      </w:r>
      <w:r w:rsidR="00606290">
        <w:t>Nauru’s</w:t>
      </w:r>
      <w:r w:rsidR="00606290" w:rsidRPr="00760171">
        <w:t xml:space="preserve"> </w:t>
      </w:r>
      <w:r w:rsidRPr="00760171">
        <w:t xml:space="preserve">most significant development challenges. </w:t>
      </w:r>
      <w:r w:rsidR="00606290">
        <w:t>I</w:t>
      </w:r>
      <w:r w:rsidRPr="00760171">
        <w:t>n 2011</w:t>
      </w:r>
      <w:r w:rsidR="00606290">
        <w:t>, for example,</w:t>
      </w:r>
      <w:r w:rsidRPr="00760171">
        <w:t xml:space="preserve"> </w:t>
      </w:r>
      <w:r w:rsidR="00430ED3">
        <w:t>six</w:t>
      </w:r>
      <w:r w:rsidRPr="00760171">
        <w:t xml:space="preserve"> national exam scores averaged only 41</w:t>
      </w:r>
      <w:r w:rsidR="002C309B">
        <w:t xml:space="preserve"> </w:t>
      </w:r>
      <w:r w:rsidR="00DA5F54">
        <w:t>per cent</w:t>
      </w:r>
      <w:r w:rsidRPr="00760171">
        <w:t>, with the average score for maths only 38</w:t>
      </w:r>
      <w:r w:rsidR="00DA5F54">
        <w:t xml:space="preserve"> per cent</w:t>
      </w:r>
      <w:r w:rsidR="002833AA">
        <w:t>.</w:t>
      </w:r>
      <w:r w:rsidR="00E05E81">
        <w:rPr>
          <w:rStyle w:val="FootnoteReference"/>
        </w:rPr>
        <w:footnoteReference w:id="20"/>
      </w:r>
      <w:r w:rsidRPr="00760171">
        <w:t xml:space="preserve"> Nauru </w:t>
      </w:r>
      <w:r w:rsidR="003A2B21">
        <w:t>relies</w:t>
      </w:r>
      <w:r w:rsidR="003A2B21" w:rsidRPr="00760171">
        <w:t xml:space="preserve"> </w:t>
      </w:r>
      <w:r w:rsidR="00430ED3">
        <w:t xml:space="preserve">heavily </w:t>
      </w:r>
      <w:r w:rsidR="00DA5F54">
        <w:t>on donor assistance</w:t>
      </w:r>
      <w:r w:rsidRPr="00760171">
        <w:t xml:space="preserve"> to provide the technical skills needed to ensure</w:t>
      </w:r>
      <w:r w:rsidR="002833AA">
        <w:t xml:space="preserve"> that</w:t>
      </w:r>
      <w:r w:rsidRPr="00760171">
        <w:t xml:space="preserve"> public services, trades and robust private enterprises are maintained and effectively managed. </w:t>
      </w:r>
    </w:p>
    <w:p w14:paraId="5916B321" w14:textId="5A8A7D94" w:rsidR="003B6170" w:rsidRDefault="00430ED3" w:rsidP="00067A68">
      <w:pPr>
        <w:pStyle w:val="BodyText"/>
      </w:pPr>
      <w:r>
        <w:t>That said</w:t>
      </w:r>
      <w:proofErr w:type="gramStart"/>
      <w:r>
        <w:t>,</w:t>
      </w:r>
      <w:proofErr w:type="gramEnd"/>
      <w:r>
        <w:t xml:space="preserve"> significant progress has been made in the</w:t>
      </w:r>
      <w:r w:rsidR="003A2B21">
        <w:t xml:space="preserve"> education</w:t>
      </w:r>
      <w:r>
        <w:t xml:space="preserve"> sector since 2005. </w:t>
      </w:r>
      <w:r w:rsidR="00D639FF">
        <w:t xml:space="preserve">As </w:t>
      </w:r>
      <w:r>
        <w:t>at</w:t>
      </w:r>
      <w:r w:rsidR="00D639FF">
        <w:t xml:space="preserve"> May</w:t>
      </w:r>
      <w:r w:rsidR="002833AA">
        <w:t> </w:t>
      </w:r>
      <w:r w:rsidR="00D639FF">
        <w:t>2013,</w:t>
      </w:r>
      <w:r w:rsidR="00760171" w:rsidRPr="00760171">
        <w:t xml:space="preserve"> </w:t>
      </w:r>
      <w:r w:rsidR="00EA6BFB">
        <w:t>78 of Nauru’s 95 teachers (</w:t>
      </w:r>
      <w:r w:rsidR="00E05E81">
        <w:t>82</w:t>
      </w:r>
      <w:r w:rsidR="004C08A2">
        <w:t xml:space="preserve"> per cent</w:t>
      </w:r>
      <w:r w:rsidR="00EA6BFB">
        <w:t>)</w:t>
      </w:r>
      <w:r w:rsidR="00760171" w:rsidRPr="00760171">
        <w:t xml:space="preserve"> now hold a </w:t>
      </w:r>
      <w:r w:rsidR="00E05E81">
        <w:t xml:space="preserve">certificate, diploma or </w:t>
      </w:r>
      <w:r w:rsidR="00760171" w:rsidRPr="00760171">
        <w:t>degree</w:t>
      </w:r>
      <w:r w:rsidR="002833AA">
        <w:t>-</w:t>
      </w:r>
      <w:r w:rsidR="00760171" w:rsidRPr="00760171">
        <w:t>level qualification (up from less than 40</w:t>
      </w:r>
      <w:r w:rsidR="003C1055">
        <w:t xml:space="preserve"> </w:t>
      </w:r>
      <w:r w:rsidR="004C08A2">
        <w:t>per cent</w:t>
      </w:r>
      <w:r w:rsidR="00760171" w:rsidRPr="00760171">
        <w:t xml:space="preserve"> in 2005)</w:t>
      </w:r>
      <w:r w:rsidR="00EA6BFB">
        <w:t xml:space="preserve"> and a</w:t>
      </w:r>
      <w:r w:rsidR="00606290">
        <w:t>nother</w:t>
      </w:r>
      <w:r w:rsidR="00EA6BFB">
        <w:t xml:space="preserve"> 14 teachers are studying at </w:t>
      </w:r>
      <w:proofErr w:type="spellStart"/>
      <w:r w:rsidR="00EA6BFB">
        <w:t>Goroka</w:t>
      </w:r>
      <w:proofErr w:type="spellEnd"/>
      <w:r w:rsidR="00EA6BFB">
        <w:t xml:space="preserve"> University in Papua New Guinea</w:t>
      </w:r>
      <w:r w:rsidR="003A2B21">
        <w:t>.</w:t>
      </w:r>
      <w:r w:rsidR="00301EAD">
        <w:rPr>
          <w:rStyle w:val="FootnoteReference"/>
        </w:rPr>
        <w:footnoteReference w:id="21"/>
      </w:r>
      <w:r w:rsidR="003A2B21">
        <w:t xml:space="preserve"> Our</w:t>
      </w:r>
      <w:r w:rsidR="003B6170">
        <w:t xml:space="preserve"> funding in 2012</w:t>
      </w:r>
      <w:r w:rsidR="003C1055">
        <w:t>–</w:t>
      </w:r>
      <w:r w:rsidR="003B6170">
        <w:t xml:space="preserve">13 </w:t>
      </w:r>
      <w:r w:rsidR="000836ED">
        <w:t xml:space="preserve">helped </w:t>
      </w:r>
      <w:r w:rsidR="003B6170">
        <w:t>28</w:t>
      </w:r>
      <w:r w:rsidR="00D055EB">
        <w:t> </w:t>
      </w:r>
      <w:r w:rsidR="003B6170">
        <w:t>Nauru</w:t>
      </w:r>
      <w:r>
        <w:t>an</w:t>
      </w:r>
      <w:r w:rsidR="003B6170">
        <w:t xml:space="preserve"> teachers receive diploma or degree</w:t>
      </w:r>
      <w:r w:rsidR="003A2B21">
        <w:t>-</w:t>
      </w:r>
      <w:r w:rsidR="003B6170">
        <w:t>level qualifications.</w:t>
      </w:r>
    </w:p>
    <w:p w14:paraId="28968649" w14:textId="6496DD93" w:rsidR="00B62C31" w:rsidRDefault="00EC097B" w:rsidP="00067A68">
      <w:pPr>
        <w:pStyle w:val="BodyText"/>
      </w:pPr>
      <w:r>
        <w:t xml:space="preserve">Nauru is on track to meet MDG 2 </w:t>
      </w:r>
      <w:r w:rsidRPr="00062561">
        <w:t>(universal primary education)</w:t>
      </w:r>
      <w:r>
        <w:t xml:space="preserve"> by 2015</w:t>
      </w:r>
      <w:r w:rsidR="003C1055">
        <w:t>.</w:t>
      </w:r>
      <w:r>
        <w:rPr>
          <w:rStyle w:val="FootnoteReference"/>
        </w:rPr>
        <w:footnoteReference w:id="22"/>
      </w:r>
      <w:r>
        <w:t xml:space="preserve"> </w:t>
      </w:r>
      <w:r w:rsidR="00082091">
        <w:t>N</w:t>
      </w:r>
      <w:r w:rsidR="00EA6BFB">
        <w:t xml:space="preserve">et </w:t>
      </w:r>
      <w:r w:rsidR="00760171" w:rsidRPr="00760171">
        <w:t xml:space="preserve">enrolment rates </w:t>
      </w:r>
      <w:r w:rsidR="00082091">
        <w:t>remain</w:t>
      </w:r>
      <w:r w:rsidR="003A2B21">
        <w:t>ed</w:t>
      </w:r>
      <w:r w:rsidR="00082091">
        <w:t xml:space="preserve"> steady </w:t>
      </w:r>
      <w:r w:rsidR="00301EAD">
        <w:t>on 2010</w:t>
      </w:r>
      <w:r w:rsidR="003C1055">
        <w:t>–</w:t>
      </w:r>
      <w:r w:rsidR="00301EAD">
        <w:t>11 figures</w:t>
      </w:r>
      <w:r w:rsidR="003A2B21">
        <w:t>,</w:t>
      </w:r>
      <w:r w:rsidR="00301EAD">
        <w:t xml:space="preserve"> </w:t>
      </w:r>
      <w:r w:rsidR="00082091">
        <w:t>at 95</w:t>
      </w:r>
      <w:r>
        <w:t xml:space="preserve"> </w:t>
      </w:r>
      <w:r w:rsidR="004C08A2">
        <w:t xml:space="preserve">per </w:t>
      </w:r>
      <w:proofErr w:type="gramStart"/>
      <w:r w:rsidR="004C08A2">
        <w:t>cent</w:t>
      </w:r>
      <w:r>
        <w:t>,</w:t>
      </w:r>
      <w:proofErr w:type="gramEnd"/>
      <w:r>
        <w:t xml:space="preserve"> well up on </w:t>
      </w:r>
      <w:r w:rsidR="003A2B21">
        <w:t xml:space="preserve">the </w:t>
      </w:r>
      <w:r>
        <w:t xml:space="preserve">2005 rates </w:t>
      </w:r>
      <w:r w:rsidR="003A2B21">
        <w:t xml:space="preserve">at </w:t>
      </w:r>
      <w:r>
        <w:t>60 per cent</w:t>
      </w:r>
      <w:r w:rsidR="003C1055">
        <w:t>.</w:t>
      </w:r>
      <w:r w:rsidR="00EA6BFB">
        <w:rPr>
          <w:rStyle w:val="FootnoteReference"/>
        </w:rPr>
        <w:footnoteReference w:id="23"/>
      </w:r>
      <w:r>
        <w:t xml:space="preserve"> A</w:t>
      </w:r>
      <w:r w:rsidR="00082091">
        <w:t>pproximately 30</w:t>
      </w:r>
      <w:r>
        <w:t xml:space="preserve"> </w:t>
      </w:r>
      <w:r w:rsidR="004C08A2">
        <w:t>per cent</w:t>
      </w:r>
      <w:r w:rsidR="00082091">
        <w:t xml:space="preserve"> of </w:t>
      </w:r>
      <w:r w:rsidR="003A2B21">
        <w:t>Y</w:t>
      </w:r>
      <w:r w:rsidR="00082091">
        <w:t xml:space="preserve">ear 12 students </w:t>
      </w:r>
      <w:r w:rsidR="00407148">
        <w:t xml:space="preserve">are </w:t>
      </w:r>
      <w:r w:rsidR="00082091">
        <w:t xml:space="preserve">choosing a technical and vocational </w:t>
      </w:r>
      <w:r w:rsidR="00082091">
        <w:lastRenderedPageBreak/>
        <w:t>pathway</w:t>
      </w:r>
      <w:r w:rsidR="005C0900">
        <w:t xml:space="preserve">. </w:t>
      </w:r>
      <w:r w:rsidR="003B6170">
        <w:t>Of the 2</w:t>
      </w:r>
      <w:r w:rsidR="006F573F">
        <w:t>,</w:t>
      </w:r>
      <w:r w:rsidR="003B6170">
        <w:t>757</w:t>
      </w:r>
      <w:r w:rsidR="003B6170">
        <w:rPr>
          <w:rStyle w:val="FootnoteReference"/>
        </w:rPr>
        <w:footnoteReference w:id="24"/>
      </w:r>
      <w:r w:rsidR="003B6170">
        <w:t xml:space="preserve"> students enrolled in Nauruan schools in 2012, Australian funding enabled 981 children to enrol (514 boys and 467 girls)</w:t>
      </w:r>
      <w:r w:rsidR="003626CD">
        <w:t xml:space="preserve"> through a re-entry program targeting young people who ha</w:t>
      </w:r>
      <w:r w:rsidR="003A2B21">
        <w:t>d</w:t>
      </w:r>
      <w:r w:rsidR="003626CD">
        <w:t xml:space="preserve"> left school before completing </w:t>
      </w:r>
      <w:r w:rsidR="003C1055">
        <w:t>Y</w:t>
      </w:r>
      <w:r w:rsidR="003626CD">
        <w:t>ear 12 a</w:t>
      </w:r>
      <w:r>
        <w:t xml:space="preserve">nd </w:t>
      </w:r>
      <w:r w:rsidR="003626CD">
        <w:t xml:space="preserve">an </w:t>
      </w:r>
      <w:r w:rsidR="003C1055">
        <w:t>e</w:t>
      </w:r>
      <w:r w:rsidR="003626CD">
        <w:t xml:space="preserve">arly </w:t>
      </w:r>
      <w:r w:rsidR="003C1055">
        <w:t>y</w:t>
      </w:r>
      <w:r w:rsidR="003626CD">
        <w:t xml:space="preserve">ears </w:t>
      </w:r>
      <w:r w:rsidR="003C1055">
        <w:t>l</w:t>
      </w:r>
      <w:r w:rsidR="003626CD">
        <w:t xml:space="preserve">earning </w:t>
      </w:r>
      <w:r w:rsidR="003C1055">
        <w:t>p</w:t>
      </w:r>
      <w:r w:rsidR="003626CD">
        <w:t xml:space="preserve">rogram for younger children. </w:t>
      </w:r>
      <w:r w:rsidR="00013B97">
        <w:t xml:space="preserve">There is no evidence of gender imbalance in the school system with roughly equal numbers of </w:t>
      </w:r>
      <w:r w:rsidR="003A2B21">
        <w:t xml:space="preserve">boys and girls </w:t>
      </w:r>
      <w:r w:rsidR="00013B97">
        <w:t xml:space="preserve">enrolled </w:t>
      </w:r>
      <w:r w:rsidR="00B62C31">
        <w:t>(</w:t>
      </w:r>
      <w:r w:rsidR="00013B97">
        <w:t>1</w:t>
      </w:r>
      <w:r w:rsidR="006F573F">
        <w:t>,</w:t>
      </w:r>
      <w:r w:rsidR="00013B97">
        <w:t>446 boys and 1</w:t>
      </w:r>
      <w:r w:rsidR="006F573F">
        <w:t>,</w:t>
      </w:r>
      <w:r w:rsidR="00013B97">
        <w:t>311</w:t>
      </w:r>
      <w:r w:rsidR="00D055EB">
        <w:t> </w:t>
      </w:r>
      <w:r w:rsidR="00013B97">
        <w:t>girls at May 2013</w:t>
      </w:r>
      <w:r w:rsidR="00013B97">
        <w:rPr>
          <w:rStyle w:val="FootnoteReference"/>
        </w:rPr>
        <w:footnoteReference w:id="25"/>
      </w:r>
      <w:r w:rsidR="00B62C31">
        <w:t>)</w:t>
      </w:r>
      <w:r w:rsidR="00013B97">
        <w:t>.</w:t>
      </w:r>
    </w:p>
    <w:p w14:paraId="3CA6A271" w14:textId="6D300699" w:rsidR="00911718" w:rsidRDefault="003A2B21" w:rsidP="00067A68">
      <w:pPr>
        <w:pStyle w:val="BodyText"/>
      </w:pPr>
      <w:r>
        <w:t xml:space="preserve">Our </w:t>
      </w:r>
      <w:r w:rsidR="00911718">
        <w:t xml:space="preserve">support has also </w:t>
      </w:r>
      <w:r>
        <w:t xml:space="preserve">enabled Nauru to </w:t>
      </w:r>
      <w:r w:rsidR="00911718">
        <w:t>establish</w:t>
      </w:r>
      <w:r>
        <w:t xml:space="preserve"> its</w:t>
      </w:r>
      <w:r w:rsidR="00911718">
        <w:t xml:space="preserve"> first </w:t>
      </w:r>
      <w:r>
        <w:t>TVET</w:t>
      </w:r>
      <w:r w:rsidR="00911718">
        <w:t xml:space="preserve"> facility</w:t>
      </w:r>
      <w:r>
        <w:t>. Located</w:t>
      </w:r>
      <w:r w:rsidR="00911718">
        <w:t xml:space="preserve"> at the Nauru Secondary School</w:t>
      </w:r>
      <w:r>
        <w:t xml:space="preserve">, the </w:t>
      </w:r>
      <w:r w:rsidR="000C6ADB">
        <w:t>facility</w:t>
      </w:r>
      <w:r w:rsidR="00911718">
        <w:t xml:space="preserve"> provid</w:t>
      </w:r>
      <w:r>
        <w:t>es</w:t>
      </w:r>
      <w:r w:rsidR="00911718">
        <w:t xml:space="preserve"> trad</w:t>
      </w:r>
      <w:r w:rsidR="00A10C64">
        <w:t>e</w:t>
      </w:r>
      <w:r w:rsidR="00911718">
        <w:t xml:space="preserve"> skills </w:t>
      </w:r>
      <w:r w:rsidR="00A10C64">
        <w:t>training</w:t>
      </w:r>
      <w:r w:rsidR="00911718">
        <w:t xml:space="preserve"> for school students a</w:t>
      </w:r>
      <w:r w:rsidR="00EC097B">
        <w:t>nd</w:t>
      </w:r>
      <w:r w:rsidR="00911718">
        <w:t xml:space="preserve"> adult education training through after</w:t>
      </w:r>
      <w:r>
        <w:t>-</w:t>
      </w:r>
      <w:r w:rsidR="00911718">
        <w:t xml:space="preserve">hours courses. Since its establishment in 2010, the </w:t>
      </w:r>
      <w:r>
        <w:t>facility</w:t>
      </w:r>
      <w:r w:rsidR="00911718">
        <w:t xml:space="preserve"> has train</w:t>
      </w:r>
      <w:r>
        <w:t>ed more than</w:t>
      </w:r>
      <w:r w:rsidR="00911718">
        <w:t xml:space="preserve"> 3</w:t>
      </w:r>
      <w:r w:rsidR="00A10C64">
        <w:t>00</w:t>
      </w:r>
      <w:r w:rsidR="00911718">
        <w:t xml:space="preserve"> </w:t>
      </w:r>
      <w:proofErr w:type="spellStart"/>
      <w:r w:rsidR="00911718">
        <w:t>Nauruans</w:t>
      </w:r>
      <w:proofErr w:type="spellEnd"/>
      <w:r w:rsidR="00911718">
        <w:t>. In 2012</w:t>
      </w:r>
      <w:r w:rsidR="003C1055">
        <w:t>–</w:t>
      </w:r>
      <w:r w:rsidR="00911718">
        <w:t>13, Australia agreed to fund an expanded TVET facility at the proposed new Learning Village</w:t>
      </w:r>
      <w:r w:rsidR="00A10C64">
        <w:t>.</w:t>
      </w:r>
      <w:r w:rsidR="00911718">
        <w:t xml:space="preserve"> </w:t>
      </w:r>
    </w:p>
    <w:p w14:paraId="333F5EFB" w14:textId="0CAD74B9" w:rsidR="00760171" w:rsidRPr="00760171" w:rsidRDefault="00760171" w:rsidP="00067A68">
      <w:pPr>
        <w:pStyle w:val="BodyText"/>
      </w:pPr>
      <w:r w:rsidRPr="00760171">
        <w:t xml:space="preserve">The </w:t>
      </w:r>
      <w:r w:rsidR="003A2B21">
        <w:t xml:space="preserve">education </w:t>
      </w:r>
      <w:r w:rsidR="00EC097B">
        <w:t>program</w:t>
      </w:r>
      <w:r w:rsidR="00EC097B" w:rsidRPr="00760171">
        <w:t xml:space="preserve"> </w:t>
      </w:r>
      <w:r w:rsidRPr="00760171">
        <w:t>now needs to focus on translating early successes into improved literacy and numeracy outcomes by, for example, improving student attendan</w:t>
      </w:r>
      <w:r w:rsidR="00301EAD">
        <w:t xml:space="preserve">ce and class participation. Average student attendance has not improved significantly over the past three years and remains </w:t>
      </w:r>
      <w:r w:rsidR="00944FFF">
        <w:t xml:space="preserve">steady </w:t>
      </w:r>
      <w:r w:rsidR="00301EAD">
        <w:t xml:space="preserve">at approximately </w:t>
      </w:r>
      <w:r w:rsidR="0077698D">
        <w:t>68</w:t>
      </w:r>
      <w:r w:rsidR="00EC097B">
        <w:t xml:space="preserve"> </w:t>
      </w:r>
      <w:r w:rsidR="004C08A2">
        <w:t>per cent</w:t>
      </w:r>
      <w:r w:rsidR="001A70D4">
        <w:t>.</w:t>
      </w:r>
      <w:r w:rsidR="0077698D">
        <w:rPr>
          <w:rStyle w:val="FootnoteReference"/>
        </w:rPr>
        <w:footnoteReference w:id="26"/>
      </w:r>
      <w:r w:rsidR="009A5286">
        <w:t xml:space="preserve"> </w:t>
      </w:r>
      <w:r w:rsidR="001A70D4">
        <w:t>D</w:t>
      </w:r>
      <w:r w:rsidR="009A5286">
        <w:t xml:space="preserve">ata </w:t>
      </w:r>
      <w:r w:rsidR="001A70D4">
        <w:t>from</w:t>
      </w:r>
      <w:r w:rsidR="009A5286">
        <w:t xml:space="preserve"> the Department of Education suggests</w:t>
      </w:r>
      <w:r w:rsidR="002833AA">
        <w:t xml:space="preserve"> that</w:t>
      </w:r>
      <w:r w:rsidR="009A5286">
        <w:t xml:space="preserve"> a</w:t>
      </w:r>
      <w:r w:rsidR="005567D7">
        <w:t>lmost</w:t>
      </w:r>
      <w:r w:rsidR="009A5286">
        <w:t xml:space="preserve"> 50 per cent of students are at risk of failing to meet the curriculum standard for literacy in their age/grade</w:t>
      </w:r>
      <w:r w:rsidR="001A70D4">
        <w:t xml:space="preserve"> category.</w:t>
      </w:r>
      <w:r w:rsidR="009A5286">
        <w:rPr>
          <w:rStyle w:val="FootnoteReference"/>
        </w:rPr>
        <w:footnoteReference w:id="27"/>
      </w:r>
    </w:p>
    <w:p w14:paraId="60E676E0" w14:textId="0EAED3FA" w:rsidR="00004D3C" w:rsidRDefault="001A70D4" w:rsidP="00067A68">
      <w:pPr>
        <w:pStyle w:val="BodyText"/>
      </w:pPr>
      <w:r>
        <w:t xml:space="preserve">We </w:t>
      </w:r>
      <w:r w:rsidR="00EC097B">
        <w:t>will</w:t>
      </w:r>
      <w:r w:rsidR="00713FF7">
        <w:t xml:space="preserve"> engage </w:t>
      </w:r>
      <w:r w:rsidR="0011019E">
        <w:t xml:space="preserve">more closely </w:t>
      </w:r>
      <w:r w:rsidR="00713FF7">
        <w:t>in</w:t>
      </w:r>
      <w:r w:rsidR="00301EAD">
        <w:t xml:space="preserve"> policy dialogue</w:t>
      </w:r>
      <w:r w:rsidR="0011019E">
        <w:t xml:space="preserve"> on curriculum development, literacy and numeracy benchmarking and teacher training program</w:t>
      </w:r>
      <w:r w:rsidR="000836ED">
        <w:t>s</w:t>
      </w:r>
      <w:r w:rsidR="00301EAD">
        <w:t xml:space="preserve"> to influence decision making and</w:t>
      </w:r>
      <w:r>
        <w:t xml:space="preserve"> sector</w:t>
      </w:r>
      <w:r w:rsidR="00301EAD">
        <w:t xml:space="preserve"> planning. </w:t>
      </w:r>
      <w:r>
        <w:t>The</w:t>
      </w:r>
      <w:r w:rsidR="00A16A17">
        <w:t xml:space="preserve"> </w:t>
      </w:r>
      <w:r w:rsidR="00EC097B">
        <w:t xml:space="preserve">PMAG </w:t>
      </w:r>
      <w:r w:rsidR="00A16A17">
        <w:t>review of the Australia</w:t>
      </w:r>
      <w:r>
        <w:t xml:space="preserve"> – </w:t>
      </w:r>
      <w:r w:rsidR="00A16A17">
        <w:t>New Zealand support for education</w:t>
      </w:r>
      <w:r>
        <w:t>,</w:t>
      </w:r>
      <w:r w:rsidR="00A16A17">
        <w:t xml:space="preserve"> scheduled </w:t>
      </w:r>
      <w:r>
        <w:t>for</w:t>
      </w:r>
      <w:r w:rsidR="00A16A17">
        <w:t xml:space="preserve"> </w:t>
      </w:r>
      <w:r w:rsidR="00EC097B">
        <w:t>the second half of</w:t>
      </w:r>
      <w:r w:rsidR="00D43BAD">
        <w:t xml:space="preserve"> </w:t>
      </w:r>
      <w:r w:rsidR="00A16A17">
        <w:t>2013</w:t>
      </w:r>
      <w:r>
        <w:t xml:space="preserve">, </w:t>
      </w:r>
      <w:r w:rsidR="00A16A17">
        <w:t xml:space="preserve">will </w:t>
      </w:r>
      <w:r>
        <w:t>enable</w:t>
      </w:r>
      <w:r w:rsidR="00A16A17">
        <w:t xml:space="preserve"> greater focus on policy dialogue.</w:t>
      </w:r>
    </w:p>
    <w:p w14:paraId="65A77362" w14:textId="760AF198" w:rsidR="006E3339" w:rsidRDefault="006E3339" w:rsidP="00BD0809">
      <w:pPr>
        <w:pStyle w:val="Heading3"/>
      </w:pPr>
      <w:r w:rsidRPr="006E3339">
        <w:t xml:space="preserve">Australia </w:t>
      </w:r>
      <w:r w:rsidR="003C7BBE">
        <w:t>a</w:t>
      </w:r>
      <w:r w:rsidRPr="006E3339">
        <w:t>wards</w:t>
      </w:r>
      <w:r w:rsidR="00537B2E">
        <w:t xml:space="preserve"> and New Zealand </w:t>
      </w:r>
      <w:r w:rsidR="003C7BBE">
        <w:t>s</w:t>
      </w:r>
      <w:r w:rsidR="00537B2E">
        <w:t>cholarships</w:t>
      </w:r>
    </w:p>
    <w:p w14:paraId="27E9377A" w14:textId="46424A10" w:rsidR="0070769D" w:rsidRDefault="001A3224" w:rsidP="00067A68">
      <w:pPr>
        <w:pStyle w:val="BodyText"/>
      </w:pPr>
      <w:r>
        <w:t xml:space="preserve">The </w:t>
      </w:r>
      <w:r w:rsidR="006E3339">
        <w:t xml:space="preserve">Australia Awards </w:t>
      </w:r>
      <w:r>
        <w:t xml:space="preserve">Pacific Scholarships </w:t>
      </w:r>
      <w:r w:rsidR="001A70D4">
        <w:t xml:space="preserve">gives </w:t>
      </w:r>
      <w:proofErr w:type="spellStart"/>
      <w:r w:rsidR="006E3339">
        <w:t>Nauruans</w:t>
      </w:r>
      <w:proofErr w:type="spellEnd"/>
      <w:r w:rsidR="006E3339">
        <w:t xml:space="preserve"> the opportunity to gain skills and knowledge</w:t>
      </w:r>
      <w:r w:rsidR="000C5C9B">
        <w:t>,</w:t>
      </w:r>
      <w:r w:rsidR="006E3339">
        <w:t xml:space="preserve"> contribute to Nauru’s human resource development needs</w:t>
      </w:r>
      <w:r w:rsidR="000C5C9B">
        <w:t>,</w:t>
      </w:r>
      <w:r w:rsidR="006E3339">
        <w:t xml:space="preserve"> and strengthen the skills base of the public sector</w:t>
      </w:r>
      <w:r w:rsidR="0070769D">
        <w:t xml:space="preserve">. </w:t>
      </w:r>
      <w:r w:rsidR="001A70D4">
        <w:t xml:space="preserve">Scholarship </w:t>
      </w:r>
      <w:r w:rsidR="0070769D">
        <w:t xml:space="preserve">focus </w:t>
      </w:r>
      <w:r w:rsidR="009E7117">
        <w:t>areas</w:t>
      </w:r>
      <w:r w:rsidR="001A70D4">
        <w:t xml:space="preserve"> are</w:t>
      </w:r>
      <w:r w:rsidR="009E7117">
        <w:t xml:space="preserve"> determined in consultation with the Chief Secretary’s Office and </w:t>
      </w:r>
      <w:r w:rsidR="001A70D4">
        <w:t>Department of Finance’s</w:t>
      </w:r>
      <w:r w:rsidR="009E7117">
        <w:t xml:space="preserve"> Planning and Aid Division</w:t>
      </w:r>
      <w:r w:rsidR="001A70D4">
        <w:t>. Currently focus areas</w:t>
      </w:r>
      <w:r w:rsidR="009E7117">
        <w:t xml:space="preserve"> include</w:t>
      </w:r>
      <w:r w:rsidR="006E3339">
        <w:t xml:space="preserve"> commerce</w:t>
      </w:r>
      <w:r w:rsidR="000C5C9B">
        <w:t>,</w:t>
      </w:r>
      <w:r w:rsidR="006E3339">
        <w:t xml:space="preserve"> health</w:t>
      </w:r>
      <w:r w:rsidR="000C5C9B">
        <w:t>,</w:t>
      </w:r>
      <w:r w:rsidR="006E3339">
        <w:t xml:space="preserve"> law</w:t>
      </w:r>
      <w:r w:rsidR="0070769D">
        <w:t xml:space="preserve"> </w:t>
      </w:r>
      <w:r w:rsidR="001A70D4">
        <w:t>and public administration</w:t>
      </w:r>
      <w:r w:rsidR="006E3339">
        <w:t xml:space="preserve">. </w:t>
      </w:r>
      <w:r w:rsidR="001A70D4">
        <w:t>Australia offers u</w:t>
      </w:r>
      <w:r w:rsidR="0070769D">
        <w:t xml:space="preserve">p to </w:t>
      </w:r>
      <w:r w:rsidR="000C5C9B">
        <w:t>12</w:t>
      </w:r>
      <w:r w:rsidR="006E3339">
        <w:t xml:space="preserve"> scholarship</w:t>
      </w:r>
      <w:r w:rsidR="009E7117">
        <w:t>s</w:t>
      </w:r>
      <w:r w:rsidR="006E3339">
        <w:t xml:space="preserve"> </w:t>
      </w:r>
      <w:r w:rsidR="001A70D4">
        <w:t>a</w:t>
      </w:r>
      <w:r w:rsidR="006E3339">
        <w:t xml:space="preserve"> year at underg</w:t>
      </w:r>
      <w:r w:rsidR="0070769D">
        <w:t>raduate and post</w:t>
      </w:r>
      <w:r w:rsidR="002833AA">
        <w:t>-</w:t>
      </w:r>
      <w:r w:rsidR="0070769D">
        <w:t xml:space="preserve">graduate levels. </w:t>
      </w:r>
      <w:r w:rsidR="009A5286">
        <w:t>While i</w:t>
      </w:r>
      <w:r w:rsidR="0070769D">
        <w:t xml:space="preserve">t has </w:t>
      </w:r>
      <w:r w:rsidR="001A70D4">
        <w:t xml:space="preserve">been </w:t>
      </w:r>
      <w:r w:rsidR="0070769D">
        <w:t>difficult to find suitable candidates with sufficient secondary school results to meet the selection criteria</w:t>
      </w:r>
      <w:r w:rsidR="009A5286">
        <w:t xml:space="preserve">, </w:t>
      </w:r>
      <w:r w:rsidR="0070769D">
        <w:t xml:space="preserve">in 2012 all </w:t>
      </w:r>
      <w:r w:rsidR="000C5C9B">
        <w:t>12</w:t>
      </w:r>
      <w:r w:rsidR="0070769D">
        <w:t xml:space="preserve"> </w:t>
      </w:r>
      <w:r w:rsidR="009A5286">
        <w:t>scholarship</w:t>
      </w:r>
      <w:r w:rsidR="000C5C9B">
        <w:t>s</w:t>
      </w:r>
      <w:r w:rsidR="009A5286">
        <w:t xml:space="preserve"> were filled </w:t>
      </w:r>
      <w:r w:rsidR="00302D74">
        <w:t>(6 males and 6 females)</w:t>
      </w:r>
      <w:r w:rsidR="0070769D">
        <w:t>.</w:t>
      </w:r>
    </w:p>
    <w:p w14:paraId="75EAE8B8" w14:textId="0EBD99EC" w:rsidR="00723F49" w:rsidRDefault="00723F49" w:rsidP="00067A68">
      <w:pPr>
        <w:pStyle w:val="BodyText"/>
      </w:pPr>
      <w:r>
        <w:t>In 2012, six Australia Award graduates returned to Nauru and took up work:</w:t>
      </w:r>
    </w:p>
    <w:p w14:paraId="5F618CBB" w14:textId="78200F5E" w:rsidR="00723F49" w:rsidRDefault="009A5286" w:rsidP="00067A68">
      <w:pPr>
        <w:pStyle w:val="ListBullet"/>
      </w:pPr>
      <w:r>
        <w:t>o</w:t>
      </w:r>
      <w:r w:rsidR="00723F49">
        <w:t>ne nursing diploma graduate work</w:t>
      </w:r>
      <w:r w:rsidR="001A70D4">
        <w:t>s</w:t>
      </w:r>
      <w:r w:rsidR="00723F49">
        <w:t xml:space="preserve"> at the </w:t>
      </w:r>
      <w:r w:rsidR="002833AA">
        <w:t xml:space="preserve">Republic of </w:t>
      </w:r>
      <w:r w:rsidR="00723F49">
        <w:t>Nauru</w:t>
      </w:r>
      <w:r w:rsidR="001A70D4">
        <w:t xml:space="preserve"> </w:t>
      </w:r>
      <w:r w:rsidR="002833AA">
        <w:t>H</w:t>
      </w:r>
      <w:r w:rsidR="00723F49">
        <w:t>ospital and has been promoted to</w:t>
      </w:r>
      <w:r>
        <w:t xml:space="preserve"> a</w:t>
      </w:r>
      <w:r w:rsidR="00723F49">
        <w:t xml:space="preserve"> </w:t>
      </w:r>
      <w:r w:rsidR="003C7BBE">
        <w:t>n</w:t>
      </w:r>
      <w:r w:rsidR="00723F49">
        <w:t xml:space="preserve">ursing </w:t>
      </w:r>
      <w:r w:rsidR="003C7BBE">
        <w:t>g</w:t>
      </w:r>
      <w:r w:rsidR="00723F49">
        <w:t>raduate position</w:t>
      </w:r>
    </w:p>
    <w:p w14:paraId="381AF861" w14:textId="7EE1EA62" w:rsidR="00723F49" w:rsidRDefault="009A5286" w:rsidP="00067A68">
      <w:pPr>
        <w:pStyle w:val="ListBullet"/>
      </w:pPr>
      <w:r>
        <w:t>o</w:t>
      </w:r>
      <w:r w:rsidR="00723F49">
        <w:t xml:space="preserve">ne student completed a </w:t>
      </w:r>
      <w:r w:rsidR="003C7BBE">
        <w:t>B</w:t>
      </w:r>
      <w:r w:rsidR="00723F49">
        <w:t xml:space="preserve">achelor of Public Health degree and </w:t>
      </w:r>
      <w:r w:rsidR="001A70D4">
        <w:t xml:space="preserve">is </w:t>
      </w:r>
      <w:r w:rsidR="00723F49">
        <w:t>work</w:t>
      </w:r>
      <w:r w:rsidR="001A70D4">
        <w:t>ing</w:t>
      </w:r>
      <w:r w:rsidR="00723F49">
        <w:t xml:space="preserve"> as a </w:t>
      </w:r>
      <w:r w:rsidR="003C7BBE">
        <w:t>p</w:t>
      </w:r>
      <w:r w:rsidR="00723F49">
        <w:t xml:space="preserve">ublic </w:t>
      </w:r>
      <w:r w:rsidR="003C7BBE">
        <w:t>h</w:t>
      </w:r>
      <w:r w:rsidR="00723F49">
        <w:t xml:space="preserve">ealth </w:t>
      </w:r>
      <w:r w:rsidR="003C7BBE">
        <w:t>p</w:t>
      </w:r>
      <w:r w:rsidR="00723F49">
        <w:t xml:space="preserve">romotions </w:t>
      </w:r>
      <w:r w:rsidR="003C7BBE">
        <w:t>e</w:t>
      </w:r>
      <w:r w:rsidR="00723F49">
        <w:t>ducator</w:t>
      </w:r>
    </w:p>
    <w:p w14:paraId="404E7162" w14:textId="12787339" w:rsidR="00723F49" w:rsidRDefault="009A5286" w:rsidP="00067A68">
      <w:pPr>
        <w:pStyle w:val="ListBullet"/>
      </w:pPr>
      <w:r>
        <w:t>t</w:t>
      </w:r>
      <w:r w:rsidR="00723F49">
        <w:t>wo</w:t>
      </w:r>
      <w:r w:rsidR="00723F49" w:rsidRPr="00723F49">
        <w:t xml:space="preserve"> students completed </w:t>
      </w:r>
      <w:r w:rsidR="003C7BBE">
        <w:t xml:space="preserve">a </w:t>
      </w:r>
      <w:r w:rsidR="00723F49" w:rsidRPr="00723F49">
        <w:t>Bachelor of Education</w:t>
      </w:r>
      <w:r w:rsidR="00723F49">
        <w:t xml:space="preserve"> </w:t>
      </w:r>
      <w:r w:rsidR="003C7BBE">
        <w:t xml:space="preserve">degree, </w:t>
      </w:r>
      <w:r w:rsidR="00723F49">
        <w:t>with one</w:t>
      </w:r>
      <w:r w:rsidR="00723F49" w:rsidRPr="00723F49">
        <w:t xml:space="preserve"> work</w:t>
      </w:r>
      <w:r w:rsidR="001A70D4">
        <w:t>ing</w:t>
      </w:r>
      <w:r w:rsidR="00723F49" w:rsidRPr="00723F49">
        <w:t xml:space="preserve"> as a </w:t>
      </w:r>
      <w:r>
        <w:t>p</w:t>
      </w:r>
      <w:r w:rsidR="00723F49" w:rsidRPr="00723F49">
        <w:t xml:space="preserve">rimary school teacher at </w:t>
      </w:r>
      <w:proofErr w:type="spellStart"/>
      <w:r w:rsidR="00723F49" w:rsidRPr="00723F49">
        <w:t>Aiwo</w:t>
      </w:r>
      <w:proofErr w:type="spellEnd"/>
      <w:r w:rsidR="00723F49" w:rsidRPr="00723F49">
        <w:t xml:space="preserve"> Primary School </w:t>
      </w:r>
      <w:r w:rsidR="001A70D4">
        <w:t>and</w:t>
      </w:r>
      <w:r w:rsidR="001A70D4" w:rsidRPr="00723F49">
        <w:t xml:space="preserve"> </w:t>
      </w:r>
      <w:r w:rsidR="00723F49" w:rsidRPr="00723F49">
        <w:t xml:space="preserve">the other </w:t>
      </w:r>
      <w:r w:rsidR="001A70D4">
        <w:t>as</w:t>
      </w:r>
      <w:r w:rsidR="00723F49" w:rsidRPr="00723F49">
        <w:t xml:space="preserve"> </w:t>
      </w:r>
      <w:r>
        <w:t>a</w:t>
      </w:r>
      <w:r w:rsidR="00723F49" w:rsidRPr="00723F49">
        <w:t xml:space="preserve">cting </w:t>
      </w:r>
      <w:r>
        <w:t>t</w:t>
      </w:r>
      <w:r w:rsidR="00723F49" w:rsidRPr="00723F49">
        <w:t xml:space="preserve">eacher-in-charge at </w:t>
      </w:r>
      <w:proofErr w:type="spellStart"/>
      <w:r w:rsidR="00723F49" w:rsidRPr="00723F49">
        <w:t>Boe</w:t>
      </w:r>
      <w:proofErr w:type="spellEnd"/>
      <w:r w:rsidR="00723F49" w:rsidRPr="00723F49">
        <w:t xml:space="preserve"> Infant School</w:t>
      </w:r>
    </w:p>
    <w:p w14:paraId="343887A3" w14:textId="7A287020" w:rsidR="00723F49" w:rsidRPr="00723F49" w:rsidRDefault="009A5286" w:rsidP="00067A68">
      <w:pPr>
        <w:pStyle w:val="ListBullet"/>
      </w:pPr>
      <w:r>
        <w:t>o</w:t>
      </w:r>
      <w:r w:rsidR="00723F49">
        <w:t>ne</w:t>
      </w:r>
      <w:r w:rsidR="00723F49" w:rsidRPr="00723F49">
        <w:t xml:space="preserve"> student completed </w:t>
      </w:r>
      <w:r w:rsidR="003C7BBE">
        <w:t>a</w:t>
      </w:r>
      <w:r w:rsidR="00723F49" w:rsidRPr="00723F49">
        <w:t xml:space="preserve"> Bachelor of Arts </w:t>
      </w:r>
      <w:r w:rsidR="003C7BBE">
        <w:t xml:space="preserve">degree </w:t>
      </w:r>
      <w:r w:rsidR="00723F49" w:rsidRPr="00723F49">
        <w:t xml:space="preserve">and </w:t>
      </w:r>
      <w:r w:rsidR="001A70D4">
        <w:t>is</w:t>
      </w:r>
      <w:r w:rsidR="00723F49" w:rsidRPr="00723F49">
        <w:t xml:space="preserve"> work</w:t>
      </w:r>
      <w:r w:rsidR="001A70D4">
        <w:t>ing</w:t>
      </w:r>
      <w:r w:rsidR="00723F49" w:rsidRPr="00723F49">
        <w:t xml:space="preserve"> with the Nauru Police Force </w:t>
      </w:r>
      <w:r w:rsidR="0037468E">
        <w:t xml:space="preserve">(NPF) </w:t>
      </w:r>
      <w:r w:rsidR="00723F49" w:rsidRPr="00723F49">
        <w:t xml:space="preserve">as Superintendent for the Operations Support </w:t>
      </w:r>
      <w:r>
        <w:t>D</w:t>
      </w:r>
      <w:r w:rsidR="00723F49" w:rsidRPr="00723F49">
        <w:t>ivision</w:t>
      </w:r>
    </w:p>
    <w:p w14:paraId="70E0E66B" w14:textId="194EA28F" w:rsidR="00723F49" w:rsidRPr="00723F49" w:rsidRDefault="00F3498F" w:rsidP="00067A68">
      <w:pPr>
        <w:pStyle w:val="ListBullet"/>
      </w:pPr>
      <w:proofErr w:type="gramStart"/>
      <w:r>
        <w:t>o</w:t>
      </w:r>
      <w:r w:rsidR="00723F49">
        <w:t>ne</w:t>
      </w:r>
      <w:proofErr w:type="gramEnd"/>
      <w:r w:rsidR="00723F49" w:rsidRPr="00723F49">
        <w:t xml:space="preserve"> student has completed </w:t>
      </w:r>
      <w:r w:rsidR="003C7BBE">
        <w:t xml:space="preserve">a </w:t>
      </w:r>
      <w:r w:rsidR="00723F49" w:rsidRPr="00723F49">
        <w:t xml:space="preserve">Bachelor of Commerce </w:t>
      </w:r>
      <w:r w:rsidR="003C7BBE">
        <w:t xml:space="preserve">degree </w:t>
      </w:r>
      <w:r w:rsidR="00723F49" w:rsidRPr="00723F49">
        <w:t xml:space="preserve">and returned to work for the </w:t>
      </w:r>
      <w:r w:rsidR="00A10C64">
        <w:t>Ministry for Finance</w:t>
      </w:r>
      <w:r w:rsidR="00723F49" w:rsidRPr="00723F49">
        <w:t xml:space="preserve"> as the </w:t>
      </w:r>
      <w:r w:rsidR="003C7BBE">
        <w:t>e</w:t>
      </w:r>
      <w:r w:rsidR="00723F49" w:rsidRPr="00723F49">
        <w:t>conomic-</w:t>
      </w:r>
      <w:r w:rsidR="003C7BBE">
        <w:t>s</w:t>
      </w:r>
      <w:r w:rsidR="00723F49" w:rsidRPr="00723F49">
        <w:t xml:space="preserve">ocial </w:t>
      </w:r>
      <w:r w:rsidR="003C7BBE">
        <w:t>s</w:t>
      </w:r>
      <w:r w:rsidR="00723F49" w:rsidRPr="00723F49">
        <w:t xml:space="preserve">ector </w:t>
      </w:r>
      <w:r w:rsidR="003C7BBE">
        <w:t>p</w:t>
      </w:r>
      <w:r w:rsidR="00723F49" w:rsidRPr="00723F49">
        <w:t>lanner.</w:t>
      </w:r>
    </w:p>
    <w:p w14:paraId="2FB63A13" w14:textId="00FA74E6" w:rsidR="0070769D" w:rsidRDefault="0053150D" w:rsidP="00067A68">
      <w:pPr>
        <w:pStyle w:val="BodyText"/>
      </w:pPr>
      <w:r>
        <w:lastRenderedPageBreak/>
        <w:t xml:space="preserve">While the number of units failed by Nauruan awardees has </w:t>
      </w:r>
      <w:r w:rsidR="001A70D4">
        <w:t xml:space="preserve">decreased </w:t>
      </w:r>
      <w:r>
        <w:t>in recent years (</w:t>
      </w:r>
      <w:r w:rsidR="00F3498F">
        <w:t xml:space="preserve">possibly </w:t>
      </w:r>
      <w:r>
        <w:t>reflecting improvements in the broader education system), failure rates and terminations remain concerning</w:t>
      </w:r>
      <w:r w:rsidR="003C7BBE">
        <w:t>.</w:t>
      </w:r>
      <w:r w:rsidR="00DF0505">
        <w:rPr>
          <w:rStyle w:val="FootnoteReference"/>
        </w:rPr>
        <w:footnoteReference w:id="28"/>
      </w:r>
      <w:r>
        <w:t xml:space="preserve"> In 2013</w:t>
      </w:r>
      <w:r w:rsidR="003C7BBE">
        <w:t>–</w:t>
      </w:r>
      <w:r>
        <w:t xml:space="preserve">14, </w:t>
      </w:r>
      <w:r w:rsidR="008326BA">
        <w:t xml:space="preserve">we will undertake </w:t>
      </w:r>
      <w:r>
        <w:t xml:space="preserve">a review and tracer study to improve performance data and examine the reasons behind failures. </w:t>
      </w:r>
      <w:r w:rsidR="008326BA">
        <w:t>We will also establish a</w:t>
      </w:r>
      <w:r>
        <w:t xml:space="preserve">n </w:t>
      </w:r>
      <w:r w:rsidR="00E35BC7">
        <w:t>a</w:t>
      </w:r>
      <w:r>
        <w:t>lumni framework to monitor graduates</w:t>
      </w:r>
      <w:r w:rsidR="00E35BC7">
        <w:t>’</w:t>
      </w:r>
      <w:r>
        <w:t xml:space="preserve"> personal achievements after completion of studies</w:t>
      </w:r>
      <w:r w:rsidR="00E35BC7">
        <w:t>,</w:t>
      </w:r>
      <w:r>
        <w:t xml:space="preserve"> provide professional networking opportunities and link graduates to post</w:t>
      </w:r>
      <w:r w:rsidR="002833AA">
        <w:t>-</w:t>
      </w:r>
      <w:r>
        <w:t>graduate study opportunities through, for example, the Australian Leadership Awards.</w:t>
      </w:r>
    </w:p>
    <w:p w14:paraId="4EE09C95" w14:textId="747FE9D9" w:rsidR="0024383A" w:rsidRDefault="0024383A" w:rsidP="00067A68">
      <w:pPr>
        <w:pStyle w:val="BodyText"/>
      </w:pPr>
      <w:r w:rsidRPr="0024383A">
        <w:rPr>
          <w:szCs w:val="22"/>
          <w:lang w:val="en-NZ"/>
        </w:rPr>
        <w:t xml:space="preserve">New Zealand provides </w:t>
      </w:r>
      <w:r w:rsidR="002460D6">
        <w:rPr>
          <w:szCs w:val="22"/>
          <w:lang w:val="en-NZ"/>
        </w:rPr>
        <w:t>three to six</w:t>
      </w:r>
      <w:r w:rsidRPr="0024383A">
        <w:rPr>
          <w:szCs w:val="22"/>
          <w:lang w:val="en-NZ"/>
        </w:rPr>
        <w:t xml:space="preserve"> Pacific Scholarships each year. </w:t>
      </w:r>
      <w:r w:rsidR="00A10C64">
        <w:rPr>
          <w:szCs w:val="22"/>
          <w:lang w:val="en-NZ"/>
        </w:rPr>
        <w:t>In 2012</w:t>
      </w:r>
      <w:r w:rsidR="003C7BBE">
        <w:rPr>
          <w:szCs w:val="22"/>
          <w:lang w:val="en-NZ"/>
        </w:rPr>
        <w:t>–</w:t>
      </w:r>
      <w:r w:rsidR="00A10C64">
        <w:rPr>
          <w:szCs w:val="22"/>
          <w:lang w:val="en-NZ"/>
        </w:rPr>
        <w:t xml:space="preserve">13, </w:t>
      </w:r>
      <w:r w:rsidR="003C7BBE">
        <w:rPr>
          <w:szCs w:val="22"/>
          <w:lang w:val="en-NZ"/>
        </w:rPr>
        <w:t>nine</w:t>
      </w:r>
      <w:r w:rsidRPr="0024383A">
        <w:rPr>
          <w:szCs w:val="22"/>
          <w:lang w:val="en-NZ"/>
        </w:rPr>
        <w:t xml:space="preserve"> Nauruan students</w:t>
      </w:r>
      <w:r w:rsidR="00CD59A9">
        <w:rPr>
          <w:szCs w:val="22"/>
          <w:lang w:val="en-NZ"/>
        </w:rPr>
        <w:t xml:space="preserve"> were</w:t>
      </w:r>
      <w:r w:rsidRPr="0024383A">
        <w:rPr>
          <w:szCs w:val="22"/>
          <w:lang w:val="en-NZ"/>
        </w:rPr>
        <w:t xml:space="preserve"> </w:t>
      </w:r>
      <w:r w:rsidR="00ED3C2A">
        <w:rPr>
          <w:szCs w:val="22"/>
          <w:lang w:val="en-NZ"/>
        </w:rPr>
        <w:t xml:space="preserve">studying in </w:t>
      </w:r>
      <w:r w:rsidRPr="0024383A">
        <w:rPr>
          <w:szCs w:val="22"/>
          <w:lang w:val="en-NZ"/>
        </w:rPr>
        <w:t>New Zealand</w:t>
      </w:r>
      <w:r w:rsidR="00ED3C2A">
        <w:rPr>
          <w:szCs w:val="22"/>
          <w:lang w:val="en-NZ"/>
        </w:rPr>
        <w:t>—two in l</w:t>
      </w:r>
      <w:r w:rsidRPr="0024383A">
        <w:rPr>
          <w:szCs w:val="22"/>
          <w:lang w:val="en-NZ"/>
        </w:rPr>
        <w:t>aw</w:t>
      </w:r>
      <w:r w:rsidR="00ED3C2A">
        <w:rPr>
          <w:szCs w:val="22"/>
          <w:lang w:val="en-NZ"/>
        </w:rPr>
        <w:t>, three in s</w:t>
      </w:r>
      <w:r w:rsidRPr="0024383A">
        <w:rPr>
          <w:szCs w:val="22"/>
          <w:lang w:val="en-NZ"/>
        </w:rPr>
        <w:t>cience</w:t>
      </w:r>
      <w:r w:rsidR="00ED3C2A">
        <w:rPr>
          <w:szCs w:val="22"/>
          <w:lang w:val="en-NZ"/>
        </w:rPr>
        <w:t>, three in b</w:t>
      </w:r>
      <w:r w:rsidRPr="0024383A">
        <w:rPr>
          <w:szCs w:val="22"/>
          <w:lang w:val="en-NZ"/>
        </w:rPr>
        <w:t>usiness/</w:t>
      </w:r>
      <w:r w:rsidR="00ED3C2A">
        <w:rPr>
          <w:szCs w:val="22"/>
          <w:lang w:val="en-NZ"/>
        </w:rPr>
        <w:t>m</w:t>
      </w:r>
      <w:r w:rsidRPr="0024383A">
        <w:rPr>
          <w:szCs w:val="22"/>
          <w:lang w:val="en-NZ"/>
        </w:rPr>
        <w:t>anagement</w:t>
      </w:r>
      <w:r w:rsidR="00ED3C2A">
        <w:rPr>
          <w:szCs w:val="22"/>
          <w:lang w:val="en-NZ"/>
        </w:rPr>
        <w:t xml:space="preserve"> </w:t>
      </w:r>
      <w:r w:rsidR="007E5858">
        <w:rPr>
          <w:szCs w:val="22"/>
          <w:lang w:val="en-NZ"/>
        </w:rPr>
        <w:t xml:space="preserve">and </w:t>
      </w:r>
      <w:r w:rsidR="00ED3C2A">
        <w:rPr>
          <w:szCs w:val="22"/>
          <w:lang w:val="en-NZ"/>
        </w:rPr>
        <w:t>one in a</w:t>
      </w:r>
      <w:r w:rsidRPr="0024383A">
        <w:rPr>
          <w:szCs w:val="22"/>
          <w:lang w:val="en-NZ"/>
        </w:rPr>
        <w:t xml:space="preserve">rchitecture. One </w:t>
      </w:r>
      <w:r w:rsidR="00CD59A9">
        <w:rPr>
          <w:szCs w:val="22"/>
          <w:lang w:val="en-NZ"/>
        </w:rPr>
        <w:t>scholarship</w:t>
      </w:r>
      <w:r w:rsidR="00CD59A9" w:rsidRPr="0024383A">
        <w:rPr>
          <w:szCs w:val="22"/>
          <w:lang w:val="en-NZ"/>
        </w:rPr>
        <w:t xml:space="preserve"> </w:t>
      </w:r>
      <w:r w:rsidRPr="0024383A">
        <w:rPr>
          <w:szCs w:val="22"/>
          <w:lang w:val="en-NZ"/>
        </w:rPr>
        <w:t>is reserved for fisheries applicants (if available) and a</w:t>
      </w:r>
      <w:r w:rsidR="00CD59A9">
        <w:rPr>
          <w:szCs w:val="22"/>
          <w:lang w:val="en-NZ"/>
        </w:rPr>
        <w:t>nother</w:t>
      </w:r>
      <w:r w:rsidRPr="0024383A">
        <w:rPr>
          <w:szCs w:val="22"/>
          <w:lang w:val="en-NZ"/>
        </w:rPr>
        <w:t xml:space="preserve"> may be prioritised for legal studies </w:t>
      </w:r>
      <w:r w:rsidR="00CD59A9">
        <w:rPr>
          <w:szCs w:val="22"/>
          <w:lang w:val="en-NZ"/>
        </w:rPr>
        <w:t>to</w:t>
      </w:r>
      <w:r w:rsidR="00CD59A9" w:rsidRPr="0024383A">
        <w:rPr>
          <w:szCs w:val="22"/>
          <w:lang w:val="en-NZ"/>
        </w:rPr>
        <w:t xml:space="preserve"> </w:t>
      </w:r>
      <w:r w:rsidRPr="0024383A">
        <w:rPr>
          <w:szCs w:val="22"/>
          <w:lang w:val="en-NZ"/>
        </w:rPr>
        <w:t>align with N</w:t>
      </w:r>
      <w:r w:rsidR="00A10C64">
        <w:rPr>
          <w:szCs w:val="22"/>
          <w:lang w:val="en-NZ"/>
        </w:rPr>
        <w:t>ew</w:t>
      </w:r>
      <w:r w:rsidR="00DC3B0A">
        <w:rPr>
          <w:szCs w:val="22"/>
          <w:lang w:val="en-NZ"/>
        </w:rPr>
        <w:t> </w:t>
      </w:r>
      <w:r w:rsidRPr="0024383A">
        <w:rPr>
          <w:szCs w:val="22"/>
          <w:lang w:val="en-NZ"/>
        </w:rPr>
        <w:t>Z</w:t>
      </w:r>
      <w:r w:rsidR="00A10C64">
        <w:rPr>
          <w:szCs w:val="22"/>
          <w:lang w:val="en-NZ"/>
        </w:rPr>
        <w:t>ealand</w:t>
      </w:r>
      <w:r w:rsidR="00CD59A9">
        <w:rPr>
          <w:szCs w:val="22"/>
          <w:lang w:val="en-NZ"/>
        </w:rPr>
        <w:t>’s</w:t>
      </w:r>
      <w:r w:rsidRPr="0024383A">
        <w:rPr>
          <w:szCs w:val="22"/>
          <w:lang w:val="en-NZ"/>
        </w:rPr>
        <w:t xml:space="preserve"> focus on </w:t>
      </w:r>
      <w:r w:rsidR="00A10C64">
        <w:rPr>
          <w:szCs w:val="22"/>
          <w:lang w:val="en-NZ"/>
        </w:rPr>
        <w:t xml:space="preserve">the </w:t>
      </w:r>
      <w:r w:rsidR="00ED3C2A">
        <w:rPr>
          <w:szCs w:val="22"/>
          <w:lang w:val="en-NZ"/>
        </w:rPr>
        <w:t>l</w:t>
      </w:r>
      <w:r w:rsidR="00A10C64">
        <w:rPr>
          <w:szCs w:val="22"/>
          <w:lang w:val="en-NZ"/>
        </w:rPr>
        <w:t xml:space="preserve">aw and </w:t>
      </w:r>
      <w:r w:rsidR="00ED3C2A">
        <w:rPr>
          <w:szCs w:val="22"/>
          <w:lang w:val="en-NZ"/>
        </w:rPr>
        <w:t>j</w:t>
      </w:r>
      <w:r w:rsidRPr="0024383A">
        <w:rPr>
          <w:szCs w:val="22"/>
          <w:lang w:val="en-NZ"/>
        </w:rPr>
        <w:t>ustice in Nauru</w:t>
      </w:r>
      <w:r w:rsidR="00067A68">
        <w:rPr>
          <w:szCs w:val="22"/>
          <w:lang w:val="en-NZ"/>
        </w:rPr>
        <w:t>.</w:t>
      </w:r>
    </w:p>
    <w:p w14:paraId="556423A8" w14:textId="26C363C7" w:rsidR="006E3339" w:rsidRPr="00067A68" w:rsidRDefault="006E3339" w:rsidP="00BD0809">
      <w:pPr>
        <w:pStyle w:val="Heading3"/>
      </w:pPr>
      <w:r w:rsidRPr="00067A68">
        <w:t>Australia</w:t>
      </w:r>
      <w:r w:rsidR="00CD59A9" w:rsidRPr="00067A68">
        <w:t>-</w:t>
      </w:r>
      <w:r w:rsidRPr="00067A68">
        <w:t>Pacific Technical College</w:t>
      </w:r>
    </w:p>
    <w:p w14:paraId="5F201B65" w14:textId="3506AA21" w:rsidR="00565D9A" w:rsidRPr="00565D9A" w:rsidRDefault="00565D9A" w:rsidP="00067A68">
      <w:pPr>
        <w:pStyle w:val="BodyText"/>
        <w:rPr>
          <w:color w:val="000000" w:themeColor="text1"/>
        </w:rPr>
      </w:pPr>
      <w:r w:rsidRPr="00565D9A">
        <w:rPr>
          <w:color w:val="000000" w:themeColor="text1"/>
        </w:rPr>
        <w:t>The Australia</w:t>
      </w:r>
      <w:r>
        <w:rPr>
          <w:color w:val="000000" w:themeColor="text1"/>
        </w:rPr>
        <w:t>-Pacific Technical College</w:t>
      </w:r>
      <w:r w:rsidR="00E35BC7">
        <w:rPr>
          <w:color w:val="000000" w:themeColor="text1"/>
        </w:rPr>
        <w:t xml:space="preserve"> </w:t>
      </w:r>
      <w:r>
        <w:rPr>
          <w:color w:val="000000" w:themeColor="text1"/>
        </w:rPr>
        <w:t xml:space="preserve">delivers </w:t>
      </w:r>
      <w:r w:rsidR="008326BA">
        <w:rPr>
          <w:color w:val="000000" w:themeColor="text1"/>
        </w:rPr>
        <w:t>TVET</w:t>
      </w:r>
      <w:r>
        <w:rPr>
          <w:color w:val="000000" w:themeColor="text1"/>
        </w:rPr>
        <w:t xml:space="preserve"> courses in targeted industry sectors for the Pacific, providing recognised Australian qualifications in areas such as </w:t>
      </w:r>
      <w:r w:rsidR="008326BA">
        <w:rPr>
          <w:color w:val="000000" w:themeColor="text1"/>
        </w:rPr>
        <w:t xml:space="preserve">automotive, construction, electrical, health and community, </w:t>
      </w:r>
      <w:r>
        <w:rPr>
          <w:color w:val="000000" w:themeColor="text1"/>
        </w:rPr>
        <w:t xml:space="preserve">hospitality </w:t>
      </w:r>
      <w:r w:rsidR="008326BA">
        <w:rPr>
          <w:color w:val="000000" w:themeColor="text1"/>
        </w:rPr>
        <w:t xml:space="preserve">and </w:t>
      </w:r>
      <w:r>
        <w:rPr>
          <w:color w:val="000000" w:themeColor="text1"/>
        </w:rPr>
        <w:t>tourism</w:t>
      </w:r>
      <w:r w:rsidR="008326BA">
        <w:rPr>
          <w:color w:val="000000" w:themeColor="text1"/>
        </w:rPr>
        <w:t>.</w:t>
      </w:r>
    </w:p>
    <w:p w14:paraId="7B46CD9C" w14:textId="0D7A2A7B" w:rsidR="00CB7C71" w:rsidRDefault="00565D9A" w:rsidP="00067A68">
      <w:pPr>
        <w:pStyle w:val="BodyText"/>
        <w:rPr>
          <w:color w:val="95B3D7" w:themeColor="accent1" w:themeTint="99"/>
        </w:rPr>
      </w:pPr>
      <w:r>
        <w:rPr>
          <w:color w:val="000000" w:themeColor="text1"/>
        </w:rPr>
        <w:t>Since t</w:t>
      </w:r>
      <w:r w:rsidR="00862521">
        <w:rPr>
          <w:color w:val="000000" w:themeColor="text1"/>
        </w:rPr>
        <w:t>h</w:t>
      </w:r>
      <w:r>
        <w:rPr>
          <w:color w:val="000000" w:themeColor="text1"/>
        </w:rPr>
        <w:t xml:space="preserve">e </w:t>
      </w:r>
      <w:r w:rsidR="00CD59A9">
        <w:rPr>
          <w:color w:val="000000" w:themeColor="text1"/>
        </w:rPr>
        <w:t xml:space="preserve">college was </w:t>
      </w:r>
      <w:r>
        <w:rPr>
          <w:color w:val="000000" w:themeColor="text1"/>
        </w:rPr>
        <w:t>establish</w:t>
      </w:r>
      <w:r w:rsidR="00CD59A9">
        <w:rPr>
          <w:color w:val="000000" w:themeColor="text1"/>
        </w:rPr>
        <w:t xml:space="preserve">ed </w:t>
      </w:r>
      <w:r>
        <w:rPr>
          <w:color w:val="000000" w:themeColor="text1"/>
        </w:rPr>
        <w:t xml:space="preserve">in 2007, </w:t>
      </w:r>
      <w:r w:rsidR="00E35BC7">
        <w:rPr>
          <w:color w:val="000000" w:themeColor="text1"/>
        </w:rPr>
        <w:t>42</w:t>
      </w:r>
      <w:r w:rsidR="00E16A2F">
        <w:rPr>
          <w:color w:val="000000" w:themeColor="text1"/>
        </w:rPr>
        <w:t xml:space="preserve"> </w:t>
      </w:r>
      <w:proofErr w:type="spellStart"/>
      <w:r w:rsidR="00E16A2F">
        <w:rPr>
          <w:color w:val="000000" w:themeColor="text1"/>
        </w:rPr>
        <w:t>Nauruans</w:t>
      </w:r>
      <w:proofErr w:type="spellEnd"/>
      <w:r w:rsidR="00E16A2F">
        <w:rPr>
          <w:color w:val="000000" w:themeColor="text1"/>
        </w:rPr>
        <w:t xml:space="preserve"> have graduated (23 females and 19</w:t>
      </w:r>
      <w:r w:rsidR="00DC3B0A">
        <w:rPr>
          <w:color w:val="000000" w:themeColor="text1"/>
        </w:rPr>
        <w:t> </w:t>
      </w:r>
      <w:r w:rsidR="00E16A2F">
        <w:rPr>
          <w:color w:val="000000" w:themeColor="text1"/>
        </w:rPr>
        <w:t xml:space="preserve">males). </w:t>
      </w:r>
      <w:r w:rsidR="00FF7739">
        <w:rPr>
          <w:color w:val="000000" w:themeColor="text1"/>
        </w:rPr>
        <w:t xml:space="preserve">In 2013, 59 Nauruan students remain enrolled in </w:t>
      </w:r>
      <w:r w:rsidR="00CD59A9">
        <w:rPr>
          <w:color w:val="000000" w:themeColor="text1"/>
        </w:rPr>
        <w:t xml:space="preserve">college </w:t>
      </w:r>
      <w:r w:rsidR="00FF7739">
        <w:rPr>
          <w:color w:val="000000" w:themeColor="text1"/>
        </w:rPr>
        <w:t>courses (34 females and 25 males).</w:t>
      </w:r>
      <w:r w:rsidR="00911718">
        <w:rPr>
          <w:color w:val="000000" w:themeColor="text1"/>
        </w:rPr>
        <w:t xml:space="preserve"> The college is producing results for Nauru with local skills gaps being slowly addressed with, for example, Nauru’s first two female tilers graduating and returning to Nauru to take up jobs within</w:t>
      </w:r>
      <w:r w:rsidR="00CD59A9">
        <w:rPr>
          <w:color w:val="000000" w:themeColor="text1"/>
        </w:rPr>
        <w:t xml:space="preserve"> </w:t>
      </w:r>
      <w:r w:rsidR="00911718">
        <w:rPr>
          <w:color w:val="000000" w:themeColor="text1"/>
        </w:rPr>
        <w:t xml:space="preserve">Nauru’s public works </w:t>
      </w:r>
      <w:r w:rsidR="00BB269C">
        <w:t>state-owned enterprise</w:t>
      </w:r>
      <w:r w:rsidR="005C0900">
        <w:rPr>
          <w:color w:val="000000" w:themeColor="text1"/>
        </w:rPr>
        <w:t xml:space="preserve">. </w:t>
      </w:r>
    </w:p>
    <w:p w14:paraId="046B6B89" w14:textId="626035CE" w:rsidR="00004D3C" w:rsidRPr="00067A68" w:rsidRDefault="00A16A17" w:rsidP="00BD0809">
      <w:pPr>
        <w:pStyle w:val="Heading3"/>
      </w:pPr>
      <w:r w:rsidRPr="00067A68">
        <w:t>Management consequence</w:t>
      </w:r>
      <w:r w:rsidR="00AD7A97" w:rsidRPr="00067A68">
        <w:t>s</w:t>
      </w:r>
    </w:p>
    <w:p w14:paraId="2392F489" w14:textId="750572F0" w:rsidR="00A16A17" w:rsidRDefault="008326BA" w:rsidP="00067A68">
      <w:pPr>
        <w:pStyle w:val="ListBullet"/>
      </w:pPr>
      <w:r>
        <w:t>We will e</w:t>
      </w:r>
      <w:r w:rsidR="002B1FB4">
        <w:t xml:space="preserve">stablish a Nauru Education </w:t>
      </w:r>
      <w:r w:rsidR="00E35BC7">
        <w:t>Sector</w:t>
      </w:r>
      <w:r w:rsidR="002B1FB4">
        <w:t xml:space="preserve"> Group</w:t>
      </w:r>
      <w:r w:rsidR="00CD59A9">
        <w:t>,</w:t>
      </w:r>
      <w:r w:rsidR="002B1FB4">
        <w:t xml:space="preserve"> including </w:t>
      </w:r>
      <w:r w:rsidR="007342D3">
        <w:t xml:space="preserve">DFAT </w:t>
      </w:r>
      <w:r w:rsidR="002B1FB4">
        <w:t>education specialists</w:t>
      </w:r>
      <w:r>
        <w:t xml:space="preserve"> and Nauru program staff</w:t>
      </w:r>
      <w:r w:rsidR="002B1FB4">
        <w:t xml:space="preserve">, </w:t>
      </w:r>
      <w:r>
        <w:t xml:space="preserve">and </w:t>
      </w:r>
      <w:r w:rsidR="002B1FB4">
        <w:t>representatives of Nauru’s Department of Education</w:t>
      </w:r>
      <w:r w:rsidR="004F4C60">
        <w:t xml:space="preserve">. </w:t>
      </w:r>
      <w:r w:rsidR="00CD59A9">
        <w:t xml:space="preserve">We will offer </w:t>
      </w:r>
      <w:r w:rsidR="004F4C60">
        <w:t>New Zealand the opportunity to participate. Th</w:t>
      </w:r>
      <w:r w:rsidR="00CD59A9">
        <w:t>is</w:t>
      </w:r>
      <w:r w:rsidR="004F4C60">
        <w:t xml:space="preserve"> reference group should meet </w:t>
      </w:r>
      <w:r w:rsidR="00302D74">
        <w:t xml:space="preserve">at least </w:t>
      </w:r>
      <w:r w:rsidR="00CD59A9">
        <w:t xml:space="preserve">once a year </w:t>
      </w:r>
      <w:r w:rsidR="004F4C60">
        <w:t xml:space="preserve">to </w:t>
      </w:r>
      <w:r w:rsidR="00E35BC7">
        <w:t>discuss</w:t>
      </w:r>
      <w:r w:rsidR="004F4C60">
        <w:t xml:space="preserve"> policy priorities, developments on the ground and risk management</w:t>
      </w:r>
      <w:r w:rsidR="00CD59A9">
        <w:t xml:space="preserve">. It should also discuss </w:t>
      </w:r>
      <w:r w:rsidR="004F4C60">
        <w:t>progress reporting and</w:t>
      </w:r>
      <w:r w:rsidR="002460D6">
        <w:t xml:space="preserve"> </w:t>
      </w:r>
      <w:r w:rsidR="004F4C60">
        <w:t>data management.</w:t>
      </w:r>
      <w:r w:rsidR="00E80303">
        <w:t xml:space="preserve"> </w:t>
      </w:r>
    </w:p>
    <w:p w14:paraId="481C766E" w14:textId="02A03E5D" w:rsidR="00E35BC7" w:rsidRDefault="00DC3B0A" w:rsidP="00067A68">
      <w:pPr>
        <w:pStyle w:val="ListBullet"/>
      </w:pPr>
      <w:r>
        <w:t>We will u</w:t>
      </w:r>
      <w:r w:rsidR="00D672AC">
        <w:t xml:space="preserve">ndertake a </w:t>
      </w:r>
      <w:r w:rsidR="00302D74">
        <w:t xml:space="preserve">PMAG </w:t>
      </w:r>
      <w:r w:rsidR="00D672AC">
        <w:t>review of assistance to the education sector</w:t>
      </w:r>
      <w:r>
        <w:t>,</w:t>
      </w:r>
      <w:r w:rsidR="00D672AC">
        <w:t xml:space="preserve"> including an Australia Awards tracer </w:t>
      </w:r>
      <w:r>
        <w:t xml:space="preserve">study, </w:t>
      </w:r>
      <w:r w:rsidR="00E35BC7">
        <w:t>and review factors influencing the technical and vocational study stream.</w:t>
      </w:r>
    </w:p>
    <w:p w14:paraId="2EE508E5" w14:textId="5885370C" w:rsidR="00A16A17" w:rsidRPr="00805C2C" w:rsidRDefault="00A16A17" w:rsidP="00067A68">
      <w:pPr>
        <w:pStyle w:val="Heading2"/>
      </w:pPr>
      <w:r w:rsidRPr="00805C2C">
        <w:t xml:space="preserve">Objective </w:t>
      </w:r>
      <w:r w:rsidR="00E80303">
        <w:t>3</w:t>
      </w:r>
      <w:r>
        <w:t xml:space="preserve">: </w:t>
      </w:r>
      <w:r w:rsidR="00E80303">
        <w:t xml:space="preserve">A </w:t>
      </w:r>
      <w:r w:rsidR="00CB7C71">
        <w:t>c</w:t>
      </w:r>
      <w:r w:rsidR="00E80303">
        <w:t>ost</w:t>
      </w:r>
      <w:r w:rsidR="00F105B8">
        <w:t>-</w:t>
      </w:r>
      <w:r w:rsidR="00CB7C71">
        <w:t>e</w:t>
      </w:r>
      <w:r w:rsidR="00E80303">
        <w:t xml:space="preserve">ffective </w:t>
      </w:r>
      <w:r w:rsidR="00CB7C71">
        <w:t>h</w:t>
      </w:r>
      <w:r w:rsidR="00E80303">
        <w:t xml:space="preserve">ealth </w:t>
      </w:r>
      <w:r w:rsidR="00CB7C71">
        <w:t>s</w:t>
      </w:r>
      <w:r w:rsidR="00E80303">
        <w:t xml:space="preserve">ystem which </w:t>
      </w:r>
      <w:r w:rsidR="00CB7C71">
        <w:t>d</w:t>
      </w:r>
      <w:r w:rsidR="00E80303">
        <w:t xml:space="preserve">elivers </w:t>
      </w:r>
      <w:r w:rsidR="00CB7C71">
        <w:t>i</w:t>
      </w:r>
      <w:r>
        <w:t xml:space="preserve">mproved </w:t>
      </w:r>
      <w:r w:rsidR="00CB7C71">
        <w:t>h</w:t>
      </w:r>
      <w:r w:rsidR="00E80303">
        <w:t xml:space="preserve">ealth </w:t>
      </w:r>
      <w:r w:rsidR="00CB7C71">
        <w:t>o</w:t>
      </w:r>
      <w:r w:rsidR="00E80303">
        <w:t>utcomes</w:t>
      </w:r>
    </w:p>
    <w:p w14:paraId="31B2BD54" w14:textId="537D6DEB" w:rsidR="00E80303" w:rsidRDefault="00E80303" w:rsidP="00067A68">
      <w:pPr>
        <w:pStyle w:val="BodyText"/>
      </w:pPr>
      <w:r>
        <w:t xml:space="preserve">Under this </w:t>
      </w:r>
      <w:r w:rsidR="008326BA">
        <w:t>objective</w:t>
      </w:r>
      <w:r>
        <w:t>, Australia’s commitment is to:</w:t>
      </w:r>
    </w:p>
    <w:p w14:paraId="6C3FDC2D" w14:textId="1CD5134F" w:rsidR="00CD67E4" w:rsidRDefault="0090352C" w:rsidP="00067A68">
      <w:pPr>
        <w:pStyle w:val="ListBullet"/>
      </w:pPr>
      <w:r>
        <w:t>s</w:t>
      </w:r>
      <w:r w:rsidR="00E80303">
        <w:t>trengthen health system management, in particular budget prioritisation, strategic planning, infrastructure redevelopment and improved health statistics</w:t>
      </w:r>
    </w:p>
    <w:p w14:paraId="723031A0" w14:textId="21887F84" w:rsidR="00E80303" w:rsidRDefault="0090352C" w:rsidP="00067A68">
      <w:pPr>
        <w:pStyle w:val="ListBullet"/>
      </w:pPr>
      <w:r>
        <w:t>r</w:t>
      </w:r>
      <w:r w:rsidR="00E80303">
        <w:t xml:space="preserve">educe the prevalence of </w:t>
      </w:r>
      <w:r w:rsidR="00E75700">
        <w:t>NCDs</w:t>
      </w:r>
      <w:r w:rsidR="00E80303">
        <w:t xml:space="preserve"> and sexually transmitted infections, through more effective preventative and public health programs</w:t>
      </w:r>
    </w:p>
    <w:p w14:paraId="1AC95454" w14:textId="06E2146D" w:rsidR="00E80303" w:rsidRDefault="0090352C" w:rsidP="00067A68">
      <w:pPr>
        <w:pStyle w:val="ListBullet"/>
      </w:pPr>
      <w:proofErr w:type="gramStart"/>
      <w:r>
        <w:t>i</w:t>
      </w:r>
      <w:r w:rsidR="00E80303">
        <w:t>mprove</w:t>
      </w:r>
      <w:proofErr w:type="gramEnd"/>
      <w:r w:rsidR="00E80303">
        <w:t xml:space="preserve"> maternal and child health outcomes, by improving access to and quality of ante and post natal care</w:t>
      </w:r>
      <w:r>
        <w:t xml:space="preserve"> and child nutrition programs</w:t>
      </w:r>
      <w:r w:rsidR="00E80303">
        <w:t>.</w:t>
      </w:r>
    </w:p>
    <w:p w14:paraId="15B3692C" w14:textId="05AAAD87" w:rsidR="006B55EC" w:rsidRDefault="006B55EC" w:rsidP="00067A68">
      <w:pPr>
        <w:pStyle w:val="BodyText"/>
      </w:pPr>
      <w:r>
        <w:t xml:space="preserve">Rating: Green. We are on track to meet </w:t>
      </w:r>
      <w:r w:rsidR="00CB7C71">
        <w:t>p</w:t>
      </w:r>
      <w:r>
        <w:t xml:space="preserve">artnership priorities for this sector, noting some objectives have been revised down </w:t>
      </w:r>
      <w:r w:rsidR="00281478">
        <w:t xml:space="preserve">reflecting the short time span covered by the </w:t>
      </w:r>
      <w:r w:rsidR="00CB7C71">
        <w:t>p</w:t>
      </w:r>
      <w:r w:rsidR="00281478">
        <w:t>artnership</w:t>
      </w:r>
      <w:r>
        <w:t xml:space="preserve">. </w:t>
      </w:r>
      <w:r>
        <w:lastRenderedPageBreak/>
        <w:t>For example, targets for reduci</w:t>
      </w:r>
      <w:r w:rsidR="00E75700">
        <w:t>ng</w:t>
      </w:r>
      <w:r>
        <w:t xml:space="preserve"> the incidence of NCDs have been reduced from 25 per cent to </w:t>
      </w:r>
      <w:r w:rsidR="00281478">
        <w:t xml:space="preserve">a more realistic </w:t>
      </w:r>
      <w:r>
        <w:t>5 per cent.</w:t>
      </w:r>
    </w:p>
    <w:p w14:paraId="3D956CBD" w14:textId="496FBCD0" w:rsidR="001075B5" w:rsidRPr="00482C82" w:rsidRDefault="001075B5" w:rsidP="00067A68">
      <w:pPr>
        <w:pStyle w:val="BodyText"/>
      </w:pPr>
      <w:r w:rsidRPr="00482C82">
        <w:t xml:space="preserve">The </w:t>
      </w:r>
      <w:r w:rsidR="00066642">
        <w:t>Government of Nauru</w:t>
      </w:r>
      <w:r w:rsidRPr="00482C82">
        <w:t xml:space="preserve"> health services operate under a centralised system based around the Republic of Nauru Hospital and the </w:t>
      </w:r>
      <w:proofErr w:type="spellStart"/>
      <w:r w:rsidRPr="00482C82">
        <w:t>Naoero</w:t>
      </w:r>
      <w:proofErr w:type="spellEnd"/>
      <w:r w:rsidRPr="00482C82">
        <w:t xml:space="preserve"> Public Health Centre combined with some clinical outreach. As a small, single island with a population </w:t>
      </w:r>
      <w:r>
        <w:t>of</w:t>
      </w:r>
      <w:r w:rsidRPr="00482C82">
        <w:t xml:space="preserve"> </w:t>
      </w:r>
      <w:r>
        <w:t xml:space="preserve">approximately </w:t>
      </w:r>
      <w:r w:rsidRPr="00482C82">
        <w:t>1</w:t>
      </w:r>
      <w:r>
        <w:t>0</w:t>
      </w:r>
      <w:r w:rsidR="00CB7C71">
        <w:t xml:space="preserve"> </w:t>
      </w:r>
      <w:r w:rsidRPr="00482C82">
        <w:t xml:space="preserve">000, this centralised </w:t>
      </w:r>
      <w:r w:rsidR="00E75700">
        <w:t>way to deliver</w:t>
      </w:r>
      <w:r w:rsidRPr="00482C82">
        <w:t xml:space="preserve"> health service</w:t>
      </w:r>
      <w:r w:rsidR="00E75700">
        <w:t>s</w:t>
      </w:r>
      <w:r w:rsidRPr="00482C82">
        <w:t xml:space="preserve"> has achieved </w:t>
      </w:r>
      <w:r>
        <w:t>good</w:t>
      </w:r>
      <w:r w:rsidRPr="00482C82">
        <w:t xml:space="preserve"> coverage reaching all </w:t>
      </w:r>
      <w:r>
        <w:t>elements</w:t>
      </w:r>
      <w:r w:rsidRPr="00482C82">
        <w:t xml:space="preserve"> of the community equally.</w:t>
      </w:r>
    </w:p>
    <w:p w14:paraId="68917C59" w14:textId="5EAB41AA" w:rsidR="00DA6C5E" w:rsidRDefault="00DA6C5E" w:rsidP="00067A68">
      <w:pPr>
        <w:pStyle w:val="BodyText"/>
      </w:pPr>
      <w:r>
        <w:t>Australian bilateral funding in 2012</w:t>
      </w:r>
      <w:r w:rsidR="00CB7C71">
        <w:t>–</w:t>
      </w:r>
      <w:r>
        <w:t>13, at $3.18 million</w:t>
      </w:r>
      <w:r w:rsidR="007F2882">
        <w:t>,</w:t>
      </w:r>
      <w:r>
        <w:t xml:space="preserve"> represented 45.3 per cent of the overall health budget for Nauru.</w:t>
      </w:r>
    </w:p>
    <w:p w14:paraId="69590FE2" w14:textId="342E3497" w:rsidR="00482C82" w:rsidRDefault="00482C82" w:rsidP="00067A68">
      <w:pPr>
        <w:pStyle w:val="BodyText"/>
      </w:pPr>
      <w:r w:rsidRPr="00482C82">
        <w:t xml:space="preserve">Nauru’s mortality and </w:t>
      </w:r>
      <w:r w:rsidR="003E1FD0">
        <w:t>disease burden attributable to</w:t>
      </w:r>
      <w:r w:rsidR="007F2882">
        <w:t xml:space="preserve"> </w:t>
      </w:r>
      <w:r w:rsidR="003E1FD0">
        <w:t>NCDs</w:t>
      </w:r>
      <w:r w:rsidRPr="00482C82">
        <w:t xml:space="preserve">, primarily diabetes, cancers and respiratory diseases, represent a leading threat to the health and development of the </w:t>
      </w:r>
      <w:r w:rsidR="00E75700">
        <w:t>population</w:t>
      </w:r>
      <w:r w:rsidR="00FC7E4C">
        <w:t>.</w:t>
      </w:r>
      <w:r w:rsidRPr="00482C82">
        <w:t xml:space="preserve"> </w:t>
      </w:r>
      <w:r w:rsidR="006C71A6">
        <w:t>Reporting from the Ministry for Health indicates that in 2012</w:t>
      </w:r>
      <w:r w:rsidR="00CB7C71">
        <w:t>–</w:t>
      </w:r>
      <w:r w:rsidR="006C71A6">
        <w:t>13, 84</w:t>
      </w:r>
      <w:r w:rsidR="00E75700">
        <w:t> </w:t>
      </w:r>
      <w:r w:rsidR="004C08A2">
        <w:t>per cent</w:t>
      </w:r>
      <w:r w:rsidR="006C71A6">
        <w:t xml:space="preserve"> of all deaths in Nauru </w:t>
      </w:r>
      <w:r w:rsidR="007F2882">
        <w:t>were</w:t>
      </w:r>
      <w:r w:rsidR="006C71A6">
        <w:t xml:space="preserve"> attributed to NCDs</w:t>
      </w:r>
      <w:r w:rsidRPr="00482C82">
        <w:t xml:space="preserve"> </w:t>
      </w:r>
      <w:r w:rsidR="007F2882">
        <w:t xml:space="preserve">with life expectancy being only 49 for men and 57 for </w:t>
      </w:r>
      <w:r w:rsidR="007F2882" w:rsidRPr="00AD7A97">
        <w:t>women</w:t>
      </w:r>
      <w:r w:rsidR="00CB7C71" w:rsidRPr="00AD7A97">
        <w:t>.</w:t>
      </w:r>
      <w:r w:rsidR="007F2882" w:rsidRPr="00AD7A97">
        <w:rPr>
          <w:rStyle w:val="FootnoteReference"/>
        </w:rPr>
        <w:footnoteReference w:id="29"/>
      </w:r>
      <w:r w:rsidR="007F2882" w:rsidRPr="00AD7A97">
        <w:t xml:space="preserve"> </w:t>
      </w:r>
      <w:r w:rsidR="006F573F">
        <w:t>DFAT</w:t>
      </w:r>
      <w:r w:rsidR="00213F91">
        <w:t xml:space="preserve">’s </w:t>
      </w:r>
      <w:r w:rsidRPr="00AD7A97">
        <w:t xml:space="preserve">focus on preventative health care </w:t>
      </w:r>
      <w:r w:rsidR="007F2882" w:rsidRPr="00AD7A97">
        <w:t>aims to reduce the incidents of NCDs and improve</w:t>
      </w:r>
      <w:r w:rsidR="00AD7A97">
        <w:t xml:space="preserve"> the</w:t>
      </w:r>
      <w:r w:rsidR="007F2882" w:rsidRPr="00AD7A97">
        <w:t xml:space="preserve"> life expectancy </w:t>
      </w:r>
      <w:r w:rsidR="00AD7A97">
        <w:t>o</w:t>
      </w:r>
      <w:r w:rsidR="007F2882" w:rsidRPr="00AD7A97">
        <w:t xml:space="preserve">f all </w:t>
      </w:r>
      <w:proofErr w:type="spellStart"/>
      <w:r w:rsidR="007F2882" w:rsidRPr="00AD7A97">
        <w:t>Nauruans</w:t>
      </w:r>
      <w:proofErr w:type="spellEnd"/>
      <w:r w:rsidR="007F2882" w:rsidRPr="00AD7A97">
        <w:t xml:space="preserve">. This approach is </w:t>
      </w:r>
      <w:r w:rsidRPr="00AD7A97">
        <w:t>consistent with the W</w:t>
      </w:r>
      <w:r w:rsidR="00E75700" w:rsidRPr="00AD7A97">
        <w:t xml:space="preserve">orld Health Organization – </w:t>
      </w:r>
      <w:r w:rsidRPr="00AD7A97">
        <w:t>S</w:t>
      </w:r>
      <w:r w:rsidR="00AD7A97">
        <w:t>ecretariat of the Pacific Community</w:t>
      </w:r>
      <w:r w:rsidRPr="00AD7A97">
        <w:t xml:space="preserve"> Implementation Plan for the Prevention and Control of NCDs in the Pacific (2008</w:t>
      </w:r>
      <w:r w:rsidR="00CB7C71" w:rsidRPr="00AD7A97">
        <w:t>–</w:t>
      </w:r>
      <w:r w:rsidRPr="00AD7A97">
        <w:t>2011) and Nauru’s NCD Action Plan 2007</w:t>
      </w:r>
      <w:r w:rsidR="00CB7C71" w:rsidRPr="00AD7A97">
        <w:t>–</w:t>
      </w:r>
      <w:r w:rsidRPr="00AD7A97">
        <w:t>12.</w:t>
      </w:r>
    </w:p>
    <w:p w14:paraId="315D4D62" w14:textId="277EAC92" w:rsidR="000E007A" w:rsidRPr="00482C82" w:rsidRDefault="000E007A" w:rsidP="00067A68">
      <w:pPr>
        <w:pStyle w:val="BodyText"/>
        <w:rPr>
          <w:rFonts w:cs="Arial"/>
          <w:bCs/>
          <w:iCs/>
          <w:color w:val="000000"/>
          <w:szCs w:val="16"/>
        </w:rPr>
      </w:pPr>
      <w:r>
        <w:t xml:space="preserve">Australian support for vaccination programs assisted Nauru </w:t>
      </w:r>
      <w:r w:rsidR="007F2882">
        <w:t xml:space="preserve">to </w:t>
      </w:r>
      <w:r>
        <w:t xml:space="preserve">maintain its coverage for key vaccines, including for </w:t>
      </w:r>
      <w:r w:rsidR="00AD7A97">
        <w:t xml:space="preserve">hepatitis B, </w:t>
      </w:r>
      <w:r>
        <w:t>diphtheria,</w:t>
      </w:r>
      <w:r w:rsidR="00AD7A97">
        <w:t xml:space="preserve"> polio and</w:t>
      </w:r>
      <w:r>
        <w:t xml:space="preserve"> tetanus at 99 per cent</w:t>
      </w:r>
      <w:r w:rsidR="00AD7A97">
        <w:t>.</w:t>
      </w:r>
      <w:r>
        <w:rPr>
          <w:rStyle w:val="FootnoteReference"/>
        </w:rPr>
        <w:footnoteReference w:id="30"/>
      </w:r>
      <w:r>
        <w:t xml:space="preserve"> However, reporting from the Ministry for Health in 2013 suggests that a shortage in supplies meant measles vaccinations reached only 83 per cent coverage in 2012. </w:t>
      </w:r>
      <w:r w:rsidR="00F105B8">
        <w:t xml:space="preserve">Our </w:t>
      </w:r>
      <w:r>
        <w:t>funding provided vaccinations for 153 children (or a</w:t>
      </w:r>
      <w:r w:rsidR="005567D7">
        <w:t>bout</w:t>
      </w:r>
      <w:r>
        <w:t xml:space="preserve"> 43 per cent of all vaccinations provided).</w:t>
      </w:r>
    </w:p>
    <w:p w14:paraId="1760B707" w14:textId="40CEF0F1" w:rsidR="00482C82" w:rsidRDefault="009B5D2D" w:rsidP="00067A68">
      <w:pPr>
        <w:pStyle w:val="BodyText"/>
      </w:pPr>
      <w:r>
        <w:t>W</w:t>
      </w:r>
      <w:r w:rsidR="00E97795">
        <w:t xml:space="preserve">hile </w:t>
      </w:r>
      <w:r w:rsidR="00482C82" w:rsidRPr="00482C82">
        <w:t>progress against cardio-vascular disease, diabetes and sexually transmi</w:t>
      </w:r>
      <w:r w:rsidR="00E97795">
        <w:t>ssible diseases has been mixed</w:t>
      </w:r>
      <w:r w:rsidR="006C71A6">
        <w:rPr>
          <w:rStyle w:val="FootnoteReference"/>
        </w:rPr>
        <w:footnoteReference w:id="31"/>
      </w:r>
      <w:r w:rsidR="00E97795">
        <w:t xml:space="preserve">, </w:t>
      </w:r>
      <w:r w:rsidR="0053213D">
        <w:t>success in keeping Nauru free of any known cases of HIV/AIDS</w:t>
      </w:r>
      <w:r w:rsidR="00AD7A97">
        <w:t xml:space="preserve"> and malaria</w:t>
      </w:r>
      <w:r w:rsidR="0053213D">
        <w:t xml:space="preserve"> resulted in the </w:t>
      </w:r>
      <w:r w:rsidR="00AD7A97">
        <w:t xml:space="preserve">2011 and 2012 </w:t>
      </w:r>
      <w:r w:rsidR="0053213D">
        <w:t xml:space="preserve">MDG </w:t>
      </w:r>
      <w:r w:rsidR="00CB7C71">
        <w:t>t</w:t>
      </w:r>
      <w:r w:rsidR="0053213D">
        <w:t>racking reports listing Nauru as on</w:t>
      </w:r>
      <w:r w:rsidR="000C6ADB">
        <w:t xml:space="preserve"> </w:t>
      </w:r>
      <w:r w:rsidR="0053213D">
        <w:t>track to meet MDG 6</w:t>
      </w:r>
      <w:r w:rsidR="00AD7A97">
        <w:t>—combat HIV/AIDs, malaria and other diseases—</w:t>
      </w:r>
      <w:r w:rsidR="0053213D">
        <w:t>by 2015. P</w:t>
      </w:r>
      <w:r w:rsidR="00E97795">
        <w:t xml:space="preserve">rogress has </w:t>
      </w:r>
      <w:r w:rsidR="0053213D">
        <w:t xml:space="preserve">also been strong </w:t>
      </w:r>
      <w:r w:rsidR="00E97795">
        <w:t>in relation to MDG 4</w:t>
      </w:r>
      <w:r w:rsidR="00CB7C71">
        <w:t xml:space="preserve">, </w:t>
      </w:r>
      <w:r w:rsidR="00E97795">
        <w:t>reduced child mortality</w:t>
      </w:r>
      <w:r w:rsidR="0053213D">
        <w:t>,</w:t>
      </w:r>
      <w:r w:rsidR="00E97795">
        <w:t xml:space="preserve"> with the </w:t>
      </w:r>
      <w:r w:rsidR="00AD7A97">
        <w:t xml:space="preserve">2012 </w:t>
      </w:r>
      <w:r w:rsidR="00E97795">
        <w:t>MDG tracking report lifting Nauru’s progress from off</w:t>
      </w:r>
      <w:r w:rsidR="000C6ADB">
        <w:t xml:space="preserve"> </w:t>
      </w:r>
      <w:r w:rsidR="00E97795">
        <w:t xml:space="preserve">track to </w:t>
      </w:r>
      <w:proofErr w:type="gramStart"/>
      <w:r w:rsidR="00E97795">
        <w:t>mixed</w:t>
      </w:r>
      <w:proofErr w:type="gramEnd"/>
      <w:r w:rsidR="005C5CD2">
        <w:t>. The report</w:t>
      </w:r>
      <w:r w:rsidR="0053213D">
        <w:t xml:space="preserve"> not</w:t>
      </w:r>
      <w:r w:rsidR="005C5CD2">
        <w:t>ed</w:t>
      </w:r>
      <w:r w:rsidR="0053213D">
        <w:t xml:space="preserve"> reductions in under</w:t>
      </w:r>
      <w:r w:rsidR="005C5CD2">
        <w:t>-</w:t>
      </w:r>
      <w:r w:rsidR="0053213D">
        <w:t>five and infant mortality</w:t>
      </w:r>
      <w:r w:rsidR="00294954">
        <w:t xml:space="preserve"> rates</w:t>
      </w:r>
      <w:r w:rsidR="005C5CD2">
        <w:t>,</w:t>
      </w:r>
      <w:r w:rsidR="00294954">
        <w:t xml:space="preserve"> which sit at 20.6 and 23.6 per 10</w:t>
      </w:r>
      <w:r w:rsidR="003A79B0">
        <w:t>0</w:t>
      </w:r>
      <w:r w:rsidR="00294954">
        <w:t>0 live births respectively</w:t>
      </w:r>
      <w:r w:rsidR="005C5CD2">
        <w:t>.</w:t>
      </w:r>
      <w:r w:rsidR="00294954">
        <w:rPr>
          <w:rStyle w:val="FootnoteReference"/>
        </w:rPr>
        <w:footnoteReference w:id="32"/>
      </w:r>
      <w:r w:rsidR="0053213D">
        <w:t xml:space="preserve"> </w:t>
      </w:r>
      <w:r w:rsidR="00294954">
        <w:t xml:space="preserve">There </w:t>
      </w:r>
      <w:r w:rsidR="00F105B8">
        <w:t>were</w:t>
      </w:r>
      <w:r w:rsidR="00294954">
        <w:t xml:space="preserve"> no maternal deaths in Nauru during 2011 </w:t>
      </w:r>
      <w:r w:rsidR="005C5CD2">
        <w:t>or</w:t>
      </w:r>
      <w:r w:rsidR="00F105B8">
        <w:t xml:space="preserve"> </w:t>
      </w:r>
      <w:r w:rsidR="00294954">
        <w:t>2012</w:t>
      </w:r>
      <w:r w:rsidR="005C5CD2">
        <w:t>.</w:t>
      </w:r>
      <w:r w:rsidR="00294954">
        <w:rPr>
          <w:rStyle w:val="FootnoteReference"/>
        </w:rPr>
        <w:footnoteReference w:id="33"/>
      </w:r>
    </w:p>
    <w:p w14:paraId="62F9A05F" w14:textId="59AAE90A" w:rsidR="0069767A" w:rsidRPr="00482C82" w:rsidRDefault="0069767A" w:rsidP="00067A68">
      <w:pPr>
        <w:pStyle w:val="BodyText"/>
      </w:pPr>
      <w:r>
        <w:t xml:space="preserve">The </w:t>
      </w:r>
      <w:r w:rsidR="00AD7A97">
        <w:t xml:space="preserve">overall </w:t>
      </w:r>
      <w:r>
        <w:t>slow pace of progress</w:t>
      </w:r>
      <w:r w:rsidR="00AD7A97">
        <w:t xml:space="preserve"> in the health sector</w:t>
      </w:r>
      <w:r>
        <w:t xml:space="preserve"> arguably reflects cultural barriers rather than the effectiveness of Nauru’s health services. For example, </w:t>
      </w:r>
      <w:r w:rsidR="00AD7A97">
        <w:t>Nauru</w:t>
      </w:r>
      <w:r>
        <w:t xml:space="preserve"> need</w:t>
      </w:r>
      <w:r w:rsidR="00AD7A97">
        <w:t>s</w:t>
      </w:r>
      <w:r>
        <w:t xml:space="preserve"> to improve the acceptance and uptake of </w:t>
      </w:r>
      <w:r w:rsidRPr="00D95215">
        <w:t xml:space="preserve">family planning </w:t>
      </w:r>
      <w:r>
        <w:t>services and address the high levels of alcohol, tobacco and sugar consumption in the community.</w:t>
      </w:r>
      <w:r w:rsidRPr="00D95215">
        <w:t xml:space="preserve"> </w:t>
      </w:r>
      <w:r>
        <w:t>These issues may take a generation or more to overcome, but public awareness campaigns, improved nutrition programs (including a school feeding program providing a nutritious meal to approximately 1</w:t>
      </w:r>
      <w:r w:rsidR="006F573F">
        <w:t>,</w:t>
      </w:r>
      <w:r>
        <w:t>500 students daily)</w:t>
      </w:r>
      <w:r>
        <w:rPr>
          <w:rStyle w:val="FootnoteReference"/>
        </w:rPr>
        <w:footnoteReference w:id="34"/>
      </w:r>
      <w:r>
        <w:t xml:space="preserve"> and the Australian Sports Commission’s work in promoting sport and physical activity in Nauru are making progress in turning around contributing factors. </w:t>
      </w:r>
      <w:r w:rsidR="009439E0">
        <w:t xml:space="preserve">Our </w:t>
      </w:r>
      <w:r>
        <w:t>performance</w:t>
      </w:r>
      <w:r w:rsidR="00AD7A97">
        <w:t>-</w:t>
      </w:r>
      <w:r>
        <w:t xml:space="preserve">linked aid funding </w:t>
      </w:r>
      <w:r w:rsidR="00AD7A97">
        <w:t>w</w:t>
      </w:r>
      <w:r>
        <w:t>as also successful in 2012</w:t>
      </w:r>
      <w:r w:rsidR="005C5CD2">
        <w:t>–</w:t>
      </w:r>
      <w:r>
        <w:t xml:space="preserve">13 as an incentive for </w:t>
      </w:r>
      <w:r w:rsidR="00AD7A97">
        <w:t>t</w:t>
      </w:r>
      <w:r w:rsidR="00066642">
        <w:t>he Government of Nauru</w:t>
      </w:r>
      <w:r>
        <w:t xml:space="preserve"> to establish </w:t>
      </w:r>
      <w:r w:rsidR="00AD7A97">
        <w:t xml:space="preserve">its </w:t>
      </w:r>
      <w:r>
        <w:t>first Compliance Unit enforcing regulations under the 2009 Tobacco Control Act.</w:t>
      </w:r>
    </w:p>
    <w:p w14:paraId="3AA863FE" w14:textId="245B8AA5" w:rsidR="001075B5" w:rsidRDefault="00E40DD0" w:rsidP="00067A68">
      <w:pPr>
        <w:pStyle w:val="BodyText"/>
      </w:pPr>
      <w:r>
        <w:lastRenderedPageBreak/>
        <w:t>By</w:t>
      </w:r>
      <w:r w:rsidR="00482C82" w:rsidRPr="00482C82">
        <w:t xml:space="preserve"> providing technical assistance at senior management level a</w:t>
      </w:r>
      <w:r w:rsidR="00AD7A97">
        <w:t>nd</w:t>
      </w:r>
      <w:r w:rsidR="00482C82" w:rsidRPr="00482C82">
        <w:t xml:space="preserve"> </w:t>
      </w:r>
      <w:r w:rsidR="0053213D">
        <w:t>funding</w:t>
      </w:r>
      <w:r w:rsidR="00482C82" w:rsidRPr="00482C82">
        <w:t xml:space="preserve"> toward agreed activities</w:t>
      </w:r>
      <w:r>
        <w:t xml:space="preserve">, </w:t>
      </w:r>
      <w:r w:rsidR="00482C82" w:rsidRPr="00482C82">
        <w:t>Australia</w:t>
      </w:r>
      <w:r>
        <w:t xml:space="preserve"> </w:t>
      </w:r>
      <w:r w:rsidR="00AD7A97">
        <w:t xml:space="preserve">is </w:t>
      </w:r>
      <w:r>
        <w:t>mak</w:t>
      </w:r>
      <w:r w:rsidR="00AD7A97">
        <w:t>ing</w:t>
      </w:r>
      <w:r>
        <w:t xml:space="preserve"> a strong</w:t>
      </w:r>
      <w:r w:rsidR="00482C82" w:rsidRPr="00482C82">
        <w:t xml:space="preserve"> contribution to setting strategic direction</w:t>
      </w:r>
      <w:r w:rsidR="001075B5">
        <w:t>,</w:t>
      </w:r>
      <w:r w:rsidR="0069767A">
        <w:t xml:space="preserve"> </w:t>
      </w:r>
      <w:r w:rsidR="00482C82" w:rsidRPr="00482C82">
        <w:t>coordinating broader multi-donor support</w:t>
      </w:r>
      <w:r w:rsidR="001075B5">
        <w:t xml:space="preserve"> and</w:t>
      </w:r>
      <w:r w:rsidR="00482C82" w:rsidRPr="00482C82">
        <w:t xml:space="preserve"> directly influencing the standard of day</w:t>
      </w:r>
      <w:r w:rsidR="00AD7A97">
        <w:t>-</w:t>
      </w:r>
      <w:r w:rsidR="00482C82" w:rsidRPr="00482C82">
        <w:t>to</w:t>
      </w:r>
      <w:r w:rsidR="00AD7A97">
        <w:t>-</w:t>
      </w:r>
      <w:r w:rsidR="00482C82" w:rsidRPr="00482C82">
        <w:t xml:space="preserve">day operations. </w:t>
      </w:r>
      <w:r w:rsidR="00AD7A97">
        <w:t>This</w:t>
      </w:r>
      <w:r w:rsidR="00482C82">
        <w:t xml:space="preserve"> is improv</w:t>
      </w:r>
      <w:r>
        <w:t>ing</w:t>
      </w:r>
      <w:r w:rsidR="00482C82">
        <w:t xml:space="preserve"> service delivery and basic healthcare standards. </w:t>
      </w:r>
      <w:r w:rsidR="009439E0">
        <w:t>Our</w:t>
      </w:r>
      <w:r w:rsidR="009439E0" w:rsidRPr="00482C82">
        <w:t xml:space="preserve"> </w:t>
      </w:r>
      <w:r w:rsidR="001075B5">
        <w:t xml:space="preserve">funding </w:t>
      </w:r>
      <w:r w:rsidR="003A79B0">
        <w:t xml:space="preserve">for building maintenance and repairs </w:t>
      </w:r>
      <w:r w:rsidR="001075B5">
        <w:t>and</w:t>
      </w:r>
      <w:r w:rsidR="003A79B0">
        <w:t xml:space="preserve"> </w:t>
      </w:r>
      <w:r w:rsidR="00AD7A97">
        <w:t>providing</w:t>
      </w:r>
      <w:r w:rsidR="003A79B0">
        <w:t xml:space="preserve"> pharmaceuticals, medical equipment and consumables (bandages</w:t>
      </w:r>
      <w:r w:rsidR="00AD7A97">
        <w:t xml:space="preserve"> and</w:t>
      </w:r>
      <w:r w:rsidR="003A79B0">
        <w:t xml:space="preserve"> surgical supplies)</w:t>
      </w:r>
      <w:r w:rsidR="003A79B0" w:rsidRPr="00482C82">
        <w:t xml:space="preserve"> </w:t>
      </w:r>
      <w:r w:rsidR="003A79B0">
        <w:t>has resulted in</w:t>
      </w:r>
      <w:r>
        <w:t xml:space="preserve"> </w:t>
      </w:r>
      <w:r w:rsidR="003A79B0" w:rsidRPr="00482C82">
        <w:t xml:space="preserve">enhanced </w:t>
      </w:r>
      <w:r w:rsidR="003A79B0">
        <w:t xml:space="preserve">and better maintained infrastructure and </w:t>
      </w:r>
      <w:r w:rsidR="003A79B0" w:rsidRPr="00482C82">
        <w:t>facilities</w:t>
      </w:r>
      <w:r w:rsidR="003A79B0">
        <w:t xml:space="preserve"> and</w:t>
      </w:r>
      <w:r w:rsidR="003A79B0" w:rsidRPr="00482C82">
        <w:t xml:space="preserve"> </w:t>
      </w:r>
      <w:r w:rsidR="003A79B0">
        <w:t xml:space="preserve">better equipped medical (and dental) services </w:t>
      </w:r>
      <w:r w:rsidR="003A79B0" w:rsidRPr="00482C82">
        <w:t xml:space="preserve">available to all </w:t>
      </w:r>
      <w:r w:rsidR="003A79B0">
        <w:t>members</w:t>
      </w:r>
      <w:r w:rsidR="003A79B0" w:rsidRPr="00482C82">
        <w:t xml:space="preserve"> </w:t>
      </w:r>
      <w:r w:rsidR="003A79B0">
        <w:t xml:space="preserve">of </w:t>
      </w:r>
      <w:r w:rsidR="003A79B0" w:rsidRPr="00482C82">
        <w:t>the community.</w:t>
      </w:r>
    </w:p>
    <w:p w14:paraId="67CAD31B" w14:textId="65126068" w:rsidR="001075B5" w:rsidRDefault="009439E0" w:rsidP="00067A68">
      <w:pPr>
        <w:pStyle w:val="BodyText"/>
      </w:pPr>
      <w:r>
        <w:t xml:space="preserve">While the community is receiving improved </w:t>
      </w:r>
      <w:r w:rsidR="001075B5">
        <w:t>health</w:t>
      </w:r>
      <w:r>
        <w:t xml:space="preserve"> services overall, some services </w:t>
      </w:r>
      <w:r w:rsidR="001075B5">
        <w:t>cannot be provided locally</w:t>
      </w:r>
      <w:r>
        <w:t>. This results</w:t>
      </w:r>
      <w:r w:rsidR="001075B5">
        <w:t xml:space="preserve"> in expensive overseas medical referrals. It is important to manage community expectations </w:t>
      </w:r>
      <w:r>
        <w:t>on</w:t>
      </w:r>
      <w:r w:rsidR="001075B5">
        <w:t xml:space="preserve"> the level of funding that can be allocated to such services and ensure </w:t>
      </w:r>
      <w:r w:rsidR="00F105B8">
        <w:t xml:space="preserve">that </w:t>
      </w:r>
      <w:r w:rsidR="001075B5">
        <w:t>all such referrals are warranted on a clinical basis.</w:t>
      </w:r>
      <w:r w:rsidR="007B2C33">
        <w:t xml:space="preserve"> Given the scale of Australia’s contribution to the health sector, closer engagement on policy development, particularly </w:t>
      </w:r>
      <w:r>
        <w:t>with</w:t>
      </w:r>
      <w:r w:rsidR="007B2C33">
        <w:t xml:space="preserve"> budget management and prioritisation</w:t>
      </w:r>
      <w:r>
        <w:t>,</w:t>
      </w:r>
      <w:r w:rsidR="007B2C33">
        <w:t xml:space="preserve"> is required to ensure </w:t>
      </w:r>
      <w:r>
        <w:t xml:space="preserve">our </w:t>
      </w:r>
      <w:r w:rsidR="007B2C33">
        <w:t xml:space="preserve">investments target areas of most significant need. This </w:t>
      </w:r>
      <w:r>
        <w:t>requires</w:t>
      </w:r>
      <w:r w:rsidR="007B2C33">
        <w:t xml:space="preserve"> </w:t>
      </w:r>
      <w:r w:rsidR="00F34DF5">
        <w:t>a s</w:t>
      </w:r>
      <w:r>
        <w:t>harper</w:t>
      </w:r>
      <w:r w:rsidR="00F34DF5">
        <w:t xml:space="preserve"> focus on </w:t>
      </w:r>
      <w:r w:rsidR="007B2C33">
        <w:t>collecti</w:t>
      </w:r>
      <w:r>
        <w:t>ng</w:t>
      </w:r>
      <w:r w:rsidR="007B2C33">
        <w:t xml:space="preserve"> </w:t>
      </w:r>
      <w:r w:rsidR="00F34DF5">
        <w:t>health statistics through health department</w:t>
      </w:r>
      <w:r>
        <w:t xml:space="preserve"> reporting</w:t>
      </w:r>
      <w:r w:rsidR="00F34DF5">
        <w:t>.</w:t>
      </w:r>
    </w:p>
    <w:p w14:paraId="36FB7452" w14:textId="0D09716B" w:rsidR="00482C82" w:rsidRPr="00482C82" w:rsidRDefault="003E1FD0" w:rsidP="00067A68">
      <w:pPr>
        <w:pStyle w:val="BodyText"/>
      </w:pPr>
      <w:r>
        <w:t>More Nauruan</w:t>
      </w:r>
      <w:r w:rsidR="00482C82" w:rsidRPr="00482C82">
        <w:t xml:space="preserve"> high school graduates </w:t>
      </w:r>
      <w:r>
        <w:t xml:space="preserve">are </w:t>
      </w:r>
      <w:r w:rsidR="00482C82" w:rsidRPr="00482C82">
        <w:t>entering the nursing and medical streams of the Australia</w:t>
      </w:r>
      <w:r w:rsidR="00A92F82">
        <w:t xml:space="preserve"> Awards p</w:t>
      </w:r>
      <w:r w:rsidR="00482C82" w:rsidRPr="00482C82">
        <w:t>rogram</w:t>
      </w:r>
      <w:r w:rsidR="00F105B8">
        <w:t>,</w:t>
      </w:r>
      <w:r w:rsidR="00482C82" w:rsidRPr="00482C82">
        <w:t xml:space="preserve"> with at least one per year returning as qualified practitioners to work in the health sector</w:t>
      </w:r>
      <w:r>
        <w:t xml:space="preserve">. </w:t>
      </w:r>
      <w:r w:rsidR="009439E0">
        <w:t xml:space="preserve">Our </w:t>
      </w:r>
      <w:r w:rsidR="0053213D">
        <w:t xml:space="preserve">assistance is also </w:t>
      </w:r>
      <w:r w:rsidR="00482C82" w:rsidRPr="00482C82">
        <w:t>improv</w:t>
      </w:r>
      <w:r w:rsidR="0053213D">
        <w:t>ing administration,</w:t>
      </w:r>
      <w:r w:rsidR="00482C82" w:rsidRPr="00482C82">
        <w:t xml:space="preserve"> budget management</w:t>
      </w:r>
      <w:r w:rsidR="0053213D">
        <w:t xml:space="preserve"> and </w:t>
      </w:r>
      <w:r w:rsidR="00482C82" w:rsidRPr="00482C82">
        <w:t>planning</w:t>
      </w:r>
      <w:r w:rsidR="0053213D">
        <w:t xml:space="preserve"> </w:t>
      </w:r>
      <w:r w:rsidR="00A70196">
        <w:t>by providing</w:t>
      </w:r>
      <w:r w:rsidR="0053213D">
        <w:t xml:space="preserve"> professionals</w:t>
      </w:r>
      <w:r w:rsidR="009439E0">
        <w:t xml:space="preserve"> who can</w:t>
      </w:r>
      <w:r w:rsidR="00A70196">
        <w:t xml:space="preserve"> </w:t>
      </w:r>
      <w:r w:rsidR="0053213D">
        <w:t>perform</w:t>
      </w:r>
      <w:r w:rsidR="00A70196">
        <w:t xml:space="preserve"> </w:t>
      </w:r>
      <w:r w:rsidR="0053213D">
        <w:t>these functions and build the skills of local counterparts to take over these roles.</w:t>
      </w:r>
      <w:r w:rsidR="00FF4401">
        <w:t xml:space="preserve"> </w:t>
      </w:r>
      <w:r w:rsidR="00066642">
        <w:t>Government of Nauru</w:t>
      </w:r>
      <w:r w:rsidR="00FF4401">
        <w:t xml:space="preserve"> funding for preventative medical services has slowly increased</w:t>
      </w:r>
      <w:r w:rsidR="00D30FD3">
        <w:t xml:space="preserve"> </w:t>
      </w:r>
      <w:r w:rsidR="00FF4401">
        <w:t>as a proportion of the overall health budget over recent years</w:t>
      </w:r>
      <w:r w:rsidR="009439E0">
        <w:t xml:space="preserve"> and </w:t>
      </w:r>
      <w:r w:rsidR="00D30FD3">
        <w:t>reach</w:t>
      </w:r>
      <w:r w:rsidR="009439E0">
        <w:t>ed</w:t>
      </w:r>
      <w:r w:rsidR="00D30FD3">
        <w:t xml:space="preserve"> 15 per cent in 2012</w:t>
      </w:r>
      <w:r w:rsidR="005C5CD2">
        <w:t>–</w:t>
      </w:r>
      <w:r w:rsidR="00D30FD3">
        <w:t>13</w:t>
      </w:r>
      <w:r w:rsidR="00A70196">
        <w:t>,</w:t>
      </w:r>
      <w:r w:rsidR="00FF4401">
        <w:t xml:space="preserve"> </w:t>
      </w:r>
      <w:r w:rsidR="00D30FD3">
        <w:t xml:space="preserve">in accordance with the joint commitments under the </w:t>
      </w:r>
      <w:r w:rsidR="00B90C9A">
        <w:t>p</w:t>
      </w:r>
      <w:r w:rsidR="00FF4401">
        <w:t>artnership.</w:t>
      </w:r>
    </w:p>
    <w:p w14:paraId="4F1A48A3" w14:textId="63513D9F" w:rsidR="00432B76" w:rsidRPr="00067A68" w:rsidRDefault="00432B76" w:rsidP="00BD0809">
      <w:pPr>
        <w:pStyle w:val="Heading3"/>
      </w:pPr>
      <w:r w:rsidRPr="00067A68">
        <w:t>Management consequence</w:t>
      </w:r>
      <w:r w:rsidR="00AD7A97" w:rsidRPr="00067A68">
        <w:t>s</w:t>
      </w:r>
    </w:p>
    <w:p w14:paraId="1AD8534D" w14:textId="1CF11768" w:rsidR="00544127" w:rsidRPr="00E1068C" w:rsidRDefault="008326BA" w:rsidP="00E1068C">
      <w:pPr>
        <w:pStyle w:val="ListBullet"/>
      </w:pPr>
      <w:r>
        <w:t>We will e</w:t>
      </w:r>
      <w:r w:rsidR="00432B76">
        <w:t xml:space="preserve">stablish regular </w:t>
      </w:r>
      <w:r w:rsidR="0092321F">
        <w:t xml:space="preserve">(at least </w:t>
      </w:r>
      <w:r>
        <w:t>once per year</w:t>
      </w:r>
      <w:r w:rsidR="0092321F">
        <w:t>)</w:t>
      </w:r>
      <w:r w:rsidR="00432B76">
        <w:t xml:space="preserve"> consultations with Department of Health officials </w:t>
      </w:r>
      <w:r w:rsidR="0031215B">
        <w:t xml:space="preserve">and </w:t>
      </w:r>
      <w:r w:rsidR="007342D3">
        <w:t xml:space="preserve">DFAT </w:t>
      </w:r>
      <w:r w:rsidR="0031215B">
        <w:t xml:space="preserve">health sector specialists </w:t>
      </w:r>
      <w:r w:rsidR="00432B76">
        <w:t xml:space="preserve">to discuss progress toward </w:t>
      </w:r>
      <w:r w:rsidR="005C5CD2">
        <w:t>p</w:t>
      </w:r>
      <w:r w:rsidR="00432B76">
        <w:t>artnership targets and objectives</w:t>
      </w:r>
      <w:r w:rsidR="0031215B">
        <w:t>, the effectiveness of the policy framework and evidence</w:t>
      </w:r>
      <w:r w:rsidR="009439E0">
        <w:t>-</w:t>
      </w:r>
      <w:r w:rsidR="0031215B">
        <w:t>based reporting.</w:t>
      </w:r>
      <w:r w:rsidR="00432B76">
        <w:t xml:space="preserve"> </w:t>
      </w:r>
    </w:p>
    <w:p w14:paraId="349AEB60" w14:textId="5DFE2C7C" w:rsidR="00811745" w:rsidRPr="00805C2C" w:rsidRDefault="00811745" w:rsidP="00E1068C">
      <w:pPr>
        <w:pStyle w:val="Heading2"/>
      </w:pPr>
      <w:r w:rsidRPr="00805C2C">
        <w:t xml:space="preserve">Objective </w:t>
      </w:r>
      <w:r>
        <w:t xml:space="preserve">4: Reliable </w:t>
      </w:r>
      <w:r w:rsidR="00936C89">
        <w:t>a</w:t>
      </w:r>
      <w:r>
        <w:t xml:space="preserve">nd </w:t>
      </w:r>
      <w:r w:rsidR="005C5CD2">
        <w:t>c</w:t>
      </w:r>
      <w:r>
        <w:t>ost</w:t>
      </w:r>
      <w:r w:rsidR="00F105B8">
        <w:t>-</w:t>
      </w:r>
      <w:r w:rsidR="005C5CD2">
        <w:t>e</w:t>
      </w:r>
      <w:r>
        <w:t xml:space="preserve">ffective </w:t>
      </w:r>
      <w:r w:rsidR="005C5CD2">
        <w:t>p</w:t>
      </w:r>
      <w:r>
        <w:t xml:space="preserve">rovision of </w:t>
      </w:r>
      <w:r w:rsidR="005C5CD2">
        <w:t>e</w:t>
      </w:r>
      <w:r>
        <w:t xml:space="preserve">ssential </w:t>
      </w:r>
      <w:r w:rsidR="005C5CD2">
        <w:t>i</w:t>
      </w:r>
      <w:r>
        <w:t xml:space="preserve">nfrastructure </w:t>
      </w:r>
      <w:r w:rsidR="00D055EB">
        <w:br/>
      </w:r>
      <w:r>
        <w:t xml:space="preserve">and </w:t>
      </w:r>
      <w:r w:rsidR="005C5CD2">
        <w:t>s</w:t>
      </w:r>
      <w:r>
        <w:t>ervices</w:t>
      </w:r>
    </w:p>
    <w:p w14:paraId="0CDB1BF9" w14:textId="3D0E5456" w:rsidR="00811745" w:rsidRDefault="00811745" w:rsidP="007B2943">
      <w:pPr>
        <w:pStyle w:val="ListBullet"/>
        <w:numPr>
          <w:ilvl w:val="0"/>
          <w:numId w:val="0"/>
        </w:numPr>
        <w:ind w:left="284" w:hanging="284"/>
      </w:pPr>
      <w:r>
        <w:t xml:space="preserve">Under this </w:t>
      </w:r>
      <w:r w:rsidR="008326BA">
        <w:t>objective</w:t>
      </w:r>
      <w:r>
        <w:t>, Australia’s commitment is to:</w:t>
      </w:r>
    </w:p>
    <w:p w14:paraId="6A5BB523" w14:textId="69C62DAC" w:rsidR="00811745" w:rsidRPr="00D055EB" w:rsidRDefault="00A62888" w:rsidP="00067A68">
      <w:pPr>
        <w:pStyle w:val="ListBullet"/>
      </w:pPr>
      <w:r w:rsidRPr="007156F5">
        <w:t>i</w:t>
      </w:r>
      <w:r w:rsidR="00811745" w:rsidRPr="007156F5">
        <w:t>mprov</w:t>
      </w:r>
      <w:r w:rsidR="00936C89" w:rsidRPr="007156F5">
        <w:t>e</w:t>
      </w:r>
      <w:r w:rsidR="00811745" w:rsidRPr="007156F5">
        <w:t xml:space="preserve"> the reliability and cost effectiveness of power and water services, through more effective governance, maintenance and cost</w:t>
      </w:r>
      <w:r w:rsidR="009439E0" w:rsidRPr="007156F5">
        <w:t>-</w:t>
      </w:r>
      <w:r w:rsidR="00811745" w:rsidRPr="007156F5">
        <w:t>recovery arrangements</w:t>
      </w:r>
    </w:p>
    <w:p w14:paraId="5B40E6D1" w14:textId="6EEA2C8F" w:rsidR="00811745" w:rsidRPr="00D055EB" w:rsidRDefault="00A62888" w:rsidP="00067A68">
      <w:pPr>
        <w:pStyle w:val="ListBullet"/>
      </w:pPr>
      <w:r w:rsidRPr="007156F5">
        <w:t>i</w:t>
      </w:r>
      <w:r w:rsidR="00811745" w:rsidRPr="007156F5">
        <w:t>ncreas</w:t>
      </w:r>
      <w:r w:rsidR="00936C89" w:rsidRPr="007156F5">
        <w:t>e</w:t>
      </w:r>
      <w:r w:rsidR="00811745" w:rsidRPr="007156F5">
        <w:t xml:space="preserve"> use of renewable forms of energy and clean water capture, particularly at household level and</w:t>
      </w:r>
      <w:r w:rsidR="009439E0" w:rsidRPr="007156F5">
        <w:t xml:space="preserve"> in</w:t>
      </w:r>
      <w:r w:rsidR="00811745" w:rsidRPr="007156F5">
        <w:t xml:space="preserve"> public buildings</w:t>
      </w:r>
    </w:p>
    <w:p w14:paraId="63E3B75D" w14:textId="4B4992CA" w:rsidR="00811745" w:rsidRPr="00D055EB" w:rsidRDefault="00A62888" w:rsidP="00067A68">
      <w:pPr>
        <w:pStyle w:val="ListBullet"/>
      </w:pPr>
      <w:proofErr w:type="gramStart"/>
      <w:r w:rsidRPr="00D055EB">
        <w:t>s</w:t>
      </w:r>
      <w:r w:rsidR="00811745" w:rsidRPr="00D055EB">
        <w:t>upport</w:t>
      </w:r>
      <w:proofErr w:type="gramEnd"/>
      <w:r w:rsidR="00811745" w:rsidRPr="00D055EB">
        <w:t xml:space="preserve"> maintenance and provision of essential infrastructure and services</w:t>
      </w:r>
      <w:r w:rsidR="00936C89" w:rsidRPr="00D055EB">
        <w:t>.</w:t>
      </w:r>
    </w:p>
    <w:p w14:paraId="7BC6BACB" w14:textId="72D315CB" w:rsidR="006B55EC" w:rsidRDefault="006B55EC" w:rsidP="00067A68">
      <w:pPr>
        <w:pStyle w:val="BodyText"/>
      </w:pPr>
      <w:r>
        <w:t xml:space="preserve">Rating: Amber. We are on track to meet some of the </w:t>
      </w:r>
      <w:r w:rsidR="00B90C9A">
        <w:t>p</w:t>
      </w:r>
      <w:r>
        <w:t>artnership priorities in this sector.</w:t>
      </w:r>
    </w:p>
    <w:p w14:paraId="597CF89E" w14:textId="08E93919" w:rsidR="001A011E" w:rsidRDefault="00544127" w:rsidP="00067A68">
      <w:pPr>
        <w:pStyle w:val="BodyText"/>
      </w:pPr>
      <w:r>
        <w:t xml:space="preserve">Under this initiative, </w:t>
      </w:r>
      <w:r w:rsidR="006F573F">
        <w:t>DFAT</w:t>
      </w:r>
      <w:r w:rsidR="00213F91">
        <w:t xml:space="preserve"> </w:t>
      </w:r>
      <w:r>
        <w:t>works primarily with the Nauru Utilities Corporation</w:t>
      </w:r>
      <w:r w:rsidR="00F31344">
        <w:t xml:space="preserve"> </w:t>
      </w:r>
      <w:r>
        <w:t>to ensure ongoing, reliable power and water supplies for the community.</w:t>
      </w:r>
      <w:r w:rsidR="001A011E">
        <w:t xml:space="preserve"> </w:t>
      </w:r>
      <w:r w:rsidR="00A62888">
        <w:t>Restoring and m</w:t>
      </w:r>
      <w:r w:rsidR="00BE27CE">
        <w:t xml:space="preserve">aintaining </w:t>
      </w:r>
      <w:r w:rsidR="00A62888">
        <w:t xml:space="preserve">the reliability of </w:t>
      </w:r>
      <w:r w:rsidR="00BE27CE">
        <w:t>th</w:t>
      </w:r>
      <w:r w:rsidR="00A62888">
        <w:t xml:space="preserve">ese services </w:t>
      </w:r>
      <w:r w:rsidR="00BE27CE">
        <w:t xml:space="preserve">to sufficiently meet community demand </w:t>
      </w:r>
      <w:r w:rsidR="00A62888">
        <w:t>represents</w:t>
      </w:r>
      <w:r w:rsidR="00BE27CE">
        <w:t xml:space="preserve"> a significant success.</w:t>
      </w:r>
      <w:r w:rsidR="00B24A65">
        <w:t xml:space="preserve"> However, progress on institutional reform and governance standards within the N</w:t>
      </w:r>
      <w:r w:rsidR="008775F9">
        <w:t>auru Utilities Corporation</w:t>
      </w:r>
      <w:r w:rsidR="00B24A65">
        <w:t xml:space="preserve"> has been mixed.</w:t>
      </w:r>
    </w:p>
    <w:p w14:paraId="4EBDBEBE" w14:textId="3D976679" w:rsidR="00936C89" w:rsidRDefault="00A62888" w:rsidP="00067A68">
      <w:pPr>
        <w:pStyle w:val="BodyText"/>
      </w:pPr>
      <w:r>
        <w:t>A</w:t>
      </w:r>
      <w:r w:rsidR="007109A3">
        <w:t>lmost 25 per cent of</w:t>
      </w:r>
      <w:r w:rsidR="009439E0">
        <w:t xml:space="preserve"> our</w:t>
      </w:r>
      <w:r w:rsidR="007109A3">
        <w:t xml:space="preserve"> bilateral aid funding </w:t>
      </w:r>
      <w:r>
        <w:t>was provided for this</w:t>
      </w:r>
      <w:r w:rsidR="007109A3">
        <w:t xml:space="preserve"> sector in 2012</w:t>
      </w:r>
      <w:r w:rsidR="00C14005">
        <w:t>–</w:t>
      </w:r>
      <w:r w:rsidR="007109A3">
        <w:t xml:space="preserve">13. </w:t>
      </w:r>
      <w:r w:rsidR="00544127">
        <w:t>This work principally involve</w:t>
      </w:r>
      <w:r w:rsidR="009439E0">
        <w:t>d</w:t>
      </w:r>
      <w:r w:rsidR="00544127">
        <w:t xml:space="preserve"> </w:t>
      </w:r>
      <w:r w:rsidR="008B2983">
        <w:t xml:space="preserve">funding </w:t>
      </w:r>
      <w:r w:rsidR="009439E0">
        <w:t xml:space="preserve">for the </w:t>
      </w:r>
      <w:r w:rsidR="008B2983" w:rsidRPr="004305DA">
        <w:t>Chief Executive Officer Utilities</w:t>
      </w:r>
      <w:r w:rsidR="007216A8">
        <w:t xml:space="preserve"> and senior operational personnel, a</w:t>
      </w:r>
      <w:r w:rsidR="009439E0">
        <w:t xml:space="preserve">nd for </w:t>
      </w:r>
      <w:r w:rsidR="00CF602C">
        <w:t>agreed activities</w:t>
      </w:r>
      <w:r w:rsidR="001964E4">
        <w:t xml:space="preserve"> </w:t>
      </w:r>
      <w:r w:rsidR="009439E0">
        <w:t xml:space="preserve">to </w:t>
      </w:r>
      <w:r w:rsidR="001964E4">
        <w:t>support power and water production and distribution.</w:t>
      </w:r>
      <w:r w:rsidR="00CF602C">
        <w:t xml:space="preserve"> </w:t>
      </w:r>
      <w:r w:rsidR="007109A3">
        <w:t>In</w:t>
      </w:r>
      <w:r w:rsidR="00CF602C">
        <w:t xml:space="preserve"> 2012</w:t>
      </w:r>
      <w:r w:rsidR="00C14005">
        <w:t>–</w:t>
      </w:r>
      <w:r w:rsidR="00CF602C">
        <w:t>13</w:t>
      </w:r>
      <w:r w:rsidR="007109A3">
        <w:t xml:space="preserve"> this</w:t>
      </w:r>
      <w:r w:rsidR="00936C89">
        <w:t xml:space="preserve"> included:</w:t>
      </w:r>
    </w:p>
    <w:p w14:paraId="31F63150" w14:textId="078644B1" w:rsidR="00936C89" w:rsidRPr="00936C89" w:rsidRDefault="00544127" w:rsidP="00067A68">
      <w:pPr>
        <w:pStyle w:val="ListBullet"/>
        <w:rPr>
          <w:rFonts w:cs="Arial"/>
        </w:rPr>
      </w:pPr>
      <w:r w:rsidRPr="00936C89">
        <w:lastRenderedPageBreak/>
        <w:t xml:space="preserve">ongoing repairs and maintenance works at </w:t>
      </w:r>
      <w:r w:rsidR="009439E0">
        <w:t>Nauru’s</w:t>
      </w:r>
      <w:r w:rsidR="009439E0" w:rsidRPr="00936C89">
        <w:t xml:space="preserve"> </w:t>
      </w:r>
      <w:r w:rsidRPr="00936C89">
        <w:t>power station</w:t>
      </w:r>
      <w:r w:rsidR="001964E4" w:rsidRPr="00936C89">
        <w:t xml:space="preserve"> and</w:t>
      </w:r>
      <w:r w:rsidR="009439E0">
        <w:t xml:space="preserve"> for the country’s</w:t>
      </w:r>
      <w:r w:rsidR="001964E4" w:rsidRPr="00936C89">
        <w:t xml:space="preserve"> dilapidated distribution</w:t>
      </w:r>
      <w:r w:rsidRPr="00936C89">
        <w:t>/transmission infrastructure</w:t>
      </w:r>
    </w:p>
    <w:p w14:paraId="16F2FD53" w14:textId="7AFD7034" w:rsidR="00936C89" w:rsidRPr="00936C89" w:rsidRDefault="00544127" w:rsidP="00067A68">
      <w:pPr>
        <w:pStyle w:val="ListBullet"/>
        <w:rPr>
          <w:rFonts w:cs="Arial"/>
        </w:rPr>
      </w:pPr>
      <w:r w:rsidRPr="00936C89">
        <w:t>improvements to electrical supply and distribution within the Bulk Fuel Depot (Tank</w:t>
      </w:r>
      <w:r w:rsidR="008C5544">
        <w:t> </w:t>
      </w:r>
      <w:r w:rsidRPr="00936C89">
        <w:t>Farm)</w:t>
      </w:r>
    </w:p>
    <w:p w14:paraId="258CF03F" w14:textId="305C0AD8" w:rsidR="00936C89" w:rsidRPr="00936C89" w:rsidRDefault="009439E0" w:rsidP="00067A68">
      <w:pPr>
        <w:pStyle w:val="ListBullet"/>
        <w:rPr>
          <w:rFonts w:cs="Arial"/>
        </w:rPr>
      </w:pPr>
      <w:r>
        <w:t>provision of</w:t>
      </w:r>
      <w:r w:rsidRPr="00936C89">
        <w:t xml:space="preserve"> </w:t>
      </w:r>
      <w:r w:rsidR="00544127" w:rsidRPr="00936C89">
        <w:t xml:space="preserve">clean and secure fuel storage tanks </w:t>
      </w:r>
    </w:p>
    <w:p w14:paraId="6176E6DF" w14:textId="4F528313" w:rsidR="00936C89" w:rsidRPr="00936C89" w:rsidRDefault="00544127" w:rsidP="00067A68">
      <w:pPr>
        <w:pStyle w:val="ListBullet"/>
        <w:rPr>
          <w:rFonts w:cs="Arial"/>
        </w:rPr>
      </w:pPr>
      <w:r w:rsidRPr="00936C89">
        <w:t>repairs and maintenance of reverse osmosis desalination equipm</w:t>
      </w:r>
      <w:r w:rsidR="00936C89">
        <w:t>ent, water delivery and storage</w:t>
      </w:r>
    </w:p>
    <w:p w14:paraId="394E5F5D" w14:textId="764030B2" w:rsidR="0031215B" w:rsidRPr="00936C89" w:rsidRDefault="009439E0" w:rsidP="00067A68">
      <w:pPr>
        <w:pStyle w:val="ListBullet"/>
        <w:rPr>
          <w:rFonts w:cs="Arial"/>
        </w:rPr>
      </w:pPr>
      <w:proofErr w:type="gramStart"/>
      <w:r>
        <w:rPr>
          <w:rFonts w:cs="Arial"/>
        </w:rPr>
        <w:t>provision</w:t>
      </w:r>
      <w:proofErr w:type="gramEnd"/>
      <w:r>
        <w:rPr>
          <w:rFonts w:cs="Arial"/>
        </w:rPr>
        <w:t xml:space="preserve"> of</w:t>
      </w:r>
      <w:r w:rsidR="00A62888">
        <w:rPr>
          <w:rFonts w:cs="Arial"/>
        </w:rPr>
        <w:t xml:space="preserve"> </w:t>
      </w:r>
      <w:r w:rsidR="00A62888" w:rsidRPr="00936C89">
        <w:rPr>
          <w:rFonts w:cs="Arial"/>
        </w:rPr>
        <w:t>200 new community water tanks</w:t>
      </w:r>
      <w:r w:rsidR="00936C89" w:rsidRPr="00936C89">
        <w:rPr>
          <w:rFonts w:cs="Arial"/>
        </w:rPr>
        <w:t xml:space="preserve"> </w:t>
      </w:r>
      <w:r w:rsidR="00A62888" w:rsidRPr="00936C89">
        <w:rPr>
          <w:rFonts w:cs="Arial"/>
        </w:rPr>
        <w:t>, each with a storage capacity of 18</w:t>
      </w:r>
      <w:r w:rsidR="009E4182">
        <w:rPr>
          <w:rFonts w:cs="Arial"/>
        </w:rPr>
        <w:t>,</w:t>
      </w:r>
      <w:r w:rsidR="00A62888" w:rsidRPr="00936C89">
        <w:rPr>
          <w:rFonts w:cs="Arial"/>
        </w:rPr>
        <w:t>400 litres</w:t>
      </w:r>
      <w:r w:rsidR="003656FA">
        <w:rPr>
          <w:rFonts w:cs="Arial"/>
        </w:rPr>
        <w:t xml:space="preserve"> of</w:t>
      </w:r>
      <w:r w:rsidR="00A62888" w:rsidRPr="00936C89">
        <w:rPr>
          <w:rFonts w:cs="Arial"/>
        </w:rPr>
        <w:t xml:space="preserve"> </w:t>
      </w:r>
      <w:r w:rsidR="00044EFA" w:rsidRPr="00936C89">
        <w:rPr>
          <w:rFonts w:cs="Arial"/>
        </w:rPr>
        <w:t>improved clean water capture</w:t>
      </w:r>
      <w:r w:rsidR="00A62888">
        <w:rPr>
          <w:rFonts w:cs="Arial"/>
        </w:rPr>
        <w:t>.</w:t>
      </w:r>
      <w:r w:rsidR="00B01366" w:rsidRPr="00936C89">
        <w:rPr>
          <w:rFonts w:cs="Arial"/>
        </w:rPr>
        <w:t xml:space="preserve"> </w:t>
      </w:r>
    </w:p>
    <w:p w14:paraId="7B2D35D7" w14:textId="35697BB8" w:rsidR="007109A3" w:rsidRDefault="007316CB" w:rsidP="00067A68">
      <w:pPr>
        <w:pStyle w:val="BodyText"/>
      </w:pPr>
      <w:r>
        <w:t>Power outages, once a daily occurrence</w:t>
      </w:r>
      <w:r w:rsidR="003656FA">
        <w:t xml:space="preserve"> in Nauru</w:t>
      </w:r>
      <w:r>
        <w:t xml:space="preserve">, are now comparatively rare and are typically due to scheduled maintenance. Generators are producing about </w:t>
      </w:r>
      <w:r w:rsidR="00044EFA">
        <w:t>4</w:t>
      </w:r>
      <w:r w:rsidR="008C5544">
        <w:t xml:space="preserve"> </w:t>
      </w:r>
      <w:r w:rsidR="00044EFA">
        <w:t>m</w:t>
      </w:r>
      <w:r w:rsidR="008C5544">
        <w:t xml:space="preserve">egawatts </w:t>
      </w:r>
      <w:r>
        <w:t>per day which matches average daily peak demand</w:t>
      </w:r>
      <w:r w:rsidR="003656FA">
        <w:t>.</w:t>
      </w:r>
      <w:r w:rsidR="00B201FF">
        <w:rPr>
          <w:rStyle w:val="FootnoteReference"/>
        </w:rPr>
        <w:footnoteReference w:id="35"/>
      </w:r>
      <w:r>
        <w:t xml:space="preserve"> Desalination equipment now produces approximately 80 per cent of Nauru’s fresh water needs (a</w:t>
      </w:r>
      <w:r w:rsidR="005567D7">
        <w:t>pproximately</w:t>
      </w:r>
      <w:r>
        <w:t xml:space="preserve"> 220 </w:t>
      </w:r>
      <w:r w:rsidR="00044EFA">
        <w:t>k</w:t>
      </w:r>
      <w:r>
        <w:t>ilolitres per day</w:t>
      </w:r>
      <w:r w:rsidR="00B201FF">
        <w:rPr>
          <w:rStyle w:val="FootnoteReference"/>
        </w:rPr>
        <w:footnoteReference w:id="36"/>
      </w:r>
      <w:r>
        <w:t>)</w:t>
      </w:r>
      <w:r w:rsidR="00B201FF">
        <w:t xml:space="preserve"> with rainwater making up the difference. While these improvements </w:t>
      </w:r>
      <w:r w:rsidR="003656FA">
        <w:t>are</w:t>
      </w:r>
      <w:r w:rsidR="00B201FF">
        <w:t xml:space="preserve"> significant, Nauru remains vulnerable to water shortages in periods of low rainfall</w:t>
      </w:r>
      <w:r w:rsidR="008C5544">
        <w:t>,</w:t>
      </w:r>
      <w:r w:rsidR="00B201FF">
        <w:t xml:space="preserve"> and aging </w:t>
      </w:r>
      <w:r w:rsidR="0053442E">
        <w:t xml:space="preserve">utilities production </w:t>
      </w:r>
      <w:r w:rsidR="00407148">
        <w:t>assets</w:t>
      </w:r>
      <w:r w:rsidR="00B201FF">
        <w:t xml:space="preserve"> means breakdowns are frequent. Costs of maintaining </w:t>
      </w:r>
      <w:r w:rsidR="008C5544">
        <w:t>these assets</w:t>
      </w:r>
      <w:r w:rsidR="00B201FF">
        <w:t xml:space="preserve"> are high and by far outstrip the returns from commercial tariffs </w:t>
      </w:r>
      <w:r w:rsidR="001C2D3F">
        <w:t xml:space="preserve">(set at a comparatively low level for private </w:t>
      </w:r>
      <w:r w:rsidR="00F07127">
        <w:t>consumers</w:t>
      </w:r>
      <w:r w:rsidR="001C2D3F">
        <w:t>)</w:t>
      </w:r>
      <w:r w:rsidR="00C034F4">
        <w:t xml:space="preserve"> </w:t>
      </w:r>
      <w:r w:rsidR="00B201FF">
        <w:t xml:space="preserve">resulting in </w:t>
      </w:r>
      <w:r w:rsidR="005B2234">
        <w:t xml:space="preserve">the </w:t>
      </w:r>
      <w:r w:rsidR="00FC7564">
        <w:t>g</w:t>
      </w:r>
      <w:r w:rsidR="00B201FF">
        <w:t>ove</w:t>
      </w:r>
      <w:r w:rsidR="005B2234">
        <w:t xml:space="preserve">rnment </w:t>
      </w:r>
      <w:r w:rsidR="0037354D">
        <w:t xml:space="preserve">(and donors) </w:t>
      </w:r>
      <w:r w:rsidR="005B2234">
        <w:t>subsidising consumption.</w:t>
      </w:r>
      <w:r w:rsidR="00F07127">
        <w:t xml:space="preserve"> A greater focus on policy dialogue (with the support of the ADB), particularly </w:t>
      </w:r>
      <w:r w:rsidR="003656FA">
        <w:t>on</w:t>
      </w:r>
      <w:r w:rsidR="00F07127">
        <w:t xml:space="preserve"> reform of tariff regimes </w:t>
      </w:r>
      <w:r w:rsidR="0053442E">
        <w:t xml:space="preserve">and improved </w:t>
      </w:r>
      <w:r w:rsidR="00F07127">
        <w:t>efficiency</w:t>
      </w:r>
      <w:r w:rsidR="003656FA">
        <w:t>,</w:t>
      </w:r>
      <w:r w:rsidR="00F07127">
        <w:t xml:space="preserve"> will be central to our work in this sector </w:t>
      </w:r>
      <w:r w:rsidR="003656FA">
        <w:t xml:space="preserve">throughout </w:t>
      </w:r>
      <w:r w:rsidR="00F07127">
        <w:t>2014</w:t>
      </w:r>
      <w:r w:rsidR="00C14005">
        <w:t>–</w:t>
      </w:r>
      <w:r w:rsidR="00F07127">
        <w:t>15.</w:t>
      </w:r>
    </w:p>
    <w:p w14:paraId="7361E7E7" w14:textId="1E7A2572" w:rsidR="00FE0835" w:rsidRDefault="0053442E" w:rsidP="00067A68">
      <w:pPr>
        <w:pStyle w:val="BodyText"/>
      </w:pPr>
      <w:r>
        <w:t>I</w:t>
      </w:r>
      <w:r w:rsidR="00F31344">
        <w:t>mproved energy efficiency and stronger governance standards in the management of the N</w:t>
      </w:r>
      <w:r w:rsidR="008775F9">
        <w:t>auru Utilities Corporation</w:t>
      </w:r>
      <w:r w:rsidR="00F31344">
        <w:t xml:space="preserve"> are critical factors to ensuring better value-for-money outcomes. </w:t>
      </w:r>
      <w:r w:rsidR="003656FA">
        <w:t xml:space="preserve">We </w:t>
      </w:r>
      <w:r w:rsidR="00F31344">
        <w:t xml:space="preserve">work in collaboration with the ADB </w:t>
      </w:r>
      <w:r w:rsidR="003656FA">
        <w:t xml:space="preserve">to </w:t>
      </w:r>
      <w:r w:rsidR="00F31344">
        <w:t>improv</w:t>
      </w:r>
      <w:r w:rsidR="003656FA">
        <w:t>e</w:t>
      </w:r>
      <w:r w:rsidR="00F31344">
        <w:t xml:space="preserve"> governance standards</w:t>
      </w:r>
      <w:r w:rsidR="003656FA">
        <w:t xml:space="preserve"> and</w:t>
      </w:r>
      <w:r w:rsidR="00F31344">
        <w:t xml:space="preserve"> energy efficiency. </w:t>
      </w:r>
      <w:r w:rsidR="003656FA">
        <w:t>P</w:t>
      </w:r>
      <w:r>
        <w:t>rogress to date has been slower than expected</w:t>
      </w:r>
      <w:r w:rsidR="00C5274B">
        <w:t xml:space="preserve"> as a result of the unexpected loss of key personnel</w:t>
      </w:r>
      <w:r>
        <w:t xml:space="preserve">. Given Australia’s significant contribution to keeping this sector operational, stronger and more frequent engagement in policy setting is required to realise better value-for-money outcomes. Equally, </w:t>
      </w:r>
      <w:r w:rsidRPr="003656FA">
        <w:t xml:space="preserve">as </w:t>
      </w:r>
      <w:r w:rsidR="003656FA">
        <w:t>t</w:t>
      </w:r>
      <w:r w:rsidR="00066642" w:rsidRPr="00062561">
        <w:t>he Government of Nauru</w:t>
      </w:r>
      <w:r w:rsidR="003656FA" w:rsidRPr="00062561">
        <w:t>’</w:t>
      </w:r>
      <w:r w:rsidRPr="00062561">
        <w:t>s</w:t>
      </w:r>
      <w:r w:rsidRPr="003656FA">
        <w:t xml:space="preserve"> revenue</w:t>
      </w:r>
      <w:r>
        <w:t xml:space="preserve"> base expands, </w:t>
      </w:r>
      <w:r w:rsidR="003656FA">
        <w:t xml:space="preserve">our aid </w:t>
      </w:r>
      <w:r>
        <w:t>program will</w:t>
      </w:r>
      <w:r w:rsidR="00E253F9">
        <w:t xml:space="preserve"> increas</w:t>
      </w:r>
      <w:r w:rsidR="003656FA">
        <w:t>ingly</w:t>
      </w:r>
      <w:r w:rsidR="00E253F9">
        <w:t xml:space="preserve"> emphasis</w:t>
      </w:r>
      <w:r w:rsidR="003656FA">
        <w:t>e</w:t>
      </w:r>
      <w:r w:rsidR="00E253F9">
        <w:t xml:space="preserve"> support</w:t>
      </w:r>
      <w:r w:rsidR="003656FA">
        <w:t xml:space="preserve"> for</w:t>
      </w:r>
      <w:r w:rsidR="00E253F9">
        <w:t xml:space="preserve"> </w:t>
      </w:r>
      <w:r>
        <w:t xml:space="preserve">governance </w:t>
      </w:r>
      <w:r w:rsidR="00E253F9">
        <w:t>reform</w:t>
      </w:r>
      <w:r>
        <w:t>s</w:t>
      </w:r>
      <w:r w:rsidR="00E253F9">
        <w:t xml:space="preserve"> and invest</w:t>
      </w:r>
      <w:r w:rsidR="003656FA">
        <w:t xml:space="preserve"> more</w:t>
      </w:r>
      <w:r w:rsidR="00E253F9">
        <w:t xml:space="preserve"> in strategic infrastructure </w:t>
      </w:r>
      <w:r w:rsidR="003656FA">
        <w:t>instead of providing</w:t>
      </w:r>
      <w:r w:rsidR="000C4F50">
        <w:t xml:space="preserve"> </w:t>
      </w:r>
      <w:r w:rsidR="00E253F9">
        <w:t xml:space="preserve">operational funds, which </w:t>
      </w:r>
      <w:r w:rsidR="003656FA">
        <w:t>t</w:t>
      </w:r>
      <w:r w:rsidR="00066642">
        <w:t xml:space="preserve">he </w:t>
      </w:r>
      <w:r w:rsidR="003656FA">
        <w:t>g</w:t>
      </w:r>
      <w:r w:rsidR="00066642">
        <w:t xml:space="preserve">overnment </w:t>
      </w:r>
      <w:r w:rsidR="00E253F9">
        <w:t>increasingly has the resources to</w:t>
      </w:r>
      <w:r w:rsidR="00E01B9C">
        <w:t xml:space="preserve"> cover</w:t>
      </w:r>
      <w:r w:rsidR="00E253F9">
        <w:t>.</w:t>
      </w:r>
      <w:r w:rsidR="000678BB">
        <w:t xml:space="preserve"> It </w:t>
      </w:r>
      <w:r w:rsidR="003656FA">
        <w:t xml:space="preserve">will be important, </w:t>
      </w:r>
      <w:r w:rsidR="000678BB">
        <w:t xml:space="preserve">however, to ensure </w:t>
      </w:r>
      <w:r w:rsidR="003656FA">
        <w:t>that any</w:t>
      </w:r>
      <w:r w:rsidR="000678BB">
        <w:t xml:space="preserve"> increase in capital expenditure through the aid program does not introduce excessive long-term maintenance requirements that will be unsustainable if current government revenue increases slow over time.</w:t>
      </w:r>
    </w:p>
    <w:p w14:paraId="428B8568" w14:textId="1F29687B" w:rsidR="003656FA" w:rsidRDefault="003656FA" w:rsidP="00067A68">
      <w:pPr>
        <w:pStyle w:val="BodyText"/>
      </w:pPr>
      <w:r>
        <w:t xml:space="preserve">Links </w:t>
      </w:r>
      <w:r w:rsidR="00653669">
        <w:t xml:space="preserve">are well established between </w:t>
      </w:r>
      <w:r>
        <w:t>increased</w:t>
      </w:r>
      <w:r w:rsidR="00653669">
        <w:t xml:space="preserve"> access to clean water supplies and improvements in the lives of women in particular</w:t>
      </w:r>
      <w:r>
        <w:t>. A</w:t>
      </w:r>
      <w:r w:rsidR="00653669">
        <w:t>s i</w:t>
      </w:r>
      <w:r w:rsidR="00653669" w:rsidRPr="00653669">
        <w:t xml:space="preserve">n most cultures, women </w:t>
      </w:r>
      <w:r>
        <w:t xml:space="preserve">in Nauru </w:t>
      </w:r>
      <w:r w:rsidR="00653669" w:rsidRPr="00653669">
        <w:t xml:space="preserve">are primarily responsible for </w:t>
      </w:r>
      <w:r>
        <w:t>using</w:t>
      </w:r>
      <w:r w:rsidR="00653669" w:rsidRPr="00653669">
        <w:t xml:space="preserve"> and manag</w:t>
      </w:r>
      <w:r>
        <w:t>ing</w:t>
      </w:r>
      <w:r w:rsidR="00653669" w:rsidRPr="00653669">
        <w:t xml:space="preserve"> water</w:t>
      </w:r>
      <w:r w:rsidR="00653669">
        <w:t xml:space="preserve"> </w:t>
      </w:r>
      <w:r w:rsidR="00653669" w:rsidRPr="00653669">
        <w:t>resources, sanitation and health at household level</w:t>
      </w:r>
      <w:r w:rsidR="00C14005">
        <w:t>.</w:t>
      </w:r>
      <w:r w:rsidR="00653669">
        <w:rPr>
          <w:rStyle w:val="FootnoteReference"/>
        </w:rPr>
        <w:footnoteReference w:id="37"/>
      </w:r>
      <w:r w:rsidR="008C5544">
        <w:t xml:space="preserve"> </w:t>
      </w:r>
      <w:r>
        <w:t xml:space="preserve">Our </w:t>
      </w:r>
      <w:r w:rsidR="00E01B9C">
        <w:t>funding for more reliable power and water services therefore makes a valuable contribution to improving the lives of Nauruan woman.</w:t>
      </w:r>
    </w:p>
    <w:p w14:paraId="79E08323" w14:textId="496717AD" w:rsidR="008270DB" w:rsidRDefault="00407148" w:rsidP="00067A68">
      <w:pPr>
        <w:pStyle w:val="BodyText"/>
      </w:pPr>
      <w:r>
        <w:t xml:space="preserve"> </w:t>
      </w:r>
      <w:r w:rsidR="008270DB">
        <w:rPr>
          <w:rFonts w:cs="Arial"/>
          <w:szCs w:val="16"/>
        </w:rPr>
        <w:t xml:space="preserve">In 2012, </w:t>
      </w:r>
      <w:r w:rsidR="0096313F">
        <w:rPr>
          <w:rFonts w:cs="Arial"/>
          <w:szCs w:val="16"/>
        </w:rPr>
        <w:t xml:space="preserve">the Australian </w:t>
      </w:r>
      <w:r w:rsidR="009D4B34">
        <w:rPr>
          <w:rFonts w:cs="Arial"/>
          <w:szCs w:val="16"/>
        </w:rPr>
        <w:t>Government</w:t>
      </w:r>
      <w:r w:rsidR="0096313F">
        <w:rPr>
          <w:rFonts w:cs="Arial"/>
          <w:szCs w:val="16"/>
        </w:rPr>
        <w:t xml:space="preserve"> </w:t>
      </w:r>
      <w:r w:rsidR="008270DB">
        <w:rPr>
          <w:rFonts w:cs="Arial"/>
          <w:szCs w:val="16"/>
        </w:rPr>
        <w:t xml:space="preserve">agreed to fund activities </w:t>
      </w:r>
      <w:r w:rsidR="003656FA">
        <w:rPr>
          <w:rFonts w:cs="Arial"/>
          <w:szCs w:val="16"/>
        </w:rPr>
        <w:t>to</w:t>
      </w:r>
      <w:r w:rsidR="008270DB">
        <w:rPr>
          <w:rFonts w:cs="Arial"/>
          <w:szCs w:val="16"/>
        </w:rPr>
        <w:t xml:space="preserve"> improv</w:t>
      </w:r>
      <w:r w:rsidR="003656FA">
        <w:rPr>
          <w:rFonts w:cs="Arial"/>
          <w:szCs w:val="16"/>
        </w:rPr>
        <w:t>e</w:t>
      </w:r>
      <w:r w:rsidR="008270DB">
        <w:rPr>
          <w:rFonts w:cs="Arial"/>
          <w:szCs w:val="16"/>
        </w:rPr>
        <w:t xml:space="preserve"> the operations of Nauru’s sea port. This included providing a crane for cargo handling and funding an institutional strengthening program for the Nauru Ports Authority, due to </w:t>
      </w:r>
      <w:r w:rsidR="003656FA">
        <w:rPr>
          <w:rFonts w:cs="Arial"/>
          <w:szCs w:val="16"/>
        </w:rPr>
        <w:t xml:space="preserve">begin </w:t>
      </w:r>
      <w:r w:rsidR="008270DB">
        <w:rPr>
          <w:rFonts w:cs="Arial"/>
          <w:szCs w:val="16"/>
        </w:rPr>
        <w:t xml:space="preserve">in late 2013. Efficient port operations are critical to all elements of the community as the country relies </w:t>
      </w:r>
      <w:r w:rsidR="008270DB">
        <w:rPr>
          <w:rFonts w:cs="Arial"/>
          <w:szCs w:val="16"/>
        </w:rPr>
        <w:lastRenderedPageBreak/>
        <w:t xml:space="preserve">entirely on imported goods. </w:t>
      </w:r>
      <w:r w:rsidR="00C3733A">
        <w:rPr>
          <w:rFonts w:cs="Arial"/>
          <w:szCs w:val="16"/>
        </w:rPr>
        <w:t xml:space="preserve">The department </w:t>
      </w:r>
      <w:r w:rsidR="008270DB">
        <w:rPr>
          <w:rFonts w:cs="Arial"/>
          <w:szCs w:val="16"/>
        </w:rPr>
        <w:t xml:space="preserve">is also working with Japan to scope </w:t>
      </w:r>
      <w:r w:rsidR="003656FA">
        <w:rPr>
          <w:rFonts w:cs="Arial"/>
          <w:szCs w:val="16"/>
        </w:rPr>
        <w:t xml:space="preserve">the </w:t>
      </w:r>
      <w:r w:rsidR="008270DB">
        <w:rPr>
          <w:rFonts w:cs="Arial"/>
          <w:szCs w:val="16"/>
        </w:rPr>
        <w:t xml:space="preserve">potential for a joint program of works at the </w:t>
      </w:r>
      <w:r w:rsidR="00E01B9C">
        <w:rPr>
          <w:rFonts w:cs="Arial"/>
          <w:szCs w:val="16"/>
        </w:rPr>
        <w:t>p</w:t>
      </w:r>
      <w:r w:rsidR="008270DB">
        <w:rPr>
          <w:rFonts w:cs="Arial"/>
          <w:szCs w:val="16"/>
        </w:rPr>
        <w:t>ort to improve dilapidated infrastructure.</w:t>
      </w:r>
    </w:p>
    <w:p w14:paraId="69EAB17F" w14:textId="1674ACB7" w:rsidR="00E816F5" w:rsidRPr="00067A68" w:rsidRDefault="00E816F5" w:rsidP="00BD0809">
      <w:pPr>
        <w:pStyle w:val="Heading3"/>
      </w:pPr>
      <w:r w:rsidRPr="00067A68">
        <w:t>Management consequence</w:t>
      </w:r>
      <w:r w:rsidR="00E253F9" w:rsidRPr="00067A68">
        <w:t>s</w:t>
      </w:r>
    </w:p>
    <w:p w14:paraId="0E0A8274" w14:textId="09936E09" w:rsidR="00FE0835" w:rsidRDefault="00E816F5" w:rsidP="00067A68">
      <w:pPr>
        <w:pStyle w:val="ListBullet"/>
      </w:pPr>
      <w:r>
        <w:t xml:space="preserve">Establish a forum for regular </w:t>
      </w:r>
      <w:r w:rsidR="00843C6F">
        <w:t xml:space="preserve">(at least annually) </w:t>
      </w:r>
      <w:r>
        <w:t>policy dialogue with</w:t>
      </w:r>
      <w:r w:rsidR="00E253F9">
        <w:t xml:space="preserve"> </w:t>
      </w:r>
      <w:r w:rsidR="003656FA">
        <w:t>the Government of Nauru</w:t>
      </w:r>
      <w:r w:rsidR="00E253F9">
        <w:t xml:space="preserve"> and the N</w:t>
      </w:r>
      <w:r w:rsidR="000C4F50">
        <w:t>auru Utilities Corporation</w:t>
      </w:r>
      <w:r w:rsidR="00E253F9">
        <w:t>, supported by Pacific Division infrastructure a</w:t>
      </w:r>
      <w:r>
        <w:t>dvisors.</w:t>
      </w:r>
    </w:p>
    <w:p w14:paraId="6CC737D9" w14:textId="504A2A83" w:rsidR="00E816F5" w:rsidRDefault="004F4A6B" w:rsidP="00067A68">
      <w:pPr>
        <w:pStyle w:val="ListBullet"/>
      </w:pPr>
      <w:r>
        <w:t>Develop a strategy</w:t>
      </w:r>
      <w:r w:rsidR="00AE61C0">
        <w:t xml:space="preserve"> and timeline</w:t>
      </w:r>
      <w:r>
        <w:t xml:space="preserve"> to shift </w:t>
      </w:r>
      <w:r w:rsidR="003656FA">
        <w:t xml:space="preserve">our </w:t>
      </w:r>
      <w:r>
        <w:t xml:space="preserve">program focus </w:t>
      </w:r>
      <w:r w:rsidR="003656FA">
        <w:t xml:space="preserve">from operational expenses </w:t>
      </w:r>
      <w:r>
        <w:t>to supporting reform and strategic investments</w:t>
      </w:r>
      <w:r w:rsidR="00E816F5">
        <w:t>.</w:t>
      </w:r>
    </w:p>
    <w:p w14:paraId="744C055F" w14:textId="7AE99B58" w:rsidR="005301C7" w:rsidRPr="00805C2C" w:rsidRDefault="005301C7" w:rsidP="00067A68">
      <w:pPr>
        <w:pStyle w:val="Heading2"/>
      </w:pPr>
      <w:r w:rsidRPr="00805C2C">
        <w:t xml:space="preserve">Objective </w:t>
      </w:r>
      <w:r>
        <w:t xml:space="preserve">5: Increased </w:t>
      </w:r>
      <w:r w:rsidR="00C14005">
        <w:t>p</w:t>
      </w:r>
      <w:r>
        <w:t xml:space="preserve">rivate </w:t>
      </w:r>
      <w:r w:rsidR="00C14005">
        <w:t>s</w:t>
      </w:r>
      <w:r>
        <w:t xml:space="preserve">ector </w:t>
      </w:r>
      <w:r w:rsidR="00C14005">
        <w:t>g</w:t>
      </w:r>
      <w:r>
        <w:t>rowth.</w:t>
      </w:r>
    </w:p>
    <w:p w14:paraId="03553664" w14:textId="6EF98191" w:rsidR="005301C7" w:rsidRDefault="005301C7" w:rsidP="00067A68">
      <w:pPr>
        <w:pStyle w:val="BodyText"/>
      </w:pPr>
      <w:r>
        <w:t xml:space="preserve">Under this </w:t>
      </w:r>
      <w:r w:rsidR="00C5274B">
        <w:t>objective,</w:t>
      </w:r>
      <w:r>
        <w:t xml:space="preserve"> Australia’s commitment is to:</w:t>
      </w:r>
    </w:p>
    <w:p w14:paraId="23D3464A" w14:textId="4836D360" w:rsidR="005301C7" w:rsidRPr="007156F5" w:rsidRDefault="00E01B9C" w:rsidP="00067A68">
      <w:pPr>
        <w:pStyle w:val="ListBullet"/>
      </w:pPr>
      <w:r w:rsidRPr="007156F5">
        <w:t>p</w:t>
      </w:r>
      <w:r w:rsidR="004F4A6B" w:rsidRPr="007156F5">
        <w:t>ursue</w:t>
      </w:r>
      <w:r w:rsidR="005301C7" w:rsidRPr="007156F5">
        <w:t xml:space="preserve"> mutually beneficial regional trade liberalisation and ec</w:t>
      </w:r>
      <w:r w:rsidR="004F4A6B" w:rsidRPr="007156F5">
        <w:t>onomic integration arrangements</w:t>
      </w:r>
    </w:p>
    <w:p w14:paraId="7B3C4D2F" w14:textId="1299EE6F" w:rsidR="005301C7" w:rsidRPr="007156F5" w:rsidRDefault="00E01B9C" w:rsidP="00067A68">
      <w:pPr>
        <w:pStyle w:val="ListBullet"/>
      </w:pPr>
      <w:r w:rsidRPr="007156F5">
        <w:t>s</w:t>
      </w:r>
      <w:r w:rsidR="005301C7" w:rsidRPr="007156F5">
        <w:t>ustainably manag</w:t>
      </w:r>
      <w:r w:rsidR="004F4A6B" w:rsidRPr="007156F5">
        <w:t>e</w:t>
      </w:r>
      <w:r w:rsidR="005301C7" w:rsidRPr="007156F5">
        <w:t xml:space="preserve"> revenue in the phosphate and fisheries sectors, including through</w:t>
      </w:r>
      <w:r w:rsidR="008C5544" w:rsidRPr="007156F5">
        <w:t xml:space="preserve"> the</w:t>
      </w:r>
      <w:r w:rsidR="005301C7" w:rsidRPr="007156F5">
        <w:t xml:space="preserve"> establishment of enhanced le</w:t>
      </w:r>
      <w:r w:rsidR="004F4A6B" w:rsidRPr="007156F5">
        <w:t>gal and trust fund arrangements</w:t>
      </w:r>
    </w:p>
    <w:p w14:paraId="536A0F24" w14:textId="168BAEE4" w:rsidR="005301C7" w:rsidRPr="007156F5" w:rsidRDefault="00E01B9C" w:rsidP="00067A68">
      <w:pPr>
        <w:pStyle w:val="ListBullet"/>
      </w:pPr>
      <w:r w:rsidRPr="007156F5">
        <w:t>s</w:t>
      </w:r>
      <w:r w:rsidR="004F4A6B" w:rsidRPr="007156F5">
        <w:t>timulate</w:t>
      </w:r>
      <w:r w:rsidR="005301C7" w:rsidRPr="007156F5">
        <w:t xml:space="preserve"> development of new small and m</w:t>
      </w:r>
      <w:r w:rsidR="004F4A6B" w:rsidRPr="007156F5">
        <w:t>edium-sized enterprises</w:t>
      </w:r>
    </w:p>
    <w:p w14:paraId="26D3B6B7" w14:textId="07C12265" w:rsidR="005301C7" w:rsidRPr="007156F5" w:rsidRDefault="00E01B9C" w:rsidP="00067A68">
      <w:pPr>
        <w:pStyle w:val="ListBullet"/>
      </w:pPr>
      <w:proofErr w:type="gramStart"/>
      <w:r w:rsidRPr="007156F5">
        <w:t>e</w:t>
      </w:r>
      <w:r w:rsidR="004F4A6B" w:rsidRPr="007156F5">
        <w:t>nhance</w:t>
      </w:r>
      <w:proofErr w:type="gramEnd"/>
      <w:r w:rsidR="005301C7" w:rsidRPr="007156F5">
        <w:t xml:space="preserve"> access to appropriately regulated and credible financial and insurance services.</w:t>
      </w:r>
    </w:p>
    <w:p w14:paraId="35A37253" w14:textId="74EC8897" w:rsidR="007B3F84" w:rsidRDefault="007B3F84" w:rsidP="00067A68">
      <w:pPr>
        <w:pStyle w:val="BodyText"/>
      </w:pPr>
      <w:r>
        <w:t xml:space="preserve">Rating: Amber. We are on track to meet some of the </w:t>
      </w:r>
      <w:r w:rsidR="00C14005">
        <w:t>p</w:t>
      </w:r>
      <w:r>
        <w:t>artnership priorities for this sector.</w:t>
      </w:r>
    </w:p>
    <w:p w14:paraId="66D5E2E2" w14:textId="40BA87EE" w:rsidR="00C5274B" w:rsidRDefault="00BB2750" w:rsidP="00067A68">
      <w:pPr>
        <w:pStyle w:val="BodyText"/>
      </w:pPr>
      <w:r>
        <w:t>In 2012</w:t>
      </w:r>
      <w:r w:rsidR="00C14005">
        <w:t>–</w:t>
      </w:r>
      <w:r>
        <w:t xml:space="preserve">13, </w:t>
      </w:r>
      <w:r w:rsidR="00F8518E">
        <w:t xml:space="preserve">our </w:t>
      </w:r>
      <w:r w:rsidR="00E01B9C">
        <w:t xml:space="preserve">support under this </w:t>
      </w:r>
      <w:r w:rsidR="00C5274B">
        <w:t>objective</w:t>
      </w:r>
      <w:r w:rsidR="00E01B9C">
        <w:t xml:space="preserve"> focused on the </w:t>
      </w:r>
      <w:r>
        <w:t xml:space="preserve">Bank of </w:t>
      </w:r>
      <w:r w:rsidR="0001741B">
        <w:t xml:space="preserve">Nauru liquidation process. </w:t>
      </w:r>
    </w:p>
    <w:p w14:paraId="5CE462F3" w14:textId="4D775348" w:rsidR="00EA4254" w:rsidRDefault="0001741B" w:rsidP="00067A68">
      <w:pPr>
        <w:pStyle w:val="BodyText"/>
      </w:pPr>
      <w:r>
        <w:t>F</w:t>
      </w:r>
      <w:r w:rsidR="00BB2750">
        <w:t xml:space="preserve">unding provided under the </w:t>
      </w:r>
      <w:r w:rsidR="00BB2750" w:rsidRPr="00062561">
        <w:t>N</w:t>
      </w:r>
      <w:r w:rsidR="006B43EB">
        <w:t>ACOS</w:t>
      </w:r>
      <w:r w:rsidR="00BB2750" w:rsidRPr="00407148">
        <w:rPr>
          <w:i/>
        </w:rPr>
        <w:t xml:space="preserve"> </w:t>
      </w:r>
      <w:r w:rsidR="00BB2750">
        <w:t>also supported phosphate mining</w:t>
      </w:r>
      <w:r w:rsidR="00F026CE">
        <w:t xml:space="preserve"> which</w:t>
      </w:r>
      <w:r w:rsidR="008C5544">
        <w:t>,</w:t>
      </w:r>
      <w:r w:rsidR="00F026CE">
        <w:t xml:space="preserve"> at 519</w:t>
      </w:r>
      <w:r w:rsidR="009E4182">
        <w:t>,</w:t>
      </w:r>
      <w:r w:rsidR="00F026CE">
        <w:t>000 tons exported in 20</w:t>
      </w:r>
      <w:r w:rsidR="00990087">
        <w:t>12</w:t>
      </w:r>
      <w:r w:rsidR="00F026CE">
        <w:t>,</w:t>
      </w:r>
      <w:r w:rsidR="00445C9F">
        <w:t xml:space="preserve"> </w:t>
      </w:r>
      <w:r w:rsidR="00F026CE">
        <w:t>reached its highest annual export level since mining recommenced in 2007</w:t>
      </w:r>
      <w:r w:rsidR="00C14005">
        <w:t>.</w:t>
      </w:r>
      <w:r w:rsidR="00F026CE">
        <w:rPr>
          <w:rStyle w:val="FootnoteReference"/>
        </w:rPr>
        <w:footnoteReference w:id="38"/>
      </w:r>
      <w:r w:rsidR="00D04DC2">
        <w:t xml:space="preserve"> </w:t>
      </w:r>
      <w:r w:rsidR="003E5D92">
        <w:t xml:space="preserve">The Fisheries Institution Reform </w:t>
      </w:r>
      <w:r w:rsidR="00641462">
        <w:t>P</w:t>
      </w:r>
      <w:r w:rsidR="003E5D92">
        <w:t xml:space="preserve">rogram </w:t>
      </w:r>
      <w:r w:rsidR="00AA2A7C">
        <w:t xml:space="preserve">entered </w:t>
      </w:r>
      <w:r w:rsidR="008C5544">
        <w:t>its</w:t>
      </w:r>
      <w:r w:rsidR="00AA2A7C">
        <w:t xml:space="preserve"> second phase</w:t>
      </w:r>
      <w:r w:rsidR="008C5544">
        <w:t>,</w:t>
      </w:r>
      <w:r w:rsidR="00AA2A7C">
        <w:t xml:space="preserve"> emphasis</w:t>
      </w:r>
      <w:r w:rsidR="008C5544">
        <w:t>ing the</w:t>
      </w:r>
      <w:r w:rsidR="00AA2A7C">
        <w:t xml:space="preserve"> development of private sector opportunities in areas such as aquaculture and aquarium fisheries.</w:t>
      </w:r>
      <w:r w:rsidR="00C5274B">
        <w:t xml:space="preserve"> </w:t>
      </w:r>
      <w:r w:rsidR="00641462">
        <w:t>Finalis</w:t>
      </w:r>
      <w:r w:rsidR="00F8518E">
        <w:t>ing</w:t>
      </w:r>
      <w:r w:rsidR="00641462">
        <w:t xml:space="preserve"> the </w:t>
      </w:r>
      <w:r w:rsidR="00B42477">
        <w:t xml:space="preserve">Bank of Nauru </w:t>
      </w:r>
      <w:r w:rsidR="00641462">
        <w:t xml:space="preserve">liquidation process will create a more attractive environment for other commercial banking services to be established. </w:t>
      </w:r>
      <w:r w:rsidR="00B42477">
        <w:t>T</w:t>
      </w:r>
      <w:r w:rsidR="00EA4254">
        <w:t>he liquidation is expected to be finalised during 2013</w:t>
      </w:r>
      <w:r w:rsidR="00C14005">
        <w:t>–</w:t>
      </w:r>
      <w:r w:rsidR="00EA4254">
        <w:t>14</w:t>
      </w:r>
      <w:r w:rsidR="00F8518E">
        <w:t>. M</w:t>
      </w:r>
      <w:r w:rsidR="00985083">
        <w:t>ost</w:t>
      </w:r>
      <w:r w:rsidR="00EA4254">
        <w:t xml:space="preserve"> debtors and creditors hav</w:t>
      </w:r>
      <w:r w:rsidR="00F8518E">
        <w:t>e</w:t>
      </w:r>
      <w:r w:rsidR="00EA4254">
        <w:t xml:space="preserve"> been identified, account balances established and total debt burden quantified. However, to date </w:t>
      </w:r>
      <w:r>
        <w:t>only one local debtor</w:t>
      </w:r>
      <w:r w:rsidR="00C14005">
        <w:t xml:space="preserve">, </w:t>
      </w:r>
      <w:r w:rsidR="00F8518E" w:rsidRPr="00F8518E">
        <w:t>Republic of Nauru Phosphate Corporation</w:t>
      </w:r>
      <w:r w:rsidR="00C14005" w:rsidRPr="008775F9">
        <w:t>,</w:t>
      </w:r>
      <w:r w:rsidR="00EA4254" w:rsidRPr="008775F9">
        <w:t xml:space="preserve"> </w:t>
      </w:r>
      <w:r w:rsidR="00F8518E">
        <w:t xml:space="preserve">started </w:t>
      </w:r>
      <w:r w:rsidR="00985083">
        <w:t>making payments</w:t>
      </w:r>
      <w:r w:rsidR="00EA4254">
        <w:t xml:space="preserve"> </w:t>
      </w:r>
      <w:r w:rsidR="00F8518E">
        <w:t xml:space="preserve">in </w:t>
      </w:r>
      <w:r w:rsidR="00D055EB">
        <w:br/>
      </w:r>
      <w:r w:rsidR="00EA4254">
        <w:t>201</w:t>
      </w:r>
      <w:r w:rsidR="00985083">
        <w:t>2</w:t>
      </w:r>
      <w:r w:rsidR="00C14005">
        <w:t>–</w:t>
      </w:r>
      <w:r w:rsidR="00985083">
        <w:t>13</w:t>
      </w:r>
      <w:r w:rsidR="00EA4254">
        <w:t>.</w:t>
      </w:r>
      <w:r w:rsidR="00505238">
        <w:t xml:space="preserve"> </w:t>
      </w:r>
      <w:r w:rsidR="00B42477">
        <w:t>These p</w:t>
      </w:r>
      <w:r w:rsidR="00985083">
        <w:t xml:space="preserve">ayments have </w:t>
      </w:r>
      <w:r w:rsidR="00C679B2">
        <w:t xml:space="preserve">enabled </w:t>
      </w:r>
      <w:r>
        <w:t xml:space="preserve">the liquidator </w:t>
      </w:r>
      <w:r w:rsidR="00C679B2">
        <w:t xml:space="preserve">to </w:t>
      </w:r>
      <w:r>
        <w:t>mak</w:t>
      </w:r>
      <w:r w:rsidR="00C679B2">
        <w:t>e</w:t>
      </w:r>
      <w:r>
        <w:t xml:space="preserve"> </w:t>
      </w:r>
      <w:r w:rsidR="00985083">
        <w:t>payment</w:t>
      </w:r>
      <w:r w:rsidR="00C679B2">
        <w:t>s</w:t>
      </w:r>
      <w:r w:rsidR="00985083">
        <w:t xml:space="preserve"> of $200 to each </w:t>
      </w:r>
      <w:r>
        <w:t xml:space="preserve">identified </w:t>
      </w:r>
      <w:r w:rsidR="00985083">
        <w:t>deposit holder</w:t>
      </w:r>
      <w:r w:rsidR="00F8518E">
        <w:t>,</w:t>
      </w:r>
      <w:r w:rsidR="00985083">
        <w:t xml:space="preserve"> reducing the number of claimants</w:t>
      </w:r>
      <w:r>
        <w:t xml:space="preserve"> </w:t>
      </w:r>
      <w:r w:rsidR="00985083">
        <w:t>by 50 per cent</w:t>
      </w:r>
      <w:r w:rsidR="00C14005">
        <w:t>.</w:t>
      </w:r>
      <w:r w:rsidR="00985083">
        <w:rPr>
          <w:rStyle w:val="FootnoteReference"/>
        </w:rPr>
        <w:footnoteReference w:id="39"/>
      </w:r>
      <w:r w:rsidR="00985083">
        <w:t xml:space="preserve"> </w:t>
      </w:r>
    </w:p>
    <w:p w14:paraId="62D3F42B" w14:textId="61C9A5E9" w:rsidR="005301C7" w:rsidRDefault="00026AE7" w:rsidP="00067A68">
      <w:pPr>
        <w:pStyle w:val="BodyText"/>
      </w:pPr>
      <w:r>
        <w:t>In</w:t>
      </w:r>
      <w:r w:rsidR="000A5C38">
        <w:t xml:space="preserve"> 2012</w:t>
      </w:r>
      <w:r w:rsidR="00C14005">
        <w:t>–</w:t>
      </w:r>
      <w:r w:rsidR="000A5C38">
        <w:t>13</w:t>
      </w:r>
      <w:r w:rsidR="00536246">
        <w:t xml:space="preserve">, </w:t>
      </w:r>
      <w:r w:rsidR="00F8518E">
        <w:t xml:space="preserve">we </w:t>
      </w:r>
      <w:r>
        <w:t>fund</w:t>
      </w:r>
      <w:r w:rsidR="00536246">
        <w:t>ed</w:t>
      </w:r>
      <w:r>
        <w:t xml:space="preserve"> the </w:t>
      </w:r>
      <w:r w:rsidR="000460AA">
        <w:t xml:space="preserve">ADB’s </w:t>
      </w:r>
      <w:r>
        <w:t xml:space="preserve">Private Sector Development Initiative to provide technical assistance </w:t>
      </w:r>
      <w:r w:rsidR="00F8518E">
        <w:t xml:space="preserve">to help: determine </w:t>
      </w:r>
      <w:r>
        <w:t>the demand for banking services</w:t>
      </w:r>
      <w:r w:rsidR="008C5544">
        <w:t>;</w:t>
      </w:r>
      <w:r>
        <w:t xml:space="preserve"> provid</w:t>
      </w:r>
      <w:r w:rsidR="00F8518E">
        <w:t>e</w:t>
      </w:r>
      <w:r>
        <w:t xml:space="preserve"> </w:t>
      </w:r>
      <w:r w:rsidR="006E233D">
        <w:t>a</w:t>
      </w:r>
      <w:r>
        <w:t>n overview of suitable models</w:t>
      </w:r>
      <w:r w:rsidR="008C5544">
        <w:t>;</w:t>
      </w:r>
      <w:r w:rsidR="006E233D">
        <w:t xml:space="preserve"> develop a shortlist of financial institutions that may be interested</w:t>
      </w:r>
      <w:r w:rsidR="008C5544">
        <w:t>;</w:t>
      </w:r>
      <w:r w:rsidR="006E233D">
        <w:t xml:space="preserve"> and facilitat</w:t>
      </w:r>
      <w:r w:rsidR="00F8518E">
        <w:t>e</w:t>
      </w:r>
      <w:r w:rsidR="006E233D">
        <w:t xml:space="preserve"> preliminary discussions between </w:t>
      </w:r>
      <w:r w:rsidR="00F8518E">
        <w:t>t</w:t>
      </w:r>
      <w:r w:rsidR="00066642">
        <w:t>he Government of Nauru</w:t>
      </w:r>
      <w:r w:rsidR="006E233D">
        <w:t xml:space="preserve"> and financial institutions. This work found</w:t>
      </w:r>
      <w:r w:rsidR="00F8518E">
        <w:t xml:space="preserve"> that</w:t>
      </w:r>
      <w:r w:rsidR="006E233D">
        <w:t xml:space="preserve"> the estimated deposit base for any new banking operation</w:t>
      </w:r>
      <w:r w:rsidR="00536246">
        <w:t xml:space="preserve"> wa</w:t>
      </w:r>
      <w:r w:rsidR="006E233D">
        <w:t>s sufficient to a make a sound business case</w:t>
      </w:r>
      <w:r w:rsidR="00C14005">
        <w:t>.</w:t>
      </w:r>
      <w:r w:rsidR="006E233D">
        <w:rPr>
          <w:rStyle w:val="FootnoteReference"/>
        </w:rPr>
        <w:footnoteReference w:id="40"/>
      </w:r>
      <w:r w:rsidR="00536246">
        <w:t xml:space="preserve"> </w:t>
      </w:r>
      <w:r w:rsidR="00B42477">
        <w:t>Next steps are to prepare an information memorandum providing prospective institutions with a complete and detailed business case, includ</w:t>
      </w:r>
      <w:r w:rsidR="00F8518E">
        <w:t>ing</w:t>
      </w:r>
      <w:r w:rsidR="00B42477">
        <w:t xml:space="preserve"> financial information and analysis of technical or legal issues. This work is scheduled to take place by mid</w:t>
      </w:r>
      <w:r w:rsidR="00C14005">
        <w:t>-</w:t>
      </w:r>
      <w:r w:rsidR="00B42477">
        <w:t>2013.</w:t>
      </w:r>
    </w:p>
    <w:p w14:paraId="262F55EC" w14:textId="0DD60D98" w:rsidR="00990087" w:rsidRPr="00067A68" w:rsidRDefault="00990087" w:rsidP="00BD0809">
      <w:pPr>
        <w:pStyle w:val="Heading3"/>
      </w:pPr>
      <w:r w:rsidRPr="00067A68">
        <w:lastRenderedPageBreak/>
        <w:t>Management consequence</w:t>
      </w:r>
    </w:p>
    <w:p w14:paraId="240CA778" w14:textId="4D0BEF43" w:rsidR="00843C6F" w:rsidRDefault="00C679B2" w:rsidP="00067A68">
      <w:pPr>
        <w:pStyle w:val="ListBullet"/>
      </w:pPr>
      <w:r>
        <w:t>U</w:t>
      </w:r>
      <w:r w:rsidR="00843C6F">
        <w:t>ndertak</w:t>
      </w:r>
      <w:r>
        <w:t xml:space="preserve">e </w:t>
      </w:r>
      <w:r w:rsidR="00843C6F">
        <w:t xml:space="preserve">a private sector development needs assessment </w:t>
      </w:r>
      <w:r w:rsidR="00932DAF">
        <w:t xml:space="preserve">through </w:t>
      </w:r>
      <w:r w:rsidR="00843C6F">
        <w:t xml:space="preserve">the ADB’s Private Sector Development Initiative. </w:t>
      </w:r>
    </w:p>
    <w:p w14:paraId="46505BE0" w14:textId="306D6216" w:rsidR="008F46CA" w:rsidRDefault="00A2249D" w:rsidP="00A2249D">
      <w:pPr>
        <w:pStyle w:val="Heading2"/>
      </w:pPr>
      <w:r>
        <w:t>Assistance to other sectors</w:t>
      </w:r>
    </w:p>
    <w:p w14:paraId="53AAA188" w14:textId="67D44633" w:rsidR="00D15D29" w:rsidRDefault="00D15D29" w:rsidP="00067A68">
      <w:pPr>
        <w:pStyle w:val="Heading3"/>
      </w:pPr>
      <w:r>
        <w:t xml:space="preserve">Law and </w:t>
      </w:r>
      <w:r w:rsidR="00C14005">
        <w:t>j</w:t>
      </w:r>
      <w:r>
        <w:t>ustice</w:t>
      </w:r>
    </w:p>
    <w:p w14:paraId="5403CC2D" w14:textId="0FEEC380" w:rsidR="00D15D29" w:rsidRPr="00A44A49" w:rsidRDefault="0037468E" w:rsidP="00067A68">
      <w:pPr>
        <w:pStyle w:val="BodyText"/>
        <w:rPr>
          <w:szCs w:val="22"/>
        </w:rPr>
      </w:pPr>
      <w:r>
        <w:rPr>
          <w:szCs w:val="22"/>
        </w:rPr>
        <w:t>Our a</w:t>
      </w:r>
      <w:r w:rsidR="00D15D29" w:rsidRPr="00C679B2">
        <w:rPr>
          <w:szCs w:val="22"/>
        </w:rPr>
        <w:t>ssistance to Nauru is managed through a strong whole</w:t>
      </w:r>
      <w:r>
        <w:rPr>
          <w:szCs w:val="22"/>
        </w:rPr>
        <w:t>-</w:t>
      </w:r>
      <w:r w:rsidR="00D15D29" w:rsidRPr="00C679B2">
        <w:rPr>
          <w:szCs w:val="22"/>
        </w:rPr>
        <w:t>of</w:t>
      </w:r>
      <w:r>
        <w:rPr>
          <w:szCs w:val="22"/>
        </w:rPr>
        <w:t>-</w:t>
      </w:r>
      <w:r w:rsidR="00D15D29" w:rsidRPr="00C679B2">
        <w:rPr>
          <w:szCs w:val="22"/>
        </w:rPr>
        <w:t xml:space="preserve">government approach, </w:t>
      </w:r>
      <w:r>
        <w:rPr>
          <w:szCs w:val="22"/>
        </w:rPr>
        <w:t>including</w:t>
      </w:r>
      <w:r w:rsidRPr="00C679B2">
        <w:rPr>
          <w:szCs w:val="22"/>
        </w:rPr>
        <w:t xml:space="preserve"> </w:t>
      </w:r>
      <w:r w:rsidR="00D15D29" w:rsidRPr="00C679B2">
        <w:rPr>
          <w:szCs w:val="22"/>
        </w:rPr>
        <w:t>the A</w:t>
      </w:r>
      <w:r>
        <w:rPr>
          <w:szCs w:val="22"/>
        </w:rPr>
        <w:t>FP</w:t>
      </w:r>
      <w:r w:rsidR="00D15D29" w:rsidRPr="00C679B2">
        <w:rPr>
          <w:szCs w:val="22"/>
        </w:rPr>
        <w:t xml:space="preserve"> delivering $2</w:t>
      </w:r>
      <w:r w:rsidR="00F8518E">
        <w:rPr>
          <w:szCs w:val="22"/>
        </w:rPr>
        <w:t xml:space="preserve"> million</w:t>
      </w:r>
      <w:r w:rsidR="00D15D29" w:rsidRPr="00C679B2">
        <w:rPr>
          <w:szCs w:val="22"/>
        </w:rPr>
        <w:t xml:space="preserve"> through the N</w:t>
      </w:r>
      <w:r>
        <w:rPr>
          <w:szCs w:val="22"/>
        </w:rPr>
        <w:t>FP</w:t>
      </w:r>
      <w:r w:rsidR="00D15D29" w:rsidRPr="00C679B2">
        <w:rPr>
          <w:szCs w:val="22"/>
        </w:rPr>
        <w:t xml:space="preserve"> Cooperation Program</w:t>
      </w:r>
      <w:r w:rsidR="005C0900">
        <w:rPr>
          <w:szCs w:val="22"/>
        </w:rPr>
        <w:t xml:space="preserve">. </w:t>
      </w:r>
      <w:r w:rsidR="00D15D29" w:rsidRPr="00C679B2">
        <w:rPr>
          <w:szCs w:val="22"/>
        </w:rPr>
        <w:t>Rule of law is a necessary enabler for socio-economic development. By improving security, stability and governance in Nauru, the AFP is helping to cre</w:t>
      </w:r>
      <w:r w:rsidR="00D15D29" w:rsidRPr="00C229C8">
        <w:rPr>
          <w:szCs w:val="22"/>
        </w:rPr>
        <w:t>ate a safer, more secure community, which supports poverty alleviation</w:t>
      </w:r>
      <w:r>
        <w:rPr>
          <w:szCs w:val="22"/>
        </w:rPr>
        <w:t xml:space="preserve"> and</w:t>
      </w:r>
      <w:r w:rsidR="00D15D29" w:rsidRPr="00C229C8">
        <w:rPr>
          <w:szCs w:val="22"/>
        </w:rPr>
        <w:t xml:space="preserve"> is in </w:t>
      </w:r>
      <w:r w:rsidR="00DA65FF">
        <w:rPr>
          <w:szCs w:val="22"/>
        </w:rPr>
        <w:t>our</w:t>
      </w:r>
      <w:r w:rsidR="00DA65FF" w:rsidRPr="00C229C8">
        <w:rPr>
          <w:szCs w:val="22"/>
        </w:rPr>
        <w:t xml:space="preserve"> </w:t>
      </w:r>
      <w:r w:rsidR="00D15D29" w:rsidRPr="00C229C8">
        <w:rPr>
          <w:szCs w:val="22"/>
        </w:rPr>
        <w:t xml:space="preserve">national interest. </w:t>
      </w:r>
    </w:p>
    <w:p w14:paraId="52F1C041" w14:textId="34E0729E" w:rsidR="00D15D29" w:rsidRPr="00A44A49" w:rsidRDefault="00D15D29" w:rsidP="00067A68">
      <w:pPr>
        <w:pStyle w:val="BodyText"/>
        <w:rPr>
          <w:szCs w:val="22"/>
        </w:rPr>
      </w:pPr>
      <w:r w:rsidRPr="00A44A49">
        <w:rPr>
          <w:szCs w:val="22"/>
        </w:rPr>
        <w:t>The N</w:t>
      </w:r>
      <w:r w:rsidR="0037468E">
        <w:rPr>
          <w:szCs w:val="22"/>
        </w:rPr>
        <w:t>PF</w:t>
      </w:r>
      <w:r w:rsidRPr="00A44A49">
        <w:rPr>
          <w:szCs w:val="22"/>
        </w:rPr>
        <w:t xml:space="preserve"> Cooperation Program</w:t>
      </w:r>
      <w:r w:rsidR="0037468E">
        <w:rPr>
          <w:szCs w:val="22"/>
        </w:rPr>
        <w:t xml:space="preserve"> </w:t>
      </w:r>
      <w:r w:rsidRPr="00A44A49">
        <w:rPr>
          <w:szCs w:val="22"/>
        </w:rPr>
        <w:t>is a bilateral component of the Pacific Police Development Program, established in November 2004. The program focuses on mentoring and capacity development in operational policing, enabling services and leadership</w:t>
      </w:r>
      <w:r w:rsidR="005C0900">
        <w:rPr>
          <w:szCs w:val="22"/>
        </w:rPr>
        <w:t xml:space="preserve">. </w:t>
      </w:r>
    </w:p>
    <w:p w14:paraId="1F6962C5" w14:textId="0D83DD41" w:rsidR="00D15D29" w:rsidRPr="00A44A49" w:rsidRDefault="00D15D29" w:rsidP="00067A68">
      <w:pPr>
        <w:pStyle w:val="BodyText"/>
        <w:rPr>
          <w:szCs w:val="22"/>
        </w:rPr>
      </w:pPr>
      <w:r w:rsidRPr="00A44A49">
        <w:rPr>
          <w:szCs w:val="22"/>
        </w:rPr>
        <w:t xml:space="preserve">At </w:t>
      </w:r>
      <w:r w:rsidR="003A46B6">
        <w:rPr>
          <w:szCs w:val="22"/>
        </w:rPr>
        <w:t xml:space="preserve">the </w:t>
      </w:r>
      <w:r w:rsidR="0037468E">
        <w:rPr>
          <w:szCs w:val="22"/>
        </w:rPr>
        <w:t xml:space="preserve">end </w:t>
      </w:r>
      <w:r w:rsidR="003A46B6">
        <w:rPr>
          <w:szCs w:val="22"/>
        </w:rPr>
        <w:t>of the reporting period</w:t>
      </w:r>
      <w:r w:rsidR="0037468E">
        <w:rPr>
          <w:szCs w:val="22"/>
        </w:rPr>
        <w:t xml:space="preserve"> for this </w:t>
      </w:r>
      <w:r w:rsidR="002D03A4">
        <w:rPr>
          <w:szCs w:val="22"/>
        </w:rPr>
        <w:t>APPR</w:t>
      </w:r>
      <w:r w:rsidRPr="00A44A49">
        <w:rPr>
          <w:szCs w:val="22"/>
        </w:rPr>
        <w:t xml:space="preserve">, </w:t>
      </w:r>
      <w:r w:rsidR="0037468E">
        <w:rPr>
          <w:szCs w:val="22"/>
        </w:rPr>
        <w:t>an</w:t>
      </w:r>
      <w:r w:rsidR="0037468E" w:rsidRPr="00A44A49">
        <w:rPr>
          <w:szCs w:val="22"/>
        </w:rPr>
        <w:t xml:space="preserve"> </w:t>
      </w:r>
      <w:r w:rsidRPr="00A44A49">
        <w:rPr>
          <w:szCs w:val="22"/>
        </w:rPr>
        <w:t>AFP Program Manager</w:t>
      </w:r>
      <w:r w:rsidR="00DA65FF">
        <w:rPr>
          <w:szCs w:val="22"/>
        </w:rPr>
        <w:t xml:space="preserve"> </w:t>
      </w:r>
      <w:r w:rsidR="003A46B6">
        <w:rPr>
          <w:szCs w:val="22"/>
        </w:rPr>
        <w:t>was</w:t>
      </w:r>
      <w:r w:rsidRPr="00A44A49">
        <w:rPr>
          <w:szCs w:val="22"/>
        </w:rPr>
        <w:t xml:space="preserve"> the Commissioner of the N</w:t>
      </w:r>
      <w:r w:rsidR="0037468E">
        <w:rPr>
          <w:szCs w:val="22"/>
        </w:rPr>
        <w:t>PF</w:t>
      </w:r>
      <w:r w:rsidRPr="00A44A49">
        <w:rPr>
          <w:szCs w:val="22"/>
        </w:rPr>
        <w:t>. In 2012</w:t>
      </w:r>
      <w:r w:rsidR="00C14005">
        <w:rPr>
          <w:szCs w:val="22"/>
        </w:rPr>
        <w:t>–</w:t>
      </w:r>
      <w:r w:rsidRPr="00A44A49">
        <w:rPr>
          <w:szCs w:val="22"/>
        </w:rPr>
        <w:t xml:space="preserve">13, key outcomes from the </w:t>
      </w:r>
      <w:r w:rsidR="0037468E" w:rsidRPr="00A44A49">
        <w:rPr>
          <w:szCs w:val="22"/>
        </w:rPr>
        <w:t>N</w:t>
      </w:r>
      <w:r w:rsidR="0037468E">
        <w:rPr>
          <w:szCs w:val="22"/>
        </w:rPr>
        <w:t>PF</w:t>
      </w:r>
      <w:r w:rsidR="0037468E" w:rsidRPr="00A44A49">
        <w:rPr>
          <w:szCs w:val="22"/>
        </w:rPr>
        <w:t xml:space="preserve"> Cooperation Program</w:t>
      </w:r>
      <w:r w:rsidR="0037468E">
        <w:rPr>
          <w:szCs w:val="22"/>
        </w:rPr>
        <w:t xml:space="preserve"> </w:t>
      </w:r>
      <w:r w:rsidRPr="00A44A49">
        <w:rPr>
          <w:szCs w:val="22"/>
        </w:rPr>
        <w:t>include</w:t>
      </w:r>
      <w:r w:rsidR="00BC15F3">
        <w:rPr>
          <w:szCs w:val="22"/>
        </w:rPr>
        <w:t>d:</w:t>
      </w:r>
      <w:r w:rsidRPr="00A44A49">
        <w:rPr>
          <w:szCs w:val="22"/>
        </w:rPr>
        <w:t xml:space="preserve"> </w:t>
      </w:r>
    </w:p>
    <w:p w14:paraId="28FEDB49" w14:textId="1CB7D744" w:rsidR="00D15D29" w:rsidRPr="00A44A49" w:rsidRDefault="00D15D29" w:rsidP="00067A68">
      <w:pPr>
        <w:pStyle w:val="ListBullet"/>
      </w:pPr>
      <w:r w:rsidRPr="00C679B2">
        <w:t>provi</w:t>
      </w:r>
      <w:r w:rsidR="0037468E">
        <w:t>ding</w:t>
      </w:r>
      <w:r w:rsidRPr="00C679B2">
        <w:t xml:space="preserve"> officer training in </w:t>
      </w:r>
      <w:r w:rsidR="00BC15F3">
        <w:t>o</w:t>
      </w:r>
      <w:r w:rsidRPr="00C679B2">
        <w:t xml:space="preserve">fficer </w:t>
      </w:r>
      <w:r w:rsidR="00BC15F3">
        <w:t>s</w:t>
      </w:r>
      <w:r w:rsidRPr="00C679B2">
        <w:t xml:space="preserve">afety, </w:t>
      </w:r>
      <w:r w:rsidR="00BC15F3">
        <w:t>p</w:t>
      </w:r>
      <w:r w:rsidRPr="00C679B2">
        <w:t xml:space="preserve">ublic </w:t>
      </w:r>
      <w:r w:rsidR="00BC15F3">
        <w:t>o</w:t>
      </w:r>
      <w:r w:rsidRPr="00C679B2">
        <w:t xml:space="preserve">rder </w:t>
      </w:r>
      <w:r w:rsidR="00BC15F3">
        <w:t>m</w:t>
      </w:r>
      <w:r w:rsidRPr="00C679B2">
        <w:t xml:space="preserve">anagement and </w:t>
      </w:r>
      <w:r w:rsidR="00BC15F3">
        <w:t>e</w:t>
      </w:r>
      <w:r w:rsidRPr="00C679B2">
        <w:t xml:space="preserve">quipment, </w:t>
      </w:r>
      <w:r w:rsidR="00BC15F3">
        <w:t>c</w:t>
      </w:r>
      <w:r w:rsidRPr="00C679B2">
        <w:t xml:space="preserve">ase </w:t>
      </w:r>
      <w:r w:rsidR="00BC15F3">
        <w:t>m</w:t>
      </w:r>
      <w:r w:rsidRPr="00C679B2">
        <w:t xml:space="preserve">anagement </w:t>
      </w:r>
      <w:r w:rsidR="00BC15F3">
        <w:t>w</w:t>
      </w:r>
      <w:r w:rsidRPr="00C679B2">
        <w:t xml:space="preserve">orkshops, powers of arrest, brief preparation, </w:t>
      </w:r>
      <w:r w:rsidR="00BC15F3">
        <w:t>f</w:t>
      </w:r>
      <w:r w:rsidRPr="00C679B2">
        <w:t xml:space="preserve">orensic </w:t>
      </w:r>
      <w:r w:rsidR="00BC15F3">
        <w:t>p</w:t>
      </w:r>
      <w:r w:rsidRPr="00C679B2">
        <w:t xml:space="preserve">hotography </w:t>
      </w:r>
      <w:r w:rsidR="00BC15F3">
        <w:t>t</w:t>
      </w:r>
      <w:r w:rsidRPr="00C679B2">
        <w:t xml:space="preserve">raining, criminal intelligence, </w:t>
      </w:r>
      <w:r w:rsidR="00BC15F3">
        <w:t>i</w:t>
      </w:r>
      <w:r w:rsidRPr="00C679B2">
        <w:t>nvestiga</w:t>
      </w:r>
      <w:r w:rsidRPr="00C229C8">
        <w:t xml:space="preserve">tions and </w:t>
      </w:r>
      <w:r w:rsidR="00BC15F3">
        <w:t>c</w:t>
      </w:r>
      <w:r w:rsidRPr="00C229C8">
        <w:t xml:space="preserve">lose </w:t>
      </w:r>
      <w:r w:rsidR="00BC15F3">
        <w:t>p</w:t>
      </w:r>
      <w:r w:rsidRPr="00C229C8">
        <w:t xml:space="preserve">ersonal </w:t>
      </w:r>
      <w:r w:rsidR="00BC15F3">
        <w:t>p</w:t>
      </w:r>
      <w:r w:rsidRPr="00C229C8">
        <w:t xml:space="preserve">rotection </w:t>
      </w:r>
      <w:r w:rsidR="00BC15F3">
        <w:t>t</w:t>
      </w:r>
      <w:r w:rsidRPr="00C229C8">
        <w:t xml:space="preserve">raining </w:t>
      </w:r>
    </w:p>
    <w:p w14:paraId="542F5071" w14:textId="44D9DFF9" w:rsidR="00D15D29" w:rsidRPr="00A44A49" w:rsidRDefault="00C446A5" w:rsidP="00067A68">
      <w:pPr>
        <w:pStyle w:val="ListBullet"/>
      </w:pPr>
      <w:r>
        <w:t>i</w:t>
      </w:r>
      <w:r w:rsidR="0037468E">
        <w:t xml:space="preserve">nstalling </w:t>
      </w:r>
      <w:r w:rsidR="00D15D29" w:rsidRPr="00A44A49">
        <w:t>a new radio network</w:t>
      </w:r>
      <w:r w:rsidR="0037468E">
        <w:t>,</w:t>
      </w:r>
      <w:r w:rsidR="00D15D29" w:rsidRPr="00A44A49">
        <w:t xml:space="preserve"> in March 2012</w:t>
      </w:r>
      <w:r w:rsidR="0037468E">
        <w:t>, which is providing</w:t>
      </w:r>
      <w:r w:rsidR="00D15D29" w:rsidRPr="00A44A49">
        <w:t xml:space="preserve"> improved response times to incidents </w:t>
      </w:r>
      <w:r w:rsidR="0037468E">
        <w:t>and</w:t>
      </w:r>
      <w:r w:rsidR="00D15D29" w:rsidRPr="00A44A49">
        <w:t xml:space="preserve"> better and improved communications to </w:t>
      </w:r>
      <w:r w:rsidR="00D055EB">
        <w:br/>
      </w:r>
      <w:r w:rsidR="00D15D29" w:rsidRPr="00A44A49">
        <w:t>decision makers</w:t>
      </w:r>
      <w:r w:rsidR="005C0900">
        <w:t xml:space="preserve"> </w:t>
      </w:r>
    </w:p>
    <w:p w14:paraId="362DDF7C" w14:textId="621D27A6" w:rsidR="00D15D29" w:rsidRPr="00A44A49" w:rsidRDefault="00D15D29" w:rsidP="00067A68">
      <w:pPr>
        <w:pStyle w:val="ListBullet"/>
      </w:pPr>
      <w:r w:rsidRPr="00A44A49">
        <w:t>restructur</w:t>
      </w:r>
      <w:r w:rsidR="0037468E">
        <w:t>ing</w:t>
      </w:r>
      <w:r w:rsidRPr="00A44A49">
        <w:t xml:space="preserve"> the NPF to include a crime </w:t>
      </w:r>
      <w:r w:rsidR="00BC15F3">
        <w:t>i</w:t>
      </w:r>
      <w:r w:rsidRPr="00A44A49">
        <w:t>ntelligence</w:t>
      </w:r>
      <w:r w:rsidR="0037468E">
        <w:t xml:space="preserve"> and </w:t>
      </w:r>
      <w:r w:rsidR="00BC15F3">
        <w:t>c</w:t>
      </w:r>
      <w:r w:rsidRPr="00A44A49">
        <w:t xml:space="preserve">ommunity </w:t>
      </w:r>
      <w:r w:rsidR="00BC15F3">
        <w:t>p</w:t>
      </w:r>
      <w:r w:rsidRPr="00A44A49">
        <w:t xml:space="preserve">olicing </w:t>
      </w:r>
      <w:r w:rsidR="00BC15F3">
        <w:t>u</w:t>
      </w:r>
      <w:r w:rsidRPr="00A44A49">
        <w:t xml:space="preserve">nit and </w:t>
      </w:r>
      <w:r w:rsidR="00BC15F3">
        <w:t>t</w:t>
      </w:r>
      <w:r w:rsidRPr="00A44A49">
        <w:t xml:space="preserve">raffic </w:t>
      </w:r>
      <w:r w:rsidR="00BC15F3">
        <w:t>u</w:t>
      </w:r>
      <w:r w:rsidRPr="00A44A49">
        <w:t>nit</w:t>
      </w:r>
    </w:p>
    <w:p w14:paraId="18E3691F" w14:textId="1386F40F" w:rsidR="00D15D29" w:rsidRPr="00A44A49" w:rsidRDefault="00D15D29" w:rsidP="00067A68">
      <w:pPr>
        <w:pStyle w:val="ListBullet"/>
      </w:pPr>
      <w:r w:rsidRPr="00A44A49">
        <w:t>improving and providing a fair and equitable promotional system</w:t>
      </w:r>
    </w:p>
    <w:p w14:paraId="67449244" w14:textId="6B72A8D9" w:rsidR="00D15D29" w:rsidRPr="00A44A49" w:rsidRDefault="0037468E" w:rsidP="00067A68">
      <w:pPr>
        <w:pStyle w:val="ListBullet"/>
      </w:pPr>
      <w:r>
        <w:t>acquiring</w:t>
      </w:r>
      <w:r w:rsidR="00D15D29" w:rsidRPr="00A44A49">
        <w:t xml:space="preserve"> central server and case management systems</w:t>
      </w:r>
      <w:r w:rsidR="00DA65FF">
        <w:t>,</w:t>
      </w:r>
      <w:r w:rsidR="00D15D29" w:rsidRPr="00A44A49">
        <w:t xml:space="preserve"> providing the NPF with the ability to collect information and provide timely and accurate criminal intelligence </w:t>
      </w:r>
    </w:p>
    <w:p w14:paraId="4CAC29E5" w14:textId="1B1BC8D8" w:rsidR="00D15D29" w:rsidRPr="00A44A49" w:rsidRDefault="00D15D29" w:rsidP="00067A68">
      <w:pPr>
        <w:pStyle w:val="ListBullet"/>
      </w:pPr>
      <w:r w:rsidRPr="00A44A49">
        <w:t>support</w:t>
      </w:r>
      <w:r w:rsidR="0037468E">
        <w:t>ing</w:t>
      </w:r>
      <w:r w:rsidR="003A46B6">
        <w:t xml:space="preserve"> </w:t>
      </w:r>
      <w:r w:rsidRPr="00A44A49">
        <w:t xml:space="preserve">gender equality, </w:t>
      </w:r>
      <w:r w:rsidR="003A46B6">
        <w:t>including the AFP sending</w:t>
      </w:r>
      <w:r w:rsidRPr="00A44A49">
        <w:t xml:space="preserve"> several Nauru </w:t>
      </w:r>
      <w:r w:rsidR="00BC15F3">
        <w:t>p</w:t>
      </w:r>
      <w:r w:rsidRPr="00A44A49">
        <w:t xml:space="preserve">olice officers to attend </w:t>
      </w:r>
      <w:r w:rsidR="00BC15F3">
        <w:t>w</w:t>
      </w:r>
      <w:r w:rsidRPr="00A44A49">
        <w:t xml:space="preserve">omen in </w:t>
      </w:r>
      <w:r w:rsidR="00BC15F3">
        <w:t>l</w:t>
      </w:r>
      <w:r w:rsidRPr="00A44A49">
        <w:t xml:space="preserve">eadership </w:t>
      </w:r>
      <w:r w:rsidR="00BC15F3">
        <w:t>p</w:t>
      </w:r>
      <w:r w:rsidRPr="00A44A49">
        <w:t xml:space="preserve">rograms and </w:t>
      </w:r>
      <w:r w:rsidR="00BC15F3">
        <w:t>i</w:t>
      </w:r>
      <w:r w:rsidRPr="00A44A49">
        <w:t xml:space="preserve">nterviewing </w:t>
      </w:r>
      <w:r w:rsidR="00BC15F3">
        <w:t>t</w:t>
      </w:r>
      <w:r w:rsidRPr="00A44A49">
        <w:t xml:space="preserve">echniques courses held in Australia </w:t>
      </w:r>
    </w:p>
    <w:p w14:paraId="03D02550" w14:textId="7B4A2FA9" w:rsidR="00D15D29" w:rsidRPr="00A44A49" w:rsidRDefault="00BC15F3" w:rsidP="00067A68">
      <w:pPr>
        <w:pStyle w:val="ListBullet"/>
      </w:pPr>
      <w:r>
        <w:t>s</w:t>
      </w:r>
      <w:r w:rsidR="003A46B6">
        <w:t>ending</w:t>
      </w:r>
      <w:r w:rsidR="005E03F6">
        <w:t xml:space="preserve"> </w:t>
      </w:r>
      <w:r w:rsidR="003A46B6">
        <w:t>a</w:t>
      </w:r>
      <w:r w:rsidR="005E03F6">
        <w:t xml:space="preserve"> </w:t>
      </w:r>
      <w:r w:rsidR="00D15D29" w:rsidRPr="00A44A49">
        <w:t xml:space="preserve">female NPF member </w:t>
      </w:r>
      <w:r w:rsidR="0037468E">
        <w:t>on</w:t>
      </w:r>
      <w:r w:rsidR="00D15D29" w:rsidRPr="00A44A49">
        <w:t xml:space="preserve"> an exchange with </w:t>
      </w:r>
      <w:r>
        <w:t xml:space="preserve">the </w:t>
      </w:r>
      <w:r w:rsidR="00D15D29" w:rsidRPr="00A44A49">
        <w:t xml:space="preserve">Tonga Police Force to gain insight into establishing a better </w:t>
      </w:r>
      <w:r>
        <w:t>w</w:t>
      </w:r>
      <w:r w:rsidR="003A46B6">
        <w:t xml:space="preserve">omen’s </w:t>
      </w:r>
      <w:r>
        <w:t>a</w:t>
      </w:r>
      <w:r w:rsidR="003A46B6">
        <w:t xml:space="preserve">dvisory </w:t>
      </w:r>
      <w:r>
        <w:t>n</w:t>
      </w:r>
      <w:r w:rsidR="003A46B6">
        <w:t>etwork</w:t>
      </w:r>
      <w:r w:rsidR="005E03F6">
        <w:t xml:space="preserve"> </w:t>
      </w:r>
      <w:r w:rsidR="00D15D29" w:rsidRPr="00A44A49">
        <w:t>in Nauru</w:t>
      </w:r>
      <w:r w:rsidR="00DA65FF">
        <w:rPr>
          <w:rStyle w:val="FootnoteReference"/>
        </w:rPr>
        <w:footnoteReference w:id="41"/>
      </w:r>
    </w:p>
    <w:p w14:paraId="63342FD9" w14:textId="1A179A82" w:rsidR="00D15D29" w:rsidRPr="00A44A49" w:rsidRDefault="00D15D29" w:rsidP="00067A68">
      <w:pPr>
        <w:pStyle w:val="ListBullet"/>
      </w:pPr>
      <w:r w:rsidRPr="00A44A49">
        <w:t xml:space="preserve">training </w:t>
      </w:r>
      <w:r w:rsidR="00C446A5">
        <w:t>by</w:t>
      </w:r>
      <w:r w:rsidRPr="00A44A49">
        <w:t xml:space="preserve"> Cyber Safety </w:t>
      </w:r>
      <w:proofErr w:type="spellStart"/>
      <w:r w:rsidRPr="00A44A49">
        <w:t>Pasifika</w:t>
      </w:r>
      <w:proofErr w:type="spellEnd"/>
      <w:r w:rsidRPr="00A44A49">
        <w:t xml:space="preserve"> (a joint</w:t>
      </w:r>
      <w:r w:rsidR="00C446A5">
        <w:t xml:space="preserve"> initiative of the</w:t>
      </w:r>
      <w:r w:rsidRPr="00A44A49">
        <w:t xml:space="preserve"> AFP, P</w:t>
      </w:r>
      <w:r w:rsidR="00C446A5">
        <w:t>acific Islands Chiefs of Police</w:t>
      </w:r>
      <w:r w:rsidRPr="00A44A49">
        <w:t xml:space="preserve"> and Pacific Transnational Crime Network)</w:t>
      </w:r>
      <w:r w:rsidR="00C446A5">
        <w:t>, to improve</w:t>
      </w:r>
      <w:r w:rsidRPr="00A44A49">
        <w:t xml:space="preserve"> cyber safety and security education in Pacific island schools and communities by equipping local police services to deliver high</w:t>
      </w:r>
      <w:r w:rsidR="00C446A5">
        <w:t>-</w:t>
      </w:r>
      <w:r w:rsidRPr="00A44A49">
        <w:t xml:space="preserve">quality information to children and parents. </w:t>
      </w:r>
    </w:p>
    <w:p w14:paraId="4C64D776" w14:textId="68135A3B" w:rsidR="00D15D29" w:rsidRDefault="00D15D29" w:rsidP="00067A68">
      <w:pPr>
        <w:pStyle w:val="BodyText"/>
        <w:rPr>
          <w:rFonts w:ascii="Georgia" w:hAnsi="Georgia"/>
          <w:b/>
          <w:i/>
          <w:sz w:val="19"/>
          <w:szCs w:val="19"/>
        </w:rPr>
      </w:pPr>
      <w:r w:rsidRPr="00A44A49">
        <w:t xml:space="preserve">Assistance to the policing sector through the Pacific Police Capacity Building </w:t>
      </w:r>
      <w:r w:rsidR="005A436D">
        <w:t>p</w:t>
      </w:r>
      <w:r w:rsidRPr="00A44A49">
        <w:t>rogram</w:t>
      </w:r>
      <w:r w:rsidR="00C446A5">
        <w:t>,</w:t>
      </w:r>
      <w:r w:rsidRPr="00A44A49">
        <w:t xml:space="preserve"> managed under separate funding through the A</w:t>
      </w:r>
      <w:r w:rsidR="0037468E">
        <w:t>FP</w:t>
      </w:r>
      <w:r w:rsidR="00C446A5">
        <w:t>,</w:t>
      </w:r>
      <w:r w:rsidRPr="00A44A49">
        <w:t xml:space="preserve"> provides critical support to the </w:t>
      </w:r>
      <w:r w:rsidR="005A436D">
        <w:t>l</w:t>
      </w:r>
      <w:r w:rsidRPr="00A44A49">
        <w:t xml:space="preserve">aw and </w:t>
      </w:r>
      <w:r w:rsidR="005A436D">
        <w:lastRenderedPageBreak/>
        <w:t>j</w:t>
      </w:r>
      <w:r w:rsidRPr="00A44A49">
        <w:t xml:space="preserve">ustice </w:t>
      </w:r>
      <w:r w:rsidR="005A436D">
        <w:t>s</w:t>
      </w:r>
      <w:r w:rsidRPr="00A44A49">
        <w:t>ector. This sector is listed under the Partnership for Development as an ‘enabling priority outcome area’ recognising that a stable law and justice sector underpins all aspects of development, governance and community wellbeing.</w:t>
      </w:r>
    </w:p>
    <w:p w14:paraId="50073702" w14:textId="706DF70A" w:rsidR="006D37F5" w:rsidRDefault="006D37F5" w:rsidP="00067A68">
      <w:pPr>
        <w:pStyle w:val="Heading3"/>
      </w:pPr>
      <w:r w:rsidRPr="006D37F5">
        <w:t xml:space="preserve">Climate </w:t>
      </w:r>
      <w:r w:rsidR="005A436D">
        <w:t>c</w:t>
      </w:r>
      <w:r w:rsidRPr="006D37F5">
        <w:t>hange</w:t>
      </w:r>
    </w:p>
    <w:p w14:paraId="6B24B97B" w14:textId="4DF6BAF7" w:rsidR="00146CC8" w:rsidRPr="000E7494" w:rsidRDefault="00146CC8" w:rsidP="00067A68">
      <w:pPr>
        <w:pStyle w:val="BodyText"/>
      </w:pPr>
      <w:r w:rsidRPr="000E7494">
        <w:t xml:space="preserve">The </w:t>
      </w:r>
      <w:r w:rsidR="00066642">
        <w:t>Government of Nauru</w:t>
      </w:r>
      <w:r w:rsidRPr="000E7494">
        <w:t xml:space="preserve"> has taken significant steps to address climate change over recent years</w:t>
      </w:r>
      <w:r w:rsidR="00A17771">
        <w:t>. As</w:t>
      </w:r>
      <w:r w:rsidRPr="000E7494">
        <w:t xml:space="preserve"> </w:t>
      </w:r>
      <w:r w:rsidR="0026012E">
        <w:t xml:space="preserve">the 2012 </w:t>
      </w:r>
      <w:r w:rsidRPr="000E7494">
        <w:t xml:space="preserve">Chair of </w:t>
      </w:r>
      <w:r>
        <w:t xml:space="preserve">the </w:t>
      </w:r>
      <w:r w:rsidRPr="000E7494">
        <w:t>A</w:t>
      </w:r>
      <w:r>
        <w:t>lliance of Small Island States</w:t>
      </w:r>
      <w:r w:rsidR="00A17771">
        <w:t>, Nauru</w:t>
      </w:r>
      <w:r w:rsidRPr="000E7494">
        <w:t xml:space="preserve"> </w:t>
      </w:r>
      <w:r>
        <w:t>has been instrumental in</w:t>
      </w:r>
      <w:r w:rsidRPr="000E7494">
        <w:t xml:space="preserve"> influenc</w:t>
      </w:r>
      <w:r>
        <w:t>ing</w:t>
      </w:r>
      <w:r w:rsidRPr="000E7494">
        <w:t xml:space="preserve"> global climate change negotiations on behalf of the region</w:t>
      </w:r>
      <w:r w:rsidR="005C0900">
        <w:t xml:space="preserve">. </w:t>
      </w:r>
    </w:p>
    <w:p w14:paraId="228D6023" w14:textId="614F181E" w:rsidR="00146CC8" w:rsidRDefault="002F723A" w:rsidP="00067A68">
      <w:pPr>
        <w:pStyle w:val="BodyText"/>
        <w:rPr>
          <w:i/>
        </w:rPr>
      </w:pPr>
      <w:r>
        <w:t xml:space="preserve">While </w:t>
      </w:r>
      <w:r w:rsidR="00A17771">
        <w:t>t</w:t>
      </w:r>
      <w:r w:rsidR="00066642">
        <w:t xml:space="preserve">he </w:t>
      </w:r>
      <w:r w:rsidR="00A17771">
        <w:t>g</w:t>
      </w:r>
      <w:r w:rsidR="00066642">
        <w:t xml:space="preserve">overnment </w:t>
      </w:r>
      <w:r>
        <w:t>is</w:t>
      </w:r>
      <w:r w:rsidR="00146CC8" w:rsidRPr="000E7494">
        <w:t xml:space="preserve"> developing a climate change policy statement and a Joint National Action Plan on Climate Change Adaptation and Disaster Risk Management</w:t>
      </w:r>
      <w:r>
        <w:t>, c</w:t>
      </w:r>
      <w:r w:rsidR="00146CC8" w:rsidRPr="000E7494">
        <w:t xml:space="preserve">limate change has not been fully integrated into national strategies and associated </w:t>
      </w:r>
      <w:r w:rsidR="00A17771">
        <w:t>g</w:t>
      </w:r>
      <w:r w:rsidR="00066642">
        <w:t xml:space="preserve">overnment </w:t>
      </w:r>
      <w:r w:rsidR="00146CC8" w:rsidRPr="000E7494">
        <w:t>systems</w:t>
      </w:r>
      <w:r w:rsidR="005C0900">
        <w:t xml:space="preserve">. </w:t>
      </w:r>
      <w:r w:rsidR="00146CC8">
        <w:t xml:space="preserve">A </w:t>
      </w:r>
      <w:r w:rsidR="00A17771">
        <w:t xml:space="preserve">2012 </w:t>
      </w:r>
      <w:r w:rsidR="00146CC8">
        <w:t xml:space="preserve">assessment by the Pacific Islands </w:t>
      </w:r>
      <w:r w:rsidR="001272C7">
        <w:t>F</w:t>
      </w:r>
      <w:r w:rsidR="00146CC8">
        <w:t xml:space="preserve">orum Secretariat found </w:t>
      </w:r>
      <w:r w:rsidR="00A17771">
        <w:t>the</w:t>
      </w:r>
      <w:r w:rsidR="00A23997">
        <w:t xml:space="preserve"> need </w:t>
      </w:r>
      <w:r w:rsidR="00A17771">
        <w:t xml:space="preserve">for line agencies </w:t>
      </w:r>
      <w:r w:rsidR="00A23997">
        <w:t xml:space="preserve">to clarify roles and responsibilities </w:t>
      </w:r>
      <w:r w:rsidR="00A17771">
        <w:t xml:space="preserve">with </w:t>
      </w:r>
      <w:r w:rsidR="00A23997">
        <w:t>climate change if Nauru is to make best use of various climate change funding.</w:t>
      </w:r>
    </w:p>
    <w:p w14:paraId="4EE19063" w14:textId="75C2E2D2" w:rsidR="00D51659" w:rsidRPr="00146CC8" w:rsidRDefault="00D51659" w:rsidP="00067A68">
      <w:pPr>
        <w:pStyle w:val="BodyText"/>
      </w:pPr>
      <w:r w:rsidRPr="00146CC8">
        <w:t>In 2012</w:t>
      </w:r>
      <w:r w:rsidR="000C4F50">
        <w:t>–</w:t>
      </w:r>
      <w:r w:rsidRPr="00146CC8">
        <w:t xml:space="preserve">13, </w:t>
      </w:r>
      <w:r w:rsidR="00A17771">
        <w:t>our</w:t>
      </w:r>
      <w:r w:rsidR="00A17771" w:rsidRPr="00146CC8">
        <w:t xml:space="preserve"> </w:t>
      </w:r>
      <w:r w:rsidR="005A436D">
        <w:t>c</w:t>
      </w:r>
      <w:r w:rsidRPr="00146CC8">
        <w:t xml:space="preserve">limate </w:t>
      </w:r>
      <w:r w:rsidR="005A436D">
        <w:t>c</w:t>
      </w:r>
      <w:r w:rsidRPr="00146CC8">
        <w:t xml:space="preserve">hange adaptation funding </w:t>
      </w:r>
      <w:r w:rsidR="00A17771">
        <w:t>w</w:t>
      </w:r>
      <w:r w:rsidRPr="00146CC8">
        <w:t xml:space="preserve">as used to help build resilience against Nauru’s frequent periods of drought. Funding </w:t>
      </w:r>
      <w:r w:rsidR="00A17771">
        <w:t>w</w:t>
      </w:r>
      <w:r w:rsidRPr="00146CC8">
        <w:t>as provided to build and install 200</w:t>
      </w:r>
      <w:r w:rsidR="00DA65FF">
        <w:t> </w:t>
      </w:r>
      <w:r w:rsidRPr="00146CC8">
        <w:t>additional water storage tanks, each capable of storing 18</w:t>
      </w:r>
      <w:r w:rsidR="00D07FB8">
        <w:t>,</w:t>
      </w:r>
      <w:r w:rsidRPr="00146CC8">
        <w:t xml:space="preserve">400 litres of fresh water. The tanks </w:t>
      </w:r>
      <w:r w:rsidR="00A17771">
        <w:t>are</w:t>
      </w:r>
      <w:r w:rsidR="00A17771" w:rsidRPr="00146CC8">
        <w:t xml:space="preserve"> </w:t>
      </w:r>
      <w:r w:rsidR="00A17771">
        <w:t>providing more</w:t>
      </w:r>
      <w:r w:rsidRPr="00146CC8">
        <w:t xml:space="preserve"> storage capacity for desalinated water</w:t>
      </w:r>
      <w:r w:rsidR="00A17771">
        <w:t xml:space="preserve"> and</w:t>
      </w:r>
      <w:r w:rsidRPr="00146CC8">
        <w:t xml:space="preserve"> rain water</w:t>
      </w:r>
      <w:r w:rsidR="00146CC8">
        <w:t>.</w:t>
      </w:r>
      <w:r w:rsidR="00A23997">
        <w:t xml:space="preserve"> </w:t>
      </w:r>
      <w:r w:rsidR="00A17771">
        <w:t xml:space="preserve">Our </w:t>
      </w:r>
      <w:r w:rsidR="00A23997">
        <w:t xml:space="preserve">funding was also used </w:t>
      </w:r>
      <w:r w:rsidR="00A17771">
        <w:t>for</w:t>
      </w:r>
      <w:r w:rsidR="00A23997">
        <w:t xml:space="preserve"> long-term technical assistance to help manage Nauru’s climate change and environment programs in the Department of Commerce, Industry and Environment.</w:t>
      </w:r>
    </w:p>
    <w:p w14:paraId="3FD63A98" w14:textId="7DF6985C" w:rsidR="006D37F5" w:rsidRDefault="006D37F5" w:rsidP="00067A68">
      <w:pPr>
        <w:pStyle w:val="Heading3"/>
      </w:pPr>
      <w:r w:rsidRPr="006D37F5">
        <w:t>Seasonal Worker Scheme</w:t>
      </w:r>
    </w:p>
    <w:p w14:paraId="7BB6C11D" w14:textId="5084812F" w:rsidR="00D51659" w:rsidRPr="00D51659" w:rsidRDefault="00D51659" w:rsidP="00067A68">
      <w:pPr>
        <w:pStyle w:val="BodyText"/>
      </w:pPr>
      <w:r w:rsidRPr="00D51659">
        <w:t xml:space="preserve">Australia’s Seasonal Worker </w:t>
      </w:r>
      <w:r w:rsidR="00C5274B">
        <w:t>Scheme</w:t>
      </w:r>
      <w:r w:rsidRPr="00D51659">
        <w:t xml:space="preserve"> is creating opportunities for Pacific islanders to </w:t>
      </w:r>
      <w:r w:rsidR="00A17771">
        <w:t>make</w:t>
      </w:r>
      <w:r w:rsidR="00A17771" w:rsidRPr="00D51659">
        <w:t xml:space="preserve"> </w:t>
      </w:r>
      <w:r w:rsidRPr="00D51659">
        <w:t xml:space="preserve">additional income </w:t>
      </w:r>
      <w:r w:rsidR="00A17771">
        <w:t>through</w:t>
      </w:r>
      <w:r w:rsidRPr="00D51659">
        <w:t xml:space="preserve"> seasonal employment in Australia.</w:t>
      </w:r>
      <w:r>
        <w:t xml:space="preserve"> </w:t>
      </w:r>
      <w:r w:rsidRPr="00D51659">
        <w:t>Visas were granted for 10</w:t>
      </w:r>
      <w:r w:rsidR="00DA65FF">
        <w:t> </w:t>
      </w:r>
      <w:r w:rsidRPr="00D51659">
        <w:t>workers from Nauru in 2012.</w:t>
      </w:r>
      <w:r>
        <w:t xml:space="preserve"> </w:t>
      </w:r>
      <w:r w:rsidR="00932DAF">
        <w:t xml:space="preserve">Given Nauru’s extremely small population base </w:t>
      </w:r>
      <w:r w:rsidR="00F11C86">
        <w:t>(approximately 10</w:t>
      </w:r>
      <w:r w:rsidR="00D07FB8">
        <w:t>,</w:t>
      </w:r>
      <w:r w:rsidR="00F11C86">
        <w:t xml:space="preserve">000) </w:t>
      </w:r>
      <w:r w:rsidR="00932DAF">
        <w:t xml:space="preserve">and even smaller pool of eligible candidates for </w:t>
      </w:r>
      <w:r w:rsidR="00A17771">
        <w:t>this</w:t>
      </w:r>
      <w:r w:rsidR="00932DAF">
        <w:t xml:space="preserve"> scheme, this small number of visa</w:t>
      </w:r>
      <w:r w:rsidR="00824ED4">
        <w:t>s</w:t>
      </w:r>
      <w:r w:rsidR="00932DAF">
        <w:t xml:space="preserve"> is significant</w:t>
      </w:r>
      <w:r w:rsidR="00F11C86">
        <w:t>. In comparison, 12 visas were issued for neighbouring</w:t>
      </w:r>
      <w:r w:rsidR="00932DAF">
        <w:t xml:space="preserve"> </w:t>
      </w:r>
      <w:r w:rsidR="00F11C86">
        <w:t>Kiribati which has a population of approximately 100</w:t>
      </w:r>
      <w:r w:rsidR="000A4A1A">
        <w:t>,</w:t>
      </w:r>
      <w:r w:rsidR="00F11C86">
        <w:t xml:space="preserve">000. </w:t>
      </w:r>
      <w:r w:rsidR="00A17771">
        <w:t>More than</w:t>
      </w:r>
      <w:r w:rsidR="00A17771" w:rsidRPr="00D51659">
        <w:t xml:space="preserve"> </w:t>
      </w:r>
      <w:r w:rsidRPr="00D51659">
        <w:t>2</w:t>
      </w:r>
      <w:r w:rsidR="00D07FB8">
        <w:t>,</w:t>
      </w:r>
      <w:r w:rsidRPr="00D51659">
        <w:t>000 workers from the Pacific and Timor-Leste have earned additional income as seasonal workers in Australia. With the average worker remitting a</w:t>
      </w:r>
      <w:r w:rsidR="005567D7">
        <w:t>pproximately</w:t>
      </w:r>
      <w:r w:rsidRPr="00D51659">
        <w:t xml:space="preserve"> $5</w:t>
      </w:r>
      <w:r w:rsidR="00D07FB8">
        <w:t>,</w:t>
      </w:r>
      <w:r w:rsidRPr="00D51659">
        <w:t>000</w:t>
      </w:r>
      <w:r w:rsidR="00A17771">
        <w:t xml:space="preserve"> to </w:t>
      </w:r>
      <w:r w:rsidRPr="00D51659">
        <w:t>$6</w:t>
      </w:r>
      <w:r w:rsidR="00D07FB8">
        <w:t>,</w:t>
      </w:r>
      <w:r w:rsidRPr="00D51659">
        <w:t>000, an estimated $11.1</w:t>
      </w:r>
      <w:r w:rsidR="000C4F50">
        <w:t> </w:t>
      </w:r>
      <w:r w:rsidRPr="00D51659">
        <w:t xml:space="preserve">million </w:t>
      </w:r>
      <w:r w:rsidR="00A17771">
        <w:t>was</w:t>
      </w:r>
      <w:r w:rsidRPr="00D51659">
        <w:t xml:space="preserve"> remitted to benefit participating workers and their households </w:t>
      </w:r>
      <w:r w:rsidR="00824ED4">
        <w:t xml:space="preserve">throughout the region </w:t>
      </w:r>
      <w:r w:rsidRPr="00D51659">
        <w:t>by the e</w:t>
      </w:r>
      <w:r>
        <w:t xml:space="preserve">nd of 2012. </w:t>
      </w:r>
    </w:p>
    <w:p w14:paraId="43A5093E" w14:textId="085098AF" w:rsidR="006D37F5" w:rsidRDefault="006D37F5" w:rsidP="00BD0809">
      <w:pPr>
        <w:pStyle w:val="Heading3"/>
      </w:pPr>
      <w:r w:rsidRPr="006D37F5">
        <w:t>Gender</w:t>
      </w:r>
    </w:p>
    <w:p w14:paraId="310607E8" w14:textId="1F007122" w:rsidR="00343C0A" w:rsidRDefault="00343C0A" w:rsidP="00067A68">
      <w:pPr>
        <w:pStyle w:val="BodyText"/>
      </w:pPr>
      <w:r w:rsidRPr="007315BA">
        <w:t xml:space="preserve">At the 2012 Pacific Islands Forum, Pacific </w:t>
      </w:r>
      <w:r w:rsidR="005A436D">
        <w:t>l</w:t>
      </w:r>
      <w:r w:rsidRPr="007315BA">
        <w:t xml:space="preserve">eaders (including Nauru’s </w:t>
      </w:r>
      <w:r w:rsidR="00104217">
        <w:t xml:space="preserve">then </w:t>
      </w:r>
      <w:r w:rsidRPr="007315BA">
        <w:t>President)</w:t>
      </w:r>
      <w:r>
        <w:t xml:space="preserve"> committed to a </w:t>
      </w:r>
      <w:r w:rsidR="005A436D">
        <w:t>g</w:t>
      </w:r>
      <w:r>
        <w:t xml:space="preserve">ender </w:t>
      </w:r>
      <w:r w:rsidR="005A436D">
        <w:t>e</w:t>
      </w:r>
      <w:r>
        <w:t xml:space="preserve">quality </w:t>
      </w:r>
      <w:r w:rsidR="005A436D">
        <w:t>d</w:t>
      </w:r>
      <w:r>
        <w:t xml:space="preserve">eclaration that set out domestic policy actions to improve gender equality. Australia also announced funding of $320 million over 10 years to improve gender equality in the Pacific through the Pacific Women Shaping Pacific Development </w:t>
      </w:r>
      <w:r w:rsidR="0040564F">
        <w:t>I</w:t>
      </w:r>
      <w:r>
        <w:t>nitiative</w:t>
      </w:r>
      <w:r w:rsidR="007156F5">
        <w:rPr>
          <w:rStyle w:val="FootnoteReference"/>
        </w:rPr>
        <w:footnoteReference w:id="42"/>
      </w:r>
      <w:r>
        <w:t xml:space="preserve">. </w:t>
      </w:r>
      <w:r w:rsidRPr="00343C0A">
        <w:t xml:space="preserve">Our support to Nauru </w:t>
      </w:r>
      <w:r>
        <w:t xml:space="preserve">under this initiative </w:t>
      </w:r>
      <w:r w:rsidRPr="00343C0A">
        <w:t xml:space="preserve">will </w:t>
      </w:r>
      <w:r w:rsidR="0040564F">
        <w:t>begin</w:t>
      </w:r>
      <w:r w:rsidR="0040564F" w:rsidRPr="00343C0A">
        <w:t xml:space="preserve"> </w:t>
      </w:r>
      <w:r w:rsidRPr="00343C0A">
        <w:t xml:space="preserve">through our partnership with </w:t>
      </w:r>
      <w:r>
        <w:t xml:space="preserve">the </w:t>
      </w:r>
      <w:r w:rsidR="00F105B8" w:rsidRPr="00AD7A97">
        <w:t>S</w:t>
      </w:r>
      <w:r w:rsidR="00F105B8">
        <w:t>ecretariat of the Pacific Community</w:t>
      </w:r>
      <w:r w:rsidR="00F105B8" w:rsidRPr="00343C0A">
        <w:t xml:space="preserve"> </w:t>
      </w:r>
      <w:r w:rsidR="0040564F">
        <w:t>which</w:t>
      </w:r>
      <w:r w:rsidRPr="00343C0A">
        <w:t xml:space="preserve"> will work with government and civil society to identify gaps in the capacity to address gender inequality issues in each sector and develop an assessment report and action plan. </w:t>
      </w:r>
    </w:p>
    <w:p w14:paraId="3C3F7BBE" w14:textId="6F00DBD2" w:rsidR="00104217" w:rsidRDefault="00104217" w:rsidP="00067A68">
      <w:pPr>
        <w:pStyle w:val="BodyText"/>
      </w:pPr>
      <w:r>
        <w:t>Nauru’s N</w:t>
      </w:r>
      <w:r w:rsidR="006B43EB">
        <w:t>SDS</w:t>
      </w:r>
      <w:r>
        <w:t xml:space="preserve"> outlines Nauru’s aspirations for </w:t>
      </w:r>
      <w:r w:rsidR="005A436D">
        <w:t>‘</w:t>
      </w:r>
      <w:r>
        <w:t>A just society that recognises and respects the rights of women and promotes equal opportunities</w:t>
      </w:r>
      <w:r w:rsidR="005A436D">
        <w:t>’</w:t>
      </w:r>
      <w:r w:rsidR="0040564F">
        <w:t xml:space="preserve">. The strategy </w:t>
      </w:r>
      <w:r>
        <w:t xml:space="preserve">outlines specific gender disaggregated sector </w:t>
      </w:r>
      <w:r w:rsidR="00E07B02">
        <w:t xml:space="preserve">strategies </w:t>
      </w:r>
      <w:r w:rsidR="0040564F">
        <w:t>to support Nauru to</w:t>
      </w:r>
      <w:r>
        <w:t>:</w:t>
      </w:r>
    </w:p>
    <w:p w14:paraId="277ED3C4" w14:textId="3BA04490" w:rsidR="00104217" w:rsidRDefault="0040564F" w:rsidP="00067A68">
      <w:pPr>
        <w:pStyle w:val="ListBullet"/>
      </w:pPr>
      <w:r>
        <w:lastRenderedPageBreak/>
        <w:t xml:space="preserve">ensure all </w:t>
      </w:r>
      <w:r w:rsidR="00104217">
        <w:t>girls and boys complet</w:t>
      </w:r>
      <w:r>
        <w:t>e</w:t>
      </w:r>
      <w:r w:rsidR="00104217">
        <w:t xml:space="preserve"> a full course of primary schooling</w:t>
      </w:r>
    </w:p>
    <w:p w14:paraId="52F95A57" w14:textId="2DCAF71B" w:rsidR="00104217" w:rsidRDefault="005A436D" w:rsidP="00067A68">
      <w:pPr>
        <w:pStyle w:val="ListBullet"/>
      </w:pPr>
      <w:r>
        <w:t>s</w:t>
      </w:r>
      <w:r w:rsidR="00104217">
        <w:t>trengthen umbrella organisations for women</w:t>
      </w:r>
      <w:r w:rsidR="0040564F">
        <w:t>,</w:t>
      </w:r>
      <w:r w:rsidR="00104217">
        <w:t xml:space="preserve"> including the National Council of Women </w:t>
      </w:r>
    </w:p>
    <w:p w14:paraId="2F8E8D53" w14:textId="6FCD129D" w:rsidR="00E07B02" w:rsidRDefault="00104217" w:rsidP="00067A68">
      <w:pPr>
        <w:pStyle w:val="ListBullet"/>
      </w:pPr>
      <w:proofErr w:type="gramStart"/>
      <w:r>
        <w:t>appropriately</w:t>
      </w:r>
      <w:proofErr w:type="gramEnd"/>
      <w:r>
        <w:t xml:space="preserve"> mainstream </w:t>
      </w:r>
      <w:r w:rsidR="004D7CF6">
        <w:t xml:space="preserve">women’s needs </w:t>
      </w:r>
      <w:r>
        <w:t>and reflect</w:t>
      </w:r>
      <w:r w:rsidR="004D7CF6">
        <w:t xml:space="preserve"> them </w:t>
      </w:r>
      <w:r>
        <w:t xml:space="preserve"> in national development policies, plans and budgets. </w:t>
      </w:r>
    </w:p>
    <w:p w14:paraId="1358143B" w14:textId="61711A51" w:rsidR="00E07B02" w:rsidRPr="00EC7B0B" w:rsidRDefault="0036397D" w:rsidP="00067A68">
      <w:pPr>
        <w:pStyle w:val="BodyText"/>
      </w:pPr>
      <w:r w:rsidRPr="00F07127">
        <w:t>Traditionally</w:t>
      </w:r>
      <w:r w:rsidR="0040564F">
        <w:t xml:space="preserve"> in Nauru</w:t>
      </w:r>
      <w:r w:rsidR="00F07127">
        <w:t>,</w:t>
      </w:r>
      <w:r w:rsidRPr="00F07127">
        <w:t xml:space="preserve"> land ownership </w:t>
      </w:r>
      <w:r w:rsidRPr="00E554D3">
        <w:t>is passed in a matrilineal system, granting women considerable status and voice within the community</w:t>
      </w:r>
      <w:r w:rsidR="00C86B66">
        <w:t>.</w:t>
      </w:r>
      <w:r w:rsidRPr="00062561">
        <w:rPr>
          <w:vertAlign w:val="superscript"/>
        </w:rPr>
        <w:footnoteReference w:id="43"/>
      </w:r>
      <w:r w:rsidRPr="00E554D3">
        <w:t xml:space="preserve"> However, anecdotal evidence suggests this influence seems to be diminishing</w:t>
      </w:r>
      <w:r w:rsidR="00343C0A" w:rsidRPr="00E554D3">
        <w:t xml:space="preserve"> in comparison with woman’s significant role in traditional land ownership</w:t>
      </w:r>
      <w:r w:rsidR="004D7CF6">
        <w:t>.</w:t>
      </w:r>
      <w:r w:rsidR="00F40B43">
        <w:rPr>
          <w:rStyle w:val="FootnoteReference"/>
        </w:rPr>
        <w:footnoteReference w:id="44"/>
      </w:r>
      <w:r w:rsidRPr="00EC7B0B">
        <w:t xml:space="preserve"> Issues of concern for women include poor school completion rates</w:t>
      </w:r>
      <w:r w:rsidR="00824ED4">
        <w:t xml:space="preserve"> (69 per cent of females 15 years </w:t>
      </w:r>
      <w:r w:rsidR="0040564F">
        <w:t xml:space="preserve">of age </w:t>
      </w:r>
      <w:r w:rsidR="00824ED4">
        <w:t>and over leave school with no educational qualifications)</w:t>
      </w:r>
      <w:r w:rsidR="00824ED4">
        <w:rPr>
          <w:rStyle w:val="FootnoteReference"/>
        </w:rPr>
        <w:footnoteReference w:id="45"/>
      </w:r>
      <w:r w:rsidRPr="00EC7B0B">
        <w:t>, lack of job opportunities for school leavers</w:t>
      </w:r>
      <w:r w:rsidR="00824ED4">
        <w:t xml:space="preserve"> (26 per cent of females 15 years</w:t>
      </w:r>
      <w:r w:rsidR="0040564F">
        <w:t xml:space="preserve"> of age</w:t>
      </w:r>
      <w:r w:rsidR="00824ED4">
        <w:t xml:space="preserve"> a</w:t>
      </w:r>
      <w:r w:rsidR="004D7CF6">
        <w:t>n</w:t>
      </w:r>
      <w:r w:rsidR="00824ED4">
        <w:t xml:space="preserve">d over are unemployed and only 35 per cent of the work force </w:t>
      </w:r>
      <w:r w:rsidR="0040564F">
        <w:t>is female</w:t>
      </w:r>
      <w:r w:rsidR="00824ED4">
        <w:t>)</w:t>
      </w:r>
      <w:r w:rsidR="00824ED4">
        <w:rPr>
          <w:rStyle w:val="FootnoteReference"/>
        </w:rPr>
        <w:footnoteReference w:id="46"/>
      </w:r>
      <w:r w:rsidRPr="00EC7B0B">
        <w:t>, poor environmental conditions and poor health and nutrition</w:t>
      </w:r>
      <w:r w:rsidRPr="00062561">
        <w:rPr>
          <w:vertAlign w:val="superscript"/>
        </w:rPr>
        <w:footnoteReference w:id="47"/>
      </w:r>
      <w:r w:rsidR="00824ED4">
        <w:t xml:space="preserve">, although data </w:t>
      </w:r>
      <w:r w:rsidR="0040564F">
        <w:t>from</w:t>
      </w:r>
      <w:r w:rsidR="00824ED4">
        <w:t xml:space="preserve"> the 2011 Census suggests health issues </w:t>
      </w:r>
      <w:r w:rsidR="0040564F">
        <w:t>a</w:t>
      </w:r>
      <w:r w:rsidR="00824ED4">
        <w:t>ffect men and women in Nauru in broadly equal proportions.</w:t>
      </w:r>
      <w:r w:rsidRPr="00EC7B0B">
        <w:t xml:space="preserve"> Nauru ratified the Conven</w:t>
      </w:r>
      <w:r w:rsidR="002F46D9" w:rsidRPr="00EC7B0B">
        <w:t>tion on the Elimination of all F</w:t>
      </w:r>
      <w:r w:rsidRPr="00EC7B0B">
        <w:t xml:space="preserve">orms of Discrimination </w:t>
      </w:r>
      <w:proofErr w:type="gramStart"/>
      <w:r w:rsidRPr="00EC7B0B">
        <w:t>Against</w:t>
      </w:r>
      <w:proofErr w:type="gramEnd"/>
      <w:r w:rsidRPr="00EC7B0B">
        <w:t xml:space="preserve"> Women in 2011</w:t>
      </w:r>
      <w:r w:rsidR="0040564F">
        <w:t>. T</w:t>
      </w:r>
      <w:r w:rsidRPr="00EC7B0B">
        <w:t xml:space="preserve">he Constitution guarantees equality between men and women. </w:t>
      </w:r>
      <w:r w:rsidR="00824ED4">
        <w:t>T</w:t>
      </w:r>
      <w:r w:rsidR="00EC7B0B">
        <w:t>he</w:t>
      </w:r>
      <w:r w:rsidR="00EC7B0B" w:rsidRPr="00EC7B0B">
        <w:t xml:space="preserve"> rights of children, youth and women are protected by Nauruan law and represented by the Department of Youth and Community Affairs</w:t>
      </w:r>
      <w:r w:rsidR="0040564F">
        <w:t>,</w:t>
      </w:r>
      <w:r w:rsidR="00EC7B0B" w:rsidRPr="00EC7B0B">
        <w:t xml:space="preserve"> Department of Women’s Affairs a</w:t>
      </w:r>
      <w:r w:rsidR="0040564F">
        <w:t>nd</w:t>
      </w:r>
      <w:r w:rsidR="00EC7B0B" w:rsidRPr="00EC7B0B">
        <w:t xml:space="preserve"> a number of community non-government organi</w:t>
      </w:r>
      <w:r w:rsidR="00C86B66">
        <w:t>s</w:t>
      </w:r>
      <w:r w:rsidR="00EC7B0B" w:rsidRPr="00EC7B0B">
        <w:t>ations</w:t>
      </w:r>
      <w:r w:rsidR="00C86B66">
        <w:t>.</w:t>
      </w:r>
      <w:r w:rsidRPr="00062561">
        <w:rPr>
          <w:vertAlign w:val="superscript"/>
        </w:rPr>
        <w:footnoteReference w:id="48"/>
      </w:r>
      <w:r w:rsidR="00824ED4">
        <w:t xml:space="preserve"> Women are reasonably well represented in </w:t>
      </w:r>
      <w:r w:rsidR="00AD3D41">
        <w:t xml:space="preserve">public sector </w:t>
      </w:r>
      <w:r w:rsidR="00824ED4">
        <w:t xml:space="preserve">leadership roles. At </w:t>
      </w:r>
      <w:r w:rsidR="000C4F50">
        <w:t>t</w:t>
      </w:r>
      <w:r w:rsidR="0040564F">
        <w:t xml:space="preserve">he </w:t>
      </w:r>
      <w:r w:rsidR="009240AE">
        <w:t>elections</w:t>
      </w:r>
      <w:r w:rsidR="00824ED4">
        <w:t xml:space="preserve"> hel</w:t>
      </w:r>
      <w:r w:rsidR="009240AE">
        <w:t>d</w:t>
      </w:r>
      <w:r w:rsidR="00824ED4">
        <w:t xml:space="preserve"> in June 2013</w:t>
      </w:r>
      <w:r w:rsidR="00C86B66">
        <w:t>,</w:t>
      </w:r>
      <w:r w:rsidR="00824ED4">
        <w:t xml:space="preserve"> </w:t>
      </w:r>
      <w:proofErr w:type="spellStart"/>
      <w:r w:rsidR="00824ED4">
        <w:t>N</w:t>
      </w:r>
      <w:r w:rsidR="009240AE">
        <w:t>a</w:t>
      </w:r>
      <w:r w:rsidR="00824ED4">
        <w:t>uruans</w:t>
      </w:r>
      <w:proofErr w:type="spellEnd"/>
      <w:r w:rsidR="00824ED4">
        <w:t xml:space="preserve"> elected</w:t>
      </w:r>
      <w:r w:rsidR="009240AE">
        <w:t xml:space="preserve"> a female Member of Parliament (the second in Nauruan history and the only current serving female </w:t>
      </w:r>
      <w:r w:rsidR="0040564F">
        <w:t>one</w:t>
      </w:r>
      <w:r w:rsidR="009240AE">
        <w:t xml:space="preserve">) who has since taken on several </w:t>
      </w:r>
      <w:r w:rsidR="004D7CF6">
        <w:t>m</w:t>
      </w:r>
      <w:r w:rsidR="009240AE">
        <w:t>inisterial portfolios</w:t>
      </w:r>
      <w:r w:rsidR="0040564F">
        <w:t>, including</w:t>
      </w:r>
      <w:r w:rsidR="001D0B31">
        <w:t xml:space="preserve"> Home Affairs, Education and Youth Affairs and Land Management. </w:t>
      </w:r>
    </w:p>
    <w:p w14:paraId="1476E2CC" w14:textId="7B32F148" w:rsidR="0036397D" w:rsidRPr="007315BA" w:rsidRDefault="0040564F" w:rsidP="00067A68">
      <w:pPr>
        <w:pStyle w:val="BodyText"/>
      </w:pPr>
      <w:r>
        <w:t xml:space="preserve">Our </w:t>
      </w:r>
      <w:r w:rsidR="0036397D">
        <w:t>assistance for gender</w:t>
      </w:r>
      <w:r>
        <w:t>-</w:t>
      </w:r>
      <w:r w:rsidR="0036397D">
        <w:t>related issues has been delivered through support for regional institutions and programs</w:t>
      </w:r>
      <w:r w:rsidR="00F07127">
        <w:t>, including</w:t>
      </w:r>
      <w:r w:rsidR="00877D4D">
        <w:t xml:space="preserve"> the</w:t>
      </w:r>
      <w:r w:rsidR="0036397D" w:rsidRPr="00EE66C3">
        <w:t xml:space="preserve"> UN Women’s Pacific Facility Fund to End Violence </w:t>
      </w:r>
      <w:proofErr w:type="gramStart"/>
      <w:r w:rsidR="0036397D" w:rsidRPr="00EE66C3">
        <w:t>Against</w:t>
      </w:r>
      <w:proofErr w:type="gramEnd"/>
      <w:r w:rsidR="0036397D" w:rsidRPr="00EE66C3">
        <w:t xml:space="preserve"> Women</w:t>
      </w:r>
      <w:r w:rsidR="0059780E">
        <w:t xml:space="preserve">, </w:t>
      </w:r>
      <w:r w:rsidR="00877D4D">
        <w:t xml:space="preserve">the </w:t>
      </w:r>
      <w:r w:rsidR="0036397D" w:rsidRPr="00EE66C3">
        <w:t>U</w:t>
      </w:r>
      <w:r>
        <w:t xml:space="preserve">nited </w:t>
      </w:r>
      <w:r w:rsidR="0036397D" w:rsidRPr="00EE66C3">
        <w:t>N</w:t>
      </w:r>
      <w:r>
        <w:t>ations Population Fund</w:t>
      </w:r>
      <w:r w:rsidR="0069777A">
        <w:t xml:space="preserve">, </w:t>
      </w:r>
      <w:r w:rsidR="00877D4D">
        <w:t xml:space="preserve">the </w:t>
      </w:r>
      <w:r w:rsidR="0036397D" w:rsidRPr="00EE66C3">
        <w:t>UN Women’s Advancing Gender Equality in Political Governance Program in the Pacific</w:t>
      </w:r>
      <w:r w:rsidR="00C86B66">
        <w:t>,</w:t>
      </w:r>
      <w:r w:rsidR="00877D4D">
        <w:t xml:space="preserve"> and the </w:t>
      </w:r>
      <w:r w:rsidR="0036397D">
        <w:t>E</w:t>
      </w:r>
      <w:r w:rsidR="0036397D" w:rsidRPr="00EE66C3">
        <w:t xml:space="preserve">merging Pacific Women’s </w:t>
      </w:r>
      <w:r w:rsidR="0036397D">
        <w:t>Leadership Program</w:t>
      </w:r>
      <w:r w:rsidR="0036397D" w:rsidRPr="00EE66C3">
        <w:t xml:space="preserve">. </w:t>
      </w:r>
    </w:p>
    <w:p w14:paraId="63F6A624" w14:textId="39867EBC" w:rsidR="006D37F5" w:rsidRDefault="006D37F5" w:rsidP="00067A68">
      <w:pPr>
        <w:pStyle w:val="Heading3"/>
      </w:pPr>
      <w:r w:rsidRPr="006D37F5">
        <w:t>Disabilit</w:t>
      </w:r>
      <w:r w:rsidR="00CF229C">
        <w:t>y</w:t>
      </w:r>
    </w:p>
    <w:p w14:paraId="70FC2B58" w14:textId="573F1C9F" w:rsidR="00AB6012" w:rsidRPr="00A44A49" w:rsidRDefault="00AB6012" w:rsidP="00067A68">
      <w:pPr>
        <w:pStyle w:val="BodyText"/>
        <w:rPr>
          <w:szCs w:val="22"/>
        </w:rPr>
      </w:pPr>
      <w:r w:rsidRPr="00A44A49">
        <w:rPr>
          <w:szCs w:val="22"/>
        </w:rPr>
        <w:t>The Government of Nauru has made significant progress towards advancing the rights of persons with disabilit</w:t>
      </w:r>
      <w:r w:rsidR="0040564F">
        <w:rPr>
          <w:szCs w:val="22"/>
        </w:rPr>
        <w:t>y</w:t>
      </w:r>
      <w:r w:rsidRPr="00A44A49">
        <w:rPr>
          <w:szCs w:val="22"/>
        </w:rPr>
        <w:t xml:space="preserve"> in recent years. In June 2012</w:t>
      </w:r>
      <w:r w:rsidR="0040564F">
        <w:rPr>
          <w:szCs w:val="22"/>
        </w:rPr>
        <w:t>,</w:t>
      </w:r>
      <w:r w:rsidRPr="00A44A49">
        <w:rPr>
          <w:szCs w:val="22"/>
        </w:rPr>
        <w:t xml:space="preserve"> Nauru acceded to the Convention on the Rights of Persons with Disabilities and a national disability policy </w:t>
      </w:r>
      <w:r w:rsidR="0040564F">
        <w:rPr>
          <w:szCs w:val="22"/>
        </w:rPr>
        <w:t>w</w:t>
      </w:r>
      <w:r w:rsidR="002B6B47" w:rsidRPr="00A44A49">
        <w:rPr>
          <w:szCs w:val="22"/>
        </w:rPr>
        <w:t>as prepared</w:t>
      </w:r>
      <w:r w:rsidRPr="00A44A49">
        <w:rPr>
          <w:szCs w:val="22"/>
        </w:rPr>
        <w:t xml:space="preserve">. Nauru’s </w:t>
      </w:r>
      <w:r w:rsidR="00AD3D41" w:rsidRPr="00A44A49">
        <w:rPr>
          <w:szCs w:val="22"/>
        </w:rPr>
        <w:t>NSDS</w:t>
      </w:r>
      <w:r w:rsidRPr="00A44A49">
        <w:rPr>
          <w:szCs w:val="22"/>
        </w:rPr>
        <w:t xml:space="preserve"> commits </w:t>
      </w:r>
      <w:r w:rsidR="0040564F">
        <w:rPr>
          <w:szCs w:val="22"/>
        </w:rPr>
        <w:t xml:space="preserve">the </w:t>
      </w:r>
      <w:r w:rsidR="00FC7564">
        <w:rPr>
          <w:szCs w:val="22"/>
        </w:rPr>
        <w:t>g</w:t>
      </w:r>
      <w:r w:rsidRPr="00A44A49">
        <w:rPr>
          <w:szCs w:val="22"/>
        </w:rPr>
        <w:t xml:space="preserve">overnment to </w:t>
      </w:r>
      <w:r w:rsidR="0069777A">
        <w:rPr>
          <w:szCs w:val="22"/>
        </w:rPr>
        <w:t>‘</w:t>
      </w:r>
      <w:r w:rsidRPr="00A44A49">
        <w:rPr>
          <w:szCs w:val="22"/>
        </w:rPr>
        <w:t>create an inclusive, barrier-free and just society for people with disabilities</w:t>
      </w:r>
      <w:r w:rsidR="0069777A">
        <w:rPr>
          <w:szCs w:val="22"/>
        </w:rPr>
        <w:t>’</w:t>
      </w:r>
      <w:r w:rsidRPr="0040564F">
        <w:rPr>
          <w:szCs w:val="22"/>
        </w:rPr>
        <w:t>.</w:t>
      </w:r>
    </w:p>
    <w:p w14:paraId="73D6DD5D" w14:textId="065CBB53" w:rsidR="002B6B47" w:rsidRPr="00A44A49" w:rsidRDefault="00AB6012" w:rsidP="00067A68">
      <w:pPr>
        <w:pStyle w:val="BodyText"/>
        <w:rPr>
          <w:szCs w:val="22"/>
        </w:rPr>
      </w:pPr>
      <w:r w:rsidRPr="00A44A49">
        <w:rPr>
          <w:szCs w:val="22"/>
        </w:rPr>
        <w:t>Under the Partnership for Development</w:t>
      </w:r>
      <w:r w:rsidR="002B6B47" w:rsidRPr="00A44A49">
        <w:rPr>
          <w:szCs w:val="22"/>
        </w:rPr>
        <w:t>,</w:t>
      </w:r>
      <w:r w:rsidRPr="00A44A49">
        <w:rPr>
          <w:szCs w:val="22"/>
        </w:rPr>
        <w:t xml:space="preserve"> </w:t>
      </w:r>
      <w:r w:rsidR="00D00BD3">
        <w:rPr>
          <w:szCs w:val="22"/>
        </w:rPr>
        <w:t>Australia</w:t>
      </w:r>
      <w:r w:rsidR="00D00BD3" w:rsidRPr="00A44A49">
        <w:rPr>
          <w:szCs w:val="22"/>
        </w:rPr>
        <w:t xml:space="preserve"> </w:t>
      </w:r>
      <w:r w:rsidRPr="00A44A49">
        <w:rPr>
          <w:szCs w:val="22"/>
        </w:rPr>
        <w:t xml:space="preserve">and Nauru are pursuing a target of </w:t>
      </w:r>
      <w:r w:rsidR="00D055EB">
        <w:rPr>
          <w:szCs w:val="22"/>
        </w:rPr>
        <w:br/>
      </w:r>
      <w:r w:rsidRPr="00A44A49">
        <w:rPr>
          <w:szCs w:val="22"/>
        </w:rPr>
        <w:t xml:space="preserve">70 </w:t>
      </w:r>
      <w:r w:rsidR="00572A96" w:rsidRPr="00A44A49">
        <w:rPr>
          <w:szCs w:val="22"/>
        </w:rPr>
        <w:t>per cent</w:t>
      </w:r>
      <w:r w:rsidRPr="00A44A49">
        <w:rPr>
          <w:szCs w:val="22"/>
        </w:rPr>
        <w:t xml:space="preserve"> of students with disability having access to education services by 2015</w:t>
      </w:r>
      <w:r w:rsidR="0069777A">
        <w:rPr>
          <w:szCs w:val="22"/>
        </w:rPr>
        <w:t>—</w:t>
      </w:r>
      <w:r w:rsidRPr="00A44A49">
        <w:rPr>
          <w:szCs w:val="22"/>
        </w:rPr>
        <w:t>up from 61</w:t>
      </w:r>
      <w:r w:rsidR="00572A96" w:rsidRPr="00A44A49">
        <w:rPr>
          <w:szCs w:val="22"/>
        </w:rPr>
        <w:t xml:space="preserve"> per cent</w:t>
      </w:r>
      <w:r w:rsidRPr="00A44A49">
        <w:rPr>
          <w:szCs w:val="22"/>
        </w:rPr>
        <w:t xml:space="preserve"> in 2011</w:t>
      </w:r>
      <w:r w:rsidR="0069777A">
        <w:rPr>
          <w:szCs w:val="22"/>
        </w:rPr>
        <w:t>–</w:t>
      </w:r>
      <w:r w:rsidRPr="00A44A49">
        <w:rPr>
          <w:szCs w:val="22"/>
        </w:rPr>
        <w:t xml:space="preserve">12. </w:t>
      </w:r>
    </w:p>
    <w:p w14:paraId="09B5EAE5" w14:textId="27342939" w:rsidR="00AB6012" w:rsidRPr="00A44A49" w:rsidRDefault="00624F87" w:rsidP="00067A68">
      <w:pPr>
        <w:pStyle w:val="BodyText"/>
        <w:rPr>
          <w:szCs w:val="22"/>
        </w:rPr>
      </w:pPr>
      <w:r>
        <w:rPr>
          <w:szCs w:val="22"/>
        </w:rPr>
        <w:t>Australia</w:t>
      </w:r>
      <w:r w:rsidRPr="00A44A49">
        <w:rPr>
          <w:szCs w:val="22"/>
        </w:rPr>
        <w:t xml:space="preserve"> </w:t>
      </w:r>
      <w:r w:rsidR="00AB6012" w:rsidRPr="00A44A49">
        <w:rPr>
          <w:szCs w:val="22"/>
        </w:rPr>
        <w:t>provides annual funding support for the operations of Nauru’s Able-Disable Centre</w:t>
      </w:r>
      <w:r w:rsidR="0040564F">
        <w:rPr>
          <w:szCs w:val="22"/>
        </w:rPr>
        <w:t>, which</w:t>
      </w:r>
      <w:r w:rsidR="00AB6012" w:rsidRPr="00A44A49">
        <w:rPr>
          <w:szCs w:val="22"/>
        </w:rPr>
        <w:t xml:space="preserve"> provid</w:t>
      </w:r>
      <w:r w:rsidR="0040564F">
        <w:rPr>
          <w:szCs w:val="22"/>
        </w:rPr>
        <w:t>es</w:t>
      </w:r>
      <w:r w:rsidR="00AB6012" w:rsidRPr="00A44A49">
        <w:rPr>
          <w:szCs w:val="22"/>
        </w:rPr>
        <w:t xml:space="preserve"> education services for </w:t>
      </w:r>
      <w:r w:rsidR="005567D7" w:rsidRPr="00A44A49">
        <w:rPr>
          <w:szCs w:val="22"/>
        </w:rPr>
        <w:t xml:space="preserve">about </w:t>
      </w:r>
      <w:r w:rsidR="00AB6012" w:rsidRPr="00A44A49">
        <w:rPr>
          <w:szCs w:val="22"/>
        </w:rPr>
        <w:t>40 students with disability.</w:t>
      </w:r>
      <w:r w:rsidR="0040564F">
        <w:rPr>
          <w:szCs w:val="22"/>
        </w:rPr>
        <w:t xml:space="preserve"> </w:t>
      </w:r>
      <w:r>
        <w:rPr>
          <w:szCs w:val="22"/>
        </w:rPr>
        <w:t xml:space="preserve">Funding </w:t>
      </w:r>
      <w:r w:rsidR="00AB6012" w:rsidRPr="00A44A49">
        <w:rPr>
          <w:szCs w:val="22"/>
        </w:rPr>
        <w:t>in the education sector for staff training for special needs teaching a</w:t>
      </w:r>
      <w:r w:rsidR="0040564F">
        <w:rPr>
          <w:szCs w:val="22"/>
        </w:rPr>
        <w:t>nd</w:t>
      </w:r>
      <w:r w:rsidR="00AB6012" w:rsidRPr="00A44A49">
        <w:rPr>
          <w:szCs w:val="22"/>
        </w:rPr>
        <w:t xml:space="preserve"> for</w:t>
      </w:r>
      <w:r w:rsidR="0040564F">
        <w:rPr>
          <w:szCs w:val="22"/>
        </w:rPr>
        <w:t xml:space="preserve"> the</w:t>
      </w:r>
      <w:r w:rsidR="00AB6012" w:rsidRPr="00A44A49">
        <w:rPr>
          <w:szCs w:val="22"/>
        </w:rPr>
        <w:t xml:space="preserve"> development of a disabilit</w:t>
      </w:r>
      <w:r w:rsidR="0040564F">
        <w:rPr>
          <w:szCs w:val="22"/>
        </w:rPr>
        <w:t>y-</w:t>
      </w:r>
      <w:r w:rsidR="00AB6012" w:rsidRPr="00A44A49">
        <w:rPr>
          <w:szCs w:val="22"/>
        </w:rPr>
        <w:t>inclusive school curriculum</w:t>
      </w:r>
      <w:r>
        <w:rPr>
          <w:szCs w:val="22"/>
        </w:rPr>
        <w:t xml:space="preserve"> is also provided</w:t>
      </w:r>
      <w:r w:rsidR="00AB6012" w:rsidRPr="00A44A49">
        <w:rPr>
          <w:szCs w:val="22"/>
        </w:rPr>
        <w:t>.</w:t>
      </w:r>
      <w:r w:rsidR="002B6B47" w:rsidRPr="00A44A49">
        <w:rPr>
          <w:szCs w:val="22"/>
        </w:rPr>
        <w:t xml:space="preserve"> One teacher gained formal qualifications in </w:t>
      </w:r>
      <w:r w:rsidR="0069777A">
        <w:rPr>
          <w:szCs w:val="22"/>
        </w:rPr>
        <w:t>s</w:t>
      </w:r>
      <w:r w:rsidR="002B6B47" w:rsidRPr="00A44A49">
        <w:rPr>
          <w:szCs w:val="22"/>
        </w:rPr>
        <w:t xml:space="preserve">pecial </w:t>
      </w:r>
      <w:r w:rsidR="0069777A">
        <w:rPr>
          <w:szCs w:val="22"/>
        </w:rPr>
        <w:t>n</w:t>
      </w:r>
      <w:r w:rsidR="002B6B47" w:rsidRPr="00A44A49">
        <w:rPr>
          <w:szCs w:val="22"/>
        </w:rPr>
        <w:t>eeds teaching during 2012.</w:t>
      </w:r>
    </w:p>
    <w:p w14:paraId="16F89ECB" w14:textId="51AFBA86" w:rsidR="00D30FD3" w:rsidRPr="00A44A49" w:rsidRDefault="00AB6012" w:rsidP="00067A68">
      <w:pPr>
        <w:pStyle w:val="BodyText"/>
        <w:rPr>
          <w:szCs w:val="22"/>
        </w:rPr>
      </w:pPr>
      <w:r w:rsidRPr="00A44A49">
        <w:rPr>
          <w:szCs w:val="22"/>
        </w:rPr>
        <w:lastRenderedPageBreak/>
        <w:t>Australia</w:t>
      </w:r>
      <w:r w:rsidR="00CF229C">
        <w:rPr>
          <w:szCs w:val="22"/>
        </w:rPr>
        <w:t xml:space="preserve"> also provides</w:t>
      </w:r>
      <w:r w:rsidRPr="00A44A49">
        <w:rPr>
          <w:szCs w:val="22"/>
        </w:rPr>
        <w:t xml:space="preserve"> disability inclusive development</w:t>
      </w:r>
      <w:r w:rsidR="00CF229C">
        <w:rPr>
          <w:szCs w:val="22"/>
        </w:rPr>
        <w:t xml:space="preserve"> support</w:t>
      </w:r>
      <w:r w:rsidRPr="00A44A49">
        <w:rPr>
          <w:szCs w:val="22"/>
        </w:rPr>
        <w:t xml:space="preserve"> through </w:t>
      </w:r>
      <w:r w:rsidR="002B6B47" w:rsidRPr="00A44A49">
        <w:rPr>
          <w:szCs w:val="22"/>
        </w:rPr>
        <w:t xml:space="preserve">our partnerships with </w:t>
      </w:r>
      <w:r w:rsidRPr="00A44A49">
        <w:rPr>
          <w:szCs w:val="22"/>
        </w:rPr>
        <w:t xml:space="preserve">the Pacific Islands Forum Secretariat, Pacific Disability Forum, Disability Rights Fund, </w:t>
      </w:r>
      <w:r w:rsidR="00F105B8" w:rsidRPr="00AD7A97">
        <w:t>S</w:t>
      </w:r>
      <w:r w:rsidR="00F105B8">
        <w:t>ecretariat of the Pacific Community</w:t>
      </w:r>
      <w:r w:rsidR="000C4F50">
        <w:rPr>
          <w:szCs w:val="22"/>
        </w:rPr>
        <w:t>,</w:t>
      </w:r>
      <w:r w:rsidRPr="00A44A49">
        <w:rPr>
          <w:szCs w:val="22"/>
        </w:rPr>
        <w:t xml:space="preserve"> and World Health Organi</w:t>
      </w:r>
      <w:r w:rsidR="0069777A">
        <w:rPr>
          <w:szCs w:val="22"/>
        </w:rPr>
        <w:t>z</w:t>
      </w:r>
      <w:r w:rsidRPr="00A44A49">
        <w:rPr>
          <w:szCs w:val="22"/>
        </w:rPr>
        <w:t>ation.</w:t>
      </w:r>
      <w:r w:rsidR="00772B36" w:rsidRPr="00A44A49">
        <w:rPr>
          <w:szCs w:val="22"/>
        </w:rPr>
        <w:t xml:space="preserve"> This assistance is helping the Nauru Disabled Peoples Association to raise awareness of the rights of people with disability</w:t>
      </w:r>
      <w:r w:rsidR="00C86B66">
        <w:rPr>
          <w:szCs w:val="22"/>
        </w:rPr>
        <w:t>,</w:t>
      </w:r>
      <w:r w:rsidR="00772B36" w:rsidRPr="00A44A49">
        <w:rPr>
          <w:szCs w:val="22"/>
        </w:rPr>
        <w:t xml:space="preserve"> including </w:t>
      </w:r>
      <w:r w:rsidR="00CF229C">
        <w:rPr>
          <w:szCs w:val="22"/>
        </w:rPr>
        <w:t>through</w:t>
      </w:r>
      <w:r w:rsidR="00772B36" w:rsidRPr="00A44A49">
        <w:rPr>
          <w:szCs w:val="22"/>
        </w:rPr>
        <w:t xml:space="preserve"> education and employment opportunities.</w:t>
      </w:r>
    </w:p>
    <w:p w14:paraId="7D482954" w14:textId="65745919" w:rsidR="004C7318" w:rsidRPr="00CC7666" w:rsidRDefault="004C7318" w:rsidP="00067A68">
      <w:pPr>
        <w:pStyle w:val="Heading3"/>
      </w:pPr>
      <w:r w:rsidRPr="00CC7666">
        <w:t xml:space="preserve">The Nauru Australia Compact of Settlement </w:t>
      </w:r>
    </w:p>
    <w:p w14:paraId="78F38D4F" w14:textId="7E2F2610" w:rsidR="004C7318" w:rsidRPr="00A44A49" w:rsidRDefault="004C7318" w:rsidP="00067A68">
      <w:pPr>
        <w:pStyle w:val="BodyText"/>
        <w:rPr>
          <w:szCs w:val="22"/>
        </w:rPr>
      </w:pPr>
      <w:r w:rsidRPr="00A44A49">
        <w:rPr>
          <w:szCs w:val="22"/>
        </w:rPr>
        <w:t>In 2012</w:t>
      </w:r>
      <w:r w:rsidR="0069777A">
        <w:rPr>
          <w:szCs w:val="22"/>
        </w:rPr>
        <w:t>–</w:t>
      </w:r>
      <w:r w:rsidRPr="00A44A49">
        <w:rPr>
          <w:szCs w:val="22"/>
        </w:rPr>
        <w:t xml:space="preserve">13, Australia provided $3.97 million to the Nauru Rehabilitation Corporation under </w:t>
      </w:r>
      <w:r w:rsidR="00C620ED" w:rsidRPr="00A44A49">
        <w:rPr>
          <w:szCs w:val="22"/>
        </w:rPr>
        <w:t>NACOS</w:t>
      </w:r>
      <w:r w:rsidRPr="00A44A49">
        <w:rPr>
          <w:szCs w:val="22"/>
        </w:rPr>
        <w:t xml:space="preserve">. In accordance with </w:t>
      </w:r>
      <w:r w:rsidR="00C86B66">
        <w:rPr>
          <w:szCs w:val="22"/>
        </w:rPr>
        <w:t>NACOS</w:t>
      </w:r>
      <w:r w:rsidRPr="00A44A49">
        <w:rPr>
          <w:szCs w:val="22"/>
        </w:rPr>
        <w:t xml:space="preserve">, this funding is </w:t>
      </w:r>
      <w:r w:rsidR="00CF229C">
        <w:rPr>
          <w:szCs w:val="22"/>
        </w:rPr>
        <w:t>for</w:t>
      </w:r>
      <w:r w:rsidRPr="00A44A49">
        <w:rPr>
          <w:szCs w:val="22"/>
        </w:rPr>
        <w:t xml:space="preserve"> mutually agreed activities that contribute to Nauru’s rehabilitation,</w:t>
      </w:r>
      <w:r w:rsidR="000139FE" w:rsidRPr="00A44A49">
        <w:rPr>
          <w:szCs w:val="22"/>
        </w:rPr>
        <w:t xml:space="preserve"> development and self-reliance</w:t>
      </w:r>
      <w:r w:rsidR="00CF229C">
        <w:rPr>
          <w:szCs w:val="22"/>
        </w:rPr>
        <w:t xml:space="preserve">. Funding </w:t>
      </w:r>
      <w:r w:rsidR="00CC7666" w:rsidRPr="00A44A49">
        <w:rPr>
          <w:szCs w:val="22"/>
        </w:rPr>
        <w:t>i</w:t>
      </w:r>
      <w:r w:rsidRPr="00A44A49">
        <w:rPr>
          <w:szCs w:val="22"/>
        </w:rPr>
        <w:t xml:space="preserve">s directed to assisting </w:t>
      </w:r>
      <w:r w:rsidR="00CF229C">
        <w:rPr>
          <w:szCs w:val="22"/>
        </w:rPr>
        <w:t>the</w:t>
      </w:r>
      <w:r w:rsidR="00CF229C" w:rsidRPr="00A44A49">
        <w:rPr>
          <w:szCs w:val="22"/>
        </w:rPr>
        <w:t xml:space="preserve"> </w:t>
      </w:r>
      <w:r w:rsidRPr="00A44A49">
        <w:rPr>
          <w:szCs w:val="22"/>
        </w:rPr>
        <w:t>sectors of the economy</w:t>
      </w:r>
      <w:r w:rsidR="00741B7E" w:rsidRPr="00A44A49">
        <w:rPr>
          <w:szCs w:val="22"/>
        </w:rPr>
        <w:t xml:space="preserve"> </w:t>
      </w:r>
      <w:r w:rsidR="00CF229C">
        <w:rPr>
          <w:szCs w:val="22"/>
        </w:rPr>
        <w:t>that</w:t>
      </w:r>
      <w:r w:rsidRPr="00A44A49">
        <w:rPr>
          <w:szCs w:val="22"/>
        </w:rPr>
        <w:t xml:space="preserve"> the Government of </w:t>
      </w:r>
      <w:r w:rsidR="000139FE" w:rsidRPr="00A44A49">
        <w:rPr>
          <w:szCs w:val="22"/>
        </w:rPr>
        <w:t xml:space="preserve">Nauru accords </w:t>
      </w:r>
      <w:r w:rsidR="00CF229C">
        <w:rPr>
          <w:szCs w:val="22"/>
        </w:rPr>
        <w:t xml:space="preserve">the </w:t>
      </w:r>
      <w:r w:rsidR="000139FE" w:rsidRPr="00A44A49">
        <w:rPr>
          <w:szCs w:val="22"/>
        </w:rPr>
        <w:t>greatest priority</w:t>
      </w:r>
      <w:r w:rsidR="005C0900">
        <w:rPr>
          <w:szCs w:val="22"/>
        </w:rPr>
        <w:t xml:space="preserve">. </w:t>
      </w:r>
      <w:r w:rsidR="00CC7666" w:rsidRPr="00A44A49">
        <w:rPr>
          <w:szCs w:val="22"/>
        </w:rPr>
        <w:t>Since 200</w:t>
      </w:r>
      <w:r w:rsidR="00D30FD3" w:rsidRPr="00A44A49">
        <w:rPr>
          <w:szCs w:val="22"/>
        </w:rPr>
        <w:t>7</w:t>
      </w:r>
      <w:r w:rsidRPr="00A44A49">
        <w:rPr>
          <w:szCs w:val="22"/>
        </w:rPr>
        <w:t xml:space="preserve">, </w:t>
      </w:r>
      <w:r w:rsidR="00CC7666" w:rsidRPr="00A44A49">
        <w:rPr>
          <w:szCs w:val="22"/>
        </w:rPr>
        <w:t>the Government of Nauru has used NACOS funding to progress an agreed five</w:t>
      </w:r>
      <w:r w:rsidR="00CF229C">
        <w:rPr>
          <w:szCs w:val="22"/>
        </w:rPr>
        <w:t>-</w:t>
      </w:r>
      <w:r w:rsidR="00CC7666" w:rsidRPr="00A44A49">
        <w:rPr>
          <w:szCs w:val="22"/>
        </w:rPr>
        <w:t>year plan for</w:t>
      </w:r>
      <w:r w:rsidRPr="00A44A49">
        <w:rPr>
          <w:szCs w:val="22"/>
        </w:rPr>
        <w:t xml:space="preserve"> phosphate mining </w:t>
      </w:r>
      <w:r w:rsidR="006D37F5" w:rsidRPr="00A44A49">
        <w:rPr>
          <w:szCs w:val="22"/>
        </w:rPr>
        <w:t>combined with land rehabilitation.</w:t>
      </w:r>
      <w:r w:rsidRPr="00A44A49">
        <w:rPr>
          <w:szCs w:val="22"/>
        </w:rPr>
        <w:t xml:space="preserve"> </w:t>
      </w:r>
    </w:p>
    <w:p w14:paraId="79B0BEA8" w14:textId="171E4354" w:rsidR="004C7318" w:rsidRPr="00A44A49" w:rsidRDefault="004C7318" w:rsidP="00067A68">
      <w:pPr>
        <w:pStyle w:val="BodyText"/>
        <w:rPr>
          <w:szCs w:val="22"/>
        </w:rPr>
      </w:pPr>
      <w:r w:rsidRPr="00A44A49">
        <w:rPr>
          <w:szCs w:val="22"/>
        </w:rPr>
        <w:t xml:space="preserve">While </w:t>
      </w:r>
      <w:r w:rsidR="006D37F5" w:rsidRPr="00A44A49">
        <w:rPr>
          <w:szCs w:val="22"/>
        </w:rPr>
        <w:t>phosphate mining reached record levels in 2012</w:t>
      </w:r>
      <w:r w:rsidR="00CF229C">
        <w:rPr>
          <w:szCs w:val="22"/>
        </w:rPr>
        <w:t>,</w:t>
      </w:r>
      <w:r w:rsidR="006D37F5" w:rsidRPr="00A44A49">
        <w:rPr>
          <w:szCs w:val="22"/>
        </w:rPr>
        <w:t xml:space="preserve"> with 519</w:t>
      </w:r>
      <w:r w:rsidR="00D07FB8">
        <w:rPr>
          <w:szCs w:val="22"/>
        </w:rPr>
        <w:t>,</w:t>
      </w:r>
      <w:r w:rsidR="006D37F5" w:rsidRPr="00A44A49">
        <w:rPr>
          <w:szCs w:val="22"/>
        </w:rPr>
        <w:t>000 tons</w:t>
      </w:r>
      <w:r w:rsidR="006D37F5" w:rsidRPr="00062561">
        <w:rPr>
          <w:szCs w:val="22"/>
          <w:vertAlign w:val="superscript"/>
        </w:rPr>
        <w:footnoteReference w:id="49"/>
      </w:r>
      <w:r w:rsidR="006D37F5" w:rsidRPr="00062561">
        <w:rPr>
          <w:szCs w:val="22"/>
          <w:vertAlign w:val="superscript"/>
        </w:rPr>
        <w:t xml:space="preserve"> </w:t>
      </w:r>
      <w:r w:rsidR="006D37F5" w:rsidRPr="00A44A49">
        <w:rPr>
          <w:szCs w:val="22"/>
        </w:rPr>
        <w:t>exported,</w:t>
      </w:r>
      <w:r w:rsidRPr="00A44A49">
        <w:rPr>
          <w:szCs w:val="22"/>
        </w:rPr>
        <w:t xml:space="preserve"> there has been </w:t>
      </w:r>
      <w:r w:rsidR="00C229C8" w:rsidRPr="00A44A49">
        <w:rPr>
          <w:szCs w:val="22"/>
        </w:rPr>
        <w:t>limited</w:t>
      </w:r>
      <w:r w:rsidRPr="00A44A49">
        <w:rPr>
          <w:szCs w:val="22"/>
        </w:rPr>
        <w:t xml:space="preserve"> progress on</w:t>
      </w:r>
      <w:r w:rsidR="00CF229C">
        <w:rPr>
          <w:szCs w:val="22"/>
        </w:rPr>
        <w:t xml:space="preserve"> the</w:t>
      </w:r>
      <w:r w:rsidRPr="00A44A49">
        <w:rPr>
          <w:szCs w:val="22"/>
        </w:rPr>
        <w:t xml:space="preserve"> </w:t>
      </w:r>
      <w:r w:rsidR="006D37F5" w:rsidRPr="00A44A49">
        <w:rPr>
          <w:szCs w:val="22"/>
        </w:rPr>
        <w:t xml:space="preserve">land </w:t>
      </w:r>
      <w:r w:rsidRPr="00A44A49">
        <w:rPr>
          <w:szCs w:val="22"/>
        </w:rPr>
        <w:t xml:space="preserve">rehabilitation program. </w:t>
      </w:r>
      <w:r w:rsidR="00CF229C">
        <w:rPr>
          <w:szCs w:val="22"/>
        </w:rPr>
        <w:t>This</w:t>
      </w:r>
      <w:r w:rsidRPr="00A44A49">
        <w:rPr>
          <w:szCs w:val="22"/>
        </w:rPr>
        <w:t xml:space="preserve"> is balanced </w:t>
      </w:r>
      <w:r w:rsidR="006A3914" w:rsidRPr="00A44A49">
        <w:rPr>
          <w:szCs w:val="22"/>
        </w:rPr>
        <w:t xml:space="preserve">to some extent </w:t>
      </w:r>
      <w:r w:rsidRPr="00A44A49">
        <w:rPr>
          <w:szCs w:val="22"/>
        </w:rPr>
        <w:t>by the economic and social benefits provided by</w:t>
      </w:r>
      <w:r w:rsidR="00CF229C">
        <w:rPr>
          <w:szCs w:val="22"/>
        </w:rPr>
        <w:t xml:space="preserve"> Nauru’s</w:t>
      </w:r>
      <w:r w:rsidRPr="00A44A49">
        <w:rPr>
          <w:szCs w:val="22"/>
        </w:rPr>
        <w:t xml:space="preserve"> more prosperous mining industry, including higher dividends for land owners and government</w:t>
      </w:r>
      <w:r w:rsidR="00CF229C">
        <w:rPr>
          <w:szCs w:val="22"/>
        </w:rPr>
        <w:t xml:space="preserve"> and</w:t>
      </w:r>
      <w:r w:rsidRPr="00A44A49">
        <w:rPr>
          <w:szCs w:val="22"/>
        </w:rPr>
        <w:t xml:space="preserve"> increased employment opportunities</w:t>
      </w:r>
      <w:r w:rsidR="005C0900">
        <w:rPr>
          <w:szCs w:val="22"/>
        </w:rPr>
        <w:t xml:space="preserve">. </w:t>
      </w:r>
    </w:p>
    <w:p w14:paraId="4E065CF1" w14:textId="178EB7A9" w:rsidR="006A3914" w:rsidRPr="00A44A49" w:rsidRDefault="006A3914" w:rsidP="00067A68">
      <w:pPr>
        <w:pStyle w:val="BodyText"/>
        <w:rPr>
          <w:szCs w:val="22"/>
        </w:rPr>
      </w:pPr>
      <w:r w:rsidRPr="00A44A49">
        <w:rPr>
          <w:szCs w:val="22"/>
        </w:rPr>
        <w:t xml:space="preserve">Funds provided under NACOS represent a significant proportion of the operational budget for the Nauru Rehabilitation Corporation’s work on mining and land rehabilitation. It is as yet unclear how </w:t>
      </w:r>
      <w:r w:rsidR="00CF229C">
        <w:rPr>
          <w:szCs w:val="22"/>
        </w:rPr>
        <w:t>the corporation</w:t>
      </w:r>
      <w:r w:rsidR="00CF229C" w:rsidRPr="00A44A49">
        <w:rPr>
          <w:szCs w:val="22"/>
        </w:rPr>
        <w:t xml:space="preserve"> </w:t>
      </w:r>
      <w:r w:rsidRPr="00A44A49">
        <w:rPr>
          <w:szCs w:val="22"/>
        </w:rPr>
        <w:t>plans to fund these operations once the final payment due under the NACOS treaty is made in 2013</w:t>
      </w:r>
      <w:r w:rsidR="0069777A">
        <w:rPr>
          <w:szCs w:val="22"/>
        </w:rPr>
        <w:t>–</w:t>
      </w:r>
      <w:r w:rsidRPr="00A44A49">
        <w:rPr>
          <w:szCs w:val="22"/>
        </w:rPr>
        <w:t>14.</w:t>
      </w:r>
      <w:r w:rsidR="00D30FD3" w:rsidRPr="00A44A49">
        <w:rPr>
          <w:szCs w:val="22"/>
        </w:rPr>
        <w:t xml:space="preserve"> This will be discussed at annual NACOS talks scheduled </w:t>
      </w:r>
      <w:r w:rsidR="00CF229C">
        <w:rPr>
          <w:szCs w:val="22"/>
        </w:rPr>
        <w:t>for</w:t>
      </w:r>
      <w:r w:rsidR="00D30FD3" w:rsidRPr="00A44A49">
        <w:rPr>
          <w:szCs w:val="22"/>
        </w:rPr>
        <w:t xml:space="preserve"> late 2013.</w:t>
      </w:r>
      <w:r w:rsidR="00A857F3" w:rsidRPr="00A44A49">
        <w:rPr>
          <w:szCs w:val="22"/>
        </w:rPr>
        <w:t xml:space="preserve"> </w:t>
      </w:r>
    </w:p>
    <w:p w14:paraId="45421F73" w14:textId="59287BF3" w:rsidR="005436F2" w:rsidRPr="006D37F5" w:rsidRDefault="005436F2" w:rsidP="00067A68">
      <w:pPr>
        <w:pStyle w:val="Heading3"/>
      </w:pPr>
      <w:r w:rsidRPr="006D37F5">
        <w:t>Sport f</w:t>
      </w:r>
      <w:r>
        <w:t>or</w:t>
      </w:r>
      <w:r w:rsidRPr="006D37F5">
        <w:t xml:space="preserve"> </w:t>
      </w:r>
      <w:r w:rsidR="0069777A">
        <w:t>d</w:t>
      </w:r>
      <w:r w:rsidRPr="006D37F5">
        <w:t>evelopment</w:t>
      </w:r>
    </w:p>
    <w:p w14:paraId="3C98FD9F" w14:textId="655EB84C" w:rsidR="00924923" w:rsidRPr="00A44A49" w:rsidRDefault="00924923" w:rsidP="00067A68">
      <w:pPr>
        <w:pStyle w:val="BodyText"/>
      </w:pPr>
      <w:r w:rsidRPr="00A44A49">
        <w:t xml:space="preserve">The Australian Sports Commission manages a highly successful </w:t>
      </w:r>
      <w:r w:rsidR="00CF229C">
        <w:t>s</w:t>
      </w:r>
      <w:r w:rsidRPr="00A44A49">
        <w:t xml:space="preserve">ports </w:t>
      </w:r>
      <w:r w:rsidR="00CF229C">
        <w:t>o</w:t>
      </w:r>
      <w:r w:rsidRPr="00A44A49">
        <w:t>utreach</w:t>
      </w:r>
      <w:r w:rsidR="000C4F50">
        <w:t xml:space="preserve"> p</w:t>
      </w:r>
      <w:r w:rsidRPr="00A44A49">
        <w:t>rogram for Nauru</w:t>
      </w:r>
      <w:r w:rsidR="00CF229C">
        <w:t xml:space="preserve"> </w:t>
      </w:r>
      <w:r w:rsidRPr="00A44A49">
        <w:t xml:space="preserve">known locally as </w:t>
      </w:r>
      <w:proofErr w:type="spellStart"/>
      <w:r w:rsidRPr="00062561">
        <w:rPr>
          <w:i/>
        </w:rPr>
        <w:t>Epon</w:t>
      </w:r>
      <w:proofErr w:type="spellEnd"/>
      <w:r w:rsidRPr="00062561">
        <w:rPr>
          <w:i/>
        </w:rPr>
        <w:t xml:space="preserve"> </w:t>
      </w:r>
      <w:proofErr w:type="spellStart"/>
      <w:r w:rsidRPr="00062561">
        <w:rPr>
          <w:i/>
        </w:rPr>
        <w:t>Keramen</w:t>
      </w:r>
      <w:proofErr w:type="spellEnd"/>
      <w:r w:rsidR="000139FE" w:rsidRPr="00A44A49">
        <w:t xml:space="preserve"> (EK</w:t>
      </w:r>
      <w:r w:rsidRPr="00A44A49">
        <w:t>)</w:t>
      </w:r>
      <w:r w:rsidR="00CF229C">
        <w:t>. This</w:t>
      </w:r>
      <w:r w:rsidRPr="00A44A49">
        <w:t xml:space="preserve"> is a partnership between the A</w:t>
      </w:r>
      <w:r w:rsidR="00CF229C">
        <w:t xml:space="preserve">ustralian Sports Commission </w:t>
      </w:r>
      <w:r w:rsidRPr="00A44A49">
        <w:t xml:space="preserve">and </w:t>
      </w:r>
      <w:r w:rsidR="000139FE" w:rsidRPr="00A44A49">
        <w:t>the Nauru Ministry for Sport. EK</w:t>
      </w:r>
      <w:r w:rsidRPr="00A44A49">
        <w:t xml:space="preserve"> supports youth volunteer coaches, referees and organisers to conduct sport-based activities for males and females of all ages across Nauru to help increase physical </w:t>
      </w:r>
      <w:proofErr w:type="gramStart"/>
      <w:r w:rsidRPr="00A44A49">
        <w:t>activity,</w:t>
      </w:r>
      <w:proofErr w:type="gramEnd"/>
      <w:r w:rsidRPr="00A44A49">
        <w:t xml:space="preserve"> improve health</w:t>
      </w:r>
      <w:r w:rsidR="00CF229C">
        <w:t>-</w:t>
      </w:r>
      <w:r w:rsidRPr="00A44A49">
        <w:t xml:space="preserve">related behaviours and increase leadership and engagement in community activities. EK also works in partnership with the Nauru Ministry of Health to use sport activities to communicate health messages in association with the Healthy Islands </w:t>
      </w:r>
      <w:proofErr w:type="gramStart"/>
      <w:r w:rsidRPr="00A44A49">
        <w:t>Through</w:t>
      </w:r>
      <w:proofErr w:type="gramEnd"/>
      <w:r w:rsidRPr="00A44A49">
        <w:t xml:space="preserve"> Sport initiative. Preliminary results from</w:t>
      </w:r>
      <w:r w:rsidR="00CF229C">
        <w:t xml:space="preserve"> Australian Sports Commission</w:t>
      </w:r>
      <w:r w:rsidRPr="00A44A49">
        <w:t xml:space="preserve"> research</w:t>
      </w:r>
      <w:r w:rsidR="00CF229C">
        <w:t xml:space="preserve"> (unpublished)</w:t>
      </w:r>
      <w:r w:rsidRPr="00A44A49">
        <w:t xml:space="preserve"> undertaken in Nauru in early 2013</w:t>
      </w:r>
      <w:r w:rsidR="00CF229C">
        <w:rPr>
          <w:vertAlign w:val="superscript"/>
        </w:rPr>
        <w:t xml:space="preserve"> </w:t>
      </w:r>
      <w:r w:rsidRPr="00A44A49">
        <w:t>suggests that EK has had a direct effect on increasing physical activity in Nauruan communities with many participants taking part in two or more sports. It has also had a positive effect on health</w:t>
      </w:r>
      <w:r w:rsidR="00CF229C">
        <w:t>-</w:t>
      </w:r>
      <w:r w:rsidRPr="00A44A49">
        <w:t>related attitudes and behaviours. Increased physical activity has led to participants reducing or quitting smoking and reducing their alcohol consumption. Corresponding health gains were reported in all ages, but particularly in older participants</w:t>
      </w:r>
      <w:r w:rsidR="005C0900">
        <w:t xml:space="preserve">. </w:t>
      </w:r>
      <w:r w:rsidRPr="00A44A49">
        <w:t xml:space="preserve">The research indicates that EK is making an important contribution to raising awareness of the importance of physical activity, and the links between physical activity and </w:t>
      </w:r>
      <w:r w:rsidR="00CF229C">
        <w:t>NCDs</w:t>
      </w:r>
      <w:r w:rsidRPr="00A44A49">
        <w:t xml:space="preserve">. </w:t>
      </w:r>
    </w:p>
    <w:p w14:paraId="74B50505" w14:textId="39405622" w:rsidR="0088488E" w:rsidRPr="00A44A49" w:rsidRDefault="00924923" w:rsidP="00067A68">
      <w:pPr>
        <w:pStyle w:val="BodyText"/>
      </w:pPr>
      <w:r w:rsidRPr="00A44A49">
        <w:t>EK has also made a significant contribution to building social cohesion in Nauru through a strong volunteer base and inter-community social interaction</w:t>
      </w:r>
      <w:r w:rsidR="00581DBB">
        <w:t>,</w:t>
      </w:r>
      <w:r w:rsidRPr="00A44A49">
        <w:t xml:space="preserve"> which has helped foster a broader sense of community and </w:t>
      </w:r>
      <w:r w:rsidR="00A40A08">
        <w:t xml:space="preserve">is helping to </w:t>
      </w:r>
      <w:r w:rsidRPr="00A44A49">
        <w:t>overcome the history of sport-related violence on the island</w:t>
      </w:r>
      <w:r w:rsidR="005C0900">
        <w:t xml:space="preserve">. </w:t>
      </w:r>
    </w:p>
    <w:p w14:paraId="67DE1D22" w14:textId="40145C15" w:rsidR="00924923" w:rsidRPr="00A44A49" w:rsidRDefault="00924923" w:rsidP="00067A68">
      <w:pPr>
        <w:pStyle w:val="BodyText"/>
      </w:pPr>
      <w:r w:rsidRPr="00A44A49">
        <w:t xml:space="preserve">EK was stated to have contributed towards greater inclusion of different age </w:t>
      </w:r>
      <w:proofErr w:type="gramStart"/>
      <w:r w:rsidRPr="00A44A49">
        <w:t>groups,</w:t>
      </w:r>
      <w:proofErr w:type="gramEnd"/>
      <w:r w:rsidRPr="00A44A49">
        <w:t xml:space="preserve"> especially youth men and women, as well as people aged 35 years</w:t>
      </w:r>
      <w:r w:rsidR="00045456">
        <w:t xml:space="preserve"> of age and over</w:t>
      </w:r>
      <w:r w:rsidRPr="00A44A49">
        <w:t xml:space="preserve">. </w:t>
      </w:r>
      <w:r w:rsidR="00A40A08">
        <w:lastRenderedPageBreak/>
        <w:t>Participants</w:t>
      </w:r>
      <w:r w:rsidRPr="00A44A49">
        <w:t xml:space="preserve"> </w:t>
      </w:r>
      <w:r w:rsidR="00A40A08">
        <w:t>reported</w:t>
      </w:r>
      <w:r w:rsidRPr="00A44A49">
        <w:t xml:space="preserve"> that EK gave them greater opportunity to take part in sporting events, resulting in increased self-confidence and community contribution</w:t>
      </w:r>
      <w:r w:rsidR="005C0900">
        <w:t xml:space="preserve">. </w:t>
      </w:r>
    </w:p>
    <w:p w14:paraId="4A73D4AA" w14:textId="1E066ECF" w:rsidR="008F46CA" w:rsidRPr="00A77B78" w:rsidRDefault="00A77B78" w:rsidP="00067A68">
      <w:pPr>
        <w:pStyle w:val="Heading3"/>
      </w:pPr>
      <w:r w:rsidRPr="00A77B78">
        <w:t>Visibility of Australia</w:t>
      </w:r>
      <w:r w:rsidR="0069777A">
        <w:t>’s</w:t>
      </w:r>
      <w:r w:rsidR="000C4F50">
        <w:t xml:space="preserve"> </w:t>
      </w:r>
      <w:r w:rsidR="0069777A">
        <w:t>a</w:t>
      </w:r>
      <w:r w:rsidRPr="00A77B78">
        <w:t xml:space="preserve">id </w:t>
      </w:r>
      <w:r w:rsidR="0069777A">
        <w:t>p</w:t>
      </w:r>
      <w:r w:rsidRPr="00A77B78">
        <w:t>rogram for Nauru</w:t>
      </w:r>
    </w:p>
    <w:p w14:paraId="58B24F21" w14:textId="71D43570" w:rsidR="008F46CA" w:rsidRDefault="00A77B78" w:rsidP="00067A68">
      <w:pPr>
        <w:pStyle w:val="BodyText"/>
      </w:pPr>
      <w:r>
        <w:t>In 2012</w:t>
      </w:r>
      <w:r w:rsidR="0069777A">
        <w:t>–</w:t>
      </w:r>
      <w:r>
        <w:t>13, with the Government of Nauru’s agreement, large</w:t>
      </w:r>
      <w:r w:rsidR="00045456">
        <w:t xml:space="preserve"> Australian aid</w:t>
      </w:r>
      <w:r>
        <w:t xml:space="preserve"> signs </w:t>
      </w:r>
      <w:r w:rsidR="00045456">
        <w:t>were</w:t>
      </w:r>
      <w:r>
        <w:t xml:space="preserve"> erected at facilities in Nauru supported by </w:t>
      </w:r>
      <w:r w:rsidR="00045456">
        <w:t>our</w:t>
      </w:r>
      <w:r>
        <w:t xml:space="preserve"> aid program. This include</w:t>
      </w:r>
      <w:r w:rsidR="00045456">
        <w:t>d</w:t>
      </w:r>
      <w:r>
        <w:t xml:space="preserve"> the Nauru Secondary School, the hospital and</w:t>
      </w:r>
      <w:r w:rsidR="00581DBB">
        <w:t xml:space="preserve"> the</w:t>
      </w:r>
      <w:r>
        <w:t xml:space="preserve"> power station. </w:t>
      </w:r>
      <w:r w:rsidR="00045456">
        <w:t>Visibility of our aid program will be further supported with</w:t>
      </w:r>
      <w:r>
        <w:t xml:space="preserve"> 500 large stickers gradually be</w:t>
      </w:r>
      <w:r w:rsidR="00045456">
        <w:t>ing</w:t>
      </w:r>
      <w:r>
        <w:t xml:space="preserve"> fixed to Australian</w:t>
      </w:r>
      <w:r w:rsidR="001C7AB1">
        <w:t>-</w:t>
      </w:r>
      <w:r>
        <w:t xml:space="preserve">funded water tanks and other structures around the island </w:t>
      </w:r>
      <w:r w:rsidR="00045456">
        <w:t xml:space="preserve">in </w:t>
      </w:r>
      <w:r>
        <w:t xml:space="preserve">2013. </w:t>
      </w:r>
    </w:p>
    <w:p w14:paraId="3B3F4DEA" w14:textId="0FE00AA8" w:rsidR="00A77B78" w:rsidRDefault="00A77B78" w:rsidP="00067A68">
      <w:pPr>
        <w:pStyle w:val="BodyText"/>
      </w:pPr>
      <w:r>
        <w:t>In May</w:t>
      </w:r>
      <w:r w:rsidR="00DC2D92">
        <w:t>–</w:t>
      </w:r>
      <w:r w:rsidR="00586679">
        <w:t>June</w:t>
      </w:r>
      <w:r>
        <w:t xml:space="preserve"> 2</w:t>
      </w:r>
      <w:r w:rsidR="0088488E">
        <w:t>013, a communications strategy w</w:t>
      </w:r>
      <w:r>
        <w:t xml:space="preserve">as developed </w:t>
      </w:r>
      <w:r w:rsidR="00A40A08">
        <w:t>to help better inform</w:t>
      </w:r>
      <w:r>
        <w:t xml:space="preserve"> Nauruan stakeholders, development partners and the Australian audience</w:t>
      </w:r>
      <w:r w:rsidR="00A40A08">
        <w:t xml:space="preserve"> about what we do for Nauru and why we do it</w:t>
      </w:r>
      <w:r>
        <w:t xml:space="preserve">. The strategy </w:t>
      </w:r>
      <w:r w:rsidR="00045456">
        <w:t xml:space="preserve">recommends </w:t>
      </w:r>
      <w:r>
        <w:t xml:space="preserve">opportunities to promote </w:t>
      </w:r>
      <w:r w:rsidR="0088488E">
        <w:t xml:space="preserve">the contributions of </w:t>
      </w:r>
      <w:r w:rsidR="00045456">
        <w:t xml:space="preserve">our </w:t>
      </w:r>
      <w:r>
        <w:t>aid program</w:t>
      </w:r>
      <w:r w:rsidR="00586679">
        <w:t xml:space="preserve"> and deliver on commitments</w:t>
      </w:r>
      <w:r>
        <w:t>.</w:t>
      </w:r>
    </w:p>
    <w:p w14:paraId="7601EE32" w14:textId="32DF5834" w:rsidR="00180B19" w:rsidRPr="00067A68" w:rsidRDefault="00180B19" w:rsidP="00067A68">
      <w:pPr>
        <w:pStyle w:val="Heading1"/>
      </w:pPr>
      <w:r w:rsidRPr="00067A68">
        <w:t xml:space="preserve">Quality at </w:t>
      </w:r>
      <w:r w:rsidR="00DC2D92" w:rsidRPr="00067A68">
        <w:t>i</w:t>
      </w:r>
      <w:r w:rsidRPr="00067A68">
        <w:t>mplementation ratings</w:t>
      </w:r>
    </w:p>
    <w:p w14:paraId="32225F26" w14:textId="7512ECD1" w:rsidR="00E2306D" w:rsidRDefault="0011405E" w:rsidP="00067A68">
      <w:pPr>
        <w:pStyle w:val="BodyText"/>
      </w:pPr>
      <w:r>
        <w:t xml:space="preserve">A table listing all QAI ratings for the Nauru program for 2011 and 2012 </w:t>
      </w:r>
      <w:r w:rsidR="00045456">
        <w:t>is</w:t>
      </w:r>
      <w:r>
        <w:t xml:space="preserve"> at Annex B. Overall the trend in QAI ratings for 2012</w:t>
      </w:r>
      <w:r w:rsidR="00045456">
        <w:t xml:space="preserve"> was </w:t>
      </w:r>
      <w:r>
        <w:t>similar to 2011 ratings</w:t>
      </w:r>
      <w:r w:rsidR="005C0900">
        <w:t xml:space="preserve">. </w:t>
      </w:r>
      <w:r>
        <w:t>The relevance rating for all five major initiatives remain</w:t>
      </w:r>
      <w:r w:rsidR="00045456">
        <w:t>ed</w:t>
      </w:r>
      <w:r>
        <w:t xml:space="preserve"> high but ratings for monitoring and evaluation remain</w:t>
      </w:r>
      <w:r w:rsidR="00045456">
        <w:t>ed</w:t>
      </w:r>
      <w:r>
        <w:t xml:space="preserve"> only adequate for most initiatives. </w:t>
      </w:r>
    </w:p>
    <w:p w14:paraId="7601EE34" w14:textId="7213F3C0" w:rsidR="00180B19" w:rsidRDefault="00C926B1" w:rsidP="00067A68">
      <w:pPr>
        <w:pStyle w:val="BodyText"/>
      </w:pPr>
      <w:r>
        <w:t xml:space="preserve">Ratings for effectiveness and efficiency remain steady at ‘good’ for most initiatives, although </w:t>
      </w:r>
      <w:r w:rsidR="00045456">
        <w:t>they fell</w:t>
      </w:r>
      <w:r>
        <w:t xml:space="preserve"> slightly for the </w:t>
      </w:r>
      <w:r w:rsidR="00DC2D92">
        <w:t>p</w:t>
      </w:r>
      <w:r>
        <w:t xml:space="preserve">ublic </w:t>
      </w:r>
      <w:r w:rsidR="00DC2D92">
        <w:t>s</w:t>
      </w:r>
      <w:r>
        <w:t xml:space="preserve">ector </w:t>
      </w:r>
      <w:r w:rsidR="00DC2D92">
        <w:t>m</w:t>
      </w:r>
      <w:r>
        <w:t>anagement program. This reflect</w:t>
      </w:r>
      <w:r w:rsidR="00045456">
        <w:t>ed</w:t>
      </w:r>
      <w:r>
        <w:t xml:space="preserve"> delays encountered </w:t>
      </w:r>
      <w:r w:rsidR="00045456">
        <w:t>in</w:t>
      </w:r>
      <w:r>
        <w:t xml:space="preserve"> introduc</w:t>
      </w:r>
      <w:r w:rsidR="00045456">
        <w:t>ing</w:t>
      </w:r>
      <w:r>
        <w:t xml:space="preserve"> the Financial Management Information System.</w:t>
      </w:r>
      <w:r w:rsidR="00E2306D">
        <w:t xml:space="preserve"> Additional technical assistance </w:t>
      </w:r>
      <w:r w:rsidR="00045456">
        <w:t>w</w:t>
      </w:r>
      <w:r w:rsidR="00E2306D">
        <w:t xml:space="preserve">as mobilised in early 2013 to rectify the difficulties encountered in rolling the system out to line agencies. </w:t>
      </w:r>
      <w:r w:rsidR="0011405E">
        <w:t>Ratings for gender equity</w:t>
      </w:r>
      <w:r>
        <w:t xml:space="preserve"> f</w:t>
      </w:r>
      <w:r w:rsidR="00045456">
        <w:t>e</w:t>
      </w:r>
      <w:r>
        <w:t>ll marginally in all sectors except for education</w:t>
      </w:r>
      <w:r w:rsidR="00E2306D">
        <w:t>. This r</w:t>
      </w:r>
      <w:r>
        <w:t>eflect</w:t>
      </w:r>
      <w:r w:rsidR="00045456">
        <w:t>ed</w:t>
      </w:r>
      <w:r>
        <w:t xml:space="preserve"> the </w:t>
      </w:r>
      <w:r w:rsidR="00045456">
        <w:t>absence of a</w:t>
      </w:r>
      <w:r>
        <w:t xml:space="preserve"> gender analysis or </w:t>
      </w:r>
      <w:r w:rsidR="00045456">
        <w:t xml:space="preserve">gender </w:t>
      </w:r>
      <w:r>
        <w:t xml:space="preserve">strategy. This will be rectified </w:t>
      </w:r>
      <w:r w:rsidR="00045456">
        <w:t xml:space="preserve">in </w:t>
      </w:r>
      <w:r>
        <w:t xml:space="preserve">2013 as </w:t>
      </w:r>
      <w:r w:rsidR="00E2306D" w:rsidRPr="00045456">
        <w:t xml:space="preserve">the </w:t>
      </w:r>
      <w:r w:rsidRPr="00062561">
        <w:t xml:space="preserve">Pacific Women Shaping </w:t>
      </w:r>
      <w:r w:rsidR="00E2306D" w:rsidRPr="00062561">
        <w:t>P</w:t>
      </w:r>
      <w:r w:rsidRPr="00062561">
        <w:t xml:space="preserve">acific </w:t>
      </w:r>
      <w:r w:rsidR="00C87B68" w:rsidRPr="00062561">
        <w:t>Development</w:t>
      </w:r>
      <w:r w:rsidRPr="00045456">
        <w:t xml:space="preserve"> </w:t>
      </w:r>
      <w:r w:rsidR="00C86B66">
        <w:t>I</w:t>
      </w:r>
      <w:r w:rsidRPr="00045456">
        <w:t>nitiat</w:t>
      </w:r>
      <w:r>
        <w:t>ive</w:t>
      </w:r>
      <w:r w:rsidR="00E2306D">
        <w:t xml:space="preserve"> is rolled out </w:t>
      </w:r>
      <w:r w:rsidR="00045456">
        <w:t xml:space="preserve">in </w:t>
      </w:r>
      <w:r w:rsidR="00E2306D">
        <w:t>Nauru</w:t>
      </w:r>
      <w:r w:rsidR="00A44A49">
        <w:t>.</w:t>
      </w:r>
      <w:r w:rsidR="00741B7E">
        <w:t xml:space="preserve"> </w:t>
      </w:r>
      <w:r w:rsidR="00484276">
        <w:t xml:space="preserve">While the gender rating </w:t>
      </w:r>
      <w:r w:rsidR="00741B7E">
        <w:t>for</w:t>
      </w:r>
      <w:r w:rsidR="00484276">
        <w:t xml:space="preserve"> the infrastructure </w:t>
      </w:r>
      <w:r w:rsidR="00741B7E">
        <w:t xml:space="preserve">initiative </w:t>
      </w:r>
      <w:r w:rsidR="00484276">
        <w:t xml:space="preserve">is listed as </w:t>
      </w:r>
      <w:r w:rsidR="00484276" w:rsidRPr="00045456">
        <w:t>‘</w:t>
      </w:r>
      <w:r w:rsidR="00484276" w:rsidRPr="00062561">
        <w:t>poor quality requiring major work to improve</w:t>
      </w:r>
      <w:r w:rsidR="00484276" w:rsidRPr="00045456">
        <w:t>’, th</w:t>
      </w:r>
      <w:r w:rsidR="00484276">
        <w:t>is rating reflect</w:t>
      </w:r>
      <w:r w:rsidR="00045456">
        <w:t>ed</w:t>
      </w:r>
      <w:r w:rsidR="00484276">
        <w:t xml:space="preserve"> that little gender specific work </w:t>
      </w:r>
      <w:r w:rsidR="00045456">
        <w:t>w</w:t>
      </w:r>
      <w:r w:rsidR="00484276">
        <w:t>as been undertaken in th</w:t>
      </w:r>
      <w:r w:rsidR="00045456">
        <w:t>e</w:t>
      </w:r>
      <w:r w:rsidR="00484276">
        <w:t xml:space="preserve"> sector, rather than poor quality work undertaken. The rating also fail</w:t>
      </w:r>
      <w:r w:rsidR="00045456">
        <w:t>ed</w:t>
      </w:r>
      <w:r w:rsidR="00484276">
        <w:t xml:space="preserve"> to take adequate account of the significant benefits </w:t>
      </w:r>
      <w:r w:rsidR="00045456">
        <w:t xml:space="preserve">that </w:t>
      </w:r>
      <w:r w:rsidR="00484276">
        <w:t>woman accrue from improved access to more reliable and cleaner water supplies and more reliable energy sources.</w:t>
      </w:r>
    </w:p>
    <w:p w14:paraId="21F9BA2C" w14:textId="4F30428D" w:rsidR="00EF23CF" w:rsidRDefault="00EF23CF" w:rsidP="00067A68">
      <w:pPr>
        <w:pStyle w:val="BodyText"/>
      </w:pPr>
      <w:r>
        <w:t>Sustainability ratings remain</w:t>
      </w:r>
      <w:r w:rsidR="00045456">
        <w:t>ed</w:t>
      </w:r>
      <w:r>
        <w:t xml:space="preserve"> steady at ‘adequate’, although the Australia Awards Pacific Scholarships program </w:t>
      </w:r>
      <w:r w:rsidR="00045456">
        <w:t>was</w:t>
      </w:r>
      <w:r>
        <w:t xml:space="preserve"> rated at ‘</w:t>
      </w:r>
      <w:r w:rsidR="00045456">
        <w:t>h</w:t>
      </w:r>
      <w:r>
        <w:t xml:space="preserve">igh’ given </w:t>
      </w:r>
      <w:r w:rsidR="00045456">
        <w:t>its success in</w:t>
      </w:r>
      <w:r w:rsidR="00D5164A">
        <w:t xml:space="preserve"> </w:t>
      </w:r>
      <w:r>
        <w:t>deliver</w:t>
      </w:r>
      <w:r w:rsidR="00D5164A">
        <w:t>ing</w:t>
      </w:r>
      <w:r>
        <w:t xml:space="preserve"> skilled and qualified </w:t>
      </w:r>
      <w:proofErr w:type="spellStart"/>
      <w:r>
        <w:t>Nauruans</w:t>
      </w:r>
      <w:proofErr w:type="spellEnd"/>
      <w:r>
        <w:t xml:space="preserve"> to help build the nation’s future.</w:t>
      </w:r>
    </w:p>
    <w:p w14:paraId="0E48909B" w14:textId="77777777" w:rsidR="001D6C8B" w:rsidRDefault="001D6C8B">
      <w:pPr>
        <w:spacing w:after="200" w:line="276" w:lineRule="auto"/>
        <w:rPr>
          <w:rFonts w:ascii="Franklin Gothic Demi" w:eastAsia="Times New Roman" w:hAnsi="Franklin Gothic Demi" w:cs="Arial"/>
          <w:color w:val="AD495D"/>
          <w:kern w:val="28"/>
          <w:sz w:val="28"/>
          <w:szCs w:val="28"/>
        </w:rPr>
      </w:pPr>
      <w:r>
        <w:br w:type="page"/>
      </w:r>
    </w:p>
    <w:p w14:paraId="7601EE35" w14:textId="647597AC" w:rsidR="00180B19" w:rsidRPr="00180B19" w:rsidRDefault="00180B19" w:rsidP="00021A9E">
      <w:pPr>
        <w:pStyle w:val="Heading1"/>
      </w:pPr>
      <w:r w:rsidRPr="00180B19">
        <w:lastRenderedPageBreak/>
        <w:t xml:space="preserve">Management </w:t>
      </w:r>
      <w:r w:rsidR="00DC2D92">
        <w:t>c</w:t>
      </w:r>
      <w:r w:rsidRPr="00180B19">
        <w:t>onsequences</w:t>
      </w:r>
    </w:p>
    <w:p w14:paraId="3900D9C9" w14:textId="21059A1D" w:rsidR="00D811B5" w:rsidRDefault="006A2C68" w:rsidP="00067A68">
      <w:pPr>
        <w:pStyle w:val="BodyText"/>
      </w:pPr>
      <w:r>
        <w:t xml:space="preserve">DFAT </w:t>
      </w:r>
      <w:r w:rsidR="00063650">
        <w:t>will</w:t>
      </w:r>
      <w:r w:rsidR="00D811B5">
        <w:t>:</w:t>
      </w:r>
    </w:p>
    <w:p w14:paraId="7CCEEE71" w14:textId="6E244A80" w:rsidR="00063650" w:rsidRPr="00B11701" w:rsidRDefault="00581DBB" w:rsidP="00067A68">
      <w:pPr>
        <w:pStyle w:val="ListBullet"/>
      </w:pPr>
      <w:r>
        <w:t>E</w:t>
      </w:r>
      <w:r w:rsidR="00063650" w:rsidRPr="00B11701">
        <w:t xml:space="preserve">ngage closely with </w:t>
      </w:r>
      <w:r w:rsidR="00045456" w:rsidRPr="00B11701">
        <w:t>t</w:t>
      </w:r>
      <w:r w:rsidR="00066642" w:rsidRPr="00B11701">
        <w:t>he Government of Nauru</w:t>
      </w:r>
      <w:r w:rsidR="00063650" w:rsidRPr="00B11701">
        <w:t xml:space="preserve">, ADB and PFTAC on policy and planning relating to management and effective use of Nauru’s expanding revenue base (potentially through a </w:t>
      </w:r>
      <w:r w:rsidR="002A32DD" w:rsidRPr="00B11701">
        <w:t>j</w:t>
      </w:r>
      <w:r w:rsidR="00063650" w:rsidRPr="00B11701">
        <w:t xml:space="preserve">oint </w:t>
      </w:r>
      <w:r w:rsidR="002A32DD" w:rsidRPr="00B11701">
        <w:t>p</w:t>
      </w:r>
      <w:r w:rsidR="00063650" w:rsidRPr="00B11701">
        <w:t xml:space="preserve">olicy </w:t>
      </w:r>
      <w:r w:rsidR="002A32DD" w:rsidRPr="00B11701">
        <w:t>r</w:t>
      </w:r>
      <w:r w:rsidR="00063650" w:rsidRPr="00B11701">
        <w:t>eform program</w:t>
      </w:r>
      <w:r w:rsidR="00B622CE" w:rsidRPr="00B11701">
        <w:t xml:space="preserve"> and budget analysis</w:t>
      </w:r>
      <w:r w:rsidR="00063650" w:rsidRPr="00B11701">
        <w:t>) to ensure expenditure focuse</w:t>
      </w:r>
      <w:r w:rsidR="00045456" w:rsidRPr="00B11701">
        <w:t>s</w:t>
      </w:r>
      <w:r w:rsidR="00063650" w:rsidRPr="00B11701">
        <w:t xml:space="preserve"> on </w:t>
      </w:r>
      <w:r w:rsidR="00045456" w:rsidRPr="00B11701">
        <w:t xml:space="preserve">making </w:t>
      </w:r>
      <w:r w:rsidR="00063650" w:rsidRPr="00B11701">
        <w:t>strategic investments, improving critical infrastructure, reducing debt and saving for the future</w:t>
      </w:r>
      <w:r w:rsidR="002A32DD" w:rsidRPr="00B11701">
        <w:t>. Donors need to encourage the new government</w:t>
      </w:r>
      <w:r w:rsidR="00063650" w:rsidRPr="00B11701">
        <w:t xml:space="preserve"> </w:t>
      </w:r>
      <w:r w:rsidR="002A32DD" w:rsidRPr="00B11701">
        <w:t xml:space="preserve">to maintain momentum on reform despite </w:t>
      </w:r>
      <w:r w:rsidR="00045456" w:rsidRPr="00B11701">
        <w:t>its</w:t>
      </w:r>
      <w:r w:rsidR="002A32DD" w:rsidRPr="00B11701">
        <w:t xml:space="preserve"> improved fiscal position. </w:t>
      </w:r>
      <w:r w:rsidR="008C6196">
        <w:t>The department</w:t>
      </w:r>
      <w:r w:rsidR="0029419A">
        <w:t xml:space="preserve"> </w:t>
      </w:r>
      <w:r w:rsidR="002A32DD" w:rsidRPr="00B11701">
        <w:t xml:space="preserve">should </w:t>
      </w:r>
      <w:r w:rsidR="00045456" w:rsidRPr="00B11701">
        <w:t xml:space="preserve">start </w:t>
      </w:r>
      <w:r w:rsidR="002A32DD" w:rsidRPr="00B11701">
        <w:t xml:space="preserve">discussions with </w:t>
      </w:r>
      <w:r w:rsidR="00045456" w:rsidRPr="00B11701">
        <w:t xml:space="preserve">the </w:t>
      </w:r>
      <w:r w:rsidR="002A32DD" w:rsidRPr="00B11701">
        <w:t xml:space="preserve">ADB, New Zealand and PFTAC on how to support the development of a coherent set of economic reforms led by </w:t>
      </w:r>
      <w:r w:rsidR="00045456" w:rsidRPr="00B11701">
        <w:t>t</w:t>
      </w:r>
      <w:r w:rsidR="00066642" w:rsidRPr="00B11701">
        <w:t>he Government of Nauru</w:t>
      </w:r>
      <w:r w:rsidR="002A32DD" w:rsidRPr="00B11701">
        <w:t xml:space="preserve"> against which</w:t>
      </w:r>
      <w:r w:rsidR="00F44916" w:rsidRPr="00B11701">
        <w:t xml:space="preserve"> to link performance funding.</w:t>
      </w:r>
    </w:p>
    <w:p w14:paraId="299E54B2" w14:textId="41E2F17E" w:rsidR="00063650" w:rsidRDefault="00581DBB" w:rsidP="00067A68">
      <w:pPr>
        <w:pStyle w:val="ListBullet"/>
      </w:pPr>
      <w:r w:rsidRPr="007156F5">
        <w:t xml:space="preserve">Engage </w:t>
      </w:r>
      <w:r w:rsidR="00D811B5" w:rsidRPr="00B11701">
        <w:t>closely with</w:t>
      </w:r>
      <w:r w:rsidR="00063650" w:rsidRPr="00B11701">
        <w:t xml:space="preserve"> the ADB</w:t>
      </w:r>
      <w:r w:rsidR="008775F9" w:rsidRPr="00B11701">
        <w:t>, PFTAC</w:t>
      </w:r>
      <w:r w:rsidR="00063650" w:rsidRPr="00B11701">
        <w:t xml:space="preserve"> and other donors will be required to ensure ongoing participation</w:t>
      </w:r>
      <w:r w:rsidR="00063650">
        <w:t xml:space="preserve"> in the PMAG process, including through annual economic review missions. PFTAC’s role</w:t>
      </w:r>
      <w:r w:rsidR="008775F9">
        <w:t xml:space="preserve"> </w:t>
      </w:r>
      <w:r w:rsidR="00063650">
        <w:t xml:space="preserve">will </w:t>
      </w:r>
      <w:r w:rsidR="008775F9">
        <w:t>help</w:t>
      </w:r>
      <w:r w:rsidR="00063650">
        <w:t xml:space="preserve"> establish the groundwork for Nauru to become a member of the International Monetary Fund.</w:t>
      </w:r>
    </w:p>
    <w:p w14:paraId="04693E05" w14:textId="3A5739B4" w:rsidR="009B48D3" w:rsidRDefault="00581DBB" w:rsidP="00067A68">
      <w:pPr>
        <w:pStyle w:val="ListBullet"/>
      </w:pPr>
      <w:r>
        <w:t>D</w:t>
      </w:r>
      <w:r w:rsidR="009B48D3">
        <w:t xml:space="preserve">evelop </w:t>
      </w:r>
      <w:r w:rsidR="00A44A49">
        <w:t xml:space="preserve">a performance assessment framework including </w:t>
      </w:r>
      <w:r w:rsidR="009B48D3">
        <w:t xml:space="preserve">clear indicators for all </w:t>
      </w:r>
      <w:r w:rsidR="00DC2D92">
        <w:t>p</w:t>
      </w:r>
      <w:r w:rsidR="009B48D3">
        <w:t>artnership initiatives</w:t>
      </w:r>
      <w:r>
        <w:t>,</w:t>
      </w:r>
      <w:r w:rsidR="00D811B5">
        <w:t xml:space="preserve"> drawing on support from the PMAG</w:t>
      </w:r>
      <w:r w:rsidR="00A44A49">
        <w:t>.</w:t>
      </w:r>
    </w:p>
    <w:p w14:paraId="661F5C12" w14:textId="367F2A24" w:rsidR="00781AB2" w:rsidRDefault="0001741B" w:rsidP="00067A68">
      <w:pPr>
        <w:pStyle w:val="ListBullet"/>
      </w:pPr>
      <w:r>
        <w:t xml:space="preserve">Establish </w:t>
      </w:r>
      <w:r w:rsidR="008775F9">
        <w:t>r</w:t>
      </w:r>
      <w:r w:rsidR="00781AB2">
        <w:t xml:space="preserve">eference </w:t>
      </w:r>
      <w:r w:rsidR="008775F9">
        <w:t>g</w:t>
      </w:r>
      <w:r w:rsidR="00781AB2">
        <w:t>roup</w:t>
      </w:r>
      <w:r>
        <w:t>s for the health</w:t>
      </w:r>
      <w:r w:rsidR="008E4AED">
        <w:t>,</w:t>
      </w:r>
      <w:r>
        <w:t xml:space="preserve"> education </w:t>
      </w:r>
      <w:r w:rsidR="008E4AED">
        <w:t xml:space="preserve">and infrastructure </w:t>
      </w:r>
      <w:r>
        <w:t>sectors involving</w:t>
      </w:r>
      <w:r w:rsidR="00781AB2">
        <w:t xml:space="preserve"> </w:t>
      </w:r>
      <w:r w:rsidR="00D00BD3">
        <w:t xml:space="preserve">DFAT </w:t>
      </w:r>
      <w:r w:rsidR="00781AB2">
        <w:t>specialists</w:t>
      </w:r>
      <w:r w:rsidR="005A582F">
        <w:t xml:space="preserve"> and Nauru program personnel</w:t>
      </w:r>
      <w:r w:rsidR="00581DBB">
        <w:t xml:space="preserve"> as well as</w:t>
      </w:r>
      <w:r w:rsidR="00781AB2">
        <w:t xml:space="preserve"> representatives of Nauru’s </w:t>
      </w:r>
      <w:r w:rsidR="008775F9">
        <w:t>d</w:t>
      </w:r>
      <w:r w:rsidR="00781AB2">
        <w:t>epartment</w:t>
      </w:r>
      <w:r>
        <w:t>s</w:t>
      </w:r>
      <w:r w:rsidR="00781AB2">
        <w:t xml:space="preserve"> of </w:t>
      </w:r>
      <w:r w:rsidR="008775F9">
        <w:t>h</w:t>
      </w:r>
      <w:r>
        <w:t xml:space="preserve">ealth and </w:t>
      </w:r>
      <w:r w:rsidR="008775F9">
        <w:t>e</w:t>
      </w:r>
      <w:r w:rsidR="00781AB2">
        <w:t>ducation</w:t>
      </w:r>
      <w:r w:rsidR="008E4AED">
        <w:t xml:space="preserve"> and </w:t>
      </w:r>
      <w:r w:rsidR="006B43EB">
        <w:t xml:space="preserve">the Nauru </w:t>
      </w:r>
      <w:r w:rsidR="008E4AED">
        <w:t xml:space="preserve">Utilities </w:t>
      </w:r>
      <w:r w:rsidR="006236F7">
        <w:t>C</w:t>
      </w:r>
      <w:r w:rsidR="008E4AED">
        <w:t>orporation</w:t>
      </w:r>
      <w:r w:rsidR="00781AB2">
        <w:t xml:space="preserve">. New Zealand will be </w:t>
      </w:r>
      <w:r w:rsidR="008775F9">
        <w:t>invited</w:t>
      </w:r>
      <w:r w:rsidR="00781AB2">
        <w:t xml:space="preserve"> to participate</w:t>
      </w:r>
      <w:r>
        <w:t xml:space="preserve"> in the education reference group</w:t>
      </w:r>
      <w:r w:rsidR="00B5238A">
        <w:t xml:space="preserve"> given </w:t>
      </w:r>
      <w:r w:rsidR="008775F9">
        <w:t xml:space="preserve">its </w:t>
      </w:r>
      <w:r w:rsidR="00B5238A">
        <w:t>close cooperation in this sector</w:t>
      </w:r>
      <w:r w:rsidR="005C0900">
        <w:t xml:space="preserve">. </w:t>
      </w:r>
      <w:r>
        <w:t>The reference group will provide a forum for policy dialogue</w:t>
      </w:r>
      <w:r w:rsidR="003E5D92">
        <w:t xml:space="preserve"> </w:t>
      </w:r>
      <w:r w:rsidR="00B5238A">
        <w:t>at sector level</w:t>
      </w:r>
      <w:r w:rsidR="008775F9">
        <w:t>. Its work will be</w:t>
      </w:r>
      <w:r w:rsidR="00B5238A">
        <w:t xml:space="preserve"> supported by PMAG reviews</w:t>
      </w:r>
      <w:r>
        <w:t>, performance assessment</w:t>
      </w:r>
      <w:r w:rsidR="008775F9">
        <w:t>s and</w:t>
      </w:r>
      <w:r>
        <w:t xml:space="preserve"> data </w:t>
      </w:r>
      <w:r w:rsidR="008E4AED">
        <w:t>collection</w:t>
      </w:r>
      <w:r>
        <w:t>.</w:t>
      </w:r>
    </w:p>
    <w:p w14:paraId="5C1C08B6" w14:textId="3E8E56EA" w:rsidR="00781AB2" w:rsidRDefault="00781AB2" w:rsidP="00067A68">
      <w:pPr>
        <w:pStyle w:val="ListBullet"/>
      </w:pPr>
      <w:r>
        <w:t>Undertake a review of assistance to the education sector including an Australia Awards tracer study and establish</w:t>
      </w:r>
      <w:r w:rsidR="00A44A49">
        <w:t xml:space="preserve">ment of an </w:t>
      </w:r>
      <w:r w:rsidR="008775F9">
        <w:t>a</w:t>
      </w:r>
      <w:r>
        <w:t>lumni framework for Australia Awards graduates.</w:t>
      </w:r>
      <w:r w:rsidR="008E4AED">
        <w:t xml:space="preserve"> The review will inform early planning for Phase II of the </w:t>
      </w:r>
      <w:r w:rsidR="00B90C9A">
        <w:t>p</w:t>
      </w:r>
      <w:r w:rsidR="008E4AED">
        <w:t>artnership.</w:t>
      </w:r>
    </w:p>
    <w:p w14:paraId="7A5A8BDC" w14:textId="6417F6F9" w:rsidR="00781AB2" w:rsidRDefault="00781AB2" w:rsidP="00067A68">
      <w:pPr>
        <w:pStyle w:val="ListBullet"/>
      </w:pPr>
      <w:r>
        <w:t xml:space="preserve">Agree </w:t>
      </w:r>
      <w:r w:rsidR="00DC2D92">
        <w:t xml:space="preserve">on </w:t>
      </w:r>
      <w:r>
        <w:t xml:space="preserve">a timeline </w:t>
      </w:r>
      <w:r w:rsidR="008775F9">
        <w:t>for t</w:t>
      </w:r>
      <w:r w:rsidR="00066642">
        <w:t>he Government of Nauru</w:t>
      </w:r>
      <w:r>
        <w:t xml:space="preserve"> and ADB for shifting </w:t>
      </w:r>
      <w:r w:rsidR="008775F9">
        <w:t xml:space="preserve">our </w:t>
      </w:r>
      <w:r>
        <w:t xml:space="preserve">funding emphasis </w:t>
      </w:r>
      <w:r w:rsidR="00D5164A">
        <w:t xml:space="preserve">in the infrastructure sector </w:t>
      </w:r>
      <w:r>
        <w:t xml:space="preserve">from operational expenses to institutional reform of the </w:t>
      </w:r>
      <w:r w:rsidR="00984793">
        <w:t>Nauru Utilities Corporation</w:t>
      </w:r>
      <w:r>
        <w:t>, as well as other strategic infrastructure investments.</w:t>
      </w:r>
    </w:p>
    <w:p w14:paraId="476E6CA5" w14:textId="71C850D7" w:rsidR="00770BC5" w:rsidRDefault="00581DBB" w:rsidP="00067A68">
      <w:pPr>
        <w:pStyle w:val="ListBullet"/>
      </w:pPr>
      <w:r>
        <w:t>U</w:t>
      </w:r>
      <w:r w:rsidR="00770BC5">
        <w:t>ndertake a gender analysis, develop a gender strategy and establish mechanisms for gathering statistics on gender issues, including gender disaggregated data for all sectors</w:t>
      </w:r>
      <w:r w:rsidR="005A582F">
        <w:t xml:space="preserve"> </w:t>
      </w:r>
      <w:r>
        <w:t xml:space="preserve">and </w:t>
      </w:r>
      <w:r w:rsidR="005A582F">
        <w:t xml:space="preserve">drawing on support from the </w:t>
      </w:r>
      <w:r w:rsidR="005A582F" w:rsidRPr="00F22F87">
        <w:t>Pacific Women Shaping Pacific Development</w:t>
      </w:r>
      <w:r w:rsidR="005A582F">
        <w:t xml:space="preserve"> </w:t>
      </w:r>
      <w:r w:rsidR="00C86B66">
        <w:t>I</w:t>
      </w:r>
      <w:r w:rsidR="005A582F">
        <w:t>nitiative</w:t>
      </w:r>
      <w:r w:rsidR="00770BC5">
        <w:t>.</w:t>
      </w:r>
    </w:p>
    <w:p w14:paraId="536D51E1" w14:textId="6BDB9E27" w:rsidR="00F31551" w:rsidRDefault="00A44A49" w:rsidP="00067A68">
      <w:pPr>
        <w:pStyle w:val="ListBullet"/>
      </w:pPr>
      <w:r>
        <w:t>U</w:t>
      </w:r>
      <w:r w:rsidR="00F31551">
        <w:t>ndertak</w:t>
      </w:r>
      <w:r>
        <w:t>e</w:t>
      </w:r>
      <w:r w:rsidR="00F31551">
        <w:t xml:space="preserve"> a private sector development needs assessment </w:t>
      </w:r>
      <w:r w:rsidR="00E941BA">
        <w:t xml:space="preserve">through </w:t>
      </w:r>
      <w:r w:rsidR="00F31551">
        <w:t xml:space="preserve">the ADB’s Private Sector Development Initiative. </w:t>
      </w:r>
    </w:p>
    <w:p w14:paraId="7601EE38" w14:textId="478072C2" w:rsidR="00180B19" w:rsidRDefault="00772B36" w:rsidP="00067A68">
      <w:pPr>
        <w:pStyle w:val="ListBullet"/>
      </w:pPr>
      <w:r>
        <w:t xml:space="preserve">Discuss future funding options for the phosphate mining and land rehabilitation programs with the Nauru Rehabilitation Corporation and the </w:t>
      </w:r>
      <w:r w:rsidR="00066642">
        <w:t>Government of Nauru</w:t>
      </w:r>
      <w:r>
        <w:t xml:space="preserve"> to ensure ongoing viability of these initiatives beyond the </w:t>
      </w:r>
      <w:r w:rsidR="00E86071">
        <w:t xml:space="preserve">timeframe associated with </w:t>
      </w:r>
      <w:r w:rsidR="000C4F50">
        <w:t>NACOS</w:t>
      </w:r>
      <w:r w:rsidR="0095790B">
        <w:t>.</w:t>
      </w:r>
      <w:r w:rsidR="00A857F3">
        <w:t xml:space="preserve"> This could potentially </w:t>
      </w:r>
      <w:r w:rsidR="00183951">
        <w:t>involve</w:t>
      </w:r>
      <w:r w:rsidR="00A857F3">
        <w:t xml:space="preserve"> support from </w:t>
      </w:r>
      <w:r w:rsidR="007342D3">
        <w:t xml:space="preserve">DFAT’s </w:t>
      </w:r>
      <w:r w:rsidR="00A857F3">
        <w:t>Mining for Development initiative.</w:t>
      </w:r>
    </w:p>
    <w:p w14:paraId="6C1D9DD3" w14:textId="25BF4CF4" w:rsidR="00183951" w:rsidRDefault="005A582F" w:rsidP="00067A68">
      <w:pPr>
        <w:pStyle w:val="ListBullet"/>
      </w:pPr>
      <w:r>
        <w:t>I</w:t>
      </w:r>
      <w:r w:rsidR="00183951">
        <w:t xml:space="preserve">ncrease </w:t>
      </w:r>
      <w:r w:rsidR="0023659C">
        <w:t xml:space="preserve">the department’s </w:t>
      </w:r>
      <w:r w:rsidR="00183951">
        <w:t>resourcing at Post</w:t>
      </w:r>
      <w:r w:rsidRPr="005A582F">
        <w:t xml:space="preserve"> </w:t>
      </w:r>
      <w:r>
        <w:t>to satisfactorily manage and monitor the wide range of priorities under the Partnership for Development impacting on almost all sectors in Nauru</w:t>
      </w:r>
      <w:r w:rsidR="00183951">
        <w:t>. The current approach of relying on a single Aus</w:t>
      </w:r>
      <w:r w:rsidR="001272C7">
        <w:t xml:space="preserve">tralian </w:t>
      </w:r>
      <w:r w:rsidR="00183951">
        <w:t xml:space="preserve">officer and </w:t>
      </w:r>
      <w:r w:rsidR="00984793">
        <w:t>three</w:t>
      </w:r>
      <w:r w:rsidR="00183951">
        <w:t xml:space="preserve"> locally engaged staff </w:t>
      </w:r>
      <w:r w:rsidR="001272C7">
        <w:t xml:space="preserve">limits opportunities for </w:t>
      </w:r>
      <w:r w:rsidR="005E03F6">
        <w:t>dialogue</w:t>
      </w:r>
      <w:r w:rsidR="001272C7">
        <w:t xml:space="preserve"> and increases program management risks.</w:t>
      </w:r>
    </w:p>
    <w:p w14:paraId="698A8624" w14:textId="77777777" w:rsidR="001D6C8B" w:rsidRDefault="001D6C8B">
      <w:pPr>
        <w:spacing w:after="200" w:line="276" w:lineRule="auto"/>
        <w:rPr>
          <w:rFonts w:ascii="Arial" w:eastAsia="Times New Roman" w:hAnsi="Arial" w:cs="Arial"/>
          <w:color w:val="7E6D5F"/>
          <w:szCs w:val="19"/>
        </w:rPr>
      </w:pPr>
      <w:r>
        <w:br w:type="page"/>
      </w:r>
    </w:p>
    <w:p w14:paraId="7601EE39" w14:textId="79EBE3AE" w:rsidR="00BE65E4" w:rsidRDefault="00BE65E4" w:rsidP="00BE65E4">
      <w:pPr>
        <w:pStyle w:val="Caption"/>
      </w:pPr>
      <w:r>
        <w:lastRenderedPageBreak/>
        <w:t xml:space="preserve">Table </w:t>
      </w:r>
      <w:r w:rsidR="002D03A4">
        <w:fldChar w:fldCharType="begin"/>
      </w:r>
      <w:r w:rsidR="002D03A4">
        <w:instrText xml:space="preserve"> SEQ Table \* ARABIC </w:instrText>
      </w:r>
      <w:r w:rsidR="002D03A4">
        <w:fldChar w:fldCharType="separate"/>
      </w:r>
      <w:r w:rsidR="00CE5AA7">
        <w:rPr>
          <w:noProof/>
        </w:rPr>
        <w:t>3</w:t>
      </w:r>
      <w:r w:rsidR="002D03A4">
        <w:rPr>
          <w:noProof/>
        </w:rPr>
        <w:fldChar w:fldCharType="end"/>
      </w:r>
      <w:r>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180B19" w14:paraId="7601EE40" w14:textId="77777777" w:rsidTr="00BE65E4">
        <w:tc>
          <w:tcPr>
            <w:tcW w:w="4363" w:type="dxa"/>
            <w:hideMark/>
          </w:tcPr>
          <w:p w14:paraId="7601EE3E" w14:textId="77777777" w:rsidR="00180B19" w:rsidRPr="004C4A3E" w:rsidRDefault="00180B19" w:rsidP="004C4A3E">
            <w:pPr>
              <w:pStyle w:val="TableTextColumnHeading"/>
            </w:pPr>
            <w:r w:rsidRPr="004C4A3E">
              <w:t>Most significant risks</w:t>
            </w:r>
          </w:p>
        </w:tc>
        <w:tc>
          <w:tcPr>
            <w:tcW w:w="4103" w:type="dxa"/>
          </w:tcPr>
          <w:p w14:paraId="7601EE3F" w14:textId="34567E31" w:rsidR="00180B19" w:rsidRPr="004C4A3E" w:rsidRDefault="00180B19" w:rsidP="00DC2D92">
            <w:pPr>
              <w:pStyle w:val="TableTextColumnHeading"/>
            </w:pPr>
            <w:r w:rsidRPr="004C4A3E">
              <w:t xml:space="preserve">Management </w:t>
            </w:r>
            <w:r w:rsidR="00DC2D92">
              <w:t>r</w:t>
            </w:r>
            <w:r w:rsidRPr="004C4A3E">
              <w:t>esponse</w:t>
            </w:r>
            <w:r w:rsidR="00DC2D92">
              <w:t>—</w:t>
            </w:r>
            <w:r w:rsidRPr="004C4A3E">
              <w:t xml:space="preserve">What? Who? How? When? </w:t>
            </w:r>
          </w:p>
        </w:tc>
      </w:tr>
      <w:tr w:rsidR="00180B19" w:rsidRPr="00180B19" w14:paraId="7601EE43" w14:textId="77777777" w:rsidTr="00BE65E4">
        <w:tc>
          <w:tcPr>
            <w:tcW w:w="4363" w:type="dxa"/>
            <w:hideMark/>
          </w:tcPr>
          <w:p w14:paraId="7601EE41" w14:textId="5BC99C6B" w:rsidR="00180B19" w:rsidRPr="004C4A3E" w:rsidRDefault="00961706" w:rsidP="00A458F4">
            <w:pPr>
              <w:pStyle w:val="TableTextEntries"/>
            </w:pPr>
            <w:r>
              <w:t>Political instability in Nauru impedes progress on development activities or detracts from the reform agenda.</w:t>
            </w:r>
          </w:p>
        </w:tc>
        <w:tc>
          <w:tcPr>
            <w:tcW w:w="4103" w:type="dxa"/>
          </w:tcPr>
          <w:p w14:paraId="7601EE42" w14:textId="37C20ECB" w:rsidR="00180B19" w:rsidRPr="004C4A3E" w:rsidRDefault="00A458F4" w:rsidP="005A582F">
            <w:pPr>
              <w:pStyle w:val="TableTextEntries"/>
            </w:pPr>
            <w:r>
              <w:t>Senior</w:t>
            </w:r>
            <w:r w:rsidR="00984793">
              <w:t>-</w:t>
            </w:r>
            <w:r>
              <w:t>level (A</w:t>
            </w:r>
            <w:r w:rsidR="00984793">
              <w:t>ssistant Director General</w:t>
            </w:r>
            <w:r>
              <w:t xml:space="preserve">, </w:t>
            </w:r>
            <w:r w:rsidR="005A582F">
              <w:t>the Australian High Commissioner</w:t>
            </w:r>
            <w:r>
              <w:t xml:space="preserve"> and Go</w:t>
            </w:r>
            <w:r w:rsidR="00984793">
              <w:t>vernment of Nauru</w:t>
            </w:r>
            <w:r>
              <w:t xml:space="preserve"> departmental secretaries) dialogue is maintained with </w:t>
            </w:r>
            <w:r w:rsidR="00066642">
              <w:t>Government of Nauru</w:t>
            </w:r>
            <w:r>
              <w:t xml:space="preserve"> officials to ensure attention and commitment to development activities and the reform agenda remains unchanged.</w:t>
            </w:r>
          </w:p>
        </w:tc>
      </w:tr>
      <w:tr w:rsidR="00180B19" w:rsidRPr="00180B19" w14:paraId="7601EE46" w14:textId="77777777" w:rsidTr="00BE65E4">
        <w:tc>
          <w:tcPr>
            <w:tcW w:w="4363" w:type="dxa"/>
            <w:hideMark/>
          </w:tcPr>
          <w:p w14:paraId="7601EE44" w14:textId="2A390F1E" w:rsidR="00180B19" w:rsidRPr="004C4A3E" w:rsidRDefault="00961706" w:rsidP="00961706">
            <w:pPr>
              <w:pStyle w:val="TableTextEntries"/>
            </w:pPr>
            <w:r>
              <w:t>A stronger domestic budget position results in a reduced commitment to the reform agenda</w:t>
            </w:r>
            <w:r w:rsidR="00A458F4">
              <w:t>.</w:t>
            </w:r>
          </w:p>
        </w:tc>
        <w:tc>
          <w:tcPr>
            <w:tcW w:w="4103" w:type="dxa"/>
          </w:tcPr>
          <w:p w14:paraId="7601EE45" w14:textId="36353D58" w:rsidR="00180B19" w:rsidRPr="004C4A3E" w:rsidRDefault="00011D68" w:rsidP="004C4A3E">
            <w:pPr>
              <w:pStyle w:val="TableTextEntries"/>
            </w:pPr>
            <w:r>
              <w:t>As above.</w:t>
            </w:r>
          </w:p>
        </w:tc>
      </w:tr>
      <w:tr w:rsidR="00180B19" w:rsidRPr="00180B19" w14:paraId="7601EE49" w14:textId="77777777" w:rsidTr="00BE65E4">
        <w:tc>
          <w:tcPr>
            <w:tcW w:w="4363" w:type="dxa"/>
          </w:tcPr>
          <w:p w14:paraId="7601EE47" w14:textId="2ABE5F42" w:rsidR="00180B19" w:rsidRPr="004C4A3E" w:rsidRDefault="00961706" w:rsidP="00984793">
            <w:pPr>
              <w:pStyle w:val="TableTextEntries"/>
            </w:pPr>
            <w:r>
              <w:t>Limited capacity to effectively manage and spend increased revenue results in adverse economic impacts (inflation),</w:t>
            </w:r>
            <w:r w:rsidR="00011D68">
              <w:t xml:space="preserve"> </w:t>
            </w:r>
            <w:r>
              <w:t xml:space="preserve">inequitable distribution of benefits or failure to adequately save for future generations. </w:t>
            </w:r>
          </w:p>
        </w:tc>
        <w:tc>
          <w:tcPr>
            <w:tcW w:w="4103" w:type="dxa"/>
          </w:tcPr>
          <w:p w14:paraId="7601EE48" w14:textId="645934D3" w:rsidR="00180B19" w:rsidRPr="004C4A3E" w:rsidRDefault="00A458F4" w:rsidP="00984793">
            <w:pPr>
              <w:pStyle w:val="TableTextEntries"/>
            </w:pPr>
            <w:r>
              <w:t>Performance</w:t>
            </w:r>
            <w:r w:rsidR="00984793">
              <w:t>-</w:t>
            </w:r>
            <w:r>
              <w:t>linked aid is</w:t>
            </w:r>
            <w:r w:rsidR="00011D68">
              <w:t xml:space="preserve"> used to</w:t>
            </w:r>
            <w:r>
              <w:t xml:space="preserve"> </w:t>
            </w:r>
            <w:r w:rsidR="00011D68">
              <w:t xml:space="preserve">ensure </w:t>
            </w:r>
            <w:r w:rsidR="00984793">
              <w:t xml:space="preserve">that </w:t>
            </w:r>
            <w:r w:rsidR="00011D68">
              <w:t>the principles of sound fiscal management continue to be adhered to.</w:t>
            </w:r>
          </w:p>
        </w:tc>
      </w:tr>
      <w:tr w:rsidR="00180B19" w:rsidRPr="00180B19" w14:paraId="7601EE4C" w14:textId="77777777" w:rsidTr="00BE65E4">
        <w:tc>
          <w:tcPr>
            <w:tcW w:w="4363" w:type="dxa"/>
          </w:tcPr>
          <w:p w14:paraId="7601EE4A" w14:textId="6C5FB549" w:rsidR="00180B19" w:rsidRPr="004C4A3E" w:rsidRDefault="00961706" w:rsidP="00984793">
            <w:pPr>
              <w:pStyle w:val="TableTextEntries"/>
            </w:pPr>
            <w:r>
              <w:t xml:space="preserve">The cessation of payments under NACOS leaves phosphate mining under resourced reducing </w:t>
            </w:r>
            <w:r w:rsidR="00984793">
              <w:t xml:space="preserve">government </w:t>
            </w:r>
            <w:r>
              <w:t>dividends for and risking job losses in mining and associated industries.</w:t>
            </w:r>
          </w:p>
        </w:tc>
        <w:tc>
          <w:tcPr>
            <w:tcW w:w="4103" w:type="dxa"/>
          </w:tcPr>
          <w:p w14:paraId="7601EE4B" w14:textId="36F7E344" w:rsidR="00180B19" w:rsidRPr="004C4A3E" w:rsidRDefault="00011D68">
            <w:pPr>
              <w:pStyle w:val="TableTextEntries"/>
            </w:pPr>
            <w:r>
              <w:t xml:space="preserve">Negotiate ongoing support for phosphate mining and land redevelopment from within the Partnership for Development budget allocation and drawing </w:t>
            </w:r>
            <w:r w:rsidR="00984793">
              <w:t xml:space="preserve">on </w:t>
            </w:r>
            <w:r>
              <w:t xml:space="preserve">input for </w:t>
            </w:r>
            <w:r w:rsidR="00D00BD3">
              <w:t xml:space="preserve">DFAT’s </w:t>
            </w:r>
            <w:r>
              <w:t>Mining for Development initiative.</w:t>
            </w:r>
          </w:p>
        </w:tc>
      </w:tr>
      <w:tr w:rsidR="00180B19" w:rsidRPr="00180B19" w14:paraId="7601EE4F" w14:textId="77777777" w:rsidTr="00BE65E4">
        <w:tc>
          <w:tcPr>
            <w:tcW w:w="4363" w:type="dxa"/>
          </w:tcPr>
          <w:p w14:paraId="7601EE4D" w14:textId="15924579" w:rsidR="00180B19" w:rsidRPr="004C4A3E" w:rsidRDefault="00011D68" w:rsidP="00581DBB">
            <w:pPr>
              <w:pStyle w:val="TableTextEntries"/>
            </w:pPr>
            <w:r>
              <w:t>Following the elections in June 2013, an incoming government fails to sign a contract with the new independent procurement agent.</w:t>
            </w:r>
          </w:p>
        </w:tc>
        <w:tc>
          <w:tcPr>
            <w:tcW w:w="4103" w:type="dxa"/>
          </w:tcPr>
          <w:p w14:paraId="7601EE4E" w14:textId="037898FC" w:rsidR="00180B19" w:rsidRPr="004C4A3E" w:rsidRDefault="00011D68" w:rsidP="00011D68">
            <w:pPr>
              <w:pStyle w:val="TableTextEntries"/>
            </w:pPr>
            <w:r>
              <w:t>Reconsider the methodology of providing targeted budget support and move to alternative models of delivery.</w:t>
            </w:r>
          </w:p>
        </w:tc>
      </w:tr>
    </w:tbl>
    <w:p w14:paraId="7601EE53" w14:textId="77777777" w:rsidR="00522AB9" w:rsidRDefault="00522AB9" w:rsidP="002A1935">
      <w:pPr>
        <w:pStyle w:val="BodyText"/>
        <w:sectPr w:rsidR="00522AB9" w:rsidSect="005E2994">
          <w:headerReference w:type="default"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14:paraId="7601EE54" w14:textId="77777777" w:rsidR="00FE4491" w:rsidRPr="00FE4491" w:rsidRDefault="00C65930" w:rsidP="00FE4491">
      <w:pPr>
        <w:pStyle w:val="Heading1"/>
      </w:pPr>
      <w:r>
        <w:lastRenderedPageBreak/>
        <w:t>Annex A</w:t>
      </w:r>
      <w:r w:rsidR="00FE4491" w:rsidRPr="00FE4491">
        <w:t xml:space="preserve"> </w:t>
      </w:r>
    </w:p>
    <w:p w14:paraId="7601EE55" w14:textId="77777777" w:rsidR="00FE4491" w:rsidRPr="004315E1" w:rsidRDefault="00FE4491" w:rsidP="004315E1">
      <w:pPr>
        <w:pStyle w:val="Heading2"/>
      </w:pPr>
      <w:r w:rsidRPr="004315E1">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829"/>
        <w:gridCol w:w="6824"/>
      </w:tblGrid>
      <w:tr w:rsidR="00FE4491" w:rsidRPr="00180B19" w14:paraId="7601EE59" w14:textId="77777777" w:rsidTr="00443639">
        <w:trPr>
          <w:cnfStyle w:val="000000010000" w:firstRow="0" w:lastRow="0" w:firstColumn="0" w:lastColumn="0" w:oddVBand="0" w:evenVBand="0" w:oddHBand="0" w:evenHBand="1" w:firstRowFirstColumn="0" w:firstRowLastColumn="0" w:lastRowFirstColumn="0" w:lastRowLastColumn="0"/>
        </w:trPr>
        <w:tc>
          <w:tcPr>
            <w:tcW w:w="6473" w:type="dxa"/>
          </w:tcPr>
          <w:p w14:paraId="7601EE56" w14:textId="77777777" w:rsidR="00FE4491" w:rsidRPr="004315E1" w:rsidRDefault="00FE4491" w:rsidP="004315E1">
            <w:pPr>
              <w:pStyle w:val="TableTextColumnHeading"/>
            </w:pPr>
            <w:r w:rsidRPr="004315E1">
              <w:t>Management consequences identified in 2011 APPR</w:t>
            </w:r>
            <w:r w:rsidRPr="004315E1">
              <w:tab/>
            </w:r>
          </w:p>
        </w:tc>
        <w:tc>
          <w:tcPr>
            <w:tcW w:w="823" w:type="dxa"/>
          </w:tcPr>
          <w:p w14:paraId="7601EE57" w14:textId="77777777" w:rsidR="00FE4491" w:rsidRPr="004315E1" w:rsidRDefault="00FE4491" w:rsidP="004315E1">
            <w:pPr>
              <w:pStyle w:val="TableTextColumnHeading"/>
            </w:pPr>
            <w:r w:rsidRPr="004315E1">
              <w:t>Rating</w:t>
            </w:r>
          </w:p>
        </w:tc>
        <w:tc>
          <w:tcPr>
            <w:tcW w:w="7037" w:type="dxa"/>
          </w:tcPr>
          <w:p w14:paraId="7601EE58" w14:textId="48D11418" w:rsidR="00FE4491" w:rsidRPr="004315E1" w:rsidRDefault="00FE4491" w:rsidP="004315E1">
            <w:pPr>
              <w:pStyle w:val="TableTextColumnHeading"/>
            </w:pPr>
            <w:r w:rsidRPr="004315E1">
              <w:t>Progress made in 2012</w:t>
            </w:r>
            <w:r w:rsidR="00DC2D92" w:rsidRPr="004315E1">
              <w:t>–</w:t>
            </w:r>
            <w:r w:rsidRPr="004315E1">
              <w:t>13</w:t>
            </w:r>
          </w:p>
        </w:tc>
      </w:tr>
      <w:tr w:rsidR="00FE4491" w:rsidRPr="00180B19" w14:paraId="7601EE5D" w14:textId="77777777" w:rsidTr="00AA2C1D">
        <w:trPr>
          <w:cnfStyle w:val="000000010000" w:firstRow="0" w:lastRow="0" w:firstColumn="0" w:lastColumn="0" w:oddVBand="0" w:evenVBand="0" w:oddHBand="0" w:evenHBand="1" w:firstRowFirstColumn="0" w:firstRowLastColumn="0" w:lastRowFirstColumn="0" w:lastRowLastColumn="0"/>
        </w:trPr>
        <w:tc>
          <w:tcPr>
            <w:tcW w:w="6473" w:type="dxa"/>
          </w:tcPr>
          <w:p w14:paraId="7601EE5A" w14:textId="2412C681" w:rsidR="00FE4491" w:rsidRPr="004315E1" w:rsidRDefault="002B3331" w:rsidP="004315E1">
            <w:pPr>
              <w:pStyle w:val="TableTextEntries"/>
            </w:pPr>
            <w:r w:rsidRPr="004315E1">
              <w:t xml:space="preserve">Review the scholarships program to assess its effectiveness. </w:t>
            </w:r>
          </w:p>
        </w:tc>
        <w:tc>
          <w:tcPr>
            <w:tcW w:w="823" w:type="dxa"/>
            <w:shd w:val="clear" w:color="auto" w:fill="F79646" w:themeFill="accent6"/>
          </w:tcPr>
          <w:p w14:paraId="7601EE5B" w14:textId="4CC9B35C" w:rsidR="00FE4491" w:rsidRPr="004315E1" w:rsidRDefault="004D5474" w:rsidP="004315E1">
            <w:pPr>
              <w:pStyle w:val="TableTextEntries"/>
            </w:pPr>
            <w:r w:rsidRPr="004315E1">
              <w:t>Amber</w:t>
            </w:r>
          </w:p>
        </w:tc>
        <w:tc>
          <w:tcPr>
            <w:tcW w:w="7037" w:type="dxa"/>
          </w:tcPr>
          <w:p w14:paraId="7601EE5C" w14:textId="2E075151" w:rsidR="00FE4491" w:rsidRPr="004315E1" w:rsidRDefault="009A09DD" w:rsidP="004315E1">
            <w:pPr>
              <w:pStyle w:val="TableTextEntries"/>
            </w:pPr>
            <w:r w:rsidRPr="004315E1">
              <w:t>The newly established P</w:t>
            </w:r>
            <w:r w:rsidR="000900A5" w:rsidRPr="004315E1">
              <w:t xml:space="preserve">MAG </w:t>
            </w:r>
            <w:r w:rsidRPr="004315E1">
              <w:t>will review assistance to the education sector in July 2013, including a review of the scholarships program.</w:t>
            </w:r>
          </w:p>
        </w:tc>
      </w:tr>
      <w:tr w:rsidR="00FE4491" w:rsidRPr="00180B19" w14:paraId="7601EE61" w14:textId="77777777" w:rsidTr="00AA2C1D">
        <w:trPr>
          <w:cnfStyle w:val="000000010000" w:firstRow="0" w:lastRow="0" w:firstColumn="0" w:lastColumn="0" w:oddVBand="0" w:evenVBand="0" w:oddHBand="0" w:evenHBand="1" w:firstRowFirstColumn="0" w:firstRowLastColumn="0" w:lastRowFirstColumn="0" w:lastRowLastColumn="0"/>
        </w:trPr>
        <w:tc>
          <w:tcPr>
            <w:tcW w:w="6473" w:type="dxa"/>
          </w:tcPr>
          <w:p w14:paraId="7601EE5E" w14:textId="2C8EFD71" w:rsidR="00FE4491" w:rsidRPr="004315E1" w:rsidRDefault="002B3331" w:rsidP="004315E1">
            <w:pPr>
              <w:pStyle w:val="TableTextEntries"/>
            </w:pPr>
            <w:r w:rsidRPr="004315E1">
              <w:t>Develop a gender strategy.</w:t>
            </w:r>
          </w:p>
        </w:tc>
        <w:tc>
          <w:tcPr>
            <w:tcW w:w="823" w:type="dxa"/>
            <w:shd w:val="clear" w:color="auto" w:fill="F79646" w:themeFill="accent6"/>
          </w:tcPr>
          <w:p w14:paraId="7601EE5F" w14:textId="299CF0F4" w:rsidR="00FE4491" w:rsidRPr="004315E1" w:rsidRDefault="004D5474" w:rsidP="004315E1">
            <w:pPr>
              <w:pStyle w:val="TableTextEntries"/>
            </w:pPr>
            <w:r w:rsidRPr="004315E1">
              <w:t>Amber</w:t>
            </w:r>
            <w:r w:rsidR="00FE4491" w:rsidRPr="004315E1">
              <w:fldChar w:fldCharType="begin"/>
            </w:r>
            <w:r w:rsidR="00FE4491" w:rsidRPr="004315E1">
              <w:instrText xml:space="preserve"> AUTOTEXTLIST  \s "Rating bullet"\t "Right click to choose a rating" \* MERGEFORMAT </w:instrText>
            </w:r>
            <w:r w:rsidR="00FE4491" w:rsidRPr="004315E1">
              <w:fldChar w:fldCharType="end"/>
            </w:r>
          </w:p>
        </w:tc>
        <w:tc>
          <w:tcPr>
            <w:tcW w:w="7037" w:type="dxa"/>
          </w:tcPr>
          <w:p w14:paraId="7601EE60" w14:textId="5ED66B23" w:rsidR="00FE4491" w:rsidRPr="004315E1" w:rsidRDefault="009A09DD" w:rsidP="00D31D39">
            <w:pPr>
              <w:pStyle w:val="TableTextEntries"/>
            </w:pPr>
            <w:r w:rsidRPr="004315E1">
              <w:t xml:space="preserve">Nauru is scheduled for inclusion in </w:t>
            </w:r>
            <w:r w:rsidR="00D31D39">
              <w:t>the department</w:t>
            </w:r>
            <w:r w:rsidR="00D31D39" w:rsidRPr="004315E1">
              <w:t xml:space="preserve">’s </w:t>
            </w:r>
            <w:r w:rsidRPr="004315E1">
              <w:t>Pacific gender strategy (Pacific Women Shaping Pacific Development</w:t>
            </w:r>
            <w:r w:rsidR="006B43EB" w:rsidRPr="004315E1">
              <w:t xml:space="preserve"> Initiative</w:t>
            </w:r>
            <w:r w:rsidRPr="004315E1">
              <w:t xml:space="preserve">) during the second quarter of 2013, which will involve developing a gender strategy and work plan. </w:t>
            </w:r>
          </w:p>
        </w:tc>
      </w:tr>
      <w:tr w:rsidR="009A09DD" w:rsidRPr="00180B19" w14:paraId="7601EE65" w14:textId="77777777" w:rsidTr="009A09DD">
        <w:trPr>
          <w:cnfStyle w:val="000000010000" w:firstRow="0" w:lastRow="0" w:firstColumn="0" w:lastColumn="0" w:oddVBand="0" w:evenVBand="0" w:oddHBand="0" w:evenHBand="1" w:firstRowFirstColumn="0" w:firstRowLastColumn="0" w:lastRowFirstColumn="0" w:lastRowLastColumn="0"/>
          <w:trHeight w:val="479"/>
        </w:trPr>
        <w:tc>
          <w:tcPr>
            <w:tcW w:w="6473" w:type="dxa"/>
            <w:vMerge w:val="restart"/>
          </w:tcPr>
          <w:p w14:paraId="5CA02153" w14:textId="771A317C" w:rsidR="009A09DD" w:rsidRPr="004315E1" w:rsidRDefault="009A09DD" w:rsidP="004315E1">
            <w:pPr>
              <w:pStyle w:val="TableTextEntries"/>
            </w:pPr>
            <w:r w:rsidRPr="004315E1">
              <w:t>Establish a PMAG.</w:t>
            </w:r>
          </w:p>
          <w:p w14:paraId="19363A69" w14:textId="77777777" w:rsidR="009A09DD" w:rsidRPr="004315E1" w:rsidRDefault="009A09DD" w:rsidP="004315E1">
            <w:pPr>
              <w:pStyle w:val="TableTextEntries"/>
            </w:pPr>
          </w:p>
          <w:p w14:paraId="7601EE62" w14:textId="42E96C71" w:rsidR="009A09DD" w:rsidRPr="004315E1" w:rsidRDefault="009A09DD" w:rsidP="004315E1">
            <w:pPr>
              <w:pStyle w:val="TableTextEntries"/>
            </w:pPr>
            <w:r w:rsidRPr="004315E1">
              <w:t>Explore alternative approaches to capacity building, recognising the limited impact of efforts to date and acknowledging that technical assistance will be required for some time</w:t>
            </w:r>
            <w:r w:rsidR="00984793" w:rsidRPr="004315E1">
              <w:t>.</w:t>
            </w:r>
          </w:p>
        </w:tc>
        <w:tc>
          <w:tcPr>
            <w:tcW w:w="823" w:type="dxa"/>
            <w:shd w:val="clear" w:color="auto" w:fill="92D050"/>
          </w:tcPr>
          <w:p w14:paraId="7601EE63" w14:textId="77777777" w:rsidR="009A09DD" w:rsidRPr="004315E1" w:rsidRDefault="009A09DD" w:rsidP="004315E1">
            <w:pPr>
              <w:pStyle w:val="TableTextEntries"/>
            </w:pPr>
            <w:r w:rsidRPr="004315E1">
              <w:t>Green</w:t>
            </w:r>
          </w:p>
        </w:tc>
        <w:tc>
          <w:tcPr>
            <w:tcW w:w="7037" w:type="dxa"/>
            <w:vMerge w:val="restart"/>
          </w:tcPr>
          <w:p w14:paraId="064AF893" w14:textId="5C353BA5" w:rsidR="009A09DD" w:rsidRPr="004315E1" w:rsidRDefault="009A09DD" w:rsidP="004315E1">
            <w:pPr>
              <w:pStyle w:val="TableTextEntries"/>
            </w:pPr>
            <w:r w:rsidRPr="004315E1">
              <w:t>PMAG team leader engaged in September 2012 with</w:t>
            </w:r>
            <w:r w:rsidR="00D95FFC" w:rsidRPr="004315E1">
              <w:t xml:space="preserve"> the</w:t>
            </w:r>
            <w:r w:rsidRPr="004315E1">
              <w:t xml:space="preserve"> first review mission taking place in November</w:t>
            </w:r>
            <w:r w:rsidR="00802382" w:rsidRPr="004315E1">
              <w:t xml:space="preserve"> </w:t>
            </w:r>
            <w:r w:rsidRPr="004315E1">
              <w:t xml:space="preserve">2012 to review the public sector management initiative. </w:t>
            </w:r>
          </w:p>
          <w:p w14:paraId="052EE23E" w14:textId="75DDE72F" w:rsidR="009A09DD" w:rsidRPr="004315E1" w:rsidRDefault="009A09DD" w:rsidP="004315E1">
            <w:pPr>
              <w:pStyle w:val="TableTextEntries"/>
            </w:pPr>
            <w:r w:rsidRPr="004315E1">
              <w:t>A new design for the P</w:t>
            </w:r>
            <w:r w:rsidR="006B43EB" w:rsidRPr="004315E1">
              <w:t>acific Technical Assistance Mechanism (P</w:t>
            </w:r>
            <w:r w:rsidRPr="004315E1">
              <w:t>ACTAM</w:t>
            </w:r>
            <w:r w:rsidR="006B43EB" w:rsidRPr="004315E1">
              <w:t>)</w:t>
            </w:r>
            <w:r w:rsidRPr="004315E1">
              <w:t xml:space="preserve"> is expected to provide greater scope for flexibility </w:t>
            </w:r>
            <w:r w:rsidR="00D95FFC" w:rsidRPr="004315E1">
              <w:t>on</w:t>
            </w:r>
            <w:r w:rsidRPr="004315E1">
              <w:t xml:space="preserve"> how the capacity</w:t>
            </w:r>
            <w:r w:rsidR="00D95FFC" w:rsidRPr="004315E1">
              <w:t>-</w:t>
            </w:r>
            <w:r w:rsidRPr="004315E1">
              <w:t>building elements of PACTAM can be delivered.</w:t>
            </w:r>
          </w:p>
          <w:p w14:paraId="7601EE64" w14:textId="3A06AE27" w:rsidR="009A09DD" w:rsidRPr="004315E1" w:rsidRDefault="009A09DD" w:rsidP="004315E1">
            <w:pPr>
              <w:pStyle w:val="TableTextEntries"/>
            </w:pPr>
          </w:p>
        </w:tc>
      </w:tr>
      <w:tr w:rsidR="00AA2C1D" w:rsidRPr="00180B19" w14:paraId="536CC1E2" w14:textId="77777777" w:rsidTr="00AA2C1D">
        <w:trPr>
          <w:cnfStyle w:val="000000010000" w:firstRow="0" w:lastRow="0" w:firstColumn="0" w:lastColumn="0" w:oddVBand="0" w:evenVBand="0" w:oddHBand="0" w:evenHBand="1" w:firstRowFirstColumn="0" w:firstRowLastColumn="0" w:lastRowFirstColumn="0" w:lastRowLastColumn="0"/>
          <w:trHeight w:val="671"/>
        </w:trPr>
        <w:tc>
          <w:tcPr>
            <w:tcW w:w="6473" w:type="dxa"/>
            <w:vMerge/>
          </w:tcPr>
          <w:p w14:paraId="2A474EF7" w14:textId="77777777" w:rsidR="00AA2C1D" w:rsidRPr="004315E1" w:rsidRDefault="00AA2C1D" w:rsidP="004315E1">
            <w:pPr>
              <w:pStyle w:val="TableTextEntries"/>
            </w:pPr>
          </w:p>
        </w:tc>
        <w:tc>
          <w:tcPr>
            <w:tcW w:w="823" w:type="dxa"/>
            <w:shd w:val="clear" w:color="auto" w:fill="F79646" w:themeFill="accent6"/>
          </w:tcPr>
          <w:p w14:paraId="0CAD355F" w14:textId="04D47984" w:rsidR="00AA2C1D" w:rsidRPr="004315E1" w:rsidRDefault="004D5474" w:rsidP="004315E1">
            <w:pPr>
              <w:pStyle w:val="TableTextEntries"/>
            </w:pPr>
            <w:r w:rsidRPr="004315E1">
              <w:t>Amber</w:t>
            </w:r>
          </w:p>
        </w:tc>
        <w:tc>
          <w:tcPr>
            <w:tcW w:w="7037" w:type="dxa"/>
            <w:vMerge/>
          </w:tcPr>
          <w:p w14:paraId="6BE5369B" w14:textId="77777777" w:rsidR="00AA2C1D" w:rsidRPr="004315E1" w:rsidRDefault="00AA2C1D" w:rsidP="004315E1">
            <w:pPr>
              <w:pStyle w:val="TableTextEntries"/>
            </w:pPr>
          </w:p>
        </w:tc>
      </w:tr>
      <w:tr w:rsidR="00AA2C1D" w:rsidRPr="00180B19" w14:paraId="7601EE69" w14:textId="77777777" w:rsidTr="004D5474">
        <w:trPr>
          <w:cnfStyle w:val="000000010000" w:firstRow="0" w:lastRow="0" w:firstColumn="0" w:lastColumn="0" w:oddVBand="0" w:evenVBand="0" w:oddHBand="0" w:evenHBand="1" w:firstRowFirstColumn="0" w:firstRowLastColumn="0" w:lastRowFirstColumn="0" w:lastRowLastColumn="0"/>
          <w:trHeight w:val="938"/>
        </w:trPr>
        <w:tc>
          <w:tcPr>
            <w:tcW w:w="6473" w:type="dxa"/>
            <w:vMerge w:val="restart"/>
          </w:tcPr>
          <w:p w14:paraId="75935EF8" w14:textId="395DA09E" w:rsidR="00AA2C1D" w:rsidRPr="004315E1" w:rsidRDefault="00AA2C1D" w:rsidP="004315E1">
            <w:pPr>
              <w:pStyle w:val="TableTextEntries"/>
            </w:pPr>
            <w:r w:rsidRPr="004315E1">
              <w:t>Introduce greater emphasis on economic analysis and targeting reforms to public financial management systems, including possibly exploring International Monetary Fund membership.</w:t>
            </w:r>
          </w:p>
          <w:p w14:paraId="3348780C" w14:textId="77777777" w:rsidR="00AA2C1D" w:rsidRPr="004315E1" w:rsidRDefault="00AA2C1D" w:rsidP="004315E1">
            <w:pPr>
              <w:pStyle w:val="TableTextEntries"/>
            </w:pPr>
          </w:p>
          <w:p w14:paraId="31AF3EEA" w14:textId="17CF9A5B" w:rsidR="00AA2C1D" w:rsidRPr="004315E1" w:rsidRDefault="00AA2C1D" w:rsidP="004315E1">
            <w:pPr>
              <w:pStyle w:val="TableTextEntries"/>
            </w:pPr>
            <w:r w:rsidRPr="004315E1">
              <w:t>Develop a long-term, integrated climate change adaptation strategy, and integrat</w:t>
            </w:r>
            <w:r w:rsidR="000900A5" w:rsidRPr="004315E1">
              <w:t>e</w:t>
            </w:r>
            <w:r w:rsidRPr="004315E1">
              <w:t xml:space="preserve"> climate change into Nauru’s infrastructure strategy</w:t>
            </w:r>
            <w:r w:rsidR="00984793" w:rsidRPr="004315E1">
              <w:t>.</w:t>
            </w:r>
          </w:p>
          <w:p w14:paraId="69949C05" w14:textId="77777777" w:rsidR="00AA2C1D" w:rsidRPr="004315E1" w:rsidRDefault="00AA2C1D" w:rsidP="004315E1">
            <w:pPr>
              <w:pStyle w:val="TableTextEntries"/>
            </w:pPr>
          </w:p>
          <w:p w14:paraId="3BA99DC8" w14:textId="1261501B" w:rsidR="00AA2C1D" w:rsidRPr="004315E1" w:rsidRDefault="00AA2C1D" w:rsidP="004315E1">
            <w:pPr>
              <w:pStyle w:val="TableTextEntries"/>
            </w:pPr>
            <w:r w:rsidRPr="004315E1">
              <w:t xml:space="preserve">Review the current mechanism for providing technical assistance through the Pacific Technical Assistance </w:t>
            </w:r>
            <w:r w:rsidR="000900A5" w:rsidRPr="004315E1">
              <w:t>m</w:t>
            </w:r>
            <w:r w:rsidRPr="004315E1">
              <w:t xml:space="preserve">echanism. </w:t>
            </w:r>
          </w:p>
          <w:p w14:paraId="15A3E88A" w14:textId="77777777" w:rsidR="00AA2C1D" w:rsidRPr="004315E1" w:rsidRDefault="00AA2C1D" w:rsidP="004315E1">
            <w:pPr>
              <w:pStyle w:val="TableTextEntries"/>
            </w:pPr>
          </w:p>
          <w:p w14:paraId="7516E7EE" w14:textId="3A4AD461" w:rsidR="00AA2C1D" w:rsidRPr="004315E1" w:rsidRDefault="00AA2C1D" w:rsidP="004315E1">
            <w:pPr>
              <w:pStyle w:val="TableTextEntries"/>
            </w:pPr>
            <w:r w:rsidRPr="004315E1">
              <w:t>Develop a more comprehensive approach to building visibility and community awareness of Australia’s engagement with Nauru</w:t>
            </w:r>
            <w:r w:rsidR="00984793" w:rsidRPr="004315E1">
              <w:t>.</w:t>
            </w:r>
          </w:p>
          <w:p w14:paraId="34A4141A" w14:textId="77777777" w:rsidR="00AA2C1D" w:rsidRPr="004315E1" w:rsidRDefault="00AA2C1D" w:rsidP="004315E1">
            <w:pPr>
              <w:pStyle w:val="TableTextEntries"/>
            </w:pPr>
          </w:p>
          <w:p w14:paraId="653D5070" w14:textId="62D909D6" w:rsidR="00AA2C1D" w:rsidRPr="004315E1" w:rsidRDefault="00AA2C1D" w:rsidP="004315E1">
            <w:pPr>
              <w:pStyle w:val="TableTextEntries"/>
            </w:pPr>
            <w:r w:rsidRPr="004315E1">
              <w:t>Tak</w:t>
            </w:r>
            <w:r w:rsidR="00802382" w:rsidRPr="004315E1">
              <w:t>e</w:t>
            </w:r>
            <w:r w:rsidRPr="004315E1">
              <w:t xml:space="preserve"> forward private sector growth priorities under the</w:t>
            </w:r>
            <w:r w:rsidR="000900A5" w:rsidRPr="004315E1">
              <w:t xml:space="preserve"> P</w:t>
            </w:r>
            <w:r w:rsidRPr="004315E1">
              <w:t>artnership</w:t>
            </w:r>
            <w:r w:rsidR="000900A5" w:rsidRPr="004315E1">
              <w:t xml:space="preserve"> for Development</w:t>
            </w:r>
            <w:r w:rsidRPr="004315E1">
              <w:t xml:space="preserve"> through the </w:t>
            </w:r>
            <w:r w:rsidR="00D00BD3">
              <w:t>Australian</w:t>
            </w:r>
            <w:r w:rsidR="000900A5" w:rsidRPr="004315E1">
              <w:t>-</w:t>
            </w:r>
            <w:r w:rsidRPr="004315E1">
              <w:t>funded private sector growth initiative.</w:t>
            </w:r>
          </w:p>
          <w:p w14:paraId="7601EE66" w14:textId="676700B7" w:rsidR="00AA2C1D" w:rsidRPr="004315E1" w:rsidRDefault="00AA2C1D" w:rsidP="004315E1">
            <w:pPr>
              <w:pStyle w:val="TableTextEntries"/>
            </w:pPr>
          </w:p>
        </w:tc>
        <w:tc>
          <w:tcPr>
            <w:tcW w:w="823" w:type="dxa"/>
            <w:shd w:val="clear" w:color="auto" w:fill="92D050"/>
          </w:tcPr>
          <w:p w14:paraId="7601EE67" w14:textId="368DA68F" w:rsidR="00AA2C1D" w:rsidRPr="004315E1" w:rsidRDefault="004D5474" w:rsidP="004315E1">
            <w:pPr>
              <w:pStyle w:val="TableTextEntries"/>
            </w:pPr>
            <w:r w:rsidRPr="004315E1">
              <w:t>Green</w:t>
            </w:r>
          </w:p>
        </w:tc>
        <w:tc>
          <w:tcPr>
            <w:tcW w:w="7037" w:type="dxa"/>
            <w:vMerge w:val="restart"/>
          </w:tcPr>
          <w:p w14:paraId="62404F16" w14:textId="2E3F5FCB" w:rsidR="00AA2C1D" w:rsidRPr="004315E1" w:rsidRDefault="00AA2C1D" w:rsidP="004315E1">
            <w:pPr>
              <w:pStyle w:val="TableTextEntries"/>
            </w:pPr>
            <w:r w:rsidRPr="004315E1">
              <w:t xml:space="preserve">Through the PMAG, greater focus on economic analysis has been established and </w:t>
            </w:r>
            <w:r w:rsidR="00802382" w:rsidRPr="004315E1">
              <w:t>r</w:t>
            </w:r>
            <w:r w:rsidRPr="004315E1">
              <w:t>egular economic situation analysis will be prepared with assistance from</w:t>
            </w:r>
            <w:r w:rsidR="00D95FFC" w:rsidRPr="004315E1">
              <w:t xml:space="preserve"> the</w:t>
            </w:r>
            <w:r w:rsidRPr="004315E1">
              <w:t xml:space="preserve"> PFTAC and ADB.</w:t>
            </w:r>
            <w:r w:rsidR="00106490" w:rsidRPr="004315E1">
              <w:t xml:space="preserve"> There has been no progress on pursuing IMF membership.</w:t>
            </w:r>
          </w:p>
          <w:p w14:paraId="06B066BD" w14:textId="77777777" w:rsidR="00AA2C1D" w:rsidRPr="004315E1" w:rsidRDefault="00AA2C1D" w:rsidP="004315E1">
            <w:pPr>
              <w:pStyle w:val="TableTextEntries"/>
            </w:pPr>
          </w:p>
          <w:p w14:paraId="22568135" w14:textId="06E45CFF" w:rsidR="00AA2C1D" w:rsidRPr="004315E1" w:rsidRDefault="00AA2C1D" w:rsidP="004315E1">
            <w:pPr>
              <w:pStyle w:val="TableTextEntries"/>
            </w:pPr>
            <w:r w:rsidRPr="004315E1">
              <w:t>With the appointment of a new Environment and Climate Change adviser to the Department of Commerce, Industry and Environment, initial steps toward develop</w:t>
            </w:r>
            <w:r w:rsidR="00D95FFC" w:rsidRPr="004315E1">
              <w:t>ing</w:t>
            </w:r>
            <w:r w:rsidRPr="004315E1">
              <w:t xml:space="preserve"> an integrated climate change strategy </w:t>
            </w:r>
            <w:r w:rsidR="00D95FFC" w:rsidRPr="004315E1">
              <w:t>started</w:t>
            </w:r>
            <w:r w:rsidRPr="004315E1">
              <w:t xml:space="preserve"> in December 2012.</w:t>
            </w:r>
          </w:p>
          <w:p w14:paraId="6E9A0EB9" w14:textId="77777777" w:rsidR="00AA2C1D" w:rsidRPr="004315E1" w:rsidRDefault="00AA2C1D" w:rsidP="004315E1">
            <w:pPr>
              <w:pStyle w:val="TableTextEntries"/>
            </w:pPr>
          </w:p>
          <w:p w14:paraId="39D1355D" w14:textId="3B92EC1C" w:rsidR="00AA2C1D" w:rsidRPr="004315E1" w:rsidRDefault="00AA2C1D" w:rsidP="004315E1">
            <w:pPr>
              <w:pStyle w:val="TableTextEntries"/>
            </w:pPr>
            <w:r w:rsidRPr="004315E1">
              <w:t>The review of PACTAM was finalised late 2012.</w:t>
            </w:r>
          </w:p>
          <w:p w14:paraId="660D533A" w14:textId="77777777" w:rsidR="00AA2C1D" w:rsidRPr="004315E1" w:rsidRDefault="00AA2C1D" w:rsidP="004315E1">
            <w:pPr>
              <w:pStyle w:val="TableTextEntries"/>
            </w:pPr>
          </w:p>
          <w:p w14:paraId="6A6B2453" w14:textId="4B2CD819" w:rsidR="00AA2C1D" w:rsidRPr="004315E1" w:rsidRDefault="00AA2C1D" w:rsidP="004315E1">
            <w:pPr>
              <w:pStyle w:val="TableTextEntries"/>
            </w:pPr>
            <w:r w:rsidRPr="004315E1">
              <w:t xml:space="preserve">Signage </w:t>
            </w:r>
            <w:r w:rsidR="00D95FFC" w:rsidRPr="004315E1">
              <w:t>was</w:t>
            </w:r>
            <w:r w:rsidRPr="004315E1">
              <w:t xml:space="preserve"> erected at major institutions supported under the </w:t>
            </w:r>
            <w:r w:rsidR="00B90C9A" w:rsidRPr="004315E1">
              <w:t>p</w:t>
            </w:r>
            <w:r w:rsidRPr="004315E1">
              <w:t xml:space="preserve">artnership including the Nauru secondary school, hospital and power station. A media strategy </w:t>
            </w:r>
            <w:r w:rsidR="00D95FFC" w:rsidRPr="004315E1">
              <w:t>was</w:t>
            </w:r>
            <w:r w:rsidRPr="004315E1">
              <w:t xml:space="preserve"> developed in May 2013.</w:t>
            </w:r>
          </w:p>
          <w:p w14:paraId="0F37ADA5" w14:textId="77777777" w:rsidR="00AA2C1D" w:rsidRPr="004315E1" w:rsidRDefault="00AA2C1D" w:rsidP="004315E1">
            <w:pPr>
              <w:pStyle w:val="TableTextEntries"/>
            </w:pPr>
          </w:p>
          <w:p w14:paraId="7601EE68" w14:textId="31B1312E" w:rsidR="00AA2C1D" w:rsidRPr="004315E1" w:rsidRDefault="00AA2C1D" w:rsidP="004315E1">
            <w:pPr>
              <w:pStyle w:val="TableTextEntries"/>
            </w:pPr>
            <w:r w:rsidRPr="004315E1">
              <w:t>Desk raised this issue with ADB counterparts but no formal arrangements have been agreed.</w:t>
            </w:r>
          </w:p>
        </w:tc>
      </w:tr>
      <w:tr w:rsidR="00AA2C1D" w:rsidRPr="00180B19" w14:paraId="6DE03F2C" w14:textId="77777777" w:rsidTr="004D5474">
        <w:trPr>
          <w:cnfStyle w:val="000000010000" w:firstRow="0" w:lastRow="0" w:firstColumn="0" w:lastColumn="0" w:oddVBand="0" w:evenVBand="0" w:oddHBand="0" w:evenHBand="1" w:firstRowFirstColumn="0" w:firstRowLastColumn="0" w:lastRowFirstColumn="0" w:lastRowLastColumn="0"/>
          <w:trHeight w:val="568"/>
        </w:trPr>
        <w:tc>
          <w:tcPr>
            <w:tcW w:w="6473" w:type="dxa"/>
            <w:vMerge/>
          </w:tcPr>
          <w:p w14:paraId="40498EFA" w14:textId="77777777" w:rsidR="00AA2C1D" w:rsidRDefault="00AA2C1D" w:rsidP="002B3331">
            <w:pPr>
              <w:pStyle w:val="TableTextEntries"/>
              <w:numPr>
                <w:ilvl w:val="0"/>
                <w:numId w:val="39"/>
              </w:numPr>
              <w:rPr>
                <w:rFonts w:ascii="Times New Roman" w:hAnsi="Times New Roman"/>
                <w:sz w:val="16"/>
                <w:szCs w:val="16"/>
              </w:rPr>
            </w:pPr>
          </w:p>
        </w:tc>
        <w:tc>
          <w:tcPr>
            <w:tcW w:w="823" w:type="dxa"/>
            <w:shd w:val="clear" w:color="auto" w:fill="92D050"/>
          </w:tcPr>
          <w:p w14:paraId="60FEE8FB" w14:textId="733B7EC8" w:rsidR="00AA2C1D" w:rsidRPr="004315E1" w:rsidRDefault="004D5474" w:rsidP="004315E1">
            <w:pPr>
              <w:pStyle w:val="TableTextEntries"/>
            </w:pPr>
            <w:r w:rsidRPr="004315E1">
              <w:t>Green</w:t>
            </w:r>
          </w:p>
        </w:tc>
        <w:tc>
          <w:tcPr>
            <w:tcW w:w="7037" w:type="dxa"/>
            <w:vMerge/>
          </w:tcPr>
          <w:p w14:paraId="2E3CCF0F" w14:textId="77777777" w:rsidR="00AA2C1D" w:rsidRDefault="00AA2C1D" w:rsidP="009A09DD">
            <w:pPr>
              <w:pStyle w:val="TableTextEntries"/>
              <w:numPr>
                <w:ilvl w:val="0"/>
                <w:numId w:val="39"/>
              </w:numPr>
              <w:rPr>
                <w:rFonts w:ascii="Times New Roman" w:hAnsi="Times New Roman"/>
                <w:sz w:val="16"/>
                <w:szCs w:val="16"/>
                <w:lang w:eastAsia="en-AU"/>
              </w:rPr>
            </w:pPr>
          </w:p>
        </w:tc>
      </w:tr>
      <w:tr w:rsidR="00AA2C1D" w:rsidRPr="00180B19" w14:paraId="17B78D6E" w14:textId="77777777" w:rsidTr="004D5474">
        <w:trPr>
          <w:cnfStyle w:val="000000010000" w:firstRow="0" w:lastRow="0" w:firstColumn="0" w:lastColumn="0" w:oddVBand="0" w:evenVBand="0" w:oddHBand="0" w:evenHBand="1" w:firstRowFirstColumn="0" w:firstRowLastColumn="0" w:lastRowFirstColumn="0" w:lastRowLastColumn="0"/>
          <w:trHeight w:val="610"/>
        </w:trPr>
        <w:tc>
          <w:tcPr>
            <w:tcW w:w="6473" w:type="dxa"/>
            <w:vMerge/>
          </w:tcPr>
          <w:p w14:paraId="4EE47B30" w14:textId="77777777" w:rsidR="00AA2C1D" w:rsidRDefault="00AA2C1D" w:rsidP="002B3331">
            <w:pPr>
              <w:pStyle w:val="TableTextEntries"/>
              <w:numPr>
                <w:ilvl w:val="0"/>
                <w:numId w:val="39"/>
              </w:numPr>
              <w:rPr>
                <w:rFonts w:ascii="Times New Roman" w:hAnsi="Times New Roman"/>
                <w:sz w:val="16"/>
                <w:szCs w:val="16"/>
              </w:rPr>
            </w:pPr>
          </w:p>
        </w:tc>
        <w:tc>
          <w:tcPr>
            <w:tcW w:w="823" w:type="dxa"/>
            <w:shd w:val="clear" w:color="auto" w:fill="92D050"/>
          </w:tcPr>
          <w:p w14:paraId="2E56B230" w14:textId="4C7BBFC2" w:rsidR="00AA2C1D" w:rsidRPr="004315E1" w:rsidRDefault="004D5474" w:rsidP="004315E1">
            <w:pPr>
              <w:pStyle w:val="TableTextEntries"/>
            </w:pPr>
            <w:r w:rsidRPr="004315E1">
              <w:t>Green</w:t>
            </w:r>
          </w:p>
        </w:tc>
        <w:tc>
          <w:tcPr>
            <w:tcW w:w="7037" w:type="dxa"/>
            <w:vMerge/>
          </w:tcPr>
          <w:p w14:paraId="4EFE956E" w14:textId="77777777" w:rsidR="00AA2C1D" w:rsidRDefault="00AA2C1D" w:rsidP="009A09DD">
            <w:pPr>
              <w:pStyle w:val="TableTextEntries"/>
              <w:numPr>
                <w:ilvl w:val="0"/>
                <w:numId w:val="39"/>
              </w:numPr>
              <w:rPr>
                <w:rFonts w:ascii="Times New Roman" w:hAnsi="Times New Roman"/>
                <w:sz w:val="16"/>
                <w:szCs w:val="16"/>
                <w:lang w:eastAsia="en-AU"/>
              </w:rPr>
            </w:pPr>
          </w:p>
        </w:tc>
      </w:tr>
      <w:tr w:rsidR="00AA2C1D" w:rsidRPr="00180B19" w14:paraId="468B7934" w14:textId="77777777" w:rsidTr="004D5474">
        <w:trPr>
          <w:cnfStyle w:val="000000010000" w:firstRow="0" w:lastRow="0" w:firstColumn="0" w:lastColumn="0" w:oddVBand="0" w:evenVBand="0" w:oddHBand="0" w:evenHBand="1" w:firstRowFirstColumn="0" w:firstRowLastColumn="0" w:lastRowFirstColumn="0" w:lastRowLastColumn="0"/>
          <w:trHeight w:val="609"/>
        </w:trPr>
        <w:tc>
          <w:tcPr>
            <w:tcW w:w="6473" w:type="dxa"/>
            <w:vMerge/>
          </w:tcPr>
          <w:p w14:paraId="2CE44CF6" w14:textId="77777777" w:rsidR="00AA2C1D" w:rsidRDefault="00AA2C1D" w:rsidP="002B3331">
            <w:pPr>
              <w:pStyle w:val="TableTextEntries"/>
              <w:numPr>
                <w:ilvl w:val="0"/>
                <w:numId w:val="39"/>
              </w:numPr>
              <w:rPr>
                <w:rFonts w:ascii="Times New Roman" w:hAnsi="Times New Roman"/>
                <w:sz w:val="16"/>
                <w:szCs w:val="16"/>
              </w:rPr>
            </w:pPr>
          </w:p>
        </w:tc>
        <w:tc>
          <w:tcPr>
            <w:tcW w:w="823" w:type="dxa"/>
            <w:shd w:val="clear" w:color="auto" w:fill="92D050"/>
          </w:tcPr>
          <w:p w14:paraId="4D694BDD" w14:textId="42784E1E" w:rsidR="00AA2C1D" w:rsidRPr="004315E1" w:rsidRDefault="004D5474" w:rsidP="004315E1">
            <w:pPr>
              <w:pStyle w:val="TableTextEntries"/>
            </w:pPr>
            <w:r w:rsidRPr="004315E1">
              <w:t>Green</w:t>
            </w:r>
          </w:p>
        </w:tc>
        <w:tc>
          <w:tcPr>
            <w:tcW w:w="7037" w:type="dxa"/>
            <w:vMerge/>
          </w:tcPr>
          <w:p w14:paraId="5B903699" w14:textId="77777777" w:rsidR="00AA2C1D" w:rsidRDefault="00AA2C1D" w:rsidP="009A09DD">
            <w:pPr>
              <w:pStyle w:val="TableTextEntries"/>
              <w:numPr>
                <w:ilvl w:val="0"/>
                <w:numId w:val="39"/>
              </w:numPr>
              <w:rPr>
                <w:rFonts w:ascii="Times New Roman" w:hAnsi="Times New Roman"/>
                <w:sz w:val="16"/>
                <w:szCs w:val="16"/>
                <w:lang w:eastAsia="en-AU"/>
              </w:rPr>
            </w:pPr>
          </w:p>
        </w:tc>
      </w:tr>
      <w:tr w:rsidR="00AA2C1D" w:rsidRPr="00180B19" w14:paraId="27518928" w14:textId="77777777" w:rsidTr="007517DC">
        <w:trPr>
          <w:cnfStyle w:val="000000010000" w:firstRow="0" w:lastRow="0" w:firstColumn="0" w:lastColumn="0" w:oddVBand="0" w:evenVBand="0" w:oddHBand="0" w:evenHBand="1" w:firstRowFirstColumn="0" w:firstRowLastColumn="0" w:lastRowFirstColumn="0" w:lastRowLastColumn="0"/>
          <w:trHeight w:val="609"/>
        </w:trPr>
        <w:tc>
          <w:tcPr>
            <w:tcW w:w="6473" w:type="dxa"/>
            <w:vMerge/>
          </w:tcPr>
          <w:p w14:paraId="6FB58FC3" w14:textId="77777777" w:rsidR="00AA2C1D" w:rsidRDefault="00AA2C1D" w:rsidP="002B3331">
            <w:pPr>
              <w:pStyle w:val="TableTextEntries"/>
              <w:numPr>
                <w:ilvl w:val="0"/>
                <w:numId w:val="39"/>
              </w:numPr>
              <w:rPr>
                <w:rFonts w:ascii="Times New Roman" w:hAnsi="Times New Roman"/>
                <w:sz w:val="16"/>
                <w:szCs w:val="16"/>
              </w:rPr>
            </w:pPr>
          </w:p>
        </w:tc>
        <w:tc>
          <w:tcPr>
            <w:tcW w:w="823" w:type="dxa"/>
            <w:shd w:val="clear" w:color="auto" w:fill="F79646" w:themeFill="accent6"/>
          </w:tcPr>
          <w:p w14:paraId="23591DCF" w14:textId="1C59AA2B" w:rsidR="00AA2C1D" w:rsidRPr="004315E1" w:rsidRDefault="004D5474" w:rsidP="004315E1">
            <w:pPr>
              <w:pStyle w:val="TableTextEntries"/>
            </w:pPr>
            <w:r w:rsidRPr="004315E1">
              <w:t>Amber</w:t>
            </w:r>
          </w:p>
        </w:tc>
        <w:tc>
          <w:tcPr>
            <w:tcW w:w="7037" w:type="dxa"/>
            <w:vMerge/>
          </w:tcPr>
          <w:p w14:paraId="2CD94C51" w14:textId="77777777" w:rsidR="00AA2C1D" w:rsidRDefault="00AA2C1D" w:rsidP="009A09DD">
            <w:pPr>
              <w:pStyle w:val="TableTextEntries"/>
              <w:numPr>
                <w:ilvl w:val="0"/>
                <w:numId w:val="39"/>
              </w:numPr>
              <w:rPr>
                <w:rFonts w:ascii="Times New Roman" w:hAnsi="Times New Roman"/>
                <w:sz w:val="16"/>
                <w:szCs w:val="16"/>
                <w:lang w:eastAsia="en-AU"/>
              </w:rPr>
            </w:pPr>
          </w:p>
        </w:tc>
      </w:tr>
    </w:tbl>
    <w:p w14:paraId="7601EE70" w14:textId="7D14F164" w:rsidR="00FE4491" w:rsidRPr="00FE4491" w:rsidRDefault="004315E1" w:rsidP="00FE4491">
      <w:pPr>
        <w:pStyle w:val="Note"/>
      </w:pPr>
      <w:r>
        <w:t>N</w:t>
      </w:r>
      <w:r w:rsidR="00FE4491" w:rsidRPr="00FE4491">
        <w:t xml:space="preserve">ote: </w:t>
      </w:r>
    </w:p>
    <w:p w14:paraId="7601EE71" w14:textId="77777777" w:rsidR="00FE4491" w:rsidRPr="00FE4491" w:rsidRDefault="00FE4491" w:rsidP="00FE4491">
      <w:pPr>
        <w:pStyle w:val="Note"/>
      </w:pPr>
      <w:r w:rsidRPr="00FE4491">
        <w:rPr>
          <w:color w:val="92D050"/>
        </w:rPr>
        <w:sym w:font="Webdings" w:char="F067"/>
      </w:r>
      <w:r w:rsidRPr="00FE4491">
        <w:t> </w:t>
      </w:r>
      <w:r w:rsidRPr="00FE4491">
        <w:t xml:space="preserve"> </w:t>
      </w:r>
      <w:proofErr w:type="gramStart"/>
      <w:r w:rsidR="00443639">
        <w:t>Green</w:t>
      </w:r>
      <w:r>
        <w:t>.</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7601EE72" w14:textId="77777777" w:rsidR="00FE4491" w:rsidRDefault="00FE449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7601EE73" w14:textId="77777777" w:rsidR="00BB1C24" w:rsidRDefault="00FE4491" w:rsidP="00FE4491">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7601EE74" w14:textId="77777777" w:rsidR="00FE4491" w:rsidRDefault="00FE4491" w:rsidP="00FE4491">
      <w:pPr>
        <w:sectPr w:rsidR="00FE4491" w:rsidSect="001D6C8B">
          <w:headerReference w:type="default" r:id="rId16"/>
          <w:headerReference w:type="first" r:id="rId17"/>
          <w:footerReference w:type="first" r:id="rId18"/>
          <w:pgSz w:w="16838" w:h="11906" w:orient="landscape" w:code="9"/>
          <w:pgMar w:top="1871" w:right="2268" w:bottom="1134" w:left="907" w:header="709" w:footer="425" w:gutter="0"/>
          <w:cols w:space="708"/>
          <w:titlePg/>
          <w:docGrid w:linePitch="360"/>
        </w:sectPr>
      </w:pPr>
    </w:p>
    <w:p w14:paraId="7601EE75" w14:textId="77777777" w:rsidR="00FE4491" w:rsidRPr="00FE4491" w:rsidRDefault="00FE4491" w:rsidP="00FE4491">
      <w:pPr>
        <w:pStyle w:val="Heading1"/>
      </w:pPr>
      <w:r w:rsidRPr="00FE4491">
        <w:lastRenderedPageBreak/>
        <w:t xml:space="preserve">Annex B </w:t>
      </w:r>
    </w:p>
    <w:p w14:paraId="7601EE76" w14:textId="75B89224" w:rsidR="00FE4491" w:rsidRPr="00FE4491" w:rsidRDefault="00FE4491" w:rsidP="00C65930">
      <w:pPr>
        <w:pStyle w:val="Heading2"/>
      </w:pPr>
      <w:r w:rsidRPr="00FE4491">
        <w:t xml:space="preserve">Quality at </w:t>
      </w:r>
      <w:r w:rsidR="00802382">
        <w:t>i</w:t>
      </w:r>
      <w:r w:rsidRPr="00FE4491">
        <w:t>mplementation ratings</w:t>
      </w:r>
    </w:p>
    <w:tbl>
      <w:tblPr>
        <w:tblStyle w:val="APPR"/>
        <w:tblW w:w="5000" w:type="pct"/>
        <w:tblLayout w:type="fixed"/>
        <w:tblLook w:val="0000" w:firstRow="0" w:lastRow="0" w:firstColumn="0" w:lastColumn="0" w:noHBand="0" w:noVBand="0"/>
      </w:tblPr>
      <w:tblGrid>
        <w:gridCol w:w="1636"/>
        <w:gridCol w:w="1193"/>
        <w:gridCol w:w="764"/>
        <w:gridCol w:w="245"/>
        <w:gridCol w:w="757"/>
        <w:gridCol w:w="668"/>
        <w:gridCol w:w="668"/>
        <w:gridCol w:w="708"/>
        <w:gridCol w:w="620"/>
        <w:gridCol w:w="668"/>
        <w:gridCol w:w="679"/>
      </w:tblGrid>
      <w:tr w:rsidR="00FE4491" w:rsidRPr="009D53C4" w14:paraId="7601EE81" w14:textId="77777777" w:rsidTr="004315E1">
        <w:trPr>
          <w:cnfStyle w:val="000000010000" w:firstRow="0" w:lastRow="0" w:firstColumn="0" w:lastColumn="0" w:oddVBand="0" w:evenVBand="0" w:oddHBand="0" w:evenHBand="1" w:firstRowFirstColumn="0" w:firstRowLastColumn="0" w:lastRowFirstColumn="0" w:lastRowLastColumn="0"/>
          <w:trHeight w:val="1413"/>
        </w:trPr>
        <w:tc>
          <w:tcPr>
            <w:tcW w:w="925" w:type="pct"/>
          </w:tcPr>
          <w:p w14:paraId="7601EE77" w14:textId="77777777" w:rsidR="00FE4491" w:rsidRPr="004315E1" w:rsidRDefault="00FE4491" w:rsidP="004315E1">
            <w:pPr>
              <w:pStyle w:val="TableTextColumnHeading"/>
            </w:pPr>
            <w:r w:rsidRPr="004315E1">
              <w:rPr>
                <w:noProof/>
                <w:lang w:eastAsia="en-AU"/>
              </w:rPr>
              <w:drawing>
                <wp:anchor distT="0" distB="0" distL="114300" distR="114300" simplePos="0" relativeHeight="251664384" behindDoc="0" locked="0" layoutInCell="1" allowOverlap="1" wp14:anchorId="7601EF32" wp14:editId="7601EF33">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1">
              <w:t>Initiative name</w:t>
            </w:r>
          </w:p>
        </w:tc>
        <w:tc>
          <w:tcPr>
            <w:tcW w:w="676" w:type="pct"/>
            <w:textDirection w:val="btLr"/>
          </w:tcPr>
          <w:p w14:paraId="7601EE78" w14:textId="77777777" w:rsidR="00FE4491" w:rsidRPr="004315E1" w:rsidRDefault="00FE4491" w:rsidP="004315E1">
            <w:pPr>
              <w:pStyle w:val="TableTextColumnHeading"/>
            </w:pPr>
            <w:r w:rsidRPr="004315E1">
              <w:t>Approved budget and duration</w:t>
            </w:r>
          </w:p>
        </w:tc>
        <w:tc>
          <w:tcPr>
            <w:tcW w:w="427" w:type="pct"/>
            <w:textDirection w:val="btLr"/>
          </w:tcPr>
          <w:p w14:paraId="7601EE79" w14:textId="71F153E6" w:rsidR="00FE4491" w:rsidRPr="004315E1" w:rsidRDefault="00FE4491" w:rsidP="004315E1">
            <w:pPr>
              <w:pStyle w:val="TableTextColumnHeading"/>
            </w:pPr>
            <w:proofErr w:type="spellStart"/>
            <w:r w:rsidRPr="004315E1">
              <w:t>Qa</w:t>
            </w:r>
            <w:r w:rsidR="006B43EB" w:rsidRPr="004315E1">
              <w:t>I</w:t>
            </w:r>
            <w:r w:rsidRPr="004315E1">
              <w:t>year</w:t>
            </w:r>
            <w:proofErr w:type="spellEnd"/>
          </w:p>
        </w:tc>
        <w:tc>
          <w:tcPr>
            <w:tcW w:w="550" w:type="pct"/>
            <w:gridSpan w:val="2"/>
            <w:textDirection w:val="btLr"/>
          </w:tcPr>
          <w:p w14:paraId="7601EE7A" w14:textId="77777777" w:rsidR="00FE4491" w:rsidRPr="004315E1" w:rsidRDefault="00FE4491" w:rsidP="004315E1">
            <w:pPr>
              <w:pStyle w:val="TableTextColumnHeading"/>
            </w:pPr>
            <w:r w:rsidRPr="004315E1">
              <w:t>Relevance</w:t>
            </w:r>
          </w:p>
        </w:tc>
        <w:tc>
          <w:tcPr>
            <w:tcW w:w="372" w:type="pct"/>
            <w:textDirection w:val="btLr"/>
          </w:tcPr>
          <w:p w14:paraId="7601EE7B" w14:textId="77777777" w:rsidR="00FE4491" w:rsidRPr="004315E1" w:rsidRDefault="00FE4491" w:rsidP="004315E1">
            <w:pPr>
              <w:pStyle w:val="TableTextColumnHeading"/>
            </w:pPr>
            <w:r w:rsidRPr="004315E1">
              <w:t>Effectiveness</w:t>
            </w:r>
          </w:p>
        </w:tc>
        <w:tc>
          <w:tcPr>
            <w:tcW w:w="372" w:type="pct"/>
            <w:textDirection w:val="btLr"/>
          </w:tcPr>
          <w:p w14:paraId="7601EE7C" w14:textId="77777777" w:rsidR="00FE4491" w:rsidRPr="004315E1" w:rsidRDefault="00FE4491" w:rsidP="004315E1">
            <w:pPr>
              <w:pStyle w:val="TableTextColumnHeading"/>
            </w:pPr>
            <w:r w:rsidRPr="004315E1">
              <w:t>Efficiency</w:t>
            </w:r>
          </w:p>
        </w:tc>
        <w:tc>
          <w:tcPr>
            <w:tcW w:w="395" w:type="pct"/>
            <w:textDirection w:val="btLr"/>
          </w:tcPr>
          <w:p w14:paraId="7601EE7D" w14:textId="4A289E1C" w:rsidR="00FE4491" w:rsidRPr="004315E1" w:rsidRDefault="00FE4491" w:rsidP="004315E1">
            <w:pPr>
              <w:pStyle w:val="TableTextColumnHeading"/>
            </w:pPr>
            <w:r w:rsidRPr="004315E1">
              <w:t xml:space="preserve">Monitoring and </w:t>
            </w:r>
            <w:r w:rsidR="00802382" w:rsidRPr="004315E1">
              <w:t>e</w:t>
            </w:r>
            <w:r w:rsidRPr="004315E1">
              <w:t>valuation</w:t>
            </w:r>
          </w:p>
        </w:tc>
        <w:tc>
          <w:tcPr>
            <w:tcW w:w="344" w:type="pct"/>
            <w:textDirection w:val="btLr"/>
          </w:tcPr>
          <w:p w14:paraId="7601EE7E" w14:textId="77777777" w:rsidR="00FE4491" w:rsidRPr="004315E1" w:rsidRDefault="00FE4491" w:rsidP="004315E1">
            <w:pPr>
              <w:pStyle w:val="TableTextColumnHeading"/>
            </w:pPr>
            <w:r w:rsidRPr="004315E1">
              <w:t>Sustainability</w:t>
            </w:r>
          </w:p>
        </w:tc>
        <w:tc>
          <w:tcPr>
            <w:tcW w:w="372" w:type="pct"/>
            <w:textDirection w:val="btLr"/>
          </w:tcPr>
          <w:p w14:paraId="7601EE7F" w14:textId="77777777" w:rsidR="00FE4491" w:rsidRPr="004315E1" w:rsidRDefault="00FE4491" w:rsidP="004315E1">
            <w:pPr>
              <w:pStyle w:val="TableTextColumnHeading"/>
            </w:pPr>
            <w:r w:rsidRPr="004315E1">
              <w:t>Gender equality</w:t>
            </w:r>
          </w:p>
        </w:tc>
        <w:tc>
          <w:tcPr>
            <w:tcW w:w="370" w:type="pct"/>
            <w:textDirection w:val="btLr"/>
          </w:tcPr>
          <w:p w14:paraId="7601EE80" w14:textId="13466EF1" w:rsidR="00FE4491" w:rsidRPr="004315E1" w:rsidRDefault="00FE4491" w:rsidP="004315E1">
            <w:pPr>
              <w:pStyle w:val="TableTextColumnHeading"/>
            </w:pPr>
            <w:r w:rsidRPr="004315E1">
              <w:t xml:space="preserve">Risk </w:t>
            </w:r>
            <w:r w:rsidR="00802382" w:rsidRPr="004315E1">
              <w:t>m</w:t>
            </w:r>
            <w:r w:rsidRPr="004315E1">
              <w:t>anagement</w:t>
            </w:r>
          </w:p>
        </w:tc>
      </w:tr>
      <w:tr w:rsidR="00953298" w:rsidRPr="009D53C4" w14:paraId="7601EE8C" w14:textId="77777777" w:rsidTr="004315E1">
        <w:trPr>
          <w:cnfStyle w:val="000000010000" w:firstRow="0" w:lastRow="0" w:firstColumn="0" w:lastColumn="0" w:oddVBand="0" w:evenVBand="0" w:oddHBand="0" w:evenHBand="1" w:firstRowFirstColumn="0" w:firstRowLastColumn="0" w:lastRowFirstColumn="0" w:lastRowLastColumn="0"/>
          <w:trHeight w:val="284"/>
        </w:trPr>
        <w:tc>
          <w:tcPr>
            <w:tcW w:w="925" w:type="pct"/>
            <w:vMerge w:val="restart"/>
          </w:tcPr>
          <w:p w14:paraId="0A102529" w14:textId="704652B6" w:rsidR="00AC3F72" w:rsidRDefault="00AC3F72" w:rsidP="004315E1">
            <w:pPr>
              <w:pStyle w:val="TableTextEntries"/>
            </w:pPr>
            <w:r>
              <w:t xml:space="preserve">Public </w:t>
            </w:r>
            <w:r w:rsidR="00802382">
              <w:t>s</w:t>
            </w:r>
            <w:r>
              <w:t xml:space="preserve">ector </w:t>
            </w:r>
            <w:r w:rsidR="00802382">
              <w:t>m</w:t>
            </w:r>
            <w:r>
              <w:t>anagement</w:t>
            </w:r>
          </w:p>
          <w:p w14:paraId="7601EE82" w14:textId="6FCE66BF" w:rsidR="00AC3F72" w:rsidRPr="00FE4491" w:rsidRDefault="00AC3F72" w:rsidP="004315E1">
            <w:pPr>
              <w:pStyle w:val="TableTextEntries"/>
            </w:pPr>
          </w:p>
        </w:tc>
        <w:tc>
          <w:tcPr>
            <w:tcW w:w="676" w:type="pct"/>
            <w:vMerge w:val="restart"/>
          </w:tcPr>
          <w:p w14:paraId="6CA4A7B2" w14:textId="480221E7" w:rsidR="00FE4491" w:rsidRDefault="004C7658" w:rsidP="004315E1">
            <w:pPr>
              <w:pStyle w:val="TableTextEntries"/>
            </w:pPr>
            <w:r>
              <w:t>$7.6 m</w:t>
            </w:r>
            <w:r w:rsidR="004E3598">
              <w:t>illion</w:t>
            </w:r>
          </w:p>
          <w:p w14:paraId="7601EE83" w14:textId="2ED41A18" w:rsidR="004C7658" w:rsidRPr="00FE4491" w:rsidRDefault="004C7658" w:rsidP="004315E1">
            <w:pPr>
              <w:pStyle w:val="TableTextEntries"/>
            </w:pPr>
            <w:r>
              <w:t>2009</w:t>
            </w:r>
            <w:r w:rsidR="00802382">
              <w:t>–</w:t>
            </w:r>
            <w:r>
              <w:t>15</w:t>
            </w:r>
          </w:p>
        </w:tc>
        <w:tc>
          <w:tcPr>
            <w:tcW w:w="553" w:type="pct"/>
            <w:gridSpan w:val="2"/>
          </w:tcPr>
          <w:p w14:paraId="7601EE84" w14:textId="77777777" w:rsidR="00FE4491" w:rsidRPr="00FE4491" w:rsidRDefault="00FE4491" w:rsidP="004315E1">
            <w:pPr>
              <w:pStyle w:val="TableTextEntries"/>
            </w:pPr>
            <w:r w:rsidRPr="00FE4491">
              <w:t>2012</w:t>
            </w:r>
          </w:p>
        </w:tc>
        <w:tc>
          <w:tcPr>
            <w:tcW w:w="424" w:type="pct"/>
            <w:shd w:val="clear" w:color="auto" w:fill="92D050"/>
            <w:noWrap/>
          </w:tcPr>
          <w:p w14:paraId="7601EE85" w14:textId="77777777" w:rsidR="00FE4491" w:rsidRPr="00FE4491" w:rsidRDefault="00FE4491" w:rsidP="004315E1">
            <w:pPr>
              <w:pStyle w:val="TableTextEntries"/>
              <w:jc w:val="center"/>
            </w:pPr>
            <w:r w:rsidRPr="00FE4491">
              <w:t>5</w:t>
            </w:r>
          </w:p>
        </w:tc>
        <w:tc>
          <w:tcPr>
            <w:tcW w:w="372" w:type="pct"/>
            <w:shd w:val="clear" w:color="auto" w:fill="FFFF00"/>
            <w:noWrap/>
          </w:tcPr>
          <w:p w14:paraId="7601EE86" w14:textId="191E2130" w:rsidR="00FE4491" w:rsidRPr="00FE4491" w:rsidRDefault="003B3DA0" w:rsidP="004315E1">
            <w:pPr>
              <w:pStyle w:val="TableTextEntries"/>
              <w:jc w:val="center"/>
            </w:pPr>
            <w:r>
              <w:t>4</w:t>
            </w:r>
          </w:p>
        </w:tc>
        <w:tc>
          <w:tcPr>
            <w:tcW w:w="372" w:type="pct"/>
            <w:shd w:val="clear" w:color="auto" w:fill="FFFF00"/>
            <w:noWrap/>
          </w:tcPr>
          <w:p w14:paraId="7601EE87" w14:textId="77777777" w:rsidR="00FE4491" w:rsidRPr="00FE4491" w:rsidRDefault="00FE4491" w:rsidP="004315E1">
            <w:pPr>
              <w:pStyle w:val="TableTextEntries"/>
              <w:jc w:val="center"/>
            </w:pPr>
            <w:r w:rsidRPr="00FE4491">
              <w:t>4</w:t>
            </w:r>
          </w:p>
        </w:tc>
        <w:tc>
          <w:tcPr>
            <w:tcW w:w="395" w:type="pct"/>
            <w:shd w:val="clear" w:color="auto" w:fill="92D050"/>
            <w:noWrap/>
          </w:tcPr>
          <w:p w14:paraId="7601EE88" w14:textId="7EAD987E" w:rsidR="00FE4491" w:rsidRPr="00FE4491" w:rsidRDefault="003B3DA0" w:rsidP="004315E1">
            <w:pPr>
              <w:pStyle w:val="TableTextEntries"/>
              <w:jc w:val="center"/>
            </w:pPr>
            <w:r>
              <w:t>5</w:t>
            </w:r>
          </w:p>
        </w:tc>
        <w:tc>
          <w:tcPr>
            <w:tcW w:w="344" w:type="pct"/>
            <w:shd w:val="clear" w:color="auto" w:fill="FFFF00"/>
            <w:noWrap/>
          </w:tcPr>
          <w:p w14:paraId="7601EE89" w14:textId="3578629C" w:rsidR="00FE4491" w:rsidRPr="00FE4491" w:rsidRDefault="003B3DA0" w:rsidP="004315E1">
            <w:pPr>
              <w:pStyle w:val="TableTextEntries"/>
              <w:jc w:val="center"/>
            </w:pPr>
            <w:r>
              <w:t>4</w:t>
            </w:r>
          </w:p>
        </w:tc>
        <w:tc>
          <w:tcPr>
            <w:tcW w:w="372" w:type="pct"/>
            <w:shd w:val="clear" w:color="auto" w:fill="F79646" w:themeFill="accent6"/>
            <w:noWrap/>
          </w:tcPr>
          <w:p w14:paraId="7601EE8A" w14:textId="50B9234A" w:rsidR="00FE4491" w:rsidRPr="00FE4491" w:rsidRDefault="003B3DA0" w:rsidP="004315E1">
            <w:pPr>
              <w:pStyle w:val="TableTextEntries"/>
              <w:jc w:val="center"/>
            </w:pPr>
            <w:r>
              <w:t>3</w:t>
            </w:r>
          </w:p>
        </w:tc>
        <w:tc>
          <w:tcPr>
            <w:tcW w:w="370" w:type="pct"/>
            <w:shd w:val="clear" w:color="auto" w:fill="F79646" w:themeFill="accent6"/>
            <w:noWrap/>
          </w:tcPr>
          <w:p w14:paraId="7601EE8B" w14:textId="2D8E974E" w:rsidR="00FE4491" w:rsidRPr="00FE4491" w:rsidRDefault="003B3DA0" w:rsidP="004315E1">
            <w:pPr>
              <w:pStyle w:val="TableTextEntries"/>
              <w:jc w:val="center"/>
            </w:pPr>
            <w:r>
              <w:t>I</w:t>
            </w:r>
          </w:p>
        </w:tc>
      </w:tr>
      <w:tr w:rsidR="00953298" w:rsidRPr="009D53C4" w14:paraId="7601EE97" w14:textId="77777777" w:rsidTr="004315E1">
        <w:trPr>
          <w:cnfStyle w:val="000000010000" w:firstRow="0" w:lastRow="0" w:firstColumn="0" w:lastColumn="0" w:oddVBand="0" w:evenVBand="0" w:oddHBand="0" w:evenHBand="1" w:firstRowFirstColumn="0" w:firstRowLastColumn="0" w:lastRowFirstColumn="0" w:lastRowLastColumn="0"/>
          <w:trHeight w:val="284"/>
        </w:trPr>
        <w:tc>
          <w:tcPr>
            <w:tcW w:w="925" w:type="pct"/>
            <w:vMerge/>
          </w:tcPr>
          <w:p w14:paraId="7601EE8D" w14:textId="03C24716" w:rsidR="00FE4491" w:rsidRPr="00FE4491" w:rsidRDefault="00FE4491" w:rsidP="004315E1">
            <w:pPr>
              <w:pStyle w:val="TableTextEntries"/>
            </w:pPr>
          </w:p>
        </w:tc>
        <w:tc>
          <w:tcPr>
            <w:tcW w:w="676" w:type="pct"/>
            <w:vMerge/>
          </w:tcPr>
          <w:p w14:paraId="7601EE8E" w14:textId="77777777" w:rsidR="00FE4491" w:rsidRPr="00FE4491" w:rsidRDefault="00FE4491" w:rsidP="004315E1">
            <w:pPr>
              <w:pStyle w:val="TableTextEntries"/>
            </w:pPr>
          </w:p>
        </w:tc>
        <w:tc>
          <w:tcPr>
            <w:tcW w:w="553" w:type="pct"/>
            <w:gridSpan w:val="2"/>
          </w:tcPr>
          <w:p w14:paraId="7601EE8F" w14:textId="77777777" w:rsidR="00FE4491" w:rsidRPr="00FE4491" w:rsidRDefault="00FE4491" w:rsidP="004315E1">
            <w:pPr>
              <w:pStyle w:val="TableTextEntries"/>
            </w:pPr>
            <w:r w:rsidRPr="00FE4491">
              <w:t>2011</w:t>
            </w:r>
          </w:p>
        </w:tc>
        <w:tc>
          <w:tcPr>
            <w:tcW w:w="424" w:type="pct"/>
            <w:shd w:val="clear" w:color="auto" w:fill="92D050"/>
            <w:noWrap/>
          </w:tcPr>
          <w:p w14:paraId="7601EE90" w14:textId="45E0DE7F" w:rsidR="00FE4491" w:rsidRPr="00FE4491" w:rsidRDefault="003B3DA0" w:rsidP="004315E1">
            <w:pPr>
              <w:pStyle w:val="TableTextEntries"/>
              <w:jc w:val="center"/>
            </w:pPr>
            <w:r>
              <w:t>5</w:t>
            </w:r>
          </w:p>
        </w:tc>
        <w:tc>
          <w:tcPr>
            <w:tcW w:w="372" w:type="pct"/>
            <w:shd w:val="clear" w:color="auto" w:fill="92D050"/>
            <w:noWrap/>
          </w:tcPr>
          <w:p w14:paraId="7601EE91" w14:textId="5EC47611" w:rsidR="00FE4491" w:rsidRPr="00FE4491" w:rsidRDefault="003B3DA0" w:rsidP="004315E1">
            <w:pPr>
              <w:pStyle w:val="TableTextEntries"/>
              <w:jc w:val="center"/>
            </w:pPr>
            <w:r>
              <w:t>5</w:t>
            </w:r>
          </w:p>
        </w:tc>
        <w:tc>
          <w:tcPr>
            <w:tcW w:w="372" w:type="pct"/>
            <w:shd w:val="clear" w:color="auto" w:fill="92D050"/>
            <w:noWrap/>
          </w:tcPr>
          <w:p w14:paraId="7601EE92" w14:textId="31F25267" w:rsidR="00FE4491" w:rsidRPr="00FE4491" w:rsidRDefault="003B3DA0" w:rsidP="004315E1">
            <w:pPr>
              <w:pStyle w:val="TableTextEntries"/>
              <w:jc w:val="center"/>
            </w:pPr>
            <w:r>
              <w:t>5</w:t>
            </w:r>
          </w:p>
        </w:tc>
        <w:tc>
          <w:tcPr>
            <w:tcW w:w="395" w:type="pct"/>
            <w:shd w:val="clear" w:color="auto" w:fill="FFFF00"/>
            <w:noWrap/>
          </w:tcPr>
          <w:p w14:paraId="7601EE93" w14:textId="3850064C" w:rsidR="00FE4491" w:rsidRPr="00FE4491" w:rsidRDefault="003B3DA0" w:rsidP="004315E1">
            <w:pPr>
              <w:pStyle w:val="TableTextEntries"/>
              <w:jc w:val="center"/>
            </w:pPr>
            <w:r>
              <w:t>4</w:t>
            </w:r>
          </w:p>
        </w:tc>
        <w:tc>
          <w:tcPr>
            <w:tcW w:w="344" w:type="pct"/>
            <w:shd w:val="clear" w:color="auto" w:fill="FFFF00"/>
            <w:noWrap/>
          </w:tcPr>
          <w:p w14:paraId="7601EE94" w14:textId="710E5305" w:rsidR="00FE4491" w:rsidRPr="00FE4491" w:rsidRDefault="003B3DA0" w:rsidP="004315E1">
            <w:pPr>
              <w:pStyle w:val="TableTextEntries"/>
              <w:jc w:val="center"/>
            </w:pPr>
            <w:r>
              <w:t>4</w:t>
            </w:r>
          </w:p>
        </w:tc>
        <w:tc>
          <w:tcPr>
            <w:tcW w:w="372" w:type="pct"/>
            <w:shd w:val="clear" w:color="auto" w:fill="FFFF00"/>
            <w:noWrap/>
          </w:tcPr>
          <w:p w14:paraId="7601EE95" w14:textId="4D93D69C" w:rsidR="00FE4491" w:rsidRPr="00FE4491" w:rsidRDefault="003B3DA0" w:rsidP="004315E1">
            <w:pPr>
              <w:pStyle w:val="TableTextEntries"/>
              <w:jc w:val="center"/>
            </w:pPr>
            <w:r>
              <w:t>4</w:t>
            </w:r>
          </w:p>
        </w:tc>
        <w:tc>
          <w:tcPr>
            <w:tcW w:w="370" w:type="pct"/>
            <w:shd w:val="clear" w:color="auto" w:fill="F79646" w:themeFill="accent6"/>
            <w:noWrap/>
          </w:tcPr>
          <w:p w14:paraId="7601EE96" w14:textId="77777777" w:rsidR="00FE4491" w:rsidRPr="00FE4491" w:rsidRDefault="00FE4491" w:rsidP="004315E1">
            <w:pPr>
              <w:pStyle w:val="TableTextEntries"/>
              <w:jc w:val="center"/>
            </w:pPr>
            <w:r w:rsidRPr="00FE4491">
              <w:t>I</w:t>
            </w:r>
          </w:p>
        </w:tc>
      </w:tr>
      <w:tr w:rsidR="00953298" w:rsidRPr="009D53C4" w14:paraId="7601EEA2" w14:textId="77777777" w:rsidTr="004315E1">
        <w:trPr>
          <w:cnfStyle w:val="000000010000" w:firstRow="0" w:lastRow="0" w:firstColumn="0" w:lastColumn="0" w:oddVBand="0" w:evenVBand="0" w:oddHBand="0" w:evenHBand="1" w:firstRowFirstColumn="0" w:firstRowLastColumn="0" w:lastRowFirstColumn="0" w:lastRowLastColumn="0"/>
          <w:trHeight w:val="284"/>
        </w:trPr>
        <w:tc>
          <w:tcPr>
            <w:tcW w:w="925" w:type="pct"/>
            <w:vMerge w:val="restart"/>
          </w:tcPr>
          <w:p w14:paraId="2ACDAA01" w14:textId="756D5F8C" w:rsidR="00AC3F72" w:rsidRDefault="00AC3F72" w:rsidP="004315E1">
            <w:pPr>
              <w:pStyle w:val="TableTextEntries"/>
            </w:pPr>
            <w:r>
              <w:t>Education</w:t>
            </w:r>
          </w:p>
          <w:p w14:paraId="7601EE98" w14:textId="77777777" w:rsidR="00AC3F72" w:rsidRPr="00FE4491" w:rsidRDefault="00AC3F72" w:rsidP="004315E1">
            <w:pPr>
              <w:pStyle w:val="TableTextEntries"/>
            </w:pPr>
          </w:p>
        </w:tc>
        <w:tc>
          <w:tcPr>
            <w:tcW w:w="676" w:type="pct"/>
            <w:vMerge w:val="restart"/>
          </w:tcPr>
          <w:p w14:paraId="2B52A88B" w14:textId="45E4F6BC" w:rsidR="00FE4491" w:rsidRDefault="004C7658" w:rsidP="004315E1">
            <w:pPr>
              <w:pStyle w:val="TableTextEntries"/>
            </w:pPr>
            <w:r>
              <w:t>$5.2 m</w:t>
            </w:r>
            <w:r w:rsidR="004E3598">
              <w:t>illion</w:t>
            </w:r>
          </w:p>
          <w:p w14:paraId="7601EE99" w14:textId="21D93E19" w:rsidR="004C7658" w:rsidRPr="00FE4491" w:rsidRDefault="004C7658" w:rsidP="004315E1">
            <w:pPr>
              <w:pStyle w:val="TableTextEntries"/>
            </w:pPr>
            <w:r>
              <w:t>2009</w:t>
            </w:r>
            <w:r w:rsidR="00802382">
              <w:t>–</w:t>
            </w:r>
            <w:r>
              <w:t>15</w:t>
            </w:r>
          </w:p>
        </w:tc>
        <w:tc>
          <w:tcPr>
            <w:tcW w:w="553" w:type="pct"/>
            <w:gridSpan w:val="2"/>
          </w:tcPr>
          <w:p w14:paraId="7601EE9A" w14:textId="77777777" w:rsidR="00FE4491" w:rsidRPr="00FE4491" w:rsidRDefault="00FE4491" w:rsidP="004315E1">
            <w:pPr>
              <w:pStyle w:val="TableTextEntries"/>
            </w:pPr>
            <w:r w:rsidRPr="00FE4491">
              <w:t>2012</w:t>
            </w:r>
          </w:p>
        </w:tc>
        <w:tc>
          <w:tcPr>
            <w:tcW w:w="424" w:type="pct"/>
            <w:shd w:val="clear" w:color="auto" w:fill="92D050"/>
            <w:noWrap/>
          </w:tcPr>
          <w:p w14:paraId="7601EE9B" w14:textId="631CA60A" w:rsidR="00FE4491" w:rsidRPr="00FE4491" w:rsidRDefault="00F36AED" w:rsidP="004315E1">
            <w:pPr>
              <w:pStyle w:val="TableTextEntries"/>
              <w:jc w:val="center"/>
            </w:pPr>
            <w:r>
              <w:t>5</w:t>
            </w:r>
          </w:p>
        </w:tc>
        <w:tc>
          <w:tcPr>
            <w:tcW w:w="372" w:type="pct"/>
            <w:shd w:val="clear" w:color="auto" w:fill="FFFF00"/>
            <w:noWrap/>
          </w:tcPr>
          <w:p w14:paraId="7601EE9C" w14:textId="5D1AB2C9" w:rsidR="00FE4491" w:rsidRPr="00FE4491" w:rsidRDefault="00F36AED" w:rsidP="004315E1">
            <w:pPr>
              <w:pStyle w:val="TableTextEntries"/>
              <w:jc w:val="center"/>
            </w:pPr>
            <w:r>
              <w:t>4</w:t>
            </w:r>
          </w:p>
        </w:tc>
        <w:tc>
          <w:tcPr>
            <w:tcW w:w="372" w:type="pct"/>
            <w:shd w:val="clear" w:color="auto" w:fill="92D050"/>
            <w:noWrap/>
          </w:tcPr>
          <w:p w14:paraId="7601EE9D" w14:textId="6449AB19" w:rsidR="00FE4491" w:rsidRPr="00FE4491" w:rsidRDefault="00F36AED" w:rsidP="004315E1">
            <w:pPr>
              <w:pStyle w:val="TableTextEntries"/>
              <w:jc w:val="center"/>
            </w:pPr>
            <w:r>
              <w:t>5</w:t>
            </w:r>
          </w:p>
        </w:tc>
        <w:tc>
          <w:tcPr>
            <w:tcW w:w="395" w:type="pct"/>
            <w:shd w:val="clear" w:color="auto" w:fill="FFFF00"/>
            <w:noWrap/>
          </w:tcPr>
          <w:p w14:paraId="7601EE9E" w14:textId="7935D55D" w:rsidR="00FE4491" w:rsidRPr="00FE4491" w:rsidRDefault="00F36AED" w:rsidP="004315E1">
            <w:pPr>
              <w:pStyle w:val="TableTextEntries"/>
              <w:jc w:val="center"/>
            </w:pPr>
            <w:r>
              <w:t>4</w:t>
            </w:r>
          </w:p>
        </w:tc>
        <w:tc>
          <w:tcPr>
            <w:tcW w:w="344" w:type="pct"/>
            <w:shd w:val="clear" w:color="auto" w:fill="FFFF00"/>
            <w:noWrap/>
          </w:tcPr>
          <w:p w14:paraId="7601EE9F" w14:textId="21475795" w:rsidR="00FE4491" w:rsidRPr="00FE4491" w:rsidRDefault="00F36AED" w:rsidP="004315E1">
            <w:pPr>
              <w:pStyle w:val="TableTextEntries"/>
              <w:jc w:val="center"/>
            </w:pPr>
            <w:r>
              <w:t>4</w:t>
            </w:r>
          </w:p>
        </w:tc>
        <w:tc>
          <w:tcPr>
            <w:tcW w:w="372" w:type="pct"/>
            <w:shd w:val="clear" w:color="auto" w:fill="92D050"/>
            <w:noWrap/>
          </w:tcPr>
          <w:p w14:paraId="7601EEA0" w14:textId="48F7C047" w:rsidR="00FE4491" w:rsidRPr="00FE4491" w:rsidRDefault="00F36AED" w:rsidP="004315E1">
            <w:pPr>
              <w:pStyle w:val="TableTextEntries"/>
              <w:jc w:val="center"/>
            </w:pPr>
            <w:r>
              <w:t>5</w:t>
            </w:r>
          </w:p>
        </w:tc>
        <w:tc>
          <w:tcPr>
            <w:tcW w:w="370" w:type="pct"/>
            <w:shd w:val="clear" w:color="auto" w:fill="F79646" w:themeFill="accent6"/>
            <w:noWrap/>
          </w:tcPr>
          <w:p w14:paraId="7601EEA1" w14:textId="32AF526D" w:rsidR="00FE4491" w:rsidRPr="00FE4491" w:rsidRDefault="00F36AED" w:rsidP="004315E1">
            <w:pPr>
              <w:pStyle w:val="TableTextEntries"/>
              <w:jc w:val="center"/>
            </w:pPr>
            <w:r>
              <w:t>I</w:t>
            </w:r>
          </w:p>
        </w:tc>
      </w:tr>
      <w:tr w:rsidR="00953298" w:rsidRPr="009D53C4" w14:paraId="7601EEAD" w14:textId="77777777" w:rsidTr="004315E1">
        <w:trPr>
          <w:cnfStyle w:val="000000010000" w:firstRow="0" w:lastRow="0" w:firstColumn="0" w:lastColumn="0" w:oddVBand="0" w:evenVBand="0" w:oddHBand="0" w:evenHBand="1" w:firstRowFirstColumn="0" w:firstRowLastColumn="0" w:lastRowFirstColumn="0" w:lastRowLastColumn="0"/>
          <w:trHeight w:val="284"/>
        </w:trPr>
        <w:tc>
          <w:tcPr>
            <w:tcW w:w="925" w:type="pct"/>
            <w:vMerge/>
          </w:tcPr>
          <w:p w14:paraId="7601EEA3" w14:textId="2588F52C" w:rsidR="00FE4491" w:rsidRPr="00FE4491" w:rsidRDefault="00FE4491" w:rsidP="004315E1">
            <w:pPr>
              <w:pStyle w:val="TableTextEntries"/>
            </w:pPr>
          </w:p>
        </w:tc>
        <w:tc>
          <w:tcPr>
            <w:tcW w:w="676" w:type="pct"/>
            <w:vMerge/>
          </w:tcPr>
          <w:p w14:paraId="7601EEA4" w14:textId="77777777" w:rsidR="00FE4491" w:rsidRPr="00FE4491" w:rsidRDefault="00FE4491" w:rsidP="004315E1">
            <w:pPr>
              <w:pStyle w:val="TableTextEntries"/>
            </w:pPr>
          </w:p>
        </w:tc>
        <w:tc>
          <w:tcPr>
            <w:tcW w:w="553" w:type="pct"/>
            <w:gridSpan w:val="2"/>
          </w:tcPr>
          <w:p w14:paraId="7601EEA5" w14:textId="0A8D5A43" w:rsidR="00AC3F72" w:rsidRPr="00FE4491" w:rsidRDefault="00FE4491" w:rsidP="004315E1">
            <w:pPr>
              <w:pStyle w:val="TableTextEntries"/>
            </w:pPr>
            <w:r w:rsidRPr="00FE4491">
              <w:t>2011</w:t>
            </w:r>
          </w:p>
        </w:tc>
        <w:tc>
          <w:tcPr>
            <w:tcW w:w="424" w:type="pct"/>
            <w:shd w:val="clear" w:color="auto" w:fill="92D050"/>
            <w:noWrap/>
          </w:tcPr>
          <w:p w14:paraId="7601EEA6" w14:textId="77F2AF8A" w:rsidR="00FE4491" w:rsidRPr="00FE4491" w:rsidRDefault="003B0784" w:rsidP="004315E1">
            <w:pPr>
              <w:pStyle w:val="TableTextEntries"/>
              <w:jc w:val="center"/>
            </w:pPr>
            <w:r>
              <w:t>5</w:t>
            </w:r>
          </w:p>
        </w:tc>
        <w:tc>
          <w:tcPr>
            <w:tcW w:w="372" w:type="pct"/>
            <w:shd w:val="clear" w:color="auto" w:fill="FFFF00"/>
            <w:noWrap/>
          </w:tcPr>
          <w:p w14:paraId="7601EEA7" w14:textId="34454575" w:rsidR="00FE4491" w:rsidRPr="00FE4491" w:rsidRDefault="003B0784" w:rsidP="004315E1">
            <w:pPr>
              <w:pStyle w:val="TableTextEntries"/>
              <w:jc w:val="center"/>
            </w:pPr>
            <w:r>
              <w:t>4</w:t>
            </w:r>
          </w:p>
        </w:tc>
        <w:tc>
          <w:tcPr>
            <w:tcW w:w="372" w:type="pct"/>
            <w:shd w:val="clear" w:color="auto" w:fill="92D050"/>
            <w:noWrap/>
          </w:tcPr>
          <w:p w14:paraId="7601EEA8" w14:textId="60866ACD" w:rsidR="00FE4491" w:rsidRPr="00FE4491" w:rsidRDefault="003B0784" w:rsidP="004315E1">
            <w:pPr>
              <w:pStyle w:val="TableTextEntries"/>
              <w:jc w:val="center"/>
            </w:pPr>
            <w:r>
              <w:t>5</w:t>
            </w:r>
          </w:p>
        </w:tc>
        <w:tc>
          <w:tcPr>
            <w:tcW w:w="395" w:type="pct"/>
            <w:shd w:val="clear" w:color="auto" w:fill="F79646" w:themeFill="accent6"/>
            <w:noWrap/>
          </w:tcPr>
          <w:p w14:paraId="7601EEA9" w14:textId="1FBC1763" w:rsidR="00FE4491" w:rsidRPr="00FE4491" w:rsidRDefault="003B0784" w:rsidP="004315E1">
            <w:pPr>
              <w:pStyle w:val="TableTextEntries"/>
              <w:jc w:val="center"/>
            </w:pPr>
            <w:r>
              <w:t>3</w:t>
            </w:r>
          </w:p>
        </w:tc>
        <w:tc>
          <w:tcPr>
            <w:tcW w:w="344" w:type="pct"/>
            <w:shd w:val="clear" w:color="auto" w:fill="FFFF00"/>
            <w:noWrap/>
          </w:tcPr>
          <w:p w14:paraId="7601EEAA" w14:textId="0DD9ED6F" w:rsidR="00FE4491" w:rsidRPr="00FE4491" w:rsidRDefault="003B0784" w:rsidP="004315E1">
            <w:pPr>
              <w:pStyle w:val="TableTextEntries"/>
              <w:jc w:val="center"/>
            </w:pPr>
            <w:r>
              <w:t>4</w:t>
            </w:r>
          </w:p>
        </w:tc>
        <w:tc>
          <w:tcPr>
            <w:tcW w:w="372" w:type="pct"/>
            <w:shd w:val="clear" w:color="auto" w:fill="92D050"/>
            <w:noWrap/>
          </w:tcPr>
          <w:p w14:paraId="7601EEAB" w14:textId="7C768533" w:rsidR="00FE4491" w:rsidRPr="00FE4491" w:rsidRDefault="003B0784" w:rsidP="004315E1">
            <w:pPr>
              <w:pStyle w:val="TableTextEntries"/>
              <w:jc w:val="center"/>
            </w:pPr>
            <w:r>
              <w:t>5</w:t>
            </w:r>
          </w:p>
        </w:tc>
        <w:tc>
          <w:tcPr>
            <w:tcW w:w="370" w:type="pct"/>
            <w:shd w:val="clear" w:color="auto" w:fill="F79646" w:themeFill="accent6"/>
            <w:noWrap/>
          </w:tcPr>
          <w:p w14:paraId="7601EEAC" w14:textId="69E0F979" w:rsidR="00FE4491" w:rsidRPr="00FE4491" w:rsidRDefault="003B0784" w:rsidP="004315E1">
            <w:pPr>
              <w:pStyle w:val="TableTextEntries"/>
              <w:jc w:val="center"/>
            </w:pPr>
            <w:r>
              <w:t>I</w:t>
            </w:r>
          </w:p>
        </w:tc>
      </w:tr>
      <w:tr w:rsidR="00953298" w:rsidRPr="009D53C4" w14:paraId="1BD3DBE9" w14:textId="77777777" w:rsidTr="004315E1">
        <w:trPr>
          <w:cnfStyle w:val="000000010000" w:firstRow="0" w:lastRow="0" w:firstColumn="0" w:lastColumn="0" w:oddVBand="0" w:evenVBand="0" w:oddHBand="0" w:evenHBand="1" w:firstRowFirstColumn="0" w:firstRowLastColumn="0" w:lastRowFirstColumn="0" w:lastRowLastColumn="0"/>
          <w:trHeight w:val="219"/>
        </w:trPr>
        <w:tc>
          <w:tcPr>
            <w:tcW w:w="925" w:type="pct"/>
            <w:vMerge w:val="restart"/>
          </w:tcPr>
          <w:p w14:paraId="3875A09D" w14:textId="7FF766FC" w:rsidR="00EA5261" w:rsidRPr="00FE4491" w:rsidRDefault="00EA5261" w:rsidP="004315E1">
            <w:pPr>
              <w:pStyle w:val="TableTextEntries"/>
            </w:pPr>
            <w:r>
              <w:t>Health</w:t>
            </w:r>
          </w:p>
        </w:tc>
        <w:tc>
          <w:tcPr>
            <w:tcW w:w="676" w:type="pct"/>
            <w:vMerge w:val="restart"/>
          </w:tcPr>
          <w:p w14:paraId="15DDACC4" w14:textId="02F2F364" w:rsidR="00EA5261" w:rsidRDefault="00EA5261" w:rsidP="004315E1">
            <w:pPr>
              <w:pStyle w:val="TableTextEntries"/>
            </w:pPr>
            <w:r>
              <w:t>$8.0 m</w:t>
            </w:r>
            <w:r w:rsidR="004E3598">
              <w:t>illion</w:t>
            </w:r>
          </w:p>
          <w:p w14:paraId="139F8539" w14:textId="1D5609F9" w:rsidR="00EA5261" w:rsidRPr="00FE4491" w:rsidRDefault="00EA5261" w:rsidP="004315E1">
            <w:pPr>
              <w:pStyle w:val="TableTextEntries"/>
            </w:pPr>
            <w:r>
              <w:t>2009</w:t>
            </w:r>
            <w:r w:rsidR="00802382">
              <w:t>–</w:t>
            </w:r>
            <w:r>
              <w:t>15</w:t>
            </w:r>
          </w:p>
        </w:tc>
        <w:tc>
          <w:tcPr>
            <w:tcW w:w="553" w:type="pct"/>
            <w:gridSpan w:val="2"/>
            <w:vMerge w:val="restart"/>
          </w:tcPr>
          <w:p w14:paraId="1E85841B" w14:textId="77777777" w:rsidR="00EA5261" w:rsidRDefault="00EA5261" w:rsidP="004315E1">
            <w:pPr>
              <w:pStyle w:val="TableTextEntries"/>
            </w:pPr>
            <w:r>
              <w:t>2012</w:t>
            </w:r>
          </w:p>
          <w:p w14:paraId="69C69B8B" w14:textId="0329CB6A" w:rsidR="00EA5261" w:rsidRPr="00FE4491" w:rsidRDefault="00EA5261" w:rsidP="004315E1">
            <w:pPr>
              <w:pStyle w:val="TableTextEntries"/>
            </w:pPr>
            <w:r>
              <w:t>2011</w:t>
            </w:r>
          </w:p>
        </w:tc>
        <w:tc>
          <w:tcPr>
            <w:tcW w:w="424" w:type="pct"/>
            <w:shd w:val="clear" w:color="auto" w:fill="92D050"/>
            <w:noWrap/>
          </w:tcPr>
          <w:p w14:paraId="034A1A69" w14:textId="1907E558" w:rsidR="00EA5261" w:rsidRDefault="00953298" w:rsidP="004315E1">
            <w:pPr>
              <w:pStyle w:val="TableTextEntries"/>
              <w:jc w:val="center"/>
            </w:pPr>
            <w:r>
              <w:t>6</w:t>
            </w:r>
          </w:p>
        </w:tc>
        <w:tc>
          <w:tcPr>
            <w:tcW w:w="372" w:type="pct"/>
            <w:shd w:val="clear" w:color="auto" w:fill="FFFF00"/>
            <w:noWrap/>
          </w:tcPr>
          <w:p w14:paraId="4CE3EBBC" w14:textId="5EF619D6" w:rsidR="00EA5261" w:rsidRDefault="00953298" w:rsidP="004315E1">
            <w:pPr>
              <w:pStyle w:val="TableTextEntries"/>
              <w:jc w:val="center"/>
            </w:pPr>
            <w:r>
              <w:t>4</w:t>
            </w:r>
          </w:p>
        </w:tc>
        <w:tc>
          <w:tcPr>
            <w:tcW w:w="372" w:type="pct"/>
            <w:shd w:val="clear" w:color="auto" w:fill="92D050"/>
            <w:noWrap/>
          </w:tcPr>
          <w:p w14:paraId="5ED770FA" w14:textId="224A21C7" w:rsidR="00EA5261" w:rsidRDefault="00953298" w:rsidP="004315E1">
            <w:pPr>
              <w:pStyle w:val="TableTextEntries"/>
              <w:jc w:val="center"/>
            </w:pPr>
            <w:r>
              <w:t>5</w:t>
            </w:r>
          </w:p>
        </w:tc>
        <w:tc>
          <w:tcPr>
            <w:tcW w:w="395" w:type="pct"/>
            <w:shd w:val="clear" w:color="auto" w:fill="FFFF00"/>
            <w:noWrap/>
          </w:tcPr>
          <w:p w14:paraId="0A1603F6" w14:textId="10FE8C83" w:rsidR="00EA5261" w:rsidRDefault="00953298" w:rsidP="004315E1">
            <w:pPr>
              <w:pStyle w:val="TableTextEntries"/>
              <w:jc w:val="center"/>
            </w:pPr>
            <w:r>
              <w:t>4</w:t>
            </w:r>
          </w:p>
        </w:tc>
        <w:tc>
          <w:tcPr>
            <w:tcW w:w="344" w:type="pct"/>
            <w:shd w:val="clear" w:color="auto" w:fill="FFFF00"/>
            <w:noWrap/>
          </w:tcPr>
          <w:p w14:paraId="09A29F61" w14:textId="1061406E" w:rsidR="00EA5261" w:rsidRDefault="00953298" w:rsidP="004315E1">
            <w:pPr>
              <w:pStyle w:val="TableTextEntries"/>
              <w:jc w:val="center"/>
            </w:pPr>
            <w:r>
              <w:t>4</w:t>
            </w:r>
          </w:p>
        </w:tc>
        <w:tc>
          <w:tcPr>
            <w:tcW w:w="372" w:type="pct"/>
            <w:shd w:val="clear" w:color="auto" w:fill="FFFF00"/>
            <w:noWrap/>
          </w:tcPr>
          <w:p w14:paraId="3EC909C1" w14:textId="7DF17055" w:rsidR="00EA5261" w:rsidRDefault="00953298" w:rsidP="004315E1">
            <w:pPr>
              <w:pStyle w:val="TableTextEntries"/>
              <w:jc w:val="center"/>
            </w:pPr>
            <w:r>
              <w:t>4</w:t>
            </w:r>
          </w:p>
        </w:tc>
        <w:tc>
          <w:tcPr>
            <w:tcW w:w="370" w:type="pct"/>
            <w:shd w:val="clear" w:color="auto" w:fill="F79646" w:themeFill="accent6"/>
            <w:noWrap/>
          </w:tcPr>
          <w:p w14:paraId="41880FD3" w14:textId="326F6BCF" w:rsidR="00EA5261" w:rsidRDefault="00953298" w:rsidP="004315E1">
            <w:pPr>
              <w:pStyle w:val="TableTextEntries"/>
              <w:jc w:val="center"/>
            </w:pPr>
            <w:r>
              <w:t>I</w:t>
            </w:r>
          </w:p>
        </w:tc>
      </w:tr>
      <w:tr w:rsidR="00953298" w:rsidRPr="009D53C4" w14:paraId="33106F56" w14:textId="77777777" w:rsidTr="004315E1">
        <w:trPr>
          <w:cnfStyle w:val="000000010000" w:firstRow="0" w:lastRow="0" w:firstColumn="0" w:lastColumn="0" w:oddVBand="0" w:evenVBand="0" w:oddHBand="0" w:evenHBand="1" w:firstRowFirstColumn="0" w:firstRowLastColumn="0" w:lastRowFirstColumn="0" w:lastRowLastColumn="0"/>
          <w:trHeight w:val="219"/>
        </w:trPr>
        <w:tc>
          <w:tcPr>
            <w:tcW w:w="925" w:type="pct"/>
            <w:vMerge/>
          </w:tcPr>
          <w:p w14:paraId="44ACE287" w14:textId="77777777" w:rsidR="00EA5261" w:rsidRDefault="00EA5261" w:rsidP="004315E1">
            <w:pPr>
              <w:pStyle w:val="TableTextEntries"/>
            </w:pPr>
          </w:p>
        </w:tc>
        <w:tc>
          <w:tcPr>
            <w:tcW w:w="676" w:type="pct"/>
            <w:vMerge/>
          </w:tcPr>
          <w:p w14:paraId="377B352D" w14:textId="77777777" w:rsidR="00EA5261" w:rsidRDefault="00EA5261" w:rsidP="004315E1">
            <w:pPr>
              <w:pStyle w:val="TableTextEntries"/>
            </w:pPr>
          </w:p>
        </w:tc>
        <w:tc>
          <w:tcPr>
            <w:tcW w:w="553" w:type="pct"/>
            <w:gridSpan w:val="2"/>
            <w:vMerge/>
          </w:tcPr>
          <w:p w14:paraId="0CB3DAEA" w14:textId="77777777" w:rsidR="00EA5261" w:rsidRDefault="00EA5261" w:rsidP="004315E1">
            <w:pPr>
              <w:pStyle w:val="TableTextEntries"/>
            </w:pPr>
          </w:p>
        </w:tc>
        <w:tc>
          <w:tcPr>
            <w:tcW w:w="424" w:type="pct"/>
            <w:shd w:val="clear" w:color="auto" w:fill="92D050"/>
            <w:noWrap/>
          </w:tcPr>
          <w:p w14:paraId="6AE1F522" w14:textId="65910170" w:rsidR="00EA5261" w:rsidRDefault="00A91059" w:rsidP="004315E1">
            <w:pPr>
              <w:pStyle w:val="TableTextEntries"/>
              <w:jc w:val="center"/>
            </w:pPr>
            <w:r>
              <w:t>6</w:t>
            </w:r>
          </w:p>
        </w:tc>
        <w:tc>
          <w:tcPr>
            <w:tcW w:w="372" w:type="pct"/>
            <w:shd w:val="clear" w:color="auto" w:fill="92D050"/>
            <w:noWrap/>
          </w:tcPr>
          <w:p w14:paraId="7986070B" w14:textId="0AD72B1A" w:rsidR="00EA5261" w:rsidRDefault="00A91059" w:rsidP="004315E1">
            <w:pPr>
              <w:pStyle w:val="TableTextEntries"/>
              <w:jc w:val="center"/>
            </w:pPr>
            <w:r>
              <w:t>5</w:t>
            </w:r>
          </w:p>
        </w:tc>
        <w:tc>
          <w:tcPr>
            <w:tcW w:w="372" w:type="pct"/>
            <w:shd w:val="clear" w:color="auto" w:fill="92D050"/>
            <w:noWrap/>
          </w:tcPr>
          <w:p w14:paraId="25C92E34" w14:textId="7B9D49C0" w:rsidR="00EA5261" w:rsidRDefault="00A91059" w:rsidP="004315E1">
            <w:pPr>
              <w:pStyle w:val="TableTextEntries"/>
              <w:jc w:val="center"/>
            </w:pPr>
            <w:r>
              <w:t>5</w:t>
            </w:r>
          </w:p>
        </w:tc>
        <w:tc>
          <w:tcPr>
            <w:tcW w:w="395" w:type="pct"/>
            <w:shd w:val="clear" w:color="auto" w:fill="FFFF00"/>
            <w:noWrap/>
          </w:tcPr>
          <w:p w14:paraId="31FE4873" w14:textId="5C234BA0" w:rsidR="00EA5261" w:rsidRDefault="00A91059" w:rsidP="004315E1">
            <w:pPr>
              <w:pStyle w:val="TableTextEntries"/>
              <w:jc w:val="center"/>
            </w:pPr>
            <w:r>
              <w:t>4</w:t>
            </w:r>
          </w:p>
        </w:tc>
        <w:tc>
          <w:tcPr>
            <w:tcW w:w="344" w:type="pct"/>
            <w:shd w:val="clear" w:color="auto" w:fill="FFFF00"/>
            <w:noWrap/>
          </w:tcPr>
          <w:p w14:paraId="032E292A" w14:textId="51192326" w:rsidR="00EA5261" w:rsidRDefault="00A91059" w:rsidP="004315E1">
            <w:pPr>
              <w:pStyle w:val="TableTextEntries"/>
              <w:jc w:val="center"/>
            </w:pPr>
            <w:r>
              <w:t>4</w:t>
            </w:r>
          </w:p>
        </w:tc>
        <w:tc>
          <w:tcPr>
            <w:tcW w:w="372" w:type="pct"/>
            <w:shd w:val="clear" w:color="auto" w:fill="92D050"/>
            <w:noWrap/>
          </w:tcPr>
          <w:p w14:paraId="1CEDEB61" w14:textId="4C664378" w:rsidR="00EA5261" w:rsidRDefault="00A91059" w:rsidP="004315E1">
            <w:pPr>
              <w:pStyle w:val="TableTextEntries"/>
              <w:jc w:val="center"/>
            </w:pPr>
            <w:r>
              <w:t>5</w:t>
            </w:r>
          </w:p>
        </w:tc>
        <w:tc>
          <w:tcPr>
            <w:tcW w:w="370" w:type="pct"/>
            <w:shd w:val="clear" w:color="auto" w:fill="F79646" w:themeFill="accent6"/>
            <w:noWrap/>
          </w:tcPr>
          <w:p w14:paraId="6E6BA7C7" w14:textId="0D1AEC0A" w:rsidR="00EA5261" w:rsidRDefault="00953298" w:rsidP="004315E1">
            <w:pPr>
              <w:pStyle w:val="TableTextEntries"/>
              <w:jc w:val="center"/>
            </w:pPr>
            <w:r>
              <w:t>I</w:t>
            </w:r>
          </w:p>
        </w:tc>
      </w:tr>
      <w:tr w:rsidR="00953298" w:rsidRPr="009D53C4" w14:paraId="06CE1B7D" w14:textId="77777777" w:rsidTr="004315E1">
        <w:trPr>
          <w:cnfStyle w:val="000000010000" w:firstRow="0" w:lastRow="0" w:firstColumn="0" w:lastColumn="0" w:oddVBand="0" w:evenVBand="0" w:oddHBand="0" w:evenHBand="1" w:firstRowFirstColumn="0" w:firstRowLastColumn="0" w:lastRowFirstColumn="0" w:lastRowLastColumn="0"/>
          <w:trHeight w:val="219"/>
        </w:trPr>
        <w:tc>
          <w:tcPr>
            <w:tcW w:w="925" w:type="pct"/>
            <w:vMerge w:val="restart"/>
          </w:tcPr>
          <w:p w14:paraId="39D32845" w14:textId="77777777" w:rsidR="00953298" w:rsidRDefault="00953298" w:rsidP="004315E1">
            <w:pPr>
              <w:pStyle w:val="TableTextEntries"/>
            </w:pPr>
            <w:r>
              <w:t>Infrastructure</w:t>
            </w:r>
          </w:p>
          <w:p w14:paraId="4EB8512B" w14:textId="7C0B241C" w:rsidR="00953298" w:rsidRPr="00FE4491" w:rsidRDefault="00953298" w:rsidP="004315E1">
            <w:pPr>
              <w:pStyle w:val="TableTextEntries"/>
            </w:pPr>
          </w:p>
        </w:tc>
        <w:tc>
          <w:tcPr>
            <w:tcW w:w="676" w:type="pct"/>
            <w:vMerge w:val="restart"/>
          </w:tcPr>
          <w:p w14:paraId="38D8AA03" w14:textId="55757840" w:rsidR="00953298" w:rsidRDefault="00953298" w:rsidP="004315E1">
            <w:pPr>
              <w:pStyle w:val="TableTextEntries"/>
            </w:pPr>
            <w:r>
              <w:t>$18.9 m</w:t>
            </w:r>
            <w:r w:rsidR="004E3598">
              <w:t>illion</w:t>
            </w:r>
          </w:p>
          <w:p w14:paraId="100ECD71" w14:textId="08C94B8F" w:rsidR="00953298" w:rsidRPr="00FE4491" w:rsidRDefault="00953298" w:rsidP="004315E1">
            <w:pPr>
              <w:pStyle w:val="TableTextEntries"/>
            </w:pPr>
            <w:r>
              <w:t>2009</w:t>
            </w:r>
            <w:r w:rsidR="004E3598">
              <w:t>–</w:t>
            </w:r>
            <w:r>
              <w:t>15</w:t>
            </w:r>
          </w:p>
        </w:tc>
        <w:tc>
          <w:tcPr>
            <w:tcW w:w="553" w:type="pct"/>
            <w:gridSpan w:val="2"/>
            <w:vMerge w:val="restart"/>
          </w:tcPr>
          <w:p w14:paraId="4E99F727" w14:textId="77777777" w:rsidR="00953298" w:rsidRDefault="00953298" w:rsidP="004315E1">
            <w:pPr>
              <w:pStyle w:val="TableTextEntries"/>
            </w:pPr>
            <w:r>
              <w:t>2012</w:t>
            </w:r>
          </w:p>
          <w:p w14:paraId="22EC3454" w14:textId="03AB7BEC" w:rsidR="00953298" w:rsidRPr="00FE4491" w:rsidRDefault="00953298" w:rsidP="004315E1">
            <w:pPr>
              <w:pStyle w:val="TableTextEntries"/>
            </w:pPr>
            <w:r>
              <w:t>2011</w:t>
            </w:r>
          </w:p>
        </w:tc>
        <w:tc>
          <w:tcPr>
            <w:tcW w:w="424" w:type="pct"/>
            <w:shd w:val="clear" w:color="auto" w:fill="92D050"/>
            <w:noWrap/>
          </w:tcPr>
          <w:p w14:paraId="5AA050E8" w14:textId="7D1A9FB7" w:rsidR="00953298" w:rsidRDefault="00953298" w:rsidP="004315E1">
            <w:pPr>
              <w:pStyle w:val="TableTextEntries"/>
              <w:jc w:val="center"/>
            </w:pPr>
            <w:r>
              <w:t>5</w:t>
            </w:r>
          </w:p>
        </w:tc>
        <w:tc>
          <w:tcPr>
            <w:tcW w:w="372" w:type="pct"/>
            <w:shd w:val="clear" w:color="auto" w:fill="92D050"/>
            <w:noWrap/>
          </w:tcPr>
          <w:p w14:paraId="534CBEAE" w14:textId="016E1C81" w:rsidR="00953298" w:rsidRDefault="00953298" w:rsidP="004315E1">
            <w:pPr>
              <w:pStyle w:val="TableTextEntries"/>
              <w:jc w:val="center"/>
            </w:pPr>
            <w:r>
              <w:t>5</w:t>
            </w:r>
          </w:p>
        </w:tc>
        <w:tc>
          <w:tcPr>
            <w:tcW w:w="372" w:type="pct"/>
            <w:shd w:val="clear" w:color="auto" w:fill="92D050"/>
            <w:noWrap/>
          </w:tcPr>
          <w:p w14:paraId="423BF05A" w14:textId="78483F6D" w:rsidR="00953298" w:rsidRDefault="00953298" w:rsidP="004315E1">
            <w:pPr>
              <w:pStyle w:val="TableTextEntries"/>
              <w:jc w:val="center"/>
            </w:pPr>
            <w:r>
              <w:t>5</w:t>
            </w:r>
          </w:p>
        </w:tc>
        <w:tc>
          <w:tcPr>
            <w:tcW w:w="395" w:type="pct"/>
            <w:shd w:val="clear" w:color="auto" w:fill="FFFF00"/>
            <w:noWrap/>
          </w:tcPr>
          <w:p w14:paraId="1080900E" w14:textId="06B62C24" w:rsidR="00953298" w:rsidRDefault="00953298" w:rsidP="004315E1">
            <w:pPr>
              <w:pStyle w:val="TableTextEntries"/>
              <w:jc w:val="center"/>
            </w:pPr>
            <w:r>
              <w:t>4</w:t>
            </w:r>
          </w:p>
        </w:tc>
        <w:tc>
          <w:tcPr>
            <w:tcW w:w="344" w:type="pct"/>
            <w:shd w:val="clear" w:color="auto" w:fill="FFFF00"/>
            <w:noWrap/>
          </w:tcPr>
          <w:p w14:paraId="2F231705" w14:textId="15C8238B" w:rsidR="00953298" w:rsidRDefault="00953298" w:rsidP="004315E1">
            <w:pPr>
              <w:pStyle w:val="TableTextEntries"/>
              <w:jc w:val="center"/>
            </w:pPr>
            <w:r>
              <w:t>4</w:t>
            </w:r>
          </w:p>
        </w:tc>
        <w:tc>
          <w:tcPr>
            <w:tcW w:w="372" w:type="pct"/>
            <w:shd w:val="clear" w:color="auto" w:fill="FF0000"/>
            <w:noWrap/>
          </w:tcPr>
          <w:p w14:paraId="7036DB8D" w14:textId="3A084365" w:rsidR="00953298" w:rsidRDefault="00953298" w:rsidP="004315E1">
            <w:pPr>
              <w:pStyle w:val="TableTextEntries"/>
              <w:jc w:val="center"/>
            </w:pPr>
            <w:r>
              <w:t>2</w:t>
            </w:r>
          </w:p>
        </w:tc>
        <w:tc>
          <w:tcPr>
            <w:tcW w:w="370" w:type="pct"/>
            <w:shd w:val="clear" w:color="auto" w:fill="F79646" w:themeFill="accent6"/>
            <w:noWrap/>
          </w:tcPr>
          <w:p w14:paraId="0391AE08" w14:textId="5CDDFCAB" w:rsidR="00953298" w:rsidRDefault="00953298" w:rsidP="004315E1">
            <w:pPr>
              <w:pStyle w:val="TableTextEntries"/>
              <w:jc w:val="center"/>
            </w:pPr>
            <w:r>
              <w:t>I</w:t>
            </w:r>
          </w:p>
        </w:tc>
      </w:tr>
      <w:tr w:rsidR="00EA5261" w:rsidRPr="009D53C4" w14:paraId="33A9A908" w14:textId="77777777" w:rsidTr="004315E1">
        <w:trPr>
          <w:cnfStyle w:val="000000010000" w:firstRow="0" w:lastRow="0" w:firstColumn="0" w:lastColumn="0" w:oddVBand="0" w:evenVBand="0" w:oddHBand="0" w:evenHBand="1" w:firstRowFirstColumn="0" w:firstRowLastColumn="0" w:lastRowFirstColumn="0" w:lastRowLastColumn="0"/>
          <w:trHeight w:val="219"/>
        </w:trPr>
        <w:tc>
          <w:tcPr>
            <w:tcW w:w="925" w:type="pct"/>
            <w:vMerge/>
          </w:tcPr>
          <w:p w14:paraId="30790E24" w14:textId="77777777" w:rsidR="00EA5261" w:rsidRDefault="00EA5261" w:rsidP="004315E1">
            <w:pPr>
              <w:pStyle w:val="TableTextEntries"/>
            </w:pPr>
          </w:p>
        </w:tc>
        <w:tc>
          <w:tcPr>
            <w:tcW w:w="676" w:type="pct"/>
            <w:vMerge/>
          </w:tcPr>
          <w:p w14:paraId="2F204CFA" w14:textId="77777777" w:rsidR="00EA5261" w:rsidRDefault="00EA5261" w:rsidP="004315E1">
            <w:pPr>
              <w:pStyle w:val="TableTextEntries"/>
            </w:pPr>
          </w:p>
        </w:tc>
        <w:tc>
          <w:tcPr>
            <w:tcW w:w="553" w:type="pct"/>
            <w:gridSpan w:val="2"/>
            <w:vMerge/>
          </w:tcPr>
          <w:p w14:paraId="0535DAC1" w14:textId="77777777" w:rsidR="00EA5261" w:rsidRDefault="00EA5261" w:rsidP="004315E1">
            <w:pPr>
              <w:pStyle w:val="TableTextEntries"/>
            </w:pPr>
          </w:p>
        </w:tc>
        <w:tc>
          <w:tcPr>
            <w:tcW w:w="424" w:type="pct"/>
            <w:shd w:val="clear" w:color="auto" w:fill="92D050"/>
            <w:noWrap/>
          </w:tcPr>
          <w:p w14:paraId="7E15DFF9" w14:textId="6536CF79" w:rsidR="00EA5261" w:rsidRDefault="00A91059" w:rsidP="004315E1">
            <w:pPr>
              <w:pStyle w:val="TableTextEntries"/>
              <w:jc w:val="center"/>
            </w:pPr>
            <w:r>
              <w:t>5</w:t>
            </w:r>
          </w:p>
        </w:tc>
        <w:tc>
          <w:tcPr>
            <w:tcW w:w="372" w:type="pct"/>
            <w:shd w:val="clear" w:color="auto" w:fill="FFFF00"/>
            <w:noWrap/>
          </w:tcPr>
          <w:p w14:paraId="283E46B3" w14:textId="02C231DF" w:rsidR="00EA5261" w:rsidRDefault="00A91059" w:rsidP="004315E1">
            <w:pPr>
              <w:pStyle w:val="TableTextEntries"/>
              <w:jc w:val="center"/>
            </w:pPr>
            <w:r>
              <w:t>4</w:t>
            </w:r>
          </w:p>
        </w:tc>
        <w:tc>
          <w:tcPr>
            <w:tcW w:w="372" w:type="pct"/>
            <w:shd w:val="clear" w:color="auto" w:fill="FFFF00"/>
            <w:noWrap/>
          </w:tcPr>
          <w:p w14:paraId="782B0270" w14:textId="6EFFF47A" w:rsidR="00EA5261" w:rsidRDefault="00A91059" w:rsidP="004315E1">
            <w:pPr>
              <w:pStyle w:val="TableTextEntries"/>
              <w:jc w:val="center"/>
            </w:pPr>
            <w:r>
              <w:t>4</w:t>
            </w:r>
          </w:p>
        </w:tc>
        <w:tc>
          <w:tcPr>
            <w:tcW w:w="395" w:type="pct"/>
            <w:shd w:val="clear" w:color="auto" w:fill="F79646" w:themeFill="accent6"/>
            <w:noWrap/>
          </w:tcPr>
          <w:p w14:paraId="2509727C" w14:textId="6C52DC90" w:rsidR="00EA5261" w:rsidRDefault="00A91059" w:rsidP="004315E1">
            <w:pPr>
              <w:pStyle w:val="TableTextEntries"/>
              <w:jc w:val="center"/>
            </w:pPr>
            <w:r>
              <w:t>3</w:t>
            </w:r>
          </w:p>
        </w:tc>
        <w:tc>
          <w:tcPr>
            <w:tcW w:w="344" w:type="pct"/>
            <w:shd w:val="clear" w:color="auto" w:fill="FFFF00"/>
            <w:noWrap/>
          </w:tcPr>
          <w:p w14:paraId="7679B2D2" w14:textId="41E474D4" w:rsidR="00EA5261" w:rsidRDefault="00A91059" w:rsidP="004315E1">
            <w:pPr>
              <w:pStyle w:val="TableTextEntries"/>
              <w:jc w:val="center"/>
            </w:pPr>
            <w:r>
              <w:t>4</w:t>
            </w:r>
          </w:p>
        </w:tc>
        <w:tc>
          <w:tcPr>
            <w:tcW w:w="372" w:type="pct"/>
            <w:shd w:val="clear" w:color="auto" w:fill="F79646" w:themeFill="accent6"/>
            <w:noWrap/>
          </w:tcPr>
          <w:p w14:paraId="35CE0FD6" w14:textId="7462ADDF" w:rsidR="00EA5261" w:rsidRDefault="00A91059" w:rsidP="004315E1">
            <w:pPr>
              <w:pStyle w:val="TableTextEntries"/>
              <w:jc w:val="center"/>
            </w:pPr>
            <w:r>
              <w:t>3</w:t>
            </w:r>
          </w:p>
        </w:tc>
        <w:tc>
          <w:tcPr>
            <w:tcW w:w="370" w:type="pct"/>
            <w:shd w:val="clear" w:color="auto" w:fill="F79646" w:themeFill="accent6"/>
            <w:noWrap/>
          </w:tcPr>
          <w:p w14:paraId="3D424DA6" w14:textId="4B331F6F" w:rsidR="00EA5261" w:rsidRDefault="00953298" w:rsidP="004315E1">
            <w:pPr>
              <w:pStyle w:val="TableTextEntries"/>
              <w:jc w:val="center"/>
            </w:pPr>
            <w:r>
              <w:t>I</w:t>
            </w:r>
          </w:p>
        </w:tc>
      </w:tr>
      <w:tr w:rsidR="00EA5261" w:rsidRPr="00B22E5F" w14:paraId="0CEC7CD2" w14:textId="77777777" w:rsidTr="004315E1">
        <w:trPr>
          <w:cnfStyle w:val="000000010000" w:firstRow="0" w:lastRow="0" w:firstColumn="0" w:lastColumn="0" w:oddVBand="0" w:evenVBand="0" w:oddHBand="0" w:evenHBand="1" w:firstRowFirstColumn="0" w:firstRowLastColumn="0" w:lastRowFirstColumn="0" w:lastRowLastColumn="0"/>
          <w:trHeight w:val="318"/>
        </w:trPr>
        <w:tc>
          <w:tcPr>
            <w:tcW w:w="925" w:type="pct"/>
            <w:vMerge w:val="restart"/>
          </w:tcPr>
          <w:p w14:paraId="74BCA472" w14:textId="6A7EA5B2" w:rsidR="00EA5261" w:rsidRDefault="00EA5261" w:rsidP="004315E1">
            <w:pPr>
              <w:pStyle w:val="TableTextEntries"/>
            </w:pPr>
            <w:r>
              <w:t>Australia Awards</w:t>
            </w:r>
          </w:p>
          <w:p w14:paraId="4C02DA7A" w14:textId="125A5898" w:rsidR="00EA5261" w:rsidRPr="00FE4491" w:rsidRDefault="00EA5261" w:rsidP="004315E1">
            <w:pPr>
              <w:pStyle w:val="TableTextEntries"/>
            </w:pPr>
          </w:p>
        </w:tc>
        <w:tc>
          <w:tcPr>
            <w:tcW w:w="676" w:type="pct"/>
            <w:vMerge w:val="restart"/>
          </w:tcPr>
          <w:p w14:paraId="1EF82D5E" w14:textId="2F1FF0BE" w:rsidR="00EA5261" w:rsidRDefault="00EA5261" w:rsidP="004315E1">
            <w:pPr>
              <w:pStyle w:val="TableTextEntries"/>
            </w:pPr>
            <w:r>
              <w:t>$1.3 m</w:t>
            </w:r>
            <w:r w:rsidR="004E3598">
              <w:t>illion</w:t>
            </w:r>
          </w:p>
          <w:p w14:paraId="24846731" w14:textId="2D6465F9" w:rsidR="00EA5261" w:rsidRPr="00FE4491" w:rsidRDefault="00EA5261" w:rsidP="004315E1">
            <w:pPr>
              <w:pStyle w:val="TableTextEntries"/>
            </w:pPr>
            <w:r>
              <w:t>2009</w:t>
            </w:r>
            <w:r w:rsidR="00802382">
              <w:t>–</w:t>
            </w:r>
            <w:r>
              <w:t>5</w:t>
            </w:r>
          </w:p>
        </w:tc>
        <w:tc>
          <w:tcPr>
            <w:tcW w:w="553" w:type="pct"/>
            <w:gridSpan w:val="2"/>
            <w:vMerge w:val="restart"/>
          </w:tcPr>
          <w:p w14:paraId="64BDBDA9" w14:textId="77777777" w:rsidR="00EA5261" w:rsidRDefault="00EA5261" w:rsidP="004315E1">
            <w:pPr>
              <w:pStyle w:val="TableTextEntries"/>
            </w:pPr>
            <w:r>
              <w:t>2012</w:t>
            </w:r>
          </w:p>
          <w:p w14:paraId="067799B9" w14:textId="5E21EDAF" w:rsidR="00EA5261" w:rsidRPr="00FE4491" w:rsidRDefault="00EA5261" w:rsidP="004315E1">
            <w:pPr>
              <w:pStyle w:val="TableTextEntries"/>
            </w:pPr>
            <w:r>
              <w:t>2011</w:t>
            </w:r>
          </w:p>
        </w:tc>
        <w:tc>
          <w:tcPr>
            <w:tcW w:w="424" w:type="pct"/>
            <w:shd w:val="clear" w:color="auto" w:fill="92D050"/>
            <w:noWrap/>
          </w:tcPr>
          <w:p w14:paraId="3550F64B" w14:textId="60C1AB89" w:rsidR="00EA5261" w:rsidRDefault="00953298" w:rsidP="004315E1">
            <w:pPr>
              <w:pStyle w:val="TableTextEntries"/>
              <w:jc w:val="center"/>
            </w:pPr>
            <w:r>
              <w:t>5</w:t>
            </w:r>
          </w:p>
        </w:tc>
        <w:tc>
          <w:tcPr>
            <w:tcW w:w="372" w:type="pct"/>
            <w:shd w:val="clear" w:color="auto" w:fill="FFFF00"/>
            <w:noWrap/>
          </w:tcPr>
          <w:p w14:paraId="7E057BE6" w14:textId="00DE86C2" w:rsidR="00EA5261" w:rsidRDefault="00953298" w:rsidP="004315E1">
            <w:pPr>
              <w:pStyle w:val="TableTextEntries"/>
              <w:jc w:val="center"/>
            </w:pPr>
            <w:r>
              <w:t>4</w:t>
            </w:r>
          </w:p>
        </w:tc>
        <w:tc>
          <w:tcPr>
            <w:tcW w:w="372" w:type="pct"/>
            <w:shd w:val="clear" w:color="auto" w:fill="FFFF00"/>
            <w:noWrap/>
          </w:tcPr>
          <w:p w14:paraId="336F32E5" w14:textId="73E467BC" w:rsidR="00EA5261" w:rsidRDefault="00953298" w:rsidP="004315E1">
            <w:pPr>
              <w:pStyle w:val="TableTextEntries"/>
              <w:jc w:val="center"/>
            </w:pPr>
            <w:r>
              <w:t>4</w:t>
            </w:r>
          </w:p>
        </w:tc>
        <w:tc>
          <w:tcPr>
            <w:tcW w:w="395" w:type="pct"/>
            <w:shd w:val="clear" w:color="auto" w:fill="F79646" w:themeFill="accent6"/>
            <w:noWrap/>
          </w:tcPr>
          <w:p w14:paraId="4C005D46" w14:textId="1C6C9E65" w:rsidR="00EA5261" w:rsidRDefault="00953298" w:rsidP="004315E1">
            <w:pPr>
              <w:pStyle w:val="TableTextEntries"/>
              <w:jc w:val="center"/>
            </w:pPr>
            <w:r>
              <w:t>3</w:t>
            </w:r>
          </w:p>
        </w:tc>
        <w:tc>
          <w:tcPr>
            <w:tcW w:w="344" w:type="pct"/>
            <w:shd w:val="clear" w:color="auto" w:fill="92D050"/>
            <w:noWrap/>
          </w:tcPr>
          <w:p w14:paraId="4507175A" w14:textId="0E055ABE" w:rsidR="00EA5261" w:rsidRDefault="00953298" w:rsidP="004315E1">
            <w:pPr>
              <w:pStyle w:val="TableTextEntries"/>
              <w:jc w:val="center"/>
            </w:pPr>
            <w:r>
              <w:t>5</w:t>
            </w:r>
          </w:p>
        </w:tc>
        <w:tc>
          <w:tcPr>
            <w:tcW w:w="372" w:type="pct"/>
            <w:shd w:val="clear" w:color="auto" w:fill="FFFF00"/>
            <w:noWrap/>
          </w:tcPr>
          <w:p w14:paraId="3C17B821" w14:textId="7E76DA86" w:rsidR="00EA5261" w:rsidRDefault="00953298" w:rsidP="004315E1">
            <w:pPr>
              <w:pStyle w:val="TableTextEntries"/>
              <w:jc w:val="center"/>
            </w:pPr>
            <w:r>
              <w:t>4</w:t>
            </w:r>
          </w:p>
        </w:tc>
        <w:tc>
          <w:tcPr>
            <w:tcW w:w="370" w:type="pct"/>
            <w:shd w:val="clear" w:color="auto" w:fill="F79646" w:themeFill="accent6"/>
            <w:noWrap/>
          </w:tcPr>
          <w:p w14:paraId="74FF9B0F" w14:textId="0349D412" w:rsidR="00EA5261" w:rsidRDefault="00953298" w:rsidP="004315E1">
            <w:pPr>
              <w:pStyle w:val="TableTextEntries"/>
              <w:jc w:val="center"/>
            </w:pPr>
            <w:r>
              <w:t>I</w:t>
            </w:r>
          </w:p>
        </w:tc>
      </w:tr>
      <w:tr w:rsidR="00A91059" w:rsidRPr="00B22E5F" w14:paraId="60974CE5" w14:textId="77777777" w:rsidTr="004315E1">
        <w:trPr>
          <w:cnfStyle w:val="000000010000" w:firstRow="0" w:lastRow="0" w:firstColumn="0" w:lastColumn="0" w:oddVBand="0" w:evenVBand="0" w:oddHBand="0" w:evenHBand="1" w:firstRowFirstColumn="0" w:firstRowLastColumn="0" w:lastRowFirstColumn="0" w:lastRowLastColumn="0"/>
          <w:trHeight w:val="219"/>
        </w:trPr>
        <w:tc>
          <w:tcPr>
            <w:tcW w:w="925" w:type="pct"/>
            <w:vMerge/>
          </w:tcPr>
          <w:p w14:paraId="491E5704" w14:textId="77777777" w:rsidR="00A91059" w:rsidRDefault="00A91059" w:rsidP="004315E1">
            <w:pPr>
              <w:pStyle w:val="TableTextEntries"/>
            </w:pPr>
          </w:p>
        </w:tc>
        <w:tc>
          <w:tcPr>
            <w:tcW w:w="676" w:type="pct"/>
            <w:vMerge/>
          </w:tcPr>
          <w:p w14:paraId="2BFD0168" w14:textId="77777777" w:rsidR="00A91059" w:rsidRDefault="00A91059" w:rsidP="004315E1">
            <w:pPr>
              <w:pStyle w:val="TableTextEntries"/>
            </w:pPr>
          </w:p>
        </w:tc>
        <w:tc>
          <w:tcPr>
            <w:tcW w:w="553" w:type="pct"/>
            <w:gridSpan w:val="2"/>
            <w:vMerge/>
          </w:tcPr>
          <w:p w14:paraId="242BBB2A" w14:textId="77777777" w:rsidR="00A91059" w:rsidRDefault="00A91059" w:rsidP="004315E1">
            <w:pPr>
              <w:pStyle w:val="TableTextEntries"/>
            </w:pPr>
          </w:p>
        </w:tc>
        <w:tc>
          <w:tcPr>
            <w:tcW w:w="424" w:type="pct"/>
            <w:shd w:val="clear" w:color="auto" w:fill="92D050"/>
            <w:noWrap/>
          </w:tcPr>
          <w:p w14:paraId="3CB7FF91" w14:textId="1AF07ADD" w:rsidR="00A91059" w:rsidRDefault="00A91059" w:rsidP="004315E1">
            <w:pPr>
              <w:pStyle w:val="TableTextEntries"/>
              <w:jc w:val="center"/>
            </w:pPr>
            <w:r>
              <w:t>5</w:t>
            </w:r>
          </w:p>
        </w:tc>
        <w:tc>
          <w:tcPr>
            <w:tcW w:w="372" w:type="pct"/>
            <w:shd w:val="clear" w:color="auto" w:fill="92D050"/>
            <w:noWrap/>
          </w:tcPr>
          <w:p w14:paraId="79D43830" w14:textId="16A63A18" w:rsidR="00A91059" w:rsidRDefault="00A91059" w:rsidP="004315E1">
            <w:pPr>
              <w:pStyle w:val="TableTextEntries"/>
              <w:jc w:val="center"/>
            </w:pPr>
            <w:r>
              <w:t>5</w:t>
            </w:r>
          </w:p>
        </w:tc>
        <w:tc>
          <w:tcPr>
            <w:tcW w:w="372" w:type="pct"/>
            <w:shd w:val="clear" w:color="auto" w:fill="92D050"/>
            <w:noWrap/>
          </w:tcPr>
          <w:p w14:paraId="5D7C7376" w14:textId="020F5AFA" w:rsidR="00A91059" w:rsidRDefault="00A91059" w:rsidP="004315E1">
            <w:pPr>
              <w:pStyle w:val="TableTextEntries"/>
              <w:jc w:val="center"/>
            </w:pPr>
            <w:r>
              <w:t>5</w:t>
            </w:r>
          </w:p>
        </w:tc>
        <w:tc>
          <w:tcPr>
            <w:tcW w:w="395" w:type="pct"/>
            <w:shd w:val="clear" w:color="auto" w:fill="F79646" w:themeFill="accent6"/>
            <w:noWrap/>
          </w:tcPr>
          <w:p w14:paraId="0A66509C" w14:textId="2221DB66" w:rsidR="00A91059" w:rsidRDefault="00A91059" w:rsidP="004315E1">
            <w:pPr>
              <w:pStyle w:val="TableTextEntries"/>
              <w:jc w:val="center"/>
            </w:pPr>
            <w:r>
              <w:t>3</w:t>
            </w:r>
          </w:p>
        </w:tc>
        <w:tc>
          <w:tcPr>
            <w:tcW w:w="344" w:type="pct"/>
            <w:shd w:val="clear" w:color="auto" w:fill="92D050"/>
            <w:noWrap/>
          </w:tcPr>
          <w:p w14:paraId="122F22E1" w14:textId="07EAA2D7" w:rsidR="00A91059" w:rsidRDefault="00A91059" w:rsidP="004315E1">
            <w:pPr>
              <w:pStyle w:val="TableTextEntries"/>
              <w:jc w:val="center"/>
            </w:pPr>
            <w:r>
              <w:t>5</w:t>
            </w:r>
          </w:p>
        </w:tc>
        <w:tc>
          <w:tcPr>
            <w:tcW w:w="372" w:type="pct"/>
            <w:shd w:val="clear" w:color="auto" w:fill="92D050"/>
            <w:noWrap/>
          </w:tcPr>
          <w:p w14:paraId="3559B9AD" w14:textId="4F75C0DC" w:rsidR="00A91059" w:rsidRDefault="00A91059" w:rsidP="004315E1">
            <w:pPr>
              <w:pStyle w:val="TableTextEntries"/>
              <w:jc w:val="center"/>
            </w:pPr>
            <w:r>
              <w:t>6</w:t>
            </w:r>
          </w:p>
        </w:tc>
        <w:tc>
          <w:tcPr>
            <w:tcW w:w="370" w:type="pct"/>
            <w:shd w:val="clear" w:color="auto" w:fill="F79646" w:themeFill="accent6"/>
            <w:noWrap/>
          </w:tcPr>
          <w:p w14:paraId="4E34F491" w14:textId="42597BD9" w:rsidR="00A91059" w:rsidRDefault="00A91059" w:rsidP="004315E1">
            <w:pPr>
              <w:pStyle w:val="TableTextEntries"/>
              <w:jc w:val="center"/>
            </w:pPr>
            <w:r>
              <w:t>I</w:t>
            </w:r>
          </w:p>
        </w:tc>
      </w:tr>
    </w:tbl>
    <w:p w14:paraId="7601EEAE" w14:textId="5E7A72AF" w:rsidR="00FE4491" w:rsidRDefault="00FE4491" w:rsidP="00FE4491">
      <w:pPr>
        <w:pStyle w:val="Note"/>
      </w:pPr>
      <w:r>
        <w:t>Definitions of rating scale:</w:t>
      </w:r>
      <w:r>
        <w:tab/>
      </w:r>
    </w:p>
    <w:p w14:paraId="7601EEAF" w14:textId="77777777" w:rsidR="00FE4491" w:rsidRDefault="00FE4491" w:rsidP="00FE4491">
      <w:pPr>
        <w:pStyle w:val="Note"/>
      </w:pPr>
      <w:r>
        <w:t>Satisfactory (4, 5 and 6)</w:t>
      </w:r>
    </w:p>
    <w:p w14:paraId="7601EEB0" w14:textId="77777777" w:rsidR="00FE4491" w:rsidRDefault="00FE4491" w:rsidP="00FE4491">
      <w:pPr>
        <w:pStyle w:val="Note"/>
      </w:pPr>
      <w:r w:rsidRPr="00FE4491">
        <w:rPr>
          <w:color w:val="92D050"/>
        </w:rPr>
        <w:sym w:font="Webdings" w:char="F067"/>
      </w:r>
      <w:r>
        <w:t xml:space="preserve"> = 6 = Very high quality</w:t>
      </w:r>
    </w:p>
    <w:p w14:paraId="7601EEB1" w14:textId="77777777" w:rsidR="00FE4491" w:rsidRDefault="00FE4491" w:rsidP="00FE4491">
      <w:pPr>
        <w:pStyle w:val="Note"/>
      </w:pPr>
      <w:r w:rsidRPr="00FE4491">
        <w:rPr>
          <w:color w:val="92D050"/>
        </w:rPr>
        <w:sym w:font="Webdings" w:char="F067"/>
      </w:r>
      <w:r>
        <w:t xml:space="preserve"> = 5 = Good quality</w:t>
      </w:r>
    </w:p>
    <w:p w14:paraId="7601EEB2" w14:textId="77777777" w:rsidR="00FE4491" w:rsidRDefault="00FE4491" w:rsidP="00FE4491">
      <w:pPr>
        <w:pStyle w:val="Note"/>
      </w:pPr>
      <w:r w:rsidRPr="000774FD">
        <w:rPr>
          <w:color w:val="FFFF00"/>
        </w:rPr>
        <w:sym w:font="Webdings" w:char="F067"/>
      </w:r>
      <w:r>
        <w:t xml:space="preserve"> = 4 = Adequate quality, needs some work</w:t>
      </w:r>
    </w:p>
    <w:p w14:paraId="7601EEB3" w14:textId="77777777" w:rsidR="00FE4491" w:rsidRDefault="00FE4491" w:rsidP="00FE4491">
      <w:pPr>
        <w:pStyle w:val="Note"/>
      </w:pPr>
      <w:r>
        <w:t>Less than satisfactory (1, 2 and 3)</w:t>
      </w:r>
    </w:p>
    <w:p w14:paraId="7601EEB4" w14:textId="77777777" w:rsidR="00FE4491" w:rsidRDefault="00FE4491" w:rsidP="00FE4491">
      <w:pPr>
        <w:pStyle w:val="Note"/>
      </w:pPr>
      <w:r w:rsidRPr="00FD710F">
        <w:rPr>
          <w:color w:val="F79646"/>
        </w:rPr>
        <w:sym w:font="Webdings" w:char="F067"/>
      </w:r>
      <w:r>
        <w:t xml:space="preserve"> = 3 = Less than adequate quality; needs significant work</w:t>
      </w:r>
    </w:p>
    <w:p w14:paraId="7601EEB5" w14:textId="77777777" w:rsidR="00FE4491" w:rsidRDefault="00FE4491" w:rsidP="00FE4491">
      <w:pPr>
        <w:pStyle w:val="Note"/>
      </w:pPr>
      <w:r w:rsidRPr="000774FD">
        <w:rPr>
          <w:color w:val="FF0000"/>
        </w:rPr>
        <w:sym w:font="Webdings" w:char="F067"/>
      </w:r>
      <w:r>
        <w:t xml:space="preserve"> = 2 = Poor quality; needs major work to improve</w:t>
      </w:r>
    </w:p>
    <w:p w14:paraId="7601EEB6" w14:textId="77777777" w:rsidR="00FE4491" w:rsidRDefault="00FE4491" w:rsidP="00FE4491">
      <w:pPr>
        <w:pStyle w:val="Note"/>
      </w:pPr>
      <w:r w:rsidRPr="000774FD">
        <w:rPr>
          <w:color w:val="FF0000"/>
        </w:rPr>
        <w:sym w:font="Webdings" w:char="F067"/>
      </w:r>
      <w:r>
        <w:t xml:space="preserve"> = 1 = Very poor quality; needs major overhaul</w:t>
      </w:r>
    </w:p>
    <w:p w14:paraId="7601EEB7" w14:textId="77777777" w:rsidR="00FE4491" w:rsidRDefault="00FE4491" w:rsidP="00FE4491">
      <w:pPr>
        <w:pStyle w:val="Note"/>
      </w:pPr>
    </w:p>
    <w:p w14:paraId="7601EEB8" w14:textId="77777777" w:rsidR="00FE4491" w:rsidRDefault="00FE4491" w:rsidP="00FE4491">
      <w:pPr>
        <w:pStyle w:val="Note"/>
      </w:pPr>
      <w:r>
        <w:t>Risk Management scale:</w:t>
      </w:r>
    </w:p>
    <w:p w14:paraId="7601EEB9" w14:textId="77777777" w:rsidR="00FE4491" w:rsidRDefault="00FE4491" w:rsidP="00FE4491">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r w:rsidR="00C65930">
        <w:t>.</w:t>
      </w:r>
      <w:r>
        <w:t xml:space="preserve"> </w:t>
      </w:r>
    </w:p>
    <w:p w14:paraId="7601EEBA" w14:textId="77777777" w:rsidR="00FE4491" w:rsidRDefault="00FE4491" w:rsidP="00FE4491">
      <w:pPr>
        <w:pStyle w:val="Note"/>
      </w:pPr>
      <w:r w:rsidRPr="00FD710F">
        <w:rPr>
          <w:color w:val="F79646"/>
        </w:rPr>
        <w:sym w:font="Webdings" w:char="F067"/>
      </w:r>
      <w:r>
        <w:t xml:space="preserve">  Intermediate (I). Indicates the initiative manager conducts ad-hoc risk discussion and updates the risk register occasionally</w:t>
      </w:r>
      <w:r w:rsidR="00C65930">
        <w:t>.</w:t>
      </w:r>
      <w:r>
        <w:t xml:space="preserve"> </w:t>
      </w:r>
    </w:p>
    <w:p w14:paraId="7601EEBB" w14:textId="77777777" w:rsidR="00FE4491" w:rsidRDefault="00FE4491" w:rsidP="00FE4491">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r w:rsidR="00C65930">
        <w:t>.</w:t>
      </w:r>
    </w:p>
    <w:p w14:paraId="7601EEBC" w14:textId="77777777" w:rsidR="00071B95" w:rsidRDefault="00071B95" w:rsidP="00071B95"/>
    <w:p w14:paraId="7601EEBD" w14:textId="77777777" w:rsidR="00071B95" w:rsidRDefault="00071B95" w:rsidP="00071B95">
      <w:pPr>
        <w:sectPr w:rsidR="00071B95" w:rsidSect="001D6C8B">
          <w:footerReference w:type="default" r:id="rId19"/>
          <w:headerReference w:type="first" r:id="rId20"/>
          <w:footerReference w:type="first" r:id="rId21"/>
          <w:pgSz w:w="11906" w:h="16838" w:code="9"/>
          <w:pgMar w:top="2268" w:right="1701" w:bottom="907" w:left="1871" w:header="709" w:footer="454" w:gutter="0"/>
          <w:cols w:space="708"/>
          <w:docGrid w:linePitch="360"/>
        </w:sectPr>
      </w:pPr>
    </w:p>
    <w:p w14:paraId="3CD74DF1" w14:textId="77777777" w:rsidR="00753D62" w:rsidRPr="00071B95" w:rsidRDefault="00753D62" w:rsidP="00753D62">
      <w:pPr>
        <w:pStyle w:val="Heading1"/>
      </w:pPr>
      <w:r w:rsidRPr="00071B95">
        <w:lastRenderedPageBreak/>
        <w:t>Annex C</w:t>
      </w:r>
    </w:p>
    <w:p w14:paraId="2AD5F6C3" w14:textId="2E5E74CF" w:rsidR="00753D62" w:rsidRPr="00071B95" w:rsidRDefault="00753D62" w:rsidP="00753D62">
      <w:pPr>
        <w:pStyle w:val="Heading2"/>
      </w:pPr>
      <w:r w:rsidRPr="00071B95">
        <w:t xml:space="preserve">Evaluation and </w:t>
      </w:r>
      <w:r w:rsidR="00802382">
        <w:t>r</w:t>
      </w:r>
      <w:r w:rsidRPr="00071B95">
        <w:t xml:space="preserve">eview </w:t>
      </w:r>
      <w:r w:rsidR="00802382">
        <w:t>p</w:t>
      </w:r>
      <w:r w:rsidRPr="00071B95">
        <w:t xml:space="preserve">ipeline </w:t>
      </w:r>
      <w:r w:rsidR="00802382">
        <w:t>p</w:t>
      </w:r>
      <w:r w:rsidRPr="00071B95">
        <w:t>lanning</w:t>
      </w:r>
    </w:p>
    <w:p w14:paraId="56454818" w14:textId="77777777" w:rsidR="00753D62" w:rsidRPr="00071B95" w:rsidRDefault="00753D62" w:rsidP="00753D62">
      <w:pPr>
        <w:pStyle w:val="Caption"/>
      </w:pPr>
      <w:r w:rsidRPr="00071B95">
        <w:t>List of Evaluations completed</w:t>
      </w:r>
      <w:r w:rsidRPr="00071B95">
        <w:rPr>
          <w:vertAlign w:val="superscript"/>
        </w:rPr>
        <w:footnoteReference w:id="50"/>
      </w:r>
      <w:r w:rsidRPr="00071B95">
        <w:t xml:space="preserve"> in the reporting period </w:t>
      </w:r>
    </w:p>
    <w:tbl>
      <w:tblPr>
        <w:tblStyle w:val="APPR"/>
        <w:tblW w:w="5000" w:type="pct"/>
        <w:tblLook w:val="04A0" w:firstRow="1" w:lastRow="0" w:firstColumn="1" w:lastColumn="0" w:noHBand="0" w:noVBand="1"/>
      </w:tblPr>
      <w:tblGrid>
        <w:gridCol w:w="2052"/>
        <w:gridCol w:w="2071"/>
        <w:gridCol w:w="2175"/>
        <w:gridCol w:w="2078"/>
        <w:gridCol w:w="2059"/>
        <w:gridCol w:w="1871"/>
        <w:gridCol w:w="1631"/>
      </w:tblGrid>
      <w:tr w:rsidR="00753D62" w:rsidRPr="00071B95" w14:paraId="59BE8E97" w14:textId="77777777" w:rsidTr="004315E1">
        <w:trPr>
          <w:cnfStyle w:val="100000000000" w:firstRow="1" w:lastRow="0" w:firstColumn="0" w:lastColumn="0" w:oddVBand="0" w:evenVBand="0" w:oddHBand="0" w:evenHBand="0" w:firstRowFirstColumn="0" w:firstRowLastColumn="0" w:lastRowFirstColumn="0" w:lastRowLastColumn="0"/>
        </w:trPr>
        <w:tc>
          <w:tcPr>
            <w:tcW w:w="1902" w:type="dxa"/>
          </w:tcPr>
          <w:p w14:paraId="3AEBAEF0" w14:textId="78B403DC" w:rsidR="00753D62" w:rsidRPr="004315E1" w:rsidRDefault="00753D62" w:rsidP="004315E1">
            <w:pPr>
              <w:pStyle w:val="TableTextColumnHeading"/>
              <w:rPr>
                <w:b/>
              </w:rPr>
            </w:pPr>
            <w:r w:rsidRPr="004315E1">
              <w:rPr>
                <w:b/>
              </w:rPr>
              <w:t xml:space="preserve">Name of </w:t>
            </w:r>
            <w:r w:rsidR="00802382" w:rsidRPr="004315E1">
              <w:rPr>
                <w:b/>
              </w:rPr>
              <w:t>i</w:t>
            </w:r>
            <w:r w:rsidRPr="004315E1">
              <w:rPr>
                <w:b/>
              </w:rPr>
              <w:t>nitiative</w:t>
            </w:r>
          </w:p>
        </w:tc>
        <w:tc>
          <w:tcPr>
            <w:tcW w:w="1933" w:type="dxa"/>
          </w:tcPr>
          <w:p w14:paraId="7EA30E71" w14:textId="2D0506E2" w:rsidR="00753D62" w:rsidRPr="004315E1" w:rsidRDefault="00753D62" w:rsidP="004315E1">
            <w:pPr>
              <w:pStyle w:val="TableTextColumnHeading"/>
              <w:rPr>
                <w:b/>
              </w:rPr>
            </w:pPr>
            <w:proofErr w:type="spellStart"/>
            <w:r w:rsidRPr="004315E1">
              <w:rPr>
                <w:b/>
              </w:rPr>
              <w:t>Aid</w:t>
            </w:r>
            <w:r w:rsidR="004E3598" w:rsidRPr="004315E1">
              <w:rPr>
                <w:b/>
              </w:rPr>
              <w:t>W</w:t>
            </w:r>
            <w:r w:rsidRPr="004315E1">
              <w:rPr>
                <w:b/>
              </w:rPr>
              <w:t>orks</w:t>
            </w:r>
            <w:proofErr w:type="spellEnd"/>
            <w:r w:rsidRPr="004315E1">
              <w:rPr>
                <w:b/>
              </w:rPr>
              <w:t xml:space="preserve"> number</w:t>
            </w:r>
          </w:p>
        </w:tc>
        <w:tc>
          <w:tcPr>
            <w:tcW w:w="2031" w:type="dxa"/>
          </w:tcPr>
          <w:p w14:paraId="506DFC69" w14:textId="77777777" w:rsidR="00753D62" w:rsidRPr="004315E1" w:rsidRDefault="00753D62" w:rsidP="004315E1">
            <w:pPr>
              <w:pStyle w:val="TableTextColumnHeading"/>
              <w:rPr>
                <w:b/>
              </w:rPr>
            </w:pPr>
            <w:r w:rsidRPr="004315E1">
              <w:rPr>
                <w:b/>
              </w:rPr>
              <w:t>Type of evaluation</w:t>
            </w:r>
            <w:r w:rsidRPr="004315E1">
              <w:rPr>
                <w:b/>
                <w:vertAlign w:val="superscript"/>
              </w:rPr>
              <w:footnoteReference w:id="51"/>
            </w:r>
          </w:p>
        </w:tc>
        <w:tc>
          <w:tcPr>
            <w:tcW w:w="1939" w:type="dxa"/>
          </w:tcPr>
          <w:p w14:paraId="26792F9F" w14:textId="34E5DE99" w:rsidR="00753D62" w:rsidRPr="004315E1" w:rsidRDefault="00753D62" w:rsidP="004315E1">
            <w:pPr>
              <w:pStyle w:val="TableTextColumnHeading"/>
              <w:rPr>
                <w:b/>
              </w:rPr>
            </w:pPr>
            <w:r w:rsidRPr="004315E1">
              <w:rPr>
                <w:b/>
              </w:rPr>
              <w:t xml:space="preserve">Date </w:t>
            </w:r>
            <w:r w:rsidR="00802382" w:rsidRPr="004315E1">
              <w:rPr>
                <w:b/>
              </w:rPr>
              <w:t>e</w:t>
            </w:r>
            <w:r w:rsidRPr="004315E1">
              <w:rPr>
                <w:b/>
              </w:rPr>
              <w:t>valuation report received</w:t>
            </w:r>
          </w:p>
        </w:tc>
        <w:tc>
          <w:tcPr>
            <w:tcW w:w="1921" w:type="dxa"/>
          </w:tcPr>
          <w:p w14:paraId="1224BAAF" w14:textId="08BB4D84" w:rsidR="00753D62" w:rsidRPr="004315E1" w:rsidRDefault="00753D62" w:rsidP="004315E1">
            <w:pPr>
              <w:pStyle w:val="TableTextColumnHeading"/>
              <w:rPr>
                <w:b/>
              </w:rPr>
            </w:pPr>
            <w:r w:rsidRPr="004315E1">
              <w:rPr>
                <w:b/>
              </w:rPr>
              <w:t xml:space="preserve">Date </w:t>
            </w:r>
            <w:r w:rsidR="00802382" w:rsidRPr="004315E1">
              <w:rPr>
                <w:b/>
              </w:rPr>
              <w:t>e</w:t>
            </w:r>
            <w:r w:rsidRPr="004315E1">
              <w:rPr>
                <w:b/>
              </w:rPr>
              <w:t xml:space="preserve">valuation report </w:t>
            </w:r>
            <w:r w:rsidR="00802382" w:rsidRPr="004315E1">
              <w:rPr>
                <w:b/>
              </w:rPr>
              <w:t>u</w:t>
            </w:r>
            <w:r w:rsidRPr="004315E1">
              <w:rPr>
                <w:b/>
              </w:rPr>
              <w:t xml:space="preserve">ploaded into </w:t>
            </w:r>
            <w:proofErr w:type="spellStart"/>
            <w:r w:rsidRPr="004315E1">
              <w:rPr>
                <w:b/>
              </w:rPr>
              <w:t>Aid</w:t>
            </w:r>
            <w:r w:rsidR="004E3598" w:rsidRPr="004315E1">
              <w:rPr>
                <w:b/>
              </w:rPr>
              <w:t>W</w:t>
            </w:r>
            <w:r w:rsidRPr="004315E1">
              <w:rPr>
                <w:b/>
              </w:rPr>
              <w:t>orks</w:t>
            </w:r>
            <w:proofErr w:type="spellEnd"/>
          </w:p>
        </w:tc>
        <w:tc>
          <w:tcPr>
            <w:tcW w:w="1743" w:type="dxa"/>
          </w:tcPr>
          <w:p w14:paraId="261A8FD6" w14:textId="5CFD9E2D" w:rsidR="00753D62" w:rsidRPr="004315E1" w:rsidRDefault="00753D62" w:rsidP="004315E1">
            <w:pPr>
              <w:pStyle w:val="TableTextColumnHeading"/>
              <w:rPr>
                <w:b/>
              </w:rPr>
            </w:pPr>
            <w:r w:rsidRPr="004315E1">
              <w:rPr>
                <w:b/>
              </w:rPr>
              <w:t xml:space="preserve">Date </w:t>
            </w:r>
            <w:r w:rsidR="00802382" w:rsidRPr="004315E1">
              <w:rPr>
                <w:b/>
              </w:rPr>
              <w:t>m</w:t>
            </w:r>
            <w:r w:rsidRPr="004315E1">
              <w:rPr>
                <w:b/>
              </w:rPr>
              <w:t xml:space="preserve">anagement response uploaded into </w:t>
            </w:r>
            <w:proofErr w:type="spellStart"/>
            <w:r w:rsidRPr="004315E1">
              <w:rPr>
                <w:b/>
              </w:rPr>
              <w:t>Aid</w:t>
            </w:r>
            <w:r w:rsidR="004E3598" w:rsidRPr="004315E1">
              <w:rPr>
                <w:b/>
              </w:rPr>
              <w:t>W</w:t>
            </w:r>
            <w:r w:rsidRPr="004315E1">
              <w:rPr>
                <w:b/>
              </w:rPr>
              <w:t>orks</w:t>
            </w:r>
            <w:proofErr w:type="spellEnd"/>
          </w:p>
        </w:tc>
        <w:tc>
          <w:tcPr>
            <w:tcW w:w="1503" w:type="dxa"/>
          </w:tcPr>
          <w:p w14:paraId="640CCA6C" w14:textId="60992D2E" w:rsidR="00106490" w:rsidRPr="004315E1" w:rsidRDefault="00753D62" w:rsidP="004315E1">
            <w:pPr>
              <w:pStyle w:val="TableTextColumnHeading"/>
              <w:rPr>
                <w:b/>
              </w:rPr>
            </w:pPr>
            <w:r w:rsidRPr="004315E1">
              <w:rPr>
                <w:b/>
              </w:rPr>
              <w:t>Published on website</w:t>
            </w:r>
          </w:p>
        </w:tc>
      </w:tr>
      <w:tr w:rsidR="00753D62" w:rsidRPr="00071B95" w14:paraId="626D4C57" w14:textId="77777777" w:rsidTr="004315E1">
        <w:trPr>
          <w:cnfStyle w:val="100000000000" w:firstRow="1" w:lastRow="0" w:firstColumn="0" w:lastColumn="0" w:oddVBand="0" w:evenVBand="0" w:oddHBand="0" w:evenHBand="0" w:firstRowFirstColumn="0" w:firstRowLastColumn="0" w:lastRowFirstColumn="0" w:lastRowLastColumn="0"/>
        </w:trPr>
        <w:tc>
          <w:tcPr>
            <w:tcW w:w="1902" w:type="dxa"/>
          </w:tcPr>
          <w:p w14:paraId="7E710C45" w14:textId="414303B6" w:rsidR="00753D62" w:rsidRPr="004315E1" w:rsidRDefault="00753D62" w:rsidP="004315E1">
            <w:pPr>
              <w:pStyle w:val="TableTextEntries"/>
              <w:rPr>
                <w:b w:val="0"/>
              </w:rPr>
            </w:pPr>
            <w:r w:rsidRPr="004315E1">
              <w:rPr>
                <w:b w:val="0"/>
              </w:rPr>
              <w:t xml:space="preserve">Public </w:t>
            </w:r>
            <w:r w:rsidR="00802382" w:rsidRPr="004315E1">
              <w:rPr>
                <w:b w:val="0"/>
              </w:rPr>
              <w:t>f</w:t>
            </w:r>
            <w:r w:rsidRPr="004315E1">
              <w:rPr>
                <w:b w:val="0"/>
              </w:rPr>
              <w:t xml:space="preserve">inancial </w:t>
            </w:r>
            <w:r w:rsidR="00802382" w:rsidRPr="004315E1">
              <w:rPr>
                <w:b w:val="0"/>
              </w:rPr>
              <w:t>m</w:t>
            </w:r>
            <w:r w:rsidRPr="004315E1">
              <w:rPr>
                <w:b w:val="0"/>
              </w:rPr>
              <w:t xml:space="preserve">anagement </w:t>
            </w:r>
            <w:r w:rsidR="00802382" w:rsidRPr="004315E1">
              <w:rPr>
                <w:b w:val="0"/>
              </w:rPr>
              <w:t>r</w:t>
            </w:r>
            <w:r w:rsidRPr="004315E1">
              <w:rPr>
                <w:b w:val="0"/>
              </w:rPr>
              <w:t>eview</w:t>
            </w:r>
          </w:p>
        </w:tc>
        <w:tc>
          <w:tcPr>
            <w:tcW w:w="1933" w:type="dxa"/>
          </w:tcPr>
          <w:p w14:paraId="51F0B5F7" w14:textId="77777777" w:rsidR="00753D62" w:rsidRPr="004315E1" w:rsidRDefault="00753D62" w:rsidP="004315E1">
            <w:pPr>
              <w:pStyle w:val="TableTextEntries"/>
              <w:rPr>
                <w:b w:val="0"/>
              </w:rPr>
            </w:pPr>
            <w:r w:rsidRPr="004315E1">
              <w:rPr>
                <w:b w:val="0"/>
              </w:rPr>
              <w:t>INI968</w:t>
            </w:r>
          </w:p>
        </w:tc>
        <w:tc>
          <w:tcPr>
            <w:tcW w:w="2031" w:type="dxa"/>
          </w:tcPr>
          <w:p w14:paraId="1A81AB29" w14:textId="77777777" w:rsidR="00753D62" w:rsidRPr="004315E1" w:rsidRDefault="00753D62" w:rsidP="004315E1">
            <w:pPr>
              <w:pStyle w:val="TableTextEntries"/>
              <w:rPr>
                <w:b w:val="0"/>
              </w:rPr>
            </w:pPr>
            <w:r w:rsidRPr="004315E1">
              <w:rPr>
                <w:b w:val="0"/>
              </w:rPr>
              <w:t>Independent progress report</w:t>
            </w:r>
          </w:p>
        </w:tc>
        <w:tc>
          <w:tcPr>
            <w:tcW w:w="1939" w:type="dxa"/>
          </w:tcPr>
          <w:p w14:paraId="7B9002FB" w14:textId="77777777" w:rsidR="00753D62" w:rsidRPr="004315E1" w:rsidRDefault="00753D62" w:rsidP="004315E1">
            <w:pPr>
              <w:pStyle w:val="TableTextEntries"/>
              <w:rPr>
                <w:b w:val="0"/>
              </w:rPr>
            </w:pPr>
            <w:r w:rsidRPr="004315E1">
              <w:rPr>
                <w:b w:val="0"/>
              </w:rPr>
              <w:t>Draft received November 2012</w:t>
            </w:r>
          </w:p>
        </w:tc>
        <w:tc>
          <w:tcPr>
            <w:tcW w:w="1921" w:type="dxa"/>
          </w:tcPr>
          <w:p w14:paraId="5ECF5523" w14:textId="77777777" w:rsidR="00753D62" w:rsidRPr="004315E1" w:rsidRDefault="00753D62" w:rsidP="004315E1">
            <w:pPr>
              <w:pStyle w:val="TableTextEntries"/>
              <w:rPr>
                <w:b w:val="0"/>
              </w:rPr>
            </w:pPr>
            <w:r w:rsidRPr="004315E1">
              <w:rPr>
                <w:b w:val="0"/>
              </w:rPr>
              <w:t>Not uploaded</w:t>
            </w:r>
          </w:p>
        </w:tc>
        <w:tc>
          <w:tcPr>
            <w:tcW w:w="1743" w:type="dxa"/>
          </w:tcPr>
          <w:p w14:paraId="53020697" w14:textId="77777777" w:rsidR="00753D62" w:rsidRPr="004315E1" w:rsidRDefault="00753D62" w:rsidP="004315E1">
            <w:pPr>
              <w:pStyle w:val="TableTextEntries"/>
              <w:rPr>
                <w:b w:val="0"/>
              </w:rPr>
            </w:pPr>
            <w:r w:rsidRPr="004315E1">
              <w:rPr>
                <w:b w:val="0"/>
              </w:rPr>
              <w:t>Not uploaded</w:t>
            </w:r>
          </w:p>
        </w:tc>
        <w:tc>
          <w:tcPr>
            <w:tcW w:w="1503" w:type="dxa"/>
          </w:tcPr>
          <w:p w14:paraId="0FC3B7C2" w14:textId="6F671EBE" w:rsidR="00753D62" w:rsidRPr="004315E1" w:rsidRDefault="00106490" w:rsidP="004315E1">
            <w:pPr>
              <w:pStyle w:val="TableTextEntries"/>
              <w:rPr>
                <w:b w:val="0"/>
              </w:rPr>
            </w:pPr>
            <w:r w:rsidRPr="004315E1">
              <w:rPr>
                <w:b w:val="0"/>
              </w:rPr>
              <w:t>No</w:t>
            </w:r>
          </w:p>
        </w:tc>
      </w:tr>
    </w:tbl>
    <w:p w14:paraId="16168EA8" w14:textId="77777777" w:rsidR="00753D62" w:rsidRPr="00071B95" w:rsidRDefault="00753D62" w:rsidP="00753D62">
      <w:pPr>
        <w:rPr>
          <w:b/>
        </w:rPr>
      </w:pPr>
    </w:p>
    <w:p w14:paraId="7A6B8FD4" w14:textId="77777777" w:rsidR="00753D62" w:rsidRPr="00071B95" w:rsidRDefault="00753D62" w:rsidP="00753D62">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753D62" w:rsidRPr="00071B95" w14:paraId="1B8AEF26" w14:textId="77777777" w:rsidTr="004315E1">
        <w:tc>
          <w:tcPr>
            <w:tcW w:w="2601" w:type="dxa"/>
          </w:tcPr>
          <w:p w14:paraId="0B79BF31" w14:textId="42F22D11" w:rsidR="00753D62" w:rsidRPr="00071B95" w:rsidRDefault="00753D62" w:rsidP="004315E1">
            <w:pPr>
              <w:pStyle w:val="TableTextColumnHeading"/>
            </w:pPr>
            <w:r w:rsidRPr="00071B95">
              <w:t xml:space="preserve">Name of </w:t>
            </w:r>
            <w:r w:rsidR="00802382">
              <w:t>i</w:t>
            </w:r>
            <w:r w:rsidRPr="00071B95">
              <w:t>nitiative</w:t>
            </w:r>
          </w:p>
        </w:tc>
        <w:tc>
          <w:tcPr>
            <w:tcW w:w="2530" w:type="dxa"/>
          </w:tcPr>
          <w:p w14:paraId="58A861FD" w14:textId="5FB7B7BF" w:rsidR="00753D62" w:rsidRPr="00071B95" w:rsidRDefault="00753D62" w:rsidP="004315E1">
            <w:pPr>
              <w:pStyle w:val="TableTextColumnHeading"/>
            </w:pPr>
            <w:proofErr w:type="spellStart"/>
            <w:r w:rsidRPr="00071B95">
              <w:t>Aid</w:t>
            </w:r>
            <w:r w:rsidR="004E3598">
              <w:t>W</w:t>
            </w:r>
            <w:r w:rsidRPr="00071B95">
              <w:t>orks</w:t>
            </w:r>
            <w:proofErr w:type="spellEnd"/>
            <w:r w:rsidRPr="00071B95">
              <w:t xml:space="preserve"> number</w:t>
            </w:r>
          </w:p>
        </w:tc>
        <w:tc>
          <w:tcPr>
            <w:tcW w:w="2612" w:type="dxa"/>
          </w:tcPr>
          <w:p w14:paraId="4EC400AC" w14:textId="77777777" w:rsidR="00753D62" w:rsidRPr="00071B95" w:rsidRDefault="00753D62" w:rsidP="004315E1">
            <w:pPr>
              <w:pStyle w:val="TableTextColumnHeading"/>
            </w:pPr>
            <w:r w:rsidRPr="00071B95">
              <w:t>Type of evaluation</w:t>
            </w:r>
          </w:p>
        </w:tc>
        <w:tc>
          <w:tcPr>
            <w:tcW w:w="2612" w:type="dxa"/>
          </w:tcPr>
          <w:p w14:paraId="505AB78D" w14:textId="77777777" w:rsidR="00753D62" w:rsidRPr="00071B95" w:rsidRDefault="00753D62" w:rsidP="004315E1">
            <w:pPr>
              <w:pStyle w:val="TableTextColumnHeading"/>
            </w:pPr>
            <w:r w:rsidRPr="00071B95">
              <w:t>Purpose of evaluation</w:t>
            </w:r>
            <w:r w:rsidRPr="00071B95">
              <w:rPr>
                <w:vertAlign w:val="superscript"/>
              </w:rPr>
              <w:footnoteReference w:id="52"/>
            </w:r>
          </w:p>
        </w:tc>
        <w:tc>
          <w:tcPr>
            <w:tcW w:w="2617" w:type="dxa"/>
          </w:tcPr>
          <w:p w14:paraId="434079BC" w14:textId="77777777" w:rsidR="00753D62" w:rsidRPr="00071B95" w:rsidRDefault="00753D62" w:rsidP="004315E1">
            <w:pPr>
              <w:pStyle w:val="TableTextColumnHeading"/>
            </w:pPr>
            <w:r w:rsidRPr="00071B95">
              <w:t>Expected completion date</w:t>
            </w:r>
          </w:p>
        </w:tc>
      </w:tr>
      <w:tr w:rsidR="00753D62" w:rsidRPr="00071B95" w14:paraId="38A8E5F3" w14:textId="77777777" w:rsidTr="004315E1">
        <w:tc>
          <w:tcPr>
            <w:tcW w:w="2601" w:type="dxa"/>
          </w:tcPr>
          <w:p w14:paraId="3C055414" w14:textId="746D5B9E" w:rsidR="00753D62" w:rsidRPr="00C06C1B" w:rsidRDefault="00753D62" w:rsidP="004315E1">
            <w:pPr>
              <w:pStyle w:val="TableTextEntries"/>
              <w:rPr>
                <w:rFonts w:asciiTheme="minorHAnsi" w:hAnsiTheme="minorHAnsi" w:cstheme="minorHAnsi"/>
                <w:sz w:val="16"/>
                <w:szCs w:val="16"/>
              </w:rPr>
            </w:pPr>
            <w:r w:rsidRPr="00C06C1B">
              <w:rPr>
                <w:rFonts w:asciiTheme="minorHAnsi" w:hAnsiTheme="minorHAnsi" w:cstheme="minorHAnsi"/>
                <w:sz w:val="16"/>
                <w:szCs w:val="16"/>
              </w:rPr>
              <w:t xml:space="preserve">Nauru </w:t>
            </w:r>
            <w:r w:rsidR="00802382">
              <w:rPr>
                <w:rFonts w:asciiTheme="minorHAnsi" w:hAnsiTheme="minorHAnsi" w:cstheme="minorHAnsi"/>
                <w:sz w:val="16"/>
                <w:szCs w:val="16"/>
              </w:rPr>
              <w:t>i</w:t>
            </w:r>
            <w:r w:rsidRPr="00C06C1B">
              <w:rPr>
                <w:rFonts w:asciiTheme="minorHAnsi" w:hAnsiTheme="minorHAnsi" w:cstheme="minorHAnsi"/>
                <w:sz w:val="16"/>
                <w:szCs w:val="16"/>
              </w:rPr>
              <w:t xml:space="preserve">mproved </w:t>
            </w:r>
            <w:r w:rsidR="00802382">
              <w:rPr>
                <w:rFonts w:asciiTheme="minorHAnsi" w:hAnsiTheme="minorHAnsi" w:cstheme="minorHAnsi"/>
                <w:sz w:val="16"/>
                <w:szCs w:val="16"/>
              </w:rPr>
              <w:t>h</w:t>
            </w:r>
            <w:r w:rsidRPr="00C06C1B">
              <w:rPr>
                <w:rFonts w:asciiTheme="minorHAnsi" w:hAnsiTheme="minorHAnsi" w:cstheme="minorHAnsi"/>
                <w:sz w:val="16"/>
                <w:szCs w:val="16"/>
              </w:rPr>
              <w:t>ealth</w:t>
            </w:r>
          </w:p>
        </w:tc>
        <w:tc>
          <w:tcPr>
            <w:tcW w:w="2530" w:type="dxa"/>
          </w:tcPr>
          <w:p w14:paraId="337763D9" w14:textId="77777777" w:rsidR="00753D62" w:rsidRPr="00071B95" w:rsidRDefault="00753D62" w:rsidP="004315E1">
            <w:pPr>
              <w:pStyle w:val="TableTextEntries"/>
            </w:pPr>
            <w:r w:rsidRPr="00C06C1B">
              <w:rPr>
                <w:rFonts w:asciiTheme="minorHAnsi" w:hAnsiTheme="minorHAnsi" w:cstheme="minorHAnsi"/>
                <w:sz w:val="16"/>
                <w:szCs w:val="16"/>
                <w:lang w:eastAsia="en-AU"/>
              </w:rPr>
              <w:t>INI970</w:t>
            </w:r>
          </w:p>
        </w:tc>
        <w:tc>
          <w:tcPr>
            <w:tcW w:w="2612" w:type="dxa"/>
          </w:tcPr>
          <w:p w14:paraId="063E5AD8" w14:textId="72C0423E" w:rsidR="00753D62" w:rsidRPr="005E6A1A" w:rsidRDefault="00753D62" w:rsidP="004315E1">
            <w:pPr>
              <w:pStyle w:val="TableTextEntries"/>
            </w:pPr>
            <w:r>
              <w:t>Whole</w:t>
            </w:r>
            <w:r w:rsidR="004E3598">
              <w:t>-</w:t>
            </w:r>
            <w:r>
              <w:t>of</w:t>
            </w:r>
            <w:r w:rsidR="004E3598">
              <w:t>-</w:t>
            </w:r>
            <w:r>
              <w:t>program review</w:t>
            </w:r>
          </w:p>
        </w:tc>
        <w:tc>
          <w:tcPr>
            <w:tcW w:w="2612" w:type="dxa"/>
          </w:tcPr>
          <w:p w14:paraId="212FD03C" w14:textId="77777777" w:rsidR="00753D62" w:rsidRPr="005E6A1A" w:rsidRDefault="00753D62" w:rsidP="004315E1">
            <w:pPr>
              <w:pStyle w:val="TableTextEntries"/>
            </w:pPr>
            <w:r>
              <w:t>To inform next Partnership for Development</w:t>
            </w:r>
          </w:p>
        </w:tc>
        <w:tc>
          <w:tcPr>
            <w:tcW w:w="2617" w:type="dxa"/>
          </w:tcPr>
          <w:p w14:paraId="42545760" w14:textId="77777777" w:rsidR="00753D62" w:rsidRPr="005E6A1A" w:rsidRDefault="00753D62" w:rsidP="004315E1">
            <w:pPr>
              <w:pStyle w:val="TableTextEntries"/>
            </w:pPr>
            <w:r>
              <w:t>December 2013</w:t>
            </w:r>
          </w:p>
        </w:tc>
      </w:tr>
      <w:tr w:rsidR="00753D62" w:rsidRPr="00071B95" w14:paraId="230E6677" w14:textId="77777777" w:rsidTr="004315E1">
        <w:tc>
          <w:tcPr>
            <w:tcW w:w="2601" w:type="dxa"/>
          </w:tcPr>
          <w:p w14:paraId="428A8095" w14:textId="08758AB3" w:rsidR="00753D62" w:rsidRPr="00C06C1B" w:rsidRDefault="00753D62" w:rsidP="004315E1">
            <w:pPr>
              <w:pStyle w:val="TableTextEntries"/>
              <w:rPr>
                <w:rFonts w:asciiTheme="minorHAnsi" w:hAnsiTheme="minorHAnsi" w:cstheme="minorHAnsi"/>
                <w:sz w:val="16"/>
                <w:szCs w:val="16"/>
              </w:rPr>
            </w:pPr>
            <w:r w:rsidRPr="00C06C1B">
              <w:rPr>
                <w:rFonts w:asciiTheme="minorHAnsi" w:hAnsiTheme="minorHAnsi" w:cstheme="minorHAnsi"/>
                <w:sz w:val="16"/>
                <w:szCs w:val="16"/>
              </w:rPr>
              <w:t xml:space="preserve">Nauru </w:t>
            </w:r>
            <w:r w:rsidR="00802382">
              <w:rPr>
                <w:rFonts w:asciiTheme="minorHAnsi" w:hAnsiTheme="minorHAnsi" w:cstheme="minorHAnsi"/>
                <w:sz w:val="16"/>
                <w:szCs w:val="16"/>
              </w:rPr>
              <w:t>i</w:t>
            </w:r>
            <w:r w:rsidRPr="00C06C1B">
              <w:rPr>
                <w:rFonts w:asciiTheme="minorHAnsi" w:hAnsiTheme="minorHAnsi" w:cstheme="minorHAnsi"/>
                <w:sz w:val="16"/>
                <w:szCs w:val="16"/>
              </w:rPr>
              <w:t xml:space="preserve">mproved </w:t>
            </w:r>
            <w:r w:rsidR="00802382">
              <w:rPr>
                <w:rFonts w:asciiTheme="minorHAnsi" w:hAnsiTheme="minorHAnsi" w:cstheme="minorHAnsi"/>
                <w:sz w:val="16"/>
                <w:szCs w:val="16"/>
              </w:rPr>
              <w:t>e</w:t>
            </w:r>
            <w:r w:rsidRPr="00C06C1B">
              <w:rPr>
                <w:rFonts w:asciiTheme="minorHAnsi" w:hAnsiTheme="minorHAnsi" w:cstheme="minorHAnsi"/>
                <w:sz w:val="16"/>
                <w:szCs w:val="16"/>
              </w:rPr>
              <w:t>ducation</w:t>
            </w:r>
          </w:p>
        </w:tc>
        <w:tc>
          <w:tcPr>
            <w:tcW w:w="2530" w:type="dxa"/>
          </w:tcPr>
          <w:p w14:paraId="56739DC8" w14:textId="77777777" w:rsidR="00753D62" w:rsidRPr="00071B95" w:rsidRDefault="00753D62" w:rsidP="004315E1">
            <w:pPr>
              <w:pStyle w:val="TableTextEntries"/>
            </w:pPr>
            <w:r w:rsidRPr="00C06C1B">
              <w:rPr>
                <w:rFonts w:asciiTheme="minorHAnsi" w:hAnsiTheme="minorHAnsi" w:cstheme="minorHAnsi"/>
                <w:sz w:val="16"/>
                <w:szCs w:val="16"/>
                <w:lang w:eastAsia="en-AU"/>
              </w:rPr>
              <w:t>INI950</w:t>
            </w:r>
          </w:p>
        </w:tc>
        <w:tc>
          <w:tcPr>
            <w:tcW w:w="2612" w:type="dxa"/>
          </w:tcPr>
          <w:p w14:paraId="2C78F0B4" w14:textId="3623DEB4" w:rsidR="00753D62" w:rsidRPr="005E6A1A" w:rsidRDefault="00753D62" w:rsidP="004315E1">
            <w:pPr>
              <w:pStyle w:val="TableTextEntries"/>
            </w:pPr>
            <w:r>
              <w:t>Whole</w:t>
            </w:r>
            <w:r w:rsidR="004E3598">
              <w:t>-</w:t>
            </w:r>
            <w:r>
              <w:t>of</w:t>
            </w:r>
            <w:r w:rsidR="004E3598">
              <w:t>-</w:t>
            </w:r>
            <w:r>
              <w:t>program review</w:t>
            </w:r>
          </w:p>
        </w:tc>
        <w:tc>
          <w:tcPr>
            <w:tcW w:w="2612" w:type="dxa"/>
          </w:tcPr>
          <w:p w14:paraId="36B6E436" w14:textId="77777777" w:rsidR="00753D62" w:rsidRPr="005E6A1A" w:rsidRDefault="00753D62" w:rsidP="004315E1">
            <w:pPr>
              <w:pStyle w:val="TableTextEntries"/>
            </w:pPr>
            <w:r>
              <w:t>To inform next Partnership for Development</w:t>
            </w:r>
          </w:p>
        </w:tc>
        <w:tc>
          <w:tcPr>
            <w:tcW w:w="2617" w:type="dxa"/>
          </w:tcPr>
          <w:p w14:paraId="215DB5A6" w14:textId="77777777" w:rsidR="00753D62" w:rsidRPr="005E6A1A" w:rsidRDefault="00753D62" w:rsidP="004315E1">
            <w:pPr>
              <w:pStyle w:val="TableTextEntries"/>
            </w:pPr>
            <w:r>
              <w:t>December 2013</w:t>
            </w:r>
          </w:p>
        </w:tc>
      </w:tr>
      <w:tr w:rsidR="00753D62" w:rsidRPr="00071B95" w14:paraId="23715B70" w14:textId="77777777" w:rsidTr="004315E1">
        <w:tc>
          <w:tcPr>
            <w:tcW w:w="2601" w:type="dxa"/>
          </w:tcPr>
          <w:p w14:paraId="7A7DAFCE" w14:textId="10F69DE5" w:rsidR="00753D62" w:rsidRPr="00C06C1B" w:rsidRDefault="00753D62" w:rsidP="004315E1">
            <w:pPr>
              <w:pStyle w:val="TableTextEntries"/>
              <w:rPr>
                <w:rFonts w:asciiTheme="minorHAnsi" w:hAnsiTheme="minorHAnsi" w:cstheme="minorHAnsi"/>
                <w:sz w:val="16"/>
                <w:szCs w:val="16"/>
              </w:rPr>
            </w:pPr>
            <w:r w:rsidRPr="00C06C1B">
              <w:rPr>
                <w:rFonts w:asciiTheme="minorHAnsi" w:hAnsiTheme="minorHAnsi" w:cstheme="minorHAnsi"/>
                <w:sz w:val="16"/>
                <w:szCs w:val="16"/>
              </w:rPr>
              <w:t xml:space="preserve">Nauru </w:t>
            </w:r>
            <w:r w:rsidR="00802382">
              <w:rPr>
                <w:rFonts w:asciiTheme="minorHAnsi" w:hAnsiTheme="minorHAnsi" w:cstheme="minorHAnsi"/>
                <w:sz w:val="16"/>
                <w:szCs w:val="16"/>
              </w:rPr>
              <w:t>p</w:t>
            </w:r>
            <w:r w:rsidRPr="00C06C1B">
              <w:rPr>
                <w:rFonts w:asciiTheme="minorHAnsi" w:hAnsiTheme="minorHAnsi" w:cstheme="minorHAnsi"/>
                <w:sz w:val="16"/>
                <w:szCs w:val="16"/>
              </w:rPr>
              <w:t xml:space="preserve">ublic </w:t>
            </w:r>
            <w:r w:rsidR="00802382">
              <w:rPr>
                <w:rFonts w:asciiTheme="minorHAnsi" w:hAnsiTheme="minorHAnsi" w:cstheme="minorHAnsi"/>
                <w:sz w:val="16"/>
                <w:szCs w:val="16"/>
              </w:rPr>
              <w:t>s</w:t>
            </w:r>
            <w:r w:rsidRPr="00C06C1B">
              <w:rPr>
                <w:rFonts w:asciiTheme="minorHAnsi" w:hAnsiTheme="minorHAnsi" w:cstheme="minorHAnsi"/>
                <w:sz w:val="16"/>
                <w:szCs w:val="16"/>
              </w:rPr>
              <w:t xml:space="preserve">ector </w:t>
            </w:r>
            <w:r w:rsidR="00802382">
              <w:rPr>
                <w:rFonts w:asciiTheme="minorHAnsi" w:hAnsiTheme="minorHAnsi" w:cstheme="minorHAnsi"/>
                <w:sz w:val="16"/>
                <w:szCs w:val="16"/>
              </w:rPr>
              <w:t>r</w:t>
            </w:r>
            <w:r w:rsidRPr="00C06C1B">
              <w:rPr>
                <w:rFonts w:asciiTheme="minorHAnsi" w:hAnsiTheme="minorHAnsi" w:cstheme="minorHAnsi"/>
                <w:sz w:val="16"/>
                <w:szCs w:val="16"/>
              </w:rPr>
              <w:t>eform</w:t>
            </w:r>
          </w:p>
        </w:tc>
        <w:tc>
          <w:tcPr>
            <w:tcW w:w="2530" w:type="dxa"/>
          </w:tcPr>
          <w:p w14:paraId="42CE641A" w14:textId="77777777" w:rsidR="00753D62" w:rsidRPr="00071B95" w:rsidRDefault="00753D62" w:rsidP="004315E1">
            <w:pPr>
              <w:pStyle w:val="TableTextEntries"/>
            </w:pPr>
            <w:r w:rsidRPr="00C06C1B">
              <w:rPr>
                <w:rFonts w:asciiTheme="minorHAnsi" w:hAnsiTheme="minorHAnsi" w:cstheme="minorHAnsi"/>
                <w:sz w:val="16"/>
                <w:szCs w:val="16"/>
                <w:lang w:eastAsia="en-AU"/>
              </w:rPr>
              <w:t>INI943</w:t>
            </w:r>
          </w:p>
        </w:tc>
        <w:tc>
          <w:tcPr>
            <w:tcW w:w="2612" w:type="dxa"/>
          </w:tcPr>
          <w:p w14:paraId="02E31370" w14:textId="7B1B3946" w:rsidR="00753D62" w:rsidRPr="005E6A1A" w:rsidRDefault="00753D62" w:rsidP="004315E1">
            <w:pPr>
              <w:pStyle w:val="TableTextEntries"/>
            </w:pPr>
            <w:r>
              <w:t>Whole</w:t>
            </w:r>
            <w:r w:rsidR="004E3598">
              <w:t>-</w:t>
            </w:r>
            <w:r>
              <w:t>of</w:t>
            </w:r>
            <w:r w:rsidR="004E3598">
              <w:t>-</w:t>
            </w:r>
            <w:r>
              <w:t>program review</w:t>
            </w:r>
          </w:p>
        </w:tc>
        <w:tc>
          <w:tcPr>
            <w:tcW w:w="2612" w:type="dxa"/>
          </w:tcPr>
          <w:p w14:paraId="5C6D68EE" w14:textId="77777777" w:rsidR="00753D62" w:rsidRPr="005E6A1A" w:rsidRDefault="00753D62" w:rsidP="004315E1">
            <w:pPr>
              <w:pStyle w:val="TableTextEntries"/>
            </w:pPr>
            <w:r>
              <w:t>To inform next Partnership for Development</w:t>
            </w:r>
          </w:p>
        </w:tc>
        <w:tc>
          <w:tcPr>
            <w:tcW w:w="2617" w:type="dxa"/>
          </w:tcPr>
          <w:p w14:paraId="6C5F69F9" w14:textId="77777777" w:rsidR="00753D62" w:rsidRPr="005E6A1A" w:rsidRDefault="00753D62" w:rsidP="004315E1">
            <w:pPr>
              <w:pStyle w:val="TableTextEntries"/>
            </w:pPr>
            <w:r>
              <w:t>December 2013</w:t>
            </w:r>
          </w:p>
        </w:tc>
      </w:tr>
      <w:tr w:rsidR="00753D62" w:rsidRPr="00071B95" w14:paraId="205B2257" w14:textId="77777777" w:rsidTr="004315E1">
        <w:tc>
          <w:tcPr>
            <w:tcW w:w="2601" w:type="dxa"/>
          </w:tcPr>
          <w:p w14:paraId="4ECD9368" w14:textId="4EB7EAD9" w:rsidR="00753D62" w:rsidRPr="004315E1" w:rsidRDefault="00753D62" w:rsidP="004315E1">
            <w:pPr>
              <w:pStyle w:val="TableTextEntries"/>
            </w:pPr>
            <w:r w:rsidRPr="004315E1">
              <w:t xml:space="preserve">Nauru </w:t>
            </w:r>
            <w:r w:rsidR="00802382" w:rsidRPr="004315E1">
              <w:t>p</w:t>
            </w:r>
            <w:r w:rsidRPr="004315E1">
              <w:t xml:space="preserve">rivate </w:t>
            </w:r>
            <w:r w:rsidR="00802382" w:rsidRPr="004315E1">
              <w:t>s</w:t>
            </w:r>
            <w:r w:rsidRPr="004315E1">
              <w:t xml:space="preserve">ector </w:t>
            </w:r>
            <w:r w:rsidR="00802382" w:rsidRPr="004315E1">
              <w:t>g</w:t>
            </w:r>
            <w:r w:rsidRPr="004315E1">
              <w:t>rowth</w:t>
            </w:r>
          </w:p>
        </w:tc>
        <w:tc>
          <w:tcPr>
            <w:tcW w:w="2530" w:type="dxa"/>
          </w:tcPr>
          <w:p w14:paraId="3F9CCDB4" w14:textId="77777777" w:rsidR="00753D62" w:rsidRPr="004315E1" w:rsidRDefault="00753D62" w:rsidP="004315E1">
            <w:pPr>
              <w:pStyle w:val="TableTextEntries"/>
            </w:pPr>
            <w:r w:rsidRPr="004315E1">
              <w:t>INI947</w:t>
            </w:r>
          </w:p>
        </w:tc>
        <w:tc>
          <w:tcPr>
            <w:tcW w:w="2612" w:type="dxa"/>
          </w:tcPr>
          <w:p w14:paraId="7D8C52D2" w14:textId="60F28CD9" w:rsidR="00753D62" w:rsidRPr="004315E1" w:rsidRDefault="00753D62" w:rsidP="004315E1">
            <w:pPr>
              <w:pStyle w:val="TableTextEntries"/>
            </w:pPr>
            <w:r w:rsidRPr="004315E1">
              <w:t>Whole</w:t>
            </w:r>
            <w:r w:rsidR="004E3598" w:rsidRPr="004315E1">
              <w:t>-</w:t>
            </w:r>
            <w:r w:rsidRPr="004315E1">
              <w:t>of</w:t>
            </w:r>
            <w:r w:rsidR="004E3598" w:rsidRPr="004315E1">
              <w:t>-</w:t>
            </w:r>
            <w:r w:rsidRPr="004315E1">
              <w:t>program review</w:t>
            </w:r>
          </w:p>
        </w:tc>
        <w:tc>
          <w:tcPr>
            <w:tcW w:w="2612" w:type="dxa"/>
          </w:tcPr>
          <w:p w14:paraId="0B5239BA" w14:textId="77777777" w:rsidR="00753D62" w:rsidRPr="004315E1" w:rsidRDefault="00753D62" w:rsidP="004315E1">
            <w:pPr>
              <w:pStyle w:val="TableTextEntries"/>
            </w:pPr>
            <w:r w:rsidRPr="004315E1">
              <w:t>To inform next Partnership for Development</w:t>
            </w:r>
          </w:p>
        </w:tc>
        <w:tc>
          <w:tcPr>
            <w:tcW w:w="2617" w:type="dxa"/>
          </w:tcPr>
          <w:p w14:paraId="6C7D5CB9" w14:textId="77777777" w:rsidR="00753D62" w:rsidRPr="004315E1" w:rsidRDefault="00753D62" w:rsidP="004315E1">
            <w:pPr>
              <w:pStyle w:val="TableTextEntries"/>
            </w:pPr>
            <w:r w:rsidRPr="004315E1">
              <w:t>December 2013</w:t>
            </w:r>
          </w:p>
        </w:tc>
      </w:tr>
      <w:tr w:rsidR="00753D62" w:rsidRPr="00071B95" w14:paraId="5925BEFA" w14:textId="77777777" w:rsidTr="004315E1">
        <w:tc>
          <w:tcPr>
            <w:tcW w:w="2601" w:type="dxa"/>
          </w:tcPr>
          <w:p w14:paraId="63412444" w14:textId="5B6469FB" w:rsidR="00753D62" w:rsidRPr="004315E1" w:rsidRDefault="00753D62" w:rsidP="004315E1">
            <w:pPr>
              <w:pStyle w:val="TableTextEntries"/>
            </w:pPr>
            <w:r w:rsidRPr="004315E1">
              <w:t xml:space="preserve">Nauru </w:t>
            </w:r>
            <w:r w:rsidR="00802382" w:rsidRPr="004315E1">
              <w:t>i</w:t>
            </w:r>
            <w:r w:rsidRPr="004315E1">
              <w:t xml:space="preserve">nfrastructure and </w:t>
            </w:r>
            <w:r w:rsidR="00802382" w:rsidRPr="004315E1">
              <w:t>s</w:t>
            </w:r>
            <w:r w:rsidRPr="004315E1">
              <w:t>ervices</w:t>
            </w:r>
          </w:p>
        </w:tc>
        <w:tc>
          <w:tcPr>
            <w:tcW w:w="2530" w:type="dxa"/>
          </w:tcPr>
          <w:p w14:paraId="55193B8A" w14:textId="77777777" w:rsidR="00753D62" w:rsidRPr="004315E1" w:rsidRDefault="00753D62" w:rsidP="004315E1">
            <w:pPr>
              <w:pStyle w:val="TableTextEntries"/>
            </w:pPr>
            <w:r w:rsidRPr="004315E1">
              <w:t>INI949</w:t>
            </w:r>
          </w:p>
        </w:tc>
        <w:tc>
          <w:tcPr>
            <w:tcW w:w="2612" w:type="dxa"/>
          </w:tcPr>
          <w:p w14:paraId="440DFA1E" w14:textId="350C3C7B" w:rsidR="00753D62" w:rsidRPr="004315E1" w:rsidRDefault="00753D62" w:rsidP="004315E1">
            <w:pPr>
              <w:pStyle w:val="TableTextEntries"/>
            </w:pPr>
            <w:r w:rsidRPr="004315E1">
              <w:t>Whole</w:t>
            </w:r>
            <w:r w:rsidR="004E3598" w:rsidRPr="004315E1">
              <w:t>-</w:t>
            </w:r>
            <w:r w:rsidRPr="004315E1">
              <w:t>of</w:t>
            </w:r>
            <w:r w:rsidR="004E3598" w:rsidRPr="004315E1">
              <w:t>-</w:t>
            </w:r>
            <w:r w:rsidRPr="004315E1">
              <w:t>program review</w:t>
            </w:r>
          </w:p>
        </w:tc>
        <w:tc>
          <w:tcPr>
            <w:tcW w:w="2612" w:type="dxa"/>
          </w:tcPr>
          <w:p w14:paraId="67413AB2" w14:textId="77777777" w:rsidR="00753D62" w:rsidRPr="004315E1" w:rsidRDefault="00753D62" w:rsidP="004315E1">
            <w:pPr>
              <w:pStyle w:val="TableTextEntries"/>
            </w:pPr>
            <w:r w:rsidRPr="004315E1">
              <w:t>To inform next Partnership for Development</w:t>
            </w:r>
          </w:p>
        </w:tc>
        <w:tc>
          <w:tcPr>
            <w:tcW w:w="2617" w:type="dxa"/>
          </w:tcPr>
          <w:p w14:paraId="4C75AAC9" w14:textId="77777777" w:rsidR="00753D62" w:rsidRPr="004315E1" w:rsidRDefault="00753D62" w:rsidP="004315E1">
            <w:pPr>
              <w:pStyle w:val="TableTextEntries"/>
            </w:pPr>
            <w:r w:rsidRPr="004315E1">
              <w:t>December 2013</w:t>
            </w:r>
          </w:p>
        </w:tc>
      </w:tr>
      <w:tr w:rsidR="00753D62" w:rsidRPr="00071B95" w14:paraId="5E16504C" w14:textId="77777777" w:rsidTr="004315E1">
        <w:tc>
          <w:tcPr>
            <w:tcW w:w="2601" w:type="dxa"/>
          </w:tcPr>
          <w:p w14:paraId="181C747C" w14:textId="470C0DA1" w:rsidR="00753D62" w:rsidRPr="004315E1" w:rsidRDefault="00753D62" w:rsidP="004315E1">
            <w:pPr>
              <w:pStyle w:val="TableTextEntries"/>
            </w:pPr>
            <w:r w:rsidRPr="004315E1">
              <w:t xml:space="preserve">Program </w:t>
            </w:r>
            <w:r w:rsidR="00802382" w:rsidRPr="004315E1">
              <w:t>m</w:t>
            </w:r>
            <w:r w:rsidRPr="004315E1">
              <w:t xml:space="preserve">anagement and </w:t>
            </w:r>
            <w:r w:rsidR="00802382" w:rsidRPr="004315E1">
              <w:t>c</w:t>
            </w:r>
            <w:r w:rsidRPr="004315E1">
              <w:t>oord</w:t>
            </w:r>
            <w:r w:rsidR="004E3598" w:rsidRPr="004315E1">
              <w:t>ination</w:t>
            </w:r>
          </w:p>
        </w:tc>
        <w:tc>
          <w:tcPr>
            <w:tcW w:w="2530" w:type="dxa"/>
          </w:tcPr>
          <w:p w14:paraId="16AD6F99" w14:textId="77777777" w:rsidR="00753D62" w:rsidRPr="004315E1" w:rsidRDefault="00753D62" w:rsidP="004315E1">
            <w:pPr>
              <w:pStyle w:val="TableTextEntries"/>
            </w:pPr>
            <w:r w:rsidRPr="004315E1">
              <w:t>INI968</w:t>
            </w:r>
          </w:p>
        </w:tc>
        <w:tc>
          <w:tcPr>
            <w:tcW w:w="2612" w:type="dxa"/>
          </w:tcPr>
          <w:p w14:paraId="169EFD0D" w14:textId="55D5EDA2" w:rsidR="00753D62" w:rsidRPr="004315E1" w:rsidRDefault="00753D62" w:rsidP="004315E1">
            <w:pPr>
              <w:pStyle w:val="TableTextEntries"/>
            </w:pPr>
            <w:r w:rsidRPr="004315E1">
              <w:t>Whole</w:t>
            </w:r>
            <w:r w:rsidR="004E3598" w:rsidRPr="004315E1">
              <w:t>-</w:t>
            </w:r>
            <w:r w:rsidRPr="004315E1">
              <w:t>of</w:t>
            </w:r>
            <w:r w:rsidR="004E3598" w:rsidRPr="004315E1">
              <w:t>-</w:t>
            </w:r>
            <w:r w:rsidRPr="004315E1">
              <w:t>program review</w:t>
            </w:r>
          </w:p>
        </w:tc>
        <w:tc>
          <w:tcPr>
            <w:tcW w:w="2612" w:type="dxa"/>
          </w:tcPr>
          <w:p w14:paraId="6C5EA599" w14:textId="77777777" w:rsidR="00753D62" w:rsidRPr="004315E1" w:rsidRDefault="00753D62" w:rsidP="004315E1">
            <w:pPr>
              <w:pStyle w:val="TableTextEntries"/>
            </w:pPr>
            <w:r w:rsidRPr="004315E1">
              <w:t>To inform next Partnership for Development</w:t>
            </w:r>
          </w:p>
        </w:tc>
        <w:tc>
          <w:tcPr>
            <w:tcW w:w="2617" w:type="dxa"/>
          </w:tcPr>
          <w:p w14:paraId="0603E289" w14:textId="77777777" w:rsidR="00753D62" w:rsidRPr="004315E1" w:rsidRDefault="00753D62" w:rsidP="004315E1">
            <w:pPr>
              <w:pStyle w:val="TableTextEntries"/>
            </w:pPr>
            <w:r w:rsidRPr="004315E1">
              <w:t>December 2013</w:t>
            </w:r>
          </w:p>
        </w:tc>
      </w:tr>
    </w:tbl>
    <w:p w14:paraId="19136C19" w14:textId="77777777" w:rsidR="00753D62" w:rsidRDefault="00753D62" w:rsidP="00753D62">
      <w:pPr>
        <w:rPr>
          <w:b/>
        </w:rPr>
      </w:pPr>
    </w:p>
    <w:p w14:paraId="7601EF28" w14:textId="77777777" w:rsidR="00F77E6A" w:rsidRPr="00F77E6A" w:rsidRDefault="00F77E6A" w:rsidP="001D6C8B">
      <w:pPr>
        <w:rPr>
          <w:b/>
        </w:rPr>
      </w:pPr>
    </w:p>
    <w:sectPr w:rsidR="00F77E6A" w:rsidRPr="00F77E6A" w:rsidSect="001D6C8B">
      <w:headerReference w:type="default" r:id="rId22"/>
      <w:footerReference w:type="default" r:id="rId23"/>
      <w:headerReference w:type="first" r:id="rId24"/>
      <w:footerReference w:type="first" r:id="rId25"/>
      <w:pgSz w:w="16840" w:h="11907" w:orient="landscape" w:code="9"/>
      <w:pgMar w:top="1871" w:right="2268"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1EF3A" w14:textId="77777777" w:rsidR="00D07FB8" w:rsidRDefault="00D07FB8" w:rsidP="0050529F">
      <w:r>
        <w:separator/>
      </w:r>
    </w:p>
    <w:p w14:paraId="7601EF3B" w14:textId="77777777" w:rsidR="00D07FB8" w:rsidRDefault="00D07FB8"/>
    <w:p w14:paraId="7601EF3C" w14:textId="77777777" w:rsidR="00D07FB8" w:rsidRDefault="00D07FB8"/>
  </w:endnote>
  <w:endnote w:type="continuationSeparator" w:id="0">
    <w:p w14:paraId="7601EF3D" w14:textId="77777777" w:rsidR="00D07FB8" w:rsidRDefault="00D07FB8" w:rsidP="0050529F">
      <w:r>
        <w:continuationSeparator/>
      </w:r>
    </w:p>
    <w:p w14:paraId="7601EF3E" w14:textId="77777777" w:rsidR="00D07FB8" w:rsidRDefault="00D07FB8"/>
    <w:p w14:paraId="7601EF3F" w14:textId="77777777" w:rsidR="00D07FB8" w:rsidRDefault="00D0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2" w14:textId="1DD488FC" w:rsidR="00D07FB8" w:rsidRPr="005E2994" w:rsidRDefault="00D07FB8" w:rsidP="005E2994">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Aid Program Performance Report 2012−13 Nauru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16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2512" behindDoc="1" locked="0" layoutInCell="1" allowOverlap="1" wp14:anchorId="3CFFA20A" wp14:editId="35F82922">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1488" behindDoc="1" locked="0" layoutInCell="1" allowOverlap="1" wp14:anchorId="0C4ECC7B" wp14:editId="460736F7">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4" w14:textId="003A5827" w:rsidR="00D07FB8" w:rsidRPr="005E2994" w:rsidRDefault="00D07FB8" w:rsidP="005E2994">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Aid Program Performance Report 2012−13 Nauru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8656" behindDoc="1" locked="0" layoutInCell="1" allowOverlap="1" wp14:anchorId="6FACCBD1" wp14:editId="5314013E">
              <wp:simplePos x="0" y="0"/>
              <wp:positionH relativeFrom="column">
                <wp:posOffset>0</wp:posOffset>
              </wp:positionH>
              <wp:positionV relativeFrom="paragraph">
                <wp:posOffset>8498840</wp:posOffset>
              </wp:positionV>
              <wp:extent cx="7379970" cy="2181860"/>
              <wp:effectExtent l="0" t="2540" r="1905" b="0"/>
              <wp:wrapNone/>
              <wp:docPr id="2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dPYZ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a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Z09&#10;h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7632" behindDoc="1" locked="0" layoutInCell="1" allowOverlap="1" wp14:anchorId="41808C27" wp14:editId="7B8D8BD5">
              <wp:simplePos x="0" y="0"/>
              <wp:positionH relativeFrom="column">
                <wp:posOffset>0</wp:posOffset>
              </wp:positionH>
              <wp:positionV relativeFrom="paragraph">
                <wp:posOffset>8498840</wp:posOffset>
              </wp:positionV>
              <wp:extent cx="7379970" cy="2181860"/>
              <wp:effectExtent l="0" t="2540" r="1905" b="0"/>
              <wp:wrapNone/>
              <wp:docPr id="2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m1F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6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9Kb&#10;U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54CE" w14:textId="7D6DC346" w:rsidR="00D07FB8" w:rsidRPr="005E2994" w:rsidRDefault="00D07FB8" w:rsidP="005E2994">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Annual Aid Program Performance Report 2012−13 Nauru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9440" behindDoc="1" locked="0" layoutInCell="1" allowOverlap="1" wp14:anchorId="6F4B7E78" wp14:editId="3E3FA3C0">
              <wp:simplePos x="0" y="0"/>
              <wp:positionH relativeFrom="column">
                <wp:posOffset>0</wp:posOffset>
              </wp:positionH>
              <wp:positionV relativeFrom="paragraph">
                <wp:posOffset>8498840</wp:posOffset>
              </wp:positionV>
              <wp:extent cx="7379970" cy="2181860"/>
              <wp:effectExtent l="0" t="2540" r="1905" b="0"/>
              <wp:wrapNone/>
              <wp:docPr id="1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3ekB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zd3pA&#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8416" behindDoc="1" locked="0" layoutInCell="1" allowOverlap="1" wp14:anchorId="2A79D4A4" wp14:editId="1EDF73E4">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A7D2" w14:textId="0576479F" w:rsidR="00D07FB8" w:rsidRPr="005E2994" w:rsidRDefault="00D07FB8" w:rsidP="005E2994">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Annual Aid Program Performance Report 2012−13 Nauru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24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5584" behindDoc="1" locked="0" layoutInCell="1" allowOverlap="1" wp14:anchorId="6B8FC9BF" wp14:editId="063B85F2">
              <wp:simplePos x="0" y="0"/>
              <wp:positionH relativeFrom="column">
                <wp:posOffset>0</wp:posOffset>
              </wp:positionH>
              <wp:positionV relativeFrom="paragraph">
                <wp:posOffset>8498840</wp:posOffset>
              </wp:positionV>
              <wp:extent cx="7379970" cy="2181860"/>
              <wp:effectExtent l="0" t="2540" r="1905" b="0"/>
              <wp:wrapNone/>
              <wp:docPr id="1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a2f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zTF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CWtn0&#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4560" behindDoc="1" locked="0" layoutInCell="1" allowOverlap="1" wp14:anchorId="348E5B6C" wp14:editId="54561526">
              <wp:simplePos x="0" y="0"/>
              <wp:positionH relativeFrom="column">
                <wp:posOffset>0</wp:posOffset>
              </wp:positionH>
              <wp:positionV relativeFrom="paragraph">
                <wp:posOffset>8498840</wp:posOffset>
              </wp:positionV>
              <wp:extent cx="7379970" cy="2181860"/>
              <wp:effectExtent l="0" t="2540" r="1905" b="0"/>
              <wp:wrapNone/>
              <wp:docPr id="1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AhjR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BgIY0&#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7" w14:textId="69EEB078" w:rsidR="00D07FB8" w:rsidRPr="00583FCA" w:rsidRDefault="00D07FB8" w:rsidP="00583FCA">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w:drawing>
        <wp:anchor distT="0" distB="0" distL="114300" distR="114300" simplePos="0" relativeHeight="251695104" behindDoc="0" locked="0" layoutInCell="1" allowOverlap="1" wp14:anchorId="04F4EC79" wp14:editId="55E50510">
          <wp:simplePos x="0" y="0"/>
          <wp:positionH relativeFrom="page">
            <wp:align>left</wp:align>
          </wp:positionH>
          <wp:positionV relativeFrom="page">
            <wp:align>top</wp:align>
          </wp:positionV>
          <wp:extent cx="7560000" cy="1440000"/>
          <wp:effectExtent l="0" t="0" r="3175" b="825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Nauru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24</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4864" behindDoc="1" locked="0" layoutInCell="1" allowOverlap="1" wp14:anchorId="1D657014" wp14:editId="57897566">
              <wp:simplePos x="0" y="0"/>
              <wp:positionH relativeFrom="column">
                <wp:posOffset>0</wp:posOffset>
              </wp:positionH>
              <wp:positionV relativeFrom="paragraph">
                <wp:posOffset>8498840</wp:posOffset>
              </wp:positionV>
              <wp:extent cx="7379970" cy="2181860"/>
              <wp:effectExtent l="0" t="2540" r="1905" b="0"/>
              <wp:wrapNone/>
              <wp:docPr id="30" name="Rectangle 3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2"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AusAID web address graphic" style="position:absolute;margin-left:0;margin-top:669.2pt;width:581.1pt;height:17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HOi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Aj2SdJCjT8AakQfBkJujzNRA2OpoVvcbNLA9IpRqoBud&#10;aHMcDr1ZgKvH/qN2LJj+QdWfDZKqasETW2mthpYRCshTtz95dcAZBo6i/fBeUUBAjlZ5Op8b3TmH&#10;QBR69ll7OWeNPVtUw2Q+zcsyB6Q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YBzo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3"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3840" behindDoc="1" locked="0" layoutInCell="1" allowOverlap="1" wp14:anchorId="4F69A47E" wp14:editId="22D858D5">
              <wp:simplePos x="0" y="0"/>
              <wp:positionH relativeFrom="column">
                <wp:posOffset>0</wp:posOffset>
              </wp:positionH>
              <wp:positionV relativeFrom="paragraph">
                <wp:posOffset>8498840</wp:posOffset>
              </wp:positionV>
              <wp:extent cx="7379970" cy="2181860"/>
              <wp:effectExtent l="0" t="2540" r="1905" b="0"/>
              <wp:wrapNone/>
              <wp:docPr id="31" name="Rectangle 3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2"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alt="AusAID web address graphic" style="position:absolute;margin-left:0;margin-top:669.2pt;width:581.1pt;height:17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10e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h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f6zXR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3"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EB850" w14:textId="3D5F18C1" w:rsidR="00D07FB8" w:rsidRPr="005E2994" w:rsidRDefault="00D07FB8" w:rsidP="005E2994">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Annual Aid Program Performance Report 2012−13 Nauru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D03A4">
      <w:rPr>
        <w:rFonts w:ascii="Franklin Gothic Medium" w:eastAsia="Times New Roman" w:hAnsi="Franklin Gothic Medium"/>
        <w:noProof/>
        <w:sz w:val="14"/>
        <w:szCs w:val="14"/>
      </w:rPr>
      <w:t>26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3296" behindDoc="1" locked="0" layoutInCell="1" allowOverlap="1" wp14:anchorId="1EF2678E" wp14:editId="547B775F">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2272" behindDoc="1" locked="0" layoutInCell="1" allowOverlap="1" wp14:anchorId="1F9F479D" wp14:editId="3C8B0C2E">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9" w14:textId="37806DB2" w:rsidR="00D07FB8" w:rsidRPr="005E2994" w:rsidRDefault="00D07FB8" w:rsidP="005E2994">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Nauru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0224" behindDoc="1" locked="0" layoutInCell="1" allowOverlap="1" wp14:anchorId="47337CA3" wp14:editId="1D414E30">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9200" behindDoc="1" locked="0" layoutInCell="1" allowOverlap="1" wp14:anchorId="6D613A29" wp14:editId="460135F9">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1EF34" w14:textId="77777777" w:rsidR="00D07FB8" w:rsidRDefault="00D07FB8" w:rsidP="0050529F">
      <w:r>
        <w:separator/>
      </w:r>
    </w:p>
    <w:p w14:paraId="7601EF35" w14:textId="77777777" w:rsidR="00D07FB8" w:rsidRDefault="00D07FB8"/>
    <w:p w14:paraId="7601EF36" w14:textId="77777777" w:rsidR="00D07FB8" w:rsidRDefault="00D07FB8"/>
  </w:footnote>
  <w:footnote w:type="continuationSeparator" w:id="0">
    <w:p w14:paraId="7601EF37" w14:textId="77777777" w:rsidR="00D07FB8" w:rsidRDefault="00D07FB8" w:rsidP="0050529F">
      <w:r>
        <w:continuationSeparator/>
      </w:r>
    </w:p>
    <w:p w14:paraId="7601EF38" w14:textId="77777777" w:rsidR="00D07FB8" w:rsidRDefault="00D07FB8"/>
    <w:p w14:paraId="7601EF39" w14:textId="77777777" w:rsidR="00D07FB8" w:rsidRDefault="00D07FB8"/>
  </w:footnote>
  <w:footnote w:id="1">
    <w:p w14:paraId="071C8587" w14:textId="18946A9E" w:rsidR="00D07FB8" w:rsidRPr="0046709E" w:rsidRDefault="00D07FB8" w:rsidP="0046709E">
      <w:pPr>
        <w:pStyle w:val="FootnoteText"/>
      </w:pPr>
      <w:r w:rsidRPr="0046709E">
        <w:rPr>
          <w:rStyle w:val="FootnoteReference"/>
          <w:sz w:val="14"/>
          <w:szCs w:val="20"/>
        </w:rPr>
        <w:footnoteRef/>
      </w:r>
      <w:r w:rsidRPr="0046709E">
        <w:t xml:space="preserve"> By 2007 the Asian Development Bank (ADB) had estimated Nauru’s external debt levels to be in excess of 1000 per cent of gross domestic product.</w:t>
      </w:r>
    </w:p>
  </w:footnote>
  <w:footnote w:id="2">
    <w:p w14:paraId="3851CD60" w14:textId="324C3246" w:rsidR="00D07FB8" w:rsidRPr="0046709E" w:rsidRDefault="00D07FB8">
      <w:pPr>
        <w:pStyle w:val="FootnoteText"/>
      </w:pPr>
      <w:r w:rsidRPr="00D055EB">
        <w:rPr>
          <w:rStyle w:val="FootnoteReference"/>
          <w:sz w:val="14"/>
          <w:szCs w:val="20"/>
        </w:rPr>
        <w:footnoteRef/>
      </w:r>
      <w:r w:rsidRPr="0046709E">
        <w:t xml:space="preserve"> ADB, Economic Outlook 2013, p. 280.</w:t>
      </w:r>
    </w:p>
  </w:footnote>
  <w:footnote w:id="3">
    <w:p w14:paraId="581A1929" w14:textId="2C2FFD0C"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Ibid.,</w:t>
      </w:r>
      <w:proofErr w:type="gramEnd"/>
      <w:r w:rsidRPr="0046709E">
        <w:t xml:space="preserve"> p. 280.</w:t>
      </w:r>
    </w:p>
  </w:footnote>
  <w:footnote w:id="4">
    <w:p w14:paraId="01076771" w14:textId="303186F7" w:rsidR="00D07FB8" w:rsidRPr="0046709E" w:rsidRDefault="00D07FB8">
      <w:pPr>
        <w:pStyle w:val="FootnoteText"/>
      </w:pPr>
      <w:r w:rsidRPr="00D055EB">
        <w:rPr>
          <w:rStyle w:val="FootnoteReference"/>
          <w:sz w:val="14"/>
          <w:szCs w:val="20"/>
        </w:rPr>
        <w:footnoteRef/>
      </w:r>
      <w:r w:rsidRPr="0046709E">
        <w:t xml:space="preserve"> Government of Nauru officials advise that approximately 188 </w:t>
      </w:r>
      <w:proofErr w:type="spellStart"/>
      <w:r w:rsidRPr="0046709E">
        <w:t>Nauruans</w:t>
      </w:r>
      <w:proofErr w:type="spellEnd"/>
      <w:r w:rsidRPr="0046709E">
        <w:t xml:space="preserve"> have been employed at the centre.</w:t>
      </w:r>
    </w:p>
  </w:footnote>
  <w:footnote w:id="5">
    <w:p w14:paraId="14181D90" w14:textId="09238A8D" w:rsidR="00D07FB8" w:rsidRPr="0046709E" w:rsidRDefault="00D07FB8">
      <w:pPr>
        <w:pStyle w:val="FootnoteText"/>
      </w:pPr>
      <w:r w:rsidRPr="00D055EB">
        <w:rPr>
          <w:rStyle w:val="FootnoteReference"/>
          <w:sz w:val="14"/>
          <w:szCs w:val="20"/>
        </w:rPr>
        <w:footnoteRef/>
      </w:r>
      <w:r w:rsidRPr="0046709E">
        <w:t xml:space="preserve"> Pacific Financial Technical Assistance Centre, Economic and Fiscal </w:t>
      </w:r>
      <w:proofErr w:type="gramStart"/>
      <w:r w:rsidRPr="007156F5">
        <w:t>Outlook ,</w:t>
      </w:r>
      <w:proofErr w:type="gramEnd"/>
      <w:r w:rsidRPr="0046709E">
        <w:t xml:space="preserve"> October 2012.</w:t>
      </w:r>
    </w:p>
  </w:footnote>
  <w:footnote w:id="6">
    <w:p w14:paraId="4FADB383" w14:textId="5E6DAAC6"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Government  of</w:t>
      </w:r>
      <w:proofErr w:type="gramEnd"/>
      <w:r w:rsidRPr="0046709E">
        <w:t xml:space="preserve"> Nauru, 2012–13 Budget Paper 1. </w:t>
      </w:r>
    </w:p>
  </w:footnote>
  <w:footnote w:id="7">
    <w:p w14:paraId="4B3D8DA0" w14:textId="745A90EF" w:rsidR="00D07FB8" w:rsidRPr="0046709E" w:rsidRDefault="00D07FB8">
      <w:pPr>
        <w:pStyle w:val="FootnoteText"/>
      </w:pPr>
      <w:r w:rsidRPr="00D055EB">
        <w:rPr>
          <w:rStyle w:val="FootnoteReference"/>
          <w:sz w:val="14"/>
          <w:szCs w:val="20"/>
        </w:rPr>
        <w:footnoteRef/>
      </w:r>
      <w:r w:rsidRPr="0046709E">
        <w:t xml:space="preserve"> Government of Nauru, 2012–13 Supplementary Budget, 9 October 2012.</w:t>
      </w:r>
    </w:p>
  </w:footnote>
  <w:footnote w:id="8">
    <w:p w14:paraId="1BF1D20F" w14:textId="51771556" w:rsidR="00D07FB8" w:rsidRPr="0046709E" w:rsidRDefault="00D07FB8">
      <w:pPr>
        <w:pStyle w:val="FootnoteText"/>
      </w:pPr>
      <w:r w:rsidRPr="00D055EB">
        <w:rPr>
          <w:rStyle w:val="FootnoteReference"/>
          <w:sz w:val="14"/>
          <w:szCs w:val="20"/>
        </w:rPr>
        <w:footnoteRef/>
      </w:r>
      <w:r w:rsidRPr="0046709E">
        <w:t xml:space="preserve"> Government of Nauru, Budget Paper One 2011–12.</w:t>
      </w:r>
    </w:p>
  </w:footnote>
  <w:footnote w:id="9">
    <w:p w14:paraId="41B2397F" w14:textId="6B08D253"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 xml:space="preserve">Government of Nauru, Department of Education reporting to </w:t>
      </w:r>
      <w:r w:rsidR="0096313F">
        <w:t>the Australian Government</w:t>
      </w:r>
      <w:r w:rsidRPr="0046709E">
        <w:t>, May 2013.</w:t>
      </w:r>
      <w:proofErr w:type="gramEnd"/>
    </w:p>
  </w:footnote>
  <w:footnote w:id="10">
    <w:p w14:paraId="6C3B4224" w14:textId="16B98806" w:rsidR="00D07FB8" w:rsidRPr="0046709E" w:rsidRDefault="00D07FB8">
      <w:pPr>
        <w:pStyle w:val="FootnoteText"/>
      </w:pPr>
      <w:r w:rsidRPr="00D055EB">
        <w:rPr>
          <w:rStyle w:val="FootnoteReference"/>
          <w:sz w:val="14"/>
          <w:szCs w:val="20"/>
        </w:rPr>
        <w:footnoteRef/>
      </w:r>
      <w:r w:rsidRPr="0046709E">
        <w:t xml:space="preserve"> ADB fact sheet 2012, table 4</w:t>
      </w:r>
      <w:r>
        <w:t>.</w:t>
      </w:r>
    </w:p>
  </w:footnote>
  <w:footnote w:id="11">
    <w:p w14:paraId="78C6A12F" w14:textId="77777777" w:rsidR="00D07FB8" w:rsidRPr="0046709E" w:rsidRDefault="00D07FB8">
      <w:pPr>
        <w:pStyle w:val="FootnoteText"/>
      </w:pPr>
      <w:r w:rsidRPr="00D055EB">
        <w:rPr>
          <w:rStyle w:val="FootnoteReference"/>
          <w:sz w:val="14"/>
          <w:szCs w:val="20"/>
        </w:rPr>
        <w:footnoteRef/>
      </w:r>
      <w:r w:rsidRPr="0046709E">
        <w:t xml:space="preserve"> </w:t>
      </w:r>
      <w:proofErr w:type="gramStart"/>
      <w:r w:rsidRPr="007156F5">
        <w:t>MDG Tracking Report 2012</w:t>
      </w:r>
      <w:r w:rsidRPr="00D055EB">
        <w:t>.</w:t>
      </w:r>
      <w:proofErr w:type="gramEnd"/>
    </w:p>
  </w:footnote>
  <w:footnote w:id="12">
    <w:p w14:paraId="155C2531" w14:textId="2EE1C89A" w:rsidR="00D07FB8" w:rsidRPr="0046709E" w:rsidRDefault="00D07FB8">
      <w:pPr>
        <w:pStyle w:val="FootnoteText"/>
      </w:pPr>
      <w:r w:rsidRPr="00D055EB">
        <w:rPr>
          <w:rStyle w:val="FootnoteReference"/>
          <w:sz w:val="14"/>
          <w:szCs w:val="20"/>
        </w:rPr>
        <w:footnoteRef/>
      </w:r>
      <w:r w:rsidRPr="0046709E">
        <w:t xml:space="preserve"> The 2012 MDG tracking report notes that analysing poverty was hampered by the lack of data on the poverty gap ratio, productivity and employment for vulnerable groups.</w:t>
      </w:r>
    </w:p>
  </w:footnote>
  <w:footnote w:id="13">
    <w:p w14:paraId="34B8035D" w14:textId="77137BE8" w:rsidR="00D07FB8" w:rsidRPr="0046709E" w:rsidRDefault="00D07FB8">
      <w:pPr>
        <w:pStyle w:val="FootnoteText"/>
      </w:pPr>
      <w:r w:rsidRPr="00D055EB">
        <w:rPr>
          <w:rStyle w:val="FootnoteReference"/>
          <w:sz w:val="14"/>
          <w:szCs w:val="20"/>
        </w:rPr>
        <w:footnoteRef/>
      </w:r>
      <w:r w:rsidRPr="0046709E">
        <w:t xml:space="preserve"> </w:t>
      </w:r>
      <w:r w:rsidRPr="0046709E">
        <w:rPr>
          <w:rFonts w:eastAsia="SimSun"/>
        </w:rPr>
        <w:t>Government of Nauru, budget paper 1, 2012–</w:t>
      </w:r>
      <w:proofErr w:type="gramStart"/>
      <w:r w:rsidRPr="0046709E">
        <w:rPr>
          <w:rFonts w:eastAsia="SimSun"/>
        </w:rPr>
        <w:t>13 .</w:t>
      </w:r>
      <w:proofErr w:type="gramEnd"/>
    </w:p>
  </w:footnote>
  <w:footnote w:id="14">
    <w:p w14:paraId="411FB94D" w14:textId="41856CBE" w:rsidR="00D07FB8" w:rsidRPr="0046709E" w:rsidRDefault="00D07FB8">
      <w:pPr>
        <w:pStyle w:val="FootnoteText"/>
      </w:pPr>
      <w:r w:rsidRPr="00D055EB">
        <w:rPr>
          <w:rStyle w:val="FootnoteReference"/>
          <w:sz w:val="14"/>
          <w:szCs w:val="20"/>
        </w:rPr>
        <w:footnoteRef/>
      </w:r>
      <w:r w:rsidRPr="00D055EB">
        <w:t xml:space="preserve"> The NACOS was finalised in 1993 as an out-of-court settlement. Nauru agreed to discontinue its claim against Australia in the International Court of Justice for compensation for phosphate lands mined before 1 July 1967, while Australia agreed to pay Nauru a cash settlement of $107 million: $57 million upfront and $50 million at an annual rate of $2.5 million (in real terms) over 20 years, starting in 1993–94. The last payment under NACOS will be made in 2013–14.</w:t>
      </w:r>
    </w:p>
  </w:footnote>
  <w:footnote w:id="15">
    <w:p w14:paraId="3730C725" w14:textId="20EBE888" w:rsidR="00D07FB8" w:rsidRPr="00D055EB" w:rsidRDefault="00D07FB8" w:rsidP="007156F5">
      <w:pPr>
        <w:pStyle w:val="FootnoteText"/>
      </w:pPr>
      <w:r w:rsidRPr="00D055EB">
        <w:footnoteRef/>
      </w:r>
      <w:r w:rsidRPr="00D055EB">
        <w:t xml:space="preserve"> The Vessel Day Scheme is where vessel owners can purchase and trade days fishing at sea in places subject to the </w:t>
      </w:r>
      <w:hyperlink r:id="rId1" w:history="1">
        <w:r w:rsidRPr="00D055EB">
          <w:t>Parties to the Nauru Agreement</w:t>
        </w:r>
      </w:hyperlink>
      <w:r w:rsidRPr="00D055EB">
        <w:t xml:space="preserve">. The scheme’s </w:t>
      </w:r>
      <w:proofErr w:type="gramStart"/>
      <w:r w:rsidRPr="00D055EB">
        <w:t>purpose  is</w:t>
      </w:r>
      <w:proofErr w:type="gramEnd"/>
      <w:r w:rsidRPr="00D055EB">
        <w:t xml:space="preserve"> to constrain and reduce catches of target tuna species, and increase the rate of return from fishing activities through access fees paid by Distant Water Fishing Nations. The total allocation of fishing days is set and apportioned between Pacific Island members for one-year periods up to three years in advance.</w:t>
      </w:r>
      <w:r w:rsidRPr="00D055EB" w:rsidDel="003F2D6A">
        <w:t xml:space="preserve"> </w:t>
      </w:r>
    </w:p>
  </w:footnote>
  <w:footnote w:id="16">
    <w:p w14:paraId="1785D420" w14:textId="6AB626EC" w:rsidR="00D07FB8" w:rsidRPr="00D055EB" w:rsidRDefault="00D07FB8" w:rsidP="007156F5">
      <w:pPr>
        <w:pStyle w:val="FootnoteText"/>
      </w:pPr>
      <w:r w:rsidRPr="00D055EB">
        <w:rPr>
          <w:rStyle w:val="FootnoteReference"/>
          <w:sz w:val="14"/>
          <w:szCs w:val="20"/>
        </w:rPr>
        <w:footnoteRef/>
      </w:r>
      <w:r w:rsidRPr="00D055EB">
        <w:t xml:space="preserve"> PMAG, Independent Review Report, November 2012, p. 1. </w:t>
      </w:r>
    </w:p>
  </w:footnote>
  <w:footnote w:id="17">
    <w:p w14:paraId="1AAF3B43" w14:textId="7152E576" w:rsidR="00D07FB8" w:rsidRPr="0046709E" w:rsidRDefault="00D07FB8">
      <w:pPr>
        <w:pStyle w:val="FootnoteText"/>
      </w:pPr>
      <w:r w:rsidRPr="007156F5">
        <w:footnoteRef/>
      </w:r>
      <w:r w:rsidRPr="0046709E">
        <w:t xml:space="preserve"> PFTAC, Economic and Fiscal Outlook, 2012, p. 1.</w:t>
      </w:r>
    </w:p>
  </w:footnote>
  <w:footnote w:id="18">
    <w:p w14:paraId="29285D81" w14:textId="15445B3D" w:rsidR="00D07FB8" w:rsidRPr="0046709E" w:rsidRDefault="00D07FB8">
      <w:pPr>
        <w:pStyle w:val="FootnoteText"/>
      </w:pPr>
      <w:r w:rsidRPr="007156F5">
        <w:footnoteRef/>
      </w:r>
      <w:r w:rsidRPr="0046709E">
        <w:t xml:space="preserve"> PFTAC, Economic and Fiscal Outlook, 2012, p. 4</w:t>
      </w:r>
      <w:r w:rsidRPr="00EC029D">
        <w:t xml:space="preserve">.  </w:t>
      </w:r>
      <w:r w:rsidRPr="007156F5">
        <w:t>.</w:t>
      </w:r>
    </w:p>
    <w:p w14:paraId="3C56F4F4" w14:textId="7A6CDE9E" w:rsidR="00D07FB8" w:rsidRPr="0046709E" w:rsidRDefault="00D07FB8">
      <w:pPr>
        <w:pStyle w:val="FootnoteText"/>
      </w:pPr>
    </w:p>
  </w:footnote>
  <w:footnote w:id="19">
    <w:p w14:paraId="62206ABB" w14:textId="06CAB7A2" w:rsidR="00D07FB8" w:rsidRPr="0046709E" w:rsidRDefault="00D07FB8">
      <w:pPr>
        <w:pStyle w:val="FootnoteText"/>
      </w:pPr>
      <w:r w:rsidRPr="00E1068C">
        <w:rPr>
          <w:vertAlign w:val="superscript"/>
        </w:rPr>
        <w:footnoteRef/>
      </w:r>
      <w:r w:rsidRPr="0046709E">
        <w:t xml:space="preserve"> The Cairns Compact on Strengthening Development Coordination is an agreement between Pacific nations to step-up development coordination and </w:t>
      </w:r>
      <w:proofErr w:type="gramStart"/>
      <w:r w:rsidRPr="0046709E">
        <w:t>re-shape</w:t>
      </w:r>
      <w:proofErr w:type="gramEnd"/>
      <w:r w:rsidRPr="0046709E">
        <w:t xml:space="preserve"> the relationship between development partners and recipients in the Pacific to achieve development outcomes.</w:t>
      </w:r>
    </w:p>
  </w:footnote>
  <w:footnote w:id="20">
    <w:p w14:paraId="2BA9D5CD" w14:textId="47E99C4B" w:rsidR="00D07FB8" w:rsidRPr="0046709E" w:rsidRDefault="00D07FB8">
      <w:pPr>
        <w:pStyle w:val="FootnoteText"/>
      </w:pPr>
      <w:r w:rsidRPr="00D055EB">
        <w:rPr>
          <w:rStyle w:val="FootnoteReference"/>
          <w:sz w:val="14"/>
          <w:szCs w:val="20"/>
        </w:rPr>
        <w:footnoteRef/>
      </w:r>
      <w:r w:rsidRPr="0046709E">
        <w:t xml:space="preserve"> Government of Nauru, Department of Education, Annual Report 2010–11.</w:t>
      </w:r>
    </w:p>
  </w:footnote>
  <w:footnote w:id="21">
    <w:p w14:paraId="468AD8DA" w14:textId="5332C0BA"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Government of Nauru, Department of Education, six-month reporting against annual operational plans, May 2013.</w:t>
      </w:r>
      <w:proofErr w:type="gramEnd"/>
    </w:p>
  </w:footnote>
  <w:footnote w:id="22">
    <w:p w14:paraId="62B04A22" w14:textId="4E9910D2" w:rsidR="00D07FB8" w:rsidRPr="0046709E" w:rsidRDefault="00D07FB8">
      <w:pPr>
        <w:pStyle w:val="FootnoteText"/>
      </w:pPr>
      <w:r w:rsidRPr="00D055EB">
        <w:rPr>
          <w:rStyle w:val="FootnoteReference"/>
          <w:sz w:val="14"/>
          <w:szCs w:val="20"/>
        </w:rPr>
        <w:footnoteRef/>
      </w:r>
      <w:r w:rsidRPr="0046709E">
        <w:t xml:space="preserve"> </w:t>
      </w:r>
      <w:proofErr w:type="gramStart"/>
      <w:r w:rsidRPr="007156F5">
        <w:t>MDG Tracking Report 2012.</w:t>
      </w:r>
      <w:proofErr w:type="gramEnd"/>
    </w:p>
  </w:footnote>
  <w:footnote w:id="23">
    <w:p w14:paraId="2699D3DF" w14:textId="04223EFD"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Government of Nauru, Department of Education, six-month reporting against annual operational plans, May 2013.</w:t>
      </w:r>
      <w:proofErr w:type="gramEnd"/>
    </w:p>
  </w:footnote>
  <w:footnote w:id="24">
    <w:p w14:paraId="612B625E" w14:textId="29F36EF6" w:rsidR="00D07FB8" w:rsidRPr="0046709E" w:rsidRDefault="00D07FB8">
      <w:pPr>
        <w:pStyle w:val="FootnoteText"/>
      </w:pPr>
      <w:r w:rsidRPr="00D055EB">
        <w:rPr>
          <w:rStyle w:val="FootnoteReference"/>
          <w:sz w:val="14"/>
          <w:szCs w:val="20"/>
        </w:rPr>
        <w:footnoteRef/>
      </w:r>
      <w:r w:rsidRPr="0046709E">
        <w:t xml:space="preserve"> Ibid.</w:t>
      </w:r>
    </w:p>
  </w:footnote>
  <w:footnote w:id="25">
    <w:p w14:paraId="78D14A2E" w14:textId="556461E9" w:rsidR="00D07FB8" w:rsidRPr="0046709E" w:rsidRDefault="00D07FB8">
      <w:pPr>
        <w:pStyle w:val="FootnoteText"/>
      </w:pPr>
      <w:r w:rsidRPr="00D055EB">
        <w:rPr>
          <w:rStyle w:val="FootnoteReference"/>
          <w:sz w:val="14"/>
          <w:szCs w:val="20"/>
        </w:rPr>
        <w:footnoteRef/>
      </w:r>
      <w:r>
        <w:t xml:space="preserve"> </w:t>
      </w:r>
      <w:proofErr w:type="gramStart"/>
      <w:r>
        <w:t>Ibid.</w:t>
      </w:r>
      <w:proofErr w:type="gramEnd"/>
      <w:r w:rsidRPr="0046709E">
        <w:t xml:space="preserve"> </w:t>
      </w:r>
    </w:p>
  </w:footnote>
  <w:footnote w:id="26">
    <w:p w14:paraId="59D0A1B9" w14:textId="1AADF053" w:rsidR="00D07FB8" w:rsidRPr="0046709E" w:rsidRDefault="00D07FB8">
      <w:pPr>
        <w:pStyle w:val="FootnoteText"/>
      </w:pPr>
      <w:r w:rsidRPr="00D055EB">
        <w:rPr>
          <w:rStyle w:val="FootnoteReference"/>
          <w:sz w:val="14"/>
          <w:szCs w:val="20"/>
        </w:rPr>
        <w:footnoteRef/>
      </w:r>
      <w:r w:rsidRPr="0046709E">
        <w:t xml:space="preserve"> Government of Nauru, Annual Report 2010–11, p. 34.</w:t>
      </w:r>
    </w:p>
  </w:footnote>
  <w:footnote w:id="27">
    <w:p w14:paraId="0C8C0870" w14:textId="0D499A49" w:rsidR="00D07FB8" w:rsidRPr="0046709E" w:rsidRDefault="00D07FB8">
      <w:pPr>
        <w:pStyle w:val="FootnoteText"/>
      </w:pPr>
      <w:r w:rsidRPr="00D055EB">
        <w:rPr>
          <w:rStyle w:val="FootnoteReference"/>
          <w:sz w:val="14"/>
          <w:szCs w:val="20"/>
        </w:rPr>
        <w:footnoteRef/>
      </w:r>
      <w:r>
        <w:t xml:space="preserve"> </w:t>
      </w:r>
      <w:proofErr w:type="gramStart"/>
      <w:r w:rsidRPr="0046709E">
        <w:t>Government of Nauru, Language benchmarking report 2012.</w:t>
      </w:r>
      <w:proofErr w:type="gramEnd"/>
    </w:p>
  </w:footnote>
  <w:footnote w:id="28">
    <w:p w14:paraId="71D60D4A" w14:textId="60055CA1" w:rsidR="00D07FB8" w:rsidRPr="0046709E" w:rsidRDefault="00D07FB8">
      <w:pPr>
        <w:pStyle w:val="FootnoteText"/>
      </w:pPr>
      <w:r w:rsidRPr="00D055EB">
        <w:rPr>
          <w:rStyle w:val="FootnoteReference"/>
          <w:sz w:val="14"/>
          <w:szCs w:val="20"/>
        </w:rPr>
        <w:footnoteRef/>
      </w:r>
      <w:r w:rsidRPr="0046709E">
        <w:t xml:space="preserve"> In 2012, two Australia Awards scholarships were terminated</w:t>
      </w:r>
      <w:r>
        <w:t>.</w:t>
      </w:r>
    </w:p>
    <w:p w14:paraId="2F2065F1" w14:textId="5BB098C4" w:rsidR="00D07FB8" w:rsidRDefault="00D07FB8">
      <w:pPr>
        <w:pStyle w:val="FootnoteText"/>
      </w:pPr>
    </w:p>
  </w:footnote>
  <w:footnote w:id="29">
    <w:p w14:paraId="6D039C1C" w14:textId="15F3C896" w:rsidR="00D07FB8" w:rsidRPr="0046709E" w:rsidRDefault="00D07FB8">
      <w:pPr>
        <w:pStyle w:val="FootnoteText"/>
      </w:pPr>
      <w:r w:rsidRPr="00D055EB">
        <w:rPr>
          <w:rStyle w:val="FootnoteReference"/>
          <w:sz w:val="14"/>
          <w:szCs w:val="20"/>
        </w:rPr>
        <w:footnoteRef/>
      </w:r>
      <w:r w:rsidRPr="0046709E">
        <w:t xml:space="preserve"> Government of Nauru, NSDS 2005–25, p. 65.</w:t>
      </w:r>
    </w:p>
  </w:footnote>
  <w:footnote w:id="30">
    <w:p w14:paraId="6E13E2CA" w14:textId="4F2F8EE8"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United Nations Children’s Fund (UNICEF), State of the World’s Children 2012.</w:t>
      </w:r>
      <w:proofErr w:type="gramEnd"/>
    </w:p>
  </w:footnote>
  <w:footnote w:id="31">
    <w:p w14:paraId="66BE9943" w14:textId="20E18487" w:rsidR="00D07FB8" w:rsidRPr="0046709E" w:rsidRDefault="00D07FB8">
      <w:pPr>
        <w:pStyle w:val="FootnoteText"/>
      </w:pPr>
      <w:r w:rsidRPr="00D055EB">
        <w:rPr>
          <w:rStyle w:val="FootnoteReference"/>
          <w:sz w:val="14"/>
          <w:szCs w:val="20"/>
        </w:rPr>
        <w:footnoteRef/>
      </w:r>
      <w:r w:rsidRPr="0046709E">
        <w:t xml:space="preserve"> According to the 2011 Ministry for Health’s annual report, table 16, p. 39, </w:t>
      </w:r>
      <w:proofErr w:type="gramStart"/>
      <w:r w:rsidRPr="0046709E">
        <w:t>the  contraceptive</w:t>
      </w:r>
      <w:proofErr w:type="gramEnd"/>
      <w:r w:rsidRPr="0046709E">
        <w:t xml:space="preserve"> prevalence rate  rose</w:t>
      </w:r>
      <w:r>
        <w:t xml:space="preserve"> </w:t>
      </w:r>
      <w:r w:rsidRPr="0046709E">
        <w:t xml:space="preserve"> from 5.4 per cent in 2010 to 11.2 per cent in 2011.</w:t>
      </w:r>
    </w:p>
  </w:footnote>
  <w:footnote w:id="32">
    <w:p w14:paraId="742F79C6" w14:textId="06E77D09"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 xml:space="preserve">Government of Nauru, Ministry for Health reporting, </w:t>
      </w:r>
      <w:r w:rsidR="0096313F">
        <w:t>to the Australian Government</w:t>
      </w:r>
      <w:r w:rsidRPr="0046709E">
        <w:t>, May 2013.</w:t>
      </w:r>
      <w:proofErr w:type="gramEnd"/>
    </w:p>
  </w:footnote>
  <w:footnote w:id="33">
    <w:p w14:paraId="45AB8683" w14:textId="4DFC6D6E" w:rsidR="00D07FB8" w:rsidRPr="0046709E" w:rsidRDefault="00D07FB8">
      <w:pPr>
        <w:pStyle w:val="FootnoteText"/>
      </w:pPr>
      <w:r w:rsidRPr="00D055EB">
        <w:rPr>
          <w:rStyle w:val="FootnoteReference"/>
          <w:sz w:val="14"/>
          <w:szCs w:val="20"/>
        </w:rPr>
        <w:footnoteRef/>
      </w:r>
      <w:r w:rsidRPr="0046709E">
        <w:t xml:space="preserve"> Ibid.</w:t>
      </w:r>
    </w:p>
  </w:footnote>
  <w:footnote w:id="34">
    <w:p w14:paraId="5E7E5C63" w14:textId="317A113D" w:rsidR="00D07FB8" w:rsidRPr="0046709E" w:rsidRDefault="00D07FB8">
      <w:pPr>
        <w:pStyle w:val="FootnoteText"/>
      </w:pPr>
      <w:r w:rsidRPr="00D055EB">
        <w:rPr>
          <w:rStyle w:val="FootnoteReference"/>
          <w:sz w:val="14"/>
          <w:szCs w:val="20"/>
        </w:rPr>
        <w:footnoteRef/>
      </w:r>
      <w:r w:rsidRPr="0046709E">
        <w:t xml:space="preserve"> According to the Ministry for Health Annual report for 2011 (pp. 37–38), child malnutrition problems relate more to over nutrition rather than under nutrition. The percentage of children that are overweight or obese in the 1 to 3 year age bracket is 24 per cent. This increases to 42 per cent in the 4 to 7 year age bracket.</w:t>
      </w:r>
    </w:p>
  </w:footnote>
  <w:footnote w:id="35">
    <w:p w14:paraId="1F69A36F" w14:textId="3901B1FF"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Government of Nauru, Utilities Authority Annual Operational Plan 2013.</w:t>
      </w:r>
      <w:proofErr w:type="gramEnd"/>
    </w:p>
  </w:footnote>
  <w:footnote w:id="36">
    <w:p w14:paraId="4B1B1BD9" w14:textId="58179F3A" w:rsidR="00D07FB8" w:rsidRDefault="00D07FB8">
      <w:pPr>
        <w:pStyle w:val="FootnoteText"/>
      </w:pPr>
      <w:r w:rsidRPr="00D055EB">
        <w:rPr>
          <w:rStyle w:val="FootnoteReference"/>
          <w:sz w:val="14"/>
          <w:szCs w:val="20"/>
        </w:rPr>
        <w:footnoteRef/>
      </w:r>
      <w:r w:rsidRPr="0046709E">
        <w:t xml:space="preserve"> Ibid.</w:t>
      </w:r>
    </w:p>
  </w:footnote>
  <w:footnote w:id="37">
    <w:p w14:paraId="36CA3EDE" w14:textId="432DADB0" w:rsidR="00D07FB8" w:rsidRPr="0046709E" w:rsidRDefault="00D07FB8">
      <w:pPr>
        <w:pStyle w:val="FootnoteText"/>
      </w:pPr>
      <w:r w:rsidRPr="00D055EB">
        <w:rPr>
          <w:rStyle w:val="FootnoteReference"/>
          <w:sz w:val="14"/>
          <w:szCs w:val="20"/>
        </w:rPr>
        <w:footnoteRef/>
      </w:r>
      <w:r w:rsidRPr="0046709E">
        <w:t xml:space="preserve"> UN Department on Economic and Social Affairs, A Gender Perspective on Water Resources and Sanitation</w:t>
      </w:r>
      <w:proofErr w:type="gramStart"/>
      <w:r w:rsidRPr="0046709E">
        <w:t>,  Commission</w:t>
      </w:r>
      <w:proofErr w:type="gramEnd"/>
      <w:r w:rsidRPr="0046709E">
        <w:t xml:space="preserve"> on Sustainable Development, April 2004. </w:t>
      </w:r>
    </w:p>
  </w:footnote>
  <w:footnote w:id="38">
    <w:p w14:paraId="087581AC" w14:textId="4A6D03A4" w:rsidR="00D07FB8" w:rsidRPr="0046709E" w:rsidRDefault="00D07FB8">
      <w:pPr>
        <w:pStyle w:val="FootnoteText"/>
      </w:pPr>
      <w:r w:rsidRPr="00D055EB">
        <w:rPr>
          <w:rStyle w:val="FootnoteReference"/>
          <w:sz w:val="14"/>
          <w:szCs w:val="20"/>
        </w:rPr>
        <w:footnoteRef/>
      </w:r>
      <w:r w:rsidRPr="0046709E">
        <w:t xml:space="preserve"> ADB, Economic Outlook 2013, p. 280.</w:t>
      </w:r>
    </w:p>
  </w:footnote>
  <w:footnote w:id="39">
    <w:p w14:paraId="406F9DD2" w14:textId="79724E3A"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Fourteenth Report to the District Court of Nauru on the Bank of Nauru Liquidation.</w:t>
      </w:r>
      <w:proofErr w:type="gramEnd"/>
      <w:r w:rsidRPr="0046709E">
        <w:t xml:space="preserve"> </w:t>
      </w:r>
      <w:proofErr w:type="gramStart"/>
      <w:r w:rsidRPr="0046709E">
        <w:t>produced</w:t>
      </w:r>
      <w:proofErr w:type="gramEnd"/>
      <w:r w:rsidRPr="0046709E">
        <w:t xml:space="preserve"> by Deloitte.</w:t>
      </w:r>
    </w:p>
  </w:footnote>
  <w:footnote w:id="40">
    <w:p w14:paraId="2485EE88" w14:textId="46BEEE7B"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ADB Nauru Banking Options technical assistance program, progress report, June 2012.</w:t>
      </w:r>
      <w:proofErr w:type="gramEnd"/>
    </w:p>
  </w:footnote>
  <w:footnote w:id="41">
    <w:p w14:paraId="16666F66" w14:textId="62E45C42" w:rsidR="00D07FB8" w:rsidRDefault="00D07FB8">
      <w:pPr>
        <w:pStyle w:val="FootnoteText"/>
      </w:pPr>
      <w:r>
        <w:rPr>
          <w:rStyle w:val="FootnoteReference"/>
        </w:rPr>
        <w:footnoteRef/>
      </w:r>
      <w:r>
        <w:t xml:space="preserve"> The NFP has also received support from the Pacific Prevention of Domestic Violence Program, an agreement between the AFP and </w:t>
      </w:r>
      <w:r>
        <w:br/>
        <w:t>New Zealand Police, to assist police forces in the Pacific to establish specialised domestic violence units and to train police staff to build partnerships with non-government organisations that support victims of violence.</w:t>
      </w:r>
    </w:p>
  </w:footnote>
  <w:footnote w:id="42">
    <w:p w14:paraId="1D51A295" w14:textId="4674ED08" w:rsidR="00D07FB8" w:rsidRDefault="00D07FB8">
      <w:pPr>
        <w:pStyle w:val="FootnoteText"/>
      </w:pPr>
      <w:r w:rsidRPr="00E1068C">
        <w:rPr>
          <w:vertAlign w:val="superscript"/>
        </w:rPr>
        <w:footnoteRef/>
      </w:r>
      <w:r w:rsidRPr="007156F5">
        <w:t xml:space="preserve"> Pacific Women Shaping Pacific Development (PWSPD) is a 10-year $320 million commitment across all Pacific Island Forum Countries to promote gender equality and the status of women to enable their ‘full, free and safe’ participation in economic, political and social life. </w:t>
      </w:r>
    </w:p>
  </w:footnote>
  <w:footnote w:id="43">
    <w:p w14:paraId="37B94AED" w14:textId="2FE44FD0" w:rsidR="00D07FB8" w:rsidRPr="007156F5" w:rsidRDefault="00D07FB8">
      <w:pPr>
        <w:pStyle w:val="FootnoteText"/>
      </w:pPr>
      <w:r w:rsidRPr="00D055EB">
        <w:rPr>
          <w:rStyle w:val="FootnoteReference"/>
          <w:sz w:val="14"/>
          <w:szCs w:val="20"/>
        </w:rPr>
        <w:footnoteRef/>
      </w:r>
      <w:r w:rsidRPr="007156F5">
        <w:t xml:space="preserve"> </w:t>
      </w:r>
      <w:proofErr w:type="gramStart"/>
      <w:r w:rsidRPr="007156F5">
        <w:t>UNICEF, Nauru, A Situation Analysis of Children, Women and Youth, August 2005, pp.8 and 40.</w:t>
      </w:r>
      <w:proofErr w:type="gramEnd"/>
      <w:r w:rsidRPr="007156F5">
        <w:t xml:space="preserve"> </w:t>
      </w:r>
    </w:p>
  </w:footnote>
  <w:footnote w:id="44">
    <w:p w14:paraId="76185ECD" w14:textId="24777D89" w:rsidR="00D07FB8" w:rsidRPr="0046709E" w:rsidRDefault="00D07FB8">
      <w:pPr>
        <w:pStyle w:val="FootnoteText"/>
      </w:pPr>
      <w:r w:rsidRPr="00D055EB">
        <w:rPr>
          <w:rStyle w:val="FootnoteReference"/>
          <w:sz w:val="14"/>
          <w:szCs w:val="20"/>
        </w:rPr>
        <w:footnoteRef/>
      </w:r>
      <w:r w:rsidRPr="0046709E">
        <w:t xml:space="preserve"> </w:t>
      </w:r>
      <w:proofErr w:type="gramStart"/>
      <w:r w:rsidRPr="0046709E">
        <w:t>Ibid.</w:t>
      </w:r>
      <w:proofErr w:type="gramEnd"/>
      <w:r w:rsidRPr="007156F5">
        <w:t xml:space="preserve"> </w:t>
      </w:r>
    </w:p>
  </w:footnote>
  <w:footnote w:id="45">
    <w:p w14:paraId="3311CA2F" w14:textId="287C9416" w:rsidR="00D07FB8" w:rsidRPr="0046709E" w:rsidRDefault="00D07FB8">
      <w:pPr>
        <w:pStyle w:val="FootnoteText"/>
      </w:pPr>
      <w:r w:rsidRPr="00D055EB">
        <w:rPr>
          <w:rStyle w:val="FootnoteReference"/>
          <w:sz w:val="14"/>
          <w:szCs w:val="20"/>
        </w:rPr>
        <w:footnoteRef/>
      </w:r>
      <w:proofErr w:type="gramStart"/>
      <w:r w:rsidRPr="0046709E">
        <w:t>Government of Nauru, 2011 Census.</w:t>
      </w:r>
      <w:proofErr w:type="gramEnd"/>
    </w:p>
  </w:footnote>
  <w:footnote w:id="46">
    <w:p w14:paraId="0D69467E" w14:textId="029F98F2" w:rsidR="00D07FB8" w:rsidRPr="0046709E" w:rsidRDefault="00D07FB8">
      <w:pPr>
        <w:pStyle w:val="FootnoteText"/>
      </w:pPr>
      <w:r w:rsidRPr="00D055EB">
        <w:rPr>
          <w:rStyle w:val="FootnoteReference"/>
          <w:sz w:val="14"/>
          <w:szCs w:val="20"/>
        </w:rPr>
        <w:footnoteRef/>
      </w:r>
      <w:r w:rsidRPr="0046709E">
        <w:t xml:space="preserve"> Ibid.</w:t>
      </w:r>
    </w:p>
  </w:footnote>
  <w:footnote w:id="47">
    <w:p w14:paraId="5A7C2C3B" w14:textId="1717C19F" w:rsidR="00D07FB8" w:rsidRPr="007156F5" w:rsidRDefault="00D07FB8">
      <w:pPr>
        <w:pStyle w:val="FootnoteText"/>
      </w:pPr>
      <w:r w:rsidRPr="00D055EB">
        <w:rPr>
          <w:rStyle w:val="FootnoteReference"/>
          <w:sz w:val="14"/>
          <w:szCs w:val="20"/>
        </w:rPr>
        <w:footnoteRef/>
      </w:r>
      <w:r w:rsidRPr="007156F5">
        <w:t xml:space="preserve"> UNICEF, Nauru: A Situation Analysis of Children, Women and Youth, August 2005, p. v. </w:t>
      </w:r>
    </w:p>
  </w:footnote>
  <w:footnote w:id="48">
    <w:p w14:paraId="68B9ADDF" w14:textId="3BC90F24" w:rsidR="00D07FB8" w:rsidRPr="007156F5" w:rsidRDefault="00D07FB8">
      <w:pPr>
        <w:pStyle w:val="FootnoteText"/>
      </w:pPr>
      <w:r w:rsidRPr="00D055EB">
        <w:rPr>
          <w:rStyle w:val="FootnoteReference"/>
          <w:sz w:val="14"/>
          <w:szCs w:val="20"/>
        </w:rPr>
        <w:footnoteRef/>
      </w:r>
      <w:r w:rsidRPr="007156F5">
        <w:t xml:space="preserve"> </w:t>
      </w:r>
      <w:proofErr w:type="gramStart"/>
      <w:r w:rsidRPr="007156F5">
        <w:t>Ibid.,</w:t>
      </w:r>
      <w:proofErr w:type="gramEnd"/>
      <w:r w:rsidRPr="007156F5">
        <w:t xml:space="preserve"> p. 40.</w:t>
      </w:r>
    </w:p>
  </w:footnote>
  <w:footnote w:id="49">
    <w:p w14:paraId="41BC4B55" w14:textId="2B56B5BD" w:rsidR="00D07FB8" w:rsidRPr="0046709E" w:rsidRDefault="00D07FB8">
      <w:pPr>
        <w:pStyle w:val="FootnoteText"/>
      </w:pPr>
      <w:r w:rsidRPr="00D055EB">
        <w:rPr>
          <w:rStyle w:val="FootnoteReference"/>
          <w:sz w:val="14"/>
          <w:szCs w:val="20"/>
        </w:rPr>
        <w:footnoteRef/>
      </w:r>
      <w:r w:rsidRPr="0046709E">
        <w:t xml:space="preserve"> ADB, Economic Outlook 2013, p. 280.</w:t>
      </w:r>
    </w:p>
  </w:footnote>
  <w:footnote w:id="50">
    <w:p w14:paraId="1926B18F" w14:textId="3886EF73" w:rsidR="00D07FB8" w:rsidRPr="00071B95" w:rsidRDefault="00D07FB8" w:rsidP="00753D62">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51">
    <w:p w14:paraId="7C767072" w14:textId="3AC34788" w:rsidR="00D07FB8" w:rsidRPr="00071B95" w:rsidRDefault="00D07FB8" w:rsidP="00753D62">
      <w:pPr>
        <w:pStyle w:val="FootnoteText"/>
      </w:pPr>
      <w:r w:rsidRPr="00F77E6A">
        <w:rPr>
          <w:rStyle w:val="FootnoteReference"/>
        </w:rPr>
        <w:footnoteRef/>
      </w:r>
      <w:r w:rsidRPr="00071B95">
        <w:t xml:space="preserve"> </w:t>
      </w:r>
      <w:proofErr w:type="gramStart"/>
      <w:r w:rsidRPr="00071B95">
        <w:t xml:space="preserve">Mid-term review, </w:t>
      </w:r>
      <w:r>
        <w:t>c</w:t>
      </w:r>
      <w:r w:rsidRPr="00071B95">
        <w:t>ompletion report, partner-led evaluation, joint evaluation</w:t>
      </w:r>
      <w:r>
        <w:t>.</w:t>
      </w:r>
      <w:proofErr w:type="gramEnd"/>
    </w:p>
  </w:footnote>
  <w:footnote w:id="52">
    <w:p w14:paraId="66C4B9C7" w14:textId="709C045F" w:rsidR="00D07FB8" w:rsidRPr="00551C11" w:rsidRDefault="00D07FB8" w:rsidP="00753D62">
      <w:pPr>
        <w:pStyle w:val="FootnoteText"/>
      </w:pPr>
      <w:r w:rsidRPr="00F77E6A">
        <w:rPr>
          <w:rStyle w:val="FootnoteReference"/>
        </w:rPr>
        <w:footnoteRef/>
      </w:r>
      <w:r w:rsidRPr="00071B95">
        <w:t xml:space="preserve"> </w:t>
      </w:r>
      <w:proofErr w:type="gramStart"/>
      <w:r w:rsidRPr="00071B95">
        <w:t>To inform a future phase of program, to improve existing program;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0" w14:textId="15F539DE" w:rsidR="00D07FB8" w:rsidRDefault="00D07FB8">
    <w:pPr>
      <w:pStyle w:val="Header"/>
    </w:pPr>
  </w:p>
  <w:p w14:paraId="7601EF41" w14:textId="4E000869" w:rsidR="00D07FB8" w:rsidRDefault="00D07FB8">
    <w:r>
      <w:rPr>
        <w:noProof/>
      </w:rPr>
      <w:drawing>
        <wp:anchor distT="0" distB="0" distL="114300" distR="114300" simplePos="0" relativeHeight="251697152" behindDoc="0" locked="0" layoutInCell="1" allowOverlap="1" wp14:anchorId="724F7690" wp14:editId="0C0A90A3">
          <wp:simplePos x="0" y="0"/>
          <wp:positionH relativeFrom="page">
            <wp:align>left</wp:align>
          </wp:positionH>
          <wp:positionV relativeFrom="page">
            <wp:align>top</wp:align>
          </wp:positionV>
          <wp:extent cx="7560000" cy="1440000"/>
          <wp:effectExtent l="0" t="0" r="317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3" w14:textId="15284C0F" w:rsidR="00D07FB8" w:rsidRDefault="00D07FB8">
    <w:pPr>
      <w:pStyle w:val="Header"/>
    </w:pPr>
    <w:r>
      <w:rPr>
        <w:noProof/>
      </w:rPr>
      <w:drawing>
        <wp:anchor distT="0" distB="0" distL="114300" distR="114300" simplePos="0" relativeHeight="251720704" behindDoc="0" locked="0" layoutInCell="1" allowOverlap="1" wp14:anchorId="45FAAAA6" wp14:editId="68ABC980">
          <wp:simplePos x="0" y="0"/>
          <wp:positionH relativeFrom="page">
            <wp:align>left</wp:align>
          </wp:positionH>
          <wp:positionV relativeFrom="page">
            <wp:align>top</wp:align>
          </wp:positionV>
          <wp:extent cx="7560000" cy="1890000"/>
          <wp:effectExtent l="0" t="0" r="317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24B0" w14:textId="0186E092" w:rsidR="00D07FB8" w:rsidRDefault="00D07FB8">
    <w:pPr>
      <w:pStyle w:val="Header"/>
    </w:pPr>
    <w:r>
      <w:rPr>
        <w:noProof/>
      </w:rPr>
      <w:drawing>
        <wp:anchor distT="0" distB="0" distL="114300" distR="114300" simplePos="0" relativeHeight="251722752" behindDoc="0" locked="0" layoutInCell="1" allowOverlap="1" wp14:anchorId="2E61EB13" wp14:editId="4E16E9CB">
          <wp:simplePos x="0" y="0"/>
          <wp:positionH relativeFrom="page">
            <wp:align>left</wp:align>
          </wp:positionH>
          <wp:positionV relativeFrom="page">
            <wp:align>top</wp:align>
          </wp:positionV>
          <wp:extent cx="7560000" cy="1440000"/>
          <wp:effectExtent l="0" t="0" r="3175" b="825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26B25186" w14:textId="77777777" w:rsidR="00D07FB8" w:rsidRDefault="00D07F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5" w14:textId="77777777" w:rsidR="00D07FB8" w:rsidRDefault="00D07F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6" w14:textId="6E0DB247" w:rsidR="00D07FB8" w:rsidRDefault="00D07F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F62FD" w14:textId="183A1955" w:rsidR="00D07FB8" w:rsidRDefault="00D07FB8">
    <w:pPr>
      <w:pStyle w:val="Header"/>
    </w:pPr>
  </w:p>
  <w:p w14:paraId="08F572CF" w14:textId="77777777" w:rsidR="00D07FB8" w:rsidRDefault="00D07F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EF48" w14:textId="77777777" w:rsidR="00D07FB8" w:rsidRDefault="00D07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FFFFFF89"/>
    <w:multiLevelType w:val="singleLevel"/>
    <w:tmpl w:val="9CA87266"/>
    <w:lvl w:ilvl="0">
      <w:start w:val="1"/>
      <w:numFmt w:val="bullet"/>
      <w:lvlText w:val=""/>
      <w:lvlJc w:val="left"/>
      <w:pPr>
        <w:tabs>
          <w:tab w:val="num" w:pos="360"/>
        </w:tabs>
        <w:ind w:left="360" w:hanging="360"/>
      </w:pPr>
      <w:rPr>
        <w:rFonts w:ascii="Symbol" w:hAnsi="Symbol" w:hint="default"/>
      </w:rPr>
    </w:lvl>
  </w:abstractNum>
  <w:abstractNum w:abstractNumId="2">
    <w:nsid w:val="00FF7703"/>
    <w:multiLevelType w:val="hybridMultilevel"/>
    <w:tmpl w:val="15CCA0E0"/>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
    <w:nsid w:val="03A205C8"/>
    <w:multiLevelType w:val="hybridMultilevel"/>
    <w:tmpl w:val="3D0C8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E26B1E"/>
    <w:multiLevelType w:val="hybridMultilevel"/>
    <w:tmpl w:val="3FE4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D65BE7"/>
    <w:multiLevelType w:val="hybridMultilevel"/>
    <w:tmpl w:val="E410EE4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D5343B"/>
    <w:multiLevelType w:val="hybridMultilevel"/>
    <w:tmpl w:val="0A42E6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8B5467"/>
    <w:multiLevelType w:val="hybridMultilevel"/>
    <w:tmpl w:val="820C8AAC"/>
    <w:lvl w:ilvl="0" w:tplc="0C090001">
      <w:start w:val="1"/>
      <w:numFmt w:val="bullet"/>
      <w:lvlText w:val=""/>
      <w:lvlJc w:val="left"/>
      <w:pPr>
        <w:tabs>
          <w:tab w:val="num" w:pos="-732"/>
        </w:tabs>
        <w:ind w:left="-732" w:hanging="360"/>
      </w:pPr>
      <w:rPr>
        <w:rFonts w:ascii="Symbol" w:hAnsi="Symbol" w:hint="default"/>
      </w:rPr>
    </w:lvl>
    <w:lvl w:ilvl="1" w:tplc="0C090003" w:tentative="1">
      <w:start w:val="1"/>
      <w:numFmt w:val="bullet"/>
      <w:lvlText w:val="o"/>
      <w:lvlJc w:val="left"/>
      <w:pPr>
        <w:tabs>
          <w:tab w:val="num" w:pos="-12"/>
        </w:tabs>
        <w:ind w:left="-12" w:hanging="360"/>
      </w:pPr>
      <w:rPr>
        <w:rFonts w:ascii="Courier New" w:hAnsi="Courier New" w:cs="Courier New" w:hint="default"/>
      </w:rPr>
    </w:lvl>
    <w:lvl w:ilvl="2" w:tplc="0C090005" w:tentative="1">
      <w:start w:val="1"/>
      <w:numFmt w:val="bullet"/>
      <w:lvlText w:val=""/>
      <w:lvlJc w:val="left"/>
      <w:pPr>
        <w:tabs>
          <w:tab w:val="num" w:pos="708"/>
        </w:tabs>
        <w:ind w:left="708" w:hanging="360"/>
      </w:pPr>
      <w:rPr>
        <w:rFonts w:ascii="Wingdings" w:hAnsi="Wingdings" w:hint="default"/>
      </w:rPr>
    </w:lvl>
    <w:lvl w:ilvl="3" w:tplc="0C090001" w:tentative="1">
      <w:start w:val="1"/>
      <w:numFmt w:val="bullet"/>
      <w:lvlText w:val=""/>
      <w:lvlJc w:val="left"/>
      <w:pPr>
        <w:tabs>
          <w:tab w:val="num" w:pos="1428"/>
        </w:tabs>
        <w:ind w:left="1428" w:hanging="360"/>
      </w:pPr>
      <w:rPr>
        <w:rFonts w:ascii="Symbol" w:hAnsi="Symbol" w:hint="default"/>
      </w:rPr>
    </w:lvl>
    <w:lvl w:ilvl="4" w:tplc="0C090003" w:tentative="1">
      <w:start w:val="1"/>
      <w:numFmt w:val="bullet"/>
      <w:lvlText w:val="o"/>
      <w:lvlJc w:val="left"/>
      <w:pPr>
        <w:tabs>
          <w:tab w:val="num" w:pos="2148"/>
        </w:tabs>
        <w:ind w:left="2148" w:hanging="360"/>
      </w:pPr>
      <w:rPr>
        <w:rFonts w:ascii="Courier New" w:hAnsi="Courier New" w:cs="Courier New" w:hint="default"/>
      </w:rPr>
    </w:lvl>
    <w:lvl w:ilvl="5" w:tplc="0C090005" w:tentative="1">
      <w:start w:val="1"/>
      <w:numFmt w:val="bullet"/>
      <w:lvlText w:val=""/>
      <w:lvlJc w:val="left"/>
      <w:pPr>
        <w:tabs>
          <w:tab w:val="num" w:pos="2868"/>
        </w:tabs>
        <w:ind w:left="2868" w:hanging="360"/>
      </w:pPr>
      <w:rPr>
        <w:rFonts w:ascii="Wingdings" w:hAnsi="Wingdings" w:hint="default"/>
      </w:rPr>
    </w:lvl>
    <w:lvl w:ilvl="6" w:tplc="0C090001" w:tentative="1">
      <w:start w:val="1"/>
      <w:numFmt w:val="bullet"/>
      <w:lvlText w:val=""/>
      <w:lvlJc w:val="left"/>
      <w:pPr>
        <w:tabs>
          <w:tab w:val="num" w:pos="3588"/>
        </w:tabs>
        <w:ind w:left="3588" w:hanging="360"/>
      </w:pPr>
      <w:rPr>
        <w:rFonts w:ascii="Symbol" w:hAnsi="Symbol" w:hint="default"/>
      </w:rPr>
    </w:lvl>
    <w:lvl w:ilvl="7" w:tplc="0C090003" w:tentative="1">
      <w:start w:val="1"/>
      <w:numFmt w:val="bullet"/>
      <w:lvlText w:val="o"/>
      <w:lvlJc w:val="left"/>
      <w:pPr>
        <w:tabs>
          <w:tab w:val="num" w:pos="4308"/>
        </w:tabs>
        <w:ind w:left="4308" w:hanging="360"/>
      </w:pPr>
      <w:rPr>
        <w:rFonts w:ascii="Courier New" w:hAnsi="Courier New" w:cs="Courier New" w:hint="default"/>
      </w:rPr>
    </w:lvl>
    <w:lvl w:ilvl="8" w:tplc="0C090005" w:tentative="1">
      <w:start w:val="1"/>
      <w:numFmt w:val="bullet"/>
      <w:lvlText w:val=""/>
      <w:lvlJc w:val="left"/>
      <w:pPr>
        <w:tabs>
          <w:tab w:val="num" w:pos="5028"/>
        </w:tabs>
        <w:ind w:left="5028" w:hanging="360"/>
      </w:pPr>
      <w:rPr>
        <w:rFonts w:ascii="Wingdings" w:hAnsi="Wingdings" w:hint="default"/>
      </w:rPr>
    </w:lvl>
  </w:abstractNum>
  <w:abstractNum w:abstractNumId="11">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nsid w:val="1F3E3644"/>
    <w:multiLevelType w:val="hybridMultilevel"/>
    <w:tmpl w:val="3994586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nsid w:val="207E2BA9"/>
    <w:multiLevelType w:val="hybridMultilevel"/>
    <w:tmpl w:val="3F70FB8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5">
    <w:nsid w:val="25DF1B05"/>
    <w:multiLevelType w:val="hybridMultilevel"/>
    <w:tmpl w:val="9A8098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8D12633"/>
    <w:multiLevelType w:val="hybridMultilevel"/>
    <w:tmpl w:val="76D07B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4E552C"/>
    <w:multiLevelType w:val="hybridMultilevel"/>
    <w:tmpl w:val="99A4D2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964B68"/>
    <w:multiLevelType w:val="hybridMultilevel"/>
    <w:tmpl w:val="1720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7B39FE"/>
    <w:multiLevelType w:val="hybridMultilevel"/>
    <w:tmpl w:val="2B4670FA"/>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nsid w:val="45D8309C"/>
    <w:multiLevelType w:val="hybridMultilevel"/>
    <w:tmpl w:val="E2046FEC"/>
    <w:lvl w:ilvl="0" w:tplc="2E061E76">
      <w:start w:val="1"/>
      <w:numFmt w:val="bullet"/>
      <w:lvlText w:val=""/>
      <w:lvlJc w:val="left"/>
      <w:pPr>
        <w:ind w:left="788" w:hanging="360"/>
      </w:pPr>
      <w:rPr>
        <w:rFonts w:ascii="Symbol" w:hAnsi="Symbol" w:hint="default"/>
        <w:color w:val="auto"/>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7FA1384"/>
    <w:multiLevelType w:val="hybridMultilevel"/>
    <w:tmpl w:val="CE3C8E9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6">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9FA23C1"/>
    <w:multiLevelType w:val="hybridMultilevel"/>
    <w:tmpl w:val="B54E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4D0877"/>
    <w:multiLevelType w:val="hybridMultilevel"/>
    <w:tmpl w:val="E24E763C"/>
    <w:lvl w:ilvl="0" w:tplc="9A764C26">
      <w:numFmt w:val="bullet"/>
      <w:lvlText w:val="-"/>
      <w:lvlJc w:val="left"/>
      <w:pPr>
        <w:ind w:left="405" w:hanging="360"/>
      </w:pPr>
      <w:rPr>
        <w:rFonts w:ascii="Times New Roman" w:eastAsia="Times New Roman" w:hAnsi="Times New Roman" w:cs="Times New Roman" w:hint="default"/>
        <w:sz w:val="16"/>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nsid w:val="619F53C3"/>
    <w:multiLevelType w:val="hybridMultilevel"/>
    <w:tmpl w:val="C0229206"/>
    <w:lvl w:ilvl="0" w:tplc="4A8C729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60402E"/>
    <w:multiLevelType w:val="hybridMultilevel"/>
    <w:tmpl w:val="0D385F6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3">
    <w:nsid w:val="63DE12E3"/>
    <w:multiLevelType w:val="hybridMultilevel"/>
    <w:tmpl w:val="7206E8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BA7339F"/>
    <w:multiLevelType w:val="hybridMultilevel"/>
    <w:tmpl w:val="11B82A9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7A528B"/>
    <w:multiLevelType w:val="hybridMultilevel"/>
    <w:tmpl w:val="EFF8AC44"/>
    <w:lvl w:ilvl="0" w:tplc="50FAE416">
      <w:start w:val="1"/>
      <w:numFmt w:val="bullet"/>
      <w:pStyle w:val="ListBullet"/>
      <w:lvlText w:val="&gt;"/>
      <w:lvlJc w:val="left"/>
      <w:pPr>
        <w:tabs>
          <w:tab w:val="num" w:pos="284"/>
        </w:tabs>
        <w:ind w:left="284" w:hanging="284"/>
      </w:pPr>
      <w:rPr>
        <w:rFonts w:hint="default"/>
        <w:b w:val="0"/>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C500D0"/>
    <w:multiLevelType w:val="hybridMultilevel"/>
    <w:tmpl w:val="D4EAA5D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34"/>
  </w:num>
  <w:num w:numId="2">
    <w:abstractNumId w:val="37"/>
  </w:num>
  <w:num w:numId="3">
    <w:abstractNumId w:val="11"/>
  </w:num>
  <w:num w:numId="4">
    <w:abstractNumId w:val="28"/>
  </w:num>
  <w:num w:numId="5">
    <w:abstractNumId w:val="9"/>
  </w:num>
  <w:num w:numId="6">
    <w:abstractNumId w:val="27"/>
  </w:num>
  <w:num w:numId="7">
    <w:abstractNumId w:val="24"/>
  </w:num>
  <w:num w:numId="8">
    <w:abstractNumId w:val="20"/>
  </w:num>
  <w:num w:numId="9">
    <w:abstractNumId w:val="35"/>
  </w:num>
  <w:num w:numId="10">
    <w:abstractNumId w:val="7"/>
  </w:num>
  <w:num w:numId="11">
    <w:abstractNumId w:val="26"/>
  </w:num>
  <w:num w:numId="12">
    <w:abstractNumId w:val="38"/>
  </w:num>
  <w:num w:numId="13">
    <w:abstractNumId w:val="14"/>
  </w:num>
  <w:num w:numId="14">
    <w:abstractNumId w:val="39"/>
  </w:num>
  <w:num w:numId="15">
    <w:abstractNumId w:val="40"/>
  </w:num>
  <w:num w:numId="16">
    <w:abstractNumId w:val="18"/>
  </w:num>
  <w:num w:numId="17">
    <w:abstractNumId w:val="0"/>
  </w:num>
  <w:num w:numId="18">
    <w:abstractNumId w:val="4"/>
  </w:num>
  <w:num w:numId="19">
    <w:abstractNumId w:val="19"/>
  </w:num>
  <w:num w:numId="20">
    <w:abstractNumId w:val="6"/>
  </w:num>
  <w:num w:numId="21">
    <w:abstractNumId w:val="23"/>
  </w:num>
  <w:num w:numId="22">
    <w:abstractNumId w:val="32"/>
  </w:num>
  <w:num w:numId="23">
    <w:abstractNumId w:val="8"/>
  </w:num>
  <w:num w:numId="24">
    <w:abstractNumId w:val="13"/>
  </w:num>
  <w:num w:numId="25">
    <w:abstractNumId w:val="10"/>
  </w:num>
  <w:num w:numId="26">
    <w:abstractNumId w:val="41"/>
  </w:num>
  <w:num w:numId="27">
    <w:abstractNumId w:val="12"/>
  </w:num>
  <w:num w:numId="28">
    <w:abstractNumId w:val="36"/>
  </w:num>
  <w:num w:numId="29">
    <w:abstractNumId w:val="15"/>
  </w:num>
  <w:num w:numId="30">
    <w:abstractNumId w:val="29"/>
  </w:num>
  <w:num w:numId="31">
    <w:abstractNumId w:val="33"/>
  </w:num>
  <w:num w:numId="32">
    <w:abstractNumId w:val="17"/>
  </w:num>
  <w:num w:numId="33">
    <w:abstractNumId w:val="11"/>
  </w:num>
  <w:num w:numId="34">
    <w:abstractNumId w:val="11"/>
  </w:num>
  <w:num w:numId="35">
    <w:abstractNumId w:val="11"/>
  </w:num>
  <w:num w:numId="36">
    <w:abstractNumId w:val="11"/>
  </w:num>
  <w:num w:numId="37">
    <w:abstractNumId w:val="2"/>
  </w:num>
  <w:num w:numId="38">
    <w:abstractNumId w:val="21"/>
  </w:num>
  <w:num w:numId="39">
    <w:abstractNumId w:val="30"/>
  </w:num>
  <w:num w:numId="40">
    <w:abstractNumId w:val="5"/>
  </w:num>
  <w:num w:numId="41">
    <w:abstractNumId w:val="11"/>
  </w:num>
  <w:num w:numId="42">
    <w:abstractNumId w:val="25"/>
  </w:num>
  <w:num w:numId="43">
    <w:abstractNumId w:val="31"/>
  </w:num>
  <w:num w:numId="44">
    <w:abstractNumId w:val="3"/>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22"/>
  </w:num>
  <w:num w:numId="52">
    <w:abstractNumId w:val="11"/>
  </w:num>
  <w:num w:numId="53">
    <w:abstractNumId w:val="1"/>
  </w:num>
  <w:num w:numId="54">
    <w:abstractNumId w:val="2"/>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0BF2"/>
    <w:rsid w:val="00001ED6"/>
    <w:rsid w:val="000039CF"/>
    <w:rsid w:val="00004D3C"/>
    <w:rsid w:val="00011D68"/>
    <w:rsid w:val="0001227E"/>
    <w:rsid w:val="000136F6"/>
    <w:rsid w:val="000139FE"/>
    <w:rsid w:val="00013B97"/>
    <w:rsid w:val="000143D9"/>
    <w:rsid w:val="000146BF"/>
    <w:rsid w:val="00016901"/>
    <w:rsid w:val="0001741B"/>
    <w:rsid w:val="00020121"/>
    <w:rsid w:val="00021A9E"/>
    <w:rsid w:val="000260F6"/>
    <w:rsid w:val="00026AE7"/>
    <w:rsid w:val="00030111"/>
    <w:rsid w:val="00031100"/>
    <w:rsid w:val="00031174"/>
    <w:rsid w:val="000410B9"/>
    <w:rsid w:val="000416D0"/>
    <w:rsid w:val="00044EFA"/>
    <w:rsid w:val="00045456"/>
    <w:rsid w:val="000460AA"/>
    <w:rsid w:val="00054BF2"/>
    <w:rsid w:val="00060125"/>
    <w:rsid w:val="000619BE"/>
    <w:rsid w:val="00062561"/>
    <w:rsid w:val="0006312B"/>
    <w:rsid w:val="00063650"/>
    <w:rsid w:val="00063FF4"/>
    <w:rsid w:val="00066642"/>
    <w:rsid w:val="000678BB"/>
    <w:rsid w:val="00067A68"/>
    <w:rsid w:val="00071B95"/>
    <w:rsid w:val="00072BEB"/>
    <w:rsid w:val="000745E2"/>
    <w:rsid w:val="000774FD"/>
    <w:rsid w:val="00080021"/>
    <w:rsid w:val="0008085E"/>
    <w:rsid w:val="00082091"/>
    <w:rsid w:val="000836ED"/>
    <w:rsid w:val="000900A5"/>
    <w:rsid w:val="000917E9"/>
    <w:rsid w:val="000958CB"/>
    <w:rsid w:val="000979A0"/>
    <w:rsid w:val="000A08C5"/>
    <w:rsid w:val="000A1618"/>
    <w:rsid w:val="000A4A1A"/>
    <w:rsid w:val="000A5C38"/>
    <w:rsid w:val="000B3121"/>
    <w:rsid w:val="000C29BF"/>
    <w:rsid w:val="000C4F50"/>
    <w:rsid w:val="000C5C9B"/>
    <w:rsid w:val="000C6080"/>
    <w:rsid w:val="000C60A8"/>
    <w:rsid w:val="000C6ADB"/>
    <w:rsid w:val="000D52F7"/>
    <w:rsid w:val="000E007A"/>
    <w:rsid w:val="000E7297"/>
    <w:rsid w:val="000F67F8"/>
    <w:rsid w:val="00100AA2"/>
    <w:rsid w:val="00104217"/>
    <w:rsid w:val="00104659"/>
    <w:rsid w:val="00104855"/>
    <w:rsid w:val="00106490"/>
    <w:rsid w:val="001075B5"/>
    <w:rsid w:val="00107FF6"/>
    <w:rsid w:val="0011019E"/>
    <w:rsid w:val="00112E97"/>
    <w:rsid w:val="0011405E"/>
    <w:rsid w:val="00120FC7"/>
    <w:rsid w:val="00122B5C"/>
    <w:rsid w:val="0012724D"/>
    <w:rsid w:val="001272C7"/>
    <w:rsid w:val="001366B4"/>
    <w:rsid w:val="00137977"/>
    <w:rsid w:val="00141A30"/>
    <w:rsid w:val="00142A29"/>
    <w:rsid w:val="00143EFF"/>
    <w:rsid w:val="0014411B"/>
    <w:rsid w:val="00146CC8"/>
    <w:rsid w:val="00150F9E"/>
    <w:rsid w:val="001612CE"/>
    <w:rsid w:val="00163280"/>
    <w:rsid w:val="0016544D"/>
    <w:rsid w:val="00171AE1"/>
    <w:rsid w:val="00173C6E"/>
    <w:rsid w:val="001750E6"/>
    <w:rsid w:val="001767AE"/>
    <w:rsid w:val="00180079"/>
    <w:rsid w:val="00180B19"/>
    <w:rsid w:val="00180CF2"/>
    <w:rsid w:val="0018196F"/>
    <w:rsid w:val="001829BB"/>
    <w:rsid w:val="001838BC"/>
    <w:rsid w:val="00183951"/>
    <w:rsid w:val="00192498"/>
    <w:rsid w:val="00194806"/>
    <w:rsid w:val="001964E4"/>
    <w:rsid w:val="001A011E"/>
    <w:rsid w:val="001A054F"/>
    <w:rsid w:val="001A3224"/>
    <w:rsid w:val="001A70D4"/>
    <w:rsid w:val="001B1A0C"/>
    <w:rsid w:val="001B6A4F"/>
    <w:rsid w:val="001C1EA0"/>
    <w:rsid w:val="001C2947"/>
    <w:rsid w:val="001C2D3F"/>
    <w:rsid w:val="001C2FDB"/>
    <w:rsid w:val="001C3F8F"/>
    <w:rsid w:val="001C507E"/>
    <w:rsid w:val="001C700E"/>
    <w:rsid w:val="001C7117"/>
    <w:rsid w:val="001C7AB1"/>
    <w:rsid w:val="001D0B31"/>
    <w:rsid w:val="001D20FC"/>
    <w:rsid w:val="001D210A"/>
    <w:rsid w:val="001D3BB4"/>
    <w:rsid w:val="001D6C8B"/>
    <w:rsid w:val="001E7DA0"/>
    <w:rsid w:val="001F3F9D"/>
    <w:rsid w:val="001F7480"/>
    <w:rsid w:val="002115BD"/>
    <w:rsid w:val="00213F91"/>
    <w:rsid w:val="002221CA"/>
    <w:rsid w:val="00231D45"/>
    <w:rsid w:val="0023659C"/>
    <w:rsid w:val="00237C4B"/>
    <w:rsid w:val="0024383A"/>
    <w:rsid w:val="002460D6"/>
    <w:rsid w:val="00246E5F"/>
    <w:rsid w:val="0025101C"/>
    <w:rsid w:val="002511D4"/>
    <w:rsid w:val="00251B6B"/>
    <w:rsid w:val="0026012E"/>
    <w:rsid w:val="0026289A"/>
    <w:rsid w:val="00264F10"/>
    <w:rsid w:val="00267028"/>
    <w:rsid w:val="00267D78"/>
    <w:rsid w:val="00281478"/>
    <w:rsid w:val="002833AA"/>
    <w:rsid w:val="002849B4"/>
    <w:rsid w:val="0028560C"/>
    <w:rsid w:val="002879BA"/>
    <w:rsid w:val="00293037"/>
    <w:rsid w:val="0029419A"/>
    <w:rsid w:val="00294954"/>
    <w:rsid w:val="00295022"/>
    <w:rsid w:val="002967DB"/>
    <w:rsid w:val="002A1935"/>
    <w:rsid w:val="002A22F7"/>
    <w:rsid w:val="002A32DD"/>
    <w:rsid w:val="002A737B"/>
    <w:rsid w:val="002A77DF"/>
    <w:rsid w:val="002B1FB4"/>
    <w:rsid w:val="002B3331"/>
    <w:rsid w:val="002B38AF"/>
    <w:rsid w:val="002B433A"/>
    <w:rsid w:val="002B6B47"/>
    <w:rsid w:val="002B7747"/>
    <w:rsid w:val="002B79D4"/>
    <w:rsid w:val="002C2AB4"/>
    <w:rsid w:val="002C309B"/>
    <w:rsid w:val="002D03A4"/>
    <w:rsid w:val="002D44FF"/>
    <w:rsid w:val="002D6914"/>
    <w:rsid w:val="002D7EED"/>
    <w:rsid w:val="002E5B18"/>
    <w:rsid w:val="002E7231"/>
    <w:rsid w:val="002F46D9"/>
    <w:rsid w:val="002F479A"/>
    <w:rsid w:val="002F5A14"/>
    <w:rsid w:val="002F6CEC"/>
    <w:rsid w:val="002F723A"/>
    <w:rsid w:val="00301EAD"/>
    <w:rsid w:val="003024CC"/>
    <w:rsid w:val="00302D74"/>
    <w:rsid w:val="00303038"/>
    <w:rsid w:val="00305F14"/>
    <w:rsid w:val="00310426"/>
    <w:rsid w:val="0031215B"/>
    <w:rsid w:val="00315D13"/>
    <w:rsid w:val="003223F8"/>
    <w:rsid w:val="0032486D"/>
    <w:rsid w:val="0032489F"/>
    <w:rsid w:val="003260C0"/>
    <w:rsid w:val="00326B5A"/>
    <w:rsid w:val="003327F8"/>
    <w:rsid w:val="0033442D"/>
    <w:rsid w:val="00341177"/>
    <w:rsid w:val="00343C0A"/>
    <w:rsid w:val="00345B8E"/>
    <w:rsid w:val="00351ACA"/>
    <w:rsid w:val="00352AE5"/>
    <w:rsid w:val="003533AC"/>
    <w:rsid w:val="0035432B"/>
    <w:rsid w:val="00357AF7"/>
    <w:rsid w:val="00360662"/>
    <w:rsid w:val="003626CD"/>
    <w:rsid w:val="0036397D"/>
    <w:rsid w:val="003654DA"/>
    <w:rsid w:val="003656FA"/>
    <w:rsid w:val="00372E1B"/>
    <w:rsid w:val="0037354D"/>
    <w:rsid w:val="0037468E"/>
    <w:rsid w:val="0038229A"/>
    <w:rsid w:val="00383294"/>
    <w:rsid w:val="00385DDC"/>
    <w:rsid w:val="00393D1C"/>
    <w:rsid w:val="00395CFA"/>
    <w:rsid w:val="003A2B21"/>
    <w:rsid w:val="003A2D7B"/>
    <w:rsid w:val="003A46B6"/>
    <w:rsid w:val="003A66D0"/>
    <w:rsid w:val="003A74BF"/>
    <w:rsid w:val="003A79B0"/>
    <w:rsid w:val="003B0784"/>
    <w:rsid w:val="003B3B5C"/>
    <w:rsid w:val="003B3DA0"/>
    <w:rsid w:val="003B6170"/>
    <w:rsid w:val="003C1055"/>
    <w:rsid w:val="003C158F"/>
    <w:rsid w:val="003C7721"/>
    <w:rsid w:val="003C7BBE"/>
    <w:rsid w:val="003D081D"/>
    <w:rsid w:val="003D4C4F"/>
    <w:rsid w:val="003E1FD0"/>
    <w:rsid w:val="003E4982"/>
    <w:rsid w:val="003E5D92"/>
    <w:rsid w:val="003F062B"/>
    <w:rsid w:val="003F1552"/>
    <w:rsid w:val="003F1E01"/>
    <w:rsid w:val="003F2D6A"/>
    <w:rsid w:val="003F51A6"/>
    <w:rsid w:val="003F51B5"/>
    <w:rsid w:val="0040564F"/>
    <w:rsid w:val="004059D2"/>
    <w:rsid w:val="00406131"/>
    <w:rsid w:val="00407148"/>
    <w:rsid w:val="00412362"/>
    <w:rsid w:val="00413539"/>
    <w:rsid w:val="00415A92"/>
    <w:rsid w:val="00416AD3"/>
    <w:rsid w:val="004207B1"/>
    <w:rsid w:val="004210D1"/>
    <w:rsid w:val="004225E2"/>
    <w:rsid w:val="004228CD"/>
    <w:rsid w:val="00424872"/>
    <w:rsid w:val="00424F3E"/>
    <w:rsid w:val="00426354"/>
    <w:rsid w:val="00426892"/>
    <w:rsid w:val="00430ED3"/>
    <w:rsid w:val="004315E1"/>
    <w:rsid w:val="00432B76"/>
    <w:rsid w:val="00443639"/>
    <w:rsid w:val="00445A3B"/>
    <w:rsid w:val="00445C9F"/>
    <w:rsid w:val="004468A9"/>
    <w:rsid w:val="00450705"/>
    <w:rsid w:val="00453EFA"/>
    <w:rsid w:val="00454919"/>
    <w:rsid w:val="00465E90"/>
    <w:rsid w:val="00466AF4"/>
    <w:rsid w:val="0046709E"/>
    <w:rsid w:val="0047317B"/>
    <w:rsid w:val="004779CA"/>
    <w:rsid w:val="00482C82"/>
    <w:rsid w:val="00484276"/>
    <w:rsid w:val="0048611B"/>
    <w:rsid w:val="0048642C"/>
    <w:rsid w:val="004873BB"/>
    <w:rsid w:val="004968CE"/>
    <w:rsid w:val="00497854"/>
    <w:rsid w:val="004A7400"/>
    <w:rsid w:val="004B5851"/>
    <w:rsid w:val="004C08A2"/>
    <w:rsid w:val="004C4A3E"/>
    <w:rsid w:val="004C660D"/>
    <w:rsid w:val="004C7318"/>
    <w:rsid w:val="004C73F8"/>
    <w:rsid w:val="004C7658"/>
    <w:rsid w:val="004D1529"/>
    <w:rsid w:val="004D19CE"/>
    <w:rsid w:val="004D4522"/>
    <w:rsid w:val="004D5474"/>
    <w:rsid w:val="004D568A"/>
    <w:rsid w:val="004D7CF6"/>
    <w:rsid w:val="004E2193"/>
    <w:rsid w:val="004E3598"/>
    <w:rsid w:val="004E6400"/>
    <w:rsid w:val="004E6E33"/>
    <w:rsid w:val="004F4A6B"/>
    <w:rsid w:val="004F4C60"/>
    <w:rsid w:val="004F521E"/>
    <w:rsid w:val="00503974"/>
    <w:rsid w:val="00505238"/>
    <w:rsid w:val="0050529F"/>
    <w:rsid w:val="00510AE9"/>
    <w:rsid w:val="00514B5E"/>
    <w:rsid w:val="0052286C"/>
    <w:rsid w:val="00522AB9"/>
    <w:rsid w:val="005265B9"/>
    <w:rsid w:val="00526C33"/>
    <w:rsid w:val="00527E10"/>
    <w:rsid w:val="005301C7"/>
    <w:rsid w:val="00530CC3"/>
    <w:rsid w:val="0053150D"/>
    <w:rsid w:val="0053213D"/>
    <w:rsid w:val="00533533"/>
    <w:rsid w:val="0053442E"/>
    <w:rsid w:val="00535E24"/>
    <w:rsid w:val="00536246"/>
    <w:rsid w:val="005375E2"/>
    <w:rsid w:val="00537B2E"/>
    <w:rsid w:val="005436F2"/>
    <w:rsid w:val="005440F6"/>
    <w:rsid w:val="00544127"/>
    <w:rsid w:val="00544AC5"/>
    <w:rsid w:val="0054557A"/>
    <w:rsid w:val="005456EC"/>
    <w:rsid w:val="00546DD6"/>
    <w:rsid w:val="005540B2"/>
    <w:rsid w:val="005556C5"/>
    <w:rsid w:val="005567D7"/>
    <w:rsid w:val="0055771D"/>
    <w:rsid w:val="00562CA5"/>
    <w:rsid w:val="00565D9A"/>
    <w:rsid w:val="0056641F"/>
    <w:rsid w:val="00567FCF"/>
    <w:rsid w:val="00572A96"/>
    <w:rsid w:val="00575295"/>
    <w:rsid w:val="00581DBB"/>
    <w:rsid w:val="00583A44"/>
    <w:rsid w:val="00583FCA"/>
    <w:rsid w:val="005845CB"/>
    <w:rsid w:val="00584608"/>
    <w:rsid w:val="0058498A"/>
    <w:rsid w:val="00585C08"/>
    <w:rsid w:val="00586350"/>
    <w:rsid w:val="00586679"/>
    <w:rsid w:val="0059780E"/>
    <w:rsid w:val="005A18C5"/>
    <w:rsid w:val="005A3196"/>
    <w:rsid w:val="005A436D"/>
    <w:rsid w:val="005A582F"/>
    <w:rsid w:val="005B2234"/>
    <w:rsid w:val="005B713D"/>
    <w:rsid w:val="005B7C71"/>
    <w:rsid w:val="005C0900"/>
    <w:rsid w:val="005C1C05"/>
    <w:rsid w:val="005C4A6B"/>
    <w:rsid w:val="005C5CD2"/>
    <w:rsid w:val="005D2A59"/>
    <w:rsid w:val="005D7E10"/>
    <w:rsid w:val="005E03F6"/>
    <w:rsid w:val="005E2994"/>
    <w:rsid w:val="005E351A"/>
    <w:rsid w:val="005F0C00"/>
    <w:rsid w:val="005F33F2"/>
    <w:rsid w:val="005F58BD"/>
    <w:rsid w:val="00603A80"/>
    <w:rsid w:val="00603D6C"/>
    <w:rsid w:val="00604D06"/>
    <w:rsid w:val="00606290"/>
    <w:rsid w:val="00610848"/>
    <w:rsid w:val="00615C69"/>
    <w:rsid w:val="00617F30"/>
    <w:rsid w:val="00621B51"/>
    <w:rsid w:val="006236F7"/>
    <w:rsid w:val="00624F87"/>
    <w:rsid w:val="00634171"/>
    <w:rsid w:val="00641462"/>
    <w:rsid w:val="00641B28"/>
    <w:rsid w:val="00642E50"/>
    <w:rsid w:val="00645C9B"/>
    <w:rsid w:val="00646049"/>
    <w:rsid w:val="00647D3F"/>
    <w:rsid w:val="00653669"/>
    <w:rsid w:val="00656F9D"/>
    <w:rsid w:val="00657108"/>
    <w:rsid w:val="006605F9"/>
    <w:rsid w:val="00663909"/>
    <w:rsid w:val="006671BC"/>
    <w:rsid w:val="00672F79"/>
    <w:rsid w:val="00674D50"/>
    <w:rsid w:val="00680679"/>
    <w:rsid w:val="00680E3A"/>
    <w:rsid w:val="0068166F"/>
    <w:rsid w:val="00683FFB"/>
    <w:rsid w:val="00695279"/>
    <w:rsid w:val="006971BF"/>
    <w:rsid w:val="0069767A"/>
    <w:rsid w:val="0069777A"/>
    <w:rsid w:val="006A2C68"/>
    <w:rsid w:val="006A3914"/>
    <w:rsid w:val="006A6852"/>
    <w:rsid w:val="006B24E9"/>
    <w:rsid w:val="006B43EB"/>
    <w:rsid w:val="006B493B"/>
    <w:rsid w:val="006B55EC"/>
    <w:rsid w:val="006C6800"/>
    <w:rsid w:val="006C71A6"/>
    <w:rsid w:val="006D2E37"/>
    <w:rsid w:val="006D37F5"/>
    <w:rsid w:val="006D67BB"/>
    <w:rsid w:val="006E1662"/>
    <w:rsid w:val="006E233D"/>
    <w:rsid w:val="006E3339"/>
    <w:rsid w:val="006E52F5"/>
    <w:rsid w:val="006E5CEB"/>
    <w:rsid w:val="006E7BE3"/>
    <w:rsid w:val="006E7E9F"/>
    <w:rsid w:val="006E7FA8"/>
    <w:rsid w:val="006F4623"/>
    <w:rsid w:val="006F4B40"/>
    <w:rsid w:val="006F573F"/>
    <w:rsid w:val="006F7E8E"/>
    <w:rsid w:val="00700E8F"/>
    <w:rsid w:val="00701FEA"/>
    <w:rsid w:val="00706DE1"/>
    <w:rsid w:val="0070769D"/>
    <w:rsid w:val="007109A3"/>
    <w:rsid w:val="007110C9"/>
    <w:rsid w:val="00713FF7"/>
    <w:rsid w:val="00714BA3"/>
    <w:rsid w:val="007156F5"/>
    <w:rsid w:val="00721098"/>
    <w:rsid w:val="007216A8"/>
    <w:rsid w:val="00723A77"/>
    <w:rsid w:val="00723F49"/>
    <w:rsid w:val="007251E6"/>
    <w:rsid w:val="00725462"/>
    <w:rsid w:val="007315BA"/>
    <w:rsid w:val="007316CB"/>
    <w:rsid w:val="007342D3"/>
    <w:rsid w:val="00741B7E"/>
    <w:rsid w:val="00743635"/>
    <w:rsid w:val="00750E77"/>
    <w:rsid w:val="00751751"/>
    <w:rsid w:val="007517DC"/>
    <w:rsid w:val="00753893"/>
    <w:rsid w:val="00753D62"/>
    <w:rsid w:val="00754773"/>
    <w:rsid w:val="00755642"/>
    <w:rsid w:val="00755C33"/>
    <w:rsid w:val="00760171"/>
    <w:rsid w:val="007645E3"/>
    <w:rsid w:val="00766BCF"/>
    <w:rsid w:val="00767F39"/>
    <w:rsid w:val="00770557"/>
    <w:rsid w:val="00770BC5"/>
    <w:rsid w:val="007726E1"/>
    <w:rsid w:val="00772B36"/>
    <w:rsid w:val="00774F4B"/>
    <w:rsid w:val="0077698D"/>
    <w:rsid w:val="00781AB2"/>
    <w:rsid w:val="007919B6"/>
    <w:rsid w:val="0079256F"/>
    <w:rsid w:val="007A3C6A"/>
    <w:rsid w:val="007A3FF8"/>
    <w:rsid w:val="007A5821"/>
    <w:rsid w:val="007A6FF6"/>
    <w:rsid w:val="007A7A87"/>
    <w:rsid w:val="007B16A9"/>
    <w:rsid w:val="007B2943"/>
    <w:rsid w:val="007B2C33"/>
    <w:rsid w:val="007B3F84"/>
    <w:rsid w:val="007B4B4D"/>
    <w:rsid w:val="007B51E2"/>
    <w:rsid w:val="007D1771"/>
    <w:rsid w:val="007E2A95"/>
    <w:rsid w:val="007E5175"/>
    <w:rsid w:val="007E5858"/>
    <w:rsid w:val="007E6A95"/>
    <w:rsid w:val="007F1B0D"/>
    <w:rsid w:val="007F1DE4"/>
    <w:rsid w:val="007F2841"/>
    <w:rsid w:val="007F2882"/>
    <w:rsid w:val="00802382"/>
    <w:rsid w:val="00802A66"/>
    <w:rsid w:val="00805A7A"/>
    <w:rsid w:val="00805C2C"/>
    <w:rsid w:val="00811745"/>
    <w:rsid w:val="008121D1"/>
    <w:rsid w:val="00814A14"/>
    <w:rsid w:val="00815AEF"/>
    <w:rsid w:val="00816692"/>
    <w:rsid w:val="00821541"/>
    <w:rsid w:val="00824ED4"/>
    <w:rsid w:val="00826911"/>
    <w:rsid w:val="008270DB"/>
    <w:rsid w:val="00830647"/>
    <w:rsid w:val="00830E80"/>
    <w:rsid w:val="008326BA"/>
    <w:rsid w:val="00832F7E"/>
    <w:rsid w:val="00837EFF"/>
    <w:rsid w:val="00843C6F"/>
    <w:rsid w:val="00844F6D"/>
    <w:rsid w:val="00852C2C"/>
    <w:rsid w:val="008554F2"/>
    <w:rsid w:val="0085581C"/>
    <w:rsid w:val="00862521"/>
    <w:rsid w:val="008707AE"/>
    <w:rsid w:val="00873896"/>
    <w:rsid w:val="008775F9"/>
    <w:rsid w:val="008778BA"/>
    <w:rsid w:val="00877D4D"/>
    <w:rsid w:val="008810FA"/>
    <w:rsid w:val="008834CC"/>
    <w:rsid w:val="00884878"/>
    <w:rsid w:val="0088488E"/>
    <w:rsid w:val="00885B9C"/>
    <w:rsid w:val="00896927"/>
    <w:rsid w:val="00897220"/>
    <w:rsid w:val="00897E16"/>
    <w:rsid w:val="008A144E"/>
    <w:rsid w:val="008A216A"/>
    <w:rsid w:val="008A4493"/>
    <w:rsid w:val="008B1E2E"/>
    <w:rsid w:val="008B2983"/>
    <w:rsid w:val="008B4061"/>
    <w:rsid w:val="008B47C2"/>
    <w:rsid w:val="008B52F6"/>
    <w:rsid w:val="008B5F65"/>
    <w:rsid w:val="008C23F7"/>
    <w:rsid w:val="008C5544"/>
    <w:rsid w:val="008C6196"/>
    <w:rsid w:val="008D27EF"/>
    <w:rsid w:val="008D2DC8"/>
    <w:rsid w:val="008D3482"/>
    <w:rsid w:val="008D34F9"/>
    <w:rsid w:val="008D745E"/>
    <w:rsid w:val="008E1A1D"/>
    <w:rsid w:val="008E4AED"/>
    <w:rsid w:val="008E75A2"/>
    <w:rsid w:val="008F06F2"/>
    <w:rsid w:val="008F1717"/>
    <w:rsid w:val="008F1CD2"/>
    <w:rsid w:val="008F25BA"/>
    <w:rsid w:val="008F291A"/>
    <w:rsid w:val="008F43AB"/>
    <w:rsid w:val="008F46CA"/>
    <w:rsid w:val="008F4C4B"/>
    <w:rsid w:val="008F5D80"/>
    <w:rsid w:val="009012E3"/>
    <w:rsid w:val="00901D4C"/>
    <w:rsid w:val="0090352C"/>
    <w:rsid w:val="009078EA"/>
    <w:rsid w:val="00907A2E"/>
    <w:rsid w:val="00911718"/>
    <w:rsid w:val="00913870"/>
    <w:rsid w:val="0091562D"/>
    <w:rsid w:val="0091760C"/>
    <w:rsid w:val="0092321F"/>
    <w:rsid w:val="00923D3D"/>
    <w:rsid w:val="009240AE"/>
    <w:rsid w:val="00924923"/>
    <w:rsid w:val="00924CCB"/>
    <w:rsid w:val="0092520A"/>
    <w:rsid w:val="00926DC6"/>
    <w:rsid w:val="009328FB"/>
    <w:rsid w:val="00932DAF"/>
    <w:rsid w:val="00932FAD"/>
    <w:rsid w:val="00933D6E"/>
    <w:rsid w:val="00936C89"/>
    <w:rsid w:val="00941D62"/>
    <w:rsid w:val="00942A77"/>
    <w:rsid w:val="009439E0"/>
    <w:rsid w:val="009446DE"/>
    <w:rsid w:val="00944FFF"/>
    <w:rsid w:val="00951562"/>
    <w:rsid w:val="00953298"/>
    <w:rsid w:val="00954EF3"/>
    <w:rsid w:val="0095790B"/>
    <w:rsid w:val="00960656"/>
    <w:rsid w:val="00961706"/>
    <w:rsid w:val="0096313F"/>
    <w:rsid w:val="009668EF"/>
    <w:rsid w:val="009720BF"/>
    <w:rsid w:val="009729A9"/>
    <w:rsid w:val="00974693"/>
    <w:rsid w:val="0098030D"/>
    <w:rsid w:val="00981E62"/>
    <w:rsid w:val="00984793"/>
    <w:rsid w:val="00985083"/>
    <w:rsid w:val="00990087"/>
    <w:rsid w:val="00990CB2"/>
    <w:rsid w:val="00995062"/>
    <w:rsid w:val="009A09DD"/>
    <w:rsid w:val="009A1E07"/>
    <w:rsid w:val="009A5286"/>
    <w:rsid w:val="009B3F5D"/>
    <w:rsid w:val="009B48D3"/>
    <w:rsid w:val="009B5190"/>
    <w:rsid w:val="009B5D2D"/>
    <w:rsid w:val="009B654F"/>
    <w:rsid w:val="009B7AFB"/>
    <w:rsid w:val="009C16DF"/>
    <w:rsid w:val="009C4804"/>
    <w:rsid w:val="009C6662"/>
    <w:rsid w:val="009D3524"/>
    <w:rsid w:val="009D4B34"/>
    <w:rsid w:val="009E4182"/>
    <w:rsid w:val="009E5812"/>
    <w:rsid w:val="009E6780"/>
    <w:rsid w:val="009E7117"/>
    <w:rsid w:val="009F4D99"/>
    <w:rsid w:val="009F50F0"/>
    <w:rsid w:val="009F7E35"/>
    <w:rsid w:val="00A001C7"/>
    <w:rsid w:val="00A03911"/>
    <w:rsid w:val="00A04D58"/>
    <w:rsid w:val="00A05140"/>
    <w:rsid w:val="00A10C64"/>
    <w:rsid w:val="00A10DE1"/>
    <w:rsid w:val="00A15F1C"/>
    <w:rsid w:val="00A16A17"/>
    <w:rsid w:val="00A17771"/>
    <w:rsid w:val="00A2249D"/>
    <w:rsid w:val="00A22538"/>
    <w:rsid w:val="00A23997"/>
    <w:rsid w:val="00A30BE4"/>
    <w:rsid w:val="00A332DF"/>
    <w:rsid w:val="00A34039"/>
    <w:rsid w:val="00A3552E"/>
    <w:rsid w:val="00A40A08"/>
    <w:rsid w:val="00A41536"/>
    <w:rsid w:val="00A417FA"/>
    <w:rsid w:val="00A426F2"/>
    <w:rsid w:val="00A42760"/>
    <w:rsid w:val="00A43783"/>
    <w:rsid w:val="00A443C7"/>
    <w:rsid w:val="00A44A49"/>
    <w:rsid w:val="00A458F4"/>
    <w:rsid w:val="00A50B20"/>
    <w:rsid w:val="00A51D3E"/>
    <w:rsid w:val="00A5411A"/>
    <w:rsid w:val="00A5551F"/>
    <w:rsid w:val="00A55E71"/>
    <w:rsid w:val="00A62888"/>
    <w:rsid w:val="00A65CAA"/>
    <w:rsid w:val="00A70196"/>
    <w:rsid w:val="00A766FD"/>
    <w:rsid w:val="00A77B78"/>
    <w:rsid w:val="00A820E7"/>
    <w:rsid w:val="00A857F3"/>
    <w:rsid w:val="00A91059"/>
    <w:rsid w:val="00A92E36"/>
    <w:rsid w:val="00A92F82"/>
    <w:rsid w:val="00A94EC5"/>
    <w:rsid w:val="00AA2A7C"/>
    <w:rsid w:val="00AA2C1D"/>
    <w:rsid w:val="00AA4F9F"/>
    <w:rsid w:val="00AB3900"/>
    <w:rsid w:val="00AB4E26"/>
    <w:rsid w:val="00AB6012"/>
    <w:rsid w:val="00AB7215"/>
    <w:rsid w:val="00AC3F72"/>
    <w:rsid w:val="00AC56C2"/>
    <w:rsid w:val="00AC5E19"/>
    <w:rsid w:val="00AC644F"/>
    <w:rsid w:val="00AC6B6B"/>
    <w:rsid w:val="00AC6F18"/>
    <w:rsid w:val="00AD3D41"/>
    <w:rsid w:val="00AD7A97"/>
    <w:rsid w:val="00AE30B4"/>
    <w:rsid w:val="00AE5C52"/>
    <w:rsid w:val="00AE61C0"/>
    <w:rsid w:val="00AF045F"/>
    <w:rsid w:val="00AF0FA2"/>
    <w:rsid w:val="00AF0FDD"/>
    <w:rsid w:val="00B01366"/>
    <w:rsid w:val="00B04843"/>
    <w:rsid w:val="00B11701"/>
    <w:rsid w:val="00B17A9D"/>
    <w:rsid w:val="00B201FF"/>
    <w:rsid w:val="00B21C2F"/>
    <w:rsid w:val="00B22E5F"/>
    <w:rsid w:val="00B2323A"/>
    <w:rsid w:val="00B24A65"/>
    <w:rsid w:val="00B26C4D"/>
    <w:rsid w:val="00B2764E"/>
    <w:rsid w:val="00B30E77"/>
    <w:rsid w:val="00B333AC"/>
    <w:rsid w:val="00B33F27"/>
    <w:rsid w:val="00B35542"/>
    <w:rsid w:val="00B407AC"/>
    <w:rsid w:val="00B42477"/>
    <w:rsid w:val="00B429AA"/>
    <w:rsid w:val="00B456CC"/>
    <w:rsid w:val="00B478EF"/>
    <w:rsid w:val="00B51BAD"/>
    <w:rsid w:val="00B5238A"/>
    <w:rsid w:val="00B56551"/>
    <w:rsid w:val="00B5703B"/>
    <w:rsid w:val="00B57AE9"/>
    <w:rsid w:val="00B57F48"/>
    <w:rsid w:val="00B622CE"/>
    <w:rsid w:val="00B62C31"/>
    <w:rsid w:val="00B638BD"/>
    <w:rsid w:val="00B6596A"/>
    <w:rsid w:val="00B65EB5"/>
    <w:rsid w:val="00B66058"/>
    <w:rsid w:val="00B72CEC"/>
    <w:rsid w:val="00B777EE"/>
    <w:rsid w:val="00B80707"/>
    <w:rsid w:val="00B86ADD"/>
    <w:rsid w:val="00B87675"/>
    <w:rsid w:val="00B90C9A"/>
    <w:rsid w:val="00B91A36"/>
    <w:rsid w:val="00B9258A"/>
    <w:rsid w:val="00B94398"/>
    <w:rsid w:val="00B95043"/>
    <w:rsid w:val="00B961FF"/>
    <w:rsid w:val="00BA3026"/>
    <w:rsid w:val="00BA3EFF"/>
    <w:rsid w:val="00BA4972"/>
    <w:rsid w:val="00BA5FE7"/>
    <w:rsid w:val="00BB0898"/>
    <w:rsid w:val="00BB1C24"/>
    <w:rsid w:val="00BB269C"/>
    <w:rsid w:val="00BB2750"/>
    <w:rsid w:val="00BB66B3"/>
    <w:rsid w:val="00BB6B12"/>
    <w:rsid w:val="00BC15F3"/>
    <w:rsid w:val="00BC40FF"/>
    <w:rsid w:val="00BC52CD"/>
    <w:rsid w:val="00BC6774"/>
    <w:rsid w:val="00BC6EEF"/>
    <w:rsid w:val="00BC7980"/>
    <w:rsid w:val="00BD0809"/>
    <w:rsid w:val="00BD1CBB"/>
    <w:rsid w:val="00BD4D43"/>
    <w:rsid w:val="00BE0D5C"/>
    <w:rsid w:val="00BE27CE"/>
    <w:rsid w:val="00BE320E"/>
    <w:rsid w:val="00BE65E4"/>
    <w:rsid w:val="00BF0AA7"/>
    <w:rsid w:val="00BF2F97"/>
    <w:rsid w:val="00C00765"/>
    <w:rsid w:val="00C034F4"/>
    <w:rsid w:val="00C05C61"/>
    <w:rsid w:val="00C05E17"/>
    <w:rsid w:val="00C06287"/>
    <w:rsid w:val="00C14005"/>
    <w:rsid w:val="00C20731"/>
    <w:rsid w:val="00C20D5E"/>
    <w:rsid w:val="00C227D1"/>
    <w:rsid w:val="00C229C8"/>
    <w:rsid w:val="00C23583"/>
    <w:rsid w:val="00C25C52"/>
    <w:rsid w:val="00C26C70"/>
    <w:rsid w:val="00C307E2"/>
    <w:rsid w:val="00C31BD8"/>
    <w:rsid w:val="00C36C67"/>
    <w:rsid w:val="00C3733A"/>
    <w:rsid w:val="00C4066A"/>
    <w:rsid w:val="00C40D0E"/>
    <w:rsid w:val="00C446A5"/>
    <w:rsid w:val="00C469FC"/>
    <w:rsid w:val="00C51ED6"/>
    <w:rsid w:val="00C51F72"/>
    <w:rsid w:val="00C5274B"/>
    <w:rsid w:val="00C56BAB"/>
    <w:rsid w:val="00C60D92"/>
    <w:rsid w:val="00C620ED"/>
    <w:rsid w:val="00C646BD"/>
    <w:rsid w:val="00C65930"/>
    <w:rsid w:val="00C65C28"/>
    <w:rsid w:val="00C679B2"/>
    <w:rsid w:val="00C703E4"/>
    <w:rsid w:val="00C75AB0"/>
    <w:rsid w:val="00C82AA4"/>
    <w:rsid w:val="00C8305C"/>
    <w:rsid w:val="00C84471"/>
    <w:rsid w:val="00C86B66"/>
    <w:rsid w:val="00C877AB"/>
    <w:rsid w:val="00C87B68"/>
    <w:rsid w:val="00C926B1"/>
    <w:rsid w:val="00C95691"/>
    <w:rsid w:val="00CA1ECD"/>
    <w:rsid w:val="00CA339F"/>
    <w:rsid w:val="00CA4C7F"/>
    <w:rsid w:val="00CB15B7"/>
    <w:rsid w:val="00CB66E3"/>
    <w:rsid w:val="00CB7C71"/>
    <w:rsid w:val="00CC0336"/>
    <w:rsid w:val="00CC708E"/>
    <w:rsid w:val="00CC7666"/>
    <w:rsid w:val="00CC7D9A"/>
    <w:rsid w:val="00CD0FA4"/>
    <w:rsid w:val="00CD574D"/>
    <w:rsid w:val="00CD59A9"/>
    <w:rsid w:val="00CD67E4"/>
    <w:rsid w:val="00CE5AA7"/>
    <w:rsid w:val="00CE7DC2"/>
    <w:rsid w:val="00CF1049"/>
    <w:rsid w:val="00CF1592"/>
    <w:rsid w:val="00CF229C"/>
    <w:rsid w:val="00CF5974"/>
    <w:rsid w:val="00CF602C"/>
    <w:rsid w:val="00D00BD3"/>
    <w:rsid w:val="00D04DC2"/>
    <w:rsid w:val="00D055EB"/>
    <w:rsid w:val="00D0608D"/>
    <w:rsid w:val="00D06E87"/>
    <w:rsid w:val="00D06EFC"/>
    <w:rsid w:val="00D07FB8"/>
    <w:rsid w:val="00D1197E"/>
    <w:rsid w:val="00D15D29"/>
    <w:rsid w:val="00D1619E"/>
    <w:rsid w:val="00D16991"/>
    <w:rsid w:val="00D24717"/>
    <w:rsid w:val="00D30FD3"/>
    <w:rsid w:val="00D31D39"/>
    <w:rsid w:val="00D33DA7"/>
    <w:rsid w:val="00D34800"/>
    <w:rsid w:val="00D35FAB"/>
    <w:rsid w:val="00D36EA1"/>
    <w:rsid w:val="00D42581"/>
    <w:rsid w:val="00D43BAD"/>
    <w:rsid w:val="00D4525E"/>
    <w:rsid w:val="00D472D8"/>
    <w:rsid w:val="00D50353"/>
    <w:rsid w:val="00D5164A"/>
    <w:rsid w:val="00D51659"/>
    <w:rsid w:val="00D55A7C"/>
    <w:rsid w:val="00D56FF4"/>
    <w:rsid w:val="00D639FF"/>
    <w:rsid w:val="00D672AC"/>
    <w:rsid w:val="00D74036"/>
    <w:rsid w:val="00D808EE"/>
    <w:rsid w:val="00D811B5"/>
    <w:rsid w:val="00D8169F"/>
    <w:rsid w:val="00D844BC"/>
    <w:rsid w:val="00D926AC"/>
    <w:rsid w:val="00D93663"/>
    <w:rsid w:val="00D94097"/>
    <w:rsid w:val="00D9456B"/>
    <w:rsid w:val="00D947F4"/>
    <w:rsid w:val="00D950E1"/>
    <w:rsid w:val="00D95FFC"/>
    <w:rsid w:val="00DA3F8B"/>
    <w:rsid w:val="00DA4480"/>
    <w:rsid w:val="00DA57C1"/>
    <w:rsid w:val="00DA5F54"/>
    <w:rsid w:val="00DA65FF"/>
    <w:rsid w:val="00DA6C5E"/>
    <w:rsid w:val="00DA7DA7"/>
    <w:rsid w:val="00DB0CB2"/>
    <w:rsid w:val="00DC1811"/>
    <w:rsid w:val="00DC2D92"/>
    <w:rsid w:val="00DC3B0A"/>
    <w:rsid w:val="00DD53EE"/>
    <w:rsid w:val="00DE210E"/>
    <w:rsid w:val="00DE55E6"/>
    <w:rsid w:val="00DF0505"/>
    <w:rsid w:val="00DF224D"/>
    <w:rsid w:val="00DF3C14"/>
    <w:rsid w:val="00DF7C0D"/>
    <w:rsid w:val="00E01922"/>
    <w:rsid w:val="00E01B9C"/>
    <w:rsid w:val="00E04482"/>
    <w:rsid w:val="00E05E81"/>
    <w:rsid w:val="00E07968"/>
    <w:rsid w:val="00E07B02"/>
    <w:rsid w:val="00E1068C"/>
    <w:rsid w:val="00E13548"/>
    <w:rsid w:val="00E1580B"/>
    <w:rsid w:val="00E16A2F"/>
    <w:rsid w:val="00E21E42"/>
    <w:rsid w:val="00E2267F"/>
    <w:rsid w:val="00E2306D"/>
    <w:rsid w:val="00E253F9"/>
    <w:rsid w:val="00E27C9F"/>
    <w:rsid w:val="00E30739"/>
    <w:rsid w:val="00E35BC7"/>
    <w:rsid w:val="00E360F3"/>
    <w:rsid w:val="00E40DD0"/>
    <w:rsid w:val="00E40F9A"/>
    <w:rsid w:val="00E4460C"/>
    <w:rsid w:val="00E46DDD"/>
    <w:rsid w:val="00E554D3"/>
    <w:rsid w:val="00E56811"/>
    <w:rsid w:val="00E60BED"/>
    <w:rsid w:val="00E6139F"/>
    <w:rsid w:val="00E61E1E"/>
    <w:rsid w:val="00E62387"/>
    <w:rsid w:val="00E623C9"/>
    <w:rsid w:val="00E64B3B"/>
    <w:rsid w:val="00E70660"/>
    <w:rsid w:val="00E717D2"/>
    <w:rsid w:val="00E71A05"/>
    <w:rsid w:val="00E75700"/>
    <w:rsid w:val="00E80303"/>
    <w:rsid w:val="00E816F5"/>
    <w:rsid w:val="00E85D09"/>
    <w:rsid w:val="00E86071"/>
    <w:rsid w:val="00E90B9D"/>
    <w:rsid w:val="00E923F1"/>
    <w:rsid w:val="00E941BA"/>
    <w:rsid w:val="00E97795"/>
    <w:rsid w:val="00EA4254"/>
    <w:rsid w:val="00EA5261"/>
    <w:rsid w:val="00EA6BFB"/>
    <w:rsid w:val="00EB3D8A"/>
    <w:rsid w:val="00EB4AF9"/>
    <w:rsid w:val="00EB53BC"/>
    <w:rsid w:val="00EB711D"/>
    <w:rsid w:val="00EC029D"/>
    <w:rsid w:val="00EC097B"/>
    <w:rsid w:val="00EC5F6D"/>
    <w:rsid w:val="00EC7B0B"/>
    <w:rsid w:val="00ED2536"/>
    <w:rsid w:val="00ED3004"/>
    <w:rsid w:val="00ED3C2A"/>
    <w:rsid w:val="00EE0E84"/>
    <w:rsid w:val="00EE308D"/>
    <w:rsid w:val="00EE44C9"/>
    <w:rsid w:val="00EE5357"/>
    <w:rsid w:val="00EF23CF"/>
    <w:rsid w:val="00EF2769"/>
    <w:rsid w:val="00EF4DF3"/>
    <w:rsid w:val="00F026CE"/>
    <w:rsid w:val="00F035DB"/>
    <w:rsid w:val="00F04015"/>
    <w:rsid w:val="00F07127"/>
    <w:rsid w:val="00F0799D"/>
    <w:rsid w:val="00F105B8"/>
    <w:rsid w:val="00F11C86"/>
    <w:rsid w:val="00F14D3E"/>
    <w:rsid w:val="00F203C9"/>
    <w:rsid w:val="00F209D8"/>
    <w:rsid w:val="00F233AE"/>
    <w:rsid w:val="00F27ED1"/>
    <w:rsid w:val="00F31344"/>
    <w:rsid w:val="00F31551"/>
    <w:rsid w:val="00F3498F"/>
    <w:rsid w:val="00F34DF5"/>
    <w:rsid w:val="00F36AED"/>
    <w:rsid w:val="00F40B43"/>
    <w:rsid w:val="00F429B7"/>
    <w:rsid w:val="00F44916"/>
    <w:rsid w:val="00F46297"/>
    <w:rsid w:val="00F47F63"/>
    <w:rsid w:val="00F51004"/>
    <w:rsid w:val="00F5172B"/>
    <w:rsid w:val="00F53655"/>
    <w:rsid w:val="00F5642A"/>
    <w:rsid w:val="00F56BD5"/>
    <w:rsid w:val="00F575F3"/>
    <w:rsid w:val="00F6071E"/>
    <w:rsid w:val="00F627C4"/>
    <w:rsid w:val="00F62DE7"/>
    <w:rsid w:val="00F63D0B"/>
    <w:rsid w:val="00F644E2"/>
    <w:rsid w:val="00F65284"/>
    <w:rsid w:val="00F711FF"/>
    <w:rsid w:val="00F71512"/>
    <w:rsid w:val="00F74FA5"/>
    <w:rsid w:val="00F77E6A"/>
    <w:rsid w:val="00F803ED"/>
    <w:rsid w:val="00F81D93"/>
    <w:rsid w:val="00F83A71"/>
    <w:rsid w:val="00F8518E"/>
    <w:rsid w:val="00F86C62"/>
    <w:rsid w:val="00F93164"/>
    <w:rsid w:val="00F940A3"/>
    <w:rsid w:val="00F9413F"/>
    <w:rsid w:val="00F94D21"/>
    <w:rsid w:val="00FA11D0"/>
    <w:rsid w:val="00FA406D"/>
    <w:rsid w:val="00FA4570"/>
    <w:rsid w:val="00FB1914"/>
    <w:rsid w:val="00FB632B"/>
    <w:rsid w:val="00FC1928"/>
    <w:rsid w:val="00FC19A6"/>
    <w:rsid w:val="00FC3C87"/>
    <w:rsid w:val="00FC45B9"/>
    <w:rsid w:val="00FC74A2"/>
    <w:rsid w:val="00FC7564"/>
    <w:rsid w:val="00FC7E4C"/>
    <w:rsid w:val="00FD154C"/>
    <w:rsid w:val="00FD699B"/>
    <w:rsid w:val="00FE0835"/>
    <w:rsid w:val="00FE11AA"/>
    <w:rsid w:val="00FE1536"/>
    <w:rsid w:val="00FE25EE"/>
    <w:rsid w:val="00FE3A77"/>
    <w:rsid w:val="00FE4491"/>
    <w:rsid w:val="00FF2D07"/>
    <w:rsid w:val="00FF4401"/>
    <w:rsid w:val="00FF5E5D"/>
    <w:rsid w:val="00FF7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601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uiPriority w:val="9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E2994"/>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82691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82691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BD0809"/>
    <w:pPr>
      <w:spacing w:after="0"/>
      <w:contextualSpacing/>
    </w:pPr>
    <w:rPr>
      <w:sz w:val="16"/>
      <w:szCs w:val="20"/>
    </w:rPr>
  </w:style>
  <w:style w:type="character" w:customStyle="1" w:styleId="FootnoteTextChar">
    <w:name w:val="Footnote Text Char"/>
    <w:basedOn w:val="DefaultParagraphFont"/>
    <w:link w:val="FootnoteText"/>
    <w:uiPriority w:val="99"/>
    <w:rsid w:val="00BD0809"/>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BD0809"/>
    <w:rPr>
      <w:rFonts w:ascii="Times New Roman" w:hAnsi="Times New Roman"/>
      <w:caps w:val="0"/>
      <w:smallCaps w:val="0"/>
      <w:strike w:val="0"/>
      <w:dstrike w:val="0"/>
      <w:vanish w:val="0"/>
      <w:w w:val="100"/>
      <w:position w:val="0"/>
      <w:sz w:val="22"/>
      <w:szCs w:val="12"/>
      <w:vertAlign w:val="superscript"/>
    </w:rPr>
  </w:style>
  <w:style w:type="paragraph" w:customStyle="1" w:styleId="Bullet">
    <w:name w:val="Bullet"/>
    <w:basedOn w:val="Normal"/>
    <w:rsid w:val="00AB6012"/>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rsid w:val="00AB6012"/>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rsid w:val="00AB6012"/>
    <w:pPr>
      <w:tabs>
        <w:tab w:val="num" w:pos="1560"/>
      </w:tabs>
      <w:spacing w:after="240" w:line="320" w:lineRule="exact"/>
      <w:ind w:left="1560" w:hanging="520"/>
    </w:pPr>
    <w:rPr>
      <w:rFonts w:ascii="Palatino" w:eastAsia="Times New Roman" w:hAnsi="Palatin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uiPriority w:val="9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E2994"/>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82691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82691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BD0809"/>
    <w:pPr>
      <w:spacing w:after="0"/>
      <w:contextualSpacing/>
    </w:pPr>
    <w:rPr>
      <w:sz w:val="16"/>
      <w:szCs w:val="20"/>
    </w:rPr>
  </w:style>
  <w:style w:type="character" w:customStyle="1" w:styleId="FootnoteTextChar">
    <w:name w:val="Footnote Text Char"/>
    <w:basedOn w:val="DefaultParagraphFont"/>
    <w:link w:val="FootnoteText"/>
    <w:uiPriority w:val="99"/>
    <w:rsid w:val="00BD0809"/>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BD0809"/>
    <w:rPr>
      <w:rFonts w:ascii="Times New Roman" w:hAnsi="Times New Roman"/>
      <w:caps w:val="0"/>
      <w:smallCaps w:val="0"/>
      <w:strike w:val="0"/>
      <w:dstrike w:val="0"/>
      <w:vanish w:val="0"/>
      <w:w w:val="100"/>
      <w:position w:val="0"/>
      <w:sz w:val="22"/>
      <w:szCs w:val="12"/>
      <w:vertAlign w:val="superscript"/>
    </w:rPr>
  </w:style>
  <w:style w:type="paragraph" w:customStyle="1" w:styleId="Bullet">
    <w:name w:val="Bullet"/>
    <w:basedOn w:val="Normal"/>
    <w:rsid w:val="00AB6012"/>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rsid w:val="00AB6012"/>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rsid w:val="00AB6012"/>
    <w:pPr>
      <w:tabs>
        <w:tab w:val="num" w:pos="1560"/>
      </w:tabs>
      <w:spacing w:after="240" w:line="320" w:lineRule="exact"/>
      <w:ind w:left="1560" w:hanging="520"/>
    </w:pPr>
    <w:rPr>
      <w:rFonts w:ascii="Palatino" w:eastAsia="Times New Roman" w:hAnsi="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40512">
      <w:bodyDiv w:val="1"/>
      <w:marLeft w:val="0"/>
      <w:marRight w:val="0"/>
      <w:marTop w:val="0"/>
      <w:marBottom w:val="0"/>
      <w:divBdr>
        <w:top w:val="none" w:sz="0" w:space="0" w:color="auto"/>
        <w:left w:val="none" w:sz="0" w:space="0" w:color="auto"/>
        <w:bottom w:val="none" w:sz="0" w:space="0" w:color="auto"/>
        <w:right w:val="none" w:sz="0" w:space="0" w:color="auto"/>
      </w:divBdr>
      <w:divsChild>
        <w:div w:id="921984480">
          <w:marLeft w:val="0"/>
          <w:marRight w:val="0"/>
          <w:marTop w:val="0"/>
          <w:marBottom w:val="0"/>
          <w:divBdr>
            <w:top w:val="none" w:sz="0" w:space="0" w:color="auto"/>
            <w:left w:val="none" w:sz="0" w:space="0" w:color="auto"/>
            <w:bottom w:val="none" w:sz="0" w:space="0" w:color="auto"/>
            <w:right w:val="none" w:sz="0" w:space="0" w:color="auto"/>
          </w:divBdr>
          <w:divsChild>
            <w:div w:id="1429810938">
              <w:marLeft w:val="-3600"/>
              <w:marRight w:val="0"/>
              <w:marTop w:val="150"/>
              <w:marBottom w:val="0"/>
              <w:divBdr>
                <w:top w:val="none" w:sz="0" w:space="0" w:color="auto"/>
                <w:left w:val="none" w:sz="0" w:space="0" w:color="auto"/>
                <w:bottom w:val="none" w:sz="0" w:space="0" w:color="auto"/>
                <w:right w:val="none" w:sz="0" w:space="0" w:color="auto"/>
              </w:divBdr>
              <w:divsChild>
                <w:div w:id="1308781357">
                  <w:marLeft w:val="3750"/>
                  <w:marRight w:val="0"/>
                  <w:marTop w:val="0"/>
                  <w:marBottom w:val="0"/>
                  <w:divBdr>
                    <w:top w:val="none" w:sz="0" w:space="0" w:color="auto"/>
                    <w:left w:val="none" w:sz="0" w:space="0" w:color="auto"/>
                    <w:bottom w:val="none" w:sz="0" w:space="0" w:color="auto"/>
                    <w:right w:val="none" w:sz="0" w:space="0" w:color="auto"/>
                  </w:divBdr>
                  <w:divsChild>
                    <w:div w:id="1604336433">
                      <w:marLeft w:val="0"/>
                      <w:marRight w:val="0"/>
                      <w:marTop w:val="0"/>
                      <w:marBottom w:val="0"/>
                      <w:divBdr>
                        <w:top w:val="none" w:sz="0" w:space="0" w:color="auto"/>
                        <w:left w:val="none" w:sz="0" w:space="0" w:color="auto"/>
                        <w:bottom w:val="none" w:sz="0" w:space="0" w:color="auto"/>
                        <w:right w:val="none" w:sz="0" w:space="0" w:color="auto"/>
                      </w:divBdr>
                      <w:divsChild>
                        <w:div w:id="1430659173">
                          <w:marLeft w:val="-150"/>
                          <w:marRight w:val="0"/>
                          <w:marTop w:val="0"/>
                          <w:marBottom w:val="0"/>
                          <w:divBdr>
                            <w:top w:val="none" w:sz="0" w:space="0" w:color="auto"/>
                            <w:left w:val="none" w:sz="0" w:space="0" w:color="auto"/>
                            <w:bottom w:val="none" w:sz="0" w:space="0" w:color="auto"/>
                            <w:right w:val="none" w:sz="0" w:space="0" w:color="auto"/>
                          </w:divBdr>
                          <w:divsChild>
                            <w:div w:id="371657801">
                              <w:marLeft w:val="0"/>
                              <w:marRight w:val="0"/>
                              <w:marTop w:val="0"/>
                              <w:marBottom w:val="0"/>
                              <w:divBdr>
                                <w:top w:val="none" w:sz="0" w:space="0" w:color="auto"/>
                                <w:left w:val="none" w:sz="0" w:space="0" w:color="auto"/>
                                <w:bottom w:val="none" w:sz="0" w:space="0" w:color="auto"/>
                                <w:right w:val="none" w:sz="0" w:space="0" w:color="auto"/>
                              </w:divBdr>
                              <w:divsChild>
                                <w:div w:id="1103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141456">
      <w:bodyDiv w:val="1"/>
      <w:marLeft w:val="0"/>
      <w:marRight w:val="0"/>
      <w:marTop w:val="0"/>
      <w:marBottom w:val="0"/>
      <w:divBdr>
        <w:top w:val="none" w:sz="0" w:space="0" w:color="auto"/>
        <w:left w:val="none" w:sz="0" w:space="0" w:color="auto"/>
        <w:bottom w:val="none" w:sz="0" w:space="0" w:color="auto"/>
        <w:right w:val="none" w:sz="0" w:space="0" w:color="auto"/>
      </w:divBdr>
    </w:div>
    <w:div w:id="354498656">
      <w:bodyDiv w:val="1"/>
      <w:marLeft w:val="0"/>
      <w:marRight w:val="0"/>
      <w:marTop w:val="0"/>
      <w:marBottom w:val="0"/>
      <w:divBdr>
        <w:top w:val="none" w:sz="0" w:space="0" w:color="auto"/>
        <w:left w:val="none" w:sz="0" w:space="0" w:color="auto"/>
        <w:bottom w:val="none" w:sz="0" w:space="0" w:color="auto"/>
        <w:right w:val="none" w:sz="0" w:space="0" w:color="auto"/>
      </w:divBdr>
      <w:divsChild>
        <w:div w:id="615331557">
          <w:marLeft w:val="0"/>
          <w:marRight w:val="0"/>
          <w:marTop w:val="0"/>
          <w:marBottom w:val="0"/>
          <w:divBdr>
            <w:top w:val="none" w:sz="0" w:space="0" w:color="auto"/>
            <w:left w:val="none" w:sz="0" w:space="0" w:color="auto"/>
            <w:bottom w:val="none" w:sz="0" w:space="0" w:color="auto"/>
            <w:right w:val="none" w:sz="0" w:space="0" w:color="auto"/>
          </w:divBdr>
          <w:divsChild>
            <w:div w:id="493842688">
              <w:marLeft w:val="-3600"/>
              <w:marRight w:val="0"/>
              <w:marTop w:val="150"/>
              <w:marBottom w:val="0"/>
              <w:divBdr>
                <w:top w:val="none" w:sz="0" w:space="0" w:color="auto"/>
                <w:left w:val="none" w:sz="0" w:space="0" w:color="auto"/>
                <w:bottom w:val="none" w:sz="0" w:space="0" w:color="auto"/>
                <w:right w:val="none" w:sz="0" w:space="0" w:color="auto"/>
              </w:divBdr>
              <w:divsChild>
                <w:div w:id="1438910669">
                  <w:marLeft w:val="3750"/>
                  <w:marRight w:val="0"/>
                  <w:marTop w:val="0"/>
                  <w:marBottom w:val="0"/>
                  <w:divBdr>
                    <w:top w:val="none" w:sz="0" w:space="0" w:color="auto"/>
                    <w:left w:val="none" w:sz="0" w:space="0" w:color="auto"/>
                    <w:bottom w:val="none" w:sz="0" w:space="0" w:color="auto"/>
                    <w:right w:val="none" w:sz="0" w:space="0" w:color="auto"/>
                  </w:divBdr>
                  <w:divsChild>
                    <w:div w:id="1647662278">
                      <w:marLeft w:val="0"/>
                      <w:marRight w:val="0"/>
                      <w:marTop w:val="0"/>
                      <w:marBottom w:val="0"/>
                      <w:divBdr>
                        <w:top w:val="none" w:sz="0" w:space="0" w:color="auto"/>
                        <w:left w:val="none" w:sz="0" w:space="0" w:color="auto"/>
                        <w:bottom w:val="none" w:sz="0" w:space="0" w:color="auto"/>
                        <w:right w:val="none" w:sz="0" w:space="0" w:color="auto"/>
                      </w:divBdr>
                      <w:divsChild>
                        <w:div w:id="1166045768">
                          <w:marLeft w:val="-150"/>
                          <w:marRight w:val="0"/>
                          <w:marTop w:val="0"/>
                          <w:marBottom w:val="0"/>
                          <w:divBdr>
                            <w:top w:val="none" w:sz="0" w:space="0" w:color="auto"/>
                            <w:left w:val="none" w:sz="0" w:space="0" w:color="auto"/>
                            <w:bottom w:val="none" w:sz="0" w:space="0" w:color="auto"/>
                            <w:right w:val="none" w:sz="0" w:space="0" w:color="auto"/>
                          </w:divBdr>
                          <w:divsChild>
                            <w:div w:id="1366713920">
                              <w:marLeft w:val="0"/>
                              <w:marRight w:val="0"/>
                              <w:marTop w:val="0"/>
                              <w:marBottom w:val="0"/>
                              <w:divBdr>
                                <w:top w:val="none" w:sz="0" w:space="0" w:color="auto"/>
                                <w:left w:val="none" w:sz="0" w:space="0" w:color="auto"/>
                                <w:bottom w:val="none" w:sz="0" w:space="0" w:color="auto"/>
                                <w:right w:val="none" w:sz="0" w:space="0" w:color="auto"/>
                              </w:divBdr>
                              <w:divsChild>
                                <w:div w:id="21469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972081">
      <w:bodyDiv w:val="1"/>
      <w:marLeft w:val="0"/>
      <w:marRight w:val="0"/>
      <w:marTop w:val="0"/>
      <w:marBottom w:val="0"/>
      <w:divBdr>
        <w:top w:val="none" w:sz="0" w:space="0" w:color="auto"/>
        <w:left w:val="none" w:sz="0" w:space="0" w:color="auto"/>
        <w:bottom w:val="none" w:sz="0" w:space="0" w:color="auto"/>
        <w:right w:val="none" w:sz="0" w:space="0" w:color="auto"/>
      </w:divBdr>
    </w:div>
    <w:div w:id="477653903">
      <w:bodyDiv w:val="1"/>
      <w:marLeft w:val="0"/>
      <w:marRight w:val="0"/>
      <w:marTop w:val="0"/>
      <w:marBottom w:val="0"/>
      <w:divBdr>
        <w:top w:val="none" w:sz="0" w:space="0" w:color="auto"/>
        <w:left w:val="none" w:sz="0" w:space="0" w:color="auto"/>
        <w:bottom w:val="none" w:sz="0" w:space="0" w:color="auto"/>
        <w:right w:val="none" w:sz="0" w:space="0" w:color="auto"/>
      </w:divBdr>
    </w:div>
    <w:div w:id="924846436">
      <w:bodyDiv w:val="1"/>
      <w:marLeft w:val="0"/>
      <w:marRight w:val="0"/>
      <w:marTop w:val="0"/>
      <w:marBottom w:val="0"/>
      <w:divBdr>
        <w:top w:val="none" w:sz="0" w:space="0" w:color="auto"/>
        <w:left w:val="none" w:sz="0" w:space="0" w:color="auto"/>
        <w:bottom w:val="none" w:sz="0" w:space="0" w:color="auto"/>
        <w:right w:val="none" w:sz="0" w:space="0" w:color="auto"/>
      </w:divBdr>
      <w:divsChild>
        <w:div w:id="1697851016">
          <w:marLeft w:val="0"/>
          <w:marRight w:val="0"/>
          <w:marTop w:val="0"/>
          <w:marBottom w:val="0"/>
          <w:divBdr>
            <w:top w:val="none" w:sz="0" w:space="0" w:color="auto"/>
            <w:left w:val="none" w:sz="0" w:space="0" w:color="auto"/>
            <w:bottom w:val="none" w:sz="0" w:space="0" w:color="auto"/>
            <w:right w:val="none" w:sz="0" w:space="0" w:color="auto"/>
          </w:divBdr>
          <w:divsChild>
            <w:div w:id="1137528603">
              <w:marLeft w:val="-3600"/>
              <w:marRight w:val="0"/>
              <w:marTop w:val="150"/>
              <w:marBottom w:val="0"/>
              <w:divBdr>
                <w:top w:val="none" w:sz="0" w:space="0" w:color="auto"/>
                <w:left w:val="none" w:sz="0" w:space="0" w:color="auto"/>
                <w:bottom w:val="none" w:sz="0" w:space="0" w:color="auto"/>
                <w:right w:val="none" w:sz="0" w:space="0" w:color="auto"/>
              </w:divBdr>
              <w:divsChild>
                <w:div w:id="1115754862">
                  <w:marLeft w:val="3750"/>
                  <w:marRight w:val="0"/>
                  <w:marTop w:val="0"/>
                  <w:marBottom w:val="0"/>
                  <w:divBdr>
                    <w:top w:val="none" w:sz="0" w:space="0" w:color="auto"/>
                    <w:left w:val="none" w:sz="0" w:space="0" w:color="auto"/>
                    <w:bottom w:val="none" w:sz="0" w:space="0" w:color="auto"/>
                    <w:right w:val="none" w:sz="0" w:space="0" w:color="auto"/>
                  </w:divBdr>
                  <w:divsChild>
                    <w:div w:id="745566878">
                      <w:marLeft w:val="0"/>
                      <w:marRight w:val="0"/>
                      <w:marTop w:val="0"/>
                      <w:marBottom w:val="0"/>
                      <w:divBdr>
                        <w:top w:val="none" w:sz="0" w:space="0" w:color="auto"/>
                        <w:left w:val="none" w:sz="0" w:space="0" w:color="auto"/>
                        <w:bottom w:val="none" w:sz="0" w:space="0" w:color="auto"/>
                        <w:right w:val="none" w:sz="0" w:space="0" w:color="auto"/>
                      </w:divBdr>
                      <w:divsChild>
                        <w:div w:id="1512187084">
                          <w:marLeft w:val="-150"/>
                          <w:marRight w:val="0"/>
                          <w:marTop w:val="0"/>
                          <w:marBottom w:val="0"/>
                          <w:divBdr>
                            <w:top w:val="none" w:sz="0" w:space="0" w:color="auto"/>
                            <w:left w:val="none" w:sz="0" w:space="0" w:color="auto"/>
                            <w:bottom w:val="none" w:sz="0" w:space="0" w:color="auto"/>
                            <w:right w:val="none" w:sz="0" w:space="0" w:color="auto"/>
                          </w:divBdr>
                          <w:divsChild>
                            <w:div w:id="188498060">
                              <w:marLeft w:val="0"/>
                              <w:marRight w:val="0"/>
                              <w:marTop w:val="0"/>
                              <w:marBottom w:val="0"/>
                              <w:divBdr>
                                <w:top w:val="none" w:sz="0" w:space="0" w:color="auto"/>
                                <w:left w:val="none" w:sz="0" w:space="0" w:color="auto"/>
                                <w:bottom w:val="none" w:sz="0" w:space="0" w:color="auto"/>
                                <w:right w:val="none" w:sz="0" w:space="0" w:color="auto"/>
                              </w:divBdr>
                              <w:divsChild>
                                <w:div w:id="2056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02698">
      <w:bodyDiv w:val="1"/>
      <w:marLeft w:val="0"/>
      <w:marRight w:val="0"/>
      <w:marTop w:val="0"/>
      <w:marBottom w:val="0"/>
      <w:divBdr>
        <w:top w:val="none" w:sz="0" w:space="0" w:color="auto"/>
        <w:left w:val="none" w:sz="0" w:space="0" w:color="auto"/>
        <w:bottom w:val="none" w:sz="0" w:space="0" w:color="auto"/>
        <w:right w:val="none" w:sz="0" w:space="0" w:color="auto"/>
      </w:divBdr>
    </w:div>
    <w:div w:id="1085617177">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4846327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google.com.au/url?sa=i&amp;rct=j&amp;q=millenium+development+goals&amp;source=images&amp;cd=&amp;docid=Y9aokXdFKJ-VnM&amp;tbnid=nr41msS-4BqOgM:&amp;ved=0CAUQjRw&amp;url=http://www.caritas-europa.org/code/EN/inte.asp?Page=1072&amp;ei=vyOUUaCHK8e5lAXVkICIBQ&amp;bvm=bv.46471029,d.aGc&amp;psig=AFQjCNE7FogRmRITykuCe4HNVyzjYMTkZw&amp;ust=1368749280513921"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ffa.int/nauru_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554C6-48E7-4ECD-8E08-C0CEA4906D76}"/>
</file>

<file path=customXml/itemProps2.xml><?xml version="1.0" encoding="utf-8"?>
<ds:datastoreItem xmlns:ds="http://schemas.openxmlformats.org/officeDocument/2006/customXml" ds:itemID="{834EE93B-A9E8-4330-8FA3-B99F34C932D1}"/>
</file>

<file path=customXml/itemProps3.xml><?xml version="1.0" encoding="utf-8"?>
<ds:datastoreItem xmlns:ds="http://schemas.openxmlformats.org/officeDocument/2006/customXml" ds:itemID="{4AE166F6-7AE0-4CF8-A273-58531EDF5EB4}"/>
</file>

<file path=customXml/itemProps4.xml><?xml version="1.0" encoding="utf-8"?>
<ds:datastoreItem xmlns:ds="http://schemas.openxmlformats.org/officeDocument/2006/customXml" ds:itemID="{BA9C877C-790D-44ED-9DF4-5B6D6844990A}"/>
</file>

<file path=docProps/app.xml><?xml version="1.0" encoding="utf-8"?>
<Properties xmlns="http://schemas.openxmlformats.org/officeDocument/2006/extended-properties" xmlns:vt="http://schemas.openxmlformats.org/officeDocument/2006/docPropsVTypes">
  <Template>Normal.dotm</Template>
  <TotalTime>0</TotalTime>
  <Pages>26</Pages>
  <Words>10886</Words>
  <Characters>62056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2014-01-29T05:27:00Z</dcterms:created>
  <dcterms:modified xsi:type="dcterms:W3CDTF">2014-01-29T05:27:00Z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312900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