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PlainGridBlack"/>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9396E" w14:paraId="08970A1E" w14:textId="77777777" w:rsidTr="00380878">
        <w:trPr>
          <w:trHeight w:val="8391"/>
        </w:trPr>
        <w:tc>
          <w:tcPr>
            <w:tcW w:w="9638" w:type="dxa"/>
          </w:tcPr>
          <w:p w14:paraId="60892681" w14:textId="77777777" w:rsidR="0099396E" w:rsidRDefault="0099396E" w:rsidP="00380878">
            <w:pPr>
              <w:jc w:val="right"/>
            </w:pPr>
          </w:p>
        </w:tc>
      </w:tr>
      <w:tr w:rsidR="0099396E" w14:paraId="78F01136" w14:textId="77777777" w:rsidTr="00020AE2">
        <w:trPr>
          <w:trHeight w:val="3679"/>
        </w:trPr>
        <w:tc>
          <w:tcPr>
            <w:tcW w:w="9638" w:type="dxa"/>
            <w:vAlign w:val="bottom"/>
          </w:tcPr>
          <w:sdt>
            <w:sdtPr>
              <w:rPr>
                <w:sz w:val="56"/>
                <w:szCs w:val="24"/>
              </w:rPr>
              <w:alias w:val="Links to footer - Don't add line breaks"/>
              <w:tag w:val="Don't add line breaks"/>
              <w:id w:val="-1881004855"/>
              <w:lock w:val="sdtLocked"/>
              <w:placeholder>
                <w:docPart w:val="8DF8B1BBD3CC46DAA7F269F0C03109D7"/>
              </w:placeholder>
              <w:text/>
            </w:sdtPr>
            <w:sdtEndPr/>
            <w:sdtContent>
              <w:p w14:paraId="256BDFEA" w14:textId="0DED333C" w:rsidR="0099396E" w:rsidRPr="008A5373" w:rsidRDefault="000E71D4" w:rsidP="001A338A">
                <w:pPr>
                  <w:pStyle w:val="CoverTitle"/>
                  <w:rPr>
                    <w:sz w:val="56"/>
                    <w:szCs w:val="24"/>
                  </w:rPr>
                </w:pPr>
                <w:r w:rsidRPr="008A5373">
                  <w:rPr>
                    <w:sz w:val="56"/>
                    <w:szCs w:val="24"/>
                  </w:rPr>
                  <w:t>Nature</w:t>
                </w:r>
                <w:r w:rsidR="008A5373" w:rsidRPr="008A5373">
                  <w:rPr>
                    <w:sz w:val="56"/>
                    <w:szCs w:val="24"/>
                  </w:rPr>
                  <w:t>-based Solutions Evaluation</w:t>
                </w:r>
              </w:p>
            </w:sdtContent>
          </w:sdt>
          <w:p w14:paraId="3679E4A2" w14:textId="509B3C50" w:rsidR="009D07D2" w:rsidRDefault="000B4A59" w:rsidP="008D6EB1">
            <w:pPr>
              <w:pStyle w:val="CoverSubtitle"/>
            </w:pPr>
            <w:r>
              <w:t>Evaluation Report</w:t>
            </w:r>
          </w:p>
          <w:p w14:paraId="7D44DF68" w14:textId="36982A39" w:rsidR="0099396E" w:rsidRPr="005F2A1F" w:rsidRDefault="00724180" w:rsidP="001A338A">
            <w:pPr>
              <w:pStyle w:val="CoverDetail"/>
              <w:rPr>
                <w:color w:val="414141" w:themeColor="text2" w:themeShade="BF"/>
              </w:rPr>
            </w:pPr>
            <w:sdt>
              <w:sdtPr>
                <w:rPr>
                  <w:color w:val="414141" w:themeColor="text2" w:themeShade="BF"/>
                </w:rPr>
                <w:id w:val="-2049367916"/>
                <w:placeholder>
                  <w:docPart w:val="90C9AB529EC74C27B5A1BBACBE49F285"/>
                </w:placeholder>
                <w:date w:fullDate="2024-02-20T00:00:00Z">
                  <w:dateFormat w:val="d MMMM yyyy"/>
                  <w:lid w:val="en-AU"/>
                  <w:storeMappedDataAs w:val="dateTime"/>
                  <w:calendar w:val="gregorian"/>
                </w:date>
              </w:sdtPr>
              <w:sdtEndPr/>
              <w:sdtContent>
                <w:r w:rsidR="000B4A59" w:rsidRPr="005F2A1F">
                  <w:rPr>
                    <w:color w:val="414141" w:themeColor="text2" w:themeShade="BF"/>
                  </w:rPr>
                  <w:t>20 February 2024</w:t>
                </w:r>
              </w:sdtContent>
            </w:sdt>
          </w:p>
          <w:p w14:paraId="563BA0B3" w14:textId="77777777" w:rsidR="00020AE2" w:rsidRPr="005F2A1F" w:rsidRDefault="00020AE2" w:rsidP="00020AE2">
            <w:pPr>
              <w:pStyle w:val="CoverDetail"/>
              <w:numPr>
                <w:ilvl w:val="0"/>
                <w:numId w:val="0"/>
              </w:numPr>
              <w:rPr>
                <w:color w:val="414141" w:themeColor="text2" w:themeShade="BF"/>
              </w:rPr>
            </w:pPr>
          </w:p>
          <w:p w14:paraId="4890E00C" w14:textId="5DE60FDE" w:rsidR="00020AE2" w:rsidRDefault="000209FA" w:rsidP="00020AE2">
            <w:pPr>
              <w:pStyle w:val="CoverDetail"/>
              <w:numPr>
                <w:ilvl w:val="0"/>
                <w:numId w:val="0"/>
              </w:numPr>
            </w:pPr>
            <w:r w:rsidRPr="005F2A1F">
              <w:rPr>
                <w:color w:val="414141" w:themeColor="text2" w:themeShade="BF"/>
              </w:rPr>
              <w:t>Alinea International</w:t>
            </w:r>
          </w:p>
        </w:tc>
      </w:tr>
    </w:tbl>
    <w:p w14:paraId="7058DFEB" w14:textId="13B3FFAD" w:rsidR="009D07D2" w:rsidRDefault="009D07D2" w:rsidP="0015537A"/>
    <w:p w14:paraId="7DA0DCA8" w14:textId="77777777" w:rsidR="00D77494" w:rsidRDefault="00D77494" w:rsidP="00D77494">
      <w:pPr>
        <w:pStyle w:val="CoverInsideDetail"/>
        <w:numPr>
          <w:ilvl w:val="0"/>
          <w:numId w:val="0"/>
        </w:numPr>
        <w:spacing w:before="8280" w:after="9960"/>
        <w:contextualSpacing w:val="0"/>
        <w:rPr>
          <w:color w:val="000000" w:themeColor="text1"/>
        </w:rPr>
      </w:pPr>
    </w:p>
    <w:p w14:paraId="01EE3F7E" w14:textId="1B8CDAE5" w:rsidR="00D77494" w:rsidRDefault="00D77494" w:rsidP="00D77494">
      <w:pPr>
        <w:pStyle w:val="CoverInsideDetail"/>
        <w:numPr>
          <w:ilvl w:val="0"/>
          <w:numId w:val="0"/>
        </w:numPr>
        <w:spacing w:before="8280" w:after="240" w:line="240" w:lineRule="atLeast"/>
        <w:contextualSpacing w:val="0"/>
        <w:rPr>
          <w:b w:val="0"/>
          <w:caps w:val="0"/>
          <w:color w:val="000000" w:themeColor="text1"/>
          <w:sz w:val="24"/>
        </w:rPr>
      </w:pPr>
      <w:r>
        <w:rPr>
          <w:color w:val="000000" w:themeColor="text1"/>
        </w:rPr>
        <w:t>R</w:t>
      </w:r>
      <w:r w:rsidRPr="00884BA1">
        <w:rPr>
          <w:color w:val="000000" w:themeColor="text1"/>
        </w:rPr>
        <w:t>eport prepared by:</w:t>
      </w:r>
      <w:r>
        <w:rPr>
          <w:color w:val="000000" w:themeColor="text1"/>
        </w:rPr>
        <w:br/>
      </w:r>
      <w:r w:rsidRPr="00D77494">
        <w:rPr>
          <w:b w:val="0"/>
          <w:caps w:val="0"/>
          <w:color w:val="000000" w:themeColor="text1"/>
          <w:sz w:val="24"/>
        </w:rPr>
        <w:t>Guy Janssen and David Poulton – Alinea International</w:t>
      </w:r>
      <w:r w:rsidRPr="00D77494">
        <w:rPr>
          <w:b w:val="0"/>
          <w:caps w:val="0"/>
          <w:color w:val="000000" w:themeColor="text1"/>
          <w:sz w:val="24"/>
        </w:rPr>
        <w:br/>
      </w:r>
      <w:hyperlink r:id="rId11" w:history="1">
        <w:r w:rsidRPr="00D77494">
          <w:rPr>
            <w:rStyle w:val="Hyperlink"/>
            <w:b w:val="0"/>
            <w:caps w:val="0"/>
            <w:sz w:val="24"/>
          </w:rPr>
          <w:t>alineainternational.com</w:t>
        </w:r>
      </w:hyperlink>
    </w:p>
    <w:p w14:paraId="059043AB" w14:textId="345EA616" w:rsidR="00D77494" w:rsidRPr="00D77494" w:rsidRDefault="00D77494" w:rsidP="00D77494">
      <w:pPr>
        <w:pStyle w:val="CoverInsideDetail"/>
        <w:numPr>
          <w:ilvl w:val="0"/>
          <w:numId w:val="0"/>
        </w:numPr>
        <w:spacing w:before="240" w:after="9240" w:line="240" w:lineRule="atLeast"/>
        <w:contextualSpacing w:val="0"/>
        <w:rPr>
          <w:b w:val="0"/>
          <w:caps w:val="0"/>
          <w:color w:val="000000" w:themeColor="text1"/>
          <w:sz w:val="24"/>
        </w:rPr>
      </w:pPr>
      <w:r w:rsidRPr="00D77494">
        <w:rPr>
          <w:b w:val="0"/>
          <w:caps w:val="0"/>
          <w:color w:val="000000" w:themeColor="text1"/>
          <w:sz w:val="24"/>
        </w:rPr>
        <w:t>Front Cover Image: Aerial view of Pacific Islands – Alinea International</w:t>
      </w:r>
    </w:p>
    <w:p w14:paraId="1C932047" w14:textId="77777777" w:rsidR="00D77494" w:rsidRDefault="00D77494">
      <w:pPr>
        <w:spacing w:after="0" w:line="240" w:lineRule="auto"/>
        <w:sectPr w:rsidR="00D77494" w:rsidSect="00D37127">
          <w:headerReference w:type="default" r:id="rId12"/>
          <w:footerReference w:type="default" r:id="rId13"/>
          <w:headerReference w:type="first" r:id="rId14"/>
          <w:footerReference w:type="first" r:id="rId15"/>
          <w:pgSz w:w="11906" w:h="16838" w:code="9"/>
          <w:pgMar w:top="1701" w:right="1134" w:bottom="1418" w:left="1134" w:header="851" w:footer="454" w:gutter="0"/>
          <w:pgBorders w:offsetFrom="page">
            <w:top w:val="single" w:sz="36" w:space="0" w:color="1D336D" w:themeColor="background2"/>
            <w:left w:val="single" w:sz="36" w:space="0" w:color="1D336D" w:themeColor="background2"/>
            <w:bottom w:val="single" w:sz="36" w:space="0" w:color="1D336D" w:themeColor="background2"/>
            <w:right w:val="single" w:sz="36" w:space="0" w:color="1D336D" w:themeColor="background2"/>
          </w:pgBorders>
          <w:cols w:space="709"/>
          <w:titlePg/>
          <w:docGrid w:linePitch="360"/>
        </w:sectPr>
      </w:pPr>
    </w:p>
    <w:sdt>
      <w:sdtPr>
        <w:rPr>
          <w:rFonts w:asciiTheme="minorHAnsi" w:hAnsiTheme="minorHAnsi"/>
          <w:b/>
          <w:bCs w:val="0"/>
          <w:iCs w:val="0"/>
          <w:caps w:val="0"/>
          <w:color w:val="000000" w:themeColor="text1"/>
          <w:sz w:val="20"/>
          <w:szCs w:val="20"/>
        </w:rPr>
        <w:id w:val="721494993"/>
        <w:docPartObj>
          <w:docPartGallery w:val="Table of Contents"/>
          <w:docPartUnique/>
        </w:docPartObj>
      </w:sdtPr>
      <w:sdtEndPr>
        <w:rPr>
          <w:b w:val="0"/>
        </w:rPr>
      </w:sdtEndPr>
      <w:sdtContent>
        <w:p w14:paraId="5349F877" w14:textId="77777777" w:rsidR="000D3E85" w:rsidRDefault="000D3E85">
          <w:pPr>
            <w:pStyle w:val="TOCHeading"/>
          </w:pPr>
          <w:r>
            <w:t>Contents</w:t>
          </w:r>
        </w:p>
        <w:p w14:paraId="4F125654" w14:textId="0326115B" w:rsidR="000C5F6D" w:rsidRDefault="00E7443E">
          <w:pPr>
            <w:pStyle w:val="TOC1"/>
            <w:rPr>
              <w:rFonts w:eastAsiaTheme="minorEastAsia" w:cstheme="minorBidi"/>
              <w:b w:val="0"/>
              <w:caps w:val="0"/>
              <w:noProof/>
              <w:color w:val="auto"/>
              <w:kern w:val="2"/>
              <w:sz w:val="22"/>
              <w:szCs w:val="22"/>
              <w14:ligatures w14:val="standardContextual"/>
            </w:rPr>
          </w:pPr>
          <w:r>
            <w:rPr>
              <w:b w:val="0"/>
            </w:rPr>
            <w:fldChar w:fldCharType="begin"/>
          </w:r>
          <w:r>
            <w:rPr>
              <w:b w:val="0"/>
            </w:rPr>
            <w:instrText xml:space="preserve"> TOC \h \z \t "Heading 1,2,Heading 2,3,Title,1,Numbered Heading 1,1,Numbered Heading 2,2,Numbered Heading 3,3,Chapter Heading,1" </w:instrText>
          </w:r>
          <w:r>
            <w:rPr>
              <w:b w:val="0"/>
            </w:rPr>
            <w:fldChar w:fldCharType="separate"/>
          </w:r>
          <w:hyperlink w:anchor="_Toc164783020" w:history="1">
            <w:r w:rsidR="000C5F6D" w:rsidRPr="00FE5108">
              <w:rPr>
                <w:rStyle w:val="Hyperlink"/>
                <w:noProof/>
              </w:rPr>
              <w:t>Acknowledgements</w:t>
            </w:r>
            <w:r w:rsidR="000C5F6D">
              <w:rPr>
                <w:noProof/>
                <w:webHidden/>
              </w:rPr>
              <w:tab/>
            </w:r>
            <w:r w:rsidR="000C5F6D">
              <w:rPr>
                <w:noProof/>
                <w:webHidden/>
              </w:rPr>
              <w:fldChar w:fldCharType="begin"/>
            </w:r>
            <w:r w:rsidR="000C5F6D">
              <w:rPr>
                <w:noProof/>
                <w:webHidden/>
              </w:rPr>
              <w:instrText xml:space="preserve"> PAGEREF _Toc164783020 \h </w:instrText>
            </w:r>
            <w:r w:rsidR="000C5F6D">
              <w:rPr>
                <w:noProof/>
                <w:webHidden/>
              </w:rPr>
            </w:r>
            <w:r w:rsidR="000C5F6D">
              <w:rPr>
                <w:noProof/>
                <w:webHidden/>
              </w:rPr>
              <w:fldChar w:fldCharType="separate"/>
            </w:r>
            <w:r w:rsidR="000C5F6D">
              <w:rPr>
                <w:noProof/>
                <w:webHidden/>
              </w:rPr>
              <w:t>5</w:t>
            </w:r>
            <w:r w:rsidR="000C5F6D">
              <w:rPr>
                <w:noProof/>
                <w:webHidden/>
              </w:rPr>
              <w:fldChar w:fldCharType="end"/>
            </w:r>
          </w:hyperlink>
        </w:p>
        <w:p w14:paraId="0D86B2C7" w14:textId="5DF3D8CB" w:rsidR="000C5F6D" w:rsidRDefault="00724180">
          <w:pPr>
            <w:pStyle w:val="TOC1"/>
            <w:rPr>
              <w:rFonts w:eastAsiaTheme="minorEastAsia" w:cstheme="minorBidi"/>
              <w:b w:val="0"/>
              <w:caps w:val="0"/>
              <w:noProof/>
              <w:color w:val="auto"/>
              <w:kern w:val="2"/>
              <w:sz w:val="22"/>
              <w:szCs w:val="22"/>
              <w14:ligatures w14:val="standardContextual"/>
            </w:rPr>
          </w:pPr>
          <w:hyperlink w:anchor="_Toc164783021" w:history="1">
            <w:r w:rsidR="000C5F6D" w:rsidRPr="00FE5108">
              <w:rPr>
                <w:rStyle w:val="Hyperlink"/>
                <w:noProof/>
              </w:rPr>
              <w:t>Executive Summary</w:t>
            </w:r>
            <w:r w:rsidR="000C5F6D">
              <w:rPr>
                <w:noProof/>
                <w:webHidden/>
              </w:rPr>
              <w:tab/>
            </w:r>
            <w:r w:rsidR="000C5F6D">
              <w:rPr>
                <w:noProof/>
                <w:webHidden/>
              </w:rPr>
              <w:fldChar w:fldCharType="begin"/>
            </w:r>
            <w:r w:rsidR="000C5F6D">
              <w:rPr>
                <w:noProof/>
                <w:webHidden/>
              </w:rPr>
              <w:instrText xml:space="preserve"> PAGEREF _Toc164783021 \h </w:instrText>
            </w:r>
            <w:r w:rsidR="000C5F6D">
              <w:rPr>
                <w:noProof/>
                <w:webHidden/>
              </w:rPr>
            </w:r>
            <w:r w:rsidR="000C5F6D">
              <w:rPr>
                <w:noProof/>
                <w:webHidden/>
              </w:rPr>
              <w:fldChar w:fldCharType="separate"/>
            </w:r>
            <w:r w:rsidR="000C5F6D">
              <w:rPr>
                <w:noProof/>
                <w:webHidden/>
              </w:rPr>
              <w:t>8</w:t>
            </w:r>
            <w:r w:rsidR="000C5F6D">
              <w:rPr>
                <w:noProof/>
                <w:webHidden/>
              </w:rPr>
              <w:fldChar w:fldCharType="end"/>
            </w:r>
          </w:hyperlink>
        </w:p>
        <w:p w14:paraId="0385431B" w14:textId="5DC042B8" w:rsidR="000C5F6D" w:rsidRDefault="00724180">
          <w:pPr>
            <w:pStyle w:val="TOC2"/>
            <w:rPr>
              <w:rFonts w:eastAsiaTheme="minorEastAsia" w:cstheme="minorBidi"/>
              <w:noProof/>
              <w:color w:val="auto"/>
              <w:kern w:val="2"/>
              <w:sz w:val="22"/>
              <w:szCs w:val="22"/>
              <w14:ligatures w14:val="standardContextual"/>
            </w:rPr>
          </w:pPr>
          <w:hyperlink w:anchor="_Toc164783022" w:history="1">
            <w:r w:rsidR="000C5F6D" w:rsidRPr="00FE5108">
              <w:rPr>
                <w:rStyle w:val="Hyperlink"/>
                <w:noProof/>
              </w:rPr>
              <w:t>Introduction</w:t>
            </w:r>
            <w:r w:rsidR="000C5F6D">
              <w:rPr>
                <w:noProof/>
                <w:webHidden/>
              </w:rPr>
              <w:tab/>
            </w:r>
            <w:r w:rsidR="000C5F6D">
              <w:rPr>
                <w:noProof/>
                <w:webHidden/>
              </w:rPr>
              <w:fldChar w:fldCharType="begin"/>
            </w:r>
            <w:r w:rsidR="000C5F6D">
              <w:rPr>
                <w:noProof/>
                <w:webHidden/>
              </w:rPr>
              <w:instrText xml:space="preserve"> PAGEREF _Toc164783022 \h </w:instrText>
            </w:r>
            <w:r w:rsidR="000C5F6D">
              <w:rPr>
                <w:noProof/>
                <w:webHidden/>
              </w:rPr>
            </w:r>
            <w:r w:rsidR="000C5F6D">
              <w:rPr>
                <w:noProof/>
                <w:webHidden/>
              </w:rPr>
              <w:fldChar w:fldCharType="separate"/>
            </w:r>
            <w:r w:rsidR="000C5F6D">
              <w:rPr>
                <w:noProof/>
                <w:webHidden/>
              </w:rPr>
              <w:t>8</w:t>
            </w:r>
            <w:r w:rsidR="000C5F6D">
              <w:rPr>
                <w:noProof/>
                <w:webHidden/>
              </w:rPr>
              <w:fldChar w:fldCharType="end"/>
            </w:r>
          </w:hyperlink>
        </w:p>
        <w:p w14:paraId="2A6C08E0" w14:textId="42E1F2FD" w:rsidR="000C5F6D" w:rsidRDefault="00724180">
          <w:pPr>
            <w:pStyle w:val="TOC2"/>
            <w:rPr>
              <w:rFonts w:eastAsiaTheme="minorEastAsia" w:cstheme="minorBidi"/>
              <w:noProof/>
              <w:color w:val="auto"/>
              <w:kern w:val="2"/>
              <w:sz w:val="22"/>
              <w:szCs w:val="22"/>
              <w14:ligatures w14:val="standardContextual"/>
            </w:rPr>
          </w:pPr>
          <w:hyperlink w:anchor="_Toc164783023" w:history="1">
            <w:r w:rsidR="000C5F6D" w:rsidRPr="00FE5108">
              <w:rPr>
                <w:rStyle w:val="Hyperlink"/>
                <w:noProof/>
              </w:rPr>
              <w:t>Methodology</w:t>
            </w:r>
            <w:r w:rsidR="000C5F6D">
              <w:rPr>
                <w:noProof/>
                <w:webHidden/>
              </w:rPr>
              <w:tab/>
            </w:r>
            <w:r w:rsidR="000C5F6D">
              <w:rPr>
                <w:noProof/>
                <w:webHidden/>
              </w:rPr>
              <w:fldChar w:fldCharType="begin"/>
            </w:r>
            <w:r w:rsidR="000C5F6D">
              <w:rPr>
                <w:noProof/>
                <w:webHidden/>
              </w:rPr>
              <w:instrText xml:space="preserve"> PAGEREF _Toc164783023 \h </w:instrText>
            </w:r>
            <w:r w:rsidR="000C5F6D">
              <w:rPr>
                <w:noProof/>
                <w:webHidden/>
              </w:rPr>
            </w:r>
            <w:r w:rsidR="000C5F6D">
              <w:rPr>
                <w:noProof/>
                <w:webHidden/>
              </w:rPr>
              <w:fldChar w:fldCharType="separate"/>
            </w:r>
            <w:r w:rsidR="000C5F6D">
              <w:rPr>
                <w:noProof/>
                <w:webHidden/>
              </w:rPr>
              <w:t>9</w:t>
            </w:r>
            <w:r w:rsidR="000C5F6D">
              <w:rPr>
                <w:noProof/>
                <w:webHidden/>
              </w:rPr>
              <w:fldChar w:fldCharType="end"/>
            </w:r>
          </w:hyperlink>
        </w:p>
        <w:p w14:paraId="0D9D3758" w14:textId="7D97EE19" w:rsidR="000C5F6D" w:rsidRDefault="00724180">
          <w:pPr>
            <w:pStyle w:val="TOC2"/>
            <w:rPr>
              <w:rFonts w:eastAsiaTheme="minorEastAsia" w:cstheme="minorBidi"/>
              <w:noProof/>
              <w:color w:val="auto"/>
              <w:kern w:val="2"/>
              <w:sz w:val="22"/>
              <w:szCs w:val="22"/>
              <w14:ligatures w14:val="standardContextual"/>
            </w:rPr>
          </w:pPr>
          <w:hyperlink w:anchor="_Toc164783024" w:history="1">
            <w:r w:rsidR="000C5F6D" w:rsidRPr="00FE5108">
              <w:rPr>
                <w:rStyle w:val="Hyperlink"/>
                <w:noProof/>
              </w:rPr>
              <w:t>Key findings (Strategic level)</w:t>
            </w:r>
            <w:r w:rsidR="000C5F6D">
              <w:rPr>
                <w:noProof/>
                <w:webHidden/>
              </w:rPr>
              <w:tab/>
            </w:r>
            <w:r w:rsidR="000C5F6D">
              <w:rPr>
                <w:noProof/>
                <w:webHidden/>
              </w:rPr>
              <w:fldChar w:fldCharType="begin"/>
            </w:r>
            <w:r w:rsidR="000C5F6D">
              <w:rPr>
                <w:noProof/>
                <w:webHidden/>
              </w:rPr>
              <w:instrText xml:space="preserve"> PAGEREF _Toc164783024 \h </w:instrText>
            </w:r>
            <w:r w:rsidR="000C5F6D">
              <w:rPr>
                <w:noProof/>
                <w:webHidden/>
              </w:rPr>
            </w:r>
            <w:r w:rsidR="000C5F6D">
              <w:rPr>
                <w:noProof/>
                <w:webHidden/>
              </w:rPr>
              <w:fldChar w:fldCharType="separate"/>
            </w:r>
            <w:r w:rsidR="000C5F6D">
              <w:rPr>
                <w:noProof/>
                <w:webHidden/>
              </w:rPr>
              <w:t>10</w:t>
            </w:r>
            <w:r w:rsidR="000C5F6D">
              <w:rPr>
                <w:noProof/>
                <w:webHidden/>
              </w:rPr>
              <w:fldChar w:fldCharType="end"/>
            </w:r>
          </w:hyperlink>
        </w:p>
        <w:p w14:paraId="6360E6C2" w14:textId="389C6639" w:rsidR="000C5F6D" w:rsidRDefault="00724180">
          <w:pPr>
            <w:pStyle w:val="TOC3"/>
            <w:rPr>
              <w:rFonts w:eastAsiaTheme="minorEastAsia" w:cstheme="minorBidi"/>
              <w:noProof/>
              <w:color w:val="auto"/>
              <w:kern w:val="2"/>
              <w:sz w:val="22"/>
              <w:szCs w:val="22"/>
              <w14:ligatures w14:val="standardContextual"/>
            </w:rPr>
          </w:pPr>
          <w:hyperlink w:anchor="_Toc164783025" w:history="1">
            <w:r w:rsidR="000C5F6D" w:rsidRPr="00FE5108">
              <w:rPr>
                <w:rStyle w:val="Hyperlink"/>
                <w:noProof/>
                <w:color w:val="000000" w:themeColor="hyperlink" w:themeShade="BF"/>
              </w:rPr>
              <w:t>Relevance</w:t>
            </w:r>
            <w:r w:rsidR="000C5F6D">
              <w:rPr>
                <w:noProof/>
                <w:webHidden/>
              </w:rPr>
              <w:tab/>
            </w:r>
            <w:r w:rsidR="000C5F6D">
              <w:rPr>
                <w:noProof/>
                <w:webHidden/>
              </w:rPr>
              <w:fldChar w:fldCharType="begin"/>
            </w:r>
            <w:r w:rsidR="000C5F6D">
              <w:rPr>
                <w:noProof/>
                <w:webHidden/>
              </w:rPr>
              <w:instrText xml:space="preserve"> PAGEREF _Toc164783025 \h </w:instrText>
            </w:r>
            <w:r w:rsidR="000C5F6D">
              <w:rPr>
                <w:noProof/>
                <w:webHidden/>
              </w:rPr>
            </w:r>
            <w:r w:rsidR="000C5F6D">
              <w:rPr>
                <w:noProof/>
                <w:webHidden/>
              </w:rPr>
              <w:fldChar w:fldCharType="separate"/>
            </w:r>
            <w:r w:rsidR="000C5F6D">
              <w:rPr>
                <w:noProof/>
                <w:webHidden/>
              </w:rPr>
              <w:t>10</w:t>
            </w:r>
            <w:r w:rsidR="000C5F6D">
              <w:rPr>
                <w:noProof/>
                <w:webHidden/>
              </w:rPr>
              <w:fldChar w:fldCharType="end"/>
            </w:r>
          </w:hyperlink>
        </w:p>
        <w:p w14:paraId="17819EBC" w14:textId="09E7A345" w:rsidR="000C5F6D" w:rsidRDefault="00724180">
          <w:pPr>
            <w:pStyle w:val="TOC3"/>
            <w:rPr>
              <w:rFonts w:eastAsiaTheme="minorEastAsia" w:cstheme="minorBidi"/>
              <w:noProof/>
              <w:color w:val="auto"/>
              <w:kern w:val="2"/>
              <w:sz w:val="22"/>
              <w:szCs w:val="22"/>
              <w14:ligatures w14:val="standardContextual"/>
            </w:rPr>
          </w:pPr>
          <w:hyperlink w:anchor="_Toc164783026" w:history="1">
            <w:r w:rsidR="000C5F6D" w:rsidRPr="00FE5108">
              <w:rPr>
                <w:rStyle w:val="Hyperlink"/>
                <w:noProof/>
                <w:color w:val="000000" w:themeColor="hyperlink" w:themeShade="BF"/>
              </w:rPr>
              <w:t>Coherence</w:t>
            </w:r>
            <w:r w:rsidR="000C5F6D">
              <w:rPr>
                <w:noProof/>
                <w:webHidden/>
              </w:rPr>
              <w:tab/>
            </w:r>
            <w:r w:rsidR="000C5F6D">
              <w:rPr>
                <w:noProof/>
                <w:webHidden/>
              </w:rPr>
              <w:fldChar w:fldCharType="begin"/>
            </w:r>
            <w:r w:rsidR="000C5F6D">
              <w:rPr>
                <w:noProof/>
                <w:webHidden/>
              </w:rPr>
              <w:instrText xml:space="preserve"> PAGEREF _Toc164783026 \h </w:instrText>
            </w:r>
            <w:r w:rsidR="000C5F6D">
              <w:rPr>
                <w:noProof/>
                <w:webHidden/>
              </w:rPr>
            </w:r>
            <w:r w:rsidR="000C5F6D">
              <w:rPr>
                <w:noProof/>
                <w:webHidden/>
              </w:rPr>
              <w:fldChar w:fldCharType="separate"/>
            </w:r>
            <w:r w:rsidR="000C5F6D">
              <w:rPr>
                <w:noProof/>
                <w:webHidden/>
              </w:rPr>
              <w:t>11</w:t>
            </w:r>
            <w:r w:rsidR="000C5F6D">
              <w:rPr>
                <w:noProof/>
                <w:webHidden/>
              </w:rPr>
              <w:fldChar w:fldCharType="end"/>
            </w:r>
          </w:hyperlink>
        </w:p>
        <w:p w14:paraId="62B3483E" w14:textId="16E6794F" w:rsidR="000C5F6D" w:rsidRDefault="00724180">
          <w:pPr>
            <w:pStyle w:val="TOC3"/>
            <w:rPr>
              <w:rFonts w:eastAsiaTheme="minorEastAsia" w:cstheme="minorBidi"/>
              <w:noProof/>
              <w:color w:val="auto"/>
              <w:kern w:val="2"/>
              <w:sz w:val="22"/>
              <w:szCs w:val="22"/>
              <w14:ligatures w14:val="standardContextual"/>
            </w:rPr>
          </w:pPr>
          <w:hyperlink w:anchor="_Toc164783027" w:history="1">
            <w:r w:rsidR="000C5F6D" w:rsidRPr="00FE5108">
              <w:rPr>
                <w:rStyle w:val="Hyperlink"/>
                <w:noProof/>
                <w:color w:val="000000" w:themeColor="hyperlink" w:themeShade="BF"/>
              </w:rPr>
              <w:t>Effectiveness</w:t>
            </w:r>
            <w:r w:rsidR="000C5F6D">
              <w:rPr>
                <w:noProof/>
                <w:webHidden/>
              </w:rPr>
              <w:tab/>
            </w:r>
            <w:r w:rsidR="000C5F6D">
              <w:rPr>
                <w:noProof/>
                <w:webHidden/>
              </w:rPr>
              <w:fldChar w:fldCharType="begin"/>
            </w:r>
            <w:r w:rsidR="000C5F6D">
              <w:rPr>
                <w:noProof/>
                <w:webHidden/>
              </w:rPr>
              <w:instrText xml:space="preserve"> PAGEREF _Toc164783027 \h </w:instrText>
            </w:r>
            <w:r w:rsidR="000C5F6D">
              <w:rPr>
                <w:noProof/>
                <w:webHidden/>
              </w:rPr>
            </w:r>
            <w:r w:rsidR="000C5F6D">
              <w:rPr>
                <w:noProof/>
                <w:webHidden/>
              </w:rPr>
              <w:fldChar w:fldCharType="separate"/>
            </w:r>
            <w:r w:rsidR="000C5F6D">
              <w:rPr>
                <w:noProof/>
                <w:webHidden/>
              </w:rPr>
              <w:t>11</w:t>
            </w:r>
            <w:r w:rsidR="000C5F6D">
              <w:rPr>
                <w:noProof/>
                <w:webHidden/>
              </w:rPr>
              <w:fldChar w:fldCharType="end"/>
            </w:r>
          </w:hyperlink>
        </w:p>
        <w:p w14:paraId="12E76A56" w14:textId="24037FA5" w:rsidR="000C5F6D" w:rsidRDefault="00724180">
          <w:pPr>
            <w:pStyle w:val="TOC3"/>
            <w:rPr>
              <w:rFonts w:eastAsiaTheme="minorEastAsia" w:cstheme="minorBidi"/>
              <w:noProof/>
              <w:color w:val="auto"/>
              <w:kern w:val="2"/>
              <w:sz w:val="22"/>
              <w:szCs w:val="22"/>
              <w14:ligatures w14:val="standardContextual"/>
            </w:rPr>
          </w:pPr>
          <w:hyperlink w:anchor="_Toc164783028" w:history="1">
            <w:r w:rsidR="000C5F6D" w:rsidRPr="00FE5108">
              <w:rPr>
                <w:rStyle w:val="Hyperlink"/>
                <w:noProof/>
                <w:color w:val="000000" w:themeColor="hyperlink" w:themeShade="BF"/>
              </w:rPr>
              <w:t>Efficiency</w:t>
            </w:r>
            <w:r w:rsidR="000C5F6D">
              <w:rPr>
                <w:noProof/>
                <w:webHidden/>
              </w:rPr>
              <w:tab/>
            </w:r>
            <w:r w:rsidR="000C5F6D">
              <w:rPr>
                <w:noProof/>
                <w:webHidden/>
              </w:rPr>
              <w:fldChar w:fldCharType="begin"/>
            </w:r>
            <w:r w:rsidR="000C5F6D">
              <w:rPr>
                <w:noProof/>
                <w:webHidden/>
              </w:rPr>
              <w:instrText xml:space="preserve"> PAGEREF _Toc164783028 \h </w:instrText>
            </w:r>
            <w:r w:rsidR="000C5F6D">
              <w:rPr>
                <w:noProof/>
                <w:webHidden/>
              </w:rPr>
            </w:r>
            <w:r w:rsidR="000C5F6D">
              <w:rPr>
                <w:noProof/>
                <w:webHidden/>
              </w:rPr>
              <w:fldChar w:fldCharType="separate"/>
            </w:r>
            <w:r w:rsidR="000C5F6D">
              <w:rPr>
                <w:noProof/>
                <w:webHidden/>
              </w:rPr>
              <w:t>12</w:t>
            </w:r>
            <w:r w:rsidR="000C5F6D">
              <w:rPr>
                <w:noProof/>
                <w:webHidden/>
              </w:rPr>
              <w:fldChar w:fldCharType="end"/>
            </w:r>
          </w:hyperlink>
        </w:p>
        <w:p w14:paraId="52E729BA" w14:textId="72DBE03A" w:rsidR="000C5F6D" w:rsidRDefault="00724180">
          <w:pPr>
            <w:pStyle w:val="TOC3"/>
            <w:rPr>
              <w:rFonts w:eastAsiaTheme="minorEastAsia" w:cstheme="minorBidi"/>
              <w:noProof/>
              <w:color w:val="auto"/>
              <w:kern w:val="2"/>
              <w:sz w:val="22"/>
              <w:szCs w:val="22"/>
              <w14:ligatures w14:val="standardContextual"/>
            </w:rPr>
          </w:pPr>
          <w:hyperlink w:anchor="_Toc164783029" w:history="1">
            <w:r w:rsidR="000C5F6D" w:rsidRPr="00FE5108">
              <w:rPr>
                <w:rStyle w:val="Hyperlink"/>
                <w:noProof/>
                <w:color w:val="000000" w:themeColor="hyperlink" w:themeShade="BF"/>
              </w:rPr>
              <w:t>Impact</w:t>
            </w:r>
            <w:r w:rsidR="000C5F6D">
              <w:rPr>
                <w:noProof/>
                <w:webHidden/>
              </w:rPr>
              <w:tab/>
            </w:r>
            <w:r w:rsidR="000C5F6D">
              <w:rPr>
                <w:noProof/>
                <w:webHidden/>
              </w:rPr>
              <w:fldChar w:fldCharType="begin"/>
            </w:r>
            <w:r w:rsidR="000C5F6D">
              <w:rPr>
                <w:noProof/>
                <w:webHidden/>
              </w:rPr>
              <w:instrText xml:space="preserve"> PAGEREF _Toc164783029 \h </w:instrText>
            </w:r>
            <w:r w:rsidR="000C5F6D">
              <w:rPr>
                <w:noProof/>
                <w:webHidden/>
              </w:rPr>
            </w:r>
            <w:r w:rsidR="000C5F6D">
              <w:rPr>
                <w:noProof/>
                <w:webHidden/>
              </w:rPr>
              <w:fldChar w:fldCharType="separate"/>
            </w:r>
            <w:r w:rsidR="000C5F6D">
              <w:rPr>
                <w:noProof/>
                <w:webHidden/>
              </w:rPr>
              <w:t>12</w:t>
            </w:r>
            <w:r w:rsidR="000C5F6D">
              <w:rPr>
                <w:noProof/>
                <w:webHidden/>
              </w:rPr>
              <w:fldChar w:fldCharType="end"/>
            </w:r>
          </w:hyperlink>
        </w:p>
        <w:p w14:paraId="09389F2A" w14:textId="6E065950" w:rsidR="000C5F6D" w:rsidRDefault="00724180">
          <w:pPr>
            <w:pStyle w:val="TOC3"/>
            <w:rPr>
              <w:rFonts w:eastAsiaTheme="minorEastAsia" w:cstheme="minorBidi"/>
              <w:noProof/>
              <w:color w:val="auto"/>
              <w:kern w:val="2"/>
              <w:sz w:val="22"/>
              <w:szCs w:val="22"/>
              <w14:ligatures w14:val="standardContextual"/>
            </w:rPr>
          </w:pPr>
          <w:hyperlink w:anchor="_Toc164783030" w:history="1">
            <w:r w:rsidR="000C5F6D" w:rsidRPr="00FE5108">
              <w:rPr>
                <w:rStyle w:val="Hyperlink"/>
                <w:noProof/>
                <w:color w:val="000000" w:themeColor="hyperlink" w:themeShade="BF"/>
              </w:rPr>
              <w:t>Sustainability</w:t>
            </w:r>
            <w:r w:rsidR="000C5F6D">
              <w:rPr>
                <w:noProof/>
                <w:webHidden/>
              </w:rPr>
              <w:tab/>
            </w:r>
            <w:r w:rsidR="000C5F6D">
              <w:rPr>
                <w:noProof/>
                <w:webHidden/>
              </w:rPr>
              <w:fldChar w:fldCharType="begin"/>
            </w:r>
            <w:r w:rsidR="000C5F6D">
              <w:rPr>
                <w:noProof/>
                <w:webHidden/>
              </w:rPr>
              <w:instrText xml:space="preserve"> PAGEREF _Toc164783030 \h </w:instrText>
            </w:r>
            <w:r w:rsidR="000C5F6D">
              <w:rPr>
                <w:noProof/>
                <w:webHidden/>
              </w:rPr>
            </w:r>
            <w:r w:rsidR="000C5F6D">
              <w:rPr>
                <w:noProof/>
                <w:webHidden/>
              </w:rPr>
              <w:fldChar w:fldCharType="separate"/>
            </w:r>
            <w:r w:rsidR="000C5F6D">
              <w:rPr>
                <w:noProof/>
                <w:webHidden/>
              </w:rPr>
              <w:t>13</w:t>
            </w:r>
            <w:r w:rsidR="000C5F6D">
              <w:rPr>
                <w:noProof/>
                <w:webHidden/>
              </w:rPr>
              <w:fldChar w:fldCharType="end"/>
            </w:r>
          </w:hyperlink>
        </w:p>
        <w:p w14:paraId="5C3EB286" w14:textId="0D9393B5" w:rsidR="000C5F6D" w:rsidRDefault="00724180">
          <w:pPr>
            <w:pStyle w:val="TOC2"/>
            <w:rPr>
              <w:rFonts w:eastAsiaTheme="minorEastAsia" w:cstheme="minorBidi"/>
              <w:noProof/>
              <w:color w:val="auto"/>
              <w:kern w:val="2"/>
              <w:sz w:val="22"/>
              <w:szCs w:val="22"/>
              <w14:ligatures w14:val="standardContextual"/>
            </w:rPr>
          </w:pPr>
          <w:hyperlink w:anchor="_Toc164783031" w:history="1">
            <w:r w:rsidR="000C5F6D" w:rsidRPr="00FE5108">
              <w:rPr>
                <w:rStyle w:val="Hyperlink"/>
                <w:noProof/>
              </w:rPr>
              <w:t>Key findings (Investment level)</w:t>
            </w:r>
            <w:r w:rsidR="000C5F6D">
              <w:rPr>
                <w:noProof/>
                <w:webHidden/>
              </w:rPr>
              <w:tab/>
            </w:r>
            <w:r w:rsidR="000C5F6D">
              <w:rPr>
                <w:noProof/>
                <w:webHidden/>
              </w:rPr>
              <w:fldChar w:fldCharType="begin"/>
            </w:r>
            <w:r w:rsidR="000C5F6D">
              <w:rPr>
                <w:noProof/>
                <w:webHidden/>
              </w:rPr>
              <w:instrText xml:space="preserve"> PAGEREF _Toc164783031 \h </w:instrText>
            </w:r>
            <w:r w:rsidR="000C5F6D">
              <w:rPr>
                <w:noProof/>
                <w:webHidden/>
              </w:rPr>
            </w:r>
            <w:r w:rsidR="000C5F6D">
              <w:rPr>
                <w:noProof/>
                <w:webHidden/>
              </w:rPr>
              <w:fldChar w:fldCharType="separate"/>
            </w:r>
            <w:r w:rsidR="000C5F6D">
              <w:rPr>
                <w:noProof/>
                <w:webHidden/>
              </w:rPr>
              <w:t>13</w:t>
            </w:r>
            <w:r w:rsidR="000C5F6D">
              <w:rPr>
                <w:noProof/>
                <w:webHidden/>
              </w:rPr>
              <w:fldChar w:fldCharType="end"/>
            </w:r>
          </w:hyperlink>
        </w:p>
        <w:p w14:paraId="6C539538" w14:textId="2A3E006B" w:rsidR="000C5F6D" w:rsidRDefault="00724180">
          <w:pPr>
            <w:pStyle w:val="TOC3"/>
            <w:rPr>
              <w:rFonts w:eastAsiaTheme="minorEastAsia" w:cstheme="minorBidi"/>
              <w:noProof/>
              <w:color w:val="auto"/>
              <w:kern w:val="2"/>
              <w:sz w:val="22"/>
              <w:szCs w:val="22"/>
              <w14:ligatures w14:val="standardContextual"/>
            </w:rPr>
          </w:pPr>
          <w:hyperlink w:anchor="_Toc164783032" w:history="1">
            <w:r w:rsidR="000C5F6D" w:rsidRPr="00FE5108">
              <w:rPr>
                <w:rStyle w:val="Hyperlink"/>
                <w:noProof/>
                <w:color w:val="000000" w:themeColor="hyperlink" w:themeShade="BF"/>
              </w:rPr>
              <w:t>Climate Resilient by Nature</w:t>
            </w:r>
            <w:r w:rsidR="000C5F6D">
              <w:rPr>
                <w:noProof/>
                <w:webHidden/>
              </w:rPr>
              <w:tab/>
            </w:r>
            <w:r w:rsidR="000C5F6D">
              <w:rPr>
                <w:noProof/>
                <w:webHidden/>
              </w:rPr>
              <w:fldChar w:fldCharType="begin"/>
            </w:r>
            <w:r w:rsidR="000C5F6D">
              <w:rPr>
                <w:noProof/>
                <w:webHidden/>
              </w:rPr>
              <w:instrText xml:space="preserve"> PAGEREF _Toc164783032 \h </w:instrText>
            </w:r>
            <w:r w:rsidR="000C5F6D">
              <w:rPr>
                <w:noProof/>
                <w:webHidden/>
              </w:rPr>
            </w:r>
            <w:r w:rsidR="000C5F6D">
              <w:rPr>
                <w:noProof/>
                <w:webHidden/>
              </w:rPr>
              <w:fldChar w:fldCharType="separate"/>
            </w:r>
            <w:r w:rsidR="000C5F6D">
              <w:rPr>
                <w:noProof/>
                <w:webHidden/>
              </w:rPr>
              <w:t>13</w:t>
            </w:r>
            <w:r w:rsidR="000C5F6D">
              <w:rPr>
                <w:noProof/>
                <w:webHidden/>
              </w:rPr>
              <w:fldChar w:fldCharType="end"/>
            </w:r>
          </w:hyperlink>
        </w:p>
        <w:p w14:paraId="5D907DAD" w14:textId="5680ABD0" w:rsidR="000C5F6D" w:rsidRDefault="00724180">
          <w:pPr>
            <w:pStyle w:val="TOC3"/>
            <w:rPr>
              <w:rFonts w:eastAsiaTheme="minorEastAsia" w:cstheme="minorBidi"/>
              <w:noProof/>
              <w:color w:val="auto"/>
              <w:kern w:val="2"/>
              <w:sz w:val="22"/>
              <w:szCs w:val="22"/>
              <w14:ligatures w14:val="standardContextual"/>
            </w:rPr>
          </w:pPr>
          <w:hyperlink w:anchor="_Toc164783033" w:history="1">
            <w:r w:rsidR="000C5F6D" w:rsidRPr="00FE5108">
              <w:rPr>
                <w:rStyle w:val="Hyperlink"/>
                <w:noProof/>
                <w:color w:val="000000" w:themeColor="hyperlink" w:themeShade="BF"/>
              </w:rPr>
              <w:t>Pacific Blue Carbon Program</w:t>
            </w:r>
            <w:r w:rsidR="000C5F6D">
              <w:rPr>
                <w:noProof/>
                <w:webHidden/>
              </w:rPr>
              <w:tab/>
            </w:r>
            <w:r w:rsidR="000C5F6D">
              <w:rPr>
                <w:noProof/>
                <w:webHidden/>
              </w:rPr>
              <w:fldChar w:fldCharType="begin"/>
            </w:r>
            <w:r w:rsidR="000C5F6D">
              <w:rPr>
                <w:noProof/>
                <w:webHidden/>
              </w:rPr>
              <w:instrText xml:space="preserve"> PAGEREF _Toc164783033 \h </w:instrText>
            </w:r>
            <w:r w:rsidR="000C5F6D">
              <w:rPr>
                <w:noProof/>
                <w:webHidden/>
              </w:rPr>
            </w:r>
            <w:r w:rsidR="000C5F6D">
              <w:rPr>
                <w:noProof/>
                <w:webHidden/>
              </w:rPr>
              <w:fldChar w:fldCharType="separate"/>
            </w:r>
            <w:r w:rsidR="000C5F6D">
              <w:rPr>
                <w:noProof/>
                <w:webHidden/>
              </w:rPr>
              <w:t>14</w:t>
            </w:r>
            <w:r w:rsidR="000C5F6D">
              <w:rPr>
                <w:noProof/>
                <w:webHidden/>
              </w:rPr>
              <w:fldChar w:fldCharType="end"/>
            </w:r>
          </w:hyperlink>
        </w:p>
        <w:p w14:paraId="0B324B44" w14:textId="51705FEF" w:rsidR="000C5F6D" w:rsidRDefault="00724180">
          <w:pPr>
            <w:pStyle w:val="TOC3"/>
            <w:rPr>
              <w:rFonts w:eastAsiaTheme="minorEastAsia" w:cstheme="minorBidi"/>
              <w:noProof/>
              <w:color w:val="auto"/>
              <w:kern w:val="2"/>
              <w:sz w:val="22"/>
              <w:szCs w:val="22"/>
              <w14:ligatures w14:val="standardContextual"/>
            </w:rPr>
          </w:pPr>
          <w:hyperlink w:anchor="_Toc164783034" w:history="1">
            <w:r w:rsidR="000C5F6D" w:rsidRPr="00FE5108">
              <w:rPr>
                <w:rStyle w:val="Hyperlink"/>
                <w:noProof/>
                <w:color w:val="000000" w:themeColor="hyperlink" w:themeShade="BF"/>
              </w:rPr>
              <w:t>The Coral Reef Innovation Project</w:t>
            </w:r>
            <w:r w:rsidR="000C5F6D">
              <w:rPr>
                <w:noProof/>
                <w:webHidden/>
              </w:rPr>
              <w:tab/>
            </w:r>
            <w:r w:rsidR="000C5F6D">
              <w:rPr>
                <w:noProof/>
                <w:webHidden/>
              </w:rPr>
              <w:fldChar w:fldCharType="begin"/>
            </w:r>
            <w:r w:rsidR="000C5F6D">
              <w:rPr>
                <w:noProof/>
                <w:webHidden/>
              </w:rPr>
              <w:instrText xml:space="preserve"> PAGEREF _Toc164783034 \h </w:instrText>
            </w:r>
            <w:r w:rsidR="000C5F6D">
              <w:rPr>
                <w:noProof/>
                <w:webHidden/>
              </w:rPr>
            </w:r>
            <w:r w:rsidR="000C5F6D">
              <w:rPr>
                <w:noProof/>
                <w:webHidden/>
              </w:rPr>
              <w:fldChar w:fldCharType="separate"/>
            </w:r>
            <w:r w:rsidR="000C5F6D">
              <w:rPr>
                <w:noProof/>
                <w:webHidden/>
              </w:rPr>
              <w:t>15</w:t>
            </w:r>
            <w:r w:rsidR="000C5F6D">
              <w:rPr>
                <w:noProof/>
                <w:webHidden/>
              </w:rPr>
              <w:fldChar w:fldCharType="end"/>
            </w:r>
          </w:hyperlink>
        </w:p>
        <w:p w14:paraId="237E1505" w14:textId="73E29874" w:rsidR="000C5F6D" w:rsidRDefault="00724180">
          <w:pPr>
            <w:pStyle w:val="TOC2"/>
            <w:rPr>
              <w:rFonts w:eastAsiaTheme="minorEastAsia" w:cstheme="minorBidi"/>
              <w:noProof/>
              <w:color w:val="auto"/>
              <w:kern w:val="2"/>
              <w:sz w:val="22"/>
              <w:szCs w:val="22"/>
              <w14:ligatures w14:val="standardContextual"/>
            </w:rPr>
          </w:pPr>
          <w:hyperlink w:anchor="_Toc164783035" w:history="1">
            <w:r w:rsidR="000C5F6D" w:rsidRPr="00FE5108">
              <w:rPr>
                <w:rStyle w:val="Hyperlink"/>
                <w:noProof/>
              </w:rPr>
              <w:t>Recommendations (Strategic level)</w:t>
            </w:r>
            <w:r w:rsidR="000C5F6D">
              <w:rPr>
                <w:noProof/>
                <w:webHidden/>
              </w:rPr>
              <w:tab/>
            </w:r>
            <w:r w:rsidR="000C5F6D">
              <w:rPr>
                <w:noProof/>
                <w:webHidden/>
              </w:rPr>
              <w:fldChar w:fldCharType="begin"/>
            </w:r>
            <w:r w:rsidR="000C5F6D">
              <w:rPr>
                <w:noProof/>
                <w:webHidden/>
              </w:rPr>
              <w:instrText xml:space="preserve"> PAGEREF _Toc164783035 \h </w:instrText>
            </w:r>
            <w:r w:rsidR="000C5F6D">
              <w:rPr>
                <w:noProof/>
                <w:webHidden/>
              </w:rPr>
            </w:r>
            <w:r w:rsidR="000C5F6D">
              <w:rPr>
                <w:noProof/>
                <w:webHidden/>
              </w:rPr>
              <w:fldChar w:fldCharType="separate"/>
            </w:r>
            <w:r w:rsidR="000C5F6D">
              <w:rPr>
                <w:noProof/>
                <w:webHidden/>
              </w:rPr>
              <w:t>15</w:t>
            </w:r>
            <w:r w:rsidR="000C5F6D">
              <w:rPr>
                <w:noProof/>
                <w:webHidden/>
              </w:rPr>
              <w:fldChar w:fldCharType="end"/>
            </w:r>
          </w:hyperlink>
        </w:p>
        <w:p w14:paraId="36F925D4" w14:textId="52D51186" w:rsidR="000C5F6D" w:rsidRDefault="00724180">
          <w:pPr>
            <w:pStyle w:val="TOC2"/>
            <w:rPr>
              <w:rFonts w:eastAsiaTheme="minorEastAsia" w:cstheme="minorBidi"/>
              <w:noProof/>
              <w:color w:val="auto"/>
              <w:kern w:val="2"/>
              <w:sz w:val="22"/>
              <w:szCs w:val="22"/>
              <w14:ligatures w14:val="standardContextual"/>
            </w:rPr>
          </w:pPr>
          <w:hyperlink w:anchor="_Toc164783036" w:history="1">
            <w:r w:rsidR="000C5F6D" w:rsidRPr="00FE5108">
              <w:rPr>
                <w:rStyle w:val="Hyperlink"/>
                <w:noProof/>
              </w:rPr>
              <w:t>Recommendations (Investment level)</w:t>
            </w:r>
            <w:r w:rsidR="000C5F6D">
              <w:rPr>
                <w:noProof/>
                <w:webHidden/>
              </w:rPr>
              <w:tab/>
            </w:r>
            <w:r w:rsidR="000C5F6D">
              <w:rPr>
                <w:noProof/>
                <w:webHidden/>
              </w:rPr>
              <w:fldChar w:fldCharType="begin"/>
            </w:r>
            <w:r w:rsidR="000C5F6D">
              <w:rPr>
                <w:noProof/>
                <w:webHidden/>
              </w:rPr>
              <w:instrText xml:space="preserve"> PAGEREF _Toc164783036 \h </w:instrText>
            </w:r>
            <w:r w:rsidR="000C5F6D">
              <w:rPr>
                <w:noProof/>
                <w:webHidden/>
              </w:rPr>
            </w:r>
            <w:r w:rsidR="000C5F6D">
              <w:rPr>
                <w:noProof/>
                <w:webHidden/>
              </w:rPr>
              <w:fldChar w:fldCharType="separate"/>
            </w:r>
            <w:r w:rsidR="000C5F6D">
              <w:rPr>
                <w:noProof/>
                <w:webHidden/>
              </w:rPr>
              <w:t>16</w:t>
            </w:r>
            <w:r w:rsidR="000C5F6D">
              <w:rPr>
                <w:noProof/>
                <w:webHidden/>
              </w:rPr>
              <w:fldChar w:fldCharType="end"/>
            </w:r>
          </w:hyperlink>
        </w:p>
        <w:p w14:paraId="0F2CF4A9" w14:textId="2F01B8B5" w:rsidR="000C5F6D" w:rsidRDefault="00724180">
          <w:pPr>
            <w:pStyle w:val="TOC3"/>
            <w:rPr>
              <w:rFonts w:eastAsiaTheme="minorEastAsia" w:cstheme="minorBidi"/>
              <w:noProof/>
              <w:color w:val="auto"/>
              <w:kern w:val="2"/>
              <w:sz w:val="22"/>
              <w:szCs w:val="22"/>
              <w14:ligatures w14:val="standardContextual"/>
            </w:rPr>
          </w:pPr>
          <w:hyperlink w:anchor="_Toc164783037" w:history="1">
            <w:r w:rsidR="000C5F6D" w:rsidRPr="00FE5108">
              <w:rPr>
                <w:rStyle w:val="Hyperlink"/>
                <w:noProof/>
              </w:rPr>
              <w:t>Climate Resilient by Nature</w:t>
            </w:r>
            <w:r w:rsidR="000C5F6D">
              <w:rPr>
                <w:noProof/>
                <w:webHidden/>
              </w:rPr>
              <w:tab/>
            </w:r>
            <w:r w:rsidR="000C5F6D">
              <w:rPr>
                <w:noProof/>
                <w:webHidden/>
              </w:rPr>
              <w:fldChar w:fldCharType="begin"/>
            </w:r>
            <w:r w:rsidR="000C5F6D">
              <w:rPr>
                <w:noProof/>
                <w:webHidden/>
              </w:rPr>
              <w:instrText xml:space="preserve"> PAGEREF _Toc164783037 \h </w:instrText>
            </w:r>
            <w:r w:rsidR="000C5F6D">
              <w:rPr>
                <w:noProof/>
                <w:webHidden/>
              </w:rPr>
            </w:r>
            <w:r w:rsidR="000C5F6D">
              <w:rPr>
                <w:noProof/>
                <w:webHidden/>
              </w:rPr>
              <w:fldChar w:fldCharType="separate"/>
            </w:r>
            <w:r w:rsidR="000C5F6D">
              <w:rPr>
                <w:noProof/>
                <w:webHidden/>
              </w:rPr>
              <w:t>16</w:t>
            </w:r>
            <w:r w:rsidR="000C5F6D">
              <w:rPr>
                <w:noProof/>
                <w:webHidden/>
              </w:rPr>
              <w:fldChar w:fldCharType="end"/>
            </w:r>
          </w:hyperlink>
        </w:p>
        <w:p w14:paraId="4AB2A52D" w14:textId="77CE1547" w:rsidR="000C5F6D" w:rsidRDefault="00724180">
          <w:pPr>
            <w:pStyle w:val="TOC3"/>
            <w:rPr>
              <w:rFonts w:eastAsiaTheme="minorEastAsia" w:cstheme="minorBidi"/>
              <w:noProof/>
              <w:color w:val="auto"/>
              <w:kern w:val="2"/>
              <w:sz w:val="22"/>
              <w:szCs w:val="22"/>
              <w14:ligatures w14:val="standardContextual"/>
            </w:rPr>
          </w:pPr>
          <w:hyperlink w:anchor="_Toc164783038" w:history="1">
            <w:r w:rsidR="000C5F6D" w:rsidRPr="00FE5108">
              <w:rPr>
                <w:rStyle w:val="Hyperlink"/>
                <w:noProof/>
              </w:rPr>
              <w:t>Pacific Blue Carbon Program</w:t>
            </w:r>
            <w:r w:rsidR="000C5F6D">
              <w:rPr>
                <w:noProof/>
                <w:webHidden/>
              </w:rPr>
              <w:tab/>
            </w:r>
            <w:r w:rsidR="000C5F6D">
              <w:rPr>
                <w:noProof/>
                <w:webHidden/>
              </w:rPr>
              <w:fldChar w:fldCharType="begin"/>
            </w:r>
            <w:r w:rsidR="000C5F6D">
              <w:rPr>
                <w:noProof/>
                <w:webHidden/>
              </w:rPr>
              <w:instrText xml:space="preserve"> PAGEREF _Toc164783038 \h </w:instrText>
            </w:r>
            <w:r w:rsidR="000C5F6D">
              <w:rPr>
                <w:noProof/>
                <w:webHidden/>
              </w:rPr>
            </w:r>
            <w:r w:rsidR="000C5F6D">
              <w:rPr>
                <w:noProof/>
                <w:webHidden/>
              </w:rPr>
              <w:fldChar w:fldCharType="separate"/>
            </w:r>
            <w:r w:rsidR="000C5F6D">
              <w:rPr>
                <w:noProof/>
                <w:webHidden/>
              </w:rPr>
              <w:t>17</w:t>
            </w:r>
            <w:r w:rsidR="000C5F6D">
              <w:rPr>
                <w:noProof/>
                <w:webHidden/>
              </w:rPr>
              <w:fldChar w:fldCharType="end"/>
            </w:r>
          </w:hyperlink>
        </w:p>
        <w:p w14:paraId="42778883" w14:textId="3FE94EC8" w:rsidR="000C5F6D" w:rsidRDefault="00724180">
          <w:pPr>
            <w:pStyle w:val="TOC3"/>
            <w:rPr>
              <w:rFonts w:eastAsiaTheme="minorEastAsia" w:cstheme="minorBidi"/>
              <w:noProof/>
              <w:color w:val="auto"/>
              <w:kern w:val="2"/>
              <w:sz w:val="22"/>
              <w:szCs w:val="22"/>
              <w14:ligatures w14:val="standardContextual"/>
            </w:rPr>
          </w:pPr>
          <w:hyperlink w:anchor="_Toc164783039" w:history="1">
            <w:r w:rsidR="000C5F6D" w:rsidRPr="00FE5108">
              <w:rPr>
                <w:rStyle w:val="Hyperlink"/>
                <w:noProof/>
              </w:rPr>
              <w:t>The Coral Reef Innovation Project</w:t>
            </w:r>
            <w:r w:rsidR="000C5F6D">
              <w:rPr>
                <w:noProof/>
                <w:webHidden/>
              </w:rPr>
              <w:tab/>
            </w:r>
            <w:r w:rsidR="000C5F6D">
              <w:rPr>
                <w:noProof/>
                <w:webHidden/>
              </w:rPr>
              <w:fldChar w:fldCharType="begin"/>
            </w:r>
            <w:r w:rsidR="000C5F6D">
              <w:rPr>
                <w:noProof/>
                <w:webHidden/>
              </w:rPr>
              <w:instrText xml:space="preserve"> PAGEREF _Toc164783039 \h </w:instrText>
            </w:r>
            <w:r w:rsidR="000C5F6D">
              <w:rPr>
                <w:noProof/>
                <w:webHidden/>
              </w:rPr>
            </w:r>
            <w:r w:rsidR="000C5F6D">
              <w:rPr>
                <w:noProof/>
                <w:webHidden/>
              </w:rPr>
              <w:fldChar w:fldCharType="separate"/>
            </w:r>
            <w:r w:rsidR="000C5F6D">
              <w:rPr>
                <w:noProof/>
                <w:webHidden/>
              </w:rPr>
              <w:t>17</w:t>
            </w:r>
            <w:r w:rsidR="000C5F6D">
              <w:rPr>
                <w:noProof/>
                <w:webHidden/>
              </w:rPr>
              <w:fldChar w:fldCharType="end"/>
            </w:r>
          </w:hyperlink>
        </w:p>
        <w:p w14:paraId="7EBCE945" w14:textId="02BFF40F" w:rsidR="000C5F6D" w:rsidRDefault="00724180">
          <w:pPr>
            <w:pStyle w:val="TOC1"/>
            <w:rPr>
              <w:rFonts w:eastAsiaTheme="minorEastAsia" w:cstheme="minorBidi"/>
              <w:b w:val="0"/>
              <w:caps w:val="0"/>
              <w:noProof/>
              <w:color w:val="auto"/>
              <w:kern w:val="2"/>
              <w:sz w:val="22"/>
              <w:szCs w:val="22"/>
              <w14:ligatures w14:val="standardContextual"/>
            </w:rPr>
          </w:pPr>
          <w:hyperlink w:anchor="_Toc164783040" w:history="1">
            <w:r w:rsidR="000C5F6D" w:rsidRPr="00FE5108">
              <w:rPr>
                <w:rStyle w:val="Hyperlink"/>
                <w:noProof/>
              </w:rPr>
              <w:t>Introduction</w:t>
            </w:r>
            <w:r w:rsidR="000C5F6D">
              <w:rPr>
                <w:noProof/>
                <w:webHidden/>
              </w:rPr>
              <w:tab/>
            </w:r>
            <w:r w:rsidR="000C5F6D">
              <w:rPr>
                <w:noProof/>
                <w:webHidden/>
              </w:rPr>
              <w:fldChar w:fldCharType="begin"/>
            </w:r>
            <w:r w:rsidR="000C5F6D">
              <w:rPr>
                <w:noProof/>
                <w:webHidden/>
              </w:rPr>
              <w:instrText xml:space="preserve"> PAGEREF _Toc164783040 \h </w:instrText>
            </w:r>
            <w:r w:rsidR="000C5F6D">
              <w:rPr>
                <w:noProof/>
                <w:webHidden/>
              </w:rPr>
            </w:r>
            <w:r w:rsidR="000C5F6D">
              <w:rPr>
                <w:noProof/>
                <w:webHidden/>
              </w:rPr>
              <w:fldChar w:fldCharType="separate"/>
            </w:r>
            <w:r w:rsidR="000C5F6D">
              <w:rPr>
                <w:noProof/>
                <w:webHidden/>
              </w:rPr>
              <w:t>18</w:t>
            </w:r>
            <w:r w:rsidR="000C5F6D">
              <w:rPr>
                <w:noProof/>
                <w:webHidden/>
              </w:rPr>
              <w:fldChar w:fldCharType="end"/>
            </w:r>
          </w:hyperlink>
        </w:p>
        <w:p w14:paraId="304DFA8C" w14:textId="4BCD6C23" w:rsidR="000C5F6D" w:rsidRDefault="00724180">
          <w:pPr>
            <w:pStyle w:val="TOC2"/>
            <w:rPr>
              <w:rFonts w:eastAsiaTheme="minorEastAsia" w:cstheme="minorBidi"/>
              <w:noProof/>
              <w:color w:val="auto"/>
              <w:kern w:val="2"/>
              <w:sz w:val="22"/>
              <w:szCs w:val="22"/>
              <w14:ligatures w14:val="standardContextual"/>
            </w:rPr>
          </w:pPr>
          <w:hyperlink w:anchor="_Toc164783041" w:history="1">
            <w:r w:rsidR="000C5F6D" w:rsidRPr="00FE5108">
              <w:rPr>
                <w:rStyle w:val="Hyperlink"/>
                <w:noProof/>
              </w:rPr>
              <w:t>NBS Context</w:t>
            </w:r>
            <w:r w:rsidR="000C5F6D">
              <w:rPr>
                <w:noProof/>
                <w:webHidden/>
              </w:rPr>
              <w:tab/>
            </w:r>
            <w:r w:rsidR="000C5F6D">
              <w:rPr>
                <w:noProof/>
                <w:webHidden/>
              </w:rPr>
              <w:fldChar w:fldCharType="begin"/>
            </w:r>
            <w:r w:rsidR="000C5F6D">
              <w:rPr>
                <w:noProof/>
                <w:webHidden/>
              </w:rPr>
              <w:instrText xml:space="preserve"> PAGEREF _Toc164783041 \h </w:instrText>
            </w:r>
            <w:r w:rsidR="000C5F6D">
              <w:rPr>
                <w:noProof/>
                <w:webHidden/>
              </w:rPr>
            </w:r>
            <w:r w:rsidR="000C5F6D">
              <w:rPr>
                <w:noProof/>
                <w:webHidden/>
              </w:rPr>
              <w:fldChar w:fldCharType="separate"/>
            </w:r>
            <w:r w:rsidR="000C5F6D">
              <w:rPr>
                <w:noProof/>
                <w:webHidden/>
              </w:rPr>
              <w:t>18</w:t>
            </w:r>
            <w:r w:rsidR="000C5F6D">
              <w:rPr>
                <w:noProof/>
                <w:webHidden/>
              </w:rPr>
              <w:fldChar w:fldCharType="end"/>
            </w:r>
          </w:hyperlink>
        </w:p>
        <w:p w14:paraId="3A9197B7" w14:textId="2D828080" w:rsidR="000C5F6D" w:rsidRDefault="00724180">
          <w:pPr>
            <w:pStyle w:val="TOC2"/>
            <w:rPr>
              <w:rFonts w:eastAsiaTheme="minorEastAsia" w:cstheme="minorBidi"/>
              <w:noProof/>
              <w:color w:val="auto"/>
              <w:kern w:val="2"/>
              <w:sz w:val="22"/>
              <w:szCs w:val="22"/>
              <w14:ligatures w14:val="standardContextual"/>
            </w:rPr>
          </w:pPr>
          <w:hyperlink w:anchor="_Toc164783042" w:history="1">
            <w:r w:rsidR="000C5F6D" w:rsidRPr="00FE5108">
              <w:rPr>
                <w:rStyle w:val="Hyperlink"/>
                <w:noProof/>
              </w:rPr>
              <w:t>Overview of selected NBS programs</w:t>
            </w:r>
            <w:r w:rsidR="000C5F6D">
              <w:rPr>
                <w:noProof/>
                <w:webHidden/>
              </w:rPr>
              <w:tab/>
            </w:r>
            <w:r w:rsidR="000C5F6D">
              <w:rPr>
                <w:noProof/>
                <w:webHidden/>
              </w:rPr>
              <w:fldChar w:fldCharType="begin"/>
            </w:r>
            <w:r w:rsidR="000C5F6D">
              <w:rPr>
                <w:noProof/>
                <w:webHidden/>
              </w:rPr>
              <w:instrText xml:space="preserve"> PAGEREF _Toc164783042 \h </w:instrText>
            </w:r>
            <w:r w:rsidR="000C5F6D">
              <w:rPr>
                <w:noProof/>
                <w:webHidden/>
              </w:rPr>
            </w:r>
            <w:r w:rsidR="000C5F6D">
              <w:rPr>
                <w:noProof/>
                <w:webHidden/>
              </w:rPr>
              <w:fldChar w:fldCharType="separate"/>
            </w:r>
            <w:r w:rsidR="000C5F6D">
              <w:rPr>
                <w:noProof/>
                <w:webHidden/>
              </w:rPr>
              <w:t>19</w:t>
            </w:r>
            <w:r w:rsidR="000C5F6D">
              <w:rPr>
                <w:noProof/>
                <w:webHidden/>
              </w:rPr>
              <w:fldChar w:fldCharType="end"/>
            </w:r>
          </w:hyperlink>
        </w:p>
        <w:p w14:paraId="7E760C90" w14:textId="705CC9C1" w:rsidR="000C5F6D" w:rsidRDefault="00724180">
          <w:pPr>
            <w:pStyle w:val="TOC2"/>
            <w:rPr>
              <w:rFonts w:eastAsiaTheme="minorEastAsia" w:cstheme="minorBidi"/>
              <w:noProof/>
              <w:color w:val="auto"/>
              <w:kern w:val="2"/>
              <w:sz w:val="22"/>
              <w:szCs w:val="22"/>
              <w14:ligatures w14:val="standardContextual"/>
            </w:rPr>
          </w:pPr>
          <w:hyperlink w:anchor="_Toc164783043" w:history="1">
            <w:r w:rsidR="000C5F6D" w:rsidRPr="00FE5108">
              <w:rPr>
                <w:rStyle w:val="Hyperlink"/>
                <w:noProof/>
              </w:rPr>
              <w:t>Methodology</w:t>
            </w:r>
            <w:r w:rsidR="000C5F6D">
              <w:rPr>
                <w:noProof/>
                <w:webHidden/>
              </w:rPr>
              <w:tab/>
            </w:r>
            <w:r w:rsidR="000C5F6D">
              <w:rPr>
                <w:noProof/>
                <w:webHidden/>
              </w:rPr>
              <w:fldChar w:fldCharType="begin"/>
            </w:r>
            <w:r w:rsidR="000C5F6D">
              <w:rPr>
                <w:noProof/>
                <w:webHidden/>
              </w:rPr>
              <w:instrText xml:space="preserve"> PAGEREF _Toc164783043 \h </w:instrText>
            </w:r>
            <w:r w:rsidR="000C5F6D">
              <w:rPr>
                <w:noProof/>
                <w:webHidden/>
              </w:rPr>
            </w:r>
            <w:r w:rsidR="000C5F6D">
              <w:rPr>
                <w:noProof/>
                <w:webHidden/>
              </w:rPr>
              <w:fldChar w:fldCharType="separate"/>
            </w:r>
            <w:r w:rsidR="000C5F6D">
              <w:rPr>
                <w:noProof/>
                <w:webHidden/>
              </w:rPr>
              <w:t>20</w:t>
            </w:r>
            <w:r w:rsidR="000C5F6D">
              <w:rPr>
                <w:noProof/>
                <w:webHidden/>
              </w:rPr>
              <w:fldChar w:fldCharType="end"/>
            </w:r>
          </w:hyperlink>
        </w:p>
        <w:p w14:paraId="11CCDC4A" w14:textId="5AF445BA" w:rsidR="000C5F6D" w:rsidRDefault="00724180">
          <w:pPr>
            <w:pStyle w:val="TOC2"/>
            <w:rPr>
              <w:rFonts w:eastAsiaTheme="minorEastAsia" w:cstheme="minorBidi"/>
              <w:noProof/>
              <w:color w:val="auto"/>
              <w:kern w:val="2"/>
              <w:sz w:val="22"/>
              <w:szCs w:val="22"/>
              <w14:ligatures w14:val="standardContextual"/>
            </w:rPr>
          </w:pPr>
          <w:hyperlink w:anchor="_Toc164783044" w:history="1">
            <w:r w:rsidR="000C5F6D" w:rsidRPr="00FE5108">
              <w:rPr>
                <w:rStyle w:val="Hyperlink"/>
                <w:noProof/>
              </w:rPr>
              <w:t>Key limitations</w:t>
            </w:r>
            <w:r w:rsidR="000C5F6D">
              <w:rPr>
                <w:noProof/>
                <w:webHidden/>
              </w:rPr>
              <w:tab/>
            </w:r>
            <w:r w:rsidR="000C5F6D">
              <w:rPr>
                <w:noProof/>
                <w:webHidden/>
              </w:rPr>
              <w:fldChar w:fldCharType="begin"/>
            </w:r>
            <w:r w:rsidR="000C5F6D">
              <w:rPr>
                <w:noProof/>
                <w:webHidden/>
              </w:rPr>
              <w:instrText xml:space="preserve"> PAGEREF _Toc164783044 \h </w:instrText>
            </w:r>
            <w:r w:rsidR="000C5F6D">
              <w:rPr>
                <w:noProof/>
                <w:webHidden/>
              </w:rPr>
            </w:r>
            <w:r w:rsidR="000C5F6D">
              <w:rPr>
                <w:noProof/>
                <w:webHidden/>
              </w:rPr>
              <w:fldChar w:fldCharType="separate"/>
            </w:r>
            <w:r w:rsidR="000C5F6D">
              <w:rPr>
                <w:noProof/>
                <w:webHidden/>
              </w:rPr>
              <w:t>23</w:t>
            </w:r>
            <w:r w:rsidR="000C5F6D">
              <w:rPr>
                <w:noProof/>
                <w:webHidden/>
              </w:rPr>
              <w:fldChar w:fldCharType="end"/>
            </w:r>
          </w:hyperlink>
        </w:p>
        <w:p w14:paraId="7B2BAC9D" w14:textId="71DE799A" w:rsidR="000C5F6D" w:rsidRDefault="00724180">
          <w:pPr>
            <w:pStyle w:val="TOC1"/>
            <w:rPr>
              <w:rFonts w:eastAsiaTheme="minorEastAsia" w:cstheme="minorBidi"/>
              <w:b w:val="0"/>
              <w:caps w:val="0"/>
              <w:noProof/>
              <w:color w:val="auto"/>
              <w:kern w:val="2"/>
              <w:sz w:val="22"/>
              <w:szCs w:val="22"/>
              <w14:ligatures w14:val="standardContextual"/>
            </w:rPr>
          </w:pPr>
          <w:hyperlink w:anchor="_Toc164783045" w:history="1">
            <w:r w:rsidR="000C5F6D" w:rsidRPr="00FE5108">
              <w:rPr>
                <w:rStyle w:val="Hyperlink"/>
                <w:noProof/>
              </w:rPr>
              <w:t>Findings at the strategic level</w:t>
            </w:r>
            <w:r w:rsidR="000C5F6D">
              <w:rPr>
                <w:noProof/>
                <w:webHidden/>
              </w:rPr>
              <w:tab/>
            </w:r>
            <w:r w:rsidR="000C5F6D">
              <w:rPr>
                <w:noProof/>
                <w:webHidden/>
              </w:rPr>
              <w:fldChar w:fldCharType="begin"/>
            </w:r>
            <w:r w:rsidR="000C5F6D">
              <w:rPr>
                <w:noProof/>
                <w:webHidden/>
              </w:rPr>
              <w:instrText xml:space="preserve"> PAGEREF _Toc164783045 \h </w:instrText>
            </w:r>
            <w:r w:rsidR="000C5F6D">
              <w:rPr>
                <w:noProof/>
                <w:webHidden/>
              </w:rPr>
            </w:r>
            <w:r w:rsidR="000C5F6D">
              <w:rPr>
                <w:noProof/>
                <w:webHidden/>
              </w:rPr>
              <w:fldChar w:fldCharType="separate"/>
            </w:r>
            <w:r w:rsidR="000C5F6D">
              <w:rPr>
                <w:noProof/>
                <w:webHidden/>
              </w:rPr>
              <w:t>25</w:t>
            </w:r>
            <w:r w:rsidR="000C5F6D">
              <w:rPr>
                <w:noProof/>
                <w:webHidden/>
              </w:rPr>
              <w:fldChar w:fldCharType="end"/>
            </w:r>
          </w:hyperlink>
        </w:p>
        <w:p w14:paraId="558A09E8" w14:textId="35CE44E2" w:rsidR="000C5F6D" w:rsidRDefault="00724180">
          <w:pPr>
            <w:pStyle w:val="TOC2"/>
            <w:rPr>
              <w:rFonts w:eastAsiaTheme="minorEastAsia" w:cstheme="minorBidi"/>
              <w:noProof/>
              <w:color w:val="auto"/>
              <w:kern w:val="2"/>
              <w:sz w:val="22"/>
              <w:szCs w:val="22"/>
              <w14:ligatures w14:val="standardContextual"/>
            </w:rPr>
          </w:pPr>
          <w:hyperlink w:anchor="_Toc164783046" w:history="1">
            <w:r w:rsidR="000C5F6D" w:rsidRPr="00FE5108">
              <w:rPr>
                <w:rStyle w:val="Hyperlink"/>
                <w:noProof/>
              </w:rPr>
              <w:t>Relevance</w:t>
            </w:r>
            <w:r w:rsidR="000C5F6D">
              <w:rPr>
                <w:noProof/>
                <w:webHidden/>
              </w:rPr>
              <w:tab/>
            </w:r>
            <w:r w:rsidR="000C5F6D">
              <w:rPr>
                <w:noProof/>
                <w:webHidden/>
              </w:rPr>
              <w:fldChar w:fldCharType="begin"/>
            </w:r>
            <w:r w:rsidR="000C5F6D">
              <w:rPr>
                <w:noProof/>
                <w:webHidden/>
              </w:rPr>
              <w:instrText xml:space="preserve"> PAGEREF _Toc164783046 \h </w:instrText>
            </w:r>
            <w:r w:rsidR="000C5F6D">
              <w:rPr>
                <w:noProof/>
                <w:webHidden/>
              </w:rPr>
            </w:r>
            <w:r w:rsidR="000C5F6D">
              <w:rPr>
                <w:noProof/>
                <w:webHidden/>
              </w:rPr>
              <w:fldChar w:fldCharType="separate"/>
            </w:r>
            <w:r w:rsidR="000C5F6D">
              <w:rPr>
                <w:noProof/>
                <w:webHidden/>
              </w:rPr>
              <w:t>25</w:t>
            </w:r>
            <w:r w:rsidR="000C5F6D">
              <w:rPr>
                <w:noProof/>
                <w:webHidden/>
              </w:rPr>
              <w:fldChar w:fldCharType="end"/>
            </w:r>
          </w:hyperlink>
        </w:p>
        <w:p w14:paraId="2BAAE153" w14:textId="476785B6" w:rsidR="000C5F6D" w:rsidRDefault="00724180">
          <w:pPr>
            <w:pStyle w:val="TOC2"/>
            <w:rPr>
              <w:rFonts w:eastAsiaTheme="minorEastAsia" w:cstheme="minorBidi"/>
              <w:noProof/>
              <w:color w:val="auto"/>
              <w:kern w:val="2"/>
              <w:sz w:val="22"/>
              <w:szCs w:val="22"/>
              <w14:ligatures w14:val="standardContextual"/>
            </w:rPr>
          </w:pPr>
          <w:hyperlink w:anchor="_Toc164783047" w:history="1">
            <w:r w:rsidR="000C5F6D" w:rsidRPr="00FE5108">
              <w:rPr>
                <w:rStyle w:val="Hyperlink"/>
                <w:noProof/>
              </w:rPr>
              <w:t>Coherence</w:t>
            </w:r>
            <w:r w:rsidR="000C5F6D">
              <w:rPr>
                <w:noProof/>
                <w:webHidden/>
              </w:rPr>
              <w:tab/>
            </w:r>
            <w:r w:rsidR="000C5F6D">
              <w:rPr>
                <w:noProof/>
                <w:webHidden/>
              </w:rPr>
              <w:fldChar w:fldCharType="begin"/>
            </w:r>
            <w:r w:rsidR="000C5F6D">
              <w:rPr>
                <w:noProof/>
                <w:webHidden/>
              </w:rPr>
              <w:instrText xml:space="preserve"> PAGEREF _Toc164783047 \h </w:instrText>
            </w:r>
            <w:r w:rsidR="000C5F6D">
              <w:rPr>
                <w:noProof/>
                <w:webHidden/>
              </w:rPr>
            </w:r>
            <w:r w:rsidR="000C5F6D">
              <w:rPr>
                <w:noProof/>
                <w:webHidden/>
              </w:rPr>
              <w:fldChar w:fldCharType="separate"/>
            </w:r>
            <w:r w:rsidR="000C5F6D">
              <w:rPr>
                <w:noProof/>
                <w:webHidden/>
              </w:rPr>
              <w:t>27</w:t>
            </w:r>
            <w:r w:rsidR="000C5F6D">
              <w:rPr>
                <w:noProof/>
                <w:webHidden/>
              </w:rPr>
              <w:fldChar w:fldCharType="end"/>
            </w:r>
          </w:hyperlink>
        </w:p>
        <w:p w14:paraId="5592F109" w14:textId="17D6B33C" w:rsidR="000C5F6D" w:rsidRDefault="00724180">
          <w:pPr>
            <w:pStyle w:val="TOC2"/>
            <w:rPr>
              <w:rFonts w:eastAsiaTheme="minorEastAsia" w:cstheme="minorBidi"/>
              <w:noProof/>
              <w:color w:val="auto"/>
              <w:kern w:val="2"/>
              <w:sz w:val="22"/>
              <w:szCs w:val="22"/>
              <w14:ligatures w14:val="standardContextual"/>
            </w:rPr>
          </w:pPr>
          <w:hyperlink w:anchor="_Toc164783048" w:history="1">
            <w:r w:rsidR="000C5F6D" w:rsidRPr="00FE5108">
              <w:rPr>
                <w:rStyle w:val="Hyperlink"/>
                <w:noProof/>
              </w:rPr>
              <w:t>Effectiveness</w:t>
            </w:r>
            <w:r w:rsidR="000C5F6D">
              <w:rPr>
                <w:noProof/>
                <w:webHidden/>
              </w:rPr>
              <w:tab/>
            </w:r>
            <w:r w:rsidR="000C5F6D">
              <w:rPr>
                <w:noProof/>
                <w:webHidden/>
              </w:rPr>
              <w:fldChar w:fldCharType="begin"/>
            </w:r>
            <w:r w:rsidR="000C5F6D">
              <w:rPr>
                <w:noProof/>
                <w:webHidden/>
              </w:rPr>
              <w:instrText xml:space="preserve"> PAGEREF _Toc164783048 \h </w:instrText>
            </w:r>
            <w:r w:rsidR="000C5F6D">
              <w:rPr>
                <w:noProof/>
                <w:webHidden/>
              </w:rPr>
            </w:r>
            <w:r w:rsidR="000C5F6D">
              <w:rPr>
                <w:noProof/>
                <w:webHidden/>
              </w:rPr>
              <w:fldChar w:fldCharType="separate"/>
            </w:r>
            <w:r w:rsidR="000C5F6D">
              <w:rPr>
                <w:noProof/>
                <w:webHidden/>
              </w:rPr>
              <w:t>30</w:t>
            </w:r>
            <w:r w:rsidR="000C5F6D">
              <w:rPr>
                <w:noProof/>
                <w:webHidden/>
              </w:rPr>
              <w:fldChar w:fldCharType="end"/>
            </w:r>
          </w:hyperlink>
        </w:p>
        <w:p w14:paraId="0135D5D8" w14:textId="47F945C9" w:rsidR="000C5F6D" w:rsidRDefault="00724180">
          <w:pPr>
            <w:pStyle w:val="TOC2"/>
            <w:rPr>
              <w:rFonts w:eastAsiaTheme="minorEastAsia" w:cstheme="minorBidi"/>
              <w:noProof/>
              <w:color w:val="auto"/>
              <w:kern w:val="2"/>
              <w:sz w:val="22"/>
              <w:szCs w:val="22"/>
              <w14:ligatures w14:val="standardContextual"/>
            </w:rPr>
          </w:pPr>
          <w:hyperlink w:anchor="_Toc164783049" w:history="1">
            <w:r w:rsidR="000C5F6D" w:rsidRPr="00FE5108">
              <w:rPr>
                <w:rStyle w:val="Hyperlink"/>
                <w:noProof/>
              </w:rPr>
              <w:t>Efficiency</w:t>
            </w:r>
            <w:r w:rsidR="000C5F6D">
              <w:rPr>
                <w:noProof/>
                <w:webHidden/>
              </w:rPr>
              <w:tab/>
            </w:r>
            <w:r w:rsidR="000C5F6D">
              <w:rPr>
                <w:noProof/>
                <w:webHidden/>
              </w:rPr>
              <w:fldChar w:fldCharType="begin"/>
            </w:r>
            <w:r w:rsidR="000C5F6D">
              <w:rPr>
                <w:noProof/>
                <w:webHidden/>
              </w:rPr>
              <w:instrText xml:space="preserve"> PAGEREF _Toc164783049 \h </w:instrText>
            </w:r>
            <w:r w:rsidR="000C5F6D">
              <w:rPr>
                <w:noProof/>
                <w:webHidden/>
              </w:rPr>
            </w:r>
            <w:r w:rsidR="000C5F6D">
              <w:rPr>
                <w:noProof/>
                <w:webHidden/>
              </w:rPr>
              <w:fldChar w:fldCharType="separate"/>
            </w:r>
            <w:r w:rsidR="000C5F6D">
              <w:rPr>
                <w:noProof/>
                <w:webHidden/>
              </w:rPr>
              <w:t>34</w:t>
            </w:r>
            <w:r w:rsidR="000C5F6D">
              <w:rPr>
                <w:noProof/>
                <w:webHidden/>
              </w:rPr>
              <w:fldChar w:fldCharType="end"/>
            </w:r>
          </w:hyperlink>
        </w:p>
        <w:p w14:paraId="09595E58" w14:textId="06CF011C" w:rsidR="000C5F6D" w:rsidRDefault="00724180">
          <w:pPr>
            <w:pStyle w:val="TOC2"/>
            <w:rPr>
              <w:rFonts w:eastAsiaTheme="minorEastAsia" w:cstheme="minorBidi"/>
              <w:noProof/>
              <w:color w:val="auto"/>
              <w:kern w:val="2"/>
              <w:sz w:val="22"/>
              <w:szCs w:val="22"/>
              <w14:ligatures w14:val="standardContextual"/>
            </w:rPr>
          </w:pPr>
          <w:hyperlink w:anchor="_Toc164783050" w:history="1">
            <w:r w:rsidR="000C5F6D" w:rsidRPr="00FE5108">
              <w:rPr>
                <w:rStyle w:val="Hyperlink"/>
                <w:noProof/>
              </w:rPr>
              <w:t>Impact</w:t>
            </w:r>
            <w:r w:rsidR="000C5F6D">
              <w:rPr>
                <w:noProof/>
                <w:webHidden/>
              </w:rPr>
              <w:tab/>
            </w:r>
            <w:r w:rsidR="000C5F6D">
              <w:rPr>
                <w:noProof/>
                <w:webHidden/>
              </w:rPr>
              <w:fldChar w:fldCharType="begin"/>
            </w:r>
            <w:r w:rsidR="000C5F6D">
              <w:rPr>
                <w:noProof/>
                <w:webHidden/>
              </w:rPr>
              <w:instrText xml:space="preserve"> PAGEREF _Toc164783050 \h </w:instrText>
            </w:r>
            <w:r w:rsidR="000C5F6D">
              <w:rPr>
                <w:noProof/>
                <w:webHidden/>
              </w:rPr>
            </w:r>
            <w:r w:rsidR="000C5F6D">
              <w:rPr>
                <w:noProof/>
                <w:webHidden/>
              </w:rPr>
              <w:fldChar w:fldCharType="separate"/>
            </w:r>
            <w:r w:rsidR="000C5F6D">
              <w:rPr>
                <w:noProof/>
                <w:webHidden/>
              </w:rPr>
              <w:t>35</w:t>
            </w:r>
            <w:r w:rsidR="000C5F6D">
              <w:rPr>
                <w:noProof/>
                <w:webHidden/>
              </w:rPr>
              <w:fldChar w:fldCharType="end"/>
            </w:r>
          </w:hyperlink>
        </w:p>
        <w:p w14:paraId="44850327" w14:textId="567C8EA8" w:rsidR="000C5F6D" w:rsidRDefault="00724180">
          <w:pPr>
            <w:pStyle w:val="TOC2"/>
            <w:rPr>
              <w:rFonts w:eastAsiaTheme="minorEastAsia" w:cstheme="minorBidi"/>
              <w:noProof/>
              <w:color w:val="auto"/>
              <w:kern w:val="2"/>
              <w:sz w:val="22"/>
              <w:szCs w:val="22"/>
              <w14:ligatures w14:val="standardContextual"/>
            </w:rPr>
          </w:pPr>
          <w:hyperlink w:anchor="_Toc164783051" w:history="1">
            <w:r w:rsidR="000C5F6D" w:rsidRPr="00FE5108">
              <w:rPr>
                <w:rStyle w:val="Hyperlink"/>
                <w:noProof/>
              </w:rPr>
              <w:t>Sustainability</w:t>
            </w:r>
            <w:r w:rsidR="000C5F6D">
              <w:rPr>
                <w:noProof/>
                <w:webHidden/>
              </w:rPr>
              <w:tab/>
            </w:r>
            <w:r w:rsidR="000C5F6D">
              <w:rPr>
                <w:noProof/>
                <w:webHidden/>
              </w:rPr>
              <w:fldChar w:fldCharType="begin"/>
            </w:r>
            <w:r w:rsidR="000C5F6D">
              <w:rPr>
                <w:noProof/>
                <w:webHidden/>
              </w:rPr>
              <w:instrText xml:space="preserve"> PAGEREF _Toc164783051 \h </w:instrText>
            </w:r>
            <w:r w:rsidR="000C5F6D">
              <w:rPr>
                <w:noProof/>
                <w:webHidden/>
              </w:rPr>
            </w:r>
            <w:r w:rsidR="000C5F6D">
              <w:rPr>
                <w:noProof/>
                <w:webHidden/>
              </w:rPr>
              <w:fldChar w:fldCharType="separate"/>
            </w:r>
            <w:r w:rsidR="000C5F6D">
              <w:rPr>
                <w:noProof/>
                <w:webHidden/>
              </w:rPr>
              <w:t>36</w:t>
            </w:r>
            <w:r w:rsidR="000C5F6D">
              <w:rPr>
                <w:noProof/>
                <w:webHidden/>
              </w:rPr>
              <w:fldChar w:fldCharType="end"/>
            </w:r>
          </w:hyperlink>
        </w:p>
        <w:p w14:paraId="3DD6C274" w14:textId="285F6B32" w:rsidR="000C5F6D" w:rsidRDefault="00724180">
          <w:pPr>
            <w:pStyle w:val="TOC1"/>
            <w:rPr>
              <w:rFonts w:eastAsiaTheme="minorEastAsia" w:cstheme="minorBidi"/>
              <w:b w:val="0"/>
              <w:caps w:val="0"/>
              <w:noProof/>
              <w:color w:val="auto"/>
              <w:kern w:val="2"/>
              <w:sz w:val="22"/>
              <w:szCs w:val="22"/>
              <w14:ligatures w14:val="standardContextual"/>
            </w:rPr>
          </w:pPr>
          <w:hyperlink w:anchor="_Toc164783052" w:history="1">
            <w:r w:rsidR="000C5F6D" w:rsidRPr="00FE5108">
              <w:rPr>
                <w:rStyle w:val="Hyperlink"/>
                <w:noProof/>
              </w:rPr>
              <w:t>Findings at the investment level</w:t>
            </w:r>
            <w:r w:rsidR="000C5F6D">
              <w:rPr>
                <w:noProof/>
                <w:webHidden/>
              </w:rPr>
              <w:tab/>
            </w:r>
            <w:r w:rsidR="000C5F6D">
              <w:rPr>
                <w:noProof/>
                <w:webHidden/>
              </w:rPr>
              <w:fldChar w:fldCharType="begin"/>
            </w:r>
            <w:r w:rsidR="000C5F6D">
              <w:rPr>
                <w:noProof/>
                <w:webHidden/>
              </w:rPr>
              <w:instrText xml:space="preserve"> PAGEREF _Toc164783052 \h </w:instrText>
            </w:r>
            <w:r w:rsidR="000C5F6D">
              <w:rPr>
                <w:noProof/>
                <w:webHidden/>
              </w:rPr>
            </w:r>
            <w:r w:rsidR="000C5F6D">
              <w:rPr>
                <w:noProof/>
                <w:webHidden/>
              </w:rPr>
              <w:fldChar w:fldCharType="separate"/>
            </w:r>
            <w:r w:rsidR="000C5F6D">
              <w:rPr>
                <w:noProof/>
                <w:webHidden/>
              </w:rPr>
              <w:t>39</w:t>
            </w:r>
            <w:r w:rsidR="000C5F6D">
              <w:rPr>
                <w:noProof/>
                <w:webHidden/>
              </w:rPr>
              <w:fldChar w:fldCharType="end"/>
            </w:r>
          </w:hyperlink>
        </w:p>
        <w:p w14:paraId="72EE9EAD" w14:textId="6674BFBA" w:rsidR="000C5F6D" w:rsidRDefault="00724180">
          <w:pPr>
            <w:pStyle w:val="TOC2"/>
            <w:rPr>
              <w:rFonts w:eastAsiaTheme="minorEastAsia" w:cstheme="minorBidi"/>
              <w:noProof/>
              <w:color w:val="auto"/>
              <w:kern w:val="2"/>
              <w:sz w:val="22"/>
              <w:szCs w:val="22"/>
              <w14:ligatures w14:val="standardContextual"/>
            </w:rPr>
          </w:pPr>
          <w:hyperlink w:anchor="_Toc164783053" w:history="1">
            <w:r w:rsidR="000C5F6D" w:rsidRPr="00FE5108">
              <w:rPr>
                <w:rStyle w:val="Hyperlink"/>
                <w:noProof/>
              </w:rPr>
              <w:t>CLIMATE RESILIENT BY NATURE</w:t>
            </w:r>
            <w:r w:rsidR="000C5F6D">
              <w:rPr>
                <w:noProof/>
                <w:webHidden/>
              </w:rPr>
              <w:tab/>
            </w:r>
            <w:r w:rsidR="000C5F6D">
              <w:rPr>
                <w:noProof/>
                <w:webHidden/>
              </w:rPr>
              <w:fldChar w:fldCharType="begin"/>
            </w:r>
            <w:r w:rsidR="000C5F6D">
              <w:rPr>
                <w:noProof/>
                <w:webHidden/>
              </w:rPr>
              <w:instrText xml:space="preserve"> PAGEREF _Toc164783053 \h </w:instrText>
            </w:r>
            <w:r w:rsidR="000C5F6D">
              <w:rPr>
                <w:noProof/>
                <w:webHidden/>
              </w:rPr>
            </w:r>
            <w:r w:rsidR="000C5F6D">
              <w:rPr>
                <w:noProof/>
                <w:webHidden/>
              </w:rPr>
              <w:fldChar w:fldCharType="separate"/>
            </w:r>
            <w:r w:rsidR="000C5F6D">
              <w:rPr>
                <w:noProof/>
                <w:webHidden/>
              </w:rPr>
              <w:t>39</w:t>
            </w:r>
            <w:r w:rsidR="000C5F6D">
              <w:rPr>
                <w:noProof/>
                <w:webHidden/>
              </w:rPr>
              <w:fldChar w:fldCharType="end"/>
            </w:r>
          </w:hyperlink>
        </w:p>
        <w:p w14:paraId="474A3813" w14:textId="2DDAE286" w:rsidR="000C5F6D" w:rsidRDefault="00724180">
          <w:pPr>
            <w:pStyle w:val="TOC3"/>
            <w:rPr>
              <w:rFonts w:eastAsiaTheme="minorEastAsia" w:cstheme="minorBidi"/>
              <w:noProof/>
              <w:color w:val="auto"/>
              <w:kern w:val="2"/>
              <w:sz w:val="22"/>
              <w:szCs w:val="22"/>
              <w14:ligatures w14:val="standardContextual"/>
            </w:rPr>
          </w:pPr>
          <w:hyperlink w:anchor="_Toc164783054" w:history="1">
            <w:r w:rsidR="000C5F6D" w:rsidRPr="00FE5108">
              <w:rPr>
                <w:rStyle w:val="Hyperlink"/>
                <w:noProof/>
              </w:rPr>
              <w:t>Overview</w:t>
            </w:r>
            <w:r w:rsidR="000C5F6D">
              <w:rPr>
                <w:noProof/>
                <w:webHidden/>
              </w:rPr>
              <w:tab/>
            </w:r>
            <w:r w:rsidR="000C5F6D">
              <w:rPr>
                <w:noProof/>
                <w:webHidden/>
              </w:rPr>
              <w:fldChar w:fldCharType="begin"/>
            </w:r>
            <w:r w:rsidR="000C5F6D">
              <w:rPr>
                <w:noProof/>
                <w:webHidden/>
              </w:rPr>
              <w:instrText xml:space="preserve"> PAGEREF _Toc164783054 \h </w:instrText>
            </w:r>
            <w:r w:rsidR="000C5F6D">
              <w:rPr>
                <w:noProof/>
                <w:webHidden/>
              </w:rPr>
            </w:r>
            <w:r w:rsidR="000C5F6D">
              <w:rPr>
                <w:noProof/>
                <w:webHidden/>
              </w:rPr>
              <w:fldChar w:fldCharType="separate"/>
            </w:r>
            <w:r w:rsidR="000C5F6D">
              <w:rPr>
                <w:noProof/>
                <w:webHidden/>
              </w:rPr>
              <w:t>39</w:t>
            </w:r>
            <w:r w:rsidR="000C5F6D">
              <w:rPr>
                <w:noProof/>
                <w:webHidden/>
              </w:rPr>
              <w:fldChar w:fldCharType="end"/>
            </w:r>
          </w:hyperlink>
        </w:p>
        <w:p w14:paraId="05561A08" w14:textId="54B5F42E" w:rsidR="000C5F6D" w:rsidRDefault="00724180">
          <w:pPr>
            <w:pStyle w:val="TOC3"/>
            <w:rPr>
              <w:rFonts w:eastAsiaTheme="minorEastAsia" w:cstheme="minorBidi"/>
              <w:noProof/>
              <w:color w:val="auto"/>
              <w:kern w:val="2"/>
              <w:sz w:val="22"/>
              <w:szCs w:val="22"/>
              <w14:ligatures w14:val="standardContextual"/>
            </w:rPr>
          </w:pPr>
          <w:hyperlink w:anchor="_Toc164783055" w:history="1">
            <w:r w:rsidR="000C5F6D" w:rsidRPr="00FE5108">
              <w:rPr>
                <w:rStyle w:val="Hyperlink"/>
                <w:noProof/>
              </w:rPr>
              <w:t>Performance against intended outcomes</w:t>
            </w:r>
            <w:r w:rsidR="000C5F6D">
              <w:rPr>
                <w:noProof/>
                <w:webHidden/>
              </w:rPr>
              <w:tab/>
            </w:r>
            <w:r w:rsidR="000C5F6D">
              <w:rPr>
                <w:noProof/>
                <w:webHidden/>
              </w:rPr>
              <w:fldChar w:fldCharType="begin"/>
            </w:r>
            <w:r w:rsidR="000C5F6D">
              <w:rPr>
                <w:noProof/>
                <w:webHidden/>
              </w:rPr>
              <w:instrText xml:space="preserve"> PAGEREF _Toc164783055 \h </w:instrText>
            </w:r>
            <w:r w:rsidR="000C5F6D">
              <w:rPr>
                <w:noProof/>
                <w:webHidden/>
              </w:rPr>
            </w:r>
            <w:r w:rsidR="000C5F6D">
              <w:rPr>
                <w:noProof/>
                <w:webHidden/>
              </w:rPr>
              <w:fldChar w:fldCharType="separate"/>
            </w:r>
            <w:r w:rsidR="000C5F6D">
              <w:rPr>
                <w:noProof/>
                <w:webHidden/>
              </w:rPr>
              <w:t>42</w:t>
            </w:r>
            <w:r w:rsidR="000C5F6D">
              <w:rPr>
                <w:noProof/>
                <w:webHidden/>
              </w:rPr>
              <w:fldChar w:fldCharType="end"/>
            </w:r>
          </w:hyperlink>
        </w:p>
        <w:p w14:paraId="53315250" w14:textId="2B8BDEFE" w:rsidR="000C5F6D" w:rsidRDefault="00724180">
          <w:pPr>
            <w:pStyle w:val="TOC3"/>
            <w:rPr>
              <w:rFonts w:eastAsiaTheme="minorEastAsia" w:cstheme="minorBidi"/>
              <w:noProof/>
              <w:color w:val="auto"/>
              <w:kern w:val="2"/>
              <w:sz w:val="22"/>
              <w:szCs w:val="22"/>
              <w14:ligatures w14:val="standardContextual"/>
            </w:rPr>
          </w:pPr>
          <w:hyperlink w:anchor="_Toc164783056" w:history="1">
            <w:r w:rsidR="000C5F6D" w:rsidRPr="00FE5108">
              <w:rPr>
                <w:rStyle w:val="Hyperlink"/>
                <w:noProof/>
              </w:rPr>
              <w:t>Is it a solution?</w:t>
            </w:r>
            <w:r w:rsidR="000C5F6D">
              <w:rPr>
                <w:noProof/>
                <w:webHidden/>
              </w:rPr>
              <w:tab/>
            </w:r>
            <w:r w:rsidR="000C5F6D">
              <w:rPr>
                <w:noProof/>
                <w:webHidden/>
              </w:rPr>
              <w:fldChar w:fldCharType="begin"/>
            </w:r>
            <w:r w:rsidR="000C5F6D">
              <w:rPr>
                <w:noProof/>
                <w:webHidden/>
              </w:rPr>
              <w:instrText xml:space="preserve"> PAGEREF _Toc164783056 \h </w:instrText>
            </w:r>
            <w:r w:rsidR="000C5F6D">
              <w:rPr>
                <w:noProof/>
                <w:webHidden/>
              </w:rPr>
            </w:r>
            <w:r w:rsidR="000C5F6D">
              <w:rPr>
                <w:noProof/>
                <w:webHidden/>
              </w:rPr>
              <w:fldChar w:fldCharType="separate"/>
            </w:r>
            <w:r w:rsidR="000C5F6D">
              <w:rPr>
                <w:noProof/>
                <w:webHidden/>
              </w:rPr>
              <w:t>45</w:t>
            </w:r>
            <w:r w:rsidR="000C5F6D">
              <w:rPr>
                <w:noProof/>
                <w:webHidden/>
              </w:rPr>
              <w:fldChar w:fldCharType="end"/>
            </w:r>
          </w:hyperlink>
        </w:p>
        <w:p w14:paraId="262FA3C0" w14:textId="19C571A0" w:rsidR="000C5F6D" w:rsidRDefault="00724180">
          <w:pPr>
            <w:pStyle w:val="TOC3"/>
            <w:rPr>
              <w:rFonts w:eastAsiaTheme="minorEastAsia" w:cstheme="minorBidi"/>
              <w:noProof/>
              <w:color w:val="auto"/>
              <w:kern w:val="2"/>
              <w:sz w:val="22"/>
              <w:szCs w:val="22"/>
              <w14:ligatures w14:val="standardContextual"/>
            </w:rPr>
          </w:pPr>
          <w:hyperlink w:anchor="_Toc164783057" w:history="1">
            <w:r w:rsidR="000C5F6D" w:rsidRPr="00FE5108">
              <w:rPr>
                <w:rStyle w:val="Hyperlink"/>
                <w:noProof/>
              </w:rPr>
              <w:t>NBS pillars</w:t>
            </w:r>
            <w:r w:rsidR="000C5F6D">
              <w:rPr>
                <w:noProof/>
                <w:webHidden/>
              </w:rPr>
              <w:tab/>
            </w:r>
            <w:r w:rsidR="000C5F6D">
              <w:rPr>
                <w:noProof/>
                <w:webHidden/>
              </w:rPr>
              <w:fldChar w:fldCharType="begin"/>
            </w:r>
            <w:r w:rsidR="000C5F6D">
              <w:rPr>
                <w:noProof/>
                <w:webHidden/>
              </w:rPr>
              <w:instrText xml:space="preserve"> PAGEREF _Toc164783057 \h </w:instrText>
            </w:r>
            <w:r w:rsidR="000C5F6D">
              <w:rPr>
                <w:noProof/>
                <w:webHidden/>
              </w:rPr>
            </w:r>
            <w:r w:rsidR="000C5F6D">
              <w:rPr>
                <w:noProof/>
                <w:webHidden/>
              </w:rPr>
              <w:fldChar w:fldCharType="separate"/>
            </w:r>
            <w:r w:rsidR="000C5F6D">
              <w:rPr>
                <w:noProof/>
                <w:webHidden/>
              </w:rPr>
              <w:t>46</w:t>
            </w:r>
            <w:r w:rsidR="000C5F6D">
              <w:rPr>
                <w:noProof/>
                <w:webHidden/>
              </w:rPr>
              <w:fldChar w:fldCharType="end"/>
            </w:r>
          </w:hyperlink>
        </w:p>
        <w:p w14:paraId="0CA9CAAE" w14:textId="6870DDAB" w:rsidR="000C5F6D" w:rsidRDefault="00724180">
          <w:pPr>
            <w:pStyle w:val="TOC3"/>
            <w:rPr>
              <w:rFonts w:eastAsiaTheme="minorEastAsia" w:cstheme="minorBidi"/>
              <w:noProof/>
              <w:color w:val="auto"/>
              <w:kern w:val="2"/>
              <w:sz w:val="22"/>
              <w:szCs w:val="22"/>
              <w14:ligatures w14:val="standardContextual"/>
            </w:rPr>
          </w:pPr>
          <w:hyperlink w:anchor="_Toc164783058" w:history="1">
            <w:r w:rsidR="000C5F6D" w:rsidRPr="00FE5108">
              <w:rPr>
                <w:rStyle w:val="Hyperlink"/>
                <w:noProof/>
              </w:rPr>
              <w:t>Relevant scale</w:t>
            </w:r>
            <w:r w:rsidR="000C5F6D">
              <w:rPr>
                <w:noProof/>
                <w:webHidden/>
              </w:rPr>
              <w:tab/>
            </w:r>
            <w:r w:rsidR="000C5F6D">
              <w:rPr>
                <w:noProof/>
                <w:webHidden/>
              </w:rPr>
              <w:fldChar w:fldCharType="begin"/>
            </w:r>
            <w:r w:rsidR="000C5F6D">
              <w:rPr>
                <w:noProof/>
                <w:webHidden/>
              </w:rPr>
              <w:instrText xml:space="preserve"> PAGEREF _Toc164783058 \h </w:instrText>
            </w:r>
            <w:r w:rsidR="000C5F6D">
              <w:rPr>
                <w:noProof/>
                <w:webHidden/>
              </w:rPr>
            </w:r>
            <w:r w:rsidR="000C5F6D">
              <w:rPr>
                <w:noProof/>
                <w:webHidden/>
              </w:rPr>
              <w:fldChar w:fldCharType="separate"/>
            </w:r>
            <w:r w:rsidR="000C5F6D">
              <w:rPr>
                <w:noProof/>
                <w:webHidden/>
              </w:rPr>
              <w:t>47</w:t>
            </w:r>
            <w:r w:rsidR="000C5F6D">
              <w:rPr>
                <w:noProof/>
                <w:webHidden/>
              </w:rPr>
              <w:fldChar w:fldCharType="end"/>
            </w:r>
          </w:hyperlink>
        </w:p>
        <w:p w14:paraId="68D12517" w14:textId="3511E45C" w:rsidR="000C5F6D" w:rsidRDefault="00724180">
          <w:pPr>
            <w:pStyle w:val="TOC3"/>
            <w:rPr>
              <w:rFonts w:eastAsiaTheme="minorEastAsia" w:cstheme="minorBidi"/>
              <w:noProof/>
              <w:color w:val="auto"/>
              <w:kern w:val="2"/>
              <w:sz w:val="22"/>
              <w:szCs w:val="22"/>
              <w14:ligatures w14:val="standardContextual"/>
            </w:rPr>
          </w:pPr>
          <w:hyperlink w:anchor="_Toc164783059" w:history="1">
            <w:r w:rsidR="000C5F6D" w:rsidRPr="00FE5108">
              <w:rPr>
                <w:rStyle w:val="Hyperlink"/>
                <w:noProof/>
              </w:rPr>
              <w:t>Governance</w:t>
            </w:r>
            <w:r w:rsidR="000C5F6D">
              <w:rPr>
                <w:noProof/>
                <w:webHidden/>
              </w:rPr>
              <w:tab/>
            </w:r>
            <w:r w:rsidR="000C5F6D">
              <w:rPr>
                <w:noProof/>
                <w:webHidden/>
              </w:rPr>
              <w:fldChar w:fldCharType="begin"/>
            </w:r>
            <w:r w:rsidR="000C5F6D">
              <w:rPr>
                <w:noProof/>
                <w:webHidden/>
              </w:rPr>
              <w:instrText xml:space="preserve"> PAGEREF _Toc164783059 \h </w:instrText>
            </w:r>
            <w:r w:rsidR="000C5F6D">
              <w:rPr>
                <w:noProof/>
                <w:webHidden/>
              </w:rPr>
            </w:r>
            <w:r w:rsidR="000C5F6D">
              <w:rPr>
                <w:noProof/>
                <w:webHidden/>
              </w:rPr>
              <w:fldChar w:fldCharType="separate"/>
            </w:r>
            <w:r w:rsidR="000C5F6D">
              <w:rPr>
                <w:noProof/>
                <w:webHidden/>
              </w:rPr>
              <w:t>48</w:t>
            </w:r>
            <w:r w:rsidR="000C5F6D">
              <w:rPr>
                <w:noProof/>
                <w:webHidden/>
              </w:rPr>
              <w:fldChar w:fldCharType="end"/>
            </w:r>
          </w:hyperlink>
        </w:p>
        <w:p w14:paraId="3A88BFD1" w14:textId="61653A13" w:rsidR="000C5F6D" w:rsidRDefault="00724180">
          <w:pPr>
            <w:pStyle w:val="TOC3"/>
            <w:rPr>
              <w:rFonts w:eastAsiaTheme="minorEastAsia" w:cstheme="minorBidi"/>
              <w:noProof/>
              <w:color w:val="auto"/>
              <w:kern w:val="2"/>
              <w:sz w:val="22"/>
              <w:szCs w:val="22"/>
              <w14:ligatures w14:val="standardContextual"/>
            </w:rPr>
          </w:pPr>
          <w:hyperlink w:anchor="_Toc164783060" w:history="1">
            <w:r w:rsidR="000C5F6D" w:rsidRPr="00FE5108">
              <w:rPr>
                <w:rStyle w:val="Hyperlink"/>
                <w:noProof/>
              </w:rPr>
              <w:t>Gender equality, disability and social inclusion</w:t>
            </w:r>
            <w:r w:rsidR="000C5F6D">
              <w:rPr>
                <w:noProof/>
                <w:webHidden/>
              </w:rPr>
              <w:tab/>
            </w:r>
            <w:r w:rsidR="000C5F6D">
              <w:rPr>
                <w:noProof/>
                <w:webHidden/>
              </w:rPr>
              <w:fldChar w:fldCharType="begin"/>
            </w:r>
            <w:r w:rsidR="000C5F6D">
              <w:rPr>
                <w:noProof/>
                <w:webHidden/>
              </w:rPr>
              <w:instrText xml:space="preserve"> PAGEREF _Toc164783060 \h </w:instrText>
            </w:r>
            <w:r w:rsidR="000C5F6D">
              <w:rPr>
                <w:noProof/>
                <w:webHidden/>
              </w:rPr>
            </w:r>
            <w:r w:rsidR="000C5F6D">
              <w:rPr>
                <w:noProof/>
                <w:webHidden/>
              </w:rPr>
              <w:fldChar w:fldCharType="separate"/>
            </w:r>
            <w:r w:rsidR="000C5F6D">
              <w:rPr>
                <w:noProof/>
                <w:webHidden/>
              </w:rPr>
              <w:t>50</w:t>
            </w:r>
            <w:r w:rsidR="000C5F6D">
              <w:rPr>
                <w:noProof/>
                <w:webHidden/>
              </w:rPr>
              <w:fldChar w:fldCharType="end"/>
            </w:r>
          </w:hyperlink>
        </w:p>
        <w:p w14:paraId="2B339450" w14:textId="7DCE0BFC" w:rsidR="000C5F6D" w:rsidRDefault="00724180">
          <w:pPr>
            <w:pStyle w:val="TOC3"/>
            <w:rPr>
              <w:rFonts w:eastAsiaTheme="minorEastAsia" w:cstheme="minorBidi"/>
              <w:noProof/>
              <w:color w:val="auto"/>
              <w:kern w:val="2"/>
              <w:sz w:val="22"/>
              <w:szCs w:val="22"/>
              <w14:ligatures w14:val="standardContextual"/>
            </w:rPr>
          </w:pPr>
          <w:hyperlink w:anchor="_Toc164783061" w:history="1">
            <w:r w:rsidR="000C5F6D" w:rsidRPr="00FE5108">
              <w:rPr>
                <w:rStyle w:val="Hyperlink"/>
                <w:noProof/>
              </w:rPr>
              <w:t>Indigenous Participation</w:t>
            </w:r>
            <w:r w:rsidR="000C5F6D">
              <w:rPr>
                <w:noProof/>
                <w:webHidden/>
              </w:rPr>
              <w:tab/>
            </w:r>
            <w:r w:rsidR="000C5F6D">
              <w:rPr>
                <w:noProof/>
                <w:webHidden/>
              </w:rPr>
              <w:fldChar w:fldCharType="begin"/>
            </w:r>
            <w:r w:rsidR="000C5F6D">
              <w:rPr>
                <w:noProof/>
                <w:webHidden/>
              </w:rPr>
              <w:instrText xml:space="preserve"> PAGEREF _Toc164783061 \h </w:instrText>
            </w:r>
            <w:r w:rsidR="000C5F6D">
              <w:rPr>
                <w:noProof/>
                <w:webHidden/>
              </w:rPr>
            </w:r>
            <w:r w:rsidR="000C5F6D">
              <w:rPr>
                <w:noProof/>
                <w:webHidden/>
              </w:rPr>
              <w:fldChar w:fldCharType="separate"/>
            </w:r>
            <w:r w:rsidR="000C5F6D">
              <w:rPr>
                <w:noProof/>
                <w:webHidden/>
              </w:rPr>
              <w:t>51</w:t>
            </w:r>
            <w:r w:rsidR="000C5F6D">
              <w:rPr>
                <w:noProof/>
                <w:webHidden/>
              </w:rPr>
              <w:fldChar w:fldCharType="end"/>
            </w:r>
          </w:hyperlink>
        </w:p>
        <w:p w14:paraId="74CD7D4D" w14:textId="572B600B" w:rsidR="000C5F6D" w:rsidRDefault="00724180">
          <w:pPr>
            <w:pStyle w:val="TOC3"/>
            <w:rPr>
              <w:rFonts w:eastAsiaTheme="minorEastAsia" w:cstheme="minorBidi"/>
              <w:noProof/>
              <w:color w:val="auto"/>
              <w:kern w:val="2"/>
              <w:sz w:val="22"/>
              <w:szCs w:val="22"/>
              <w14:ligatures w14:val="standardContextual"/>
            </w:rPr>
          </w:pPr>
          <w:hyperlink w:anchor="_Toc164783062" w:history="1">
            <w:r w:rsidR="000C5F6D" w:rsidRPr="00FE5108">
              <w:rPr>
                <w:rStyle w:val="Hyperlink"/>
                <w:noProof/>
              </w:rPr>
              <w:t>Safeguards</w:t>
            </w:r>
            <w:r w:rsidR="000C5F6D">
              <w:rPr>
                <w:noProof/>
                <w:webHidden/>
              </w:rPr>
              <w:tab/>
            </w:r>
            <w:r w:rsidR="000C5F6D">
              <w:rPr>
                <w:noProof/>
                <w:webHidden/>
              </w:rPr>
              <w:fldChar w:fldCharType="begin"/>
            </w:r>
            <w:r w:rsidR="000C5F6D">
              <w:rPr>
                <w:noProof/>
                <w:webHidden/>
              </w:rPr>
              <w:instrText xml:space="preserve"> PAGEREF _Toc164783062 \h </w:instrText>
            </w:r>
            <w:r w:rsidR="000C5F6D">
              <w:rPr>
                <w:noProof/>
                <w:webHidden/>
              </w:rPr>
            </w:r>
            <w:r w:rsidR="000C5F6D">
              <w:rPr>
                <w:noProof/>
                <w:webHidden/>
              </w:rPr>
              <w:fldChar w:fldCharType="separate"/>
            </w:r>
            <w:r w:rsidR="000C5F6D">
              <w:rPr>
                <w:noProof/>
                <w:webHidden/>
              </w:rPr>
              <w:t>51</w:t>
            </w:r>
            <w:r w:rsidR="000C5F6D">
              <w:rPr>
                <w:noProof/>
                <w:webHidden/>
              </w:rPr>
              <w:fldChar w:fldCharType="end"/>
            </w:r>
          </w:hyperlink>
        </w:p>
        <w:p w14:paraId="0A4CF4AD" w14:textId="311181B1" w:rsidR="000C5F6D" w:rsidRDefault="00724180">
          <w:pPr>
            <w:pStyle w:val="TOC2"/>
            <w:rPr>
              <w:rFonts w:eastAsiaTheme="minorEastAsia" w:cstheme="minorBidi"/>
              <w:noProof/>
              <w:color w:val="auto"/>
              <w:kern w:val="2"/>
              <w:sz w:val="22"/>
              <w:szCs w:val="22"/>
              <w14:ligatures w14:val="standardContextual"/>
            </w:rPr>
          </w:pPr>
          <w:hyperlink w:anchor="_Toc164783063" w:history="1">
            <w:r w:rsidR="000C5F6D" w:rsidRPr="00FE5108">
              <w:rPr>
                <w:rStyle w:val="Hyperlink"/>
                <w:noProof/>
              </w:rPr>
              <w:t>PACIFIC REGIONAL BLUE CARBON INITIATIVE</w:t>
            </w:r>
            <w:r w:rsidR="000C5F6D">
              <w:rPr>
                <w:noProof/>
                <w:webHidden/>
              </w:rPr>
              <w:tab/>
            </w:r>
            <w:r w:rsidR="000C5F6D">
              <w:rPr>
                <w:noProof/>
                <w:webHidden/>
              </w:rPr>
              <w:fldChar w:fldCharType="begin"/>
            </w:r>
            <w:r w:rsidR="000C5F6D">
              <w:rPr>
                <w:noProof/>
                <w:webHidden/>
              </w:rPr>
              <w:instrText xml:space="preserve"> PAGEREF _Toc164783063 \h </w:instrText>
            </w:r>
            <w:r w:rsidR="000C5F6D">
              <w:rPr>
                <w:noProof/>
                <w:webHidden/>
              </w:rPr>
            </w:r>
            <w:r w:rsidR="000C5F6D">
              <w:rPr>
                <w:noProof/>
                <w:webHidden/>
              </w:rPr>
              <w:fldChar w:fldCharType="separate"/>
            </w:r>
            <w:r w:rsidR="000C5F6D">
              <w:rPr>
                <w:noProof/>
                <w:webHidden/>
              </w:rPr>
              <w:t>53</w:t>
            </w:r>
            <w:r w:rsidR="000C5F6D">
              <w:rPr>
                <w:noProof/>
                <w:webHidden/>
              </w:rPr>
              <w:fldChar w:fldCharType="end"/>
            </w:r>
          </w:hyperlink>
        </w:p>
        <w:p w14:paraId="45535482" w14:textId="616943FB" w:rsidR="000C5F6D" w:rsidRDefault="00724180">
          <w:pPr>
            <w:pStyle w:val="TOC3"/>
            <w:rPr>
              <w:rFonts w:eastAsiaTheme="minorEastAsia" w:cstheme="minorBidi"/>
              <w:noProof/>
              <w:color w:val="auto"/>
              <w:kern w:val="2"/>
              <w:sz w:val="22"/>
              <w:szCs w:val="22"/>
              <w14:ligatures w14:val="standardContextual"/>
            </w:rPr>
          </w:pPr>
          <w:hyperlink w:anchor="_Toc164783064" w:history="1">
            <w:r w:rsidR="000C5F6D" w:rsidRPr="00FE5108">
              <w:rPr>
                <w:rStyle w:val="Hyperlink"/>
                <w:noProof/>
              </w:rPr>
              <w:t>Overview</w:t>
            </w:r>
            <w:r w:rsidR="000C5F6D">
              <w:rPr>
                <w:noProof/>
                <w:webHidden/>
              </w:rPr>
              <w:tab/>
            </w:r>
            <w:r w:rsidR="000C5F6D">
              <w:rPr>
                <w:noProof/>
                <w:webHidden/>
              </w:rPr>
              <w:fldChar w:fldCharType="begin"/>
            </w:r>
            <w:r w:rsidR="000C5F6D">
              <w:rPr>
                <w:noProof/>
                <w:webHidden/>
              </w:rPr>
              <w:instrText xml:space="preserve"> PAGEREF _Toc164783064 \h </w:instrText>
            </w:r>
            <w:r w:rsidR="000C5F6D">
              <w:rPr>
                <w:noProof/>
                <w:webHidden/>
              </w:rPr>
            </w:r>
            <w:r w:rsidR="000C5F6D">
              <w:rPr>
                <w:noProof/>
                <w:webHidden/>
              </w:rPr>
              <w:fldChar w:fldCharType="separate"/>
            </w:r>
            <w:r w:rsidR="000C5F6D">
              <w:rPr>
                <w:noProof/>
                <w:webHidden/>
              </w:rPr>
              <w:t>53</w:t>
            </w:r>
            <w:r w:rsidR="000C5F6D">
              <w:rPr>
                <w:noProof/>
                <w:webHidden/>
              </w:rPr>
              <w:fldChar w:fldCharType="end"/>
            </w:r>
          </w:hyperlink>
        </w:p>
        <w:p w14:paraId="28DDD9E4" w14:textId="083931DB" w:rsidR="000C5F6D" w:rsidRDefault="00724180">
          <w:pPr>
            <w:pStyle w:val="TOC3"/>
            <w:rPr>
              <w:rFonts w:eastAsiaTheme="minorEastAsia" w:cstheme="minorBidi"/>
              <w:noProof/>
              <w:color w:val="auto"/>
              <w:kern w:val="2"/>
              <w:sz w:val="22"/>
              <w:szCs w:val="22"/>
              <w14:ligatures w14:val="standardContextual"/>
            </w:rPr>
          </w:pPr>
          <w:hyperlink w:anchor="_Toc164783065" w:history="1">
            <w:r w:rsidR="000C5F6D" w:rsidRPr="00FE5108">
              <w:rPr>
                <w:rStyle w:val="Hyperlink"/>
                <w:noProof/>
              </w:rPr>
              <w:t>Performance against intended outcomes</w:t>
            </w:r>
            <w:r w:rsidR="000C5F6D">
              <w:rPr>
                <w:noProof/>
                <w:webHidden/>
              </w:rPr>
              <w:tab/>
            </w:r>
            <w:r w:rsidR="000C5F6D">
              <w:rPr>
                <w:noProof/>
                <w:webHidden/>
              </w:rPr>
              <w:fldChar w:fldCharType="begin"/>
            </w:r>
            <w:r w:rsidR="000C5F6D">
              <w:rPr>
                <w:noProof/>
                <w:webHidden/>
              </w:rPr>
              <w:instrText xml:space="preserve"> PAGEREF _Toc164783065 \h </w:instrText>
            </w:r>
            <w:r w:rsidR="000C5F6D">
              <w:rPr>
                <w:noProof/>
                <w:webHidden/>
              </w:rPr>
            </w:r>
            <w:r w:rsidR="000C5F6D">
              <w:rPr>
                <w:noProof/>
                <w:webHidden/>
              </w:rPr>
              <w:fldChar w:fldCharType="separate"/>
            </w:r>
            <w:r w:rsidR="000C5F6D">
              <w:rPr>
                <w:noProof/>
                <w:webHidden/>
              </w:rPr>
              <w:t>53</w:t>
            </w:r>
            <w:r w:rsidR="000C5F6D">
              <w:rPr>
                <w:noProof/>
                <w:webHidden/>
              </w:rPr>
              <w:fldChar w:fldCharType="end"/>
            </w:r>
          </w:hyperlink>
        </w:p>
        <w:p w14:paraId="61FCD16C" w14:textId="7F10A322" w:rsidR="000C5F6D" w:rsidRDefault="00724180">
          <w:pPr>
            <w:pStyle w:val="TOC3"/>
            <w:rPr>
              <w:rFonts w:eastAsiaTheme="minorEastAsia" w:cstheme="minorBidi"/>
              <w:noProof/>
              <w:color w:val="auto"/>
              <w:kern w:val="2"/>
              <w:sz w:val="22"/>
              <w:szCs w:val="22"/>
              <w14:ligatures w14:val="standardContextual"/>
            </w:rPr>
          </w:pPr>
          <w:hyperlink w:anchor="_Toc164783066" w:history="1">
            <w:r w:rsidR="000C5F6D" w:rsidRPr="00FE5108">
              <w:rPr>
                <w:rStyle w:val="Hyperlink"/>
                <w:noProof/>
              </w:rPr>
              <w:t>Is it a solution?</w:t>
            </w:r>
            <w:r w:rsidR="000C5F6D">
              <w:rPr>
                <w:noProof/>
                <w:webHidden/>
              </w:rPr>
              <w:tab/>
            </w:r>
            <w:r w:rsidR="000C5F6D">
              <w:rPr>
                <w:noProof/>
                <w:webHidden/>
              </w:rPr>
              <w:fldChar w:fldCharType="begin"/>
            </w:r>
            <w:r w:rsidR="000C5F6D">
              <w:rPr>
                <w:noProof/>
                <w:webHidden/>
              </w:rPr>
              <w:instrText xml:space="preserve"> PAGEREF _Toc164783066 \h </w:instrText>
            </w:r>
            <w:r w:rsidR="000C5F6D">
              <w:rPr>
                <w:noProof/>
                <w:webHidden/>
              </w:rPr>
            </w:r>
            <w:r w:rsidR="000C5F6D">
              <w:rPr>
                <w:noProof/>
                <w:webHidden/>
              </w:rPr>
              <w:fldChar w:fldCharType="separate"/>
            </w:r>
            <w:r w:rsidR="000C5F6D">
              <w:rPr>
                <w:noProof/>
                <w:webHidden/>
              </w:rPr>
              <w:t>54</w:t>
            </w:r>
            <w:r w:rsidR="000C5F6D">
              <w:rPr>
                <w:noProof/>
                <w:webHidden/>
              </w:rPr>
              <w:fldChar w:fldCharType="end"/>
            </w:r>
          </w:hyperlink>
        </w:p>
        <w:p w14:paraId="3AFB1505" w14:textId="572F28FB" w:rsidR="000C5F6D" w:rsidRDefault="00724180">
          <w:pPr>
            <w:pStyle w:val="TOC3"/>
            <w:rPr>
              <w:rFonts w:eastAsiaTheme="minorEastAsia" w:cstheme="minorBidi"/>
              <w:noProof/>
              <w:color w:val="auto"/>
              <w:kern w:val="2"/>
              <w:sz w:val="22"/>
              <w:szCs w:val="22"/>
              <w14:ligatures w14:val="standardContextual"/>
            </w:rPr>
          </w:pPr>
          <w:hyperlink w:anchor="_Toc164783067" w:history="1">
            <w:r w:rsidR="000C5F6D" w:rsidRPr="00FE5108">
              <w:rPr>
                <w:rStyle w:val="Hyperlink"/>
                <w:noProof/>
              </w:rPr>
              <w:t>NBS PILLARS</w:t>
            </w:r>
            <w:r w:rsidR="000C5F6D">
              <w:rPr>
                <w:noProof/>
                <w:webHidden/>
              </w:rPr>
              <w:tab/>
            </w:r>
            <w:r w:rsidR="000C5F6D">
              <w:rPr>
                <w:noProof/>
                <w:webHidden/>
              </w:rPr>
              <w:fldChar w:fldCharType="begin"/>
            </w:r>
            <w:r w:rsidR="000C5F6D">
              <w:rPr>
                <w:noProof/>
                <w:webHidden/>
              </w:rPr>
              <w:instrText xml:space="preserve"> PAGEREF _Toc164783067 \h </w:instrText>
            </w:r>
            <w:r w:rsidR="000C5F6D">
              <w:rPr>
                <w:noProof/>
                <w:webHidden/>
              </w:rPr>
            </w:r>
            <w:r w:rsidR="000C5F6D">
              <w:rPr>
                <w:noProof/>
                <w:webHidden/>
              </w:rPr>
              <w:fldChar w:fldCharType="separate"/>
            </w:r>
            <w:r w:rsidR="000C5F6D">
              <w:rPr>
                <w:noProof/>
                <w:webHidden/>
              </w:rPr>
              <w:t>55</w:t>
            </w:r>
            <w:r w:rsidR="000C5F6D">
              <w:rPr>
                <w:noProof/>
                <w:webHidden/>
              </w:rPr>
              <w:fldChar w:fldCharType="end"/>
            </w:r>
          </w:hyperlink>
        </w:p>
        <w:p w14:paraId="4D623329" w14:textId="5ED4184E" w:rsidR="000C5F6D" w:rsidRDefault="00724180">
          <w:pPr>
            <w:pStyle w:val="TOC3"/>
            <w:rPr>
              <w:rFonts w:eastAsiaTheme="minorEastAsia" w:cstheme="minorBidi"/>
              <w:noProof/>
              <w:color w:val="auto"/>
              <w:kern w:val="2"/>
              <w:sz w:val="22"/>
              <w:szCs w:val="22"/>
              <w14:ligatures w14:val="standardContextual"/>
            </w:rPr>
          </w:pPr>
          <w:hyperlink w:anchor="_Toc164783068" w:history="1">
            <w:r w:rsidR="000C5F6D" w:rsidRPr="00FE5108">
              <w:rPr>
                <w:rStyle w:val="Hyperlink"/>
                <w:noProof/>
              </w:rPr>
              <w:t>Relevant scale</w:t>
            </w:r>
            <w:r w:rsidR="000C5F6D">
              <w:rPr>
                <w:noProof/>
                <w:webHidden/>
              </w:rPr>
              <w:tab/>
            </w:r>
            <w:r w:rsidR="000C5F6D">
              <w:rPr>
                <w:noProof/>
                <w:webHidden/>
              </w:rPr>
              <w:fldChar w:fldCharType="begin"/>
            </w:r>
            <w:r w:rsidR="000C5F6D">
              <w:rPr>
                <w:noProof/>
                <w:webHidden/>
              </w:rPr>
              <w:instrText xml:space="preserve"> PAGEREF _Toc164783068 \h </w:instrText>
            </w:r>
            <w:r w:rsidR="000C5F6D">
              <w:rPr>
                <w:noProof/>
                <w:webHidden/>
              </w:rPr>
            </w:r>
            <w:r w:rsidR="000C5F6D">
              <w:rPr>
                <w:noProof/>
                <w:webHidden/>
              </w:rPr>
              <w:fldChar w:fldCharType="separate"/>
            </w:r>
            <w:r w:rsidR="000C5F6D">
              <w:rPr>
                <w:noProof/>
                <w:webHidden/>
              </w:rPr>
              <w:t>56</w:t>
            </w:r>
            <w:r w:rsidR="000C5F6D">
              <w:rPr>
                <w:noProof/>
                <w:webHidden/>
              </w:rPr>
              <w:fldChar w:fldCharType="end"/>
            </w:r>
          </w:hyperlink>
        </w:p>
        <w:p w14:paraId="4B519DA3" w14:textId="383806C4" w:rsidR="000C5F6D" w:rsidRDefault="00724180">
          <w:pPr>
            <w:pStyle w:val="TOC3"/>
            <w:rPr>
              <w:rFonts w:eastAsiaTheme="minorEastAsia" w:cstheme="minorBidi"/>
              <w:noProof/>
              <w:color w:val="auto"/>
              <w:kern w:val="2"/>
              <w:sz w:val="22"/>
              <w:szCs w:val="22"/>
              <w14:ligatures w14:val="standardContextual"/>
            </w:rPr>
          </w:pPr>
          <w:hyperlink w:anchor="_Toc164783069" w:history="1">
            <w:r w:rsidR="000C5F6D" w:rsidRPr="00FE5108">
              <w:rPr>
                <w:rStyle w:val="Hyperlink"/>
                <w:noProof/>
              </w:rPr>
              <w:t>Governance</w:t>
            </w:r>
            <w:r w:rsidR="000C5F6D">
              <w:rPr>
                <w:noProof/>
                <w:webHidden/>
              </w:rPr>
              <w:tab/>
            </w:r>
            <w:r w:rsidR="000C5F6D">
              <w:rPr>
                <w:noProof/>
                <w:webHidden/>
              </w:rPr>
              <w:fldChar w:fldCharType="begin"/>
            </w:r>
            <w:r w:rsidR="000C5F6D">
              <w:rPr>
                <w:noProof/>
                <w:webHidden/>
              </w:rPr>
              <w:instrText xml:space="preserve"> PAGEREF _Toc164783069 \h </w:instrText>
            </w:r>
            <w:r w:rsidR="000C5F6D">
              <w:rPr>
                <w:noProof/>
                <w:webHidden/>
              </w:rPr>
            </w:r>
            <w:r w:rsidR="000C5F6D">
              <w:rPr>
                <w:noProof/>
                <w:webHidden/>
              </w:rPr>
              <w:fldChar w:fldCharType="separate"/>
            </w:r>
            <w:r w:rsidR="000C5F6D">
              <w:rPr>
                <w:noProof/>
                <w:webHidden/>
              </w:rPr>
              <w:t>57</w:t>
            </w:r>
            <w:r w:rsidR="000C5F6D">
              <w:rPr>
                <w:noProof/>
                <w:webHidden/>
              </w:rPr>
              <w:fldChar w:fldCharType="end"/>
            </w:r>
          </w:hyperlink>
        </w:p>
        <w:p w14:paraId="151945B7" w14:textId="742D9831" w:rsidR="000C5F6D" w:rsidRDefault="00724180">
          <w:pPr>
            <w:pStyle w:val="TOC3"/>
            <w:rPr>
              <w:rFonts w:eastAsiaTheme="minorEastAsia" w:cstheme="minorBidi"/>
              <w:noProof/>
              <w:color w:val="auto"/>
              <w:kern w:val="2"/>
              <w:sz w:val="22"/>
              <w:szCs w:val="22"/>
              <w14:ligatures w14:val="standardContextual"/>
            </w:rPr>
          </w:pPr>
          <w:hyperlink w:anchor="_Toc164783070" w:history="1">
            <w:r w:rsidR="000C5F6D" w:rsidRPr="00FE5108">
              <w:rPr>
                <w:rStyle w:val="Hyperlink"/>
                <w:noProof/>
              </w:rPr>
              <w:t>Gender equality, disability, and social inclusion</w:t>
            </w:r>
            <w:r w:rsidR="000C5F6D">
              <w:rPr>
                <w:noProof/>
                <w:webHidden/>
              </w:rPr>
              <w:tab/>
            </w:r>
            <w:r w:rsidR="000C5F6D">
              <w:rPr>
                <w:noProof/>
                <w:webHidden/>
              </w:rPr>
              <w:fldChar w:fldCharType="begin"/>
            </w:r>
            <w:r w:rsidR="000C5F6D">
              <w:rPr>
                <w:noProof/>
                <w:webHidden/>
              </w:rPr>
              <w:instrText xml:space="preserve"> PAGEREF _Toc164783070 \h </w:instrText>
            </w:r>
            <w:r w:rsidR="000C5F6D">
              <w:rPr>
                <w:noProof/>
                <w:webHidden/>
              </w:rPr>
            </w:r>
            <w:r w:rsidR="000C5F6D">
              <w:rPr>
                <w:noProof/>
                <w:webHidden/>
              </w:rPr>
              <w:fldChar w:fldCharType="separate"/>
            </w:r>
            <w:r w:rsidR="000C5F6D">
              <w:rPr>
                <w:noProof/>
                <w:webHidden/>
              </w:rPr>
              <w:t>58</w:t>
            </w:r>
            <w:r w:rsidR="000C5F6D">
              <w:rPr>
                <w:noProof/>
                <w:webHidden/>
              </w:rPr>
              <w:fldChar w:fldCharType="end"/>
            </w:r>
          </w:hyperlink>
        </w:p>
        <w:p w14:paraId="05944C9C" w14:textId="67D31D0A" w:rsidR="000C5F6D" w:rsidRDefault="00724180">
          <w:pPr>
            <w:pStyle w:val="TOC3"/>
            <w:rPr>
              <w:rFonts w:eastAsiaTheme="minorEastAsia" w:cstheme="minorBidi"/>
              <w:noProof/>
              <w:color w:val="auto"/>
              <w:kern w:val="2"/>
              <w:sz w:val="22"/>
              <w:szCs w:val="22"/>
              <w14:ligatures w14:val="standardContextual"/>
            </w:rPr>
          </w:pPr>
          <w:hyperlink w:anchor="_Toc164783071" w:history="1">
            <w:r w:rsidR="000C5F6D" w:rsidRPr="00FE5108">
              <w:rPr>
                <w:rStyle w:val="Hyperlink"/>
                <w:noProof/>
              </w:rPr>
              <w:t>Indigenous Participation</w:t>
            </w:r>
            <w:r w:rsidR="000C5F6D">
              <w:rPr>
                <w:noProof/>
                <w:webHidden/>
              </w:rPr>
              <w:tab/>
            </w:r>
            <w:r w:rsidR="000C5F6D">
              <w:rPr>
                <w:noProof/>
                <w:webHidden/>
              </w:rPr>
              <w:fldChar w:fldCharType="begin"/>
            </w:r>
            <w:r w:rsidR="000C5F6D">
              <w:rPr>
                <w:noProof/>
                <w:webHidden/>
              </w:rPr>
              <w:instrText xml:space="preserve"> PAGEREF _Toc164783071 \h </w:instrText>
            </w:r>
            <w:r w:rsidR="000C5F6D">
              <w:rPr>
                <w:noProof/>
                <w:webHidden/>
              </w:rPr>
            </w:r>
            <w:r w:rsidR="000C5F6D">
              <w:rPr>
                <w:noProof/>
                <w:webHidden/>
              </w:rPr>
              <w:fldChar w:fldCharType="separate"/>
            </w:r>
            <w:r w:rsidR="000C5F6D">
              <w:rPr>
                <w:noProof/>
                <w:webHidden/>
              </w:rPr>
              <w:t>58</w:t>
            </w:r>
            <w:r w:rsidR="000C5F6D">
              <w:rPr>
                <w:noProof/>
                <w:webHidden/>
              </w:rPr>
              <w:fldChar w:fldCharType="end"/>
            </w:r>
          </w:hyperlink>
        </w:p>
        <w:p w14:paraId="254BA8F5" w14:textId="3C5FB9CB" w:rsidR="000C5F6D" w:rsidRDefault="00724180">
          <w:pPr>
            <w:pStyle w:val="TOC3"/>
            <w:rPr>
              <w:rFonts w:eastAsiaTheme="minorEastAsia" w:cstheme="minorBidi"/>
              <w:noProof/>
              <w:color w:val="auto"/>
              <w:kern w:val="2"/>
              <w:sz w:val="22"/>
              <w:szCs w:val="22"/>
              <w14:ligatures w14:val="standardContextual"/>
            </w:rPr>
          </w:pPr>
          <w:hyperlink w:anchor="_Toc164783072" w:history="1">
            <w:r w:rsidR="000C5F6D" w:rsidRPr="00FE5108">
              <w:rPr>
                <w:rStyle w:val="Hyperlink"/>
                <w:noProof/>
              </w:rPr>
              <w:t>Safeguards</w:t>
            </w:r>
            <w:r w:rsidR="000C5F6D">
              <w:rPr>
                <w:noProof/>
                <w:webHidden/>
              </w:rPr>
              <w:tab/>
            </w:r>
            <w:r w:rsidR="000C5F6D">
              <w:rPr>
                <w:noProof/>
                <w:webHidden/>
              </w:rPr>
              <w:fldChar w:fldCharType="begin"/>
            </w:r>
            <w:r w:rsidR="000C5F6D">
              <w:rPr>
                <w:noProof/>
                <w:webHidden/>
              </w:rPr>
              <w:instrText xml:space="preserve"> PAGEREF _Toc164783072 \h </w:instrText>
            </w:r>
            <w:r w:rsidR="000C5F6D">
              <w:rPr>
                <w:noProof/>
                <w:webHidden/>
              </w:rPr>
            </w:r>
            <w:r w:rsidR="000C5F6D">
              <w:rPr>
                <w:noProof/>
                <w:webHidden/>
              </w:rPr>
              <w:fldChar w:fldCharType="separate"/>
            </w:r>
            <w:r w:rsidR="000C5F6D">
              <w:rPr>
                <w:noProof/>
                <w:webHidden/>
              </w:rPr>
              <w:t>59</w:t>
            </w:r>
            <w:r w:rsidR="000C5F6D">
              <w:rPr>
                <w:noProof/>
                <w:webHidden/>
              </w:rPr>
              <w:fldChar w:fldCharType="end"/>
            </w:r>
          </w:hyperlink>
        </w:p>
        <w:p w14:paraId="629D7FE4" w14:textId="73070022" w:rsidR="000C5F6D" w:rsidRDefault="00724180">
          <w:pPr>
            <w:pStyle w:val="TOC2"/>
            <w:rPr>
              <w:rFonts w:eastAsiaTheme="minorEastAsia" w:cstheme="minorBidi"/>
              <w:noProof/>
              <w:color w:val="auto"/>
              <w:kern w:val="2"/>
              <w:sz w:val="22"/>
              <w:szCs w:val="22"/>
              <w14:ligatures w14:val="standardContextual"/>
            </w:rPr>
          </w:pPr>
          <w:hyperlink w:anchor="_Toc164783073" w:history="1">
            <w:r w:rsidR="000C5F6D" w:rsidRPr="00FE5108">
              <w:rPr>
                <w:rStyle w:val="Hyperlink"/>
                <w:noProof/>
              </w:rPr>
              <w:t>THE CORAL REEF INNOVATION PROJECT</w:t>
            </w:r>
            <w:r w:rsidR="000C5F6D">
              <w:rPr>
                <w:noProof/>
                <w:webHidden/>
              </w:rPr>
              <w:tab/>
            </w:r>
            <w:r w:rsidR="000C5F6D">
              <w:rPr>
                <w:noProof/>
                <w:webHidden/>
              </w:rPr>
              <w:fldChar w:fldCharType="begin"/>
            </w:r>
            <w:r w:rsidR="000C5F6D">
              <w:rPr>
                <w:noProof/>
                <w:webHidden/>
              </w:rPr>
              <w:instrText xml:space="preserve"> PAGEREF _Toc164783073 \h </w:instrText>
            </w:r>
            <w:r w:rsidR="000C5F6D">
              <w:rPr>
                <w:noProof/>
                <w:webHidden/>
              </w:rPr>
            </w:r>
            <w:r w:rsidR="000C5F6D">
              <w:rPr>
                <w:noProof/>
                <w:webHidden/>
              </w:rPr>
              <w:fldChar w:fldCharType="separate"/>
            </w:r>
            <w:r w:rsidR="000C5F6D">
              <w:rPr>
                <w:noProof/>
                <w:webHidden/>
              </w:rPr>
              <w:t>61</w:t>
            </w:r>
            <w:r w:rsidR="000C5F6D">
              <w:rPr>
                <w:noProof/>
                <w:webHidden/>
              </w:rPr>
              <w:fldChar w:fldCharType="end"/>
            </w:r>
          </w:hyperlink>
        </w:p>
        <w:p w14:paraId="4F403335" w14:textId="2C319CC6" w:rsidR="000C5F6D" w:rsidRDefault="00724180">
          <w:pPr>
            <w:pStyle w:val="TOC3"/>
            <w:rPr>
              <w:rFonts w:eastAsiaTheme="minorEastAsia" w:cstheme="minorBidi"/>
              <w:noProof/>
              <w:color w:val="auto"/>
              <w:kern w:val="2"/>
              <w:sz w:val="22"/>
              <w:szCs w:val="22"/>
              <w14:ligatures w14:val="standardContextual"/>
            </w:rPr>
          </w:pPr>
          <w:hyperlink w:anchor="_Toc164783074" w:history="1">
            <w:r w:rsidR="000C5F6D" w:rsidRPr="00FE5108">
              <w:rPr>
                <w:rStyle w:val="Hyperlink"/>
                <w:noProof/>
              </w:rPr>
              <w:t>Overview</w:t>
            </w:r>
            <w:r w:rsidR="000C5F6D">
              <w:rPr>
                <w:noProof/>
                <w:webHidden/>
              </w:rPr>
              <w:tab/>
            </w:r>
            <w:r w:rsidR="000C5F6D">
              <w:rPr>
                <w:noProof/>
                <w:webHidden/>
              </w:rPr>
              <w:fldChar w:fldCharType="begin"/>
            </w:r>
            <w:r w:rsidR="000C5F6D">
              <w:rPr>
                <w:noProof/>
                <w:webHidden/>
              </w:rPr>
              <w:instrText xml:space="preserve"> PAGEREF _Toc164783074 \h </w:instrText>
            </w:r>
            <w:r w:rsidR="000C5F6D">
              <w:rPr>
                <w:noProof/>
                <w:webHidden/>
              </w:rPr>
            </w:r>
            <w:r w:rsidR="000C5F6D">
              <w:rPr>
                <w:noProof/>
                <w:webHidden/>
              </w:rPr>
              <w:fldChar w:fldCharType="separate"/>
            </w:r>
            <w:r w:rsidR="000C5F6D">
              <w:rPr>
                <w:noProof/>
                <w:webHidden/>
              </w:rPr>
              <w:t>61</w:t>
            </w:r>
            <w:r w:rsidR="000C5F6D">
              <w:rPr>
                <w:noProof/>
                <w:webHidden/>
              </w:rPr>
              <w:fldChar w:fldCharType="end"/>
            </w:r>
          </w:hyperlink>
        </w:p>
        <w:p w14:paraId="6CF948E0" w14:textId="4B2DAEA1" w:rsidR="000C5F6D" w:rsidRDefault="00724180">
          <w:pPr>
            <w:pStyle w:val="TOC3"/>
            <w:rPr>
              <w:rFonts w:eastAsiaTheme="minorEastAsia" w:cstheme="minorBidi"/>
              <w:noProof/>
              <w:color w:val="auto"/>
              <w:kern w:val="2"/>
              <w:sz w:val="22"/>
              <w:szCs w:val="22"/>
              <w14:ligatures w14:val="standardContextual"/>
            </w:rPr>
          </w:pPr>
          <w:hyperlink w:anchor="_Toc164783075" w:history="1">
            <w:r w:rsidR="000C5F6D" w:rsidRPr="00FE5108">
              <w:rPr>
                <w:rStyle w:val="Hyperlink"/>
                <w:noProof/>
              </w:rPr>
              <w:t>Performance against intended outcomes</w:t>
            </w:r>
            <w:r w:rsidR="000C5F6D">
              <w:rPr>
                <w:noProof/>
                <w:webHidden/>
              </w:rPr>
              <w:tab/>
            </w:r>
            <w:r w:rsidR="000C5F6D">
              <w:rPr>
                <w:noProof/>
                <w:webHidden/>
              </w:rPr>
              <w:fldChar w:fldCharType="begin"/>
            </w:r>
            <w:r w:rsidR="000C5F6D">
              <w:rPr>
                <w:noProof/>
                <w:webHidden/>
              </w:rPr>
              <w:instrText xml:space="preserve"> PAGEREF _Toc164783075 \h </w:instrText>
            </w:r>
            <w:r w:rsidR="000C5F6D">
              <w:rPr>
                <w:noProof/>
                <w:webHidden/>
              </w:rPr>
            </w:r>
            <w:r w:rsidR="000C5F6D">
              <w:rPr>
                <w:noProof/>
                <w:webHidden/>
              </w:rPr>
              <w:fldChar w:fldCharType="separate"/>
            </w:r>
            <w:r w:rsidR="000C5F6D">
              <w:rPr>
                <w:noProof/>
                <w:webHidden/>
              </w:rPr>
              <w:t>61</w:t>
            </w:r>
            <w:r w:rsidR="000C5F6D">
              <w:rPr>
                <w:noProof/>
                <w:webHidden/>
              </w:rPr>
              <w:fldChar w:fldCharType="end"/>
            </w:r>
          </w:hyperlink>
        </w:p>
        <w:p w14:paraId="326DA44D" w14:textId="16264364" w:rsidR="000C5F6D" w:rsidRDefault="00724180">
          <w:pPr>
            <w:pStyle w:val="TOC3"/>
            <w:rPr>
              <w:rFonts w:eastAsiaTheme="minorEastAsia" w:cstheme="minorBidi"/>
              <w:noProof/>
              <w:color w:val="auto"/>
              <w:kern w:val="2"/>
              <w:sz w:val="22"/>
              <w:szCs w:val="22"/>
              <w14:ligatures w14:val="standardContextual"/>
            </w:rPr>
          </w:pPr>
          <w:hyperlink w:anchor="_Toc164783076" w:history="1">
            <w:r w:rsidR="000C5F6D" w:rsidRPr="00FE5108">
              <w:rPr>
                <w:rStyle w:val="Hyperlink"/>
                <w:noProof/>
              </w:rPr>
              <w:t>Is it a solution?</w:t>
            </w:r>
            <w:r w:rsidR="000C5F6D">
              <w:rPr>
                <w:noProof/>
                <w:webHidden/>
              </w:rPr>
              <w:tab/>
            </w:r>
            <w:r w:rsidR="000C5F6D">
              <w:rPr>
                <w:noProof/>
                <w:webHidden/>
              </w:rPr>
              <w:fldChar w:fldCharType="begin"/>
            </w:r>
            <w:r w:rsidR="000C5F6D">
              <w:rPr>
                <w:noProof/>
                <w:webHidden/>
              </w:rPr>
              <w:instrText xml:space="preserve"> PAGEREF _Toc164783076 \h </w:instrText>
            </w:r>
            <w:r w:rsidR="000C5F6D">
              <w:rPr>
                <w:noProof/>
                <w:webHidden/>
              </w:rPr>
            </w:r>
            <w:r w:rsidR="000C5F6D">
              <w:rPr>
                <w:noProof/>
                <w:webHidden/>
              </w:rPr>
              <w:fldChar w:fldCharType="separate"/>
            </w:r>
            <w:r w:rsidR="000C5F6D">
              <w:rPr>
                <w:noProof/>
                <w:webHidden/>
              </w:rPr>
              <w:t>62</w:t>
            </w:r>
            <w:r w:rsidR="000C5F6D">
              <w:rPr>
                <w:noProof/>
                <w:webHidden/>
              </w:rPr>
              <w:fldChar w:fldCharType="end"/>
            </w:r>
          </w:hyperlink>
        </w:p>
        <w:p w14:paraId="3344D93E" w14:textId="3C7265AE" w:rsidR="000C5F6D" w:rsidRDefault="00724180">
          <w:pPr>
            <w:pStyle w:val="TOC3"/>
            <w:rPr>
              <w:rFonts w:eastAsiaTheme="minorEastAsia" w:cstheme="minorBidi"/>
              <w:noProof/>
              <w:color w:val="auto"/>
              <w:kern w:val="2"/>
              <w:sz w:val="22"/>
              <w:szCs w:val="22"/>
              <w14:ligatures w14:val="standardContextual"/>
            </w:rPr>
          </w:pPr>
          <w:hyperlink w:anchor="_Toc164783077" w:history="1">
            <w:r w:rsidR="000C5F6D" w:rsidRPr="00FE5108">
              <w:rPr>
                <w:rStyle w:val="Hyperlink"/>
                <w:noProof/>
              </w:rPr>
              <w:t>NBS Pillars</w:t>
            </w:r>
            <w:r w:rsidR="000C5F6D">
              <w:rPr>
                <w:noProof/>
                <w:webHidden/>
              </w:rPr>
              <w:tab/>
            </w:r>
            <w:r w:rsidR="000C5F6D">
              <w:rPr>
                <w:noProof/>
                <w:webHidden/>
              </w:rPr>
              <w:fldChar w:fldCharType="begin"/>
            </w:r>
            <w:r w:rsidR="000C5F6D">
              <w:rPr>
                <w:noProof/>
                <w:webHidden/>
              </w:rPr>
              <w:instrText xml:space="preserve"> PAGEREF _Toc164783077 \h </w:instrText>
            </w:r>
            <w:r w:rsidR="000C5F6D">
              <w:rPr>
                <w:noProof/>
                <w:webHidden/>
              </w:rPr>
            </w:r>
            <w:r w:rsidR="000C5F6D">
              <w:rPr>
                <w:noProof/>
                <w:webHidden/>
              </w:rPr>
              <w:fldChar w:fldCharType="separate"/>
            </w:r>
            <w:r w:rsidR="000C5F6D">
              <w:rPr>
                <w:noProof/>
                <w:webHidden/>
              </w:rPr>
              <w:t>63</w:t>
            </w:r>
            <w:r w:rsidR="000C5F6D">
              <w:rPr>
                <w:noProof/>
                <w:webHidden/>
              </w:rPr>
              <w:fldChar w:fldCharType="end"/>
            </w:r>
          </w:hyperlink>
        </w:p>
        <w:p w14:paraId="734EECFF" w14:textId="3B1A3856" w:rsidR="000C5F6D" w:rsidRDefault="00724180">
          <w:pPr>
            <w:pStyle w:val="TOC3"/>
            <w:rPr>
              <w:rFonts w:eastAsiaTheme="minorEastAsia" w:cstheme="minorBidi"/>
              <w:noProof/>
              <w:color w:val="auto"/>
              <w:kern w:val="2"/>
              <w:sz w:val="22"/>
              <w:szCs w:val="22"/>
              <w14:ligatures w14:val="standardContextual"/>
            </w:rPr>
          </w:pPr>
          <w:hyperlink w:anchor="_Toc164783078" w:history="1">
            <w:r w:rsidR="000C5F6D" w:rsidRPr="00FE5108">
              <w:rPr>
                <w:rStyle w:val="Hyperlink"/>
                <w:noProof/>
              </w:rPr>
              <w:t>Relevant scale</w:t>
            </w:r>
            <w:r w:rsidR="000C5F6D">
              <w:rPr>
                <w:noProof/>
                <w:webHidden/>
              </w:rPr>
              <w:tab/>
            </w:r>
            <w:r w:rsidR="000C5F6D">
              <w:rPr>
                <w:noProof/>
                <w:webHidden/>
              </w:rPr>
              <w:fldChar w:fldCharType="begin"/>
            </w:r>
            <w:r w:rsidR="000C5F6D">
              <w:rPr>
                <w:noProof/>
                <w:webHidden/>
              </w:rPr>
              <w:instrText xml:space="preserve"> PAGEREF _Toc164783078 \h </w:instrText>
            </w:r>
            <w:r w:rsidR="000C5F6D">
              <w:rPr>
                <w:noProof/>
                <w:webHidden/>
              </w:rPr>
            </w:r>
            <w:r w:rsidR="000C5F6D">
              <w:rPr>
                <w:noProof/>
                <w:webHidden/>
              </w:rPr>
              <w:fldChar w:fldCharType="separate"/>
            </w:r>
            <w:r w:rsidR="000C5F6D">
              <w:rPr>
                <w:noProof/>
                <w:webHidden/>
              </w:rPr>
              <w:t>64</w:t>
            </w:r>
            <w:r w:rsidR="000C5F6D">
              <w:rPr>
                <w:noProof/>
                <w:webHidden/>
              </w:rPr>
              <w:fldChar w:fldCharType="end"/>
            </w:r>
          </w:hyperlink>
        </w:p>
        <w:p w14:paraId="35E6EBCC" w14:textId="686D85ED" w:rsidR="000C5F6D" w:rsidRDefault="00724180">
          <w:pPr>
            <w:pStyle w:val="TOC3"/>
            <w:rPr>
              <w:rFonts w:eastAsiaTheme="minorEastAsia" w:cstheme="minorBidi"/>
              <w:noProof/>
              <w:color w:val="auto"/>
              <w:kern w:val="2"/>
              <w:sz w:val="22"/>
              <w:szCs w:val="22"/>
              <w14:ligatures w14:val="standardContextual"/>
            </w:rPr>
          </w:pPr>
          <w:hyperlink w:anchor="_Toc164783079" w:history="1">
            <w:r w:rsidR="000C5F6D" w:rsidRPr="00FE5108">
              <w:rPr>
                <w:rStyle w:val="Hyperlink"/>
                <w:noProof/>
              </w:rPr>
              <w:t>Governance</w:t>
            </w:r>
            <w:r w:rsidR="000C5F6D">
              <w:rPr>
                <w:noProof/>
                <w:webHidden/>
              </w:rPr>
              <w:tab/>
            </w:r>
            <w:r w:rsidR="000C5F6D">
              <w:rPr>
                <w:noProof/>
                <w:webHidden/>
              </w:rPr>
              <w:fldChar w:fldCharType="begin"/>
            </w:r>
            <w:r w:rsidR="000C5F6D">
              <w:rPr>
                <w:noProof/>
                <w:webHidden/>
              </w:rPr>
              <w:instrText xml:space="preserve"> PAGEREF _Toc164783079 \h </w:instrText>
            </w:r>
            <w:r w:rsidR="000C5F6D">
              <w:rPr>
                <w:noProof/>
                <w:webHidden/>
              </w:rPr>
            </w:r>
            <w:r w:rsidR="000C5F6D">
              <w:rPr>
                <w:noProof/>
                <w:webHidden/>
              </w:rPr>
              <w:fldChar w:fldCharType="separate"/>
            </w:r>
            <w:r w:rsidR="000C5F6D">
              <w:rPr>
                <w:noProof/>
                <w:webHidden/>
              </w:rPr>
              <w:t>64</w:t>
            </w:r>
            <w:r w:rsidR="000C5F6D">
              <w:rPr>
                <w:noProof/>
                <w:webHidden/>
              </w:rPr>
              <w:fldChar w:fldCharType="end"/>
            </w:r>
          </w:hyperlink>
        </w:p>
        <w:p w14:paraId="76F0C001" w14:textId="43415BE6" w:rsidR="000C5F6D" w:rsidRDefault="00724180">
          <w:pPr>
            <w:pStyle w:val="TOC3"/>
            <w:rPr>
              <w:rFonts w:eastAsiaTheme="minorEastAsia" w:cstheme="minorBidi"/>
              <w:noProof/>
              <w:color w:val="auto"/>
              <w:kern w:val="2"/>
              <w:sz w:val="22"/>
              <w:szCs w:val="22"/>
              <w14:ligatures w14:val="standardContextual"/>
            </w:rPr>
          </w:pPr>
          <w:hyperlink w:anchor="_Toc164783080" w:history="1">
            <w:r w:rsidR="000C5F6D" w:rsidRPr="00FE5108">
              <w:rPr>
                <w:rStyle w:val="Hyperlink"/>
                <w:noProof/>
              </w:rPr>
              <w:t>Gender equality, disability, and social inclusion</w:t>
            </w:r>
            <w:r w:rsidR="000C5F6D">
              <w:rPr>
                <w:noProof/>
                <w:webHidden/>
              </w:rPr>
              <w:tab/>
            </w:r>
            <w:r w:rsidR="000C5F6D">
              <w:rPr>
                <w:noProof/>
                <w:webHidden/>
              </w:rPr>
              <w:fldChar w:fldCharType="begin"/>
            </w:r>
            <w:r w:rsidR="000C5F6D">
              <w:rPr>
                <w:noProof/>
                <w:webHidden/>
              </w:rPr>
              <w:instrText xml:space="preserve"> PAGEREF _Toc164783080 \h </w:instrText>
            </w:r>
            <w:r w:rsidR="000C5F6D">
              <w:rPr>
                <w:noProof/>
                <w:webHidden/>
              </w:rPr>
            </w:r>
            <w:r w:rsidR="000C5F6D">
              <w:rPr>
                <w:noProof/>
                <w:webHidden/>
              </w:rPr>
              <w:fldChar w:fldCharType="separate"/>
            </w:r>
            <w:r w:rsidR="000C5F6D">
              <w:rPr>
                <w:noProof/>
                <w:webHidden/>
              </w:rPr>
              <w:t>64</w:t>
            </w:r>
            <w:r w:rsidR="000C5F6D">
              <w:rPr>
                <w:noProof/>
                <w:webHidden/>
              </w:rPr>
              <w:fldChar w:fldCharType="end"/>
            </w:r>
          </w:hyperlink>
        </w:p>
        <w:p w14:paraId="0D02F0D6" w14:textId="32757707" w:rsidR="000C5F6D" w:rsidRDefault="00724180">
          <w:pPr>
            <w:pStyle w:val="TOC3"/>
            <w:rPr>
              <w:rFonts w:eastAsiaTheme="minorEastAsia" w:cstheme="minorBidi"/>
              <w:noProof/>
              <w:color w:val="auto"/>
              <w:kern w:val="2"/>
              <w:sz w:val="22"/>
              <w:szCs w:val="22"/>
              <w14:ligatures w14:val="standardContextual"/>
            </w:rPr>
          </w:pPr>
          <w:hyperlink w:anchor="_Toc164783081" w:history="1">
            <w:r w:rsidR="000C5F6D" w:rsidRPr="00FE5108">
              <w:rPr>
                <w:rStyle w:val="Hyperlink"/>
                <w:noProof/>
              </w:rPr>
              <w:t>Indigenous participation</w:t>
            </w:r>
            <w:r w:rsidR="000C5F6D">
              <w:rPr>
                <w:noProof/>
                <w:webHidden/>
              </w:rPr>
              <w:tab/>
            </w:r>
            <w:r w:rsidR="000C5F6D">
              <w:rPr>
                <w:noProof/>
                <w:webHidden/>
              </w:rPr>
              <w:fldChar w:fldCharType="begin"/>
            </w:r>
            <w:r w:rsidR="000C5F6D">
              <w:rPr>
                <w:noProof/>
                <w:webHidden/>
              </w:rPr>
              <w:instrText xml:space="preserve"> PAGEREF _Toc164783081 \h </w:instrText>
            </w:r>
            <w:r w:rsidR="000C5F6D">
              <w:rPr>
                <w:noProof/>
                <w:webHidden/>
              </w:rPr>
            </w:r>
            <w:r w:rsidR="000C5F6D">
              <w:rPr>
                <w:noProof/>
                <w:webHidden/>
              </w:rPr>
              <w:fldChar w:fldCharType="separate"/>
            </w:r>
            <w:r w:rsidR="000C5F6D">
              <w:rPr>
                <w:noProof/>
                <w:webHidden/>
              </w:rPr>
              <w:t>65</w:t>
            </w:r>
            <w:r w:rsidR="000C5F6D">
              <w:rPr>
                <w:noProof/>
                <w:webHidden/>
              </w:rPr>
              <w:fldChar w:fldCharType="end"/>
            </w:r>
          </w:hyperlink>
        </w:p>
        <w:p w14:paraId="44DDE8A1" w14:textId="127E2ADF" w:rsidR="000C5F6D" w:rsidRDefault="00724180">
          <w:pPr>
            <w:pStyle w:val="TOC3"/>
            <w:rPr>
              <w:rFonts w:eastAsiaTheme="minorEastAsia" w:cstheme="minorBidi"/>
              <w:noProof/>
              <w:color w:val="auto"/>
              <w:kern w:val="2"/>
              <w:sz w:val="22"/>
              <w:szCs w:val="22"/>
              <w14:ligatures w14:val="standardContextual"/>
            </w:rPr>
          </w:pPr>
          <w:hyperlink w:anchor="_Toc164783082" w:history="1">
            <w:r w:rsidR="000C5F6D" w:rsidRPr="00FE5108">
              <w:rPr>
                <w:rStyle w:val="Hyperlink"/>
                <w:noProof/>
              </w:rPr>
              <w:t>Safeguards</w:t>
            </w:r>
            <w:r w:rsidR="000C5F6D">
              <w:rPr>
                <w:noProof/>
                <w:webHidden/>
              </w:rPr>
              <w:tab/>
            </w:r>
            <w:r w:rsidR="000C5F6D">
              <w:rPr>
                <w:noProof/>
                <w:webHidden/>
              </w:rPr>
              <w:fldChar w:fldCharType="begin"/>
            </w:r>
            <w:r w:rsidR="000C5F6D">
              <w:rPr>
                <w:noProof/>
                <w:webHidden/>
              </w:rPr>
              <w:instrText xml:space="preserve"> PAGEREF _Toc164783082 \h </w:instrText>
            </w:r>
            <w:r w:rsidR="000C5F6D">
              <w:rPr>
                <w:noProof/>
                <w:webHidden/>
              </w:rPr>
            </w:r>
            <w:r w:rsidR="000C5F6D">
              <w:rPr>
                <w:noProof/>
                <w:webHidden/>
              </w:rPr>
              <w:fldChar w:fldCharType="separate"/>
            </w:r>
            <w:r w:rsidR="000C5F6D">
              <w:rPr>
                <w:noProof/>
                <w:webHidden/>
              </w:rPr>
              <w:t>66</w:t>
            </w:r>
            <w:r w:rsidR="000C5F6D">
              <w:rPr>
                <w:noProof/>
                <w:webHidden/>
              </w:rPr>
              <w:fldChar w:fldCharType="end"/>
            </w:r>
          </w:hyperlink>
        </w:p>
        <w:p w14:paraId="10324CBF" w14:textId="5D2BE14A" w:rsidR="000C5F6D" w:rsidRDefault="00724180">
          <w:pPr>
            <w:pStyle w:val="TOC1"/>
            <w:rPr>
              <w:rFonts w:eastAsiaTheme="minorEastAsia" w:cstheme="minorBidi"/>
              <w:b w:val="0"/>
              <w:caps w:val="0"/>
              <w:noProof/>
              <w:color w:val="auto"/>
              <w:kern w:val="2"/>
              <w:sz w:val="22"/>
              <w:szCs w:val="22"/>
              <w14:ligatures w14:val="standardContextual"/>
            </w:rPr>
          </w:pPr>
          <w:hyperlink w:anchor="_Toc164783083" w:history="1">
            <w:r w:rsidR="000C5F6D" w:rsidRPr="00FE5108">
              <w:rPr>
                <w:rStyle w:val="Hyperlink"/>
                <w:noProof/>
              </w:rPr>
              <w:t>Recommendations</w:t>
            </w:r>
            <w:r w:rsidR="000C5F6D">
              <w:rPr>
                <w:noProof/>
                <w:webHidden/>
              </w:rPr>
              <w:tab/>
            </w:r>
            <w:r w:rsidR="000C5F6D">
              <w:rPr>
                <w:noProof/>
                <w:webHidden/>
              </w:rPr>
              <w:fldChar w:fldCharType="begin"/>
            </w:r>
            <w:r w:rsidR="000C5F6D">
              <w:rPr>
                <w:noProof/>
                <w:webHidden/>
              </w:rPr>
              <w:instrText xml:space="preserve"> PAGEREF _Toc164783083 \h </w:instrText>
            </w:r>
            <w:r w:rsidR="000C5F6D">
              <w:rPr>
                <w:noProof/>
                <w:webHidden/>
              </w:rPr>
            </w:r>
            <w:r w:rsidR="000C5F6D">
              <w:rPr>
                <w:noProof/>
                <w:webHidden/>
              </w:rPr>
              <w:fldChar w:fldCharType="separate"/>
            </w:r>
            <w:r w:rsidR="000C5F6D">
              <w:rPr>
                <w:noProof/>
                <w:webHidden/>
              </w:rPr>
              <w:t>67</w:t>
            </w:r>
            <w:r w:rsidR="000C5F6D">
              <w:rPr>
                <w:noProof/>
                <w:webHidden/>
              </w:rPr>
              <w:fldChar w:fldCharType="end"/>
            </w:r>
          </w:hyperlink>
        </w:p>
        <w:p w14:paraId="74B6F035" w14:textId="42F8116A" w:rsidR="000C5F6D" w:rsidRDefault="00724180">
          <w:pPr>
            <w:pStyle w:val="TOC2"/>
            <w:rPr>
              <w:rFonts w:eastAsiaTheme="minorEastAsia" w:cstheme="minorBidi"/>
              <w:noProof/>
              <w:color w:val="auto"/>
              <w:kern w:val="2"/>
              <w:sz w:val="22"/>
              <w:szCs w:val="22"/>
              <w14:ligatures w14:val="standardContextual"/>
            </w:rPr>
          </w:pPr>
          <w:hyperlink w:anchor="_Toc164783084" w:history="1">
            <w:r w:rsidR="000C5F6D" w:rsidRPr="00FE5108">
              <w:rPr>
                <w:rStyle w:val="Hyperlink"/>
                <w:noProof/>
              </w:rPr>
              <w:t>Strategic level</w:t>
            </w:r>
            <w:r w:rsidR="000C5F6D">
              <w:rPr>
                <w:noProof/>
                <w:webHidden/>
              </w:rPr>
              <w:tab/>
            </w:r>
            <w:r w:rsidR="000C5F6D">
              <w:rPr>
                <w:noProof/>
                <w:webHidden/>
              </w:rPr>
              <w:fldChar w:fldCharType="begin"/>
            </w:r>
            <w:r w:rsidR="000C5F6D">
              <w:rPr>
                <w:noProof/>
                <w:webHidden/>
              </w:rPr>
              <w:instrText xml:space="preserve"> PAGEREF _Toc164783084 \h </w:instrText>
            </w:r>
            <w:r w:rsidR="000C5F6D">
              <w:rPr>
                <w:noProof/>
                <w:webHidden/>
              </w:rPr>
            </w:r>
            <w:r w:rsidR="000C5F6D">
              <w:rPr>
                <w:noProof/>
                <w:webHidden/>
              </w:rPr>
              <w:fldChar w:fldCharType="separate"/>
            </w:r>
            <w:r w:rsidR="000C5F6D">
              <w:rPr>
                <w:noProof/>
                <w:webHidden/>
              </w:rPr>
              <w:t>67</w:t>
            </w:r>
            <w:r w:rsidR="000C5F6D">
              <w:rPr>
                <w:noProof/>
                <w:webHidden/>
              </w:rPr>
              <w:fldChar w:fldCharType="end"/>
            </w:r>
          </w:hyperlink>
        </w:p>
        <w:p w14:paraId="292A23A1" w14:textId="6890ABFE" w:rsidR="000C5F6D" w:rsidRDefault="00724180">
          <w:pPr>
            <w:pStyle w:val="TOC2"/>
            <w:rPr>
              <w:rFonts w:eastAsiaTheme="minorEastAsia" w:cstheme="minorBidi"/>
              <w:noProof/>
              <w:color w:val="auto"/>
              <w:kern w:val="2"/>
              <w:sz w:val="22"/>
              <w:szCs w:val="22"/>
              <w14:ligatures w14:val="standardContextual"/>
            </w:rPr>
          </w:pPr>
          <w:hyperlink w:anchor="_Toc164783085" w:history="1">
            <w:r w:rsidR="000C5F6D" w:rsidRPr="00FE5108">
              <w:rPr>
                <w:rStyle w:val="Hyperlink"/>
                <w:noProof/>
              </w:rPr>
              <w:t>Investment level</w:t>
            </w:r>
            <w:r w:rsidR="000C5F6D">
              <w:rPr>
                <w:noProof/>
                <w:webHidden/>
              </w:rPr>
              <w:tab/>
            </w:r>
            <w:r w:rsidR="000C5F6D">
              <w:rPr>
                <w:noProof/>
                <w:webHidden/>
              </w:rPr>
              <w:fldChar w:fldCharType="begin"/>
            </w:r>
            <w:r w:rsidR="000C5F6D">
              <w:rPr>
                <w:noProof/>
                <w:webHidden/>
              </w:rPr>
              <w:instrText xml:space="preserve"> PAGEREF _Toc164783085 \h </w:instrText>
            </w:r>
            <w:r w:rsidR="000C5F6D">
              <w:rPr>
                <w:noProof/>
                <w:webHidden/>
              </w:rPr>
            </w:r>
            <w:r w:rsidR="000C5F6D">
              <w:rPr>
                <w:noProof/>
                <w:webHidden/>
              </w:rPr>
              <w:fldChar w:fldCharType="separate"/>
            </w:r>
            <w:r w:rsidR="000C5F6D">
              <w:rPr>
                <w:noProof/>
                <w:webHidden/>
              </w:rPr>
              <w:t>69</w:t>
            </w:r>
            <w:r w:rsidR="000C5F6D">
              <w:rPr>
                <w:noProof/>
                <w:webHidden/>
              </w:rPr>
              <w:fldChar w:fldCharType="end"/>
            </w:r>
          </w:hyperlink>
        </w:p>
        <w:p w14:paraId="50A5B36D" w14:textId="558158DD" w:rsidR="000C5F6D" w:rsidRDefault="00724180">
          <w:pPr>
            <w:pStyle w:val="TOC3"/>
            <w:rPr>
              <w:rFonts w:eastAsiaTheme="minorEastAsia" w:cstheme="minorBidi"/>
              <w:noProof/>
              <w:color w:val="auto"/>
              <w:kern w:val="2"/>
              <w:sz w:val="22"/>
              <w:szCs w:val="22"/>
              <w14:ligatures w14:val="standardContextual"/>
            </w:rPr>
          </w:pPr>
          <w:hyperlink w:anchor="_Toc164783086" w:history="1">
            <w:r w:rsidR="000C5F6D" w:rsidRPr="00FE5108">
              <w:rPr>
                <w:rStyle w:val="Hyperlink"/>
                <w:noProof/>
              </w:rPr>
              <w:t>Climate Resilient By Nature (CRxN)</w:t>
            </w:r>
            <w:r w:rsidR="000C5F6D">
              <w:rPr>
                <w:noProof/>
                <w:webHidden/>
              </w:rPr>
              <w:tab/>
            </w:r>
            <w:r w:rsidR="000C5F6D">
              <w:rPr>
                <w:noProof/>
                <w:webHidden/>
              </w:rPr>
              <w:fldChar w:fldCharType="begin"/>
            </w:r>
            <w:r w:rsidR="000C5F6D">
              <w:rPr>
                <w:noProof/>
                <w:webHidden/>
              </w:rPr>
              <w:instrText xml:space="preserve"> PAGEREF _Toc164783086 \h </w:instrText>
            </w:r>
            <w:r w:rsidR="000C5F6D">
              <w:rPr>
                <w:noProof/>
                <w:webHidden/>
              </w:rPr>
            </w:r>
            <w:r w:rsidR="000C5F6D">
              <w:rPr>
                <w:noProof/>
                <w:webHidden/>
              </w:rPr>
              <w:fldChar w:fldCharType="separate"/>
            </w:r>
            <w:r w:rsidR="000C5F6D">
              <w:rPr>
                <w:noProof/>
                <w:webHidden/>
              </w:rPr>
              <w:t>69</w:t>
            </w:r>
            <w:r w:rsidR="000C5F6D">
              <w:rPr>
                <w:noProof/>
                <w:webHidden/>
              </w:rPr>
              <w:fldChar w:fldCharType="end"/>
            </w:r>
          </w:hyperlink>
        </w:p>
        <w:p w14:paraId="7FE13190" w14:textId="3453A0FB" w:rsidR="000C5F6D" w:rsidRDefault="00724180">
          <w:pPr>
            <w:pStyle w:val="TOC3"/>
            <w:rPr>
              <w:rFonts w:eastAsiaTheme="minorEastAsia" w:cstheme="minorBidi"/>
              <w:noProof/>
              <w:color w:val="auto"/>
              <w:kern w:val="2"/>
              <w:sz w:val="22"/>
              <w:szCs w:val="22"/>
              <w14:ligatures w14:val="standardContextual"/>
            </w:rPr>
          </w:pPr>
          <w:hyperlink w:anchor="_Toc164783087" w:history="1">
            <w:r w:rsidR="000C5F6D" w:rsidRPr="00FE5108">
              <w:rPr>
                <w:rStyle w:val="Hyperlink"/>
                <w:noProof/>
              </w:rPr>
              <w:t>Pacific Blue Carbon Program</w:t>
            </w:r>
            <w:r w:rsidR="000C5F6D">
              <w:rPr>
                <w:noProof/>
                <w:webHidden/>
              </w:rPr>
              <w:tab/>
            </w:r>
            <w:r w:rsidR="000C5F6D">
              <w:rPr>
                <w:noProof/>
                <w:webHidden/>
              </w:rPr>
              <w:fldChar w:fldCharType="begin"/>
            </w:r>
            <w:r w:rsidR="000C5F6D">
              <w:rPr>
                <w:noProof/>
                <w:webHidden/>
              </w:rPr>
              <w:instrText xml:space="preserve"> PAGEREF _Toc164783087 \h </w:instrText>
            </w:r>
            <w:r w:rsidR="000C5F6D">
              <w:rPr>
                <w:noProof/>
                <w:webHidden/>
              </w:rPr>
            </w:r>
            <w:r w:rsidR="000C5F6D">
              <w:rPr>
                <w:noProof/>
                <w:webHidden/>
              </w:rPr>
              <w:fldChar w:fldCharType="separate"/>
            </w:r>
            <w:r w:rsidR="000C5F6D">
              <w:rPr>
                <w:noProof/>
                <w:webHidden/>
              </w:rPr>
              <w:t>69</w:t>
            </w:r>
            <w:r w:rsidR="000C5F6D">
              <w:rPr>
                <w:noProof/>
                <w:webHidden/>
              </w:rPr>
              <w:fldChar w:fldCharType="end"/>
            </w:r>
          </w:hyperlink>
        </w:p>
        <w:p w14:paraId="7D3760C3" w14:textId="20A6B061" w:rsidR="000C5F6D" w:rsidRDefault="00724180">
          <w:pPr>
            <w:pStyle w:val="TOC3"/>
            <w:rPr>
              <w:rFonts w:eastAsiaTheme="minorEastAsia" w:cstheme="minorBidi"/>
              <w:noProof/>
              <w:color w:val="auto"/>
              <w:kern w:val="2"/>
              <w:sz w:val="22"/>
              <w:szCs w:val="22"/>
              <w14:ligatures w14:val="standardContextual"/>
            </w:rPr>
          </w:pPr>
          <w:hyperlink w:anchor="_Toc164783088" w:history="1">
            <w:r w:rsidR="000C5F6D" w:rsidRPr="00FE5108">
              <w:rPr>
                <w:rStyle w:val="Hyperlink"/>
                <w:noProof/>
              </w:rPr>
              <w:t>The Coral Reef Innovation Project</w:t>
            </w:r>
            <w:r w:rsidR="000C5F6D">
              <w:rPr>
                <w:noProof/>
                <w:webHidden/>
              </w:rPr>
              <w:tab/>
            </w:r>
            <w:r w:rsidR="000C5F6D">
              <w:rPr>
                <w:noProof/>
                <w:webHidden/>
              </w:rPr>
              <w:fldChar w:fldCharType="begin"/>
            </w:r>
            <w:r w:rsidR="000C5F6D">
              <w:rPr>
                <w:noProof/>
                <w:webHidden/>
              </w:rPr>
              <w:instrText xml:space="preserve"> PAGEREF _Toc164783088 \h </w:instrText>
            </w:r>
            <w:r w:rsidR="000C5F6D">
              <w:rPr>
                <w:noProof/>
                <w:webHidden/>
              </w:rPr>
            </w:r>
            <w:r w:rsidR="000C5F6D">
              <w:rPr>
                <w:noProof/>
                <w:webHidden/>
              </w:rPr>
              <w:fldChar w:fldCharType="separate"/>
            </w:r>
            <w:r w:rsidR="000C5F6D">
              <w:rPr>
                <w:noProof/>
                <w:webHidden/>
              </w:rPr>
              <w:t>70</w:t>
            </w:r>
            <w:r w:rsidR="000C5F6D">
              <w:rPr>
                <w:noProof/>
                <w:webHidden/>
              </w:rPr>
              <w:fldChar w:fldCharType="end"/>
            </w:r>
          </w:hyperlink>
        </w:p>
        <w:p w14:paraId="508817FE" w14:textId="046DDF7F" w:rsidR="000C5F6D" w:rsidRDefault="00724180">
          <w:pPr>
            <w:pStyle w:val="TOC1"/>
            <w:rPr>
              <w:rFonts w:eastAsiaTheme="minorEastAsia" w:cstheme="minorBidi"/>
              <w:b w:val="0"/>
              <w:caps w:val="0"/>
              <w:noProof/>
              <w:color w:val="auto"/>
              <w:kern w:val="2"/>
              <w:sz w:val="22"/>
              <w:szCs w:val="22"/>
              <w14:ligatures w14:val="standardContextual"/>
            </w:rPr>
          </w:pPr>
          <w:hyperlink w:anchor="_Toc164783089" w:history="1">
            <w:r w:rsidR="000C5F6D" w:rsidRPr="00FE5108">
              <w:rPr>
                <w:rStyle w:val="Hyperlink"/>
                <w:noProof/>
              </w:rPr>
              <w:t>Annexes</w:t>
            </w:r>
            <w:r w:rsidR="000C5F6D">
              <w:rPr>
                <w:noProof/>
                <w:webHidden/>
              </w:rPr>
              <w:tab/>
            </w:r>
            <w:r w:rsidR="000C5F6D">
              <w:rPr>
                <w:noProof/>
                <w:webHidden/>
              </w:rPr>
              <w:fldChar w:fldCharType="begin"/>
            </w:r>
            <w:r w:rsidR="000C5F6D">
              <w:rPr>
                <w:noProof/>
                <w:webHidden/>
              </w:rPr>
              <w:instrText xml:space="preserve"> PAGEREF _Toc164783089 \h </w:instrText>
            </w:r>
            <w:r w:rsidR="000C5F6D">
              <w:rPr>
                <w:noProof/>
                <w:webHidden/>
              </w:rPr>
            </w:r>
            <w:r w:rsidR="000C5F6D">
              <w:rPr>
                <w:noProof/>
                <w:webHidden/>
              </w:rPr>
              <w:fldChar w:fldCharType="separate"/>
            </w:r>
            <w:r w:rsidR="000C5F6D">
              <w:rPr>
                <w:noProof/>
                <w:webHidden/>
              </w:rPr>
              <w:t>71</w:t>
            </w:r>
            <w:r w:rsidR="000C5F6D">
              <w:rPr>
                <w:noProof/>
                <w:webHidden/>
              </w:rPr>
              <w:fldChar w:fldCharType="end"/>
            </w:r>
          </w:hyperlink>
        </w:p>
        <w:p w14:paraId="100D4E8F" w14:textId="142A63F3" w:rsidR="000C5F6D" w:rsidRDefault="00724180">
          <w:pPr>
            <w:pStyle w:val="TOC2"/>
            <w:rPr>
              <w:rFonts w:eastAsiaTheme="minorEastAsia" w:cstheme="minorBidi"/>
              <w:noProof/>
              <w:color w:val="auto"/>
              <w:kern w:val="2"/>
              <w:sz w:val="22"/>
              <w:szCs w:val="22"/>
              <w14:ligatures w14:val="standardContextual"/>
            </w:rPr>
          </w:pPr>
          <w:hyperlink w:anchor="_Toc164783090" w:history="1">
            <w:r w:rsidR="000C5F6D" w:rsidRPr="00FE5108">
              <w:rPr>
                <w:rStyle w:val="Hyperlink"/>
                <w:noProof/>
              </w:rPr>
              <w:t>Annex 1: Key evaluation questions</w:t>
            </w:r>
            <w:r w:rsidR="000C5F6D">
              <w:rPr>
                <w:noProof/>
                <w:webHidden/>
              </w:rPr>
              <w:tab/>
            </w:r>
            <w:r w:rsidR="000C5F6D">
              <w:rPr>
                <w:noProof/>
                <w:webHidden/>
              </w:rPr>
              <w:fldChar w:fldCharType="begin"/>
            </w:r>
            <w:r w:rsidR="000C5F6D">
              <w:rPr>
                <w:noProof/>
                <w:webHidden/>
              </w:rPr>
              <w:instrText xml:space="preserve"> PAGEREF _Toc164783090 \h </w:instrText>
            </w:r>
            <w:r w:rsidR="000C5F6D">
              <w:rPr>
                <w:noProof/>
                <w:webHidden/>
              </w:rPr>
            </w:r>
            <w:r w:rsidR="000C5F6D">
              <w:rPr>
                <w:noProof/>
                <w:webHidden/>
              </w:rPr>
              <w:fldChar w:fldCharType="separate"/>
            </w:r>
            <w:r w:rsidR="000C5F6D">
              <w:rPr>
                <w:noProof/>
                <w:webHidden/>
              </w:rPr>
              <w:t>71</w:t>
            </w:r>
            <w:r w:rsidR="000C5F6D">
              <w:rPr>
                <w:noProof/>
                <w:webHidden/>
              </w:rPr>
              <w:fldChar w:fldCharType="end"/>
            </w:r>
          </w:hyperlink>
        </w:p>
        <w:p w14:paraId="698B6AE9" w14:textId="16C47718" w:rsidR="000C5F6D" w:rsidRDefault="00724180">
          <w:pPr>
            <w:pStyle w:val="TOC2"/>
            <w:rPr>
              <w:rFonts w:eastAsiaTheme="minorEastAsia" w:cstheme="minorBidi"/>
              <w:noProof/>
              <w:color w:val="auto"/>
              <w:kern w:val="2"/>
              <w:sz w:val="22"/>
              <w:szCs w:val="22"/>
              <w14:ligatures w14:val="standardContextual"/>
            </w:rPr>
          </w:pPr>
          <w:hyperlink w:anchor="_Toc164783091" w:history="1">
            <w:r w:rsidR="000C5F6D" w:rsidRPr="00FE5108">
              <w:rPr>
                <w:rStyle w:val="Hyperlink"/>
                <w:noProof/>
              </w:rPr>
              <w:t>Annex 2: Methodology</w:t>
            </w:r>
            <w:r w:rsidR="000C5F6D">
              <w:rPr>
                <w:noProof/>
                <w:webHidden/>
              </w:rPr>
              <w:tab/>
            </w:r>
            <w:r w:rsidR="000C5F6D">
              <w:rPr>
                <w:noProof/>
                <w:webHidden/>
              </w:rPr>
              <w:fldChar w:fldCharType="begin"/>
            </w:r>
            <w:r w:rsidR="000C5F6D">
              <w:rPr>
                <w:noProof/>
                <w:webHidden/>
              </w:rPr>
              <w:instrText xml:space="preserve"> PAGEREF _Toc164783091 \h </w:instrText>
            </w:r>
            <w:r w:rsidR="000C5F6D">
              <w:rPr>
                <w:noProof/>
                <w:webHidden/>
              </w:rPr>
            </w:r>
            <w:r w:rsidR="000C5F6D">
              <w:rPr>
                <w:noProof/>
                <w:webHidden/>
              </w:rPr>
              <w:fldChar w:fldCharType="separate"/>
            </w:r>
            <w:r w:rsidR="000C5F6D">
              <w:rPr>
                <w:noProof/>
                <w:webHidden/>
              </w:rPr>
              <w:t>72</w:t>
            </w:r>
            <w:r w:rsidR="000C5F6D">
              <w:rPr>
                <w:noProof/>
                <w:webHidden/>
              </w:rPr>
              <w:fldChar w:fldCharType="end"/>
            </w:r>
          </w:hyperlink>
        </w:p>
        <w:p w14:paraId="249157DE" w14:textId="6CE59872" w:rsidR="000C5F6D" w:rsidRDefault="00724180">
          <w:pPr>
            <w:pStyle w:val="TOC2"/>
            <w:rPr>
              <w:rFonts w:eastAsiaTheme="minorEastAsia" w:cstheme="minorBidi"/>
              <w:noProof/>
              <w:color w:val="auto"/>
              <w:kern w:val="2"/>
              <w:sz w:val="22"/>
              <w:szCs w:val="22"/>
              <w14:ligatures w14:val="standardContextual"/>
            </w:rPr>
          </w:pPr>
          <w:hyperlink w:anchor="_Toc164783092" w:history="1">
            <w:r w:rsidR="000C5F6D" w:rsidRPr="00FE5108">
              <w:rPr>
                <w:rStyle w:val="Hyperlink"/>
                <w:noProof/>
              </w:rPr>
              <w:t>Annex 3: Respondents interviewed</w:t>
            </w:r>
            <w:r w:rsidR="000C5F6D">
              <w:rPr>
                <w:noProof/>
                <w:webHidden/>
              </w:rPr>
              <w:tab/>
            </w:r>
            <w:r w:rsidR="000C5F6D">
              <w:rPr>
                <w:noProof/>
                <w:webHidden/>
              </w:rPr>
              <w:fldChar w:fldCharType="begin"/>
            </w:r>
            <w:r w:rsidR="000C5F6D">
              <w:rPr>
                <w:noProof/>
                <w:webHidden/>
              </w:rPr>
              <w:instrText xml:space="preserve"> PAGEREF _Toc164783092 \h </w:instrText>
            </w:r>
            <w:r w:rsidR="000C5F6D">
              <w:rPr>
                <w:noProof/>
                <w:webHidden/>
              </w:rPr>
            </w:r>
            <w:r w:rsidR="000C5F6D">
              <w:rPr>
                <w:noProof/>
                <w:webHidden/>
              </w:rPr>
              <w:fldChar w:fldCharType="separate"/>
            </w:r>
            <w:r w:rsidR="000C5F6D">
              <w:rPr>
                <w:noProof/>
                <w:webHidden/>
              </w:rPr>
              <w:t>74</w:t>
            </w:r>
            <w:r w:rsidR="000C5F6D">
              <w:rPr>
                <w:noProof/>
                <w:webHidden/>
              </w:rPr>
              <w:fldChar w:fldCharType="end"/>
            </w:r>
          </w:hyperlink>
        </w:p>
        <w:p w14:paraId="76E4B6B6" w14:textId="5A992771" w:rsidR="000C5F6D" w:rsidRDefault="00724180">
          <w:pPr>
            <w:pStyle w:val="TOC3"/>
            <w:rPr>
              <w:rFonts w:eastAsiaTheme="minorEastAsia" w:cstheme="minorBidi"/>
              <w:noProof/>
              <w:color w:val="auto"/>
              <w:kern w:val="2"/>
              <w:sz w:val="22"/>
              <w:szCs w:val="22"/>
              <w14:ligatures w14:val="standardContextual"/>
            </w:rPr>
          </w:pPr>
          <w:hyperlink w:anchor="_Toc164783093" w:history="1">
            <w:r w:rsidR="000C5F6D" w:rsidRPr="00FE5108">
              <w:rPr>
                <w:rStyle w:val="Hyperlink"/>
                <w:noProof/>
              </w:rPr>
              <w:t>Strategic level</w:t>
            </w:r>
            <w:r w:rsidR="000C5F6D">
              <w:rPr>
                <w:noProof/>
                <w:webHidden/>
              </w:rPr>
              <w:tab/>
            </w:r>
            <w:r w:rsidR="000C5F6D">
              <w:rPr>
                <w:noProof/>
                <w:webHidden/>
              </w:rPr>
              <w:fldChar w:fldCharType="begin"/>
            </w:r>
            <w:r w:rsidR="000C5F6D">
              <w:rPr>
                <w:noProof/>
                <w:webHidden/>
              </w:rPr>
              <w:instrText xml:space="preserve"> PAGEREF _Toc164783093 \h </w:instrText>
            </w:r>
            <w:r w:rsidR="000C5F6D">
              <w:rPr>
                <w:noProof/>
                <w:webHidden/>
              </w:rPr>
            </w:r>
            <w:r w:rsidR="000C5F6D">
              <w:rPr>
                <w:noProof/>
                <w:webHidden/>
              </w:rPr>
              <w:fldChar w:fldCharType="separate"/>
            </w:r>
            <w:r w:rsidR="000C5F6D">
              <w:rPr>
                <w:noProof/>
                <w:webHidden/>
              </w:rPr>
              <w:t>74</w:t>
            </w:r>
            <w:r w:rsidR="000C5F6D">
              <w:rPr>
                <w:noProof/>
                <w:webHidden/>
              </w:rPr>
              <w:fldChar w:fldCharType="end"/>
            </w:r>
          </w:hyperlink>
        </w:p>
        <w:p w14:paraId="3F4266DE" w14:textId="6AA51B6A" w:rsidR="000C5F6D" w:rsidRDefault="00724180">
          <w:pPr>
            <w:pStyle w:val="TOC3"/>
            <w:rPr>
              <w:rFonts w:eastAsiaTheme="minorEastAsia" w:cstheme="minorBidi"/>
              <w:noProof/>
              <w:color w:val="auto"/>
              <w:kern w:val="2"/>
              <w:sz w:val="22"/>
              <w:szCs w:val="22"/>
              <w14:ligatures w14:val="standardContextual"/>
            </w:rPr>
          </w:pPr>
          <w:hyperlink w:anchor="_Toc164783094" w:history="1">
            <w:r w:rsidR="000C5F6D" w:rsidRPr="00FE5108">
              <w:rPr>
                <w:rStyle w:val="Hyperlink"/>
                <w:noProof/>
              </w:rPr>
              <w:t>Pacific Blue Carbon Program</w:t>
            </w:r>
            <w:r w:rsidR="000C5F6D">
              <w:rPr>
                <w:noProof/>
                <w:webHidden/>
              </w:rPr>
              <w:tab/>
            </w:r>
            <w:r w:rsidR="000C5F6D">
              <w:rPr>
                <w:noProof/>
                <w:webHidden/>
              </w:rPr>
              <w:fldChar w:fldCharType="begin"/>
            </w:r>
            <w:r w:rsidR="000C5F6D">
              <w:rPr>
                <w:noProof/>
                <w:webHidden/>
              </w:rPr>
              <w:instrText xml:space="preserve"> PAGEREF _Toc164783094 \h </w:instrText>
            </w:r>
            <w:r w:rsidR="000C5F6D">
              <w:rPr>
                <w:noProof/>
                <w:webHidden/>
              </w:rPr>
            </w:r>
            <w:r w:rsidR="000C5F6D">
              <w:rPr>
                <w:noProof/>
                <w:webHidden/>
              </w:rPr>
              <w:fldChar w:fldCharType="separate"/>
            </w:r>
            <w:r w:rsidR="000C5F6D">
              <w:rPr>
                <w:noProof/>
                <w:webHidden/>
              </w:rPr>
              <w:t>74</w:t>
            </w:r>
            <w:r w:rsidR="000C5F6D">
              <w:rPr>
                <w:noProof/>
                <w:webHidden/>
              </w:rPr>
              <w:fldChar w:fldCharType="end"/>
            </w:r>
          </w:hyperlink>
        </w:p>
        <w:p w14:paraId="71712B23" w14:textId="42EACC61" w:rsidR="000C5F6D" w:rsidRDefault="00724180">
          <w:pPr>
            <w:pStyle w:val="TOC3"/>
            <w:rPr>
              <w:rFonts w:eastAsiaTheme="minorEastAsia" w:cstheme="minorBidi"/>
              <w:noProof/>
              <w:color w:val="auto"/>
              <w:kern w:val="2"/>
              <w:sz w:val="22"/>
              <w:szCs w:val="22"/>
              <w14:ligatures w14:val="standardContextual"/>
            </w:rPr>
          </w:pPr>
          <w:hyperlink w:anchor="_Toc164783095" w:history="1">
            <w:r w:rsidR="000C5F6D" w:rsidRPr="00FE5108">
              <w:rPr>
                <w:rStyle w:val="Hyperlink"/>
                <w:noProof/>
              </w:rPr>
              <w:t>Coral Reef Innovation Project</w:t>
            </w:r>
            <w:r w:rsidR="000C5F6D">
              <w:rPr>
                <w:noProof/>
                <w:webHidden/>
              </w:rPr>
              <w:tab/>
            </w:r>
            <w:r w:rsidR="000C5F6D">
              <w:rPr>
                <w:noProof/>
                <w:webHidden/>
              </w:rPr>
              <w:fldChar w:fldCharType="begin"/>
            </w:r>
            <w:r w:rsidR="000C5F6D">
              <w:rPr>
                <w:noProof/>
                <w:webHidden/>
              </w:rPr>
              <w:instrText xml:space="preserve"> PAGEREF _Toc164783095 \h </w:instrText>
            </w:r>
            <w:r w:rsidR="000C5F6D">
              <w:rPr>
                <w:noProof/>
                <w:webHidden/>
              </w:rPr>
            </w:r>
            <w:r w:rsidR="000C5F6D">
              <w:rPr>
                <w:noProof/>
                <w:webHidden/>
              </w:rPr>
              <w:fldChar w:fldCharType="separate"/>
            </w:r>
            <w:r w:rsidR="000C5F6D">
              <w:rPr>
                <w:noProof/>
                <w:webHidden/>
              </w:rPr>
              <w:t>74</w:t>
            </w:r>
            <w:r w:rsidR="000C5F6D">
              <w:rPr>
                <w:noProof/>
                <w:webHidden/>
              </w:rPr>
              <w:fldChar w:fldCharType="end"/>
            </w:r>
          </w:hyperlink>
        </w:p>
        <w:p w14:paraId="1D90CB6A" w14:textId="3D2C8296" w:rsidR="000C5F6D" w:rsidRDefault="00724180">
          <w:pPr>
            <w:pStyle w:val="TOC3"/>
            <w:rPr>
              <w:rFonts w:eastAsiaTheme="minorEastAsia" w:cstheme="minorBidi"/>
              <w:noProof/>
              <w:color w:val="auto"/>
              <w:kern w:val="2"/>
              <w:sz w:val="22"/>
              <w:szCs w:val="22"/>
              <w14:ligatures w14:val="standardContextual"/>
            </w:rPr>
          </w:pPr>
          <w:hyperlink w:anchor="_Toc164783096" w:history="1">
            <w:r w:rsidR="000C5F6D" w:rsidRPr="00FE5108">
              <w:rPr>
                <w:rStyle w:val="Hyperlink"/>
                <w:noProof/>
              </w:rPr>
              <w:t>Climate Resilient by Nature (CRxN)</w:t>
            </w:r>
            <w:r w:rsidR="000C5F6D">
              <w:rPr>
                <w:noProof/>
                <w:webHidden/>
              </w:rPr>
              <w:tab/>
            </w:r>
            <w:r w:rsidR="000C5F6D">
              <w:rPr>
                <w:noProof/>
                <w:webHidden/>
              </w:rPr>
              <w:fldChar w:fldCharType="begin"/>
            </w:r>
            <w:r w:rsidR="000C5F6D">
              <w:rPr>
                <w:noProof/>
                <w:webHidden/>
              </w:rPr>
              <w:instrText xml:space="preserve"> PAGEREF _Toc164783096 \h </w:instrText>
            </w:r>
            <w:r w:rsidR="000C5F6D">
              <w:rPr>
                <w:noProof/>
                <w:webHidden/>
              </w:rPr>
            </w:r>
            <w:r w:rsidR="000C5F6D">
              <w:rPr>
                <w:noProof/>
                <w:webHidden/>
              </w:rPr>
              <w:fldChar w:fldCharType="separate"/>
            </w:r>
            <w:r w:rsidR="000C5F6D">
              <w:rPr>
                <w:noProof/>
                <w:webHidden/>
              </w:rPr>
              <w:t>75</w:t>
            </w:r>
            <w:r w:rsidR="000C5F6D">
              <w:rPr>
                <w:noProof/>
                <w:webHidden/>
              </w:rPr>
              <w:fldChar w:fldCharType="end"/>
            </w:r>
          </w:hyperlink>
        </w:p>
        <w:p w14:paraId="56D851FC" w14:textId="157178A2" w:rsidR="000C5F6D" w:rsidRDefault="00724180">
          <w:pPr>
            <w:pStyle w:val="TOC2"/>
            <w:rPr>
              <w:rFonts w:eastAsiaTheme="minorEastAsia" w:cstheme="minorBidi"/>
              <w:noProof/>
              <w:color w:val="auto"/>
              <w:kern w:val="2"/>
              <w:sz w:val="22"/>
              <w:szCs w:val="22"/>
              <w14:ligatures w14:val="standardContextual"/>
            </w:rPr>
          </w:pPr>
          <w:hyperlink w:anchor="_Toc164783097" w:history="1">
            <w:r w:rsidR="000C5F6D" w:rsidRPr="00FE5108">
              <w:rPr>
                <w:rStyle w:val="Hyperlink"/>
                <w:noProof/>
              </w:rPr>
              <w:t>Annex 4: Field visit itinerary</w:t>
            </w:r>
            <w:r w:rsidR="000C5F6D">
              <w:rPr>
                <w:noProof/>
                <w:webHidden/>
              </w:rPr>
              <w:tab/>
            </w:r>
            <w:r w:rsidR="000C5F6D">
              <w:rPr>
                <w:noProof/>
                <w:webHidden/>
              </w:rPr>
              <w:fldChar w:fldCharType="begin"/>
            </w:r>
            <w:r w:rsidR="000C5F6D">
              <w:rPr>
                <w:noProof/>
                <w:webHidden/>
              </w:rPr>
              <w:instrText xml:space="preserve"> PAGEREF _Toc164783097 \h </w:instrText>
            </w:r>
            <w:r w:rsidR="000C5F6D">
              <w:rPr>
                <w:noProof/>
                <w:webHidden/>
              </w:rPr>
            </w:r>
            <w:r w:rsidR="000C5F6D">
              <w:rPr>
                <w:noProof/>
                <w:webHidden/>
              </w:rPr>
              <w:fldChar w:fldCharType="separate"/>
            </w:r>
            <w:r w:rsidR="000C5F6D">
              <w:rPr>
                <w:noProof/>
                <w:webHidden/>
              </w:rPr>
              <w:t>77</w:t>
            </w:r>
            <w:r w:rsidR="000C5F6D">
              <w:rPr>
                <w:noProof/>
                <w:webHidden/>
              </w:rPr>
              <w:fldChar w:fldCharType="end"/>
            </w:r>
          </w:hyperlink>
        </w:p>
        <w:p w14:paraId="43CE1E64" w14:textId="01635B3D" w:rsidR="000C5F6D" w:rsidRDefault="00724180">
          <w:pPr>
            <w:pStyle w:val="TOC2"/>
            <w:rPr>
              <w:rFonts w:eastAsiaTheme="minorEastAsia" w:cstheme="minorBidi"/>
              <w:noProof/>
              <w:color w:val="auto"/>
              <w:kern w:val="2"/>
              <w:sz w:val="22"/>
              <w:szCs w:val="22"/>
              <w14:ligatures w14:val="standardContextual"/>
            </w:rPr>
          </w:pPr>
          <w:hyperlink w:anchor="_Toc164783098" w:history="1">
            <w:r w:rsidR="000C5F6D" w:rsidRPr="00FE5108">
              <w:rPr>
                <w:rStyle w:val="Hyperlink"/>
                <w:noProof/>
              </w:rPr>
              <w:t xml:space="preserve">Annex 5: </w:t>
            </w:r>
            <w:r w:rsidR="00136CC4">
              <w:rPr>
                <w:rStyle w:val="Hyperlink"/>
                <w:noProof/>
              </w:rPr>
              <w:t>A</w:t>
            </w:r>
            <w:r w:rsidR="000C5F6D" w:rsidRPr="00FE5108">
              <w:rPr>
                <w:rStyle w:val="Hyperlink"/>
                <w:noProof/>
              </w:rPr>
              <w:t>ccessible text case studies</w:t>
            </w:r>
            <w:r w:rsidR="000C5F6D">
              <w:rPr>
                <w:noProof/>
                <w:webHidden/>
              </w:rPr>
              <w:tab/>
            </w:r>
            <w:r w:rsidR="000C5F6D">
              <w:rPr>
                <w:noProof/>
                <w:webHidden/>
              </w:rPr>
              <w:fldChar w:fldCharType="begin"/>
            </w:r>
            <w:r w:rsidR="000C5F6D">
              <w:rPr>
                <w:noProof/>
                <w:webHidden/>
              </w:rPr>
              <w:instrText xml:space="preserve"> PAGEREF _Toc164783098 \h </w:instrText>
            </w:r>
            <w:r w:rsidR="000C5F6D">
              <w:rPr>
                <w:noProof/>
                <w:webHidden/>
              </w:rPr>
            </w:r>
            <w:r w:rsidR="000C5F6D">
              <w:rPr>
                <w:noProof/>
                <w:webHidden/>
              </w:rPr>
              <w:fldChar w:fldCharType="separate"/>
            </w:r>
            <w:r w:rsidR="000C5F6D">
              <w:rPr>
                <w:noProof/>
                <w:webHidden/>
              </w:rPr>
              <w:t>79</w:t>
            </w:r>
            <w:r w:rsidR="000C5F6D">
              <w:rPr>
                <w:noProof/>
                <w:webHidden/>
              </w:rPr>
              <w:fldChar w:fldCharType="end"/>
            </w:r>
          </w:hyperlink>
        </w:p>
        <w:p w14:paraId="5570C71B" w14:textId="707F2A4F" w:rsidR="000C5F6D" w:rsidRDefault="00724180">
          <w:pPr>
            <w:pStyle w:val="TOC3"/>
            <w:rPr>
              <w:rFonts w:eastAsiaTheme="minorEastAsia" w:cstheme="minorBidi"/>
              <w:noProof/>
              <w:color w:val="auto"/>
              <w:kern w:val="2"/>
              <w:sz w:val="22"/>
              <w:szCs w:val="22"/>
              <w14:ligatures w14:val="standardContextual"/>
            </w:rPr>
          </w:pPr>
          <w:hyperlink w:anchor="_Toc164783099" w:history="1">
            <w:r w:rsidR="000C5F6D" w:rsidRPr="00FE5108">
              <w:rPr>
                <w:rStyle w:val="Hyperlink"/>
                <w:noProof/>
                <w:color w:val="000000" w:themeColor="hyperlink" w:themeShade="BF"/>
              </w:rPr>
              <w:t>Case Study 1: Nature-based Beekeeping</w:t>
            </w:r>
            <w:r w:rsidR="000C5F6D">
              <w:rPr>
                <w:noProof/>
                <w:webHidden/>
              </w:rPr>
              <w:tab/>
            </w:r>
            <w:r w:rsidR="000C5F6D">
              <w:rPr>
                <w:noProof/>
                <w:webHidden/>
              </w:rPr>
              <w:fldChar w:fldCharType="begin"/>
            </w:r>
            <w:r w:rsidR="000C5F6D">
              <w:rPr>
                <w:noProof/>
                <w:webHidden/>
              </w:rPr>
              <w:instrText xml:space="preserve"> PAGEREF _Toc164783099 \h </w:instrText>
            </w:r>
            <w:r w:rsidR="000C5F6D">
              <w:rPr>
                <w:noProof/>
                <w:webHidden/>
              </w:rPr>
            </w:r>
            <w:r w:rsidR="000C5F6D">
              <w:rPr>
                <w:noProof/>
                <w:webHidden/>
              </w:rPr>
              <w:fldChar w:fldCharType="separate"/>
            </w:r>
            <w:r w:rsidR="000C5F6D">
              <w:rPr>
                <w:noProof/>
                <w:webHidden/>
              </w:rPr>
              <w:t>79</w:t>
            </w:r>
            <w:r w:rsidR="000C5F6D">
              <w:rPr>
                <w:noProof/>
                <w:webHidden/>
              </w:rPr>
              <w:fldChar w:fldCharType="end"/>
            </w:r>
          </w:hyperlink>
        </w:p>
        <w:p w14:paraId="62933C69" w14:textId="77E6E0A0" w:rsidR="000C5F6D" w:rsidRDefault="00724180">
          <w:pPr>
            <w:pStyle w:val="TOC3"/>
            <w:rPr>
              <w:rFonts w:eastAsiaTheme="minorEastAsia" w:cstheme="minorBidi"/>
              <w:noProof/>
              <w:color w:val="auto"/>
              <w:kern w:val="2"/>
              <w:sz w:val="22"/>
              <w:szCs w:val="22"/>
              <w14:ligatures w14:val="standardContextual"/>
            </w:rPr>
          </w:pPr>
          <w:hyperlink w:anchor="_Toc164783100" w:history="1">
            <w:r w:rsidR="000C5F6D" w:rsidRPr="00FE5108">
              <w:rPr>
                <w:rStyle w:val="Hyperlink"/>
                <w:noProof/>
                <w:color w:val="000000" w:themeColor="hyperlink" w:themeShade="BF"/>
              </w:rPr>
              <w:t>Case Study 2: Nature-positive enterprises</w:t>
            </w:r>
            <w:r w:rsidR="000C5F6D">
              <w:rPr>
                <w:noProof/>
                <w:webHidden/>
              </w:rPr>
              <w:tab/>
            </w:r>
            <w:r w:rsidR="000C5F6D">
              <w:rPr>
                <w:noProof/>
                <w:webHidden/>
              </w:rPr>
              <w:fldChar w:fldCharType="begin"/>
            </w:r>
            <w:r w:rsidR="000C5F6D">
              <w:rPr>
                <w:noProof/>
                <w:webHidden/>
              </w:rPr>
              <w:instrText xml:space="preserve"> PAGEREF _Toc164783100 \h </w:instrText>
            </w:r>
            <w:r w:rsidR="000C5F6D">
              <w:rPr>
                <w:noProof/>
                <w:webHidden/>
              </w:rPr>
            </w:r>
            <w:r w:rsidR="000C5F6D">
              <w:rPr>
                <w:noProof/>
                <w:webHidden/>
              </w:rPr>
              <w:fldChar w:fldCharType="separate"/>
            </w:r>
            <w:r w:rsidR="000C5F6D">
              <w:rPr>
                <w:noProof/>
                <w:webHidden/>
              </w:rPr>
              <w:t>79</w:t>
            </w:r>
            <w:r w:rsidR="000C5F6D">
              <w:rPr>
                <w:noProof/>
                <w:webHidden/>
              </w:rPr>
              <w:fldChar w:fldCharType="end"/>
            </w:r>
          </w:hyperlink>
        </w:p>
        <w:p w14:paraId="45816DAC" w14:textId="1238F8AF" w:rsidR="000C5F6D" w:rsidRDefault="00724180">
          <w:pPr>
            <w:pStyle w:val="TOC3"/>
            <w:rPr>
              <w:rFonts w:eastAsiaTheme="minorEastAsia" w:cstheme="minorBidi"/>
              <w:noProof/>
              <w:color w:val="auto"/>
              <w:kern w:val="2"/>
              <w:sz w:val="22"/>
              <w:szCs w:val="22"/>
              <w14:ligatures w14:val="standardContextual"/>
            </w:rPr>
          </w:pPr>
          <w:hyperlink w:anchor="_Toc164783101" w:history="1">
            <w:r w:rsidR="000C5F6D" w:rsidRPr="00FE5108">
              <w:rPr>
                <w:rStyle w:val="Hyperlink"/>
                <w:noProof/>
                <w:color w:val="000000" w:themeColor="hyperlink" w:themeShade="BF"/>
              </w:rPr>
              <w:t>Case Study 3: Mangrove restoration for climate resilience</w:t>
            </w:r>
            <w:r w:rsidR="000C5F6D">
              <w:rPr>
                <w:noProof/>
                <w:webHidden/>
              </w:rPr>
              <w:tab/>
            </w:r>
            <w:r w:rsidR="000C5F6D">
              <w:rPr>
                <w:noProof/>
                <w:webHidden/>
              </w:rPr>
              <w:fldChar w:fldCharType="begin"/>
            </w:r>
            <w:r w:rsidR="000C5F6D">
              <w:rPr>
                <w:noProof/>
                <w:webHidden/>
              </w:rPr>
              <w:instrText xml:space="preserve"> PAGEREF _Toc164783101 \h </w:instrText>
            </w:r>
            <w:r w:rsidR="000C5F6D">
              <w:rPr>
                <w:noProof/>
                <w:webHidden/>
              </w:rPr>
            </w:r>
            <w:r w:rsidR="000C5F6D">
              <w:rPr>
                <w:noProof/>
                <w:webHidden/>
              </w:rPr>
              <w:fldChar w:fldCharType="separate"/>
            </w:r>
            <w:r w:rsidR="000C5F6D">
              <w:rPr>
                <w:noProof/>
                <w:webHidden/>
              </w:rPr>
              <w:t>80</w:t>
            </w:r>
            <w:r w:rsidR="000C5F6D">
              <w:rPr>
                <w:noProof/>
                <w:webHidden/>
              </w:rPr>
              <w:fldChar w:fldCharType="end"/>
            </w:r>
          </w:hyperlink>
        </w:p>
        <w:p w14:paraId="11593E0C" w14:textId="428DC36B" w:rsidR="000C5F6D" w:rsidRDefault="00724180">
          <w:pPr>
            <w:pStyle w:val="TOC2"/>
            <w:rPr>
              <w:rFonts w:eastAsiaTheme="minorEastAsia" w:cstheme="minorBidi"/>
              <w:noProof/>
              <w:color w:val="auto"/>
              <w:kern w:val="2"/>
              <w:sz w:val="22"/>
              <w:szCs w:val="22"/>
              <w14:ligatures w14:val="standardContextual"/>
            </w:rPr>
          </w:pPr>
          <w:hyperlink w:anchor="_Toc164783102" w:history="1">
            <w:r w:rsidR="000C5F6D" w:rsidRPr="00FE5108">
              <w:rPr>
                <w:rStyle w:val="Hyperlink"/>
                <w:noProof/>
              </w:rPr>
              <w:t>Annex 6: Bibliography</w:t>
            </w:r>
            <w:r w:rsidR="000C5F6D">
              <w:rPr>
                <w:noProof/>
                <w:webHidden/>
              </w:rPr>
              <w:tab/>
            </w:r>
            <w:r w:rsidR="000C5F6D">
              <w:rPr>
                <w:noProof/>
                <w:webHidden/>
              </w:rPr>
              <w:fldChar w:fldCharType="begin"/>
            </w:r>
            <w:r w:rsidR="000C5F6D">
              <w:rPr>
                <w:noProof/>
                <w:webHidden/>
              </w:rPr>
              <w:instrText xml:space="preserve"> PAGEREF _Toc164783102 \h </w:instrText>
            </w:r>
            <w:r w:rsidR="000C5F6D">
              <w:rPr>
                <w:noProof/>
                <w:webHidden/>
              </w:rPr>
            </w:r>
            <w:r w:rsidR="000C5F6D">
              <w:rPr>
                <w:noProof/>
                <w:webHidden/>
              </w:rPr>
              <w:fldChar w:fldCharType="separate"/>
            </w:r>
            <w:r w:rsidR="000C5F6D">
              <w:rPr>
                <w:noProof/>
                <w:webHidden/>
              </w:rPr>
              <w:t>82</w:t>
            </w:r>
            <w:r w:rsidR="000C5F6D">
              <w:rPr>
                <w:noProof/>
                <w:webHidden/>
              </w:rPr>
              <w:fldChar w:fldCharType="end"/>
            </w:r>
          </w:hyperlink>
        </w:p>
        <w:p w14:paraId="284E3A59" w14:textId="27AE0EAE" w:rsidR="000D3E85" w:rsidRDefault="00E7443E">
          <w:r>
            <w:rPr>
              <w:b/>
              <w:color w:val="1D336D" w:themeColor="background2"/>
            </w:rPr>
            <w:fldChar w:fldCharType="end"/>
          </w:r>
        </w:p>
      </w:sdtContent>
    </w:sdt>
    <w:p w14:paraId="1C000EE0" w14:textId="77777777" w:rsidR="006B7018" w:rsidRDefault="006B7018" w:rsidP="000D3E85">
      <w:pPr>
        <w:sectPr w:rsidR="006B7018" w:rsidSect="00D37127">
          <w:headerReference w:type="default" r:id="rId16"/>
          <w:footerReference w:type="default" r:id="rId17"/>
          <w:headerReference w:type="first" r:id="rId18"/>
          <w:footerReference w:type="first" r:id="rId19"/>
          <w:pgSz w:w="11906" w:h="16838" w:code="9"/>
          <w:pgMar w:top="1701" w:right="1134" w:bottom="1134" w:left="1134" w:header="851" w:footer="454" w:gutter="0"/>
          <w:pgBorders w:offsetFrom="page">
            <w:top w:val="single" w:sz="36" w:space="0" w:color="1D336D" w:themeColor="background2"/>
            <w:left w:val="single" w:sz="36" w:space="0" w:color="1D336D" w:themeColor="background2"/>
            <w:bottom w:val="single" w:sz="36" w:space="0" w:color="1D336D" w:themeColor="background2"/>
            <w:right w:val="single" w:sz="36" w:space="0" w:color="1D336D" w:themeColor="background2"/>
          </w:pgBorders>
          <w:cols w:space="709"/>
          <w:titlePg/>
          <w:docGrid w:linePitch="360"/>
        </w:sectPr>
      </w:pPr>
    </w:p>
    <w:p w14:paraId="5A7F7D67" w14:textId="2AD11651" w:rsidR="00EA7FE2" w:rsidRPr="00EA7FE2" w:rsidRDefault="00EA7FE2" w:rsidP="00EA7FE2">
      <w:pPr>
        <w:pStyle w:val="ChapterHeading"/>
      </w:pPr>
      <w:bookmarkStart w:id="0" w:name="_Hlk137131705"/>
      <w:bookmarkStart w:id="1" w:name="_Toc164783020"/>
      <w:bookmarkEnd w:id="0"/>
      <w:r w:rsidRPr="00EA7FE2">
        <w:lastRenderedPageBreak/>
        <w:t>Acknowledgements</w:t>
      </w:r>
      <w:bookmarkEnd w:id="1"/>
    </w:p>
    <w:p w14:paraId="28CCEC58" w14:textId="3BB920F4" w:rsidR="00EA7FE2" w:rsidRPr="00EA7FE2" w:rsidRDefault="00EA7FE2" w:rsidP="00EA7FE2">
      <w:pPr>
        <w:spacing w:after="0" w:line="240" w:lineRule="auto"/>
        <w:rPr>
          <w:szCs w:val="20"/>
        </w:rPr>
      </w:pPr>
      <w:r w:rsidRPr="00EA7FE2">
        <w:rPr>
          <w:szCs w:val="20"/>
        </w:rPr>
        <w:t xml:space="preserve"> </w:t>
      </w:r>
    </w:p>
    <w:p w14:paraId="4AD48AD9" w14:textId="479C9C00" w:rsidR="00EA7FE2" w:rsidRPr="00EA7FE2" w:rsidRDefault="00EA7FE2" w:rsidP="00EA7FE2">
      <w:r w:rsidRPr="00EA7FE2">
        <w:t>The authors would like to acknowledge all communities and individuals who are courageously confronting the impacts of the current climate crisis, particularly those harnessing the power of nature to cope with and adapt to evolving circumstances. We extend our gratitude to all community members who generously shared their valuable knowledge and experiences with our team.</w:t>
      </w:r>
    </w:p>
    <w:p w14:paraId="37426643" w14:textId="4BBB8463" w:rsidR="00EA7FE2" w:rsidRPr="00EA7FE2" w:rsidRDefault="00EA7FE2" w:rsidP="00EA7FE2">
      <w:r w:rsidRPr="00EA7FE2">
        <w:t>The authors wish to thank the staff of the Australian Department of Foreign Affairs and Trade, partner government representatives, and the staff of all organisations who are managing and implementing Australia’s nature-based solutions investments, for the generosity of their time and their insights that have contributed to this Independent Evaluation. We would also like to thank Alice Hawkins, who managed this evaluation on behalf of the Australian Department of Foreign Affairs, providing significant and invaluable support to this evaluation. The views expressed herein are those of the authors and are not necessarily those of the Australian Government.</w:t>
      </w:r>
    </w:p>
    <w:p w14:paraId="34804B42" w14:textId="5CB7E37B" w:rsidR="00D77494" w:rsidRDefault="00EA7FE2" w:rsidP="00D77494">
      <w:r w:rsidRPr="00EA7FE2">
        <w:t>Alinea International acknowledges that our Australian head office is on the land of the Wurundjeri people of the Kulin Nation and their sovereignty was never ceded. We pay our respects to their elders – past, present, and emerging. We acknowledge and seek to champion the continued connection of Aboriginal and Torres Strait Islander peoples to land, water, sky, and community, and we pay our respects to all First Nations people whose communities we work in around the world.</w:t>
      </w:r>
      <w:r w:rsidR="00D77494">
        <w:br w:type="page"/>
      </w:r>
    </w:p>
    <w:p w14:paraId="71725000" w14:textId="0F2F344C" w:rsidR="00EA7FE2" w:rsidRPr="00A10953" w:rsidRDefault="00EA7FE2" w:rsidP="00A10953">
      <w:pPr>
        <w:pStyle w:val="Style1"/>
      </w:pPr>
      <w:r>
        <w:lastRenderedPageBreak/>
        <w:t>Abbreviations</w:t>
      </w:r>
    </w:p>
    <w:p w14:paraId="5B5DFC0D" w14:textId="77777777" w:rsidR="000A62D2" w:rsidRPr="00EA7FE2" w:rsidRDefault="00EA7FE2" w:rsidP="00EA7FE2">
      <w:pPr>
        <w:spacing w:after="0" w:line="240" w:lineRule="auto"/>
        <w:rPr>
          <w:szCs w:val="20"/>
        </w:rPr>
      </w:pPr>
      <w:r w:rsidRPr="00EA7FE2">
        <w:rPr>
          <w:szCs w:val="20"/>
        </w:rPr>
        <w:t xml:space="preserve"> </w:t>
      </w:r>
    </w:p>
    <w:tbl>
      <w:tblPr>
        <w:tblW w:w="0" w:type="auto"/>
        <w:jc w:val="center"/>
        <w:tblLayout w:type="fixed"/>
        <w:tblCellMar>
          <w:left w:w="0" w:type="dxa"/>
          <w:right w:w="0" w:type="dxa"/>
        </w:tblCellMar>
        <w:tblLook w:val="01E0" w:firstRow="1" w:lastRow="1" w:firstColumn="1" w:lastColumn="1" w:noHBand="0" w:noVBand="0"/>
      </w:tblPr>
      <w:tblGrid>
        <w:gridCol w:w="1277"/>
        <w:gridCol w:w="8355"/>
      </w:tblGrid>
      <w:tr w:rsidR="0015537A" w14:paraId="198B171B" w14:textId="77777777" w:rsidTr="00C35F89">
        <w:trPr>
          <w:trHeight w:val="489"/>
          <w:tblHeader/>
          <w:jc w:val="center"/>
        </w:trPr>
        <w:tc>
          <w:tcPr>
            <w:tcW w:w="1277" w:type="dxa"/>
            <w:tcBorders>
              <w:top w:val="single" w:sz="8" w:space="0" w:color="2193CD"/>
              <w:bottom w:val="single" w:sz="4" w:space="0" w:color="1D336C"/>
            </w:tcBorders>
            <w:shd w:val="clear" w:color="auto" w:fill="F1F1F1"/>
          </w:tcPr>
          <w:p w14:paraId="4BFBA8F3" w14:textId="5A2AC7CC" w:rsidR="0015537A" w:rsidRPr="00167938" w:rsidRDefault="00BC70CC">
            <w:pPr>
              <w:pStyle w:val="TableParagraph"/>
              <w:rPr>
                <w:b/>
                <w:color w:val="1D336D" w:themeColor="background2"/>
                <w:spacing w:val="-4"/>
                <w:sz w:val="20"/>
              </w:rPr>
            </w:pPr>
            <w:r>
              <w:rPr>
                <w:b/>
                <w:color w:val="1D336D" w:themeColor="background2"/>
                <w:spacing w:val="-4"/>
                <w:sz w:val="20"/>
              </w:rPr>
              <w:t>Abbreviation</w:t>
            </w:r>
          </w:p>
        </w:tc>
        <w:tc>
          <w:tcPr>
            <w:tcW w:w="8355" w:type="dxa"/>
            <w:tcBorders>
              <w:top w:val="single" w:sz="8" w:space="0" w:color="2193CD"/>
              <w:bottom w:val="single" w:sz="4" w:space="0" w:color="1D336C"/>
            </w:tcBorders>
          </w:tcPr>
          <w:p w14:paraId="108D588F" w14:textId="5C0E86A3" w:rsidR="0015537A" w:rsidRPr="00BC70CC" w:rsidRDefault="00BC70CC">
            <w:pPr>
              <w:pStyle w:val="TableParagraph"/>
              <w:rPr>
                <w:b/>
                <w:bCs/>
                <w:color w:val="1D336D" w:themeColor="background2"/>
                <w:sz w:val="20"/>
              </w:rPr>
            </w:pPr>
            <w:r w:rsidRPr="00BC70CC">
              <w:rPr>
                <w:b/>
                <w:bCs/>
                <w:color w:val="1D336D" w:themeColor="background2"/>
                <w:sz w:val="20"/>
              </w:rPr>
              <w:t>Definition</w:t>
            </w:r>
          </w:p>
        </w:tc>
      </w:tr>
      <w:tr w:rsidR="000A62D2" w14:paraId="1F2265E2" w14:textId="77777777" w:rsidTr="00A10953">
        <w:trPr>
          <w:trHeight w:val="489"/>
          <w:jc w:val="center"/>
        </w:trPr>
        <w:tc>
          <w:tcPr>
            <w:tcW w:w="1277" w:type="dxa"/>
            <w:tcBorders>
              <w:top w:val="single" w:sz="8" w:space="0" w:color="2193CD"/>
              <w:bottom w:val="single" w:sz="4" w:space="0" w:color="1D336C"/>
            </w:tcBorders>
            <w:shd w:val="clear" w:color="auto" w:fill="F1F1F1"/>
          </w:tcPr>
          <w:p w14:paraId="3F9B690C" w14:textId="77777777" w:rsidR="000A62D2" w:rsidRPr="00167938" w:rsidRDefault="000A62D2">
            <w:pPr>
              <w:pStyle w:val="TableParagraph"/>
              <w:rPr>
                <w:b/>
                <w:color w:val="1D336D" w:themeColor="background2"/>
                <w:sz w:val="20"/>
              </w:rPr>
            </w:pPr>
            <w:bookmarkStart w:id="2" w:name="_Hlk159250029"/>
            <w:r w:rsidRPr="00167938">
              <w:rPr>
                <w:b/>
                <w:color w:val="1D336D" w:themeColor="background2"/>
                <w:spacing w:val="-4"/>
                <w:sz w:val="20"/>
              </w:rPr>
              <w:t>AIMS</w:t>
            </w:r>
          </w:p>
        </w:tc>
        <w:tc>
          <w:tcPr>
            <w:tcW w:w="8355" w:type="dxa"/>
            <w:tcBorders>
              <w:top w:val="single" w:sz="8" w:space="0" w:color="2193CD"/>
              <w:bottom w:val="single" w:sz="4" w:space="0" w:color="1D336C"/>
            </w:tcBorders>
          </w:tcPr>
          <w:p w14:paraId="4819C188" w14:textId="77777777" w:rsidR="000A62D2" w:rsidRPr="00790689" w:rsidRDefault="000A62D2">
            <w:pPr>
              <w:pStyle w:val="TableParagraph"/>
              <w:rPr>
                <w:i/>
                <w:iCs/>
                <w:color w:val="1D336D" w:themeColor="background2"/>
                <w:sz w:val="20"/>
              </w:rPr>
            </w:pPr>
            <w:r w:rsidRPr="00790689">
              <w:rPr>
                <w:i/>
                <w:iCs/>
                <w:color w:val="1D336D" w:themeColor="background2"/>
                <w:sz w:val="20"/>
              </w:rPr>
              <w:t>Australian</w:t>
            </w:r>
            <w:r w:rsidRPr="00790689">
              <w:rPr>
                <w:i/>
                <w:iCs/>
                <w:color w:val="1D336D" w:themeColor="background2"/>
                <w:spacing w:val="-8"/>
                <w:sz w:val="20"/>
              </w:rPr>
              <w:t xml:space="preserve"> </w:t>
            </w:r>
            <w:r w:rsidRPr="00790689">
              <w:rPr>
                <w:i/>
                <w:iCs/>
                <w:color w:val="1D336D" w:themeColor="background2"/>
                <w:sz w:val="20"/>
              </w:rPr>
              <w:t>Institute</w:t>
            </w:r>
            <w:r w:rsidRPr="00790689">
              <w:rPr>
                <w:i/>
                <w:iCs/>
                <w:color w:val="1D336D" w:themeColor="background2"/>
                <w:spacing w:val="-8"/>
                <w:sz w:val="20"/>
              </w:rPr>
              <w:t xml:space="preserve"> </w:t>
            </w:r>
            <w:r w:rsidRPr="00790689">
              <w:rPr>
                <w:i/>
                <w:iCs/>
                <w:color w:val="1D336D" w:themeColor="background2"/>
                <w:sz w:val="20"/>
              </w:rPr>
              <w:t>of</w:t>
            </w:r>
            <w:r w:rsidRPr="00790689">
              <w:rPr>
                <w:i/>
                <w:iCs/>
                <w:color w:val="1D336D" w:themeColor="background2"/>
                <w:spacing w:val="-6"/>
                <w:sz w:val="20"/>
              </w:rPr>
              <w:t xml:space="preserve"> </w:t>
            </w:r>
            <w:r w:rsidRPr="00790689">
              <w:rPr>
                <w:i/>
                <w:iCs/>
                <w:color w:val="1D336D" w:themeColor="background2"/>
                <w:sz w:val="20"/>
              </w:rPr>
              <w:t>Marine</w:t>
            </w:r>
            <w:r w:rsidRPr="00790689">
              <w:rPr>
                <w:i/>
                <w:iCs/>
                <w:color w:val="1D336D" w:themeColor="background2"/>
                <w:spacing w:val="-8"/>
                <w:sz w:val="20"/>
              </w:rPr>
              <w:t xml:space="preserve"> </w:t>
            </w:r>
            <w:r w:rsidRPr="00790689">
              <w:rPr>
                <w:i/>
                <w:iCs/>
                <w:color w:val="1D336D" w:themeColor="background2"/>
                <w:spacing w:val="-2"/>
                <w:sz w:val="20"/>
              </w:rPr>
              <w:t>Science</w:t>
            </w:r>
          </w:p>
        </w:tc>
      </w:tr>
      <w:tr w:rsidR="000A62D2" w14:paraId="4EF831BC" w14:textId="77777777" w:rsidTr="00A10953">
        <w:trPr>
          <w:trHeight w:val="491"/>
          <w:jc w:val="center"/>
        </w:trPr>
        <w:tc>
          <w:tcPr>
            <w:tcW w:w="1277" w:type="dxa"/>
            <w:tcBorders>
              <w:top w:val="single" w:sz="4" w:space="0" w:color="1D336C"/>
              <w:bottom w:val="single" w:sz="4" w:space="0" w:color="1D336C"/>
            </w:tcBorders>
            <w:shd w:val="clear" w:color="auto" w:fill="F1F1F1"/>
          </w:tcPr>
          <w:p w14:paraId="05AB6306" w14:textId="77777777" w:rsidR="000A62D2" w:rsidRPr="00167938" w:rsidRDefault="000A62D2">
            <w:pPr>
              <w:pStyle w:val="TableParagraph"/>
              <w:rPr>
                <w:b/>
                <w:color w:val="1D336D" w:themeColor="background2"/>
                <w:sz w:val="20"/>
              </w:rPr>
            </w:pPr>
            <w:r w:rsidRPr="00167938">
              <w:rPr>
                <w:b/>
                <w:color w:val="1D336D" w:themeColor="background2"/>
                <w:spacing w:val="-4"/>
                <w:sz w:val="20"/>
              </w:rPr>
              <w:t>CEPA</w:t>
            </w:r>
          </w:p>
        </w:tc>
        <w:tc>
          <w:tcPr>
            <w:tcW w:w="8355" w:type="dxa"/>
            <w:tcBorders>
              <w:top w:val="single" w:sz="4" w:space="0" w:color="1D336C"/>
              <w:bottom w:val="single" w:sz="4" w:space="0" w:color="1D336C"/>
            </w:tcBorders>
          </w:tcPr>
          <w:p w14:paraId="1B02A171" w14:textId="77777777" w:rsidR="000A62D2" w:rsidRPr="00790689" w:rsidRDefault="000A62D2">
            <w:pPr>
              <w:pStyle w:val="TableParagraph"/>
              <w:rPr>
                <w:i/>
                <w:iCs/>
                <w:color w:val="1D336D" w:themeColor="background2"/>
                <w:sz w:val="20"/>
              </w:rPr>
            </w:pPr>
            <w:r w:rsidRPr="00790689">
              <w:rPr>
                <w:i/>
                <w:iCs/>
                <w:color w:val="1D336D" w:themeColor="background2"/>
                <w:sz w:val="20"/>
              </w:rPr>
              <w:t>Culture</w:t>
            </w:r>
            <w:r w:rsidRPr="00790689">
              <w:rPr>
                <w:i/>
                <w:iCs/>
                <w:color w:val="1D336D" w:themeColor="background2"/>
                <w:spacing w:val="-12"/>
                <w:sz w:val="20"/>
              </w:rPr>
              <w:t xml:space="preserve"> </w:t>
            </w:r>
            <w:r w:rsidRPr="00790689">
              <w:rPr>
                <w:i/>
                <w:iCs/>
                <w:color w:val="1D336D" w:themeColor="background2"/>
                <w:sz w:val="20"/>
              </w:rPr>
              <w:t>and</w:t>
            </w:r>
            <w:r w:rsidRPr="00790689">
              <w:rPr>
                <w:i/>
                <w:iCs/>
                <w:color w:val="1D336D" w:themeColor="background2"/>
                <w:spacing w:val="-10"/>
                <w:sz w:val="20"/>
              </w:rPr>
              <w:t xml:space="preserve"> </w:t>
            </w:r>
            <w:r w:rsidRPr="00790689">
              <w:rPr>
                <w:i/>
                <w:iCs/>
                <w:color w:val="1D336D" w:themeColor="background2"/>
                <w:sz w:val="20"/>
              </w:rPr>
              <w:t>Environment</w:t>
            </w:r>
            <w:r w:rsidRPr="00790689">
              <w:rPr>
                <w:i/>
                <w:iCs/>
                <w:color w:val="1D336D" w:themeColor="background2"/>
                <w:spacing w:val="-9"/>
                <w:sz w:val="20"/>
              </w:rPr>
              <w:t xml:space="preserve"> </w:t>
            </w:r>
            <w:r w:rsidRPr="00790689">
              <w:rPr>
                <w:i/>
                <w:iCs/>
                <w:color w:val="1D336D" w:themeColor="background2"/>
                <w:sz w:val="20"/>
              </w:rPr>
              <w:t>Preservation</w:t>
            </w:r>
            <w:r w:rsidRPr="00790689">
              <w:rPr>
                <w:i/>
                <w:iCs/>
                <w:color w:val="1D336D" w:themeColor="background2"/>
                <w:spacing w:val="-11"/>
                <w:sz w:val="20"/>
              </w:rPr>
              <w:t xml:space="preserve"> </w:t>
            </w:r>
            <w:r w:rsidRPr="00790689">
              <w:rPr>
                <w:i/>
                <w:iCs/>
                <w:color w:val="1D336D" w:themeColor="background2"/>
                <w:spacing w:val="-2"/>
                <w:sz w:val="20"/>
              </w:rPr>
              <w:t>Association</w:t>
            </w:r>
          </w:p>
        </w:tc>
      </w:tr>
      <w:tr w:rsidR="000A62D2" w14:paraId="2B5C7283" w14:textId="77777777" w:rsidTr="00A10953">
        <w:trPr>
          <w:trHeight w:val="489"/>
          <w:jc w:val="center"/>
        </w:trPr>
        <w:tc>
          <w:tcPr>
            <w:tcW w:w="1277" w:type="dxa"/>
            <w:tcBorders>
              <w:top w:val="single" w:sz="4" w:space="0" w:color="1D336C"/>
              <w:bottom w:val="single" w:sz="4" w:space="0" w:color="1D336C"/>
            </w:tcBorders>
            <w:shd w:val="clear" w:color="auto" w:fill="F1F1F1"/>
          </w:tcPr>
          <w:p w14:paraId="2298D04A" w14:textId="77777777" w:rsidR="000A62D2" w:rsidRPr="00167938" w:rsidRDefault="000A62D2">
            <w:pPr>
              <w:pStyle w:val="TableParagraph"/>
              <w:spacing w:before="134"/>
              <w:rPr>
                <w:b/>
                <w:color w:val="1D336D" w:themeColor="background2"/>
                <w:sz w:val="20"/>
              </w:rPr>
            </w:pPr>
            <w:r w:rsidRPr="00167938">
              <w:rPr>
                <w:b/>
                <w:color w:val="1D336D" w:themeColor="background2"/>
                <w:spacing w:val="-4"/>
                <w:sz w:val="20"/>
              </w:rPr>
              <w:t>CRIP</w:t>
            </w:r>
          </w:p>
        </w:tc>
        <w:tc>
          <w:tcPr>
            <w:tcW w:w="8355" w:type="dxa"/>
            <w:tcBorders>
              <w:top w:val="single" w:sz="4" w:space="0" w:color="1D336C"/>
              <w:bottom w:val="single" w:sz="4" w:space="0" w:color="1D336C"/>
            </w:tcBorders>
          </w:tcPr>
          <w:p w14:paraId="5B7B7C4D" w14:textId="77777777" w:rsidR="000A62D2" w:rsidRPr="00790689" w:rsidRDefault="000A62D2">
            <w:pPr>
              <w:pStyle w:val="TableParagraph"/>
              <w:spacing w:before="134"/>
              <w:rPr>
                <w:i/>
                <w:iCs/>
                <w:color w:val="1D336D" w:themeColor="background2"/>
                <w:sz w:val="20"/>
              </w:rPr>
            </w:pPr>
            <w:r w:rsidRPr="00790689">
              <w:rPr>
                <w:i/>
                <w:iCs/>
                <w:color w:val="1D336D" w:themeColor="background2"/>
                <w:sz w:val="20"/>
              </w:rPr>
              <w:t>Coral</w:t>
            </w:r>
            <w:r w:rsidRPr="00790689">
              <w:rPr>
                <w:i/>
                <w:iCs/>
                <w:color w:val="1D336D" w:themeColor="background2"/>
                <w:spacing w:val="-10"/>
                <w:sz w:val="20"/>
              </w:rPr>
              <w:t xml:space="preserve"> </w:t>
            </w:r>
            <w:r w:rsidRPr="00790689">
              <w:rPr>
                <w:i/>
                <w:iCs/>
                <w:color w:val="1D336D" w:themeColor="background2"/>
                <w:sz w:val="20"/>
              </w:rPr>
              <w:t>Reef</w:t>
            </w:r>
            <w:r w:rsidRPr="00790689">
              <w:rPr>
                <w:i/>
                <w:iCs/>
                <w:color w:val="1D336D" w:themeColor="background2"/>
                <w:spacing w:val="-7"/>
                <w:sz w:val="20"/>
              </w:rPr>
              <w:t xml:space="preserve"> </w:t>
            </w:r>
            <w:r w:rsidRPr="00790689">
              <w:rPr>
                <w:i/>
                <w:iCs/>
                <w:color w:val="1D336D" w:themeColor="background2"/>
                <w:sz w:val="20"/>
              </w:rPr>
              <w:t>Innovation</w:t>
            </w:r>
            <w:r w:rsidRPr="00790689">
              <w:rPr>
                <w:i/>
                <w:iCs/>
                <w:color w:val="1D336D" w:themeColor="background2"/>
                <w:spacing w:val="-8"/>
                <w:sz w:val="20"/>
              </w:rPr>
              <w:t xml:space="preserve"> </w:t>
            </w:r>
            <w:r w:rsidRPr="00790689">
              <w:rPr>
                <w:i/>
                <w:iCs/>
                <w:color w:val="1D336D" w:themeColor="background2"/>
                <w:spacing w:val="-2"/>
                <w:sz w:val="20"/>
              </w:rPr>
              <w:t>Project</w:t>
            </w:r>
          </w:p>
        </w:tc>
      </w:tr>
      <w:tr w:rsidR="000A62D2" w14:paraId="458131F6" w14:textId="77777777" w:rsidTr="00A10953">
        <w:trPr>
          <w:trHeight w:val="489"/>
          <w:jc w:val="center"/>
        </w:trPr>
        <w:tc>
          <w:tcPr>
            <w:tcW w:w="1277" w:type="dxa"/>
            <w:tcBorders>
              <w:top w:val="single" w:sz="4" w:space="0" w:color="1D336C"/>
              <w:bottom w:val="single" w:sz="4" w:space="0" w:color="1D336C"/>
            </w:tcBorders>
            <w:shd w:val="clear" w:color="auto" w:fill="F1F1F1"/>
          </w:tcPr>
          <w:p w14:paraId="14A1CB95" w14:textId="77777777" w:rsidR="000A62D2" w:rsidRPr="00167938" w:rsidRDefault="000A62D2">
            <w:pPr>
              <w:pStyle w:val="TableParagraph"/>
              <w:rPr>
                <w:b/>
                <w:color w:val="1D336D" w:themeColor="background2"/>
                <w:sz w:val="20"/>
              </w:rPr>
            </w:pPr>
            <w:proofErr w:type="spellStart"/>
            <w:r w:rsidRPr="00167938">
              <w:rPr>
                <w:b/>
                <w:color w:val="1D336D" w:themeColor="background2"/>
                <w:spacing w:val="-4"/>
                <w:sz w:val="20"/>
              </w:rPr>
              <w:t>CRxN</w:t>
            </w:r>
            <w:proofErr w:type="spellEnd"/>
          </w:p>
        </w:tc>
        <w:tc>
          <w:tcPr>
            <w:tcW w:w="8355" w:type="dxa"/>
            <w:tcBorders>
              <w:top w:val="single" w:sz="4" w:space="0" w:color="1D336C"/>
              <w:bottom w:val="single" w:sz="4" w:space="0" w:color="1D336C"/>
            </w:tcBorders>
          </w:tcPr>
          <w:p w14:paraId="1E0BCB41" w14:textId="77777777" w:rsidR="000A62D2" w:rsidRPr="00790689" w:rsidRDefault="000A62D2">
            <w:pPr>
              <w:pStyle w:val="TableParagraph"/>
              <w:rPr>
                <w:i/>
                <w:iCs/>
                <w:color w:val="1D336D" w:themeColor="background2"/>
                <w:sz w:val="20"/>
              </w:rPr>
            </w:pPr>
            <w:r w:rsidRPr="00790689">
              <w:rPr>
                <w:i/>
                <w:iCs/>
                <w:color w:val="1D336D" w:themeColor="background2"/>
                <w:sz w:val="20"/>
              </w:rPr>
              <w:t>Climate</w:t>
            </w:r>
            <w:r w:rsidRPr="00790689">
              <w:rPr>
                <w:i/>
                <w:iCs/>
                <w:color w:val="1D336D" w:themeColor="background2"/>
                <w:spacing w:val="-7"/>
                <w:sz w:val="20"/>
              </w:rPr>
              <w:t xml:space="preserve"> </w:t>
            </w:r>
            <w:r w:rsidRPr="00790689">
              <w:rPr>
                <w:i/>
                <w:iCs/>
                <w:color w:val="1D336D" w:themeColor="background2"/>
                <w:sz w:val="20"/>
              </w:rPr>
              <w:t>Resilient</w:t>
            </w:r>
            <w:r w:rsidRPr="00790689">
              <w:rPr>
                <w:i/>
                <w:iCs/>
                <w:color w:val="1D336D" w:themeColor="background2"/>
                <w:spacing w:val="-7"/>
                <w:sz w:val="20"/>
              </w:rPr>
              <w:t xml:space="preserve"> </w:t>
            </w:r>
            <w:r w:rsidRPr="00790689">
              <w:rPr>
                <w:i/>
                <w:iCs/>
                <w:color w:val="1D336D" w:themeColor="background2"/>
                <w:sz w:val="20"/>
              </w:rPr>
              <w:t>by</w:t>
            </w:r>
            <w:r w:rsidRPr="00790689">
              <w:rPr>
                <w:i/>
                <w:iCs/>
                <w:color w:val="1D336D" w:themeColor="background2"/>
                <w:spacing w:val="-7"/>
                <w:sz w:val="20"/>
              </w:rPr>
              <w:t xml:space="preserve"> </w:t>
            </w:r>
            <w:r w:rsidRPr="00790689">
              <w:rPr>
                <w:i/>
                <w:iCs/>
                <w:color w:val="1D336D" w:themeColor="background2"/>
                <w:spacing w:val="-2"/>
                <w:sz w:val="20"/>
              </w:rPr>
              <w:t>Nature</w:t>
            </w:r>
          </w:p>
        </w:tc>
      </w:tr>
      <w:tr w:rsidR="000A62D2" w14:paraId="28ADF91F" w14:textId="77777777" w:rsidTr="00A10953">
        <w:trPr>
          <w:trHeight w:val="492"/>
          <w:jc w:val="center"/>
        </w:trPr>
        <w:tc>
          <w:tcPr>
            <w:tcW w:w="1277" w:type="dxa"/>
            <w:tcBorders>
              <w:top w:val="single" w:sz="4" w:space="0" w:color="1D336C"/>
              <w:bottom w:val="single" w:sz="4" w:space="0" w:color="1D336C"/>
            </w:tcBorders>
            <w:shd w:val="clear" w:color="auto" w:fill="F1F1F1"/>
          </w:tcPr>
          <w:p w14:paraId="086690CC" w14:textId="77777777" w:rsidR="000A62D2" w:rsidRPr="00167938" w:rsidRDefault="000A62D2">
            <w:pPr>
              <w:pStyle w:val="TableParagraph"/>
              <w:rPr>
                <w:b/>
                <w:color w:val="1D336D" w:themeColor="background2"/>
                <w:sz w:val="20"/>
              </w:rPr>
            </w:pPr>
            <w:r w:rsidRPr="00167938">
              <w:rPr>
                <w:b/>
                <w:color w:val="1D336D" w:themeColor="background2"/>
                <w:spacing w:val="-5"/>
                <w:sz w:val="20"/>
              </w:rPr>
              <w:t>CSD</w:t>
            </w:r>
          </w:p>
        </w:tc>
        <w:tc>
          <w:tcPr>
            <w:tcW w:w="8355" w:type="dxa"/>
            <w:tcBorders>
              <w:top w:val="single" w:sz="4" w:space="0" w:color="1D336C"/>
              <w:bottom w:val="single" w:sz="4" w:space="0" w:color="1D336C"/>
            </w:tcBorders>
          </w:tcPr>
          <w:p w14:paraId="61CDA132" w14:textId="77777777" w:rsidR="000A62D2" w:rsidRPr="00790689" w:rsidRDefault="000A62D2">
            <w:pPr>
              <w:pStyle w:val="TableParagraph"/>
              <w:rPr>
                <w:i/>
                <w:iCs/>
                <w:color w:val="1D336D" w:themeColor="background2"/>
                <w:sz w:val="20"/>
              </w:rPr>
            </w:pPr>
            <w:r w:rsidRPr="00790689">
              <w:rPr>
                <w:i/>
                <w:iCs/>
                <w:color w:val="1D336D" w:themeColor="background2"/>
                <w:sz w:val="20"/>
              </w:rPr>
              <w:t>Climate</w:t>
            </w:r>
            <w:r w:rsidRPr="00790689">
              <w:rPr>
                <w:i/>
                <w:iCs/>
                <w:color w:val="1D336D" w:themeColor="background2"/>
                <w:spacing w:val="-9"/>
                <w:sz w:val="20"/>
              </w:rPr>
              <w:t xml:space="preserve"> </w:t>
            </w:r>
            <w:r w:rsidRPr="00790689">
              <w:rPr>
                <w:i/>
                <w:iCs/>
                <w:color w:val="1D336D" w:themeColor="background2"/>
                <w:sz w:val="20"/>
              </w:rPr>
              <w:t>Diplomacy</w:t>
            </w:r>
            <w:r w:rsidRPr="00790689">
              <w:rPr>
                <w:i/>
                <w:iCs/>
                <w:color w:val="1D336D" w:themeColor="background2"/>
                <w:spacing w:val="-9"/>
                <w:sz w:val="20"/>
              </w:rPr>
              <w:t xml:space="preserve"> </w:t>
            </w:r>
            <w:r w:rsidRPr="00790689">
              <w:rPr>
                <w:i/>
                <w:iCs/>
                <w:color w:val="1D336D" w:themeColor="background2"/>
                <w:sz w:val="20"/>
              </w:rPr>
              <w:t>and</w:t>
            </w:r>
            <w:r w:rsidRPr="00790689">
              <w:rPr>
                <w:i/>
                <w:iCs/>
                <w:color w:val="1D336D" w:themeColor="background2"/>
                <w:spacing w:val="-11"/>
                <w:sz w:val="20"/>
              </w:rPr>
              <w:t xml:space="preserve"> </w:t>
            </w:r>
            <w:r w:rsidRPr="00790689">
              <w:rPr>
                <w:i/>
                <w:iCs/>
                <w:color w:val="1D336D" w:themeColor="background2"/>
                <w:sz w:val="20"/>
              </w:rPr>
              <w:t>Development</w:t>
            </w:r>
            <w:r w:rsidRPr="00790689">
              <w:rPr>
                <w:i/>
                <w:iCs/>
                <w:color w:val="1D336D" w:themeColor="background2"/>
                <w:spacing w:val="-11"/>
                <w:sz w:val="20"/>
              </w:rPr>
              <w:t xml:space="preserve"> </w:t>
            </w:r>
            <w:r w:rsidRPr="00790689">
              <w:rPr>
                <w:i/>
                <w:iCs/>
                <w:color w:val="1D336D" w:themeColor="background2"/>
                <w:sz w:val="20"/>
              </w:rPr>
              <w:t>Finance</w:t>
            </w:r>
            <w:r w:rsidRPr="00790689">
              <w:rPr>
                <w:i/>
                <w:iCs/>
                <w:color w:val="1D336D" w:themeColor="background2"/>
                <w:spacing w:val="-10"/>
                <w:sz w:val="20"/>
              </w:rPr>
              <w:t xml:space="preserve"> </w:t>
            </w:r>
            <w:r w:rsidRPr="00790689">
              <w:rPr>
                <w:i/>
                <w:iCs/>
                <w:color w:val="1D336D" w:themeColor="background2"/>
                <w:spacing w:val="-2"/>
                <w:sz w:val="20"/>
              </w:rPr>
              <w:t>Division</w:t>
            </w:r>
          </w:p>
        </w:tc>
      </w:tr>
      <w:tr w:rsidR="000A62D2" w14:paraId="417D2E5A" w14:textId="77777777" w:rsidTr="00A10953">
        <w:trPr>
          <w:trHeight w:val="489"/>
          <w:jc w:val="center"/>
        </w:trPr>
        <w:tc>
          <w:tcPr>
            <w:tcW w:w="1277" w:type="dxa"/>
            <w:tcBorders>
              <w:top w:val="single" w:sz="4" w:space="0" w:color="1D336C"/>
              <w:bottom w:val="single" w:sz="4" w:space="0" w:color="1D336C"/>
            </w:tcBorders>
            <w:shd w:val="clear" w:color="auto" w:fill="F1F1F1"/>
          </w:tcPr>
          <w:p w14:paraId="353ADAB3" w14:textId="77777777" w:rsidR="000A62D2" w:rsidRPr="00167938" w:rsidRDefault="000A62D2">
            <w:pPr>
              <w:pStyle w:val="TableParagraph"/>
              <w:spacing w:before="134"/>
              <w:rPr>
                <w:b/>
                <w:color w:val="1D336D" w:themeColor="background2"/>
                <w:sz w:val="20"/>
              </w:rPr>
            </w:pPr>
            <w:r w:rsidRPr="00167938">
              <w:rPr>
                <w:b/>
                <w:color w:val="1D336D" w:themeColor="background2"/>
                <w:spacing w:val="-4"/>
                <w:sz w:val="20"/>
              </w:rPr>
              <w:t>CSIRO</w:t>
            </w:r>
          </w:p>
        </w:tc>
        <w:tc>
          <w:tcPr>
            <w:tcW w:w="8355" w:type="dxa"/>
            <w:tcBorders>
              <w:top w:val="single" w:sz="4" w:space="0" w:color="1D336C"/>
              <w:bottom w:val="single" w:sz="4" w:space="0" w:color="1D336C"/>
            </w:tcBorders>
          </w:tcPr>
          <w:p w14:paraId="2DE4E6F6" w14:textId="77777777" w:rsidR="000A62D2" w:rsidRPr="00790689" w:rsidRDefault="000A62D2">
            <w:pPr>
              <w:pStyle w:val="TableParagraph"/>
              <w:spacing w:before="134"/>
              <w:rPr>
                <w:i/>
                <w:iCs/>
                <w:color w:val="1D336D" w:themeColor="background2"/>
                <w:sz w:val="20"/>
              </w:rPr>
            </w:pPr>
            <w:r w:rsidRPr="00790689">
              <w:rPr>
                <w:i/>
                <w:iCs/>
                <w:color w:val="1D336D" w:themeColor="background2"/>
                <w:sz w:val="20"/>
              </w:rPr>
              <w:t>Commonwealth</w:t>
            </w:r>
            <w:r w:rsidRPr="00790689">
              <w:rPr>
                <w:i/>
                <w:iCs/>
                <w:color w:val="1D336D" w:themeColor="background2"/>
                <w:spacing w:val="-10"/>
                <w:sz w:val="20"/>
              </w:rPr>
              <w:t xml:space="preserve"> </w:t>
            </w:r>
            <w:r w:rsidRPr="00790689">
              <w:rPr>
                <w:i/>
                <w:iCs/>
                <w:color w:val="1D336D" w:themeColor="background2"/>
                <w:sz w:val="20"/>
              </w:rPr>
              <w:t>Scientific</w:t>
            </w:r>
            <w:r w:rsidRPr="00790689">
              <w:rPr>
                <w:i/>
                <w:iCs/>
                <w:color w:val="1D336D" w:themeColor="background2"/>
                <w:spacing w:val="-10"/>
                <w:sz w:val="20"/>
              </w:rPr>
              <w:t xml:space="preserve"> </w:t>
            </w:r>
            <w:r w:rsidRPr="00790689">
              <w:rPr>
                <w:i/>
                <w:iCs/>
                <w:color w:val="1D336D" w:themeColor="background2"/>
                <w:sz w:val="20"/>
              </w:rPr>
              <w:t>and</w:t>
            </w:r>
            <w:r w:rsidRPr="00790689">
              <w:rPr>
                <w:i/>
                <w:iCs/>
                <w:color w:val="1D336D" w:themeColor="background2"/>
                <w:spacing w:val="-11"/>
                <w:sz w:val="20"/>
              </w:rPr>
              <w:t xml:space="preserve"> </w:t>
            </w:r>
            <w:r w:rsidRPr="00790689">
              <w:rPr>
                <w:i/>
                <w:iCs/>
                <w:color w:val="1D336D" w:themeColor="background2"/>
                <w:sz w:val="20"/>
              </w:rPr>
              <w:t>Industrial</w:t>
            </w:r>
            <w:r w:rsidRPr="00790689">
              <w:rPr>
                <w:i/>
                <w:iCs/>
                <w:color w:val="1D336D" w:themeColor="background2"/>
                <w:spacing w:val="-12"/>
                <w:sz w:val="20"/>
              </w:rPr>
              <w:t xml:space="preserve"> </w:t>
            </w:r>
            <w:r w:rsidRPr="00790689">
              <w:rPr>
                <w:i/>
                <w:iCs/>
                <w:color w:val="1D336D" w:themeColor="background2"/>
                <w:sz w:val="20"/>
              </w:rPr>
              <w:t>Research</w:t>
            </w:r>
            <w:r w:rsidRPr="00790689">
              <w:rPr>
                <w:i/>
                <w:iCs/>
                <w:color w:val="1D336D" w:themeColor="background2"/>
                <w:spacing w:val="-10"/>
                <w:sz w:val="20"/>
              </w:rPr>
              <w:t xml:space="preserve"> </w:t>
            </w:r>
            <w:proofErr w:type="spellStart"/>
            <w:r w:rsidRPr="00790689">
              <w:rPr>
                <w:i/>
                <w:iCs/>
                <w:color w:val="1D336D" w:themeColor="background2"/>
                <w:spacing w:val="-2"/>
                <w:sz w:val="20"/>
              </w:rPr>
              <w:t>Organisation</w:t>
            </w:r>
            <w:proofErr w:type="spellEnd"/>
          </w:p>
        </w:tc>
      </w:tr>
      <w:tr w:rsidR="000A62D2" w14:paraId="14746FCB" w14:textId="77777777" w:rsidTr="00A10953">
        <w:trPr>
          <w:trHeight w:val="489"/>
          <w:jc w:val="center"/>
        </w:trPr>
        <w:tc>
          <w:tcPr>
            <w:tcW w:w="1277" w:type="dxa"/>
            <w:tcBorders>
              <w:top w:val="single" w:sz="4" w:space="0" w:color="1D336C"/>
              <w:bottom w:val="single" w:sz="4" w:space="0" w:color="1D336C"/>
            </w:tcBorders>
            <w:shd w:val="clear" w:color="auto" w:fill="F1F1F1"/>
          </w:tcPr>
          <w:p w14:paraId="7A681B5E" w14:textId="77777777" w:rsidR="000A62D2" w:rsidRPr="00167938" w:rsidRDefault="000A62D2">
            <w:pPr>
              <w:pStyle w:val="TableParagraph"/>
              <w:rPr>
                <w:b/>
                <w:color w:val="1D336D" w:themeColor="background2"/>
                <w:sz w:val="20"/>
              </w:rPr>
            </w:pPr>
            <w:r w:rsidRPr="00167938">
              <w:rPr>
                <w:b/>
                <w:color w:val="1D336D" w:themeColor="background2"/>
                <w:spacing w:val="-4"/>
                <w:sz w:val="20"/>
              </w:rPr>
              <w:t>CSOs</w:t>
            </w:r>
          </w:p>
        </w:tc>
        <w:tc>
          <w:tcPr>
            <w:tcW w:w="8355" w:type="dxa"/>
            <w:tcBorders>
              <w:top w:val="single" w:sz="4" w:space="0" w:color="1D336C"/>
              <w:bottom w:val="single" w:sz="4" w:space="0" w:color="1D336C"/>
            </w:tcBorders>
          </w:tcPr>
          <w:p w14:paraId="06EEDBD7" w14:textId="77777777" w:rsidR="000A62D2" w:rsidRPr="00790689" w:rsidRDefault="000A62D2">
            <w:pPr>
              <w:pStyle w:val="TableParagraph"/>
              <w:rPr>
                <w:i/>
                <w:iCs/>
                <w:color w:val="1D336D" w:themeColor="background2"/>
                <w:sz w:val="20"/>
              </w:rPr>
            </w:pPr>
            <w:r w:rsidRPr="00790689">
              <w:rPr>
                <w:i/>
                <w:iCs/>
                <w:color w:val="1D336D" w:themeColor="background2"/>
                <w:sz w:val="20"/>
              </w:rPr>
              <w:t>Civil</w:t>
            </w:r>
            <w:r w:rsidRPr="00790689">
              <w:rPr>
                <w:i/>
                <w:iCs/>
                <w:color w:val="1D336D" w:themeColor="background2"/>
                <w:spacing w:val="-10"/>
                <w:sz w:val="20"/>
              </w:rPr>
              <w:t xml:space="preserve"> </w:t>
            </w:r>
            <w:r w:rsidRPr="00790689">
              <w:rPr>
                <w:i/>
                <w:iCs/>
                <w:color w:val="1D336D" w:themeColor="background2"/>
                <w:sz w:val="20"/>
              </w:rPr>
              <w:t>society</w:t>
            </w:r>
            <w:r w:rsidRPr="00790689">
              <w:rPr>
                <w:i/>
                <w:iCs/>
                <w:color w:val="1D336D" w:themeColor="background2"/>
                <w:spacing w:val="-7"/>
                <w:sz w:val="20"/>
              </w:rPr>
              <w:t xml:space="preserve"> </w:t>
            </w:r>
            <w:proofErr w:type="spellStart"/>
            <w:r w:rsidRPr="00790689">
              <w:rPr>
                <w:i/>
                <w:iCs/>
                <w:color w:val="1D336D" w:themeColor="background2"/>
                <w:spacing w:val="-2"/>
                <w:sz w:val="20"/>
              </w:rPr>
              <w:t>organisation</w:t>
            </w:r>
            <w:proofErr w:type="spellEnd"/>
          </w:p>
        </w:tc>
      </w:tr>
      <w:tr w:rsidR="000A62D2" w14:paraId="6619EB4F" w14:textId="77777777" w:rsidTr="00A10953">
        <w:trPr>
          <w:trHeight w:val="491"/>
          <w:jc w:val="center"/>
        </w:trPr>
        <w:tc>
          <w:tcPr>
            <w:tcW w:w="1277" w:type="dxa"/>
            <w:tcBorders>
              <w:top w:val="single" w:sz="4" w:space="0" w:color="1D336C"/>
              <w:bottom w:val="single" w:sz="4" w:space="0" w:color="1D336C"/>
            </w:tcBorders>
            <w:shd w:val="clear" w:color="auto" w:fill="F1F1F1"/>
          </w:tcPr>
          <w:p w14:paraId="51F18A6C" w14:textId="77777777" w:rsidR="000A62D2" w:rsidRPr="00167938" w:rsidRDefault="000A62D2">
            <w:pPr>
              <w:pStyle w:val="TableParagraph"/>
              <w:rPr>
                <w:b/>
                <w:color w:val="1D336D" w:themeColor="background2"/>
                <w:sz w:val="20"/>
              </w:rPr>
            </w:pPr>
            <w:r w:rsidRPr="00167938">
              <w:rPr>
                <w:b/>
                <w:color w:val="1D336D" w:themeColor="background2"/>
                <w:spacing w:val="-5"/>
                <w:sz w:val="20"/>
              </w:rPr>
              <w:t>DAC</w:t>
            </w:r>
          </w:p>
        </w:tc>
        <w:tc>
          <w:tcPr>
            <w:tcW w:w="8355" w:type="dxa"/>
            <w:tcBorders>
              <w:top w:val="single" w:sz="4" w:space="0" w:color="1D336C"/>
              <w:bottom w:val="single" w:sz="4" w:space="0" w:color="1D336C"/>
            </w:tcBorders>
          </w:tcPr>
          <w:p w14:paraId="3A583C9B" w14:textId="77777777" w:rsidR="000A62D2" w:rsidRPr="00790689" w:rsidRDefault="000A62D2">
            <w:pPr>
              <w:pStyle w:val="TableParagraph"/>
              <w:rPr>
                <w:i/>
                <w:iCs/>
                <w:color w:val="1D336D" w:themeColor="background2"/>
                <w:sz w:val="20"/>
              </w:rPr>
            </w:pPr>
            <w:r w:rsidRPr="00790689">
              <w:rPr>
                <w:i/>
                <w:iCs/>
                <w:color w:val="1D336D" w:themeColor="background2"/>
                <w:sz w:val="20"/>
              </w:rPr>
              <w:t>Development</w:t>
            </w:r>
            <w:r w:rsidRPr="00790689">
              <w:rPr>
                <w:i/>
                <w:iCs/>
                <w:color w:val="1D336D" w:themeColor="background2"/>
                <w:spacing w:val="-13"/>
                <w:sz w:val="20"/>
              </w:rPr>
              <w:t xml:space="preserve"> </w:t>
            </w:r>
            <w:r w:rsidRPr="00790689">
              <w:rPr>
                <w:i/>
                <w:iCs/>
                <w:color w:val="1D336D" w:themeColor="background2"/>
                <w:sz w:val="20"/>
              </w:rPr>
              <w:t>Assistance</w:t>
            </w:r>
            <w:r w:rsidRPr="00790689">
              <w:rPr>
                <w:i/>
                <w:iCs/>
                <w:color w:val="1D336D" w:themeColor="background2"/>
                <w:spacing w:val="-12"/>
                <w:sz w:val="20"/>
              </w:rPr>
              <w:t xml:space="preserve"> </w:t>
            </w:r>
            <w:r w:rsidRPr="00790689">
              <w:rPr>
                <w:i/>
                <w:iCs/>
                <w:color w:val="1D336D" w:themeColor="background2"/>
                <w:spacing w:val="-2"/>
                <w:sz w:val="20"/>
              </w:rPr>
              <w:t>Committee</w:t>
            </w:r>
          </w:p>
        </w:tc>
      </w:tr>
      <w:tr w:rsidR="000A62D2" w14:paraId="7E88FA8D" w14:textId="77777777" w:rsidTr="00A10953">
        <w:trPr>
          <w:trHeight w:val="489"/>
          <w:jc w:val="center"/>
        </w:trPr>
        <w:tc>
          <w:tcPr>
            <w:tcW w:w="1277" w:type="dxa"/>
            <w:tcBorders>
              <w:top w:val="single" w:sz="4" w:space="0" w:color="1D336C"/>
              <w:bottom w:val="single" w:sz="4" w:space="0" w:color="1D336C"/>
            </w:tcBorders>
            <w:shd w:val="clear" w:color="auto" w:fill="F1F1F1"/>
          </w:tcPr>
          <w:p w14:paraId="0B653036" w14:textId="77777777" w:rsidR="000A62D2" w:rsidRPr="00167938" w:rsidRDefault="000A62D2">
            <w:pPr>
              <w:pStyle w:val="TableParagraph"/>
              <w:spacing w:before="134"/>
              <w:rPr>
                <w:b/>
                <w:color w:val="1D336D" w:themeColor="background2"/>
                <w:sz w:val="20"/>
              </w:rPr>
            </w:pPr>
            <w:r w:rsidRPr="00167938">
              <w:rPr>
                <w:b/>
                <w:color w:val="1D336D" w:themeColor="background2"/>
                <w:spacing w:val="-4"/>
                <w:sz w:val="20"/>
              </w:rPr>
              <w:t>DAWE</w:t>
            </w:r>
          </w:p>
        </w:tc>
        <w:tc>
          <w:tcPr>
            <w:tcW w:w="8355" w:type="dxa"/>
            <w:tcBorders>
              <w:top w:val="single" w:sz="4" w:space="0" w:color="1D336C"/>
              <w:bottom w:val="single" w:sz="4" w:space="0" w:color="1D336C"/>
            </w:tcBorders>
          </w:tcPr>
          <w:p w14:paraId="43F73A6B" w14:textId="77777777" w:rsidR="000A62D2" w:rsidRPr="00790689" w:rsidRDefault="000A62D2">
            <w:pPr>
              <w:pStyle w:val="TableParagraph"/>
              <w:spacing w:before="134"/>
              <w:rPr>
                <w:i/>
                <w:iCs/>
                <w:color w:val="1D336D" w:themeColor="background2"/>
                <w:sz w:val="20"/>
              </w:rPr>
            </w:pPr>
            <w:r w:rsidRPr="00790689">
              <w:rPr>
                <w:i/>
                <w:iCs/>
                <w:color w:val="1D336D" w:themeColor="background2"/>
                <w:sz w:val="20"/>
              </w:rPr>
              <w:t>Department</w:t>
            </w:r>
            <w:r w:rsidRPr="00790689">
              <w:rPr>
                <w:i/>
                <w:iCs/>
                <w:color w:val="1D336D" w:themeColor="background2"/>
                <w:spacing w:val="-7"/>
                <w:sz w:val="20"/>
              </w:rPr>
              <w:t xml:space="preserve"> </w:t>
            </w:r>
            <w:r w:rsidRPr="00790689">
              <w:rPr>
                <w:i/>
                <w:iCs/>
                <w:color w:val="1D336D" w:themeColor="background2"/>
                <w:sz w:val="20"/>
              </w:rPr>
              <w:t>of</w:t>
            </w:r>
            <w:r w:rsidRPr="00790689">
              <w:rPr>
                <w:i/>
                <w:iCs/>
                <w:color w:val="1D336D" w:themeColor="background2"/>
                <w:spacing w:val="-6"/>
                <w:sz w:val="20"/>
              </w:rPr>
              <w:t xml:space="preserve"> </w:t>
            </w:r>
            <w:r w:rsidRPr="00790689">
              <w:rPr>
                <w:i/>
                <w:iCs/>
                <w:color w:val="1D336D" w:themeColor="background2"/>
                <w:sz w:val="20"/>
              </w:rPr>
              <w:t>Agriculture,</w:t>
            </w:r>
            <w:r w:rsidRPr="00790689">
              <w:rPr>
                <w:i/>
                <w:iCs/>
                <w:color w:val="1D336D" w:themeColor="background2"/>
                <w:spacing w:val="-6"/>
                <w:sz w:val="20"/>
              </w:rPr>
              <w:t xml:space="preserve"> </w:t>
            </w:r>
            <w:r w:rsidRPr="00790689">
              <w:rPr>
                <w:i/>
                <w:iCs/>
                <w:color w:val="1D336D" w:themeColor="background2"/>
                <w:sz w:val="20"/>
              </w:rPr>
              <w:t>Water</w:t>
            </w:r>
            <w:r w:rsidRPr="00790689">
              <w:rPr>
                <w:i/>
                <w:iCs/>
                <w:color w:val="1D336D" w:themeColor="background2"/>
                <w:spacing w:val="-8"/>
                <w:sz w:val="20"/>
              </w:rPr>
              <w:t xml:space="preserve"> </w:t>
            </w:r>
            <w:r w:rsidRPr="00790689">
              <w:rPr>
                <w:i/>
                <w:iCs/>
                <w:color w:val="1D336D" w:themeColor="background2"/>
                <w:sz w:val="20"/>
              </w:rPr>
              <w:t>and</w:t>
            </w:r>
            <w:r w:rsidRPr="00790689">
              <w:rPr>
                <w:i/>
                <w:iCs/>
                <w:color w:val="1D336D" w:themeColor="background2"/>
                <w:spacing w:val="-6"/>
                <w:sz w:val="20"/>
              </w:rPr>
              <w:t xml:space="preserve"> </w:t>
            </w:r>
            <w:r w:rsidRPr="00790689">
              <w:rPr>
                <w:i/>
                <w:iCs/>
                <w:color w:val="1D336D" w:themeColor="background2"/>
                <w:spacing w:val="-2"/>
                <w:sz w:val="20"/>
              </w:rPr>
              <w:t>Environment</w:t>
            </w:r>
          </w:p>
        </w:tc>
      </w:tr>
      <w:tr w:rsidR="000A62D2" w14:paraId="094AA2F9" w14:textId="77777777" w:rsidTr="00A10953">
        <w:trPr>
          <w:trHeight w:val="489"/>
          <w:jc w:val="center"/>
        </w:trPr>
        <w:tc>
          <w:tcPr>
            <w:tcW w:w="1277" w:type="dxa"/>
            <w:tcBorders>
              <w:top w:val="single" w:sz="4" w:space="0" w:color="1D336C"/>
              <w:bottom w:val="single" w:sz="4" w:space="0" w:color="1D336C"/>
            </w:tcBorders>
            <w:shd w:val="clear" w:color="auto" w:fill="F1F1F1"/>
          </w:tcPr>
          <w:p w14:paraId="6800F1B3" w14:textId="77777777" w:rsidR="000A62D2" w:rsidRPr="00167938" w:rsidRDefault="000A62D2">
            <w:pPr>
              <w:pStyle w:val="TableParagraph"/>
              <w:rPr>
                <w:b/>
                <w:color w:val="1D336D" w:themeColor="background2"/>
                <w:sz w:val="20"/>
              </w:rPr>
            </w:pPr>
            <w:r w:rsidRPr="00167938">
              <w:rPr>
                <w:b/>
                <w:color w:val="1D336D" w:themeColor="background2"/>
                <w:spacing w:val="-2"/>
                <w:sz w:val="20"/>
              </w:rPr>
              <w:t>DCCEEW</w:t>
            </w:r>
          </w:p>
        </w:tc>
        <w:tc>
          <w:tcPr>
            <w:tcW w:w="8355" w:type="dxa"/>
            <w:tcBorders>
              <w:top w:val="single" w:sz="4" w:space="0" w:color="1D336C"/>
              <w:bottom w:val="single" w:sz="4" w:space="0" w:color="1D336C"/>
            </w:tcBorders>
          </w:tcPr>
          <w:p w14:paraId="0745513F" w14:textId="77777777" w:rsidR="000A62D2" w:rsidRPr="00790689" w:rsidRDefault="000A62D2">
            <w:pPr>
              <w:pStyle w:val="TableParagraph"/>
              <w:rPr>
                <w:i/>
                <w:iCs/>
                <w:color w:val="1D336D" w:themeColor="background2"/>
                <w:sz w:val="20"/>
              </w:rPr>
            </w:pPr>
            <w:r w:rsidRPr="00790689">
              <w:rPr>
                <w:i/>
                <w:iCs/>
                <w:color w:val="1D336D" w:themeColor="background2"/>
                <w:sz w:val="20"/>
              </w:rPr>
              <w:t>Department</w:t>
            </w:r>
            <w:r w:rsidRPr="00790689">
              <w:rPr>
                <w:i/>
                <w:iCs/>
                <w:color w:val="1D336D" w:themeColor="background2"/>
                <w:spacing w:val="-8"/>
                <w:sz w:val="20"/>
              </w:rPr>
              <w:t xml:space="preserve"> </w:t>
            </w:r>
            <w:r w:rsidRPr="00790689">
              <w:rPr>
                <w:i/>
                <w:iCs/>
                <w:color w:val="1D336D" w:themeColor="background2"/>
                <w:sz w:val="20"/>
              </w:rPr>
              <w:t>for</w:t>
            </w:r>
            <w:r w:rsidRPr="00790689">
              <w:rPr>
                <w:i/>
                <w:iCs/>
                <w:color w:val="1D336D" w:themeColor="background2"/>
                <w:spacing w:val="-8"/>
                <w:sz w:val="20"/>
              </w:rPr>
              <w:t xml:space="preserve"> </w:t>
            </w:r>
            <w:r w:rsidRPr="00790689">
              <w:rPr>
                <w:i/>
                <w:iCs/>
                <w:color w:val="1D336D" w:themeColor="background2"/>
                <w:sz w:val="20"/>
              </w:rPr>
              <w:t>Climate</w:t>
            </w:r>
            <w:r w:rsidRPr="00790689">
              <w:rPr>
                <w:i/>
                <w:iCs/>
                <w:color w:val="1D336D" w:themeColor="background2"/>
                <w:spacing w:val="-8"/>
                <w:sz w:val="20"/>
              </w:rPr>
              <w:t xml:space="preserve"> </w:t>
            </w:r>
            <w:r w:rsidRPr="00790689">
              <w:rPr>
                <w:i/>
                <w:iCs/>
                <w:color w:val="1D336D" w:themeColor="background2"/>
                <w:sz w:val="20"/>
              </w:rPr>
              <w:t>Change,</w:t>
            </w:r>
            <w:r w:rsidRPr="00790689">
              <w:rPr>
                <w:i/>
                <w:iCs/>
                <w:color w:val="1D336D" w:themeColor="background2"/>
                <w:spacing w:val="-9"/>
                <w:sz w:val="20"/>
              </w:rPr>
              <w:t xml:space="preserve"> </w:t>
            </w:r>
            <w:r w:rsidRPr="00790689">
              <w:rPr>
                <w:i/>
                <w:iCs/>
                <w:color w:val="1D336D" w:themeColor="background2"/>
                <w:sz w:val="20"/>
              </w:rPr>
              <w:t>Energy,</w:t>
            </w:r>
            <w:r w:rsidRPr="00790689">
              <w:rPr>
                <w:i/>
                <w:iCs/>
                <w:color w:val="1D336D" w:themeColor="background2"/>
                <w:spacing w:val="-9"/>
                <w:sz w:val="20"/>
              </w:rPr>
              <w:t xml:space="preserve"> </w:t>
            </w:r>
            <w:r w:rsidRPr="00790689">
              <w:rPr>
                <w:i/>
                <w:iCs/>
                <w:color w:val="1D336D" w:themeColor="background2"/>
                <w:sz w:val="20"/>
              </w:rPr>
              <w:t>the</w:t>
            </w:r>
            <w:r w:rsidRPr="00790689">
              <w:rPr>
                <w:i/>
                <w:iCs/>
                <w:color w:val="1D336D" w:themeColor="background2"/>
                <w:spacing w:val="-9"/>
                <w:sz w:val="20"/>
              </w:rPr>
              <w:t xml:space="preserve"> </w:t>
            </w:r>
            <w:r w:rsidRPr="00790689">
              <w:rPr>
                <w:i/>
                <w:iCs/>
                <w:color w:val="1D336D" w:themeColor="background2"/>
                <w:sz w:val="20"/>
              </w:rPr>
              <w:t>Environment</w:t>
            </w:r>
            <w:r w:rsidRPr="00790689">
              <w:rPr>
                <w:i/>
                <w:iCs/>
                <w:color w:val="1D336D" w:themeColor="background2"/>
                <w:spacing w:val="-7"/>
                <w:sz w:val="20"/>
              </w:rPr>
              <w:t xml:space="preserve"> </w:t>
            </w:r>
            <w:r w:rsidRPr="00790689">
              <w:rPr>
                <w:i/>
                <w:iCs/>
                <w:color w:val="1D336D" w:themeColor="background2"/>
                <w:sz w:val="20"/>
              </w:rPr>
              <w:t>and</w:t>
            </w:r>
            <w:r w:rsidRPr="00790689">
              <w:rPr>
                <w:i/>
                <w:iCs/>
                <w:color w:val="1D336D" w:themeColor="background2"/>
                <w:spacing w:val="-8"/>
                <w:sz w:val="20"/>
              </w:rPr>
              <w:t xml:space="preserve"> </w:t>
            </w:r>
            <w:r w:rsidRPr="00790689">
              <w:rPr>
                <w:i/>
                <w:iCs/>
                <w:color w:val="1D336D" w:themeColor="background2"/>
                <w:spacing w:val="-2"/>
                <w:sz w:val="20"/>
              </w:rPr>
              <w:t>Water</w:t>
            </w:r>
          </w:p>
        </w:tc>
      </w:tr>
      <w:tr w:rsidR="000A62D2" w14:paraId="78E75A10" w14:textId="77777777" w:rsidTr="00A10953">
        <w:trPr>
          <w:trHeight w:val="491"/>
          <w:jc w:val="center"/>
        </w:trPr>
        <w:tc>
          <w:tcPr>
            <w:tcW w:w="1277" w:type="dxa"/>
            <w:tcBorders>
              <w:top w:val="single" w:sz="4" w:space="0" w:color="1D336C"/>
              <w:bottom w:val="single" w:sz="4" w:space="0" w:color="1D336C"/>
            </w:tcBorders>
            <w:shd w:val="clear" w:color="auto" w:fill="F1F1F1"/>
          </w:tcPr>
          <w:p w14:paraId="0F5AF012" w14:textId="77777777" w:rsidR="000A62D2" w:rsidRPr="00167938" w:rsidRDefault="000A62D2">
            <w:pPr>
              <w:pStyle w:val="TableParagraph"/>
              <w:rPr>
                <w:b/>
                <w:color w:val="1D336D" w:themeColor="background2"/>
                <w:sz w:val="20"/>
              </w:rPr>
            </w:pPr>
            <w:r w:rsidRPr="00167938">
              <w:rPr>
                <w:b/>
                <w:color w:val="1D336D" w:themeColor="background2"/>
                <w:spacing w:val="-4"/>
                <w:sz w:val="20"/>
              </w:rPr>
              <w:t>DFAT</w:t>
            </w:r>
          </w:p>
        </w:tc>
        <w:tc>
          <w:tcPr>
            <w:tcW w:w="8355" w:type="dxa"/>
            <w:tcBorders>
              <w:top w:val="single" w:sz="4" w:space="0" w:color="1D336C"/>
              <w:bottom w:val="single" w:sz="4" w:space="0" w:color="1D336C"/>
            </w:tcBorders>
          </w:tcPr>
          <w:p w14:paraId="2EB88C33" w14:textId="77777777" w:rsidR="000A62D2" w:rsidRPr="00790689" w:rsidRDefault="000A62D2">
            <w:pPr>
              <w:pStyle w:val="TableParagraph"/>
              <w:rPr>
                <w:i/>
                <w:iCs/>
                <w:color w:val="1D336D" w:themeColor="background2"/>
                <w:sz w:val="20"/>
              </w:rPr>
            </w:pPr>
            <w:r w:rsidRPr="00790689">
              <w:rPr>
                <w:i/>
                <w:iCs/>
                <w:color w:val="1D336D" w:themeColor="background2"/>
                <w:sz w:val="20"/>
              </w:rPr>
              <w:t>Department</w:t>
            </w:r>
            <w:r w:rsidRPr="00790689">
              <w:rPr>
                <w:i/>
                <w:iCs/>
                <w:color w:val="1D336D" w:themeColor="background2"/>
                <w:spacing w:val="-7"/>
                <w:sz w:val="20"/>
              </w:rPr>
              <w:t xml:space="preserve"> </w:t>
            </w:r>
            <w:r w:rsidRPr="00790689">
              <w:rPr>
                <w:i/>
                <w:iCs/>
                <w:color w:val="1D336D" w:themeColor="background2"/>
                <w:sz w:val="20"/>
              </w:rPr>
              <w:t>of</w:t>
            </w:r>
            <w:r w:rsidRPr="00790689">
              <w:rPr>
                <w:i/>
                <w:iCs/>
                <w:color w:val="1D336D" w:themeColor="background2"/>
                <w:spacing w:val="-8"/>
                <w:sz w:val="20"/>
              </w:rPr>
              <w:t xml:space="preserve"> </w:t>
            </w:r>
            <w:r w:rsidRPr="00790689">
              <w:rPr>
                <w:i/>
                <w:iCs/>
                <w:color w:val="1D336D" w:themeColor="background2"/>
                <w:sz w:val="20"/>
              </w:rPr>
              <w:t>Foreign</w:t>
            </w:r>
            <w:r w:rsidRPr="00790689">
              <w:rPr>
                <w:i/>
                <w:iCs/>
                <w:color w:val="1D336D" w:themeColor="background2"/>
                <w:spacing w:val="-7"/>
                <w:sz w:val="20"/>
              </w:rPr>
              <w:t xml:space="preserve"> </w:t>
            </w:r>
            <w:r w:rsidRPr="00790689">
              <w:rPr>
                <w:i/>
                <w:iCs/>
                <w:color w:val="1D336D" w:themeColor="background2"/>
                <w:sz w:val="20"/>
              </w:rPr>
              <w:t>Affairs</w:t>
            </w:r>
            <w:r w:rsidRPr="00790689">
              <w:rPr>
                <w:i/>
                <w:iCs/>
                <w:color w:val="1D336D" w:themeColor="background2"/>
                <w:spacing w:val="-7"/>
                <w:sz w:val="20"/>
              </w:rPr>
              <w:t xml:space="preserve"> </w:t>
            </w:r>
            <w:r w:rsidRPr="00790689">
              <w:rPr>
                <w:i/>
                <w:iCs/>
                <w:color w:val="1D336D" w:themeColor="background2"/>
                <w:sz w:val="20"/>
              </w:rPr>
              <w:t>and</w:t>
            </w:r>
            <w:r w:rsidRPr="00790689">
              <w:rPr>
                <w:i/>
                <w:iCs/>
                <w:color w:val="1D336D" w:themeColor="background2"/>
                <w:spacing w:val="-8"/>
                <w:sz w:val="20"/>
              </w:rPr>
              <w:t xml:space="preserve"> </w:t>
            </w:r>
            <w:r w:rsidRPr="00790689">
              <w:rPr>
                <w:i/>
                <w:iCs/>
                <w:color w:val="1D336D" w:themeColor="background2"/>
                <w:spacing w:val="-4"/>
                <w:sz w:val="20"/>
              </w:rPr>
              <w:t>Trade</w:t>
            </w:r>
          </w:p>
        </w:tc>
      </w:tr>
      <w:tr w:rsidR="000A62D2" w14:paraId="4799EE5E" w14:textId="77777777" w:rsidTr="00A10953">
        <w:trPr>
          <w:trHeight w:val="489"/>
          <w:jc w:val="center"/>
        </w:trPr>
        <w:tc>
          <w:tcPr>
            <w:tcW w:w="1277" w:type="dxa"/>
            <w:tcBorders>
              <w:top w:val="single" w:sz="4" w:space="0" w:color="1D336C"/>
              <w:bottom w:val="single" w:sz="4" w:space="0" w:color="1D336C"/>
            </w:tcBorders>
            <w:shd w:val="clear" w:color="auto" w:fill="F1F1F1"/>
          </w:tcPr>
          <w:p w14:paraId="5E771A56" w14:textId="77777777" w:rsidR="000A62D2" w:rsidRPr="00167938" w:rsidRDefault="000A62D2">
            <w:pPr>
              <w:pStyle w:val="TableParagraph"/>
              <w:spacing w:before="134"/>
              <w:rPr>
                <w:b/>
                <w:color w:val="1D336D" w:themeColor="background2"/>
                <w:sz w:val="20"/>
              </w:rPr>
            </w:pPr>
            <w:r w:rsidRPr="00167938">
              <w:rPr>
                <w:b/>
                <w:color w:val="1D336D" w:themeColor="background2"/>
                <w:spacing w:val="-4"/>
                <w:sz w:val="20"/>
              </w:rPr>
              <w:t>DISR</w:t>
            </w:r>
          </w:p>
        </w:tc>
        <w:tc>
          <w:tcPr>
            <w:tcW w:w="8355" w:type="dxa"/>
            <w:tcBorders>
              <w:top w:val="single" w:sz="4" w:space="0" w:color="1D336C"/>
              <w:bottom w:val="single" w:sz="4" w:space="0" w:color="1D336C"/>
            </w:tcBorders>
          </w:tcPr>
          <w:p w14:paraId="1A3A3F45" w14:textId="77777777" w:rsidR="000A62D2" w:rsidRPr="00790689" w:rsidRDefault="000A62D2">
            <w:pPr>
              <w:pStyle w:val="TableParagraph"/>
              <w:spacing w:before="134"/>
              <w:rPr>
                <w:i/>
                <w:iCs/>
                <w:color w:val="1D336D" w:themeColor="background2"/>
                <w:sz w:val="20"/>
              </w:rPr>
            </w:pPr>
            <w:r w:rsidRPr="00790689">
              <w:rPr>
                <w:i/>
                <w:iCs/>
                <w:color w:val="1D336D" w:themeColor="background2"/>
                <w:sz w:val="20"/>
              </w:rPr>
              <w:t>Department</w:t>
            </w:r>
            <w:r w:rsidRPr="00790689">
              <w:rPr>
                <w:i/>
                <w:iCs/>
                <w:color w:val="1D336D" w:themeColor="background2"/>
                <w:spacing w:val="-7"/>
                <w:sz w:val="20"/>
              </w:rPr>
              <w:t xml:space="preserve"> </w:t>
            </w:r>
            <w:r w:rsidRPr="00790689">
              <w:rPr>
                <w:i/>
                <w:iCs/>
                <w:color w:val="1D336D" w:themeColor="background2"/>
                <w:sz w:val="20"/>
              </w:rPr>
              <w:t>of</w:t>
            </w:r>
            <w:r w:rsidRPr="00790689">
              <w:rPr>
                <w:i/>
                <w:iCs/>
                <w:color w:val="1D336D" w:themeColor="background2"/>
                <w:spacing w:val="-7"/>
                <w:sz w:val="20"/>
              </w:rPr>
              <w:t xml:space="preserve"> </w:t>
            </w:r>
            <w:r w:rsidRPr="00790689">
              <w:rPr>
                <w:i/>
                <w:iCs/>
                <w:color w:val="1D336D" w:themeColor="background2"/>
                <w:sz w:val="20"/>
              </w:rPr>
              <w:t>Industry,</w:t>
            </w:r>
            <w:r w:rsidRPr="00790689">
              <w:rPr>
                <w:i/>
                <w:iCs/>
                <w:color w:val="1D336D" w:themeColor="background2"/>
                <w:spacing w:val="-6"/>
                <w:sz w:val="20"/>
              </w:rPr>
              <w:t xml:space="preserve"> </w:t>
            </w:r>
            <w:r w:rsidRPr="00790689">
              <w:rPr>
                <w:i/>
                <w:iCs/>
                <w:color w:val="1D336D" w:themeColor="background2"/>
                <w:sz w:val="20"/>
              </w:rPr>
              <w:t>Science</w:t>
            </w:r>
            <w:r w:rsidRPr="00790689">
              <w:rPr>
                <w:i/>
                <w:iCs/>
                <w:color w:val="1D336D" w:themeColor="background2"/>
                <w:spacing w:val="-8"/>
                <w:sz w:val="20"/>
              </w:rPr>
              <w:t xml:space="preserve"> </w:t>
            </w:r>
            <w:r w:rsidRPr="00790689">
              <w:rPr>
                <w:i/>
                <w:iCs/>
                <w:color w:val="1D336D" w:themeColor="background2"/>
                <w:sz w:val="20"/>
              </w:rPr>
              <w:t>and</w:t>
            </w:r>
            <w:r w:rsidRPr="00790689">
              <w:rPr>
                <w:i/>
                <w:iCs/>
                <w:color w:val="1D336D" w:themeColor="background2"/>
                <w:spacing w:val="-9"/>
                <w:sz w:val="20"/>
              </w:rPr>
              <w:t xml:space="preserve"> </w:t>
            </w:r>
            <w:r w:rsidRPr="00790689">
              <w:rPr>
                <w:i/>
                <w:iCs/>
                <w:color w:val="1D336D" w:themeColor="background2"/>
                <w:spacing w:val="-2"/>
                <w:sz w:val="20"/>
              </w:rPr>
              <w:t>Resources</w:t>
            </w:r>
          </w:p>
        </w:tc>
      </w:tr>
      <w:tr w:rsidR="000A62D2" w14:paraId="6F9BE98B" w14:textId="77777777" w:rsidTr="00A10953">
        <w:trPr>
          <w:trHeight w:val="489"/>
          <w:jc w:val="center"/>
        </w:trPr>
        <w:tc>
          <w:tcPr>
            <w:tcW w:w="1277" w:type="dxa"/>
            <w:tcBorders>
              <w:top w:val="single" w:sz="4" w:space="0" w:color="1D336C"/>
              <w:bottom w:val="single" w:sz="4" w:space="0" w:color="1D336C"/>
            </w:tcBorders>
            <w:shd w:val="clear" w:color="auto" w:fill="F1F1F1"/>
          </w:tcPr>
          <w:p w14:paraId="775A5DBE" w14:textId="77777777" w:rsidR="000A62D2" w:rsidRPr="00167938" w:rsidRDefault="000A62D2">
            <w:pPr>
              <w:pStyle w:val="TableParagraph"/>
              <w:rPr>
                <w:b/>
                <w:color w:val="1D336D" w:themeColor="background2"/>
                <w:sz w:val="20"/>
              </w:rPr>
            </w:pPr>
            <w:r w:rsidRPr="00167938">
              <w:rPr>
                <w:b/>
                <w:color w:val="1D336D" w:themeColor="background2"/>
                <w:spacing w:val="-2"/>
                <w:sz w:val="20"/>
              </w:rPr>
              <w:t>EOPOs</w:t>
            </w:r>
          </w:p>
        </w:tc>
        <w:tc>
          <w:tcPr>
            <w:tcW w:w="8355" w:type="dxa"/>
            <w:tcBorders>
              <w:top w:val="single" w:sz="4" w:space="0" w:color="1D336C"/>
              <w:bottom w:val="single" w:sz="4" w:space="0" w:color="1D336C"/>
            </w:tcBorders>
          </w:tcPr>
          <w:p w14:paraId="60CB3ACE" w14:textId="77777777" w:rsidR="000A62D2" w:rsidRPr="00790689" w:rsidRDefault="000A62D2">
            <w:pPr>
              <w:pStyle w:val="TableParagraph"/>
              <w:rPr>
                <w:i/>
                <w:iCs/>
                <w:color w:val="1D336D" w:themeColor="background2"/>
                <w:sz w:val="20"/>
              </w:rPr>
            </w:pPr>
            <w:r w:rsidRPr="00790689">
              <w:rPr>
                <w:i/>
                <w:iCs/>
                <w:color w:val="1D336D" w:themeColor="background2"/>
                <w:sz w:val="20"/>
              </w:rPr>
              <w:t>End</w:t>
            </w:r>
            <w:r w:rsidRPr="00790689">
              <w:rPr>
                <w:i/>
                <w:iCs/>
                <w:color w:val="1D336D" w:themeColor="background2"/>
                <w:spacing w:val="-6"/>
                <w:sz w:val="20"/>
              </w:rPr>
              <w:t xml:space="preserve"> </w:t>
            </w:r>
            <w:r w:rsidRPr="00790689">
              <w:rPr>
                <w:i/>
                <w:iCs/>
                <w:color w:val="1D336D" w:themeColor="background2"/>
                <w:sz w:val="20"/>
              </w:rPr>
              <w:t>of</w:t>
            </w:r>
            <w:r w:rsidRPr="00790689">
              <w:rPr>
                <w:i/>
                <w:iCs/>
                <w:color w:val="1D336D" w:themeColor="background2"/>
                <w:spacing w:val="-5"/>
                <w:sz w:val="20"/>
              </w:rPr>
              <w:t xml:space="preserve"> </w:t>
            </w:r>
            <w:r w:rsidRPr="00790689">
              <w:rPr>
                <w:i/>
                <w:iCs/>
                <w:color w:val="1D336D" w:themeColor="background2"/>
                <w:sz w:val="20"/>
              </w:rPr>
              <w:t>Program</w:t>
            </w:r>
            <w:r w:rsidRPr="00790689">
              <w:rPr>
                <w:i/>
                <w:iCs/>
                <w:color w:val="1D336D" w:themeColor="background2"/>
                <w:spacing w:val="-6"/>
                <w:sz w:val="20"/>
              </w:rPr>
              <w:t xml:space="preserve"> </w:t>
            </w:r>
            <w:r w:rsidRPr="00790689">
              <w:rPr>
                <w:i/>
                <w:iCs/>
                <w:color w:val="1D336D" w:themeColor="background2"/>
                <w:spacing w:val="-2"/>
                <w:sz w:val="20"/>
              </w:rPr>
              <w:t>Outcomes</w:t>
            </w:r>
          </w:p>
        </w:tc>
      </w:tr>
      <w:tr w:rsidR="000A62D2" w14:paraId="31FD2C43" w14:textId="77777777" w:rsidTr="00A10953">
        <w:trPr>
          <w:trHeight w:val="491"/>
          <w:jc w:val="center"/>
        </w:trPr>
        <w:tc>
          <w:tcPr>
            <w:tcW w:w="1277" w:type="dxa"/>
            <w:tcBorders>
              <w:top w:val="single" w:sz="4" w:space="0" w:color="1D336C"/>
              <w:bottom w:val="single" w:sz="4" w:space="0" w:color="1D336C"/>
            </w:tcBorders>
            <w:shd w:val="clear" w:color="auto" w:fill="F1F1F1"/>
          </w:tcPr>
          <w:p w14:paraId="4B5B6B3D" w14:textId="77777777" w:rsidR="000A62D2" w:rsidRPr="00167938" w:rsidRDefault="000A62D2">
            <w:pPr>
              <w:pStyle w:val="TableParagraph"/>
              <w:rPr>
                <w:b/>
                <w:color w:val="1D336D" w:themeColor="background2"/>
                <w:sz w:val="20"/>
              </w:rPr>
            </w:pPr>
            <w:r w:rsidRPr="00167938">
              <w:rPr>
                <w:b/>
                <w:color w:val="1D336D" w:themeColor="background2"/>
                <w:spacing w:val="-5"/>
                <w:sz w:val="20"/>
              </w:rPr>
              <w:t>FGD</w:t>
            </w:r>
          </w:p>
        </w:tc>
        <w:tc>
          <w:tcPr>
            <w:tcW w:w="8355" w:type="dxa"/>
            <w:tcBorders>
              <w:top w:val="single" w:sz="4" w:space="0" w:color="1D336C"/>
              <w:bottom w:val="single" w:sz="4" w:space="0" w:color="1D336C"/>
            </w:tcBorders>
          </w:tcPr>
          <w:p w14:paraId="0D2DD2D0" w14:textId="77777777" w:rsidR="000A62D2" w:rsidRPr="00790689" w:rsidRDefault="000A62D2">
            <w:pPr>
              <w:pStyle w:val="TableParagraph"/>
              <w:rPr>
                <w:i/>
                <w:iCs/>
                <w:color w:val="1D336D" w:themeColor="background2"/>
                <w:sz w:val="20"/>
              </w:rPr>
            </w:pPr>
            <w:r w:rsidRPr="00790689">
              <w:rPr>
                <w:i/>
                <w:iCs/>
                <w:color w:val="1D336D" w:themeColor="background2"/>
                <w:sz w:val="20"/>
              </w:rPr>
              <w:t>Focus</w:t>
            </w:r>
            <w:r w:rsidRPr="00790689">
              <w:rPr>
                <w:i/>
                <w:iCs/>
                <w:color w:val="1D336D" w:themeColor="background2"/>
                <w:spacing w:val="-8"/>
                <w:sz w:val="20"/>
              </w:rPr>
              <w:t xml:space="preserve"> </w:t>
            </w:r>
            <w:r w:rsidRPr="00790689">
              <w:rPr>
                <w:i/>
                <w:iCs/>
                <w:color w:val="1D336D" w:themeColor="background2"/>
                <w:sz w:val="20"/>
              </w:rPr>
              <w:t>group</w:t>
            </w:r>
            <w:r w:rsidRPr="00790689">
              <w:rPr>
                <w:i/>
                <w:iCs/>
                <w:color w:val="1D336D" w:themeColor="background2"/>
                <w:spacing w:val="-7"/>
                <w:sz w:val="20"/>
              </w:rPr>
              <w:t xml:space="preserve"> </w:t>
            </w:r>
            <w:r w:rsidRPr="00790689">
              <w:rPr>
                <w:i/>
                <w:iCs/>
                <w:color w:val="1D336D" w:themeColor="background2"/>
                <w:spacing w:val="-2"/>
                <w:sz w:val="20"/>
              </w:rPr>
              <w:t>discussion</w:t>
            </w:r>
          </w:p>
        </w:tc>
      </w:tr>
      <w:tr w:rsidR="000A62D2" w14:paraId="713E5183" w14:textId="77777777" w:rsidTr="00A10953">
        <w:trPr>
          <w:trHeight w:val="489"/>
          <w:jc w:val="center"/>
        </w:trPr>
        <w:tc>
          <w:tcPr>
            <w:tcW w:w="1277" w:type="dxa"/>
            <w:tcBorders>
              <w:top w:val="single" w:sz="4" w:space="0" w:color="1D336C"/>
              <w:bottom w:val="single" w:sz="4" w:space="0" w:color="1D336C"/>
            </w:tcBorders>
            <w:shd w:val="clear" w:color="auto" w:fill="F1F1F1"/>
          </w:tcPr>
          <w:p w14:paraId="5897D0BE" w14:textId="77777777" w:rsidR="000A62D2" w:rsidRPr="00167938" w:rsidRDefault="000A62D2">
            <w:pPr>
              <w:pStyle w:val="TableParagraph"/>
              <w:spacing w:before="134"/>
              <w:rPr>
                <w:b/>
                <w:color w:val="1D336D" w:themeColor="background2"/>
                <w:sz w:val="20"/>
              </w:rPr>
            </w:pPr>
            <w:r w:rsidRPr="00167938">
              <w:rPr>
                <w:b/>
                <w:color w:val="1D336D" w:themeColor="background2"/>
                <w:spacing w:val="-4"/>
                <w:sz w:val="20"/>
              </w:rPr>
              <w:t>FMNR</w:t>
            </w:r>
          </w:p>
        </w:tc>
        <w:tc>
          <w:tcPr>
            <w:tcW w:w="8355" w:type="dxa"/>
            <w:tcBorders>
              <w:top w:val="single" w:sz="4" w:space="0" w:color="1D336C"/>
              <w:bottom w:val="single" w:sz="4" w:space="0" w:color="1D336C"/>
            </w:tcBorders>
          </w:tcPr>
          <w:p w14:paraId="532FF106" w14:textId="77777777" w:rsidR="000A62D2" w:rsidRPr="00790689" w:rsidRDefault="000A62D2">
            <w:pPr>
              <w:pStyle w:val="TableParagraph"/>
              <w:spacing w:before="134"/>
              <w:rPr>
                <w:i/>
                <w:iCs/>
                <w:color w:val="1D336D" w:themeColor="background2"/>
                <w:sz w:val="20"/>
              </w:rPr>
            </w:pPr>
            <w:r w:rsidRPr="00790689">
              <w:rPr>
                <w:i/>
                <w:iCs/>
                <w:color w:val="1D336D" w:themeColor="background2"/>
                <w:sz w:val="20"/>
              </w:rPr>
              <w:t>Farmer</w:t>
            </w:r>
            <w:r w:rsidRPr="00790689">
              <w:rPr>
                <w:i/>
                <w:iCs/>
                <w:color w:val="1D336D" w:themeColor="background2"/>
                <w:spacing w:val="-9"/>
                <w:sz w:val="20"/>
              </w:rPr>
              <w:t xml:space="preserve"> </w:t>
            </w:r>
            <w:r w:rsidRPr="00790689">
              <w:rPr>
                <w:i/>
                <w:iCs/>
                <w:color w:val="1D336D" w:themeColor="background2"/>
                <w:sz w:val="20"/>
              </w:rPr>
              <w:t>Managed</w:t>
            </w:r>
            <w:r w:rsidRPr="00790689">
              <w:rPr>
                <w:i/>
                <w:iCs/>
                <w:color w:val="1D336D" w:themeColor="background2"/>
                <w:spacing w:val="-8"/>
                <w:sz w:val="20"/>
              </w:rPr>
              <w:t xml:space="preserve"> </w:t>
            </w:r>
            <w:r w:rsidRPr="00790689">
              <w:rPr>
                <w:i/>
                <w:iCs/>
                <w:color w:val="1D336D" w:themeColor="background2"/>
                <w:sz w:val="20"/>
              </w:rPr>
              <w:t>Natural</w:t>
            </w:r>
            <w:r w:rsidRPr="00790689">
              <w:rPr>
                <w:i/>
                <w:iCs/>
                <w:color w:val="1D336D" w:themeColor="background2"/>
                <w:spacing w:val="-11"/>
                <w:sz w:val="20"/>
              </w:rPr>
              <w:t xml:space="preserve"> </w:t>
            </w:r>
            <w:r w:rsidRPr="00790689">
              <w:rPr>
                <w:i/>
                <w:iCs/>
                <w:color w:val="1D336D" w:themeColor="background2"/>
                <w:spacing w:val="-2"/>
                <w:sz w:val="20"/>
              </w:rPr>
              <w:t>Regeneration</w:t>
            </w:r>
          </w:p>
        </w:tc>
      </w:tr>
      <w:tr w:rsidR="000A62D2" w14:paraId="359830AE" w14:textId="77777777" w:rsidTr="00A10953">
        <w:trPr>
          <w:trHeight w:val="489"/>
          <w:jc w:val="center"/>
        </w:trPr>
        <w:tc>
          <w:tcPr>
            <w:tcW w:w="1277" w:type="dxa"/>
            <w:tcBorders>
              <w:top w:val="single" w:sz="4" w:space="0" w:color="1D336C"/>
              <w:bottom w:val="single" w:sz="4" w:space="0" w:color="1D336C"/>
            </w:tcBorders>
            <w:shd w:val="clear" w:color="auto" w:fill="F1F1F1"/>
          </w:tcPr>
          <w:p w14:paraId="7ECA02BA" w14:textId="77777777" w:rsidR="000A62D2" w:rsidRPr="00167938" w:rsidRDefault="000A62D2">
            <w:pPr>
              <w:pStyle w:val="TableParagraph"/>
              <w:rPr>
                <w:b/>
                <w:color w:val="1D336D" w:themeColor="background2"/>
                <w:sz w:val="20"/>
              </w:rPr>
            </w:pPr>
            <w:r w:rsidRPr="00167938">
              <w:rPr>
                <w:b/>
                <w:color w:val="1D336D" w:themeColor="background2"/>
                <w:spacing w:val="-4"/>
                <w:sz w:val="20"/>
              </w:rPr>
              <w:t>FPIC</w:t>
            </w:r>
          </w:p>
        </w:tc>
        <w:tc>
          <w:tcPr>
            <w:tcW w:w="8355" w:type="dxa"/>
            <w:tcBorders>
              <w:top w:val="single" w:sz="4" w:space="0" w:color="1D336C"/>
              <w:bottom w:val="single" w:sz="4" w:space="0" w:color="1D336C"/>
            </w:tcBorders>
          </w:tcPr>
          <w:p w14:paraId="26D78864" w14:textId="77777777" w:rsidR="000A62D2" w:rsidRPr="00790689" w:rsidRDefault="000A62D2">
            <w:pPr>
              <w:pStyle w:val="TableParagraph"/>
              <w:rPr>
                <w:i/>
                <w:iCs/>
                <w:color w:val="1D336D" w:themeColor="background2"/>
                <w:sz w:val="20"/>
              </w:rPr>
            </w:pPr>
            <w:r w:rsidRPr="00790689">
              <w:rPr>
                <w:i/>
                <w:iCs/>
                <w:color w:val="1D336D" w:themeColor="background2"/>
                <w:sz w:val="20"/>
              </w:rPr>
              <w:t>Free,</w:t>
            </w:r>
            <w:r w:rsidRPr="00790689">
              <w:rPr>
                <w:i/>
                <w:iCs/>
                <w:color w:val="1D336D" w:themeColor="background2"/>
                <w:spacing w:val="-8"/>
                <w:sz w:val="20"/>
              </w:rPr>
              <w:t xml:space="preserve"> </w:t>
            </w:r>
            <w:r w:rsidRPr="00790689">
              <w:rPr>
                <w:i/>
                <w:iCs/>
                <w:color w:val="1D336D" w:themeColor="background2"/>
                <w:sz w:val="20"/>
              </w:rPr>
              <w:t>Prior,</w:t>
            </w:r>
            <w:r w:rsidRPr="00790689">
              <w:rPr>
                <w:i/>
                <w:iCs/>
                <w:color w:val="1D336D" w:themeColor="background2"/>
                <w:spacing w:val="-8"/>
                <w:sz w:val="20"/>
              </w:rPr>
              <w:t xml:space="preserve"> </w:t>
            </w:r>
            <w:r w:rsidRPr="00790689">
              <w:rPr>
                <w:i/>
                <w:iCs/>
                <w:color w:val="1D336D" w:themeColor="background2"/>
                <w:sz w:val="20"/>
              </w:rPr>
              <w:t>and</w:t>
            </w:r>
            <w:r w:rsidRPr="00790689">
              <w:rPr>
                <w:i/>
                <w:iCs/>
                <w:color w:val="1D336D" w:themeColor="background2"/>
                <w:spacing w:val="-9"/>
                <w:sz w:val="20"/>
              </w:rPr>
              <w:t xml:space="preserve"> </w:t>
            </w:r>
            <w:r w:rsidRPr="00790689">
              <w:rPr>
                <w:i/>
                <w:iCs/>
                <w:color w:val="1D336D" w:themeColor="background2"/>
                <w:sz w:val="20"/>
              </w:rPr>
              <w:t>Informed</w:t>
            </w:r>
            <w:r w:rsidRPr="00790689">
              <w:rPr>
                <w:i/>
                <w:iCs/>
                <w:color w:val="1D336D" w:themeColor="background2"/>
                <w:spacing w:val="-8"/>
                <w:sz w:val="20"/>
              </w:rPr>
              <w:t xml:space="preserve"> </w:t>
            </w:r>
            <w:r w:rsidRPr="00790689">
              <w:rPr>
                <w:i/>
                <w:iCs/>
                <w:color w:val="1D336D" w:themeColor="background2"/>
                <w:spacing w:val="-2"/>
                <w:sz w:val="20"/>
              </w:rPr>
              <w:t>Consent</w:t>
            </w:r>
          </w:p>
        </w:tc>
      </w:tr>
      <w:tr w:rsidR="000A62D2" w14:paraId="4280A5F1" w14:textId="77777777" w:rsidTr="00A10953">
        <w:trPr>
          <w:trHeight w:val="491"/>
          <w:jc w:val="center"/>
        </w:trPr>
        <w:tc>
          <w:tcPr>
            <w:tcW w:w="1277" w:type="dxa"/>
            <w:tcBorders>
              <w:top w:val="single" w:sz="4" w:space="0" w:color="1D336C"/>
              <w:bottom w:val="single" w:sz="4" w:space="0" w:color="1D336C"/>
            </w:tcBorders>
            <w:shd w:val="clear" w:color="auto" w:fill="F1F1F1"/>
          </w:tcPr>
          <w:p w14:paraId="2A906093" w14:textId="77777777" w:rsidR="000A62D2" w:rsidRPr="00167938" w:rsidRDefault="000A62D2">
            <w:pPr>
              <w:pStyle w:val="TableParagraph"/>
              <w:rPr>
                <w:b/>
                <w:color w:val="1D336D" w:themeColor="background2"/>
                <w:sz w:val="20"/>
              </w:rPr>
            </w:pPr>
            <w:r w:rsidRPr="00167938">
              <w:rPr>
                <w:b/>
                <w:color w:val="1D336D" w:themeColor="background2"/>
                <w:spacing w:val="-5"/>
                <w:sz w:val="20"/>
              </w:rPr>
              <w:t>GCF</w:t>
            </w:r>
          </w:p>
        </w:tc>
        <w:tc>
          <w:tcPr>
            <w:tcW w:w="8355" w:type="dxa"/>
            <w:tcBorders>
              <w:top w:val="single" w:sz="4" w:space="0" w:color="1D336C"/>
              <w:bottom w:val="single" w:sz="4" w:space="0" w:color="1D336C"/>
            </w:tcBorders>
          </w:tcPr>
          <w:p w14:paraId="7FD5A750" w14:textId="77777777" w:rsidR="000A62D2" w:rsidRPr="00790689" w:rsidRDefault="000A62D2">
            <w:pPr>
              <w:pStyle w:val="TableParagraph"/>
              <w:rPr>
                <w:i/>
                <w:iCs/>
                <w:color w:val="1D336D" w:themeColor="background2"/>
                <w:sz w:val="20"/>
              </w:rPr>
            </w:pPr>
            <w:r w:rsidRPr="00790689">
              <w:rPr>
                <w:i/>
                <w:iCs/>
                <w:color w:val="1D336D" w:themeColor="background2"/>
                <w:sz w:val="20"/>
              </w:rPr>
              <w:t>Green</w:t>
            </w:r>
            <w:r w:rsidRPr="00790689">
              <w:rPr>
                <w:i/>
                <w:iCs/>
                <w:color w:val="1D336D" w:themeColor="background2"/>
                <w:spacing w:val="-11"/>
                <w:sz w:val="20"/>
              </w:rPr>
              <w:t xml:space="preserve"> </w:t>
            </w:r>
            <w:r w:rsidRPr="00790689">
              <w:rPr>
                <w:i/>
                <w:iCs/>
                <w:color w:val="1D336D" w:themeColor="background2"/>
                <w:sz w:val="20"/>
              </w:rPr>
              <w:t>Climate</w:t>
            </w:r>
            <w:r w:rsidRPr="00790689">
              <w:rPr>
                <w:i/>
                <w:iCs/>
                <w:color w:val="1D336D" w:themeColor="background2"/>
                <w:spacing w:val="-11"/>
                <w:sz w:val="20"/>
              </w:rPr>
              <w:t xml:space="preserve"> </w:t>
            </w:r>
            <w:r w:rsidRPr="00790689">
              <w:rPr>
                <w:i/>
                <w:iCs/>
                <w:color w:val="1D336D" w:themeColor="background2"/>
                <w:spacing w:val="-4"/>
                <w:sz w:val="20"/>
              </w:rPr>
              <w:t>Fund</w:t>
            </w:r>
          </w:p>
        </w:tc>
      </w:tr>
      <w:tr w:rsidR="000A62D2" w14:paraId="1FF3EEA5" w14:textId="77777777" w:rsidTr="00A10953">
        <w:trPr>
          <w:trHeight w:val="489"/>
          <w:jc w:val="center"/>
        </w:trPr>
        <w:tc>
          <w:tcPr>
            <w:tcW w:w="1277" w:type="dxa"/>
            <w:tcBorders>
              <w:top w:val="single" w:sz="4" w:space="0" w:color="1D336C"/>
              <w:bottom w:val="single" w:sz="4" w:space="0" w:color="1D336C"/>
            </w:tcBorders>
            <w:shd w:val="clear" w:color="auto" w:fill="F1F1F1"/>
          </w:tcPr>
          <w:p w14:paraId="5C6AEE62" w14:textId="77777777" w:rsidR="000A62D2" w:rsidRPr="00167938" w:rsidRDefault="000A62D2">
            <w:pPr>
              <w:pStyle w:val="TableParagraph"/>
              <w:spacing w:before="134"/>
              <w:rPr>
                <w:b/>
                <w:color w:val="1D336D" w:themeColor="background2"/>
                <w:sz w:val="20"/>
              </w:rPr>
            </w:pPr>
            <w:r w:rsidRPr="00167938">
              <w:rPr>
                <w:b/>
                <w:color w:val="1D336D" w:themeColor="background2"/>
                <w:spacing w:val="-2"/>
                <w:sz w:val="20"/>
              </w:rPr>
              <w:t>GEDSI</w:t>
            </w:r>
          </w:p>
        </w:tc>
        <w:tc>
          <w:tcPr>
            <w:tcW w:w="8355" w:type="dxa"/>
            <w:tcBorders>
              <w:top w:val="single" w:sz="4" w:space="0" w:color="1D336C"/>
              <w:bottom w:val="single" w:sz="4" w:space="0" w:color="1D336C"/>
            </w:tcBorders>
          </w:tcPr>
          <w:p w14:paraId="0D480BA8" w14:textId="77777777" w:rsidR="000A62D2" w:rsidRPr="00790689" w:rsidRDefault="000A62D2">
            <w:pPr>
              <w:pStyle w:val="TableParagraph"/>
              <w:spacing w:before="134"/>
              <w:rPr>
                <w:i/>
                <w:iCs/>
                <w:color w:val="1D336D" w:themeColor="background2"/>
                <w:sz w:val="20"/>
              </w:rPr>
            </w:pPr>
            <w:r w:rsidRPr="00790689">
              <w:rPr>
                <w:i/>
                <w:iCs/>
                <w:color w:val="1D336D" w:themeColor="background2"/>
                <w:sz w:val="20"/>
              </w:rPr>
              <w:t>Gender</w:t>
            </w:r>
            <w:r w:rsidRPr="00790689">
              <w:rPr>
                <w:i/>
                <w:iCs/>
                <w:color w:val="1D336D" w:themeColor="background2"/>
                <w:spacing w:val="-8"/>
                <w:sz w:val="20"/>
              </w:rPr>
              <w:t xml:space="preserve"> </w:t>
            </w:r>
            <w:r w:rsidRPr="00790689">
              <w:rPr>
                <w:i/>
                <w:iCs/>
                <w:color w:val="1D336D" w:themeColor="background2"/>
                <w:sz w:val="20"/>
              </w:rPr>
              <w:t>Equality,</w:t>
            </w:r>
            <w:r w:rsidRPr="00790689">
              <w:rPr>
                <w:i/>
                <w:iCs/>
                <w:color w:val="1D336D" w:themeColor="background2"/>
                <w:spacing w:val="-9"/>
                <w:sz w:val="20"/>
              </w:rPr>
              <w:t xml:space="preserve"> </w:t>
            </w:r>
            <w:r w:rsidRPr="00790689">
              <w:rPr>
                <w:i/>
                <w:iCs/>
                <w:color w:val="1D336D" w:themeColor="background2"/>
                <w:sz w:val="20"/>
              </w:rPr>
              <w:t>Disability</w:t>
            </w:r>
            <w:r w:rsidRPr="00790689">
              <w:rPr>
                <w:i/>
                <w:iCs/>
                <w:color w:val="1D336D" w:themeColor="background2"/>
                <w:spacing w:val="-7"/>
                <w:sz w:val="20"/>
              </w:rPr>
              <w:t xml:space="preserve"> </w:t>
            </w:r>
            <w:r w:rsidRPr="00790689">
              <w:rPr>
                <w:i/>
                <w:iCs/>
                <w:color w:val="1D336D" w:themeColor="background2"/>
                <w:sz w:val="20"/>
              </w:rPr>
              <w:t>and</w:t>
            </w:r>
            <w:r w:rsidRPr="00790689">
              <w:rPr>
                <w:i/>
                <w:iCs/>
                <w:color w:val="1D336D" w:themeColor="background2"/>
                <w:spacing w:val="-8"/>
                <w:sz w:val="20"/>
              </w:rPr>
              <w:t xml:space="preserve"> </w:t>
            </w:r>
            <w:r w:rsidRPr="00790689">
              <w:rPr>
                <w:i/>
                <w:iCs/>
                <w:color w:val="1D336D" w:themeColor="background2"/>
                <w:sz w:val="20"/>
              </w:rPr>
              <w:t>Social</w:t>
            </w:r>
            <w:r w:rsidRPr="00790689">
              <w:rPr>
                <w:i/>
                <w:iCs/>
                <w:color w:val="1D336D" w:themeColor="background2"/>
                <w:spacing w:val="-11"/>
                <w:sz w:val="20"/>
              </w:rPr>
              <w:t xml:space="preserve"> </w:t>
            </w:r>
            <w:r w:rsidRPr="00790689">
              <w:rPr>
                <w:i/>
                <w:iCs/>
                <w:color w:val="1D336D" w:themeColor="background2"/>
                <w:spacing w:val="-2"/>
                <w:sz w:val="20"/>
              </w:rPr>
              <w:t>Inclusion</w:t>
            </w:r>
          </w:p>
        </w:tc>
      </w:tr>
      <w:tr w:rsidR="000A62D2" w14:paraId="66EB722C" w14:textId="77777777" w:rsidTr="00A10953">
        <w:trPr>
          <w:trHeight w:val="489"/>
          <w:jc w:val="center"/>
        </w:trPr>
        <w:tc>
          <w:tcPr>
            <w:tcW w:w="1277" w:type="dxa"/>
            <w:tcBorders>
              <w:top w:val="single" w:sz="4" w:space="0" w:color="1D336C"/>
              <w:bottom w:val="single" w:sz="4" w:space="0" w:color="1D336C"/>
            </w:tcBorders>
            <w:shd w:val="clear" w:color="auto" w:fill="F1F1F1"/>
          </w:tcPr>
          <w:p w14:paraId="6C16F5C6" w14:textId="77777777" w:rsidR="000A62D2" w:rsidRPr="00167938" w:rsidRDefault="000A62D2">
            <w:pPr>
              <w:pStyle w:val="TableParagraph"/>
              <w:rPr>
                <w:b/>
                <w:color w:val="1D336D" w:themeColor="background2"/>
                <w:sz w:val="20"/>
              </w:rPr>
            </w:pPr>
            <w:r w:rsidRPr="00167938">
              <w:rPr>
                <w:b/>
                <w:color w:val="1D336D" w:themeColor="background2"/>
                <w:spacing w:val="-5"/>
                <w:sz w:val="20"/>
              </w:rPr>
              <w:t>GEF</w:t>
            </w:r>
          </w:p>
        </w:tc>
        <w:tc>
          <w:tcPr>
            <w:tcW w:w="8355" w:type="dxa"/>
            <w:tcBorders>
              <w:top w:val="single" w:sz="4" w:space="0" w:color="1D336C"/>
              <w:bottom w:val="single" w:sz="4" w:space="0" w:color="1D336C"/>
            </w:tcBorders>
          </w:tcPr>
          <w:p w14:paraId="47DF91DC" w14:textId="77777777" w:rsidR="000A62D2" w:rsidRPr="00790689" w:rsidRDefault="000A62D2">
            <w:pPr>
              <w:pStyle w:val="TableParagraph"/>
              <w:rPr>
                <w:i/>
                <w:iCs/>
                <w:color w:val="1D336D" w:themeColor="background2"/>
                <w:sz w:val="20"/>
              </w:rPr>
            </w:pPr>
            <w:r w:rsidRPr="00790689">
              <w:rPr>
                <w:i/>
                <w:iCs/>
                <w:color w:val="1D336D" w:themeColor="background2"/>
                <w:sz w:val="20"/>
              </w:rPr>
              <w:t>Global</w:t>
            </w:r>
            <w:r w:rsidRPr="00790689">
              <w:rPr>
                <w:i/>
                <w:iCs/>
                <w:color w:val="1D336D" w:themeColor="background2"/>
                <w:spacing w:val="-13"/>
                <w:sz w:val="20"/>
              </w:rPr>
              <w:t xml:space="preserve"> </w:t>
            </w:r>
            <w:r w:rsidRPr="00790689">
              <w:rPr>
                <w:i/>
                <w:iCs/>
                <w:color w:val="1D336D" w:themeColor="background2"/>
                <w:sz w:val="20"/>
              </w:rPr>
              <w:t>Environmental</w:t>
            </w:r>
            <w:r w:rsidRPr="00790689">
              <w:rPr>
                <w:i/>
                <w:iCs/>
                <w:color w:val="1D336D" w:themeColor="background2"/>
                <w:spacing w:val="-14"/>
                <w:sz w:val="20"/>
              </w:rPr>
              <w:t xml:space="preserve"> </w:t>
            </w:r>
            <w:r w:rsidRPr="00790689">
              <w:rPr>
                <w:i/>
                <w:iCs/>
                <w:color w:val="1D336D" w:themeColor="background2"/>
                <w:spacing w:val="-4"/>
                <w:sz w:val="20"/>
              </w:rPr>
              <w:t>Fund</w:t>
            </w:r>
          </w:p>
        </w:tc>
      </w:tr>
      <w:tr w:rsidR="000A62D2" w14:paraId="48736B6B" w14:textId="77777777" w:rsidTr="00A10953">
        <w:trPr>
          <w:trHeight w:val="492"/>
          <w:jc w:val="center"/>
        </w:trPr>
        <w:tc>
          <w:tcPr>
            <w:tcW w:w="1277" w:type="dxa"/>
            <w:tcBorders>
              <w:top w:val="single" w:sz="4" w:space="0" w:color="1D336C"/>
              <w:bottom w:val="single" w:sz="4" w:space="0" w:color="1D336C"/>
            </w:tcBorders>
            <w:shd w:val="clear" w:color="auto" w:fill="F1F1F1"/>
          </w:tcPr>
          <w:p w14:paraId="7187E63C" w14:textId="77777777" w:rsidR="000A62D2" w:rsidRPr="00167938" w:rsidRDefault="000A62D2">
            <w:pPr>
              <w:pStyle w:val="TableParagraph"/>
              <w:spacing w:before="137"/>
              <w:rPr>
                <w:b/>
                <w:color w:val="1D336D" w:themeColor="background2"/>
                <w:sz w:val="20"/>
              </w:rPr>
            </w:pPr>
            <w:proofErr w:type="spellStart"/>
            <w:r w:rsidRPr="00167938">
              <w:rPr>
                <w:b/>
                <w:color w:val="1D336D" w:themeColor="background2"/>
                <w:spacing w:val="-5"/>
                <w:sz w:val="20"/>
              </w:rPr>
              <w:t>GoF</w:t>
            </w:r>
            <w:proofErr w:type="spellEnd"/>
          </w:p>
        </w:tc>
        <w:tc>
          <w:tcPr>
            <w:tcW w:w="8355" w:type="dxa"/>
            <w:tcBorders>
              <w:top w:val="single" w:sz="4" w:space="0" w:color="1D336C"/>
              <w:bottom w:val="single" w:sz="4" w:space="0" w:color="1D336C"/>
            </w:tcBorders>
          </w:tcPr>
          <w:p w14:paraId="05988D5A" w14:textId="77777777" w:rsidR="000A62D2" w:rsidRPr="00790689" w:rsidRDefault="000A62D2">
            <w:pPr>
              <w:pStyle w:val="TableParagraph"/>
              <w:spacing w:before="137"/>
              <w:rPr>
                <w:i/>
                <w:iCs/>
                <w:color w:val="1D336D" w:themeColor="background2"/>
                <w:sz w:val="20"/>
              </w:rPr>
            </w:pPr>
            <w:r w:rsidRPr="00790689">
              <w:rPr>
                <w:i/>
                <w:iCs/>
                <w:color w:val="1D336D" w:themeColor="background2"/>
                <w:sz w:val="20"/>
              </w:rPr>
              <w:t>Government</w:t>
            </w:r>
            <w:r w:rsidRPr="00790689">
              <w:rPr>
                <w:i/>
                <w:iCs/>
                <w:color w:val="1D336D" w:themeColor="background2"/>
                <w:spacing w:val="-10"/>
                <w:sz w:val="20"/>
              </w:rPr>
              <w:t xml:space="preserve"> </w:t>
            </w:r>
            <w:r w:rsidRPr="00790689">
              <w:rPr>
                <w:i/>
                <w:iCs/>
                <w:color w:val="1D336D" w:themeColor="background2"/>
                <w:sz w:val="20"/>
              </w:rPr>
              <w:t>of</w:t>
            </w:r>
            <w:r w:rsidRPr="00790689">
              <w:rPr>
                <w:i/>
                <w:iCs/>
                <w:color w:val="1D336D" w:themeColor="background2"/>
                <w:spacing w:val="-10"/>
                <w:sz w:val="20"/>
              </w:rPr>
              <w:t xml:space="preserve"> </w:t>
            </w:r>
            <w:r w:rsidRPr="00790689">
              <w:rPr>
                <w:i/>
                <w:iCs/>
                <w:color w:val="1D336D" w:themeColor="background2"/>
                <w:spacing w:val="-4"/>
                <w:sz w:val="20"/>
              </w:rPr>
              <w:t>Fiji</w:t>
            </w:r>
          </w:p>
        </w:tc>
      </w:tr>
      <w:tr w:rsidR="000A62D2" w14:paraId="0CCE0F8C" w14:textId="77777777" w:rsidTr="00A10953">
        <w:trPr>
          <w:trHeight w:val="489"/>
          <w:jc w:val="center"/>
        </w:trPr>
        <w:tc>
          <w:tcPr>
            <w:tcW w:w="1277" w:type="dxa"/>
            <w:tcBorders>
              <w:top w:val="single" w:sz="4" w:space="0" w:color="1D336C"/>
              <w:bottom w:val="single" w:sz="4" w:space="0" w:color="1D336C"/>
            </w:tcBorders>
            <w:shd w:val="clear" w:color="auto" w:fill="F1F1F1"/>
          </w:tcPr>
          <w:p w14:paraId="0EECCAC8" w14:textId="77777777" w:rsidR="000A62D2" w:rsidRPr="00167938" w:rsidRDefault="000A62D2">
            <w:pPr>
              <w:pStyle w:val="TableParagraph"/>
              <w:spacing w:before="134"/>
              <w:rPr>
                <w:b/>
                <w:color w:val="1D336D" w:themeColor="background2"/>
                <w:sz w:val="20"/>
              </w:rPr>
            </w:pPr>
            <w:proofErr w:type="spellStart"/>
            <w:r w:rsidRPr="00167938">
              <w:rPr>
                <w:b/>
                <w:color w:val="1D336D" w:themeColor="background2"/>
                <w:spacing w:val="-4"/>
                <w:sz w:val="20"/>
              </w:rPr>
              <w:t>GoTL</w:t>
            </w:r>
            <w:proofErr w:type="spellEnd"/>
          </w:p>
        </w:tc>
        <w:tc>
          <w:tcPr>
            <w:tcW w:w="8355" w:type="dxa"/>
            <w:tcBorders>
              <w:top w:val="single" w:sz="4" w:space="0" w:color="1D336C"/>
              <w:bottom w:val="single" w:sz="4" w:space="0" w:color="1D336C"/>
            </w:tcBorders>
          </w:tcPr>
          <w:p w14:paraId="2D2C0524" w14:textId="77777777" w:rsidR="000A62D2" w:rsidRPr="00790689" w:rsidRDefault="000A62D2">
            <w:pPr>
              <w:pStyle w:val="TableParagraph"/>
              <w:spacing w:before="134"/>
              <w:rPr>
                <w:i/>
                <w:iCs/>
                <w:color w:val="1D336D" w:themeColor="background2"/>
                <w:sz w:val="20"/>
              </w:rPr>
            </w:pPr>
            <w:r w:rsidRPr="00790689">
              <w:rPr>
                <w:i/>
                <w:iCs/>
                <w:color w:val="1D336D" w:themeColor="background2"/>
                <w:sz w:val="20"/>
              </w:rPr>
              <w:t>Government</w:t>
            </w:r>
            <w:r w:rsidRPr="00790689">
              <w:rPr>
                <w:i/>
                <w:iCs/>
                <w:color w:val="1D336D" w:themeColor="background2"/>
                <w:spacing w:val="-13"/>
                <w:sz w:val="20"/>
              </w:rPr>
              <w:t xml:space="preserve"> </w:t>
            </w:r>
            <w:r w:rsidRPr="00790689">
              <w:rPr>
                <w:i/>
                <w:iCs/>
                <w:color w:val="1D336D" w:themeColor="background2"/>
                <w:sz w:val="20"/>
              </w:rPr>
              <w:t>of</w:t>
            </w:r>
            <w:r w:rsidRPr="00790689">
              <w:rPr>
                <w:i/>
                <w:iCs/>
                <w:color w:val="1D336D" w:themeColor="background2"/>
                <w:spacing w:val="-11"/>
                <w:sz w:val="20"/>
              </w:rPr>
              <w:t xml:space="preserve"> </w:t>
            </w:r>
            <w:r w:rsidRPr="00790689">
              <w:rPr>
                <w:i/>
                <w:iCs/>
                <w:color w:val="1D336D" w:themeColor="background2"/>
                <w:sz w:val="20"/>
              </w:rPr>
              <w:t>Timor-</w:t>
            </w:r>
            <w:r w:rsidRPr="00790689">
              <w:rPr>
                <w:i/>
                <w:iCs/>
                <w:color w:val="1D336D" w:themeColor="background2"/>
                <w:spacing w:val="-2"/>
                <w:sz w:val="20"/>
              </w:rPr>
              <w:t>Leste</w:t>
            </w:r>
          </w:p>
        </w:tc>
      </w:tr>
      <w:tr w:rsidR="000A62D2" w14:paraId="24D6922E" w14:textId="77777777" w:rsidTr="00A10953">
        <w:trPr>
          <w:trHeight w:val="489"/>
          <w:jc w:val="center"/>
        </w:trPr>
        <w:tc>
          <w:tcPr>
            <w:tcW w:w="1277" w:type="dxa"/>
            <w:tcBorders>
              <w:top w:val="single" w:sz="4" w:space="0" w:color="1D336C"/>
              <w:bottom w:val="single" w:sz="4" w:space="0" w:color="1D336C"/>
            </w:tcBorders>
            <w:shd w:val="clear" w:color="auto" w:fill="F1F1F1"/>
          </w:tcPr>
          <w:p w14:paraId="58371CB0" w14:textId="77777777" w:rsidR="000A62D2" w:rsidRPr="00167938" w:rsidRDefault="000A62D2">
            <w:pPr>
              <w:pStyle w:val="TableParagraph"/>
              <w:rPr>
                <w:b/>
                <w:color w:val="1D336D" w:themeColor="background2"/>
                <w:sz w:val="20"/>
              </w:rPr>
            </w:pPr>
            <w:r w:rsidRPr="00167938">
              <w:rPr>
                <w:b/>
                <w:color w:val="1D336D" w:themeColor="background2"/>
                <w:spacing w:val="-4"/>
                <w:sz w:val="20"/>
              </w:rPr>
              <w:t>IIRR</w:t>
            </w:r>
          </w:p>
        </w:tc>
        <w:tc>
          <w:tcPr>
            <w:tcW w:w="8355" w:type="dxa"/>
            <w:tcBorders>
              <w:top w:val="single" w:sz="4" w:space="0" w:color="1D336C"/>
              <w:bottom w:val="single" w:sz="4" w:space="0" w:color="1D336C"/>
            </w:tcBorders>
          </w:tcPr>
          <w:p w14:paraId="555479EE" w14:textId="77777777" w:rsidR="000A62D2" w:rsidRPr="00790689" w:rsidRDefault="000A62D2">
            <w:pPr>
              <w:pStyle w:val="TableParagraph"/>
              <w:rPr>
                <w:i/>
                <w:iCs/>
                <w:color w:val="1D336D" w:themeColor="background2"/>
                <w:sz w:val="20"/>
              </w:rPr>
            </w:pPr>
            <w:r w:rsidRPr="00790689">
              <w:rPr>
                <w:i/>
                <w:iCs/>
                <w:color w:val="1D336D" w:themeColor="background2"/>
                <w:sz w:val="20"/>
              </w:rPr>
              <w:t>International</w:t>
            </w:r>
            <w:r w:rsidRPr="00790689">
              <w:rPr>
                <w:i/>
                <w:iCs/>
                <w:color w:val="1D336D" w:themeColor="background2"/>
                <w:spacing w:val="-10"/>
                <w:sz w:val="20"/>
              </w:rPr>
              <w:t xml:space="preserve"> </w:t>
            </w:r>
            <w:r w:rsidRPr="00790689">
              <w:rPr>
                <w:i/>
                <w:iCs/>
                <w:color w:val="1D336D" w:themeColor="background2"/>
                <w:sz w:val="20"/>
              </w:rPr>
              <w:t>Institute</w:t>
            </w:r>
            <w:r w:rsidRPr="00790689">
              <w:rPr>
                <w:i/>
                <w:iCs/>
                <w:color w:val="1D336D" w:themeColor="background2"/>
                <w:spacing w:val="-9"/>
                <w:sz w:val="20"/>
              </w:rPr>
              <w:t xml:space="preserve"> </w:t>
            </w:r>
            <w:r w:rsidRPr="00790689">
              <w:rPr>
                <w:i/>
                <w:iCs/>
                <w:color w:val="1D336D" w:themeColor="background2"/>
                <w:sz w:val="20"/>
              </w:rPr>
              <w:t>of</w:t>
            </w:r>
            <w:r w:rsidRPr="00790689">
              <w:rPr>
                <w:i/>
                <w:iCs/>
                <w:color w:val="1D336D" w:themeColor="background2"/>
                <w:spacing w:val="-7"/>
                <w:sz w:val="20"/>
              </w:rPr>
              <w:t xml:space="preserve"> </w:t>
            </w:r>
            <w:r w:rsidRPr="00790689">
              <w:rPr>
                <w:i/>
                <w:iCs/>
                <w:color w:val="1D336D" w:themeColor="background2"/>
                <w:sz w:val="20"/>
              </w:rPr>
              <w:t>Rural</w:t>
            </w:r>
            <w:r w:rsidRPr="00790689">
              <w:rPr>
                <w:i/>
                <w:iCs/>
                <w:color w:val="1D336D" w:themeColor="background2"/>
                <w:spacing w:val="-10"/>
                <w:sz w:val="20"/>
              </w:rPr>
              <w:t xml:space="preserve"> </w:t>
            </w:r>
            <w:r w:rsidRPr="00790689">
              <w:rPr>
                <w:i/>
                <w:iCs/>
                <w:color w:val="1D336D" w:themeColor="background2"/>
                <w:spacing w:val="-2"/>
                <w:sz w:val="20"/>
              </w:rPr>
              <w:t>Reconstruction</w:t>
            </w:r>
          </w:p>
        </w:tc>
      </w:tr>
      <w:tr w:rsidR="000A62D2" w14:paraId="7A90C56B" w14:textId="77777777" w:rsidTr="00A10953">
        <w:trPr>
          <w:trHeight w:val="491"/>
          <w:jc w:val="center"/>
        </w:trPr>
        <w:tc>
          <w:tcPr>
            <w:tcW w:w="1277" w:type="dxa"/>
            <w:tcBorders>
              <w:top w:val="single" w:sz="4" w:space="0" w:color="1D336C"/>
              <w:bottom w:val="single" w:sz="4" w:space="0" w:color="1D336C"/>
            </w:tcBorders>
            <w:shd w:val="clear" w:color="auto" w:fill="F1F1F1"/>
          </w:tcPr>
          <w:p w14:paraId="56B2A5B5" w14:textId="77777777" w:rsidR="000A62D2" w:rsidRPr="00167938" w:rsidRDefault="000A62D2">
            <w:pPr>
              <w:pStyle w:val="TableParagraph"/>
              <w:rPr>
                <w:b/>
                <w:color w:val="1D336D" w:themeColor="background2"/>
                <w:sz w:val="20"/>
              </w:rPr>
            </w:pPr>
            <w:r w:rsidRPr="00167938">
              <w:rPr>
                <w:b/>
                <w:color w:val="1D336D" w:themeColor="background2"/>
                <w:spacing w:val="-4"/>
                <w:sz w:val="20"/>
              </w:rPr>
              <w:t>IMRs</w:t>
            </w:r>
          </w:p>
        </w:tc>
        <w:tc>
          <w:tcPr>
            <w:tcW w:w="8355" w:type="dxa"/>
            <w:tcBorders>
              <w:top w:val="single" w:sz="4" w:space="0" w:color="1D336C"/>
              <w:bottom w:val="single" w:sz="4" w:space="0" w:color="1D336C"/>
            </w:tcBorders>
          </w:tcPr>
          <w:p w14:paraId="1E8BF709" w14:textId="77777777" w:rsidR="000A62D2" w:rsidRPr="00790689" w:rsidRDefault="000A62D2">
            <w:pPr>
              <w:pStyle w:val="TableParagraph"/>
              <w:rPr>
                <w:i/>
                <w:iCs/>
                <w:color w:val="1D336D" w:themeColor="background2"/>
                <w:sz w:val="20"/>
              </w:rPr>
            </w:pPr>
            <w:r w:rsidRPr="00790689">
              <w:rPr>
                <w:i/>
                <w:iCs/>
                <w:color w:val="1D336D" w:themeColor="background2"/>
                <w:sz w:val="20"/>
              </w:rPr>
              <w:t>Investment</w:t>
            </w:r>
            <w:r w:rsidRPr="00790689">
              <w:rPr>
                <w:i/>
                <w:iCs/>
                <w:color w:val="1D336D" w:themeColor="background2"/>
                <w:spacing w:val="-14"/>
                <w:sz w:val="20"/>
              </w:rPr>
              <w:t xml:space="preserve"> </w:t>
            </w:r>
            <w:r w:rsidRPr="00790689">
              <w:rPr>
                <w:i/>
                <w:iCs/>
                <w:color w:val="1D336D" w:themeColor="background2"/>
                <w:sz w:val="20"/>
              </w:rPr>
              <w:t>Monitoring</w:t>
            </w:r>
            <w:r w:rsidRPr="00790689">
              <w:rPr>
                <w:i/>
                <w:iCs/>
                <w:color w:val="1D336D" w:themeColor="background2"/>
                <w:spacing w:val="-14"/>
                <w:sz w:val="20"/>
              </w:rPr>
              <w:t xml:space="preserve"> </w:t>
            </w:r>
            <w:r w:rsidRPr="00790689">
              <w:rPr>
                <w:i/>
                <w:iCs/>
                <w:color w:val="1D336D" w:themeColor="background2"/>
                <w:spacing w:val="-2"/>
                <w:sz w:val="20"/>
              </w:rPr>
              <w:t>Reports</w:t>
            </w:r>
          </w:p>
        </w:tc>
      </w:tr>
      <w:tr w:rsidR="000A62D2" w14:paraId="074083EB" w14:textId="77777777" w:rsidTr="00A10953">
        <w:trPr>
          <w:trHeight w:val="489"/>
          <w:jc w:val="center"/>
        </w:trPr>
        <w:tc>
          <w:tcPr>
            <w:tcW w:w="1277" w:type="dxa"/>
            <w:tcBorders>
              <w:top w:val="single" w:sz="4" w:space="0" w:color="1D336C"/>
              <w:bottom w:val="single" w:sz="4" w:space="0" w:color="1D336C"/>
            </w:tcBorders>
            <w:shd w:val="clear" w:color="auto" w:fill="F1F1F1"/>
          </w:tcPr>
          <w:p w14:paraId="1EF2A012" w14:textId="77777777" w:rsidR="000A62D2" w:rsidRPr="00167938" w:rsidRDefault="000A62D2">
            <w:pPr>
              <w:pStyle w:val="TableParagraph"/>
              <w:spacing w:before="134"/>
              <w:rPr>
                <w:b/>
                <w:color w:val="1D336D" w:themeColor="background2"/>
                <w:sz w:val="20"/>
              </w:rPr>
            </w:pPr>
            <w:r w:rsidRPr="00167938">
              <w:rPr>
                <w:b/>
                <w:color w:val="1D336D" w:themeColor="background2"/>
                <w:spacing w:val="-4"/>
                <w:sz w:val="20"/>
              </w:rPr>
              <w:t>IPCC</w:t>
            </w:r>
          </w:p>
        </w:tc>
        <w:tc>
          <w:tcPr>
            <w:tcW w:w="8355" w:type="dxa"/>
            <w:tcBorders>
              <w:top w:val="single" w:sz="4" w:space="0" w:color="1D336C"/>
              <w:bottom w:val="single" w:sz="4" w:space="0" w:color="1D336C"/>
            </w:tcBorders>
          </w:tcPr>
          <w:p w14:paraId="5CF3924D" w14:textId="77777777" w:rsidR="000A62D2" w:rsidRPr="00790689" w:rsidRDefault="000A62D2">
            <w:pPr>
              <w:pStyle w:val="TableParagraph"/>
              <w:spacing w:before="134"/>
              <w:rPr>
                <w:i/>
                <w:iCs/>
                <w:color w:val="1D336D" w:themeColor="background2"/>
                <w:sz w:val="20"/>
              </w:rPr>
            </w:pPr>
            <w:r w:rsidRPr="00790689">
              <w:rPr>
                <w:i/>
                <w:iCs/>
                <w:color w:val="1D336D" w:themeColor="background2"/>
                <w:sz w:val="20"/>
              </w:rPr>
              <w:t>Intergovernmental</w:t>
            </w:r>
            <w:r w:rsidRPr="00790689">
              <w:rPr>
                <w:i/>
                <w:iCs/>
                <w:color w:val="1D336D" w:themeColor="background2"/>
                <w:spacing w:val="-11"/>
                <w:sz w:val="20"/>
              </w:rPr>
              <w:t xml:space="preserve"> </w:t>
            </w:r>
            <w:r w:rsidRPr="00790689">
              <w:rPr>
                <w:i/>
                <w:iCs/>
                <w:color w:val="1D336D" w:themeColor="background2"/>
                <w:sz w:val="20"/>
              </w:rPr>
              <w:t>Panel</w:t>
            </w:r>
            <w:r w:rsidRPr="00790689">
              <w:rPr>
                <w:i/>
                <w:iCs/>
                <w:color w:val="1D336D" w:themeColor="background2"/>
                <w:spacing w:val="-8"/>
                <w:sz w:val="20"/>
              </w:rPr>
              <w:t xml:space="preserve"> </w:t>
            </w:r>
            <w:r w:rsidRPr="00790689">
              <w:rPr>
                <w:i/>
                <w:iCs/>
                <w:color w:val="1D336D" w:themeColor="background2"/>
                <w:sz w:val="20"/>
              </w:rPr>
              <w:t>on</w:t>
            </w:r>
            <w:r w:rsidRPr="00790689">
              <w:rPr>
                <w:i/>
                <w:iCs/>
                <w:color w:val="1D336D" w:themeColor="background2"/>
                <w:spacing w:val="-10"/>
                <w:sz w:val="20"/>
              </w:rPr>
              <w:t xml:space="preserve"> </w:t>
            </w:r>
            <w:r w:rsidRPr="00790689">
              <w:rPr>
                <w:i/>
                <w:iCs/>
                <w:color w:val="1D336D" w:themeColor="background2"/>
                <w:sz w:val="20"/>
              </w:rPr>
              <w:t>Climate</w:t>
            </w:r>
            <w:r w:rsidRPr="00790689">
              <w:rPr>
                <w:i/>
                <w:iCs/>
                <w:color w:val="1D336D" w:themeColor="background2"/>
                <w:spacing w:val="-10"/>
                <w:sz w:val="20"/>
              </w:rPr>
              <w:t xml:space="preserve"> </w:t>
            </w:r>
            <w:r w:rsidRPr="00790689">
              <w:rPr>
                <w:i/>
                <w:iCs/>
                <w:color w:val="1D336D" w:themeColor="background2"/>
                <w:spacing w:val="-2"/>
                <w:sz w:val="20"/>
              </w:rPr>
              <w:t>Change</w:t>
            </w:r>
          </w:p>
        </w:tc>
      </w:tr>
      <w:tr w:rsidR="000A62D2" w14:paraId="5F9A4C7A" w14:textId="77777777" w:rsidTr="00A10953">
        <w:trPr>
          <w:trHeight w:val="491"/>
          <w:jc w:val="center"/>
        </w:trPr>
        <w:tc>
          <w:tcPr>
            <w:tcW w:w="1277" w:type="dxa"/>
            <w:tcBorders>
              <w:top w:val="single" w:sz="4" w:space="0" w:color="1D336C"/>
              <w:bottom w:val="single" w:sz="4" w:space="0" w:color="1D336C"/>
            </w:tcBorders>
            <w:shd w:val="clear" w:color="auto" w:fill="F1F1F1"/>
          </w:tcPr>
          <w:p w14:paraId="51119015" w14:textId="77777777" w:rsidR="000A62D2" w:rsidRPr="00167938" w:rsidRDefault="000A62D2">
            <w:pPr>
              <w:pStyle w:val="TableParagraph"/>
              <w:rPr>
                <w:b/>
                <w:color w:val="1D336D" w:themeColor="background2"/>
                <w:sz w:val="20"/>
              </w:rPr>
            </w:pPr>
            <w:r w:rsidRPr="00167938">
              <w:rPr>
                <w:b/>
                <w:color w:val="1D336D" w:themeColor="background2"/>
                <w:spacing w:val="-4"/>
                <w:sz w:val="20"/>
              </w:rPr>
              <w:lastRenderedPageBreak/>
              <w:t>IUCN</w:t>
            </w:r>
          </w:p>
        </w:tc>
        <w:tc>
          <w:tcPr>
            <w:tcW w:w="8355" w:type="dxa"/>
            <w:tcBorders>
              <w:top w:val="single" w:sz="4" w:space="0" w:color="1D336C"/>
              <w:bottom w:val="single" w:sz="4" w:space="0" w:color="1D336C"/>
            </w:tcBorders>
          </w:tcPr>
          <w:p w14:paraId="29D15AEF" w14:textId="77777777" w:rsidR="000A62D2" w:rsidRPr="00790689" w:rsidRDefault="000A62D2">
            <w:pPr>
              <w:pStyle w:val="TableParagraph"/>
              <w:rPr>
                <w:i/>
                <w:iCs/>
                <w:color w:val="1D336D" w:themeColor="background2"/>
                <w:sz w:val="20"/>
              </w:rPr>
            </w:pPr>
            <w:r w:rsidRPr="00790689">
              <w:rPr>
                <w:i/>
                <w:iCs/>
                <w:color w:val="1D336D" w:themeColor="background2"/>
                <w:sz w:val="20"/>
              </w:rPr>
              <w:t>International</w:t>
            </w:r>
            <w:r w:rsidRPr="00790689">
              <w:rPr>
                <w:i/>
                <w:iCs/>
                <w:color w:val="1D336D" w:themeColor="background2"/>
                <w:spacing w:val="-10"/>
                <w:sz w:val="20"/>
              </w:rPr>
              <w:t xml:space="preserve"> </w:t>
            </w:r>
            <w:r w:rsidRPr="00790689">
              <w:rPr>
                <w:i/>
                <w:iCs/>
                <w:color w:val="1D336D" w:themeColor="background2"/>
                <w:sz w:val="20"/>
              </w:rPr>
              <w:t>Union</w:t>
            </w:r>
            <w:r w:rsidRPr="00790689">
              <w:rPr>
                <w:i/>
                <w:iCs/>
                <w:color w:val="1D336D" w:themeColor="background2"/>
                <w:spacing w:val="-9"/>
                <w:sz w:val="20"/>
              </w:rPr>
              <w:t xml:space="preserve"> </w:t>
            </w:r>
            <w:r w:rsidRPr="00790689">
              <w:rPr>
                <w:i/>
                <w:iCs/>
                <w:color w:val="1D336D" w:themeColor="background2"/>
                <w:sz w:val="20"/>
              </w:rPr>
              <w:t>for</w:t>
            </w:r>
            <w:r w:rsidRPr="00790689">
              <w:rPr>
                <w:i/>
                <w:iCs/>
                <w:color w:val="1D336D" w:themeColor="background2"/>
                <w:spacing w:val="-9"/>
                <w:sz w:val="20"/>
              </w:rPr>
              <w:t xml:space="preserve"> </w:t>
            </w:r>
            <w:r w:rsidRPr="00790689">
              <w:rPr>
                <w:i/>
                <w:iCs/>
                <w:color w:val="1D336D" w:themeColor="background2"/>
                <w:sz w:val="20"/>
              </w:rPr>
              <w:t>Conservation</w:t>
            </w:r>
            <w:r w:rsidRPr="00790689">
              <w:rPr>
                <w:i/>
                <w:iCs/>
                <w:color w:val="1D336D" w:themeColor="background2"/>
                <w:spacing w:val="-9"/>
                <w:sz w:val="20"/>
              </w:rPr>
              <w:t xml:space="preserve"> </w:t>
            </w:r>
            <w:r w:rsidRPr="00790689">
              <w:rPr>
                <w:i/>
                <w:iCs/>
                <w:color w:val="1D336D" w:themeColor="background2"/>
                <w:sz w:val="20"/>
              </w:rPr>
              <w:t>of</w:t>
            </w:r>
            <w:r w:rsidRPr="00790689">
              <w:rPr>
                <w:i/>
                <w:iCs/>
                <w:color w:val="1D336D" w:themeColor="background2"/>
                <w:spacing w:val="-9"/>
                <w:sz w:val="20"/>
              </w:rPr>
              <w:t xml:space="preserve"> </w:t>
            </w:r>
            <w:r w:rsidRPr="00790689">
              <w:rPr>
                <w:i/>
                <w:iCs/>
                <w:color w:val="1D336D" w:themeColor="background2"/>
                <w:spacing w:val="-2"/>
                <w:sz w:val="20"/>
              </w:rPr>
              <w:t>Nature</w:t>
            </w:r>
          </w:p>
        </w:tc>
      </w:tr>
      <w:tr w:rsidR="00DA0494" w14:paraId="4E87AE54" w14:textId="77777777" w:rsidTr="00A10953">
        <w:trPr>
          <w:trHeight w:val="491"/>
          <w:jc w:val="center"/>
        </w:trPr>
        <w:tc>
          <w:tcPr>
            <w:tcW w:w="1277" w:type="dxa"/>
            <w:tcBorders>
              <w:top w:val="single" w:sz="4" w:space="0" w:color="1D336C"/>
              <w:bottom w:val="single" w:sz="4" w:space="0" w:color="1D336C"/>
            </w:tcBorders>
            <w:shd w:val="clear" w:color="auto" w:fill="F1F1F1"/>
          </w:tcPr>
          <w:p w14:paraId="0590666B" w14:textId="52FC5D9C"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KEQs</w:t>
            </w:r>
          </w:p>
        </w:tc>
        <w:tc>
          <w:tcPr>
            <w:tcW w:w="8355" w:type="dxa"/>
            <w:tcBorders>
              <w:top w:val="single" w:sz="4" w:space="0" w:color="1D336C"/>
              <w:bottom w:val="single" w:sz="4" w:space="0" w:color="1D336C"/>
            </w:tcBorders>
          </w:tcPr>
          <w:p w14:paraId="0FB5DA62" w14:textId="36A0090E"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Key Evaluation Questions</w:t>
            </w:r>
          </w:p>
        </w:tc>
      </w:tr>
      <w:tr w:rsidR="00DA0494" w14:paraId="723C5952" w14:textId="77777777" w:rsidTr="00A10953">
        <w:trPr>
          <w:trHeight w:val="491"/>
          <w:jc w:val="center"/>
        </w:trPr>
        <w:tc>
          <w:tcPr>
            <w:tcW w:w="1277" w:type="dxa"/>
            <w:tcBorders>
              <w:top w:val="single" w:sz="4" w:space="0" w:color="1D336C"/>
              <w:bottom w:val="single" w:sz="4" w:space="0" w:color="1D336C"/>
            </w:tcBorders>
            <w:shd w:val="clear" w:color="auto" w:fill="F1F1F1"/>
          </w:tcPr>
          <w:p w14:paraId="4637A65B" w14:textId="348840B1"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KII</w:t>
            </w:r>
          </w:p>
        </w:tc>
        <w:tc>
          <w:tcPr>
            <w:tcW w:w="8355" w:type="dxa"/>
            <w:tcBorders>
              <w:top w:val="single" w:sz="4" w:space="0" w:color="1D336C"/>
              <w:bottom w:val="single" w:sz="4" w:space="0" w:color="1D336C"/>
            </w:tcBorders>
          </w:tcPr>
          <w:p w14:paraId="5FF5C2BB" w14:textId="6A26A1A3"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Key informant Interviews</w:t>
            </w:r>
          </w:p>
        </w:tc>
      </w:tr>
      <w:tr w:rsidR="00DA0494" w14:paraId="69E5CB40" w14:textId="77777777" w:rsidTr="00A10953">
        <w:trPr>
          <w:trHeight w:val="491"/>
          <w:jc w:val="center"/>
        </w:trPr>
        <w:tc>
          <w:tcPr>
            <w:tcW w:w="1277" w:type="dxa"/>
            <w:tcBorders>
              <w:top w:val="single" w:sz="4" w:space="0" w:color="1D336C"/>
              <w:bottom w:val="single" w:sz="4" w:space="0" w:color="1D336C"/>
            </w:tcBorders>
            <w:shd w:val="clear" w:color="auto" w:fill="F1F1F1"/>
          </w:tcPr>
          <w:p w14:paraId="103B9361" w14:textId="6713D429"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M&amp;E</w:t>
            </w:r>
          </w:p>
        </w:tc>
        <w:tc>
          <w:tcPr>
            <w:tcW w:w="8355" w:type="dxa"/>
            <w:tcBorders>
              <w:top w:val="single" w:sz="4" w:space="0" w:color="1D336C"/>
              <w:bottom w:val="single" w:sz="4" w:space="0" w:color="1D336C"/>
            </w:tcBorders>
          </w:tcPr>
          <w:p w14:paraId="5891BBFD" w14:textId="7EBF22F3"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Monitoring and Evaluation</w:t>
            </w:r>
          </w:p>
        </w:tc>
      </w:tr>
      <w:tr w:rsidR="00DA0494" w14:paraId="660A2BA7" w14:textId="77777777" w:rsidTr="00A10953">
        <w:trPr>
          <w:trHeight w:val="491"/>
          <w:jc w:val="center"/>
        </w:trPr>
        <w:tc>
          <w:tcPr>
            <w:tcW w:w="1277" w:type="dxa"/>
            <w:tcBorders>
              <w:top w:val="single" w:sz="4" w:space="0" w:color="1D336C"/>
              <w:bottom w:val="single" w:sz="4" w:space="0" w:color="1D336C"/>
            </w:tcBorders>
            <w:shd w:val="clear" w:color="auto" w:fill="F1F1F1"/>
          </w:tcPr>
          <w:p w14:paraId="2FB33722" w14:textId="05ACC05D"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MAP-WEC</w:t>
            </w:r>
          </w:p>
        </w:tc>
        <w:tc>
          <w:tcPr>
            <w:tcW w:w="8355" w:type="dxa"/>
            <w:tcBorders>
              <w:top w:val="single" w:sz="4" w:space="0" w:color="1D336C"/>
              <w:bottom w:val="single" w:sz="4" w:space="0" w:color="1D336C"/>
            </w:tcBorders>
          </w:tcPr>
          <w:p w14:paraId="0956E7E0" w14:textId="4F5C5B78"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Mekong Australia Partnership - Energy, Water and Climate</w:t>
            </w:r>
          </w:p>
        </w:tc>
      </w:tr>
      <w:tr w:rsidR="00EE14CD" w14:paraId="6FDA9755" w14:textId="77777777" w:rsidTr="00A10953">
        <w:trPr>
          <w:trHeight w:val="491"/>
          <w:jc w:val="center"/>
        </w:trPr>
        <w:tc>
          <w:tcPr>
            <w:tcW w:w="1277" w:type="dxa"/>
            <w:tcBorders>
              <w:top w:val="single" w:sz="4" w:space="0" w:color="1D336C"/>
              <w:bottom w:val="single" w:sz="4" w:space="0" w:color="1D336C"/>
            </w:tcBorders>
            <w:shd w:val="clear" w:color="auto" w:fill="F1F1F1"/>
          </w:tcPr>
          <w:p w14:paraId="6A434FDF" w14:textId="19F39E4D" w:rsidR="00EE14CD" w:rsidRPr="00167938" w:rsidRDefault="00EE14CD" w:rsidP="00DA0494">
            <w:pPr>
              <w:pStyle w:val="TableParagraph"/>
              <w:rPr>
                <w:b/>
                <w:color w:val="1D336D" w:themeColor="background2"/>
                <w:sz w:val="20"/>
                <w:szCs w:val="18"/>
              </w:rPr>
            </w:pPr>
            <w:r>
              <w:rPr>
                <w:b/>
                <w:color w:val="1D336D" w:themeColor="background2"/>
                <w:sz w:val="20"/>
                <w:szCs w:val="18"/>
              </w:rPr>
              <w:t>MMGB</w:t>
            </w:r>
          </w:p>
        </w:tc>
        <w:tc>
          <w:tcPr>
            <w:tcW w:w="8355" w:type="dxa"/>
            <w:tcBorders>
              <w:top w:val="single" w:sz="4" w:space="0" w:color="1D336C"/>
              <w:bottom w:val="single" w:sz="4" w:space="0" w:color="1D336C"/>
            </w:tcBorders>
          </w:tcPr>
          <w:p w14:paraId="335C1D3E" w14:textId="699BB7F7" w:rsidR="00EE14CD" w:rsidRPr="00790689" w:rsidRDefault="00EE14CD" w:rsidP="00DA0494">
            <w:pPr>
              <w:pStyle w:val="TableParagraph"/>
              <w:rPr>
                <w:i/>
                <w:iCs/>
                <w:color w:val="1D336D" w:themeColor="background2"/>
                <w:spacing w:val="-2"/>
                <w:sz w:val="20"/>
              </w:rPr>
            </w:pPr>
            <w:r w:rsidRPr="00EE14CD">
              <w:rPr>
                <w:i/>
                <w:iCs/>
                <w:color w:val="1D336D" w:themeColor="background2"/>
                <w:spacing w:val="-2"/>
                <w:sz w:val="20"/>
              </w:rPr>
              <w:t>Mai-</w:t>
            </w:r>
            <w:proofErr w:type="spellStart"/>
            <w:r w:rsidRPr="00EE14CD">
              <w:rPr>
                <w:i/>
                <w:iCs/>
                <w:color w:val="1D336D" w:themeColor="background2"/>
                <w:spacing w:val="-2"/>
                <w:sz w:val="20"/>
              </w:rPr>
              <w:t>Maasina</w:t>
            </w:r>
            <w:proofErr w:type="spellEnd"/>
            <w:r w:rsidRPr="00EE14CD">
              <w:rPr>
                <w:i/>
                <w:iCs/>
                <w:color w:val="1D336D" w:themeColor="background2"/>
                <w:spacing w:val="-2"/>
                <w:sz w:val="20"/>
              </w:rPr>
              <w:t xml:space="preserve"> Green Belt</w:t>
            </w:r>
          </w:p>
        </w:tc>
      </w:tr>
      <w:tr w:rsidR="00DA0494" w14:paraId="39BEEF81" w14:textId="77777777" w:rsidTr="00A10953">
        <w:trPr>
          <w:trHeight w:val="491"/>
          <w:jc w:val="center"/>
        </w:trPr>
        <w:tc>
          <w:tcPr>
            <w:tcW w:w="1277" w:type="dxa"/>
            <w:tcBorders>
              <w:top w:val="single" w:sz="4" w:space="0" w:color="1D336C"/>
              <w:bottom w:val="single" w:sz="4" w:space="0" w:color="1D336C"/>
            </w:tcBorders>
            <w:shd w:val="clear" w:color="auto" w:fill="F1F1F1"/>
          </w:tcPr>
          <w:p w14:paraId="2F39971C" w14:textId="252DE077" w:rsidR="00DA0494" w:rsidRPr="00167938" w:rsidRDefault="00DA0494" w:rsidP="00DA0494">
            <w:pPr>
              <w:pStyle w:val="TableParagraph"/>
              <w:rPr>
                <w:b/>
                <w:color w:val="1D336D" w:themeColor="background2"/>
                <w:spacing w:val="-4"/>
                <w:sz w:val="20"/>
              </w:rPr>
            </w:pPr>
            <w:proofErr w:type="spellStart"/>
            <w:r w:rsidRPr="00167938">
              <w:rPr>
                <w:b/>
                <w:color w:val="1D336D" w:themeColor="background2"/>
                <w:sz w:val="20"/>
                <w:szCs w:val="18"/>
              </w:rPr>
              <w:t>NbS</w:t>
            </w:r>
            <w:proofErr w:type="spellEnd"/>
          </w:p>
        </w:tc>
        <w:tc>
          <w:tcPr>
            <w:tcW w:w="8355" w:type="dxa"/>
            <w:tcBorders>
              <w:top w:val="single" w:sz="4" w:space="0" w:color="1D336C"/>
              <w:bottom w:val="single" w:sz="4" w:space="0" w:color="1D336C"/>
            </w:tcBorders>
          </w:tcPr>
          <w:p w14:paraId="4F66E729" w14:textId="6C08EED9"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Nature-based Solutions</w:t>
            </w:r>
          </w:p>
        </w:tc>
      </w:tr>
      <w:tr w:rsidR="00DA0494" w14:paraId="116ACC0A" w14:textId="77777777" w:rsidTr="00A10953">
        <w:trPr>
          <w:trHeight w:val="491"/>
          <w:jc w:val="center"/>
        </w:trPr>
        <w:tc>
          <w:tcPr>
            <w:tcW w:w="1277" w:type="dxa"/>
            <w:tcBorders>
              <w:top w:val="single" w:sz="4" w:space="0" w:color="1D336C"/>
              <w:bottom w:val="single" w:sz="4" w:space="0" w:color="1D336C"/>
            </w:tcBorders>
            <w:shd w:val="clear" w:color="auto" w:fill="F1F1F1"/>
          </w:tcPr>
          <w:p w14:paraId="6CF6F902" w14:textId="2DBFEED3"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NGOs</w:t>
            </w:r>
          </w:p>
        </w:tc>
        <w:tc>
          <w:tcPr>
            <w:tcW w:w="8355" w:type="dxa"/>
            <w:tcBorders>
              <w:top w:val="single" w:sz="4" w:space="0" w:color="1D336C"/>
              <w:bottom w:val="single" w:sz="4" w:space="0" w:color="1D336C"/>
            </w:tcBorders>
          </w:tcPr>
          <w:p w14:paraId="59BBB710" w14:textId="3739CF06"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 xml:space="preserve">Non-governmental </w:t>
            </w:r>
            <w:proofErr w:type="spellStart"/>
            <w:r w:rsidRPr="00790689">
              <w:rPr>
                <w:i/>
                <w:iCs/>
                <w:color w:val="1D336D" w:themeColor="background2"/>
                <w:spacing w:val="-2"/>
                <w:sz w:val="20"/>
              </w:rPr>
              <w:t>Organisation</w:t>
            </w:r>
            <w:proofErr w:type="spellEnd"/>
          </w:p>
        </w:tc>
      </w:tr>
      <w:tr w:rsidR="00DA0494" w14:paraId="37E307E8" w14:textId="77777777" w:rsidTr="00A10953">
        <w:trPr>
          <w:trHeight w:val="491"/>
          <w:jc w:val="center"/>
        </w:trPr>
        <w:tc>
          <w:tcPr>
            <w:tcW w:w="1277" w:type="dxa"/>
            <w:tcBorders>
              <w:top w:val="single" w:sz="4" w:space="0" w:color="1D336C"/>
              <w:bottom w:val="single" w:sz="4" w:space="0" w:color="1D336C"/>
            </w:tcBorders>
            <w:shd w:val="clear" w:color="auto" w:fill="F1F1F1"/>
          </w:tcPr>
          <w:p w14:paraId="49224C56" w14:textId="3FC7DFC3"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ODA</w:t>
            </w:r>
          </w:p>
        </w:tc>
        <w:tc>
          <w:tcPr>
            <w:tcW w:w="8355" w:type="dxa"/>
            <w:tcBorders>
              <w:top w:val="single" w:sz="4" w:space="0" w:color="1D336C"/>
              <w:bottom w:val="single" w:sz="4" w:space="0" w:color="1D336C"/>
            </w:tcBorders>
          </w:tcPr>
          <w:p w14:paraId="43D75BA1" w14:textId="71E019B9"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Overseas Development Assistance</w:t>
            </w:r>
          </w:p>
        </w:tc>
      </w:tr>
      <w:tr w:rsidR="00DA0494" w14:paraId="2E781664" w14:textId="77777777" w:rsidTr="00A10953">
        <w:trPr>
          <w:trHeight w:val="491"/>
          <w:jc w:val="center"/>
        </w:trPr>
        <w:tc>
          <w:tcPr>
            <w:tcW w:w="1277" w:type="dxa"/>
            <w:tcBorders>
              <w:top w:val="single" w:sz="4" w:space="0" w:color="1D336C"/>
              <w:bottom w:val="single" w:sz="4" w:space="0" w:color="1D336C"/>
            </w:tcBorders>
            <w:shd w:val="clear" w:color="auto" w:fill="F1F1F1"/>
          </w:tcPr>
          <w:p w14:paraId="1BB30FA6" w14:textId="3D47BEE6"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OECD</w:t>
            </w:r>
          </w:p>
        </w:tc>
        <w:tc>
          <w:tcPr>
            <w:tcW w:w="8355" w:type="dxa"/>
            <w:tcBorders>
              <w:top w:val="single" w:sz="4" w:space="0" w:color="1D336C"/>
              <w:bottom w:val="single" w:sz="4" w:space="0" w:color="1D336C"/>
            </w:tcBorders>
          </w:tcPr>
          <w:p w14:paraId="3F6C07E8" w14:textId="04735E97" w:rsidR="00DA0494" w:rsidRPr="00790689" w:rsidRDefault="00DA0494" w:rsidP="00DA0494">
            <w:pPr>
              <w:pStyle w:val="TableParagraph"/>
              <w:rPr>
                <w:i/>
                <w:iCs/>
                <w:color w:val="1D336D" w:themeColor="background2"/>
                <w:spacing w:val="-2"/>
                <w:sz w:val="20"/>
              </w:rPr>
            </w:pPr>
            <w:proofErr w:type="spellStart"/>
            <w:r w:rsidRPr="00790689">
              <w:rPr>
                <w:i/>
                <w:iCs/>
                <w:color w:val="1D336D" w:themeColor="background2"/>
                <w:spacing w:val="-2"/>
                <w:sz w:val="20"/>
              </w:rPr>
              <w:t>Organisation</w:t>
            </w:r>
            <w:proofErr w:type="spellEnd"/>
            <w:r w:rsidRPr="00790689">
              <w:rPr>
                <w:i/>
                <w:iCs/>
                <w:color w:val="1D336D" w:themeColor="background2"/>
                <w:spacing w:val="-2"/>
                <w:sz w:val="20"/>
              </w:rPr>
              <w:t xml:space="preserve"> for Economic Co-operation and Development</w:t>
            </w:r>
          </w:p>
        </w:tc>
      </w:tr>
      <w:tr w:rsidR="00DA0494" w14:paraId="3EACEE84" w14:textId="77777777" w:rsidTr="00A10953">
        <w:trPr>
          <w:trHeight w:val="491"/>
          <w:jc w:val="center"/>
        </w:trPr>
        <w:tc>
          <w:tcPr>
            <w:tcW w:w="1277" w:type="dxa"/>
            <w:tcBorders>
              <w:top w:val="single" w:sz="4" w:space="0" w:color="1D336C"/>
              <w:bottom w:val="single" w:sz="4" w:space="0" w:color="1D336C"/>
            </w:tcBorders>
            <w:shd w:val="clear" w:color="auto" w:fill="F1F1F1"/>
          </w:tcPr>
          <w:p w14:paraId="4FFFBC44" w14:textId="590082F2"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OTP</w:t>
            </w:r>
          </w:p>
        </w:tc>
        <w:tc>
          <w:tcPr>
            <w:tcW w:w="8355" w:type="dxa"/>
            <w:tcBorders>
              <w:top w:val="single" w:sz="4" w:space="0" w:color="1D336C"/>
              <w:bottom w:val="single" w:sz="4" w:space="0" w:color="1D336C"/>
            </w:tcBorders>
          </w:tcPr>
          <w:p w14:paraId="20E6508D" w14:textId="03AC71AF"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Office of the Pacific</w:t>
            </w:r>
          </w:p>
        </w:tc>
      </w:tr>
      <w:tr w:rsidR="00DA0494" w14:paraId="35CF95A9" w14:textId="77777777" w:rsidTr="00A10953">
        <w:trPr>
          <w:trHeight w:val="491"/>
          <w:jc w:val="center"/>
        </w:trPr>
        <w:tc>
          <w:tcPr>
            <w:tcW w:w="1277" w:type="dxa"/>
            <w:tcBorders>
              <w:top w:val="single" w:sz="4" w:space="0" w:color="1D336C"/>
              <w:bottom w:val="single" w:sz="4" w:space="0" w:color="1D336C"/>
            </w:tcBorders>
            <w:shd w:val="clear" w:color="auto" w:fill="F1F1F1"/>
          </w:tcPr>
          <w:p w14:paraId="0B4707C3" w14:textId="0991EC0B"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PM&amp;C</w:t>
            </w:r>
          </w:p>
        </w:tc>
        <w:tc>
          <w:tcPr>
            <w:tcW w:w="8355" w:type="dxa"/>
            <w:tcBorders>
              <w:top w:val="single" w:sz="4" w:space="0" w:color="1D336C"/>
              <w:bottom w:val="single" w:sz="4" w:space="0" w:color="1D336C"/>
            </w:tcBorders>
          </w:tcPr>
          <w:p w14:paraId="3F017418" w14:textId="3E190E94"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Department of the Prime Minister and Cabinet of Australia</w:t>
            </w:r>
          </w:p>
        </w:tc>
      </w:tr>
      <w:tr w:rsidR="00DA0494" w14:paraId="35242209" w14:textId="77777777" w:rsidTr="00A10953">
        <w:trPr>
          <w:trHeight w:val="491"/>
          <w:jc w:val="center"/>
        </w:trPr>
        <w:tc>
          <w:tcPr>
            <w:tcW w:w="1277" w:type="dxa"/>
            <w:tcBorders>
              <w:top w:val="single" w:sz="4" w:space="0" w:color="1D336C"/>
              <w:bottom w:val="single" w:sz="4" w:space="0" w:color="1D336C"/>
            </w:tcBorders>
            <w:shd w:val="clear" w:color="auto" w:fill="F1F1F1"/>
          </w:tcPr>
          <w:p w14:paraId="77AD3F2B" w14:textId="62512086"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PNG</w:t>
            </w:r>
          </w:p>
        </w:tc>
        <w:tc>
          <w:tcPr>
            <w:tcW w:w="8355" w:type="dxa"/>
            <w:tcBorders>
              <w:top w:val="single" w:sz="4" w:space="0" w:color="1D336C"/>
              <w:bottom w:val="single" w:sz="4" w:space="0" w:color="1D336C"/>
            </w:tcBorders>
          </w:tcPr>
          <w:p w14:paraId="4C5D5F76" w14:textId="5D59AFEF"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Papua New Guinea</w:t>
            </w:r>
          </w:p>
        </w:tc>
      </w:tr>
      <w:tr w:rsidR="00DA0494" w14:paraId="020B3A90" w14:textId="77777777" w:rsidTr="00A10953">
        <w:trPr>
          <w:trHeight w:val="491"/>
          <w:jc w:val="center"/>
        </w:trPr>
        <w:tc>
          <w:tcPr>
            <w:tcW w:w="1277" w:type="dxa"/>
            <w:tcBorders>
              <w:top w:val="single" w:sz="4" w:space="0" w:color="1D336C"/>
              <w:bottom w:val="single" w:sz="4" w:space="0" w:color="1D336C"/>
            </w:tcBorders>
            <w:shd w:val="clear" w:color="auto" w:fill="F1F1F1"/>
          </w:tcPr>
          <w:p w14:paraId="463A89E3" w14:textId="54BF5C4F"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PSEAH</w:t>
            </w:r>
          </w:p>
        </w:tc>
        <w:tc>
          <w:tcPr>
            <w:tcW w:w="8355" w:type="dxa"/>
            <w:tcBorders>
              <w:top w:val="single" w:sz="4" w:space="0" w:color="1D336C"/>
              <w:bottom w:val="single" w:sz="4" w:space="0" w:color="1D336C"/>
            </w:tcBorders>
          </w:tcPr>
          <w:p w14:paraId="4EC8A267" w14:textId="4C451F89"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Prevention of sexual exploitation, Abuse, and Harassment</w:t>
            </w:r>
          </w:p>
        </w:tc>
      </w:tr>
      <w:tr w:rsidR="00DA0494" w14:paraId="3D0C01F2" w14:textId="77777777" w:rsidTr="00A10953">
        <w:trPr>
          <w:trHeight w:val="491"/>
          <w:jc w:val="center"/>
        </w:trPr>
        <w:tc>
          <w:tcPr>
            <w:tcW w:w="1277" w:type="dxa"/>
            <w:tcBorders>
              <w:top w:val="single" w:sz="4" w:space="0" w:color="1D336C"/>
              <w:bottom w:val="single" w:sz="4" w:space="0" w:color="1D336C"/>
            </w:tcBorders>
            <w:shd w:val="clear" w:color="auto" w:fill="F1F1F1"/>
          </w:tcPr>
          <w:p w14:paraId="03D2646F" w14:textId="12D7A6A2"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REDD+</w:t>
            </w:r>
          </w:p>
        </w:tc>
        <w:tc>
          <w:tcPr>
            <w:tcW w:w="8355" w:type="dxa"/>
            <w:tcBorders>
              <w:top w:val="single" w:sz="4" w:space="0" w:color="1D336C"/>
              <w:bottom w:val="single" w:sz="4" w:space="0" w:color="1D336C"/>
            </w:tcBorders>
          </w:tcPr>
          <w:p w14:paraId="396399B2" w14:textId="762062D9"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Reducing Emissions from Deforestation and Forest Degradation framework</w:t>
            </w:r>
          </w:p>
        </w:tc>
      </w:tr>
      <w:tr w:rsidR="00DA0494" w14:paraId="55CEC63E" w14:textId="77777777" w:rsidTr="00A10953">
        <w:trPr>
          <w:trHeight w:val="491"/>
          <w:jc w:val="center"/>
        </w:trPr>
        <w:tc>
          <w:tcPr>
            <w:tcW w:w="1277" w:type="dxa"/>
            <w:tcBorders>
              <w:top w:val="single" w:sz="4" w:space="0" w:color="1D336C"/>
              <w:bottom w:val="single" w:sz="4" w:space="0" w:color="1D336C"/>
            </w:tcBorders>
            <w:shd w:val="clear" w:color="auto" w:fill="F1F1F1"/>
          </w:tcPr>
          <w:p w14:paraId="10B365A0" w14:textId="537D2268"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SAGE</w:t>
            </w:r>
          </w:p>
        </w:tc>
        <w:tc>
          <w:tcPr>
            <w:tcW w:w="8355" w:type="dxa"/>
            <w:tcBorders>
              <w:top w:val="single" w:sz="4" w:space="0" w:color="1D336C"/>
              <w:bottom w:val="single" w:sz="4" w:space="0" w:color="1D336C"/>
            </w:tcBorders>
          </w:tcPr>
          <w:p w14:paraId="4D4E7441" w14:textId="029DC820"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Science in Australia Gender Equity</w:t>
            </w:r>
          </w:p>
        </w:tc>
      </w:tr>
      <w:tr w:rsidR="00DA0494" w14:paraId="5132A223" w14:textId="77777777" w:rsidTr="00A10953">
        <w:trPr>
          <w:trHeight w:val="491"/>
          <w:jc w:val="center"/>
        </w:trPr>
        <w:tc>
          <w:tcPr>
            <w:tcW w:w="1277" w:type="dxa"/>
            <w:tcBorders>
              <w:top w:val="single" w:sz="4" w:space="0" w:color="1D336C"/>
              <w:bottom w:val="single" w:sz="4" w:space="0" w:color="1D336C"/>
            </w:tcBorders>
            <w:shd w:val="clear" w:color="auto" w:fill="F1F1F1"/>
          </w:tcPr>
          <w:p w14:paraId="78981030" w14:textId="7A132D04"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SOGIESC</w:t>
            </w:r>
          </w:p>
        </w:tc>
        <w:tc>
          <w:tcPr>
            <w:tcW w:w="8355" w:type="dxa"/>
            <w:tcBorders>
              <w:top w:val="single" w:sz="4" w:space="0" w:color="1D336C"/>
              <w:bottom w:val="single" w:sz="4" w:space="0" w:color="1D336C"/>
            </w:tcBorders>
          </w:tcPr>
          <w:p w14:paraId="7CB1EF34" w14:textId="4CB2F7E7"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Sexual orientation, gender identity and expression, and sex characteristics</w:t>
            </w:r>
          </w:p>
        </w:tc>
      </w:tr>
      <w:tr w:rsidR="00DA0494" w14:paraId="695586A2" w14:textId="77777777" w:rsidTr="00A10953">
        <w:trPr>
          <w:trHeight w:val="491"/>
          <w:jc w:val="center"/>
        </w:trPr>
        <w:tc>
          <w:tcPr>
            <w:tcW w:w="1277" w:type="dxa"/>
            <w:tcBorders>
              <w:top w:val="single" w:sz="4" w:space="0" w:color="1D336C"/>
              <w:bottom w:val="single" w:sz="4" w:space="0" w:color="1D336C"/>
            </w:tcBorders>
            <w:shd w:val="clear" w:color="auto" w:fill="F1F1F1"/>
          </w:tcPr>
          <w:p w14:paraId="57DA03C4" w14:textId="08DD36A8"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STEM</w:t>
            </w:r>
          </w:p>
        </w:tc>
        <w:tc>
          <w:tcPr>
            <w:tcW w:w="8355" w:type="dxa"/>
            <w:tcBorders>
              <w:top w:val="single" w:sz="4" w:space="0" w:color="1D336C"/>
              <w:bottom w:val="single" w:sz="4" w:space="0" w:color="1D336C"/>
            </w:tcBorders>
          </w:tcPr>
          <w:p w14:paraId="61CF50A4" w14:textId="2986876D"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Science, Technology, Engineering, and Mathematics</w:t>
            </w:r>
          </w:p>
        </w:tc>
      </w:tr>
      <w:tr w:rsidR="00DA0494" w14:paraId="27AFCFA2" w14:textId="77777777" w:rsidTr="00A10953">
        <w:trPr>
          <w:trHeight w:val="491"/>
          <w:jc w:val="center"/>
        </w:trPr>
        <w:tc>
          <w:tcPr>
            <w:tcW w:w="1277" w:type="dxa"/>
            <w:tcBorders>
              <w:top w:val="single" w:sz="4" w:space="0" w:color="1D336C"/>
              <w:bottom w:val="single" w:sz="4" w:space="0" w:color="1D336C"/>
            </w:tcBorders>
            <w:shd w:val="clear" w:color="auto" w:fill="F1F1F1"/>
          </w:tcPr>
          <w:p w14:paraId="111AD3A4" w14:textId="29062383"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TRACC</w:t>
            </w:r>
          </w:p>
        </w:tc>
        <w:tc>
          <w:tcPr>
            <w:tcW w:w="8355" w:type="dxa"/>
            <w:tcBorders>
              <w:top w:val="single" w:sz="4" w:space="0" w:color="1D336C"/>
              <w:bottom w:val="single" w:sz="4" w:space="0" w:color="1D336C"/>
            </w:tcBorders>
          </w:tcPr>
          <w:p w14:paraId="4D35E570" w14:textId="6B8D13EE"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Transforming Rural Lives through Adaptation and Carbon Capture</w:t>
            </w:r>
          </w:p>
        </w:tc>
      </w:tr>
      <w:tr w:rsidR="00DA0494" w14:paraId="7AA28AB1" w14:textId="77777777" w:rsidTr="00A10953">
        <w:trPr>
          <w:trHeight w:val="491"/>
          <w:jc w:val="center"/>
        </w:trPr>
        <w:tc>
          <w:tcPr>
            <w:tcW w:w="1277" w:type="dxa"/>
            <w:tcBorders>
              <w:top w:val="single" w:sz="4" w:space="0" w:color="1D336C"/>
              <w:bottom w:val="single" w:sz="4" w:space="0" w:color="1D336C"/>
            </w:tcBorders>
            <w:shd w:val="clear" w:color="auto" w:fill="F1F1F1"/>
          </w:tcPr>
          <w:p w14:paraId="1EBD3A71" w14:textId="1E428C45"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UNDRIP</w:t>
            </w:r>
          </w:p>
        </w:tc>
        <w:tc>
          <w:tcPr>
            <w:tcW w:w="8355" w:type="dxa"/>
            <w:tcBorders>
              <w:top w:val="single" w:sz="4" w:space="0" w:color="1D336C"/>
              <w:bottom w:val="single" w:sz="4" w:space="0" w:color="1D336C"/>
            </w:tcBorders>
          </w:tcPr>
          <w:p w14:paraId="5C77CA8E" w14:textId="64152F65"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 xml:space="preserve">United Nations Declaration on the Rights of </w:t>
            </w:r>
            <w:r w:rsidR="006551F0">
              <w:rPr>
                <w:i/>
                <w:iCs/>
                <w:color w:val="1D336D" w:themeColor="background2"/>
                <w:spacing w:val="-2"/>
                <w:sz w:val="20"/>
              </w:rPr>
              <w:t>Indigenous</w:t>
            </w:r>
            <w:r w:rsidRPr="00790689">
              <w:rPr>
                <w:i/>
                <w:iCs/>
                <w:color w:val="1D336D" w:themeColor="background2"/>
                <w:spacing w:val="-2"/>
                <w:sz w:val="20"/>
              </w:rPr>
              <w:t xml:space="preserve"> Peoples</w:t>
            </w:r>
          </w:p>
        </w:tc>
      </w:tr>
      <w:tr w:rsidR="00DA0494" w14:paraId="60CB3844" w14:textId="77777777" w:rsidTr="00A10953">
        <w:trPr>
          <w:trHeight w:val="491"/>
          <w:jc w:val="center"/>
        </w:trPr>
        <w:tc>
          <w:tcPr>
            <w:tcW w:w="1277" w:type="dxa"/>
            <w:tcBorders>
              <w:top w:val="single" w:sz="4" w:space="0" w:color="1D336C"/>
              <w:bottom w:val="single" w:sz="4" w:space="0" w:color="1D336C"/>
            </w:tcBorders>
            <w:shd w:val="clear" w:color="auto" w:fill="F1F1F1"/>
          </w:tcPr>
          <w:p w14:paraId="48AF91BA" w14:textId="39AE8518"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VCM</w:t>
            </w:r>
          </w:p>
        </w:tc>
        <w:tc>
          <w:tcPr>
            <w:tcW w:w="8355" w:type="dxa"/>
            <w:tcBorders>
              <w:top w:val="single" w:sz="4" w:space="0" w:color="1D336C"/>
              <w:bottom w:val="single" w:sz="4" w:space="0" w:color="1D336C"/>
            </w:tcBorders>
          </w:tcPr>
          <w:p w14:paraId="127655EE" w14:textId="7734BF5C"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Voluntary Carbon Market</w:t>
            </w:r>
          </w:p>
        </w:tc>
      </w:tr>
      <w:tr w:rsidR="00DA0494" w14:paraId="7D99143D" w14:textId="77777777" w:rsidTr="00A10953">
        <w:trPr>
          <w:trHeight w:val="491"/>
          <w:jc w:val="center"/>
        </w:trPr>
        <w:tc>
          <w:tcPr>
            <w:tcW w:w="1277" w:type="dxa"/>
            <w:tcBorders>
              <w:top w:val="single" w:sz="4" w:space="0" w:color="1D336C"/>
              <w:bottom w:val="single" w:sz="4" w:space="0" w:color="1D336C"/>
            </w:tcBorders>
            <w:shd w:val="clear" w:color="auto" w:fill="F1F1F1"/>
          </w:tcPr>
          <w:p w14:paraId="6F3A7A5E" w14:textId="3D9E1DDD"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WV</w:t>
            </w:r>
          </w:p>
        </w:tc>
        <w:tc>
          <w:tcPr>
            <w:tcW w:w="8355" w:type="dxa"/>
            <w:tcBorders>
              <w:top w:val="single" w:sz="4" w:space="0" w:color="1D336C"/>
              <w:bottom w:val="single" w:sz="4" w:space="0" w:color="1D336C"/>
            </w:tcBorders>
          </w:tcPr>
          <w:p w14:paraId="3175570B" w14:textId="75EC816C"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World Vision</w:t>
            </w:r>
          </w:p>
        </w:tc>
      </w:tr>
      <w:tr w:rsidR="00DA0494" w14:paraId="6B4E1FC0" w14:textId="77777777" w:rsidTr="00A10953">
        <w:trPr>
          <w:trHeight w:val="491"/>
          <w:jc w:val="center"/>
        </w:trPr>
        <w:tc>
          <w:tcPr>
            <w:tcW w:w="1277" w:type="dxa"/>
            <w:tcBorders>
              <w:top w:val="single" w:sz="4" w:space="0" w:color="1D336C"/>
              <w:bottom w:val="single" w:sz="4" w:space="0" w:color="1D336C"/>
            </w:tcBorders>
            <w:shd w:val="clear" w:color="auto" w:fill="F1F1F1"/>
          </w:tcPr>
          <w:p w14:paraId="74AA60CB" w14:textId="0D2DF9C8" w:rsidR="00DA0494" w:rsidRPr="00167938" w:rsidRDefault="00DA0494" w:rsidP="00DA0494">
            <w:pPr>
              <w:pStyle w:val="TableParagraph"/>
              <w:rPr>
                <w:b/>
                <w:color w:val="1D336D" w:themeColor="background2"/>
                <w:spacing w:val="-4"/>
                <w:sz w:val="20"/>
              </w:rPr>
            </w:pPr>
            <w:r w:rsidRPr="00167938">
              <w:rPr>
                <w:b/>
                <w:color w:val="1D336D" w:themeColor="background2"/>
                <w:sz w:val="20"/>
                <w:szCs w:val="18"/>
              </w:rPr>
              <w:t>WWF</w:t>
            </w:r>
          </w:p>
        </w:tc>
        <w:tc>
          <w:tcPr>
            <w:tcW w:w="8355" w:type="dxa"/>
            <w:tcBorders>
              <w:top w:val="single" w:sz="4" w:space="0" w:color="1D336C"/>
              <w:bottom w:val="single" w:sz="4" w:space="0" w:color="1D336C"/>
            </w:tcBorders>
          </w:tcPr>
          <w:p w14:paraId="475036AB" w14:textId="37D436B6" w:rsidR="00DA0494" w:rsidRPr="00790689" w:rsidRDefault="00DA0494" w:rsidP="00DA0494">
            <w:pPr>
              <w:pStyle w:val="TableParagraph"/>
              <w:rPr>
                <w:i/>
                <w:iCs/>
                <w:color w:val="1D336D" w:themeColor="background2"/>
                <w:spacing w:val="-2"/>
                <w:sz w:val="20"/>
              </w:rPr>
            </w:pPr>
            <w:r w:rsidRPr="00790689">
              <w:rPr>
                <w:i/>
                <w:iCs/>
                <w:color w:val="1D336D" w:themeColor="background2"/>
                <w:spacing w:val="-2"/>
                <w:sz w:val="20"/>
              </w:rPr>
              <w:t>World Wide Fund for Nature</w:t>
            </w:r>
          </w:p>
        </w:tc>
      </w:tr>
    </w:tbl>
    <w:p w14:paraId="69E292A5" w14:textId="00A1CB28" w:rsidR="00EA7FE2" w:rsidRPr="00EA7FE2" w:rsidRDefault="00B814D2" w:rsidP="00DA0494">
      <w:pPr>
        <w:pStyle w:val="ChapterHeading"/>
      </w:pPr>
      <w:bookmarkStart w:id="3" w:name="_Toc164783021"/>
      <w:bookmarkEnd w:id="2"/>
      <w:r>
        <w:lastRenderedPageBreak/>
        <w:t>Executive Summary</w:t>
      </w:r>
      <w:bookmarkEnd w:id="3"/>
      <w:r w:rsidR="00EA7FE2" w:rsidRPr="00EA7FE2">
        <w:tab/>
      </w:r>
    </w:p>
    <w:p w14:paraId="3420B7B5" w14:textId="4E9B3CE2" w:rsidR="00EA7FE2" w:rsidRPr="00EA7FE2" w:rsidRDefault="00240804" w:rsidP="00240804">
      <w:pPr>
        <w:pStyle w:val="Heading1"/>
      </w:pPr>
      <w:bookmarkStart w:id="4" w:name="_Toc164783022"/>
      <w:r>
        <w:t>Introduction</w:t>
      </w:r>
      <w:bookmarkEnd w:id="4"/>
    </w:p>
    <w:p w14:paraId="66346694" w14:textId="77777777" w:rsidR="00EA7FE2" w:rsidRPr="00EA7FE2" w:rsidRDefault="00EA7FE2" w:rsidP="00B814D2">
      <w:r w:rsidRPr="00EA7FE2">
        <w:t>This report presents the key findings, lessons learned, and recommendations from an independent evaluation of three of Australia’s international nature-based solutions (</w:t>
      </w:r>
      <w:proofErr w:type="spellStart"/>
      <w:r w:rsidRPr="00EA7FE2">
        <w:t>NbS</w:t>
      </w:r>
      <w:proofErr w:type="spellEnd"/>
      <w:r w:rsidRPr="00EA7FE2">
        <w:t>) investments. These investments were not designed to fit together as a single collection of activities, but taken together enable significant opportunities for learning and development of a strategic approach to similar thematic investments going forward. Commissioned by the Department of Foreign Affairs and Trade (DFAT), the evaluation was conducted between September 2023 and March 2024.</w:t>
      </w:r>
    </w:p>
    <w:p w14:paraId="3710F6AA" w14:textId="006D7A62" w:rsidR="00EA7FE2" w:rsidRPr="00EA7FE2" w:rsidRDefault="00EA7FE2" w:rsidP="00B814D2">
      <w:proofErr w:type="spellStart"/>
      <w:r w:rsidRPr="00EA7FE2">
        <w:t>NbS</w:t>
      </w:r>
      <w:proofErr w:type="spellEnd"/>
      <w:r w:rsidRPr="00EA7FE2">
        <w:t xml:space="preserve"> have gained recognition as a crucial and innovative approach to addressing climate change challenges. As climate change impacts become increasingly evident worldwide, there is a growing understanding of the need for comprehensive and sustainable strategies that not only mitigate greenhouse gas emissions but also enhance ecosystem and community resilience. </w:t>
      </w:r>
      <w:proofErr w:type="spellStart"/>
      <w:r w:rsidRPr="00EA7FE2">
        <w:t>NbS</w:t>
      </w:r>
      <w:proofErr w:type="spellEnd"/>
      <w:r w:rsidRPr="00EA7FE2">
        <w:t xml:space="preserve"> plays a vital role in Australia's climate-resilient development efforts as they can simultaneously reduce carbon emissions, strengthen disaster resilience, promote biodiversity, and provide sustainable livelihoods.</w:t>
      </w:r>
    </w:p>
    <w:p w14:paraId="262128DB" w14:textId="77777777" w:rsidR="0015537A" w:rsidRDefault="00EA7FE2" w:rsidP="0015537A">
      <w:pPr>
        <w:spacing w:line="292" w:lineRule="auto"/>
        <w:ind w:left="108" w:right="219"/>
        <w:rPr>
          <w:b/>
          <w:bCs/>
          <w:color w:val="1D336D" w:themeColor="background2"/>
        </w:rPr>
      </w:pPr>
      <w:r w:rsidRPr="00BB5917">
        <w:rPr>
          <w:b/>
          <w:bCs/>
          <w:color w:val="1D336D" w:themeColor="background2"/>
        </w:rPr>
        <w:t xml:space="preserve">Box 1: Defining </w:t>
      </w:r>
      <w:proofErr w:type="spellStart"/>
      <w:r w:rsidRPr="00BB5917">
        <w:rPr>
          <w:b/>
          <w:bCs/>
          <w:color w:val="1D336D" w:themeColor="background2"/>
        </w:rPr>
        <w:t>NbS</w:t>
      </w:r>
      <w:proofErr w:type="spellEnd"/>
    </w:p>
    <w:p w14:paraId="49D9835C" w14:textId="77777777" w:rsidR="00BC70CC" w:rsidRPr="00BC70CC" w:rsidRDefault="00BC70CC" w:rsidP="0015537A">
      <w:pPr>
        <w:pBdr>
          <w:top w:val="single" w:sz="4" w:space="1" w:color="auto"/>
          <w:left w:val="single" w:sz="4" w:space="4" w:color="auto"/>
          <w:bottom w:val="single" w:sz="4" w:space="1" w:color="auto"/>
          <w:right w:val="single" w:sz="4" w:space="4" w:color="auto"/>
        </w:pBdr>
        <w:shd w:val="clear" w:color="auto" w:fill="F2F2F2" w:themeFill="background1" w:themeFillShade="F2"/>
        <w:spacing w:line="292" w:lineRule="auto"/>
        <w:ind w:left="108" w:right="219"/>
        <w:rPr>
          <w:iCs/>
          <w:color w:val="1D336C"/>
          <w:sz w:val="2"/>
          <w:szCs w:val="2"/>
        </w:rPr>
      </w:pPr>
    </w:p>
    <w:p w14:paraId="0C18DD9E" w14:textId="71AB0B32" w:rsidR="0015537A" w:rsidRPr="0060181D" w:rsidRDefault="0015537A" w:rsidP="0015537A">
      <w:pPr>
        <w:pBdr>
          <w:top w:val="single" w:sz="4" w:space="1" w:color="auto"/>
          <w:left w:val="single" w:sz="4" w:space="4" w:color="auto"/>
          <w:bottom w:val="single" w:sz="4" w:space="1" w:color="auto"/>
          <w:right w:val="single" w:sz="4" w:space="4" w:color="auto"/>
        </w:pBdr>
        <w:shd w:val="clear" w:color="auto" w:fill="F2F2F2" w:themeFill="background1" w:themeFillShade="F2"/>
        <w:spacing w:line="292" w:lineRule="auto"/>
        <w:ind w:left="108" w:right="219"/>
        <w:rPr>
          <w:iCs/>
          <w:color w:val="1D336C"/>
        </w:rPr>
      </w:pPr>
      <w:r w:rsidRPr="0060181D">
        <w:rPr>
          <w:iCs/>
          <w:color w:val="1D336C"/>
        </w:rPr>
        <w:t xml:space="preserve">It is important to note that DFAT is yet to officially adopt an agreed definition of </w:t>
      </w:r>
      <w:proofErr w:type="spellStart"/>
      <w:r w:rsidRPr="0060181D">
        <w:rPr>
          <w:iCs/>
          <w:color w:val="1D336C"/>
        </w:rPr>
        <w:t>NbS</w:t>
      </w:r>
      <w:proofErr w:type="spellEnd"/>
      <w:r w:rsidRPr="0060181D">
        <w:rPr>
          <w:iCs/>
          <w:color w:val="1D336C"/>
        </w:rPr>
        <w:t>. However, for the purpose of this evaluation, the definition provided by the United Nations Environment Program (UNEP) and the International Union for Conservation of Nature (IUCN) has been provided below.</w:t>
      </w:r>
    </w:p>
    <w:p w14:paraId="30FAA48E" w14:textId="77777777" w:rsidR="0015537A" w:rsidRPr="0060181D" w:rsidRDefault="0015537A" w:rsidP="0015537A">
      <w:pPr>
        <w:pBdr>
          <w:top w:val="single" w:sz="4" w:space="1" w:color="auto"/>
          <w:left w:val="single" w:sz="4" w:space="4" w:color="auto"/>
          <w:bottom w:val="single" w:sz="4" w:space="1" w:color="auto"/>
          <w:right w:val="single" w:sz="4" w:space="4" w:color="auto"/>
        </w:pBdr>
        <w:shd w:val="clear" w:color="auto" w:fill="F2F2F2" w:themeFill="background1" w:themeFillShade="F2"/>
        <w:spacing w:line="292" w:lineRule="auto"/>
        <w:ind w:left="108" w:right="219"/>
        <w:rPr>
          <w:i/>
          <w:color w:val="1D336C"/>
        </w:rPr>
      </w:pPr>
      <w:r w:rsidRPr="0060181D">
        <w:rPr>
          <w:iCs/>
          <w:color w:val="1D336C"/>
        </w:rPr>
        <w:t>According to UNEP and IUCN,</w:t>
      </w:r>
      <w:r w:rsidRPr="0060181D">
        <w:rPr>
          <w:i/>
          <w:color w:val="1D336C"/>
        </w:rPr>
        <w:t xml:space="preserve"> ‘Nature-based solutions (</w:t>
      </w:r>
      <w:proofErr w:type="spellStart"/>
      <w:r w:rsidRPr="0060181D">
        <w:rPr>
          <w:i/>
          <w:color w:val="1D336C"/>
        </w:rPr>
        <w:t>NbS</w:t>
      </w:r>
      <w:proofErr w:type="spellEnd"/>
      <w:r w:rsidRPr="0060181D">
        <w:rPr>
          <w:i/>
          <w:color w:val="1D336C"/>
        </w:rPr>
        <w:t>) are actions to protect, sustainably manage, and restore natural and modified ecosystems that address societal challenges effectively and adaptively, simultaneously benefiting people and nature.’</w:t>
      </w:r>
    </w:p>
    <w:p w14:paraId="1A87B13B" w14:textId="77777777" w:rsidR="0015537A" w:rsidRDefault="0015537A" w:rsidP="0015537A">
      <w:pPr>
        <w:pBdr>
          <w:top w:val="single" w:sz="4" w:space="1" w:color="auto"/>
          <w:left w:val="single" w:sz="4" w:space="4" w:color="auto"/>
          <w:bottom w:val="single" w:sz="4" w:space="1" w:color="auto"/>
          <w:right w:val="single" w:sz="4" w:space="4" w:color="auto"/>
        </w:pBdr>
        <w:shd w:val="clear" w:color="auto" w:fill="F2F2F2" w:themeFill="background1" w:themeFillShade="F2"/>
        <w:spacing w:line="292" w:lineRule="auto"/>
        <w:ind w:left="108" w:right="219"/>
        <w:rPr>
          <w:iCs/>
          <w:color w:val="1D336C"/>
        </w:rPr>
      </w:pPr>
      <w:r w:rsidRPr="0060181D">
        <w:rPr>
          <w:iCs/>
          <w:color w:val="1D336C"/>
        </w:rPr>
        <w:t>While the UNEP and IUCN definition serves as a widely recognised and widely used reference, it is important to acknowledge that other organisations and stakeholders may have different interpretations or variations of the term "Nature-based Solutions." Therefore, the above definition may not directly reflect the definition that DFAT will ultimately adopt.</w:t>
      </w:r>
    </w:p>
    <w:p w14:paraId="0A2A77D2" w14:textId="77777777" w:rsidR="00BC70CC" w:rsidRPr="00BC70CC" w:rsidRDefault="00BC70CC" w:rsidP="0015537A">
      <w:pPr>
        <w:pBdr>
          <w:top w:val="single" w:sz="4" w:space="1" w:color="auto"/>
          <w:left w:val="single" w:sz="4" w:space="4" w:color="auto"/>
          <w:bottom w:val="single" w:sz="4" w:space="1" w:color="auto"/>
          <w:right w:val="single" w:sz="4" w:space="4" w:color="auto"/>
        </w:pBdr>
        <w:shd w:val="clear" w:color="auto" w:fill="F2F2F2" w:themeFill="background1" w:themeFillShade="F2"/>
        <w:spacing w:line="292" w:lineRule="auto"/>
        <w:ind w:left="108" w:right="219"/>
        <w:rPr>
          <w:iCs/>
          <w:color w:val="1D336C"/>
          <w:sz w:val="2"/>
          <w:szCs w:val="2"/>
        </w:rPr>
      </w:pPr>
    </w:p>
    <w:p w14:paraId="799B1E83" w14:textId="5440995F" w:rsidR="00EA7FE2" w:rsidRPr="00EA7FE2" w:rsidRDefault="00EA7FE2" w:rsidP="00B814D2">
      <w:r w:rsidRPr="00EA7FE2">
        <w:t>Australia has made significant commitments to increase international finance for nature and climate, aligning with global initiatives to support nature-positive projects. By joining the Joint Donor Statement on International Finance for Biodiversity and Nature, Australia demonstrates its dedication to integrating climate and biodiversity goals into international development and contributing to the achievement of the Sustainable Development Goals. Additionally, Australia has pledged to increase climate financing</w:t>
      </w:r>
      <w:r w:rsidR="008E4908">
        <w:t>.</w:t>
      </w:r>
      <w:r w:rsidRPr="00EA7FE2">
        <w:t xml:space="preserve"> </w:t>
      </w:r>
      <w:r w:rsidR="008E4908" w:rsidRPr="008E4908">
        <w:t>In 2023, Australia strengthened its previous climate finance commitment of $2 billion and is now expected to deliver $3 billion towards the global goal on climate finance over 2020 to 2025</w:t>
      </w:r>
      <w:r w:rsidRPr="00EA7FE2">
        <w:t>, with a substantial increase in Overseas Development Assistance (ODA) for climate in 202</w:t>
      </w:r>
      <w:r w:rsidR="00D51C44">
        <w:t>2</w:t>
      </w:r>
      <w:r w:rsidRPr="00EA7FE2">
        <w:t>-2</w:t>
      </w:r>
      <w:r w:rsidR="00D51C44">
        <w:t>3</w:t>
      </w:r>
      <w:r w:rsidRPr="00EA7FE2">
        <w:t xml:space="preserve"> amounting to over $</w:t>
      </w:r>
      <w:r w:rsidR="00104A7A">
        <w:t>571</w:t>
      </w:r>
      <w:r w:rsidR="00104A7A" w:rsidRPr="00EA7FE2">
        <w:t xml:space="preserve"> </w:t>
      </w:r>
      <w:r w:rsidRPr="00EA7FE2">
        <w:t>million.</w:t>
      </w:r>
      <w:r w:rsidR="005A188C">
        <w:rPr>
          <w:rStyle w:val="FootnoteReference"/>
        </w:rPr>
        <w:footnoteReference w:id="2"/>
      </w:r>
      <w:r w:rsidRPr="00EA7FE2">
        <w:t xml:space="preserve"> Future investment in </w:t>
      </w:r>
      <w:proofErr w:type="spellStart"/>
      <w:r w:rsidRPr="00EA7FE2">
        <w:t>NbS</w:t>
      </w:r>
      <w:proofErr w:type="spellEnd"/>
      <w:r w:rsidRPr="00EA7FE2">
        <w:t xml:space="preserve"> aligns with DFAT’s </w:t>
      </w:r>
      <w:r w:rsidR="00B55EED">
        <w:t>current</w:t>
      </w:r>
      <w:r w:rsidRPr="00EA7FE2">
        <w:t xml:space="preserve"> International Development Policy, aiming to enhance both climate and nature finance.</w:t>
      </w:r>
      <w:r w:rsidR="00B55EED">
        <w:rPr>
          <w:rStyle w:val="FootnoteReference"/>
        </w:rPr>
        <w:footnoteReference w:id="3"/>
      </w:r>
      <w:r w:rsidRPr="00EA7FE2">
        <w:t xml:space="preserve">  </w:t>
      </w:r>
    </w:p>
    <w:p w14:paraId="1610DAA8" w14:textId="33646F03" w:rsidR="00B43875" w:rsidRPr="00FB1205" w:rsidRDefault="00EA7FE2" w:rsidP="00B814D2">
      <w:pPr>
        <w:rPr>
          <w:highlight w:val="yellow"/>
        </w:rPr>
      </w:pPr>
      <w:r w:rsidRPr="00EA7FE2">
        <w:t xml:space="preserve">Despite the growing importance of </w:t>
      </w:r>
      <w:proofErr w:type="spellStart"/>
      <w:r w:rsidRPr="00EA7FE2">
        <w:t>NbS</w:t>
      </w:r>
      <w:proofErr w:type="spellEnd"/>
      <w:r w:rsidRPr="00EA7FE2">
        <w:t xml:space="preserve">, Australia currently does not have a dedicated investment strategy in this sector. </w:t>
      </w:r>
      <w:r w:rsidR="00B43875" w:rsidRPr="000463B6">
        <w:t xml:space="preserve">Current initiatives were developed within short timeframes and without established definitions </w:t>
      </w:r>
      <w:r w:rsidR="00B43875" w:rsidRPr="000463B6">
        <w:lastRenderedPageBreak/>
        <w:t xml:space="preserve">and frameworks for </w:t>
      </w:r>
      <w:proofErr w:type="spellStart"/>
      <w:r w:rsidR="003A1D72" w:rsidRPr="000463B6">
        <w:t>NbS</w:t>
      </w:r>
      <w:proofErr w:type="spellEnd"/>
      <w:r w:rsidR="003A1D72" w:rsidRPr="000463B6">
        <w:t>.</w:t>
      </w:r>
      <w:r w:rsidR="00B43875" w:rsidRPr="000463B6">
        <w:t xml:space="preserve"> This has affected time available for implementation and measurable impacts and activities have been necessarily iterative and adaptive by nature.</w:t>
      </w:r>
    </w:p>
    <w:p w14:paraId="1B099228" w14:textId="77777777" w:rsidR="00150362" w:rsidRDefault="00EA7FE2" w:rsidP="00150362">
      <w:r w:rsidRPr="00EA7FE2">
        <w:t xml:space="preserve">Most of Australia’s ODA investments in </w:t>
      </w:r>
      <w:proofErr w:type="spellStart"/>
      <w:r w:rsidRPr="00EA7FE2">
        <w:t>NbS</w:t>
      </w:r>
      <w:proofErr w:type="spellEnd"/>
      <w:r w:rsidRPr="00EA7FE2">
        <w:t xml:space="preserve"> are set to conclude in 2024-25, with previous investments and partnerships chosen on an ad hoc basis. Therefore, the objective of this evaluation is to assess a selection of DFAT's current </w:t>
      </w:r>
      <w:proofErr w:type="spellStart"/>
      <w:r w:rsidRPr="00EA7FE2">
        <w:t>NbS</w:t>
      </w:r>
      <w:proofErr w:type="spellEnd"/>
      <w:r w:rsidRPr="00EA7FE2">
        <w:t xml:space="preserve"> initiatives, providing insight to the effectiveness of current investments, and to determine the potential value of continued investment in </w:t>
      </w:r>
      <w:proofErr w:type="spellStart"/>
      <w:r w:rsidRPr="00EA7FE2">
        <w:t>NbS</w:t>
      </w:r>
      <w:proofErr w:type="spellEnd"/>
      <w:r w:rsidRPr="00EA7FE2">
        <w:t xml:space="preserve">. The findings identified through this evaluation can inform Australia's future strategy and investments in </w:t>
      </w:r>
      <w:proofErr w:type="spellStart"/>
      <w:r w:rsidRPr="00EA7FE2">
        <w:t>NbS</w:t>
      </w:r>
      <w:proofErr w:type="spellEnd"/>
      <w:r w:rsidRPr="00EA7FE2">
        <w:t xml:space="preserve">, addressing the need for a more cohesive and strategic approach in this sector. Three of DFAT’s </w:t>
      </w:r>
      <w:proofErr w:type="spellStart"/>
      <w:r w:rsidRPr="00EA7FE2">
        <w:t>NbS</w:t>
      </w:r>
      <w:proofErr w:type="spellEnd"/>
      <w:r w:rsidRPr="00EA7FE2">
        <w:t xml:space="preserve"> investments have been selected to inform this evaluation:</w:t>
      </w:r>
    </w:p>
    <w:p w14:paraId="6BD675C1" w14:textId="7659B6BE" w:rsidR="00EA7FE2" w:rsidRPr="00EA7FE2" w:rsidRDefault="00EA7FE2" w:rsidP="00150362">
      <w:pPr>
        <w:pStyle w:val="ListParagraph"/>
        <w:numPr>
          <w:ilvl w:val="0"/>
          <w:numId w:val="32"/>
        </w:numPr>
      </w:pPr>
      <w:r w:rsidRPr="00150362">
        <w:rPr>
          <w:b/>
          <w:bCs/>
          <w:i/>
          <w:iCs/>
          <w:color w:val="1D336D" w:themeColor="background2"/>
        </w:rPr>
        <w:t>Climate Resilient by Nature</w:t>
      </w:r>
      <w:r w:rsidRPr="00150362">
        <w:rPr>
          <w:color w:val="1D336D" w:themeColor="background2"/>
        </w:rPr>
        <w:t xml:space="preserve"> </w:t>
      </w:r>
      <w:r w:rsidRPr="00EA7FE2">
        <w:t xml:space="preserve">(Originally $9.5 million, 2021-2023, then extended through two subsequent amendments to $14.5 million, 2021-25) – partnership with WWF-Australia to use </w:t>
      </w:r>
      <w:proofErr w:type="spellStart"/>
      <w:r w:rsidRPr="00EA7FE2">
        <w:t>NbS</w:t>
      </w:r>
      <w:proofErr w:type="spellEnd"/>
      <w:r w:rsidRPr="00EA7FE2">
        <w:t xml:space="preserve"> to build sustainable livelihoods in the Indo-Pacific. This includes ten projects supporting 20,000 people across 85 communities in the Pacific and Southeast Asia. A Learning, Innovation and Knowledge Hub (below referred to as the Knowledge Hub) supports learning and collaboration across project partners.</w:t>
      </w:r>
      <w:r w:rsidR="00475762">
        <w:br/>
      </w:r>
    </w:p>
    <w:p w14:paraId="7D01CF76" w14:textId="51F2330D" w:rsidR="00EA7FE2" w:rsidRPr="00EA7FE2" w:rsidRDefault="00EA7FE2" w:rsidP="00B814D2">
      <w:pPr>
        <w:pStyle w:val="ListParagraph"/>
        <w:numPr>
          <w:ilvl w:val="0"/>
          <w:numId w:val="32"/>
        </w:numPr>
      </w:pPr>
      <w:r w:rsidRPr="00475762">
        <w:rPr>
          <w:b/>
          <w:bCs/>
          <w:i/>
          <w:iCs/>
          <w:color w:val="1D336D" w:themeColor="background2"/>
        </w:rPr>
        <w:t>Pacific Blue Carbon Program</w:t>
      </w:r>
      <w:r w:rsidRPr="00EA7FE2">
        <w:t xml:space="preserve"> ($6.3 million, 2018-2024) – partnership with the Department of Industry, Science and Resources (DISR), Conservation International, the Climate Finance Lab and CSIRO to build capacity to protect and restore blue carbon ecosystems in Fiji and PNG. This includes activities to measure, report and verify carbon in mangroves and seagrasses to incorporate this information in countries’ greenhouse gas accounts, and climate and related policies. As part of this program, Conservation International is also developing blue carbon projects to demonstrate viability of carbon offsets through protection of marine ecosystems.</w:t>
      </w:r>
      <w:r w:rsidR="00475762">
        <w:br/>
      </w:r>
    </w:p>
    <w:p w14:paraId="7C2C2FB6" w14:textId="19C2BD0F" w:rsidR="00EA7FE2" w:rsidRPr="00EA7FE2" w:rsidRDefault="00EA7FE2" w:rsidP="00B814D2">
      <w:pPr>
        <w:pStyle w:val="ListParagraph"/>
        <w:numPr>
          <w:ilvl w:val="0"/>
          <w:numId w:val="32"/>
        </w:numPr>
      </w:pPr>
      <w:proofErr w:type="spellStart"/>
      <w:r w:rsidRPr="00475762">
        <w:rPr>
          <w:b/>
          <w:bCs/>
          <w:i/>
          <w:iCs/>
          <w:color w:val="1D336D" w:themeColor="background2"/>
        </w:rPr>
        <w:t>ReefCloud</w:t>
      </w:r>
      <w:proofErr w:type="spellEnd"/>
      <w:r w:rsidRPr="00475762">
        <w:rPr>
          <w:b/>
          <w:bCs/>
          <w:i/>
          <w:iCs/>
          <w:color w:val="1D336D" w:themeColor="background2"/>
        </w:rPr>
        <w:t xml:space="preserve"> </w:t>
      </w:r>
      <w:r w:rsidRPr="00EA7FE2">
        <w:t xml:space="preserve">($6.6 million, 2023 – 25) – partnering with the Australian Institute of Marine Science (AIMS), </w:t>
      </w:r>
      <w:proofErr w:type="spellStart"/>
      <w:r w:rsidRPr="00EA7FE2">
        <w:t>ReefCloud</w:t>
      </w:r>
      <w:proofErr w:type="spellEnd"/>
      <w:r w:rsidRPr="00EA7FE2">
        <w:t xml:space="preserve"> utilises artificial intelligence systems to allow local communities and </w:t>
      </w:r>
      <w:r w:rsidR="006551F0">
        <w:t>Indigenous</w:t>
      </w:r>
      <w:r w:rsidRPr="00EA7FE2">
        <w:t xml:space="preserve"> ranger groups to collect data on their reefs, upload them to cloud based systems and analyse them. Data will support governments to undertake management planning, including for high value ecosystems.</w:t>
      </w:r>
    </w:p>
    <w:p w14:paraId="2342EAC0" w14:textId="0E4EE2F0" w:rsidR="00EA7FE2" w:rsidRPr="00EA7FE2" w:rsidRDefault="00EA7FE2" w:rsidP="000A7132">
      <w:pPr>
        <w:pStyle w:val="Heading1"/>
      </w:pPr>
      <w:bookmarkStart w:id="5" w:name="_Toc164783023"/>
      <w:r w:rsidRPr="00EA7FE2">
        <w:t>Methodology</w:t>
      </w:r>
      <w:bookmarkEnd w:id="5"/>
      <w:r w:rsidRPr="00EA7FE2">
        <w:t xml:space="preserve"> </w:t>
      </w:r>
    </w:p>
    <w:p w14:paraId="4F0EBEBB" w14:textId="62DF267C" w:rsidR="00EA7FE2" w:rsidRPr="00EA7FE2" w:rsidRDefault="00EA7FE2" w:rsidP="00B814D2">
      <w:r w:rsidRPr="00EA7FE2">
        <w:t xml:space="preserve">The evaluation provides two levels of assessment. Firstly, a clustered approach to the selected investments has been used to inform an overarching strategic level assessment. The findings and recommendations of this assessment </w:t>
      </w:r>
      <w:r w:rsidR="00713FD5">
        <w:t>could</w:t>
      </w:r>
      <w:r w:rsidRPr="00EA7FE2">
        <w:t xml:space="preserve"> inform a possible dedicated investment strategy for future development interventions in the </w:t>
      </w:r>
      <w:proofErr w:type="spellStart"/>
      <w:r w:rsidRPr="00EA7FE2">
        <w:t>NbS</w:t>
      </w:r>
      <w:proofErr w:type="spellEnd"/>
      <w:r w:rsidRPr="00EA7FE2">
        <w:t xml:space="preserve"> sector. Secondly, the evaluation provides an individual assessment of the three selected investments. </w:t>
      </w:r>
      <w:r w:rsidR="00C77957">
        <w:t xml:space="preserve">This </w:t>
      </w:r>
      <w:r w:rsidR="0050592F">
        <w:t xml:space="preserve">level of </w:t>
      </w:r>
      <w:r w:rsidR="00C77957">
        <w:t>assessment</w:t>
      </w:r>
      <w:r w:rsidRPr="00EA7FE2">
        <w:t xml:space="preserve"> aim</w:t>
      </w:r>
      <w:r w:rsidR="0050592F">
        <w:t>s</w:t>
      </w:r>
      <w:r w:rsidRPr="00EA7FE2">
        <w:t xml:space="preserve"> to identify learnings from each of the investments that can inform future </w:t>
      </w:r>
      <w:proofErr w:type="spellStart"/>
      <w:r w:rsidRPr="00EA7FE2">
        <w:t>NbS</w:t>
      </w:r>
      <w:proofErr w:type="spellEnd"/>
      <w:r w:rsidRPr="00EA7FE2">
        <w:t xml:space="preserve"> opportunities and approaches.</w:t>
      </w:r>
    </w:p>
    <w:p w14:paraId="03B7ED58" w14:textId="1D44CD35" w:rsidR="00EA7FE2" w:rsidRPr="00EA7FE2" w:rsidRDefault="00EA7FE2" w:rsidP="00B814D2">
      <w:r w:rsidRPr="00EA7FE2">
        <w:t xml:space="preserve">The evaluation team undertook a mixed methods approach, combining document and literature review, semi-structured stakeholder interviews, focus group discussions for stakeholders of each investment, including </w:t>
      </w:r>
      <w:proofErr w:type="spellStart"/>
      <w:r w:rsidRPr="00EA7FE2">
        <w:t>Talanoa</w:t>
      </w:r>
      <w:proofErr w:type="spellEnd"/>
      <w:r w:rsidRPr="00EA7FE2">
        <w:t xml:space="preserve"> sessions,</w:t>
      </w:r>
      <w:r w:rsidR="007E16F6">
        <w:rPr>
          <w:rStyle w:val="FootnoteReference"/>
        </w:rPr>
        <w:footnoteReference w:id="4"/>
      </w:r>
      <w:r w:rsidRPr="00EA7FE2">
        <w:t xml:space="preserve"> and field observations. Field visits to Fiji, Solomon Islands, and Timor-Leste were undertaken, and included a minimum of one project site per investment.</w:t>
      </w:r>
    </w:p>
    <w:p w14:paraId="545CEA4A" w14:textId="0DAC9EEC" w:rsidR="00EA7FE2" w:rsidRPr="000A7132" w:rsidRDefault="00EA7FE2" w:rsidP="000A7132">
      <w:pPr>
        <w:pStyle w:val="Heading3"/>
      </w:pPr>
      <w:r w:rsidRPr="000A7132">
        <w:t>Sampling</w:t>
      </w:r>
    </w:p>
    <w:p w14:paraId="0FCEBCF0" w14:textId="5E1DA688" w:rsidR="009F483F" w:rsidRPr="00EA7FE2" w:rsidRDefault="00EA7FE2" w:rsidP="00B814D2">
      <w:r w:rsidRPr="00EA7FE2">
        <w:t xml:space="preserve">In consultation with DFAT and program managers, a purposive sampling approach was employed in the selection of project site visits. </w:t>
      </w:r>
      <w:r w:rsidR="006F6804">
        <w:t>A small number of</w:t>
      </w:r>
      <w:r w:rsidR="006F6804" w:rsidRPr="00EA7FE2">
        <w:t xml:space="preserve"> </w:t>
      </w:r>
      <w:r w:rsidRPr="00EA7FE2">
        <w:t xml:space="preserve">projects were selected based on their progress to date, geographical accessibility, and the availability of project stakeholders. Time and safety constraints due to the </w:t>
      </w:r>
      <w:r w:rsidRPr="00EA7FE2">
        <w:lastRenderedPageBreak/>
        <w:t>onset of cyclone season also influenced the sites selected.</w:t>
      </w:r>
      <w:r w:rsidR="00ED0299">
        <w:t xml:space="preserve"> </w:t>
      </w:r>
      <w:r w:rsidR="00F854DE">
        <w:t xml:space="preserve">For example, </w:t>
      </w:r>
      <w:r w:rsidR="00A23C80">
        <w:t xml:space="preserve">Tropical Cyclone Mal prevented the </w:t>
      </w:r>
      <w:r w:rsidR="00A66D55">
        <w:t>evaluation team</w:t>
      </w:r>
      <w:r w:rsidR="00E14BA2">
        <w:t xml:space="preserve"> from visiting</w:t>
      </w:r>
      <w:r w:rsidR="008E6DCA">
        <w:t xml:space="preserve"> WWF</w:t>
      </w:r>
      <w:r w:rsidR="00E52230">
        <w:t>-</w:t>
      </w:r>
      <w:r w:rsidR="008E6DCA">
        <w:t>led project</w:t>
      </w:r>
      <w:r w:rsidR="002A280B">
        <w:t>s in Fiji</w:t>
      </w:r>
      <w:r w:rsidR="000C2418">
        <w:t>.</w:t>
      </w:r>
    </w:p>
    <w:p w14:paraId="2A872842" w14:textId="36C55825" w:rsidR="00EA7FE2" w:rsidRPr="00EA7FE2" w:rsidRDefault="00EA7FE2" w:rsidP="00B814D2">
      <w:r w:rsidRPr="00EA7FE2">
        <w:t xml:space="preserve">It is worth noting that although Australia’s international </w:t>
      </w:r>
      <w:proofErr w:type="spellStart"/>
      <w:r w:rsidRPr="00EA7FE2">
        <w:t>NbS</w:t>
      </w:r>
      <w:proofErr w:type="spellEnd"/>
      <w:r w:rsidRPr="00EA7FE2">
        <w:t xml:space="preserve"> investments are currently being implemented in Southeast Asia and the Pacific, the evaluation has a strong geographical focus on the Pacific region. While </w:t>
      </w:r>
      <w:proofErr w:type="spellStart"/>
      <w:r w:rsidRPr="00EA7FE2">
        <w:t>NbS</w:t>
      </w:r>
      <w:proofErr w:type="spellEnd"/>
      <w:r w:rsidRPr="00EA7FE2">
        <w:t xml:space="preserve"> play a crucial role in enhancing climate resilience in Southeast Asia, time constraints prevented site visits to projects currently underway in the Mekong region. To supplement the evaluation, interviews were conducted with independent stakeholders who had visited the Mekong project sites. </w:t>
      </w:r>
    </w:p>
    <w:p w14:paraId="1E2039C1" w14:textId="77777777" w:rsidR="00EA7FE2" w:rsidRPr="000A7132" w:rsidRDefault="00EA7FE2" w:rsidP="000A7132">
      <w:pPr>
        <w:pStyle w:val="Heading3"/>
      </w:pPr>
      <w:r w:rsidRPr="000A7132">
        <w:t>Strategic level evaluation criteria</w:t>
      </w:r>
    </w:p>
    <w:p w14:paraId="5554696B" w14:textId="77777777" w:rsidR="00EA7FE2" w:rsidRPr="00EA7FE2" w:rsidRDefault="00EA7FE2" w:rsidP="00B814D2">
      <w:r w:rsidRPr="00EA7FE2">
        <w:t xml:space="preserve">Evaluation criteria (relevance, coherence, effectiveness, efficiency, impact, and sustainability) set out by the OECD DAC have been used to evaluate the three investments under review as a collective group. As the group of investments that informs this assessment represents only part of Australia’s </w:t>
      </w:r>
      <w:proofErr w:type="spellStart"/>
      <w:r w:rsidRPr="00EA7FE2">
        <w:t>NbS</w:t>
      </w:r>
      <w:proofErr w:type="spellEnd"/>
      <w:r w:rsidRPr="00EA7FE2">
        <w:t xml:space="preserve"> portfolio, the findings below may not be reflective of </w:t>
      </w:r>
      <w:proofErr w:type="spellStart"/>
      <w:r w:rsidRPr="00EA7FE2">
        <w:t>NbS</w:t>
      </w:r>
      <w:proofErr w:type="spellEnd"/>
      <w:r w:rsidRPr="00EA7FE2">
        <w:t xml:space="preserve"> investments beyond the scope of this evaluation.</w:t>
      </w:r>
    </w:p>
    <w:p w14:paraId="225D1294" w14:textId="77777777" w:rsidR="00EA7FE2" w:rsidRPr="00CE2D4E" w:rsidRDefault="00EA7FE2" w:rsidP="00CE2D4E">
      <w:pPr>
        <w:pStyle w:val="Heading3"/>
      </w:pPr>
      <w:r w:rsidRPr="00CE2D4E">
        <w:t>Investment evaluation criteria</w:t>
      </w:r>
    </w:p>
    <w:p w14:paraId="679E7009" w14:textId="568FD226" w:rsidR="00EA7FE2" w:rsidRPr="00EA7FE2" w:rsidRDefault="00EA7FE2" w:rsidP="00B814D2">
      <w:r w:rsidRPr="00EA7FE2">
        <w:t xml:space="preserve">Investments were assessed on progress made toward their respective End of Program Outcomes (EOPOs). Additionally, in the absence of an agreed definition for </w:t>
      </w:r>
      <w:proofErr w:type="spellStart"/>
      <w:r w:rsidRPr="00EA7FE2">
        <w:t>NbS</w:t>
      </w:r>
      <w:proofErr w:type="spellEnd"/>
      <w:r w:rsidRPr="00EA7FE2">
        <w:t xml:space="preserve"> across the investments, specific </w:t>
      </w:r>
      <w:proofErr w:type="spellStart"/>
      <w:r w:rsidRPr="00EA7FE2">
        <w:t>NbS</w:t>
      </w:r>
      <w:proofErr w:type="spellEnd"/>
      <w:r w:rsidRPr="00EA7FE2">
        <w:t xml:space="preserve"> performance criteria were developed for this evaluation. These criteria take into account the core principles and objectives of </w:t>
      </w:r>
      <w:proofErr w:type="spellStart"/>
      <w:r w:rsidRPr="00EA7FE2">
        <w:t>NbS</w:t>
      </w:r>
      <w:proofErr w:type="spellEnd"/>
      <w:r w:rsidRPr="00EA7FE2">
        <w:t>, such as biodiversity conservation, improved livelihoods</w:t>
      </w:r>
      <w:r w:rsidR="0046712F">
        <w:t xml:space="preserve">, and </w:t>
      </w:r>
      <w:r w:rsidR="0046712F" w:rsidRPr="00EA7FE2">
        <w:t>climate change mitigation and adaptation</w:t>
      </w:r>
      <w:r w:rsidRPr="00EA7FE2">
        <w:t xml:space="preserve">. It is important to highlight that the </w:t>
      </w:r>
      <w:proofErr w:type="spellStart"/>
      <w:r w:rsidRPr="00EA7FE2">
        <w:t>NbS</w:t>
      </w:r>
      <w:proofErr w:type="spellEnd"/>
      <w:r w:rsidRPr="00EA7FE2">
        <w:t xml:space="preserve"> criteria were not developed to assess investments against criteria they were not originally designed for. Rather, they can be used to assess the potential of projects delivering </w:t>
      </w:r>
      <w:proofErr w:type="spellStart"/>
      <w:r w:rsidRPr="00EA7FE2">
        <w:t>NbS</w:t>
      </w:r>
      <w:proofErr w:type="spellEnd"/>
      <w:r w:rsidRPr="00EA7FE2">
        <w:t xml:space="preserve"> results moving forward.</w:t>
      </w:r>
    </w:p>
    <w:p w14:paraId="443CF2EB" w14:textId="71C3329A" w:rsidR="00EA7FE2" w:rsidRPr="00EA7FE2" w:rsidRDefault="00EA7FE2" w:rsidP="00B814D2">
      <w:r w:rsidRPr="00563D5B">
        <w:t xml:space="preserve">The criteria were derived from international best practices (including the IUCN Global Standards) and contextualised to align with Australia's new International Development Policy priorities. The criteria include: the three pillars of </w:t>
      </w:r>
      <w:proofErr w:type="spellStart"/>
      <w:r w:rsidRPr="00563D5B">
        <w:t>NbS</w:t>
      </w:r>
      <w:proofErr w:type="spellEnd"/>
      <w:r w:rsidRPr="00563D5B">
        <w:t xml:space="preserve"> (biodiversity, livelihoods and climate);</w:t>
      </w:r>
      <w:r w:rsidR="00B207D4" w:rsidRPr="00563D5B">
        <w:rPr>
          <w:rStyle w:val="FootnoteReference"/>
        </w:rPr>
        <w:footnoteReference w:id="5"/>
      </w:r>
      <w:r w:rsidRPr="00563D5B">
        <w:t xml:space="preserve"> being a solution to community identified needs; operating at a sustainable scale; having fair governance structures; conducting regular safeguard reviews; gender equality, disability and social inclusion (GEDSI) considerations; and the inclusion and respect of </w:t>
      </w:r>
      <w:r w:rsidR="006551F0">
        <w:t>Indigenous</w:t>
      </w:r>
      <w:r w:rsidRPr="00563D5B">
        <w:t xml:space="preserve"> knowledge and ways of being</w:t>
      </w:r>
      <w:r w:rsidR="007B05D9">
        <w:t>.</w:t>
      </w:r>
    </w:p>
    <w:p w14:paraId="713FFF8E" w14:textId="77777777" w:rsidR="00EA7FE2" w:rsidRDefault="00EA7FE2" w:rsidP="000224D3">
      <w:pPr>
        <w:pStyle w:val="Heading1"/>
      </w:pPr>
      <w:bookmarkStart w:id="6" w:name="_Toc164783024"/>
      <w:r w:rsidRPr="00EA7FE2">
        <w:t>Key findings (Strategic level)</w:t>
      </w:r>
      <w:bookmarkEnd w:id="6"/>
      <w:r w:rsidRPr="00EA7FE2">
        <w:t xml:space="preserve"> </w:t>
      </w:r>
      <w:r w:rsidRPr="00EA7FE2">
        <w:tab/>
      </w:r>
    </w:p>
    <w:p w14:paraId="5163709E" w14:textId="101B702A" w:rsidR="00C35F89" w:rsidRPr="00C35F89" w:rsidRDefault="00C35F89" w:rsidP="00C35F89">
      <w:pPr>
        <w:pStyle w:val="Heading2"/>
        <w:rPr>
          <w:color w:val="152651" w:themeColor="background2" w:themeShade="BF"/>
          <w:sz w:val="24"/>
          <w:szCs w:val="24"/>
        </w:rPr>
      </w:pPr>
      <w:bookmarkStart w:id="7" w:name="_Toc164783025"/>
      <w:r w:rsidRPr="00C35F89">
        <w:rPr>
          <w:caps w:val="0"/>
          <w:color w:val="152651" w:themeColor="background2" w:themeShade="BF"/>
          <w:sz w:val="24"/>
          <w:szCs w:val="24"/>
        </w:rPr>
        <w:t>Relevance</w:t>
      </w:r>
      <w:bookmarkEnd w:id="7"/>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201220" w14:paraId="0CFB5AF8" w14:textId="77777777" w:rsidTr="001442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4" w:type="dxa"/>
            <w:shd w:val="clear" w:color="auto" w:fill="1D336D" w:themeFill="background2"/>
          </w:tcPr>
          <w:p w14:paraId="1554EC4C" w14:textId="4B75768A" w:rsidR="00201220" w:rsidRPr="001442E2" w:rsidRDefault="00AC51BB" w:rsidP="00AC51BB">
            <w:pPr>
              <w:jc w:val="center"/>
              <w:rPr>
                <w:b/>
                <w:bCs/>
                <w:color w:val="FFFFFF" w:themeColor="background1"/>
              </w:rPr>
            </w:pPr>
            <w:r w:rsidRPr="001442E2">
              <w:rPr>
                <w:b/>
                <w:bCs/>
                <w:color w:val="FFFFFF" w:themeColor="background1"/>
              </w:rPr>
              <w:t>#</w:t>
            </w:r>
          </w:p>
        </w:tc>
        <w:tc>
          <w:tcPr>
            <w:tcW w:w="8924" w:type="dxa"/>
            <w:shd w:val="clear" w:color="auto" w:fill="1D336D" w:themeFill="background2"/>
          </w:tcPr>
          <w:p w14:paraId="75F9D8B4" w14:textId="363B10DD" w:rsidR="00201220" w:rsidRPr="001442E2" w:rsidRDefault="00AC51BB" w:rsidP="00B814D2">
            <w:pPr>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1442E2">
              <w:rPr>
                <w:b/>
                <w:bCs/>
                <w:color w:val="FFFFFF" w:themeColor="background1"/>
              </w:rPr>
              <w:t>Finding</w:t>
            </w:r>
          </w:p>
        </w:tc>
      </w:tr>
      <w:tr w:rsidR="008E7C5B" w14:paraId="50275170"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F1DF0A4" w14:textId="4EDE2A73" w:rsidR="008E7C5B" w:rsidRPr="0053529A" w:rsidRDefault="00E903A9" w:rsidP="0053529A">
            <w:pPr>
              <w:jc w:val="center"/>
              <w:rPr>
                <w:b/>
                <w:bCs/>
                <w:color w:val="1D336D" w:themeColor="background2"/>
              </w:rPr>
            </w:pPr>
            <w:r w:rsidRPr="0053529A">
              <w:rPr>
                <w:b/>
                <w:bCs/>
                <w:color w:val="1D336D" w:themeColor="background2"/>
              </w:rPr>
              <w:t>1</w:t>
            </w:r>
          </w:p>
        </w:tc>
        <w:tc>
          <w:tcPr>
            <w:tcW w:w="8924" w:type="dxa"/>
            <w:shd w:val="clear" w:color="auto" w:fill="auto"/>
          </w:tcPr>
          <w:p w14:paraId="4AA5A7E8" w14:textId="57EFD702" w:rsidR="008E7C5B" w:rsidRPr="0053529A" w:rsidRDefault="00EF3494"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D4940">
              <w:rPr>
                <w:b/>
                <w:bCs/>
                <w:i/>
                <w:iCs/>
                <w:color w:val="1D336D" w:themeColor="background2"/>
              </w:rPr>
              <w:t xml:space="preserve">Overall, </w:t>
            </w:r>
            <w:proofErr w:type="spellStart"/>
            <w:r w:rsidRPr="003D4940">
              <w:rPr>
                <w:b/>
                <w:bCs/>
                <w:i/>
                <w:iCs/>
                <w:color w:val="1D336D" w:themeColor="background2"/>
              </w:rPr>
              <w:t>NbS</w:t>
            </w:r>
            <w:proofErr w:type="spellEnd"/>
            <w:r w:rsidRPr="003D4940">
              <w:rPr>
                <w:b/>
                <w:bCs/>
                <w:i/>
                <w:iCs/>
                <w:color w:val="1D336D" w:themeColor="background2"/>
              </w:rPr>
              <w:t xml:space="preserve"> initiatives align well with Australia's international development priorities and respond to the needs and priorities of partner communities and governments, particularly in the Pacific region</w:t>
            </w:r>
            <w:r w:rsidRPr="0053529A">
              <w:rPr>
                <w:i/>
                <w:iCs/>
                <w:color w:val="1D336D" w:themeColor="background2"/>
              </w:rPr>
              <w:t>.</w:t>
            </w:r>
          </w:p>
        </w:tc>
      </w:tr>
      <w:tr w:rsidR="008E7C5B" w14:paraId="3EB5A7B7"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0F6C0D95" w14:textId="190741E3" w:rsidR="008E7C5B" w:rsidRPr="0053529A" w:rsidRDefault="00E903A9" w:rsidP="0053529A">
            <w:pPr>
              <w:jc w:val="center"/>
              <w:rPr>
                <w:b/>
                <w:bCs/>
                <w:color w:val="1D336D" w:themeColor="background2"/>
              </w:rPr>
            </w:pPr>
            <w:r w:rsidRPr="0053529A">
              <w:rPr>
                <w:b/>
                <w:bCs/>
                <w:color w:val="1D336D" w:themeColor="background2"/>
              </w:rPr>
              <w:t>2</w:t>
            </w:r>
          </w:p>
        </w:tc>
        <w:tc>
          <w:tcPr>
            <w:tcW w:w="8924" w:type="dxa"/>
            <w:shd w:val="clear" w:color="auto" w:fill="auto"/>
          </w:tcPr>
          <w:p w14:paraId="3F51C314" w14:textId="74B9108D" w:rsidR="008E7C5B" w:rsidRPr="0053529A" w:rsidRDefault="00EF3494" w:rsidP="0002037B">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A22470">
              <w:rPr>
                <w:b/>
                <w:bCs/>
                <w:i/>
                <w:iCs/>
                <w:color w:val="1D336D" w:themeColor="background2"/>
              </w:rPr>
              <w:t xml:space="preserve">Australia’s current </w:t>
            </w:r>
            <w:proofErr w:type="spellStart"/>
            <w:r w:rsidRPr="00A22470">
              <w:rPr>
                <w:b/>
                <w:bCs/>
                <w:i/>
                <w:iCs/>
                <w:color w:val="1D336D" w:themeColor="background2"/>
              </w:rPr>
              <w:t>NbS</w:t>
            </w:r>
            <w:proofErr w:type="spellEnd"/>
            <w:r w:rsidRPr="00A22470">
              <w:rPr>
                <w:b/>
                <w:bCs/>
                <w:i/>
                <w:iCs/>
                <w:color w:val="1D336D" w:themeColor="background2"/>
              </w:rPr>
              <w:t xml:space="preserve"> initiatives provide opportunities to advance gender equality, inclusion of vulnerable groups, and local leadership</w:t>
            </w:r>
            <w:r w:rsidRPr="0053529A">
              <w:rPr>
                <w:i/>
                <w:iCs/>
                <w:color w:val="1D336D" w:themeColor="background2"/>
              </w:rPr>
              <w:t>. Currently, GEDSI reporting is focused largely on women’s inclusion. There is greater potential for the consideration of people with disabilities, youth, people with diverse SOGIESC, and other marginalised and vulnerable groups.</w:t>
            </w:r>
          </w:p>
        </w:tc>
      </w:tr>
      <w:tr w:rsidR="008E7C5B" w14:paraId="7A2CAD6A"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9EFDBF7" w14:textId="18ACE633" w:rsidR="008E7C5B" w:rsidRPr="0053529A" w:rsidRDefault="00E903A9" w:rsidP="0053529A">
            <w:pPr>
              <w:jc w:val="center"/>
              <w:rPr>
                <w:b/>
                <w:bCs/>
                <w:color w:val="1D336D" w:themeColor="background2"/>
              </w:rPr>
            </w:pPr>
            <w:r w:rsidRPr="0053529A">
              <w:rPr>
                <w:b/>
                <w:bCs/>
                <w:color w:val="1D336D" w:themeColor="background2"/>
              </w:rPr>
              <w:lastRenderedPageBreak/>
              <w:t>3</w:t>
            </w:r>
          </w:p>
        </w:tc>
        <w:tc>
          <w:tcPr>
            <w:tcW w:w="8924" w:type="dxa"/>
            <w:shd w:val="clear" w:color="auto" w:fill="auto"/>
          </w:tcPr>
          <w:p w14:paraId="61D66D51" w14:textId="2723AF84" w:rsidR="00CE1D83" w:rsidRPr="0053529A" w:rsidRDefault="0053529A" w:rsidP="0002037B">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A22470">
              <w:rPr>
                <w:b/>
                <w:bCs/>
                <w:i/>
                <w:iCs/>
                <w:color w:val="1D336D" w:themeColor="background2"/>
              </w:rPr>
              <w:t xml:space="preserve">Long-term blended finance, including the use of carbon credits and community enterprises, is essential for supporting </w:t>
            </w:r>
            <w:proofErr w:type="spellStart"/>
            <w:r w:rsidRPr="00A22470">
              <w:rPr>
                <w:b/>
                <w:bCs/>
                <w:i/>
                <w:iCs/>
                <w:color w:val="1D336D" w:themeColor="background2"/>
              </w:rPr>
              <w:t>NbS</w:t>
            </w:r>
            <w:proofErr w:type="spellEnd"/>
            <w:r w:rsidRPr="00A22470">
              <w:rPr>
                <w:b/>
                <w:bCs/>
                <w:i/>
                <w:iCs/>
                <w:color w:val="1D336D" w:themeColor="background2"/>
              </w:rPr>
              <w:t xml:space="preserve"> and leveraging their contributions to </w:t>
            </w:r>
            <w:r w:rsidR="55F6DA5E" w:rsidRPr="2CC92CDE">
              <w:rPr>
                <w:b/>
                <w:bCs/>
                <w:i/>
                <w:iCs/>
                <w:color w:val="1D336D" w:themeColor="background2"/>
              </w:rPr>
              <w:t xml:space="preserve">biodiversity, </w:t>
            </w:r>
            <w:r w:rsidR="55F6DA5E" w:rsidRPr="6ED91D3C">
              <w:rPr>
                <w:b/>
                <w:bCs/>
                <w:i/>
                <w:iCs/>
                <w:color w:val="1D336D" w:themeColor="background2"/>
              </w:rPr>
              <w:t xml:space="preserve">livelihoods, and </w:t>
            </w:r>
            <w:r w:rsidRPr="00A22470">
              <w:rPr>
                <w:b/>
                <w:bCs/>
                <w:i/>
                <w:iCs/>
                <w:color w:val="1D336D" w:themeColor="background2"/>
              </w:rPr>
              <w:t>climate</w:t>
            </w:r>
            <w:r w:rsidRPr="03B8B407">
              <w:rPr>
                <w:i/>
                <w:iCs/>
                <w:color w:val="1D336D" w:themeColor="background2"/>
              </w:rPr>
              <w:t>.</w:t>
            </w:r>
            <w:r w:rsidRPr="0053529A">
              <w:rPr>
                <w:i/>
                <w:iCs/>
                <w:color w:val="1D336D" w:themeColor="background2"/>
              </w:rPr>
              <w:t xml:space="preserve"> </w:t>
            </w:r>
            <w:proofErr w:type="spellStart"/>
            <w:r w:rsidRPr="0053529A">
              <w:rPr>
                <w:i/>
                <w:iCs/>
                <w:color w:val="1D336D" w:themeColor="background2"/>
              </w:rPr>
              <w:t>NbS</w:t>
            </w:r>
            <w:proofErr w:type="spellEnd"/>
            <w:r w:rsidRPr="0053529A">
              <w:rPr>
                <w:i/>
                <w:iCs/>
                <w:color w:val="1D336D" w:themeColor="background2"/>
              </w:rPr>
              <w:t xml:space="preserve"> present attractive opportunities for impact investment, but further work is needed to refine the modalities, including exploring the potential of biodiversity credits as a promising form of finance.</w:t>
            </w:r>
          </w:p>
        </w:tc>
      </w:tr>
    </w:tbl>
    <w:p w14:paraId="7DAF029B" w14:textId="0F6EDFC9" w:rsidR="00C35F89" w:rsidRDefault="001442E2" w:rsidP="001442E2">
      <w:pPr>
        <w:pStyle w:val="Heading2"/>
      </w:pPr>
      <w:bookmarkStart w:id="8" w:name="_Toc164783026"/>
      <w:r>
        <w:rPr>
          <w:caps w:val="0"/>
          <w:color w:val="152651" w:themeColor="background2" w:themeShade="BF"/>
          <w:sz w:val="24"/>
          <w:szCs w:val="24"/>
        </w:rPr>
        <w:t>Coherence</w:t>
      </w:r>
      <w:bookmarkEnd w:id="8"/>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1442E2" w14:paraId="0F7CF430" w14:textId="77777777" w:rsidTr="001442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4" w:type="dxa"/>
            <w:shd w:val="clear" w:color="auto" w:fill="1D336D" w:themeFill="background2"/>
          </w:tcPr>
          <w:p w14:paraId="2CA1BF38" w14:textId="75B36E21" w:rsidR="001442E2" w:rsidRPr="001442E2" w:rsidRDefault="001442E2" w:rsidP="00A22470">
            <w:pPr>
              <w:jc w:val="center"/>
              <w:rPr>
                <w:b/>
                <w:bCs/>
                <w:color w:val="FFFFFF" w:themeColor="background1"/>
              </w:rPr>
            </w:pPr>
            <w:bookmarkStart w:id="9" w:name="_Hlk164781653"/>
            <w:r w:rsidRPr="001442E2">
              <w:rPr>
                <w:b/>
                <w:bCs/>
                <w:color w:val="FFFFFF" w:themeColor="background1"/>
              </w:rPr>
              <w:t>#</w:t>
            </w:r>
          </w:p>
        </w:tc>
        <w:tc>
          <w:tcPr>
            <w:tcW w:w="8924" w:type="dxa"/>
            <w:shd w:val="clear" w:color="auto" w:fill="1D336D" w:themeFill="background2"/>
          </w:tcPr>
          <w:p w14:paraId="5431A467" w14:textId="68BD1EBD" w:rsidR="001442E2" w:rsidRPr="001442E2" w:rsidRDefault="001442E2" w:rsidP="00B814D2">
            <w:pPr>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1442E2">
              <w:rPr>
                <w:b/>
                <w:bCs/>
                <w:color w:val="FFFFFF" w:themeColor="background1"/>
              </w:rPr>
              <w:t>Finding</w:t>
            </w:r>
          </w:p>
        </w:tc>
      </w:tr>
      <w:bookmarkEnd w:id="9"/>
      <w:tr w:rsidR="008E7C5B" w14:paraId="2C45BBFC"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81AB721" w14:textId="66DF30AF" w:rsidR="008E7C5B" w:rsidRPr="00A22470" w:rsidRDefault="00A81E0A" w:rsidP="00A22470">
            <w:pPr>
              <w:jc w:val="center"/>
              <w:rPr>
                <w:b/>
                <w:bCs/>
                <w:color w:val="1D336D" w:themeColor="background2"/>
              </w:rPr>
            </w:pPr>
            <w:r w:rsidRPr="00A22470">
              <w:rPr>
                <w:b/>
                <w:bCs/>
                <w:color w:val="1D336D" w:themeColor="background2"/>
              </w:rPr>
              <w:t>4</w:t>
            </w:r>
          </w:p>
        </w:tc>
        <w:tc>
          <w:tcPr>
            <w:tcW w:w="8924" w:type="dxa"/>
            <w:shd w:val="clear" w:color="auto" w:fill="auto"/>
          </w:tcPr>
          <w:p w14:paraId="03F01441" w14:textId="48383B20" w:rsidR="008E7C5B" w:rsidRPr="00A22470" w:rsidRDefault="0053529A"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proofErr w:type="spellStart"/>
            <w:r w:rsidRPr="00A22470">
              <w:rPr>
                <w:b/>
                <w:bCs/>
                <w:i/>
                <w:iCs/>
                <w:color w:val="1D336D" w:themeColor="background2"/>
              </w:rPr>
              <w:t>NbS</w:t>
            </w:r>
            <w:proofErr w:type="spellEnd"/>
            <w:r w:rsidRPr="00A22470">
              <w:rPr>
                <w:b/>
                <w:bCs/>
                <w:i/>
                <w:iCs/>
                <w:color w:val="1D336D" w:themeColor="background2"/>
              </w:rPr>
              <w:t xml:space="preserve"> align well with community-level development interventions and demonstrate broad positive impacts across environmental, social, and economic dimensions</w:t>
            </w:r>
            <w:r w:rsidRPr="00A22470">
              <w:rPr>
                <w:i/>
                <w:iCs/>
                <w:color w:val="1D336D" w:themeColor="background2"/>
              </w:rPr>
              <w:t xml:space="preserve">. However, the effectiveness of </w:t>
            </w:r>
            <w:proofErr w:type="spellStart"/>
            <w:r w:rsidRPr="00A22470">
              <w:rPr>
                <w:i/>
                <w:iCs/>
                <w:color w:val="1D336D" w:themeColor="background2"/>
              </w:rPr>
              <w:t>NbS</w:t>
            </w:r>
            <w:proofErr w:type="spellEnd"/>
            <w:r w:rsidRPr="00A22470">
              <w:rPr>
                <w:i/>
                <w:iCs/>
                <w:color w:val="1D336D" w:themeColor="background2"/>
              </w:rPr>
              <w:t xml:space="preserve"> is influenced by the availability of expertise and the contextual factors of the operating environment, highlighting the need for integrated expertise and complementary interventions.</w:t>
            </w:r>
          </w:p>
        </w:tc>
      </w:tr>
      <w:tr w:rsidR="008E7C5B" w14:paraId="2E658FB5"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0A497922" w14:textId="65B6E618" w:rsidR="008E7C5B" w:rsidRPr="00A22470" w:rsidRDefault="00A81E0A" w:rsidP="00A22470">
            <w:pPr>
              <w:jc w:val="center"/>
              <w:rPr>
                <w:b/>
                <w:bCs/>
                <w:color w:val="1D336D" w:themeColor="background2"/>
              </w:rPr>
            </w:pPr>
            <w:r w:rsidRPr="00A22470">
              <w:rPr>
                <w:b/>
                <w:bCs/>
                <w:color w:val="1D336D" w:themeColor="background2"/>
              </w:rPr>
              <w:t>5</w:t>
            </w:r>
          </w:p>
        </w:tc>
        <w:tc>
          <w:tcPr>
            <w:tcW w:w="8924" w:type="dxa"/>
            <w:shd w:val="clear" w:color="auto" w:fill="auto"/>
          </w:tcPr>
          <w:p w14:paraId="3FB8C4E0" w14:textId="02B71EAA" w:rsidR="008E7C5B" w:rsidRPr="00A22470" w:rsidRDefault="0053529A"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A22470">
              <w:rPr>
                <w:b/>
                <w:bCs/>
                <w:i/>
                <w:iCs/>
                <w:color w:val="1D336D" w:themeColor="background2"/>
              </w:rPr>
              <w:t xml:space="preserve">The absence of unified guidance for </w:t>
            </w:r>
            <w:proofErr w:type="spellStart"/>
            <w:r w:rsidRPr="00A22470">
              <w:rPr>
                <w:b/>
                <w:bCs/>
                <w:i/>
                <w:iCs/>
                <w:color w:val="1D336D" w:themeColor="background2"/>
              </w:rPr>
              <w:t>NbS</w:t>
            </w:r>
            <w:proofErr w:type="spellEnd"/>
            <w:r w:rsidRPr="00A22470">
              <w:rPr>
                <w:b/>
                <w:bCs/>
                <w:i/>
                <w:iCs/>
                <w:color w:val="1D336D" w:themeColor="background2"/>
              </w:rPr>
              <w:t xml:space="preserve"> initiatives hinders consistent design and measurement approaches, making it challenging to compare effectiveness and extract lessons across projects</w:t>
            </w:r>
            <w:r w:rsidRPr="00A22470">
              <w:rPr>
                <w:i/>
                <w:iCs/>
                <w:color w:val="1D336D" w:themeColor="background2"/>
              </w:rPr>
              <w:t xml:space="preserve">. A DFAT-level definition and guiding framework for </w:t>
            </w:r>
            <w:proofErr w:type="spellStart"/>
            <w:r w:rsidRPr="00A22470">
              <w:rPr>
                <w:i/>
                <w:iCs/>
                <w:color w:val="1D336D" w:themeColor="background2"/>
              </w:rPr>
              <w:t>NbS</w:t>
            </w:r>
            <w:proofErr w:type="spellEnd"/>
            <w:r w:rsidRPr="00A22470">
              <w:rPr>
                <w:i/>
                <w:iCs/>
                <w:color w:val="1D336D" w:themeColor="background2"/>
              </w:rPr>
              <w:t xml:space="preserve"> could promote standardised progress measurements and enhance internal coherence. An overarching guidance framework would harmonise reporting and reduce the loss of information at</w:t>
            </w:r>
            <w:r w:rsidR="00713FD5">
              <w:rPr>
                <w:i/>
                <w:iCs/>
                <w:color w:val="1D336D" w:themeColor="background2"/>
              </w:rPr>
              <w:t xml:space="preserve"> a</w:t>
            </w:r>
            <w:r w:rsidRPr="00A22470">
              <w:rPr>
                <w:i/>
                <w:iCs/>
                <w:color w:val="1D336D" w:themeColor="background2"/>
              </w:rPr>
              <w:t xml:space="preserve"> strategic level.</w:t>
            </w:r>
          </w:p>
        </w:tc>
      </w:tr>
      <w:tr w:rsidR="008E7C5B" w14:paraId="462C75B4"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946CD6D" w14:textId="30128862" w:rsidR="008E7C5B" w:rsidRPr="00A22470" w:rsidRDefault="00A81E0A" w:rsidP="00A22470">
            <w:pPr>
              <w:jc w:val="center"/>
              <w:rPr>
                <w:b/>
                <w:bCs/>
                <w:color w:val="1D336D" w:themeColor="background2"/>
              </w:rPr>
            </w:pPr>
            <w:r w:rsidRPr="00A22470">
              <w:rPr>
                <w:b/>
                <w:bCs/>
                <w:color w:val="1D336D" w:themeColor="background2"/>
              </w:rPr>
              <w:t>6</w:t>
            </w:r>
          </w:p>
        </w:tc>
        <w:tc>
          <w:tcPr>
            <w:tcW w:w="8924" w:type="dxa"/>
            <w:shd w:val="clear" w:color="auto" w:fill="auto"/>
          </w:tcPr>
          <w:p w14:paraId="7C438AB0" w14:textId="1BDADCFC" w:rsidR="008E7C5B" w:rsidRPr="00A22470" w:rsidRDefault="0053529A"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A22470">
              <w:rPr>
                <w:b/>
                <w:bCs/>
                <w:i/>
                <w:iCs/>
                <w:color w:val="1D336D" w:themeColor="background2"/>
              </w:rPr>
              <w:t xml:space="preserve">External coherence poses challenges for </w:t>
            </w:r>
            <w:proofErr w:type="spellStart"/>
            <w:r w:rsidRPr="00A22470">
              <w:rPr>
                <w:b/>
                <w:bCs/>
                <w:i/>
                <w:iCs/>
                <w:color w:val="1D336D" w:themeColor="background2"/>
              </w:rPr>
              <w:t>NbS</w:t>
            </w:r>
            <w:proofErr w:type="spellEnd"/>
            <w:r w:rsidRPr="00A22470">
              <w:rPr>
                <w:b/>
                <w:bCs/>
                <w:i/>
                <w:iCs/>
                <w:color w:val="1D336D" w:themeColor="background2"/>
              </w:rPr>
              <w:t xml:space="preserve"> projects, particularly in addressing escalating climate change impacts and navigating regulatory frameworks and government capacities</w:t>
            </w:r>
            <w:r w:rsidRPr="00A22470">
              <w:rPr>
                <w:i/>
                <w:iCs/>
                <w:color w:val="1D336D" w:themeColor="background2"/>
              </w:rPr>
              <w:t>. Integrated approaches that combine community-level activities with broader policy and research components show promising results, but there is a need to address some challenges related to external coherence at a strategic level.</w:t>
            </w:r>
          </w:p>
        </w:tc>
      </w:tr>
    </w:tbl>
    <w:p w14:paraId="3A172A44" w14:textId="74A5C650" w:rsidR="00C35F89" w:rsidRDefault="001442E2" w:rsidP="001442E2">
      <w:pPr>
        <w:pStyle w:val="Heading2"/>
      </w:pPr>
      <w:bookmarkStart w:id="10" w:name="_Toc164783027"/>
      <w:r>
        <w:rPr>
          <w:caps w:val="0"/>
          <w:color w:val="152651" w:themeColor="background2" w:themeShade="BF"/>
          <w:sz w:val="24"/>
          <w:szCs w:val="24"/>
        </w:rPr>
        <w:t>Effectiveness</w:t>
      </w:r>
      <w:bookmarkEnd w:id="10"/>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1442E2" w14:paraId="62CF85A3" w14:textId="77777777" w:rsidTr="001442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4" w:type="dxa"/>
            <w:shd w:val="clear" w:color="auto" w:fill="1D336D" w:themeFill="background2"/>
          </w:tcPr>
          <w:p w14:paraId="1F31D9D9" w14:textId="10E890AE" w:rsidR="001442E2" w:rsidRPr="001442E2" w:rsidRDefault="001442E2" w:rsidP="001442E2">
            <w:pPr>
              <w:jc w:val="center"/>
              <w:rPr>
                <w:b/>
                <w:bCs/>
                <w:color w:val="FFFFFF" w:themeColor="background1"/>
              </w:rPr>
            </w:pPr>
            <w:r w:rsidRPr="001442E2">
              <w:rPr>
                <w:b/>
                <w:bCs/>
                <w:color w:val="FFFFFF" w:themeColor="background1"/>
              </w:rPr>
              <w:t>#</w:t>
            </w:r>
          </w:p>
        </w:tc>
        <w:tc>
          <w:tcPr>
            <w:tcW w:w="8924" w:type="dxa"/>
            <w:shd w:val="clear" w:color="auto" w:fill="1D336D" w:themeFill="background2"/>
          </w:tcPr>
          <w:p w14:paraId="567F0AD6" w14:textId="450320F4" w:rsidR="001442E2" w:rsidRPr="001442E2" w:rsidRDefault="001442E2" w:rsidP="001442E2">
            <w:pPr>
              <w:cnfStyle w:val="100000000000" w:firstRow="1" w:lastRow="0" w:firstColumn="0" w:lastColumn="0" w:oddVBand="0" w:evenVBand="0" w:oddHBand="0" w:evenHBand="0" w:firstRowFirstColumn="0" w:firstRowLastColumn="0" w:lastRowFirstColumn="0" w:lastRowLastColumn="0"/>
              <w:rPr>
                <w:b/>
                <w:bCs/>
                <w:i/>
                <w:iCs/>
                <w:color w:val="FFFFFF" w:themeColor="background1"/>
              </w:rPr>
            </w:pPr>
            <w:r w:rsidRPr="001442E2">
              <w:rPr>
                <w:b/>
                <w:bCs/>
                <w:color w:val="FFFFFF" w:themeColor="background1"/>
              </w:rPr>
              <w:t>Finding</w:t>
            </w:r>
          </w:p>
        </w:tc>
      </w:tr>
      <w:tr w:rsidR="001442E2" w14:paraId="387DB465"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F646C14" w14:textId="0EE4BF78" w:rsidR="001442E2" w:rsidRPr="00A22470" w:rsidRDefault="001442E2" w:rsidP="001442E2">
            <w:pPr>
              <w:jc w:val="center"/>
              <w:rPr>
                <w:b/>
                <w:bCs/>
                <w:color w:val="1D336D" w:themeColor="background2"/>
              </w:rPr>
            </w:pPr>
            <w:r w:rsidRPr="00A22470">
              <w:rPr>
                <w:b/>
                <w:bCs/>
                <w:color w:val="1D336D" w:themeColor="background2"/>
              </w:rPr>
              <w:t>7</w:t>
            </w:r>
          </w:p>
        </w:tc>
        <w:tc>
          <w:tcPr>
            <w:tcW w:w="8924" w:type="dxa"/>
            <w:shd w:val="clear" w:color="auto" w:fill="auto"/>
          </w:tcPr>
          <w:p w14:paraId="3A931AF3" w14:textId="49965853" w:rsidR="001442E2" w:rsidRPr="003D4940" w:rsidRDefault="001442E2" w:rsidP="001442E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D4940">
              <w:rPr>
                <w:b/>
                <w:bCs/>
                <w:i/>
                <w:iCs/>
                <w:color w:val="1D336D" w:themeColor="background2"/>
              </w:rPr>
              <w:t xml:space="preserve">The absence of clear and overarching guidance and standardised measurements for all </w:t>
            </w:r>
            <w:proofErr w:type="spellStart"/>
            <w:r w:rsidRPr="003D4940">
              <w:rPr>
                <w:b/>
                <w:bCs/>
                <w:i/>
                <w:iCs/>
                <w:color w:val="1D336D" w:themeColor="background2"/>
              </w:rPr>
              <w:t>NbS</w:t>
            </w:r>
            <w:proofErr w:type="spellEnd"/>
            <w:r w:rsidRPr="003D4940">
              <w:rPr>
                <w:b/>
                <w:bCs/>
                <w:i/>
                <w:iCs/>
                <w:color w:val="1D336D" w:themeColor="background2"/>
              </w:rPr>
              <w:t xml:space="preserve"> investments makes it challenging to determine the effectiveness of </w:t>
            </w:r>
            <w:proofErr w:type="spellStart"/>
            <w:r w:rsidRPr="003D4940">
              <w:rPr>
                <w:b/>
                <w:bCs/>
                <w:i/>
                <w:iCs/>
                <w:color w:val="1D336D" w:themeColor="background2"/>
              </w:rPr>
              <w:t>NbS</w:t>
            </w:r>
            <w:proofErr w:type="spellEnd"/>
            <w:r w:rsidRPr="003D4940">
              <w:rPr>
                <w:b/>
                <w:bCs/>
                <w:i/>
                <w:iCs/>
                <w:color w:val="1D336D" w:themeColor="background2"/>
              </w:rPr>
              <w:t xml:space="preserve"> projects</w:t>
            </w:r>
            <w:r w:rsidRPr="003D4940">
              <w:rPr>
                <w:i/>
                <w:iCs/>
                <w:color w:val="1D336D" w:themeColor="background2"/>
              </w:rPr>
              <w:t xml:space="preserve">. For the purpose of this evaluation, nine evaluation criteria were used to identify lessons for a potential future portfolio of </w:t>
            </w:r>
            <w:proofErr w:type="spellStart"/>
            <w:r w:rsidRPr="003D4940">
              <w:rPr>
                <w:i/>
                <w:iCs/>
                <w:color w:val="1D336D" w:themeColor="background2"/>
              </w:rPr>
              <w:t>NbS</w:t>
            </w:r>
            <w:proofErr w:type="spellEnd"/>
            <w:r w:rsidRPr="003D4940">
              <w:rPr>
                <w:i/>
                <w:iCs/>
                <w:color w:val="1D336D" w:themeColor="background2"/>
              </w:rPr>
              <w:t xml:space="preserve"> investments, including the design of effective measurement methods.</w:t>
            </w:r>
          </w:p>
        </w:tc>
      </w:tr>
      <w:tr w:rsidR="001442E2" w14:paraId="5DC80585"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497E518B" w14:textId="004F9556" w:rsidR="001442E2" w:rsidRPr="00A22470" w:rsidRDefault="001442E2" w:rsidP="001442E2">
            <w:pPr>
              <w:jc w:val="center"/>
              <w:rPr>
                <w:b/>
                <w:bCs/>
                <w:color w:val="1D336D" w:themeColor="background2"/>
              </w:rPr>
            </w:pPr>
            <w:r w:rsidRPr="00A22470">
              <w:rPr>
                <w:b/>
                <w:bCs/>
                <w:color w:val="1D336D" w:themeColor="background2"/>
              </w:rPr>
              <w:t>8</w:t>
            </w:r>
          </w:p>
        </w:tc>
        <w:tc>
          <w:tcPr>
            <w:tcW w:w="8924" w:type="dxa"/>
            <w:shd w:val="clear" w:color="auto" w:fill="auto"/>
          </w:tcPr>
          <w:p w14:paraId="0E0B2CF2" w14:textId="0E3A9632" w:rsidR="001442E2" w:rsidRPr="003D4940" w:rsidRDefault="001442E2" w:rsidP="001442E2">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3D4940">
              <w:rPr>
                <w:b/>
                <w:bCs/>
                <w:i/>
                <w:iCs/>
                <w:color w:val="1D336D" w:themeColor="background2"/>
              </w:rPr>
              <w:t xml:space="preserve">The evaluation team propose nine criteria for </w:t>
            </w:r>
            <w:proofErr w:type="spellStart"/>
            <w:r w:rsidRPr="003D4940">
              <w:rPr>
                <w:b/>
                <w:bCs/>
                <w:i/>
                <w:iCs/>
                <w:color w:val="1D336D" w:themeColor="background2"/>
              </w:rPr>
              <w:t>NbS</w:t>
            </w:r>
            <w:proofErr w:type="spellEnd"/>
            <w:r w:rsidRPr="003D4940">
              <w:rPr>
                <w:b/>
                <w:bCs/>
                <w:i/>
                <w:iCs/>
                <w:color w:val="1D336D" w:themeColor="background2"/>
              </w:rPr>
              <w:t xml:space="preserve"> projects moving forward</w:t>
            </w:r>
            <w:r>
              <w:rPr>
                <w:i/>
                <w:iCs/>
                <w:color w:val="1D336D" w:themeColor="background2"/>
              </w:rPr>
              <w:t>. These include</w:t>
            </w:r>
            <w:r w:rsidRPr="003D4940">
              <w:rPr>
                <w:i/>
                <w:iCs/>
                <w:color w:val="1D336D" w:themeColor="background2"/>
              </w:rPr>
              <w:t xml:space="preserve"> </w:t>
            </w:r>
            <w:r w:rsidRPr="00926FCD">
              <w:rPr>
                <w:i/>
                <w:iCs/>
                <w:color w:val="1D336D" w:themeColor="background2"/>
              </w:rPr>
              <w:t xml:space="preserve">the three pillars of </w:t>
            </w:r>
            <w:proofErr w:type="spellStart"/>
            <w:r w:rsidRPr="00926FCD">
              <w:rPr>
                <w:i/>
                <w:iCs/>
                <w:color w:val="1D336D" w:themeColor="background2"/>
              </w:rPr>
              <w:t>NbS</w:t>
            </w:r>
            <w:proofErr w:type="spellEnd"/>
            <w:r w:rsidRPr="00926FCD">
              <w:rPr>
                <w:i/>
                <w:iCs/>
                <w:color w:val="1D336D" w:themeColor="background2"/>
              </w:rPr>
              <w:t xml:space="preserve"> (biodiversity, livelihoods and climate);</w:t>
            </w:r>
            <w:r w:rsidRPr="73E6867D">
              <w:rPr>
                <w:i/>
                <w:iCs/>
                <w:color w:val="1D336D" w:themeColor="background2"/>
              </w:rPr>
              <w:t xml:space="preserve"> </w:t>
            </w:r>
            <w:r w:rsidRPr="00926FCD">
              <w:rPr>
                <w:i/>
                <w:iCs/>
                <w:color w:val="1D336D" w:themeColor="background2"/>
              </w:rPr>
              <w:t>being a</w:t>
            </w:r>
            <w:r w:rsidRPr="003D4940">
              <w:rPr>
                <w:i/>
                <w:iCs/>
                <w:color w:val="1D336D" w:themeColor="background2"/>
              </w:rPr>
              <w:t xml:space="preserve"> solution to community needs; operating at a sustainable scale; having fair governance structures; conducting regular safeguard reviews; GEDSI; and the inclusion and respect of </w:t>
            </w:r>
            <w:r>
              <w:rPr>
                <w:i/>
                <w:iCs/>
                <w:color w:val="1D336D" w:themeColor="background2"/>
              </w:rPr>
              <w:t>Indigenous</w:t>
            </w:r>
            <w:r w:rsidRPr="003D4940">
              <w:rPr>
                <w:i/>
                <w:iCs/>
                <w:color w:val="1D336D" w:themeColor="background2"/>
              </w:rPr>
              <w:t xml:space="preserve"> knowledge and ways of being.</w:t>
            </w:r>
          </w:p>
        </w:tc>
      </w:tr>
      <w:tr w:rsidR="001442E2" w14:paraId="4ACAED9F"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D88B5B4" w14:textId="76134B13" w:rsidR="001442E2" w:rsidRPr="00A22470" w:rsidRDefault="001442E2" w:rsidP="001442E2">
            <w:pPr>
              <w:jc w:val="center"/>
              <w:rPr>
                <w:b/>
                <w:bCs/>
                <w:color w:val="1D336D" w:themeColor="background2"/>
              </w:rPr>
            </w:pPr>
            <w:r w:rsidRPr="00A22470">
              <w:rPr>
                <w:b/>
                <w:bCs/>
                <w:color w:val="1D336D" w:themeColor="background2"/>
              </w:rPr>
              <w:lastRenderedPageBreak/>
              <w:t>9</w:t>
            </w:r>
          </w:p>
        </w:tc>
        <w:tc>
          <w:tcPr>
            <w:tcW w:w="8924" w:type="dxa"/>
            <w:shd w:val="clear" w:color="auto" w:fill="auto"/>
          </w:tcPr>
          <w:p w14:paraId="60AF93EE" w14:textId="193FEF4C" w:rsidR="001442E2" w:rsidRPr="003D4940" w:rsidRDefault="001442E2" w:rsidP="001442E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D4940">
              <w:rPr>
                <w:b/>
                <w:bCs/>
                <w:i/>
                <w:iCs/>
                <w:color w:val="1D336D" w:themeColor="background2"/>
              </w:rPr>
              <w:t>The evaluation found notable disparities in approach, size, and quality among the investments and their respective projects</w:t>
            </w:r>
            <w:r w:rsidRPr="003D4940">
              <w:rPr>
                <w:i/>
                <w:iCs/>
                <w:color w:val="1D336D" w:themeColor="background2"/>
              </w:rPr>
              <w:t xml:space="preserve">. However, the successful projects have demonstrated that </w:t>
            </w:r>
            <w:proofErr w:type="spellStart"/>
            <w:r w:rsidRPr="003D4940">
              <w:rPr>
                <w:i/>
                <w:iCs/>
                <w:color w:val="1D336D" w:themeColor="background2"/>
              </w:rPr>
              <w:t>NbS</w:t>
            </w:r>
            <w:proofErr w:type="spellEnd"/>
            <w:r w:rsidRPr="003D4940">
              <w:rPr>
                <w:i/>
                <w:iCs/>
                <w:color w:val="1D336D" w:themeColor="background2"/>
              </w:rPr>
              <w:t xml:space="preserve"> can simultaneously deliver results on quality of life, climate, and ecosystem targets, and explore innovative governance structures for long-term sustainability. There is ample room to increase ambition for </w:t>
            </w:r>
            <w:proofErr w:type="spellStart"/>
            <w:r w:rsidRPr="003D4940">
              <w:rPr>
                <w:i/>
                <w:iCs/>
                <w:color w:val="1D336D" w:themeColor="background2"/>
              </w:rPr>
              <w:t>NbS</w:t>
            </w:r>
            <w:proofErr w:type="spellEnd"/>
            <w:r w:rsidRPr="003D4940">
              <w:rPr>
                <w:i/>
                <w:iCs/>
                <w:color w:val="1D336D" w:themeColor="background2"/>
              </w:rPr>
              <w:t xml:space="preserve"> investments.</w:t>
            </w:r>
          </w:p>
        </w:tc>
      </w:tr>
    </w:tbl>
    <w:p w14:paraId="7926BF6C" w14:textId="25792E6E" w:rsidR="00C35F89" w:rsidRDefault="001442E2" w:rsidP="001442E2">
      <w:pPr>
        <w:pStyle w:val="Heading2"/>
      </w:pPr>
      <w:bookmarkStart w:id="11" w:name="_Toc164783028"/>
      <w:r>
        <w:rPr>
          <w:caps w:val="0"/>
          <w:color w:val="152651" w:themeColor="background2" w:themeShade="BF"/>
          <w:sz w:val="24"/>
          <w:szCs w:val="24"/>
        </w:rPr>
        <w:t>Efficiency</w:t>
      </w:r>
      <w:bookmarkEnd w:id="11"/>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1442E2" w:rsidRPr="001442E2" w14:paraId="513AEDBA" w14:textId="77777777" w:rsidTr="001442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shd w:val="clear" w:color="auto" w:fill="1D336D" w:themeFill="background2"/>
          </w:tcPr>
          <w:p w14:paraId="7EC24370" w14:textId="77777777" w:rsidR="001442E2" w:rsidRPr="001442E2" w:rsidRDefault="001442E2" w:rsidP="00C24621">
            <w:pPr>
              <w:jc w:val="center"/>
              <w:rPr>
                <w:b/>
                <w:bCs/>
                <w:color w:val="FFFFFF" w:themeColor="background1"/>
              </w:rPr>
            </w:pPr>
            <w:r w:rsidRPr="001442E2">
              <w:rPr>
                <w:b/>
                <w:bCs/>
                <w:color w:val="FFFFFF" w:themeColor="background1"/>
              </w:rPr>
              <w:t>#</w:t>
            </w:r>
          </w:p>
        </w:tc>
        <w:tc>
          <w:tcPr>
            <w:tcW w:w="8924" w:type="dxa"/>
            <w:shd w:val="clear" w:color="auto" w:fill="1D336D" w:themeFill="background2"/>
          </w:tcPr>
          <w:p w14:paraId="7DA22A3A" w14:textId="77777777" w:rsidR="001442E2" w:rsidRPr="001442E2" w:rsidRDefault="001442E2" w:rsidP="00C24621">
            <w:pPr>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1442E2">
              <w:rPr>
                <w:b/>
                <w:bCs/>
                <w:color w:val="FFFFFF" w:themeColor="background1"/>
              </w:rPr>
              <w:t>Finding</w:t>
            </w:r>
          </w:p>
        </w:tc>
      </w:tr>
      <w:tr w:rsidR="00E903A9" w14:paraId="5B56D78D"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A4477FF" w14:textId="2CCFD6DC" w:rsidR="00E903A9" w:rsidRPr="00C5551F" w:rsidRDefault="00C5551F" w:rsidP="00C5551F">
            <w:pPr>
              <w:jc w:val="center"/>
              <w:rPr>
                <w:b/>
                <w:bCs/>
                <w:color w:val="1D336D" w:themeColor="background2"/>
              </w:rPr>
            </w:pPr>
            <w:r w:rsidRPr="00C5551F">
              <w:rPr>
                <w:b/>
                <w:bCs/>
                <w:color w:val="1D336D" w:themeColor="background2"/>
              </w:rPr>
              <w:t>10</w:t>
            </w:r>
          </w:p>
        </w:tc>
        <w:tc>
          <w:tcPr>
            <w:tcW w:w="8924" w:type="dxa"/>
            <w:shd w:val="clear" w:color="auto" w:fill="auto"/>
          </w:tcPr>
          <w:p w14:paraId="5FBC7163" w14:textId="44B2708B" w:rsidR="00E903A9" w:rsidRPr="003D4940" w:rsidRDefault="003D4940"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D4940">
              <w:rPr>
                <w:b/>
                <w:bCs/>
                <w:i/>
                <w:iCs/>
                <w:color w:val="1D336D" w:themeColor="background2"/>
              </w:rPr>
              <w:t xml:space="preserve">Research indicates that </w:t>
            </w:r>
            <w:proofErr w:type="spellStart"/>
            <w:r w:rsidRPr="003D4940">
              <w:rPr>
                <w:b/>
                <w:bCs/>
                <w:i/>
                <w:iCs/>
                <w:color w:val="1D336D" w:themeColor="background2"/>
              </w:rPr>
              <w:t>NbS</w:t>
            </w:r>
            <w:proofErr w:type="spellEnd"/>
            <w:r w:rsidRPr="003D4940">
              <w:rPr>
                <w:b/>
                <w:bCs/>
                <w:i/>
                <w:iCs/>
                <w:color w:val="1D336D" w:themeColor="background2"/>
              </w:rPr>
              <w:t xml:space="preserve"> are generally more efficient and cost-effective than (grey) non-nature-based alternatives</w:t>
            </w:r>
            <w:r w:rsidRPr="003D4940">
              <w:rPr>
                <w:i/>
                <w:iCs/>
                <w:color w:val="1D336D" w:themeColor="background2"/>
              </w:rPr>
              <w:t>.</w:t>
            </w:r>
            <w:r w:rsidR="00A62BF5">
              <w:rPr>
                <w:rStyle w:val="FootnoteReference"/>
                <w:i/>
                <w:iCs/>
                <w:color w:val="1D336D" w:themeColor="background2"/>
              </w:rPr>
              <w:footnoteReference w:id="6"/>
            </w:r>
            <w:r w:rsidRPr="003D4940">
              <w:rPr>
                <w:i/>
                <w:iCs/>
                <w:color w:val="1D336D" w:themeColor="background2"/>
              </w:rPr>
              <w:t xml:space="preserve"> Compared to top-down green climate adaptation programs</w:t>
            </w:r>
            <w:r w:rsidR="00D83FC9">
              <w:rPr>
                <w:i/>
                <w:iCs/>
                <w:color w:val="1D336D" w:themeColor="background2"/>
              </w:rPr>
              <w:t>,</w:t>
            </w:r>
            <w:r w:rsidR="00D83FC9">
              <w:rPr>
                <w:rStyle w:val="FootnoteReference"/>
                <w:i/>
                <w:iCs/>
                <w:color w:val="1D336D" w:themeColor="background2"/>
              </w:rPr>
              <w:footnoteReference w:id="7"/>
            </w:r>
            <w:r w:rsidRPr="003D4940">
              <w:rPr>
                <w:i/>
                <w:iCs/>
                <w:color w:val="1D336D" w:themeColor="background2"/>
              </w:rPr>
              <w:t xml:space="preserve"> </w:t>
            </w:r>
            <w:r w:rsidR="00323444">
              <w:rPr>
                <w:i/>
                <w:iCs/>
                <w:color w:val="1D336D" w:themeColor="background2"/>
              </w:rPr>
              <w:t>The</w:t>
            </w:r>
            <w:r w:rsidR="00323444" w:rsidRPr="003D4940">
              <w:rPr>
                <w:i/>
                <w:iCs/>
                <w:color w:val="1D336D" w:themeColor="background2"/>
              </w:rPr>
              <w:t xml:space="preserve"> </w:t>
            </w:r>
            <w:r w:rsidRPr="003D4940">
              <w:rPr>
                <w:i/>
                <w:iCs/>
                <w:color w:val="1D336D" w:themeColor="background2"/>
              </w:rPr>
              <w:t xml:space="preserve">active community engagement and long-term sustainability potential </w:t>
            </w:r>
            <w:r w:rsidR="00323444">
              <w:rPr>
                <w:i/>
                <w:iCs/>
                <w:color w:val="1D336D" w:themeColor="background2"/>
              </w:rPr>
              <w:t xml:space="preserve">of </w:t>
            </w:r>
            <w:proofErr w:type="spellStart"/>
            <w:r w:rsidR="00323444">
              <w:rPr>
                <w:i/>
                <w:iCs/>
                <w:color w:val="1D336D" w:themeColor="background2"/>
              </w:rPr>
              <w:t>NbS</w:t>
            </w:r>
            <w:proofErr w:type="spellEnd"/>
            <w:r w:rsidR="00323444">
              <w:rPr>
                <w:i/>
                <w:iCs/>
                <w:color w:val="1D336D" w:themeColor="background2"/>
              </w:rPr>
              <w:t xml:space="preserve"> </w:t>
            </w:r>
            <w:r w:rsidRPr="003D4940">
              <w:rPr>
                <w:i/>
                <w:iCs/>
                <w:color w:val="1D336D" w:themeColor="background2"/>
              </w:rPr>
              <w:t>make them more likely to achieve lasting impact.</w:t>
            </w:r>
          </w:p>
        </w:tc>
      </w:tr>
      <w:tr w:rsidR="00E903A9" w14:paraId="4195B403"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2D982E57" w14:textId="64BB88EB" w:rsidR="00E903A9" w:rsidRPr="00C5551F" w:rsidRDefault="00C5551F" w:rsidP="00C5551F">
            <w:pPr>
              <w:jc w:val="center"/>
              <w:rPr>
                <w:b/>
                <w:bCs/>
                <w:color w:val="1D336D" w:themeColor="background2"/>
              </w:rPr>
            </w:pPr>
            <w:r w:rsidRPr="00C5551F">
              <w:rPr>
                <w:b/>
                <w:bCs/>
                <w:color w:val="1D336D" w:themeColor="background2"/>
              </w:rPr>
              <w:t>11</w:t>
            </w:r>
          </w:p>
        </w:tc>
        <w:tc>
          <w:tcPr>
            <w:tcW w:w="8924" w:type="dxa"/>
            <w:shd w:val="clear" w:color="auto" w:fill="auto"/>
          </w:tcPr>
          <w:p w14:paraId="42368B95" w14:textId="47B71AF3" w:rsidR="00E903A9" w:rsidRPr="003D4940" w:rsidRDefault="003D4940"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proofErr w:type="spellStart"/>
            <w:r w:rsidRPr="003D4940">
              <w:rPr>
                <w:b/>
                <w:bCs/>
                <w:i/>
                <w:iCs/>
                <w:color w:val="1D336D" w:themeColor="background2"/>
              </w:rPr>
              <w:t>NbS</w:t>
            </w:r>
            <w:proofErr w:type="spellEnd"/>
            <w:r w:rsidRPr="003D4940">
              <w:rPr>
                <w:b/>
                <w:bCs/>
                <w:i/>
                <w:iCs/>
                <w:color w:val="1D336D" w:themeColor="background2"/>
              </w:rPr>
              <w:t xml:space="preserve"> investments demonstrate overall efficiency, but increased resource allocation will enhance efficiency and impact</w:t>
            </w:r>
            <w:r w:rsidRPr="003D4940">
              <w:rPr>
                <w:i/>
                <w:iCs/>
                <w:color w:val="1D336D" w:themeColor="background2"/>
              </w:rPr>
              <w:t>. Adjustments such as increasing project site visits or exploring alternative funding approaches could enhance outcomes. For example, compensating community members for their restoration work could accelerate the pace of restoration, considering the urgency of climate change impacts.</w:t>
            </w:r>
          </w:p>
        </w:tc>
      </w:tr>
      <w:tr w:rsidR="00C5551F" w14:paraId="46F8E171"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0B057EA" w14:textId="4B829765" w:rsidR="00C5551F" w:rsidRPr="00C5551F" w:rsidRDefault="00C5551F" w:rsidP="00C5551F">
            <w:pPr>
              <w:jc w:val="center"/>
              <w:rPr>
                <w:b/>
                <w:bCs/>
                <w:color w:val="1D336D" w:themeColor="background2"/>
              </w:rPr>
            </w:pPr>
            <w:r w:rsidRPr="00C5551F">
              <w:rPr>
                <w:b/>
                <w:bCs/>
                <w:color w:val="1D336D" w:themeColor="background2"/>
              </w:rPr>
              <w:t>12</w:t>
            </w:r>
          </w:p>
        </w:tc>
        <w:tc>
          <w:tcPr>
            <w:tcW w:w="8924" w:type="dxa"/>
            <w:shd w:val="clear" w:color="auto" w:fill="auto"/>
          </w:tcPr>
          <w:p w14:paraId="58296447" w14:textId="14BF8A28" w:rsidR="00C5551F" w:rsidRPr="003D4940" w:rsidRDefault="003D4940"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D4940">
              <w:rPr>
                <w:b/>
                <w:bCs/>
                <w:i/>
                <w:iCs/>
                <w:color w:val="1D336D" w:themeColor="background2"/>
              </w:rPr>
              <w:t>Most investments and projects are experiencing delays in their implementation</w:t>
            </w:r>
            <w:r w:rsidRPr="003D4940">
              <w:rPr>
                <w:i/>
                <w:iCs/>
                <w:color w:val="1D336D" w:themeColor="background2"/>
              </w:rPr>
              <w:t xml:space="preserve">. Ambitious timelines, driven by funding cycles, often underestimate the time required for thorough research, testing, and piloting. Project implementors have indicated that approximately three years are needed to initiate a new </w:t>
            </w:r>
            <w:proofErr w:type="spellStart"/>
            <w:r w:rsidRPr="003D4940">
              <w:rPr>
                <w:i/>
                <w:iCs/>
                <w:color w:val="1D336D" w:themeColor="background2"/>
              </w:rPr>
              <w:t>NbS</w:t>
            </w:r>
            <w:proofErr w:type="spellEnd"/>
            <w:r w:rsidRPr="003D4940">
              <w:rPr>
                <w:i/>
                <w:iCs/>
                <w:color w:val="1D336D" w:themeColor="background2"/>
              </w:rPr>
              <w:t xml:space="preserve"> project (once its effectiveness has been demonstrated). Despite time constraints, the projects reviewed have made notable progress within their available timeframe.</w:t>
            </w:r>
          </w:p>
        </w:tc>
      </w:tr>
    </w:tbl>
    <w:p w14:paraId="7635D777" w14:textId="4FEB586A" w:rsidR="00C35F89" w:rsidRPr="001442E2" w:rsidRDefault="001442E2" w:rsidP="001442E2">
      <w:pPr>
        <w:pStyle w:val="Heading2"/>
        <w:rPr>
          <w:color w:val="152651" w:themeColor="background2" w:themeShade="BF"/>
          <w:sz w:val="24"/>
          <w:szCs w:val="24"/>
        </w:rPr>
      </w:pPr>
      <w:bookmarkStart w:id="12" w:name="_Toc164783029"/>
      <w:r>
        <w:rPr>
          <w:caps w:val="0"/>
          <w:color w:val="152651" w:themeColor="background2" w:themeShade="BF"/>
          <w:sz w:val="24"/>
          <w:szCs w:val="24"/>
        </w:rPr>
        <w:t>Impact</w:t>
      </w:r>
      <w:bookmarkEnd w:id="12"/>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1442E2" w:rsidRPr="001442E2" w14:paraId="57FB0247" w14:textId="77777777" w:rsidTr="001442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4" w:type="dxa"/>
            <w:shd w:val="clear" w:color="auto" w:fill="1D336D" w:themeFill="background2"/>
          </w:tcPr>
          <w:p w14:paraId="60248F68" w14:textId="77777777" w:rsidR="001442E2" w:rsidRPr="001442E2" w:rsidRDefault="001442E2" w:rsidP="00C24621">
            <w:pPr>
              <w:jc w:val="center"/>
              <w:rPr>
                <w:b/>
                <w:bCs/>
                <w:color w:val="FFFFFF" w:themeColor="background1"/>
              </w:rPr>
            </w:pPr>
            <w:r w:rsidRPr="001442E2">
              <w:rPr>
                <w:b/>
                <w:bCs/>
                <w:color w:val="FFFFFF" w:themeColor="background1"/>
              </w:rPr>
              <w:t>#</w:t>
            </w:r>
          </w:p>
        </w:tc>
        <w:tc>
          <w:tcPr>
            <w:tcW w:w="8924" w:type="dxa"/>
            <w:shd w:val="clear" w:color="auto" w:fill="1D336D" w:themeFill="background2"/>
          </w:tcPr>
          <w:p w14:paraId="759E60F8" w14:textId="77777777" w:rsidR="001442E2" w:rsidRPr="001442E2" w:rsidRDefault="001442E2" w:rsidP="00C24621">
            <w:pPr>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1442E2">
              <w:rPr>
                <w:b/>
                <w:bCs/>
                <w:color w:val="FFFFFF" w:themeColor="background1"/>
              </w:rPr>
              <w:t>Finding</w:t>
            </w:r>
          </w:p>
        </w:tc>
      </w:tr>
      <w:tr w:rsidR="00C5551F" w14:paraId="37B781A8"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9A124D0" w14:textId="227B386D" w:rsidR="00C5551F" w:rsidRPr="00B75AD5" w:rsidRDefault="00B75AD5" w:rsidP="00B75AD5">
            <w:pPr>
              <w:jc w:val="center"/>
              <w:rPr>
                <w:b/>
                <w:bCs/>
                <w:color w:val="1D336D" w:themeColor="background2"/>
              </w:rPr>
            </w:pPr>
            <w:r w:rsidRPr="00B75AD5">
              <w:rPr>
                <w:b/>
                <w:bCs/>
                <w:color w:val="1D336D" w:themeColor="background2"/>
              </w:rPr>
              <w:t>13</w:t>
            </w:r>
          </w:p>
        </w:tc>
        <w:tc>
          <w:tcPr>
            <w:tcW w:w="8924" w:type="dxa"/>
            <w:shd w:val="clear" w:color="auto" w:fill="auto"/>
          </w:tcPr>
          <w:p w14:paraId="160E253E" w14:textId="6357DB4B" w:rsidR="00C5551F" w:rsidRPr="003D4940" w:rsidRDefault="003D6A5A"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8C4F53">
              <w:rPr>
                <w:b/>
                <w:bCs/>
                <w:i/>
                <w:iCs/>
                <w:color w:val="1D336D" w:themeColor="background2"/>
              </w:rPr>
              <w:t>Most projects reviewed are currently in the pilot phase, focused on testing their approaches and gathering data to confirm their proof of concept</w:t>
            </w:r>
            <w:r w:rsidRPr="00AC211D">
              <w:rPr>
                <w:i/>
                <w:iCs/>
                <w:color w:val="1D336D" w:themeColor="background2"/>
              </w:rPr>
              <w:t>. Successful projects have well-defined testing and research agendas, combined with systematic measurement and recording of data to inform future scaling.</w:t>
            </w:r>
          </w:p>
        </w:tc>
      </w:tr>
      <w:tr w:rsidR="00C5551F" w14:paraId="6DB46916"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15F5E479" w14:textId="41E60DD1" w:rsidR="00C5551F" w:rsidRPr="00B75AD5" w:rsidRDefault="00B75AD5" w:rsidP="00B75AD5">
            <w:pPr>
              <w:jc w:val="center"/>
              <w:rPr>
                <w:b/>
                <w:bCs/>
                <w:color w:val="1D336D" w:themeColor="background2"/>
              </w:rPr>
            </w:pPr>
            <w:r w:rsidRPr="00B75AD5">
              <w:rPr>
                <w:b/>
                <w:bCs/>
                <w:color w:val="1D336D" w:themeColor="background2"/>
              </w:rPr>
              <w:t>14</w:t>
            </w:r>
          </w:p>
        </w:tc>
        <w:tc>
          <w:tcPr>
            <w:tcW w:w="8924" w:type="dxa"/>
            <w:shd w:val="clear" w:color="auto" w:fill="auto"/>
          </w:tcPr>
          <w:p w14:paraId="154AB2A7" w14:textId="6F149FA1" w:rsidR="00C5551F" w:rsidRPr="003D4940" w:rsidRDefault="00CC095D"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5C33B1">
              <w:rPr>
                <w:b/>
                <w:bCs/>
                <w:i/>
                <w:iCs/>
                <w:color w:val="1D336D" w:themeColor="background2"/>
              </w:rPr>
              <w:t xml:space="preserve">The impact of climate change poses a substantial risk to </w:t>
            </w:r>
            <w:proofErr w:type="spellStart"/>
            <w:r w:rsidRPr="005C33B1">
              <w:rPr>
                <w:b/>
                <w:bCs/>
                <w:i/>
                <w:iCs/>
                <w:color w:val="1D336D" w:themeColor="background2"/>
              </w:rPr>
              <w:t>NbS</w:t>
            </w:r>
            <w:proofErr w:type="spellEnd"/>
            <w:r w:rsidRPr="005C33B1">
              <w:rPr>
                <w:b/>
                <w:bCs/>
                <w:i/>
                <w:iCs/>
                <w:color w:val="1D336D" w:themeColor="background2"/>
              </w:rPr>
              <w:t xml:space="preserve"> projects</w:t>
            </w:r>
            <w:r w:rsidRPr="005C33B1">
              <w:rPr>
                <w:i/>
                <w:iCs/>
                <w:color w:val="1D336D" w:themeColor="background2"/>
              </w:rPr>
              <w:t xml:space="preserve">. While these projects contribute to community adaptation efforts against climate change, it is important to recognise that not all </w:t>
            </w:r>
            <w:proofErr w:type="spellStart"/>
            <w:r w:rsidRPr="005C33B1">
              <w:rPr>
                <w:i/>
                <w:iCs/>
                <w:color w:val="1D336D" w:themeColor="background2"/>
              </w:rPr>
              <w:t>NbS</w:t>
            </w:r>
            <w:proofErr w:type="spellEnd"/>
            <w:r w:rsidRPr="005C33B1">
              <w:rPr>
                <w:i/>
                <w:iCs/>
                <w:color w:val="1D336D" w:themeColor="background2"/>
              </w:rPr>
              <w:t xml:space="preserve"> projects can completely mitigate the local effects of climate change. Nonetheless, even projects that cannot fully reverse these impacts still offer valuable benefits. Over the medium term, </w:t>
            </w:r>
            <w:proofErr w:type="spellStart"/>
            <w:r w:rsidRPr="005C33B1">
              <w:rPr>
                <w:i/>
                <w:iCs/>
                <w:color w:val="1D336D" w:themeColor="background2"/>
              </w:rPr>
              <w:lastRenderedPageBreak/>
              <w:t>NbS</w:t>
            </w:r>
            <w:proofErr w:type="spellEnd"/>
            <w:r w:rsidRPr="005C33B1">
              <w:rPr>
                <w:i/>
                <w:iCs/>
                <w:color w:val="1D336D" w:themeColor="background2"/>
              </w:rPr>
              <w:t xml:space="preserve"> projects have the potential to provide protection and co-benefits to the communities they serve.</w:t>
            </w:r>
          </w:p>
        </w:tc>
      </w:tr>
      <w:tr w:rsidR="00C5551F" w14:paraId="6E89F5E2"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B9436F7" w14:textId="7AE43F16" w:rsidR="00C5551F" w:rsidRPr="00B75AD5" w:rsidRDefault="00B75AD5" w:rsidP="00B75AD5">
            <w:pPr>
              <w:jc w:val="center"/>
              <w:rPr>
                <w:b/>
                <w:bCs/>
                <w:color w:val="1D336D" w:themeColor="background2"/>
              </w:rPr>
            </w:pPr>
            <w:r w:rsidRPr="00B75AD5">
              <w:rPr>
                <w:b/>
                <w:bCs/>
                <w:color w:val="1D336D" w:themeColor="background2"/>
              </w:rPr>
              <w:lastRenderedPageBreak/>
              <w:t>15</w:t>
            </w:r>
          </w:p>
        </w:tc>
        <w:tc>
          <w:tcPr>
            <w:tcW w:w="8924" w:type="dxa"/>
            <w:shd w:val="clear" w:color="auto" w:fill="auto"/>
          </w:tcPr>
          <w:p w14:paraId="100D6FE2" w14:textId="0086F262" w:rsidR="00C5551F" w:rsidRPr="003D4940" w:rsidRDefault="00577D89"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AC211D">
              <w:rPr>
                <w:b/>
                <w:bCs/>
                <w:i/>
                <w:iCs/>
                <w:color w:val="1D336D" w:themeColor="background2"/>
              </w:rPr>
              <w:t xml:space="preserve">Projects that take a holistic approach and aim to influence the operating context alongside </w:t>
            </w:r>
            <w:proofErr w:type="spellStart"/>
            <w:r w:rsidRPr="00AC211D">
              <w:rPr>
                <w:b/>
                <w:bCs/>
                <w:i/>
                <w:iCs/>
                <w:color w:val="1D336D" w:themeColor="background2"/>
              </w:rPr>
              <w:t>NbS</w:t>
            </w:r>
            <w:proofErr w:type="spellEnd"/>
            <w:r w:rsidRPr="00AC211D">
              <w:rPr>
                <w:b/>
                <w:bCs/>
                <w:i/>
                <w:iCs/>
                <w:color w:val="1D336D" w:themeColor="background2"/>
              </w:rPr>
              <w:t xml:space="preserve"> implementation show promising potential for achieving greater impact</w:t>
            </w:r>
            <w:r w:rsidRPr="00AC211D">
              <w:rPr>
                <w:i/>
                <w:iCs/>
                <w:color w:val="1D336D" w:themeColor="background2"/>
              </w:rPr>
              <w:t xml:space="preserve">. Biodiversity and nature-positive outcomes are often the least developed aspects of </w:t>
            </w:r>
            <w:proofErr w:type="spellStart"/>
            <w:r w:rsidRPr="00AC211D">
              <w:rPr>
                <w:i/>
                <w:iCs/>
                <w:color w:val="1D336D" w:themeColor="background2"/>
              </w:rPr>
              <w:t>NbS</w:t>
            </w:r>
            <w:proofErr w:type="spellEnd"/>
            <w:r w:rsidRPr="00AC211D">
              <w:rPr>
                <w:i/>
                <w:iCs/>
                <w:color w:val="1D336D" w:themeColor="background2"/>
              </w:rPr>
              <w:t xml:space="preserve"> activities. Few projects have clearly stated biodiversity targets, potentially due to the absence of overarching requirements or limited expertise at the implementing organisation level. A unified guidance framework facilitates the identification of expert inputs required by investments and their projects.</w:t>
            </w:r>
          </w:p>
        </w:tc>
      </w:tr>
    </w:tbl>
    <w:p w14:paraId="6E978004" w14:textId="18153B12" w:rsidR="001442E2" w:rsidRDefault="001442E2" w:rsidP="001442E2">
      <w:pPr>
        <w:pStyle w:val="Heading2"/>
      </w:pPr>
      <w:bookmarkStart w:id="13" w:name="_Toc164783030"/>
      <w:r>
        <w:rPr>
          <w:caps w:val="0"/>
          <w:color w:val="152651" w:themeColor="background2" w:themeShade="BF"/>
          <w:sz w:val="24"/>
          <w:szCs w:val="24"/>
        </w:rPr>
        <w:t>Sustainability</w:t>
      </w:r>
      <w:bookmarkEnd w:id="13"/>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1442E2" w:rsidRPr="001442E2" w14:paraId="72F1EBCD" w14:textId="77777777" w:rsidTr="001442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shd w:val="clear" w:color="auto" w:fill="1D336D" w:themeFill="background2"/>
          </w:tcPr>
          <w:p w14:paraId="08ADBFE0" w14:textId="77777777" w:rsidR="001442E2" w:rsidRPr="001442E2" w:rsidRDefault="001442E2" w:rsidP="00C24621">
            <w:pPr>
              <w:jc w:val="center"/>
              <w:rPr>
                <w:b/>
                <w:bCs/>
                <w:color w:val="FFFFFF" w:themeColor="background1"/>
              </w:rPr>
            </w:pPr>
            <w:r w:rsidRPr="001442E2">
              <w:rPr>
                <w:b/>
                <w:bCs/>
                <w:color w:val="FFFFFF" w:themeColor="background1"/>
              </w:rPr>
              <w:t>#</w:t>
            </w:r>
          </w:p>
        </w:tc>
        <w:tc>
          <w:tcPr>
            <w:tcW w:w="8924" w:type="dxa"/>
            <w:shd w:val="clear" w:color="auto" w:fill="1D336D" w:themeFill="background2"/>
          </w:tcPr>
          <w:p w14:paraId="0CA6B81D" w14:textId="77777777" w:rsidR="001442E2" w:rsidRPr="001442E2" w:rsidRDefault="001442E2" w:rsidP="00C24621">
            <w:pPr>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1442E2">
              <w:rPr>
                <w:b/>
                <w:bCs/>
                <w:color w:val="FFFFFF" w:themeColor="background1"/>
              </w:rPr>
              <w:t>Finding</w:t>
            </w:r>
          </w:p>
        </w:tc>
      </w:tr>
      <w:tr w:rsidR="00C5551F" w14:paraId="4840D5E6"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FC837A7" w14:textId="15D854CE" w:rsidR="00C5551F" w:rsidRDefault="00DD3D1A" w:rsidP="00DD3D1A">
            <w:pPr>
              <w:jc w:val="center"/>
            </w:pPr>
            <w:r w:rsidRPr="00DD3D1A">
              <w:rPr>
                <w:b/>
                <w:bCs/>
                <w:color w:val="1D336D" w:themeColor="background2"/>
              </w:rPr>
              <w:t>16</w:t>
            </w:r>
          </w:p>
        </w:tc>
        <w:tc>
          <w:tcPr>
            <w:tcW w:w="8924" w:type="dxa"/>
            <w:shd w:val="clear" w:color="auto" w:fill="auto"/>
          </w:tcPr>
          <w:p w14:paraId="3F0BF19C" w14:textId="2A47440A" w:rsidR="00C5551F" w:rsidRPr="003D4940" w:rsidRDefault="00DD3D1A"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AC211D">
              <w:rPr>
                <w:b/>
                <w:bCs/>
                <w:i/>
                <w:iCs/>
                <w:color w:val="1D336D" w:themeColor="background2"/>
              </w:rPr>
              <w:t xml:space="preserve">All </w:t>
            </w:r>
            <w:proofErr w:type="spellStart"/>
            <w:r w:rsidRPr="00AC211D">
              <w:rPr>
                <w:b/>
                <w:bCs/>
                <w:i/>
                <w:iCs/>
                <w:color w:val="1D336D" w:themeColor="background2"/>
              </w:rPr>
              <w:t>NbS</w:t>
            </w:r>
            <w:proofErr w:type="spellEnd"/>
            <w:r w:rsidRPr="00AC211D">
              <w:rPr>
                <w:b/>
                <w:bCs/>
                <w:i/>
                <w:iCs/>
                <w:color w:val="1D336D" w:themeColor="background2"/>
              </w:rPr>
              <w:t xml:space="preserve"> projects reviewed have defined sustainability strategies, focusing on ongoing management functions and securing continued funding</w:t>
            </w:r>
            <w:r w:rsidRPr="00AC211D">
              <w:rPr>
                <w:i/>
                <w:iCs/>
                <w:color w:val="1D336D" w:themeColor="background2"/>
              </w:rPr>
              <w:t>. Efforts are concentrated on establishing governance structures at the community level, exploring options such as cooperatives, NGOs/CSOs, and social enterprises to sustain initiatives beyond DFAT funding.</w:t>
            </w:r>
          </w:p>
        </w:tc>
      </w:tr>
      <w:tr w:rsidR="008C4F53" w14:paraId="1B0F4298"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51A16DFC" w14:textId="5D37C3A2" w:rsidR="008C4F53" w:rsidRPr="00DD3D1A" w:rsidRDefault="008C4F53" w:rsidP="00DD3D1A">
            <w:pPr>
              <w:jc w:val="center"/>
              <w:rPr>
                <w:b/>
                <w:bCs/>
                <w:color w:val="1D336D" w:themeColor="background2"/>
              </w:rPr>
            </w:pPr>
            <w:r>
              <w:rPr>
                <w:b/>
                <w:bCs/>
                <w:color w:val="1D336D" w:themeColor="background2"/>
              </w:rPr>
              <w:t>17</w:t>
            </w:r>
          </w:p>
        </w:tc>
        <w:tc>
          <w:tcPr>
            <w:tcW w:w="8924" w:type="dxa"/>
            <w:shd w:val="clear" w:color="auto" w:fill="auto"/>
          </w:tcPr>
          <w:p w14:paraId="39054AB1" w14:textId="018B8C99" w:rsidR="008C4F53" w:rsidRPr="0066291D" w:rsidRDefault="008C4F53"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proofErr w:type="spellStart"/>
            <w:r w:rsidRPr="0066291D">
              <w:rPr>
                <w:b/>
                <w:bCs/>
                <w:i/>
                <w:iCs/>
                <w:color w:val="1D336D" w:themeColor="background2"/>
              </w:rPr>
              <w:t>NbS</w:t>
            </w:r>
            <w:proofErr w:type="spellEnd"/>
            <w:r w:rsidRPr="0066291D">
              <w:rPr>
                <w:b/>
                <w:bCs/>
                <w:i/>
                <w:iCs/>
                <w:color w:val="1D336D" w:themeColor="background2"/>
              </w:rPr>
              <w:t xml:space="preserve"> initiatives are actively testing potential sources of long-term funding</w:t>
            </w:r>
            <w:r w:rsidRPr="0066291D">
              <w:rPr>
                <w:i/>
                <w:iCs/>
                <w:color w:val="1D336D" w:themeColor="background2"/>
              </w:rPr>
              <w:t>. Revenue generation through the sale of carbon credits is the most established option, although not all landscapes and activities qualify. Biodiversity credits and community-owned enterprises are also being explored. However, additional testing and evaluation are needed, and gap funding may be required before income from credits or enterprises begins to flow.</w:t>
            </w:r>
          </w:p>
        </w:tc>
      </w:tr>
      <w:tr w:rsidR="008C4F53" w14:paraId="109B8786"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37A6FFA" w14:textId="478F999C" w:rsidR="008C4F53" w:rsidRPr="00DD3D1A" w:rsidRDefault="008C4F53" w:rsidP="00DD3D1A">
            <w:pPr>
              <w:jc w:val="center"/>
              <w:rPr>
                <w:b/>
                <w:bCs/>
                <w:color w:val="1D336D" w:themeColor="background2"/>
              </w:rPr>
            </w:pPr>
            <w:r>
              <w:rPr>
                <w:b/>
                <w:bCs/>
                <w:color w:val="1D336D" w:themeColor="background2"/>
              </w:rPr>
              <w:t>18</w:t>
            </w:r>
          </w:p>
        </w:tc>
        <w:tc>
          <w:tcPr>
            <w:tcW w:w="8924" w:type="dxa"/>
            <w:shd w:val="clear" w:color="auto" w:fill="auto"/>
          </w:tcPr>
          <w:p w14:paraId="7B268A7B" w14:textId="5B910928" w:rsidR="008C4F53" w:rsidRPr="0066291D" w:rsidRDefault="0066291D"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66291D">
              <w:rPr>
                <w:b/>
                <w:bCs/>
                <w:i/>
                <w:iCs/>
                <w:color w:val="1D336D" w:themeColor="background2"/>
              </w:rPr>
              <w:t>Some projects are exploring funding opportunities through entities such as the Green Climate Fund (GCF) or the Global Environmental Fund (GEF)</w:t>
            </w:r>
            <w:r w:rsidRPr="0066291D">
              <w:rPr>
                <w:i/>
                <w:iCs/>
                <w:color w:val="1D336D" w:themeColor="background2"/>
              </w:rPr>
              <w:t>. Blended finance models, such as soft loans, for gap funding purposes have not been explored thus far.</w:t>
            </w:r>
          </w:p>
        </w:tc>
      </w:tr>
    </w:tbl>
    <w:p w14:paraId="61FD5125" w14:textId="4D390CD3" w:rsidR="00EA7FE2" w:rsidRPr="00EA7FE2" w:rsidRDefault="00EA7FE2" w:rsidP="00B814D2"/>
    <w:p w14:paraId="2EF45A27" w14:textId="6204A1F3" w:rsidR="00EA7FE2" w:rsidRDefault="00EA7FE2" w:rsidP="00FB7E75">
      <w:pPr>
        <w:pStyle w:val="Heading1"/>
      </w:pPr>
      <w:bookmarkStart w:id="14" w:name="_Toc164783031"/>
      <w:r w:rsidRPr="00EA7FE2">
        <w:t>Key findings (Investment level)</w:t>
      </w:r>
      <w:bookmarkEnd w:id="14"/>
      <w:r w:rsidRPr="00EA7FE2">
        <w:t xml:space="preserve"> </w:t>
      </w:r>
      <w:r w:rsidRPr="00EA7FE2">
        <w:tab/>
      </w:r>
    </w:p>
    <w:p w14:paraId="01BC30AC" w14:textId="6E63A2B1" w:rsidR="001442E2" w:rsidRPr="001442E2" w:rsidRDefault="001442E2" w:rsidP="001442E2">
      <w:pPr>
        <w:pStyle w:val="Heading2"/>
      </w:pPr>
      <w:bookmarkStart w:id="15" w:name="_Toc164783032"/>
      <w:r>
        <w:rPr>
          <w:caps w:val="0"/>
          <w:color w:val="152651" w:themeColor="background2" w:themeShade="BF"/>
          <w:sz w:val="24"/>
          <w:szCs w:val="24"/>
        </w:rPr>
        <w:t>Climate Resilient by Nature</w:t>
      </w:r>
      <w:bookmarkEnd w:id="15"/>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176E23" w:rsidRPr="00AC51BB" w14:paraId="08054801" w14:textId="77777777" w:rsidTr="001442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4" w:type="dxa"/>
            <w:shd w:val="clear" w:color="auto" w:fill="1D336D" w:themeFill="background2"/>
          </w:tcPr>
          <w:p w14:paraId="4681CC50" w14:textId="77777777" w:rsidR="00176E23" w:rsidRPr="001442E2" w:rsidRDefault="00176E23">
            <w:pPr>
              <w:jc w:val="center"/>
              <w:rPr>
                <w:b/>
                <w:bCs/>
                <w:color w:val="FFFFFF" w:themeColor="background1"/>
              </w:rPr>
            </w:pPr>
            <w:r w:rsidRPr="001442E2">
              <w:rPr>
                <w:b/>
                <w:bCs/>
                <w:color w:val="FFFFFF" w:themeColor="background1"/>
              </w:rPr>
              <w:t>#</w:t>
            </w:r>
          </w:p>
        </w:tc>
        <w:tc>
          <w:tcPr>
            <w:tcW w:w="8924" w:type="dxa"/>
            <w:shd w:val="clear" w:color="auto" w:fill="1D336D" w:themeFill="background2"/>
          </w:tcPr>
          <w:p w14:paraId="7C87FD17" w14:textId="77777777" w:rsidR="00176E23" w:rsidRPr="001442E2" w:rsidRDefault="00176E23">
            <w:pPr>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1442E2">
              <w:rPr>
                <w:b/>
                <w:bCs/>
                <w:color w:val="FFFFFF" w:themeColor="background1"/>
              </w:rPr>
              <w:t>Finding</w:t>
            </w:r>
          </w:p>
        </w:tc>
      </w:tr>
      <w:tr w:rsidR="00176E23" w:rsidRPr="0053529A" w14:paraId="00C0348D"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86BCC40" w14:textId="31D146AE" w:rsidR="00176E23" w:rsidRPr="0053529A" w:rsidRDefault="00176E23">
            <w:pPr>
              <w:jc w:val="center"/>
              <w:rPr>
                <w:b/>
                <w:bCs/>
                <w:color w:val="1D336D" w:themeColor="background2"/>
              </w:rPr>
            </w:pPr>
            <w:r>
              <w:rPr>
                <w:b/>
                <w:bCs/>
                <w:color w:val="1D336D" w:themeColor="background2"/>
              </w:rPr>
              <w:t>19</w:t>
            </w:r>
          </w:p>
        </w:tc>
        <w:tc>
          <w:tcPr>
            <w:tcW w:w="8924" w:type="dxa"/>
            <w:shd w:val="clear" w:color="auto" w:fill="auto"/>
          </w:tcPr>
          <w:p w14:paraId="3A87A48B" w14:textId="73172F8A" w:rsidR="00176E23" w:rsidRPr="0053529A" w:rsidRDefault="7D25B7DD">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73E6867D">
              <w:rPr>
                <w:b/>
                <w:bCs/>
                <w:i/>
                <w:iCs/>
                <w:color w:val="1D336D" w:themeColor="background2"/>
              </w:rPr>
              <w:t xml:space="preserve"> Projects with access to technical expertise have more advanced systems for projecting results and measuring progress</w:t>
            </w:r>
            <w:r w:rsidRPr="73E6867D">
              <w:rPr>
                <w:i/>
                <w:iCs/>
                <w:color w:val="1D336D" w:themeColor="background2"/>
              </w:rPr>
              <w:t xml:space="preserve">. Many projects under </w:t>
            </w:r>
            <w:proofErr w:type="spellStart"/>
            <w:r w:rsidRPr="73E6867D">
              <w:rPr>
                <w:i/>
                <w:iCs/>
                <w:color w:val="1D336D" w:themeColor="background2"/>
              </w:rPr>
              <w:t>CRxN</w:t>
            </w:r>
            <w:proofErr w:type="spellEnd"/>
            <w:r w:rsidRPr="73E6867D">
              <w:rPr>
                <w:i/>
                <w:iCs/>
                <w:color w:val="1D336D" w:themeColor="background2"/>
              </w:rPr>
              <w:t xml:space="preserve"> are still in the pilot phase, so it is too early to measure their impact on ecosystems or climate. Some projects have </w:t>
            </w:r>
            <w:r w:rsidR="000C1B5D">
              <w:rPr>
                <w:i/>
                <w:iCs/>
                <w:color w:val="1D336D" w:themeColor="background2"/>
              </w:rPr>
              <w:t>drawn on technical expertise</w:t>
            </w:r>
            <w:r w:rsidR="00772E3C">
              <w:rPr>
                <w:i/>
                <w:iCs/>
                <w:color w:val="1D336D" w:themeColor="background2"/>
              </w:rPr>
              <w:t xml:space="preserve"> during their</w:t>
            </w:r>
            <w:r w:rsidRPr="73E6867D">
              <w:rPr>
                <w:i/>
                <w:iCs/>
                <w:color w:val="1D336D" w:themeColor="background2"/>
              </w:rPr>
              <w:t xml:space="preserve"> pilot phase to define their biodiversity and climate targets, test their interventions, choose measurement methods, and establish a baseline.</w:t>
            </w:r>
            <w:r w:rsidR="00F42775">
              <w:rPr>
                <w:i/>
                <w:iCs/>
                <w:color w:val="1D336D" w:themeColor="background2"/>
              </w:rPr>
              <w:t xml:space="preserve"> </w:t>
            </w:r>
            <w:r w:rsidR="006F71D7">
              <w:rPr>
                <w:i/>
                <w:iCs/>
                <w:color w:val="1D336D" w:themeColor="background2"/>
              </w:rPr>
              <w:t>Other</w:t>
            </w:r>
            <w:r w:rsidR="0044656B">
              <w:rPr>
                <w:i/>
                <w:iCs/>
                <w:color w:val="1D336D" w:themeColor="background2"/>
              </w:rPr>
              <w:t xml:space="preserve"> project stakeholders have indica</w:t>
            </w:r>
            <w:r w:rsidR="004829C5">
              <w:rPr>
                <w:i/>
                <w:iCs/>
                <w:color w:val="1D336D" w:themeColor="background2"/>
              </w:rPr>
              <w:t xml:space="preserve">ted </w:t>
            </w:r>
            <w:r w:rsidR="00F42775">
              <w:rPr>
                <w:i/>
                <w:iCs/>
                <w:color w:val="1D336D" w:themeColor="background2"/>
              </w:rPr>
              <w:t xml:space="preserve">that high quality technical expertise was </w:t>
            </w:r>
            <w:r w:rsidR="0019371D">
              <w:rPr>
                <w:i/>
                <w:iCs/>
                <w:color w:val="1D336D" w:themeColor="background2"/>
              </w:rPr>
              <w:t>challenging to find, and that</w:t>
            </w:r>
            <w:r w:rsidR="000F0378">
              <w:rPr>
                <w:i/>
                <w:iCs/>
                <w:color w:val="1D336D" w:themeColor="background2"/>
              </w:rPr>
              <w:t xml:space="preserve"> it would be useful to have</w:t>
            </w:r>
            <w:r w:rsidRPr="73E6867D">
              <w:rPr>
                <w:i/>
                <w:iCs/>
                <w:color w:val="1D336D" w:themeColor="background2"/>
              </w:rPr>
              <w:t xml:space="preserve"> </w:t>
            </w:r>
            <w:r w:rsidR="00514217">
              <w:rPr>
                <w:i/>
                <w:iCs/>
                <w:color w:val="1D336D" w:themeColor="background2"/>
              </w:rPr>
              <w:t xml:space="preserve">additional </w:t>
            </w:r>
            <w:r w:rsidR="005064D4">
              <w:rPr>
                <w:i/>
                <w:iCs/>
                <w:color w:val="1D336D" w:themeColor="background2"/>
              </w:rPr>
              <w:t>support</w:t>
            </w:r>
            <w:r w:rsidR="006002A5">
              <w:rPr>
                <w:i/>
                <w:iCs/>
                <w:color w:val="1D336D" w:themeColor="background2"/>
              </w:rPr>
              <w:t xml:space="preserve"> to identify this expertise.</w:t>
            </w:r>
            <w:r w:rsidRPr="73E6867D">
              <w:rPr>
                <w:i/>
                <w:iCs/>
                <w:color w:val="1D336D" w:themeColor="background2"/>
              </w:rPr>
              <w:t xml:space="preserve"> </w:t>
            </w:r>
          </w:p>
        </w:tc>
      </w:tr>
      <w:tr w:rsidR="00176E23" w:rsidRPr="0053529A" w14:paraId="63CA1D6F"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68ACC6B5" w14:textId="7D4A9676" w:rsidR="00176E23" w:rsidRPr="0053529A" w:rsidRDefault="00176E23">
            <w:pPr>
              <w:jc w:val="center"/>
              <w:rPr>
                <w:b/>
                <w:bCs/>
                <w:color w:val="1D336D" w:themeColor="background2"/>
              </w:rPr>
            </w:pPr>
            <w:r>
              <w:rPr>
                <w:b/>
                <w:bCs/>
                <w:color w:val="1D336D" w:themeColor="background2"/>
              </w:rPr>
              <w:lastRenderedPageBreak/>
              <w:t>20</w:t>
            </w:r>
          </w:p>
        </w:tc>
        <w:tc>
          <w:tcPr>
            <w:tcW w:w="8924" w:type="dxa"/>
            <w:shd w:val="clear" w:color="auto" w:fill="auto"/>
          </w:tcPr>
          <w:p w14:paraId="47500484" w14:textId="07119C5F" w:rsidR="00176E23" w:rsidRPr="0053529A" w:rsidRDefault="5AFC4796">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1D336D" w:themeColor="background2"/>
                <w:szCs w:val="20"/>
                <w:lang w:val="en-GB"/>
              </w:rPr>
            </w:pPr>
            <w:r w:rsidRPr="00194D28">
              <w:rPr>
                <w:b/>
                <w:bCs/>
                <w:i/>
                <w:iCs/>
                <w:color w:val="1D336D" w:themeColor="background2"/>
              </w:rPr>
              <w:t xml:space="preserve">The </w:t>
            </w:r>
            <w:r w:rsidRPr="006F45D1">
              <w:rPr>
                <w:b/>
                <w:bCs/>
                <w:i/>
                <w:iCs/>
                <w:color w:val="1D336D" w:themeColor="background2"/>
              </w:rPr>
              <w:t>connection between livelihoods, ecosystem protection, and climate adaptation</w:t>
            </w:r>
            <w:r w:rsidR="00D86D5C" w:rsidRPr="006F45D1">
              <w:rPr>
                <w:b/>
                <w:bCs/>
                <w:i/>
                <w:iCs/>
                <w:color w:val="1D336D" w:themeColor="background2"/>
              </w:rPr>
              <w:t xml:space="preserve"> has</w:t>
            </w:r>
            <w:r w:rsidRPr="006F45D1">
              <w:rPr>
                <w:b/>
                <w:bCs/>
                <w:i/>
                <w:iCs/>
                <w:color w:val="1D336D" w:themeColor="background2"/>
              </w:rPr>
              <w:t xml:space="preserve"> already</w:t>
            </w:r>
            <w:r w:rsidR="00D86D5C" w:rsidRPr="006F45D1">
              <w:rPr>
                <w:b/>
                <w:bCs/>
                <w:i/>
                <w:iCs/>
                <w:color w:val="1D336D" w:themeColor="background2"/>
              </w:rPr>
              <w:t xml:space="preserve"> </w:t>
            </w:r>
            <w:r w:rsidR="00B1676F" w:rsidRPr="006F45D1">
              <w:rPr>
                <w:b/>
                <w:bCs/>
                <w:i/>
                <w:iCs/>
                <w:color w:val="1D336D" w:themeColor="background2"/>
              </w:rPr>
              <w:t>been</w:t>
            </w:r>
            <w:r w:rsidRPr="006F45D1">
              <w:rPr>
                <w:b/>
                <w:bCs/>
                <w:i/>
                <w:iCs/>
                <w:color w:val="1D336D" w:themeColor="background2"/>
              </w:rPr>
              <w:t xml:space="preserve"> established in some projects</w:t>
            </w:r>
            <w:r w:rsidRPr="006F45D1">
              <w:rPr>
                <w:i/>
                <w:iCs/>
                <w:color w:val="1D336D" w:themeColor="background2"/>
              </w:rPr>
              <w:t xml:space="preserve">. </w:t>
            </w:r>
            <w:r w:rsidR="00206BE0" w:rsidRPr="006F45D1">
              <w:rPr>
                <w:i/>
                <w:iCs/>
                <w:color w:val="1D336D" w:themeColor="background2"/>
              </w:rPr>
              <w:t>While a</w:t>
            </w:r>
            <w:r w:rsidRPr="006F45D1">
              <w:rPr>
                <w:i/>
                <w:iCs/>
                <w:color w:val="1D336D" w:themeColor="background2"/>
              </w:rPr>
              <w:t xml:space="preserve">ll projects </w:t>
            </w:r>
            <w:r w:rsidR="00264788" w:rsidRPr="006F45D1">
              <w:rPr>
                <w:i/>
                <w:iCs/>
                <w:color w:val="1D336D" w:themeColor="background2"/>
              </w:rPr>
              <w:t>under</w:t>
            </w:r>
            <w:r w:rsidRPr="006F45D1">
              <w:rPr>
                <w:i/>
                <w:iCs/>
                <w:color w:val="1D336D" w:themeColor="background2"/>
              </w:rPr>
              <w:t xml:space="preserve"> the investment </w:t>
            </w:r>
            <w:r w:rsidR="00264788" w:rsidRPr="006F45D1">
              <w:rPr>
                <w:i/>
                <w:iCs/>
                <w:color w:val="1D336D" w:themeColor="background2"/>
              </w:rPr>
              <w:t>include</w:t>
            </w:r>
            <w:r w:rsidRPr="006F45D1">
              <w:rPr>
                <w:i/>
                <w:iCs/>
                <w:color w:val="1D336D" w:themeColor="background2"/>
              </w:rPr>
              <w:t xml:space="preserve"> </w:t>
            </w:r>
            <w:r w:rsidR="001C583F" w:rsidRPr="006F45D1">
              <w:rPr>
                <w:i/>
                <w:iCs/>
                <w:color w:val="1D336D" w:themeColor="background2"/>
              </w:rPr>
              <w:t xml:space="preserve">a </w:t>
            </w:r>
            <w:r w:rsidRPr="006F45D1">
              <w:rPr>
                <w:i/>
                <w:iCs/>
                <w:color w:val="1D336D" w:themeColor="background2"/>
              </w:rPr>
              <w:t>livelihoods component</w:t>
            </w:r>
            <w:r w:rsidR="005E6B5A" w:rsidRPr="006F45D1">
              <w:rPr>
                <w:i/>
                <w:iCs/>
                <w:color w:val="1D336D" w:themeColor="background2"/>
              </w:rPr>
              <w:t>, o</w:t>
            </w:r>
            <w:r w:rsidRPr="006F45D1">
              <w:rPr>
                <w:i/>
                <w:iCs/>
                <w:color w:val="1D336D" w:themeColor="background2"/>
              </w:rPr>
              <w:t xml:space="preserve">nly the more advanced projects have managed </w:t>
            </w:r>
            <w:r w:rsidRPr="00194D28">
              <w:rPr>
                <w:i/>
                <w:iCs/>
                <w:color w:val="1D336D" w:themeColor="background2"/>
              </w:rPr>
              <w:t xml:space="preserve">to </w:t>
            </w:r>
            <w:r w:rsidR="003A2327" w:rsidRPr="00194D28">
              <w:rPr>
                <w:i/>
                <w:iCs/>
                <w:color w:val="1D336D" w:themeColor="background2"/>
              </w:rPr>
              <w:t>refine</w:t>
            </w:r>
            <w:r w:rsidR="00194D28">
              <w:rPr>
                <w:i/>
                <w:iCs/>
                <w:color w:val="1D336D" w:themeColor="background2"/>
              </w:rPr>
              <w:t xml:space="preserve"> </w:t>
            </w:r>
            <w:r w:rsidR="009E505C" w:rsidRPr="00194D28">
              <w:rPr>
                <w:i/>
                <w:iCs/>
                <w:color w:val="1D336D" w:themeColor="background2"/>
              </w:rPr>
              <w:t xml:space="preserve">the </w:t>
            </w:r>
            <w:r w:rsidR="009E505C" w:rsidRPr="006F45D1">
              <w:rPr>
                <w:i/>
                <w:iCs/>
                <w:color w:val="1D336D" w:themeColor="background2"/>
              </w:rPr>
              <w:t>interconnections</w:t>
            </w:r>
            <w:r w:rsidRPr="006F45D1">
              <w:rPr>
                <w:i/>
                <w:iCs/>
                <w:color w:val="1D336D" w:themeColor="background2"/>
              </w:rPr>
              <w:t xml:space="preserve"> between livelihoods, ecosystems, and climate adaptation. Since testing and refining </w:t>
            </w:r>
            <w:proofErr w:type="spellStart"/>
            <w:r w:rsidRPr="006F45D1">
              <w:rPr>
                <w:i/>
                <w:iCs/>
                <w:color w:val="1D336D" w:themeColor="background2"/>
              </w:rPr>
              <w:t>NbS</w:t>
            </w:r>
            <w:proofErr w:type="spellEnd"/>
            <w:r w:rsidRPr="006F45D1">
              <w:rPr>
                <w:i/>
                <w:iCs/>
                <w:color w:val="1D336D" w:themeColor="background2"/>
              </w:rPr>
              <w:t xml:space="preserve"> takes time and expertise, it is more effective to scale and replicate approaches with a proven logic.</w:t>
            </w:r>
          </w:p>
        </w:tc>
      </w:tr>
      <w:tr w:rsidR="00176E23" w:rsidRPr="0053529A" w14:paraId="74DF353F"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BD8113A" w14:textId="25014806" w:rsidR="00176E23" w:rsidRPr="0053529A" w:rsidRDefault="00176E23">
            <w:pPr>
              <w:jc w:val="center"/>
              <w:rPr>
                <w:b/>
                <w:bCs/>
                <w:color w:val="1D336D" w:themeColor="background2"/>
              </w:rPr>
            </w:pPr>
            <w:r>
              <w:rPr>
                <w:b/>
                <w:bCs/>
                <w:color w:val="1D336D" w:themeColor="background2"/>
              </w:rPr>
              <w:t>21</w:t>
            </w:r>
          </w:p>
        </w:tc>
        <w:tc>
          <w:tcPr>
            <w:tcW w:w="8924" w:type="dxa"/>
            <w:shd w:val="clear" w:color="auto" w:fill="auto"/>
          </w:tcPr>
          <w:p w14:paraId="0B19B91D" w14:textId="2DE18237" w:rsidR="00176E23" w:rsidRPr="0053529A" w:rsidRDefault="00CB17C7">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CB17C7">
              <w:rPr>
                <w:b/>
                <w:bCs/>
                <w:i/>
                <w:iCs/>
                <w:color w:val="1D336D" w:themeColor="background2"/>
              </w:rPr>
              <w:t>Projects with embedded GEDSI expertise tend to have more transformative interventions</w:t>
            </w:r>
            <w:r w:rsidRPr="00CB17C7">
              <w:rPr>
                <w:i/>
                <w:iCs/>
                <w:color w:val="1D336D" w:themeColor="background2"/>
              </w:rPr>
              <w:t xml:space="preserve">. </w:t>
            </w:r>
            <w:r w:rsidR="00353A21" w:rsidRPr="00F93F6C">
              <w:rPr>
                <w:i/>
                <w:iCs/>
                <w:color w:val="1D336D" w:themeColor="background2"/>
              </w:rPr>
              <w:t>Some projects have implemented transformative approaches to promote equality and inclusion, while others have yet to move beyond standard participation activities.</w:t>
            </w:r>
            <w:r w:rsidR="00353A21">
              <w:rPr>
                <w:i/>
                <w:iCs/>
                <w:color w:val="1D336D" w:themeColor="background2"/>
              </w:rPr>
              <w:t xml:space="preserve"> </w:t>
            </w:r>
            <w:r w:rsidRPr="00CB17C7">
              <w:rPr>
                <w:i/>
                <w:iCs/>
                <w:color w:val="1D336D" w:themeColor="background2"/>
              </w:rPr>
              <w:t xml:space="preserve">While all projects are paying attention to women's participation and collecting gender-disaggregated data, additional analysis is needed to identify transformative GEDSI activities. </w:t>
            </w:r>
          </w:p>
        </w:tc>
      </w:tr>
      <w:tr w:rsidR="000C51BA" w:rsidRPr="0053529A" w14:paraId="0757544D"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4B3BD717" w14:textId="6F304837" w:rsidR="000C51BA" w:rsidRDefault="001C600A">
            <w:pPr>
              <w:jc w:val="center"/>
              <w:rPr>
                <w:b/>
                <w:bCs/>
                <w:color w:val="1D336D" w:themeColor="background2"/>
              </w:rPr>
            </w:pPr>
            <w:r>
              <w:rPr>
                <w:b/>
                <w:bCs/>
                <w:color w:val="1D336D" w:themeColor="background2"/>
              </w:rPr>
              <w:t>22</w:t>
            </w:r>
          </w:p>
        </w:tc>
        <w:tc>
          <w:tcPr>
            <w:tcW w:w="8924" w:type="dxa"/>
            <w:shd w:val="clear" w:color="auto" w:fill="auto"/>
          </w:tcPr>
          <w:p w14:paraId="51B77D86" w14:textId="3577F24A" w:rsidR="000C51BA" w:rsidRPr="00CB17C7" w:rsidRDefault="00F222BF">
            <w:pPr>
              <w:cnfStyle w:val="000000000000" w:firstRow="0" w:lastRow="0" w:firstColumn="0" w:lastColumn="0" w:oddVBand="0" w:evenVBand="0" w:oddHBand="0" w:evenHBand="0" w:firstRowFirstColumn="0" w:firstRowLastColumn="0" w:lastRowFirstColumn="0" w:lastRowLastColumn="0"/>
              <w:rPr>
                <w:b/>
                <w:bCs/>
                <w:i/>
                <w:iCs/>
                <w:color w:val="1D336D" w:themeColor="background2"/>
              </w:rPr>
            </w:pPr>
            <w:r w:rsidRPr="00F222BF">
              <w:rPr>
                <w:b/>
                <w:bCs/>
                <w:i/>
                <w:iCs/>
                <w:color w:val="1D336D" w:themeColor="background2"/>
              </w:rPr>
              <w:t xml:space="preserve">Stringent carbon credit certification requirements can positively affect the quality and measurement of </w:t>
            </w:r>
            <w:proofErr w:type="spellStart"/>
            <w:r w:rsidRPr="00F222BF">
              <w:rPr>
                <w:b/>
                <w:bCs/>
                <w:i/>
                <w:iCs/>
                <w:color w:val="1D336D" w:themeColor="background2"/>
              </w:rPr>
              <w:t>NbS</w:t>
            </w:r>
            <w:proofErr w:type="spellEnd"/>
            <w:r w:rsidRPr="00F222BF">
              <w:rPr>
                <w:b/>
                <w:bCs/>
                <w:i/>
                <w:iCs/>
                <w:color w:val="1D336D" w:themeColor="background2"/>
              </w:rPr>
              <w:t xml:space="preserve"> initiatives. </w:t>
            </w:r>
            <w:r w:rsidRPr="00F93F6C">
              <w:rPr>
                <w:i/>
                <w:iCs/>
                <w:color w:val="1D336D" w:themeColor="background2"/>
              </w:rPr>
              <w:t xml:space="preserve">Requirements include high-quality activities and monitoring plans for climate, biodiversity and livelihood outcomes. </w:t>
            </w:r>
            <w:proofErr w:type="spellStart"/>
            <w:r w:rsidRPr="00F93F6C">
              <w:rPr>
                <w:i/>
                <w:iCs/>
                <w:color w:val="1D336D" w:themeColor="background2"/>
              </w:rPr>
              <w:t>CRxN</w:t>
            </w:r>
            <w:proofErr w:type="spellEnd"/>
            <w:r w:rsidRPr="00F93F6C">
              <w:rPr>
                <w:i/>
                <w:iCs/>
                <w:color w:val="1D336D" w:themeColor="background2"/>
              </w:rPr>
              <w:t xml:space="preserve"> has undertaken extensive research into carbon markets in the Pacific, including the publication of several relevant resources through the </w:t>
            </w:r>
            <w:proofErr w:type="spellStart"/>
            <w:r w:rsidRPr="00F93F6C">
              <w:rPr>
                <w:i/>
                <w:iCs/>
                <w:color w:val="1D336D" w:themeColor="background2"/>
              </w:rPr>
              <w:t>CRxN</w:t>
            </w:r>
            <w:proofErr w:type="spellEnd"/>
            <w:r w:rsidRPr="00F93F6C">
              <w:rPr>
                <w:i/>
                <w:iCs/>
                <w:color w:val="1D336D" w:themeColor="background2"/>
              </w:rPr>
              <w:t xml:space="preserve"> Indo-Pacific Knowledge Hub. One of the investment’s partner organisations has also undertaken substantial trial and error approaches which have resulted in a feasible carbon market model relevant to the Pacific context.</w:t>
            </w:r>
          </w:p>
        </w:tc>
      </w:tr>
    </w:tbl>
    <w:p w14:paraId="36254947" w14:textId="4070E253" w:rsidR="001442E2" w:rsidRPr="001442E2" w:rsidRDefault="001442E2" w:rsidP="001442E2">
      <w:pPr>
        <w:pStyle w:val="Heading2"/>
        <w:rPr>
          <w:color w:val="152651" w:themeColor="background2" w:themeShade="BF"/>
          <w:sz w:val="24"/>
          <w:szCs w:val="24"/>
        </w:rPr>
      </w:pPr>
      <w:bookmarkStart w:id="16" w:name="_Toc164783033"/>
      <w:r>
        <w:rPr>
          <w:caps w:val="0"/>
          <w:color w:val="152651" w:themeColor="background2" w:themeShade="BF"/>
          <w:sz w:val="24"/>
          <w:szCs w:val="24"/>
        </w:rPr>
        <w:t>Pacific Blue Carbon Program</w:t>
      </w:r>
      <w:bookmarkEnd w:id="16"/>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1442E2" w:rsidRPr="0053529A" w14:paraId="7F7C67C6" w14:textId="77777777" w:rsidTr="001442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4" w:type="dxa"/>
            <w:shd w:val="clear" w:color="auto" w:fill="1D336D" w:themeFill="background2"/>
          </w:tcPr>
          <w:p w14:paraId="3635397C" w14:textId="125F19B3" w:rsidR="001442E2" w:rsidRPr="001442E2" w:rsidRDefault="001442E2" w:rsidP="001442E2">
            <w:pPr>
              <w:jc w:val="center"/>
              <w:rPr>
                <w:b/>
                <w:bCs/>
                <w:color w:val="FFFFFF" w:themeColor="background1"/>
              </w:rPr>
            </w:pPr>
            <w:r w:rsidRPr="001442E2">
              <w:rPr>
                <w:b/>
                <w:bCs/>
                <w:color w:val="FFFFFF" w:themeColor="background1"/>
              </w:rPr>
              <w:t>#</w:t>
            </w:r>
          </w:p>
        </w:tc>
        <w:tc>
          <w:tcPr>
            <w:tcW w:w="8924" w:type="dxa"/>
            <w:shd w:val="clear" w:color="auto" w:fill="1D336D" w:themeFill="background2"/>
          </w:tcPr>
          <w:p w14:paraId="32EB1474" w14:textId="20570BD7" w:rsidR="001442E2" w:rsidRPr="001442E2" w:rsidRDefault="001442E2" w:rsidP="001442E2">
            <w:pPr>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1442E2">
              <w:rPr>
                <w:b/>
                <w:bCs/>
                <w:color w:val="FFFFFF" w:themeColor="background1"/>
              </w:rPr>
              <w:t>Finding</w:t>
            </w:r>
          </w:p>
        </w:tc>
      </w:tr>
      <w:tr w:rsidR="00CB17C7" w:rsidRPr="0053529A" w14:paraId="79F8224F"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890F4AC" w14:textId="64465302" w:rsidR="00CB17C7" w:rsidRPr="00186AE5" w:rsidRDefault="002E2558">
            <w:pPr>
              <w:jc w:val="center"/>
              <w:rPr>
                <w:b/>
                <w:bCs/>
                <w:color w:val="1D336D" w:themeColor="background2"/>
              </w:rPr>
            </w:pPr>
            <w:r w:rsidRPr="00186AE5">
              <w:rPr>
                <w:b/>
                <w:bCs/>
                <w:color w:val="1D336D" w:themeColor="background2"/>
              </w:rPr>
              <w:t>2</w:t>
            </w:r>
            <w:r w:rsidR="00054B50" w:rsidRPr="00186AE5">
              <w:rPr>
                <w:b/>
                <w:bCs/>
                <w:color w:val="1D336D" w:themeColor="background2"/>
              </w:rPr>
              <w:t>3</w:t>
            </w:r>
          </w:p>
        </w:tc>
        <w:tc>
          <w:tcPr>
            <w:tcW w:w="8924" w:type="dxa"/>
            <w:shd w:val="clear" w:color="auto" w:fill="auto"/>
          </w:tcPr>
          <w:p w14:paraId="3C072A8C" w14:textId="0051A2A1" w:rsidR="00CB17C7" w:rsidRPr="002E2558" w:rsidRDefault="002E2558">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2E2558">
              <w:rPr>
                <w:b/>
                <w:bCs/>
                <w:i/>
                <w:iCs/>
                <w:color w:val="1D336D" w:themeColor="background2"/>
              </w:rPr>
              <w:t xml:space="preserve">The project has provided comprehensive policy recommendations to the Government of Fiji </w:t>
            </w:r>
            <w:r w:rsidRPr="002E2558">
              <w:rPr>
                <w:i/>
                <w:iCs/>
                <w:color w:val="1D336D" w:themeColor="background2"/>
              </w:rPr>
              <w:t>(</w:t>
            </w:r>
            <w:proofErr w:type="spellStart"/>
            <w:r w:rsidRPr="002E2558">
              <w:rPr>
                <w:i/>
                <w:iCs/>
                <w:color w:val="1D336D" w:themeColor="background2"/>
              </w:rPr>
              <w:t>GoF</w:t>
            </w:r>
            <w:proofErr w:type="spellEnd"/>
            <w:r w:rsidRPr="002E2558">
              <w:rPr>
                <w:i/>
                <w:iCs/>
                <w:color w:val="1D336D" w:themeColor="background2"/>
              </w:rPr>
              <w:t xml:space="preserve">), including reports on drivers of deforestation, carbon financing options, benefit sharing, and carbon trading policies. The inputs enable the </w:t>
            </w:r>
            <w:proofErr w:type="spellStart"/>
            <w:r w:rsidRPr="002E2558">
              <w:rPr>
                <w:i/>
                <w:iCs/>
                <w:color w:val="1D336D" w:themeColor="background2"/>
              </w:rPr>
              <w:t>GoF</w:t>
            </w:r>
            <w:proofErr w:type="spellEnd"/>
            <w:r w:rsidRPr="002E2558">
              <w:rPr>
                <w:i/>
                <w:iCs/>
                <w:color w:val="1D336D" w:themeColor="background2"/>
              </w:rPr>
              <w:t xml:space="preserve"> to design and commit to the rollout at national level. The contributions could have been even greater if the investment governance facilitated effective coordination between the investment partners.</w:t>
            </w:r>
          </w:p>
        </w:tc>
      </w:tr>
      <w:tr w:rsidR="00CB17C7" w:rsidRPr="0053529A" w14:paraId="2281F466"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3F492EA7" w14:textId="78EB4DCA" w:rsidR="00CB17C7" w:rsidRPr="00186AE5" w:rsidRDefault="002E2558">
            <w:pPr>
              <w:jc w:val="center"/>
              <w:rPr>
                <w:b/>
                <w:bCs/>
                <w:color w:val="1D336D" w:themeColor="background2"/>
              </w:rPr>
            </w:pPr>
            <w:r w:rsidRPr="00186AE5">
              <w:rPr>
                <w:b/>
                <w:bCs/>
                <w:color w:val="1D336D" w:themeColor="background2"/>
              </w:rPr>
              <w:t>2</w:t>
            </w:r>
            <w:r w:rsidR="00054B50" w:rsidRPr="00186AE5">
              <w:rPr>
                <w:b/>
                <w:bCs/>
                <w:color w:val="1D336D" w:themeColor="background2"/>
              </w:rPr>
              <w:t>4</w:t>
            </w:r>
          </w:p>
        </w:tc>
        <w:tc>
          <w:tcPr>
            <w:tcW w:w="8924" w:type="dxa"/>
            <w:shd w:val="clear" w:color="auto" w:fill="auto"/>
          </w:tcPr>
          <w:p w14:paraId="758FA38B" w14:textId="5FED6F53" w:rsidR="00CB17C7" w:rsidRPr="002E2558" w:rsidRDefault="002E2558">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2E2558">
              <w:rPr>
                <w:b/>
                <w:bCs/>
                <w:i/>
                <w:iCs/>
                <w:color w:val="1D336D" w:themeColor="background2"/>
              </w:rPr>
              <w:t>An ongoing pilot project demonstrates the feasibility of certified blue carbon credits</w:t>
            </w:r>
            <w:r w:rsidRPr="002E2558">
              <w:rPr>
                <w:i/>
                <w:iCs/>
                <w:color w:val="1D336D" w:themeColor="background2"/>
              </w:rPr>
              <w:t xml:space="preserve">. Extensive testing and evaluation of various aspects of the restoration process have been conducted, including involvement of youth, women, and individuals with disabilities, debris removal, and nursery establishment. Discussions with the </w:t>
            </w:r>
            <w:proofErr w:type="spellStart"/>
            <w:r w:rsidRPr="002E2558">
              <w:rPr>
                <w:i/>
                <w:iCs/>
                <w:color w:val="1D336D" w:themeColor="background2"/>
              </w:rPr>
              <w:t>GoF</w:t>
            </w:r>
            <w:proofErr w:type="spellEnd"/>
            <w:r w:rsidRPr="002E2558">
              <w:rPr>
                <w:i/>
                <w:iCs/>
                <w:color w:val="1D336D" w:themeColor="background2"/>
              </w:rPr>
              <w:t xml:space="preserve"> are underway, and the project is being registered with a recognised carbon credit certification body. A well-documented overview of the approach could be valuable for other </w:t>
            </w:r>
            <w:proofErr w:type="spellStart"/>
            <w:r w:rsidRPr="002E2558">
              <w:rPr>
                <w:i/>
                <w:iCs/>
                <w:color w:val="1D336D" w:themeColor="background2"/>
              </w:rPr>
              <w:t>NbS</w:t>
            </w:r>
            <w:proofErr w:type="spellEnd"/>
            <w:r w:rsidRPr="002E2558">
              <w:rPr>
                <w:i/>
                <w:iCs/>
                <w:color w:val="1D336D" w:themeColor="background2"/>
              </w:rPr>
              <w:t xml:space="preserve"> investments.</w:t>
            </w:r>
          </w:p>
        </w:tc>
      </w:tr>
      <w:tr w:rsidR="00CB17C7" w:rsidRPr="0053529A" w14:paraId="22AEDF30"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E89ABEB" w14:textId="761424F5" w:rsidR="00CB17C7" w:rsidRPr="00186AE5" w:rsidRDefault="002E2558">
            <w:pPr>
              <w:jc w:val="center"/>
              <w:rPr>
                <w:b/>
                <w:bCs/>
                <w:color w:val="1D336D" w:themeColor="background2"/>
              </w:rPr>
            </w:pPr>
            <w:r w:rsidRPr="00186AE5">
              <w:rPr>
                <w:b/>
                <w:bCs/>
                <w:color w:val="1D336D" w:themeColor="background2"/>
              </w:rPr>
              <w:t>2</w:t>
            </w:r>
            <w:r w:rsidR="00054B50" w:rsidRPr="00186AE5">
              <w:rPr>
                <w:b/>
                <w:bCs/>
                <w:color w:val="1D336D" w:themeColor="background2"/>
              </w:rPr>
              <w:t>5</w:t>
            </w:r>
          </w:p>
        </w:tc>
        <w:tc>
          <w:tcPr>
            <w:tcW w:w="8924" w:type="dxa"/>
            <w:shd w:val="clear" w:color="auto" w:fill="auto"/>
          </w:tcPr>
          <w:p w14:paraId="32953F6C" w14:textId="172691B5" w:rsidR="00CB17C7" w:rsidRPr="002E2558" w:rsidRDefault="002E2558">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2E2558">
              <w:rPr>
                <w:b/>
                <w:bCs/>
                <w:i/>
                <w:iCs/>
                <w:color w:val="1D336D" w:themeColor="background2"/>
              </w:rPr>
              <w:t>Significant progress has been made in managing and restoring additional mangrove areas beyond the carbon credit pilot site</w:t>
            </w:r>
            <w:r w:rsidRPr="002E2558">
              <w:rPr>
                <w:i/>
                <w:iCs/>
                <w:color w:val="1D336D" w:themeColor="background2"/>
              </w:rPr>
              <w:t xml:space="preserve">. A comprehensive restoration approach has been implemented, with the establishment of nurseries to facilitate the process. Extensive consultations with communities and surveys on livelihoods have been conducted to ensure sustainable mangrove use and identify opportunities for livelihood improvement. The combination of </w:t>
            </w:r>
            <w:proofErr w:type="spellStart"/>
            <w:r w:rsidRPr="002E2558">
              <w:rPr>
                <w:i/>
                <w:iCs/>
                <w:color w:val="1D336D" w:themeColor="background2"/>
              </w:rPr>
              <w:t>NbS</w:t>
            </w:r>
            <w:proofErr w:type="spellEnd"/>
            <w:r w:rsidRPr="002E2558">
              <w:rPr>
                <w:i/>
                <w:iCs/>
                <w:color w:val="1D336D" w:themeColor="background2"/>
              </w:rPr>
              <w:t xml:space="preserve"> </w:t>
            </w:r>
            <w:r w:rsidRPr="002E2558">
              <w:rPr>
                <w:i/>
                <w:iCs/>
                <w:color w:val="1D336D" w:themeColor="background2"/>
              </w:rPr>
              <w:lastRenderedPageBreak/>
              <w:t xml:space="preserve">piloting with policy and science support is useful as a learning opportunity for other </w:t>
            </w:r>
            <w:proofErr w:type="spellStart"/>
            <w:r w:rsidRPr="002E2558">
              <w:rPr>
                <w:i/>
                <w:iCs/>
                <w:color w:val="1D336D" w:themeColor="background2"/>
              </w:rPr>
              <w:t>NbS</w:t>
            </w:r>
            <w:proofErr w:type="spellEnd"/>
            <w:r w:rsidRPr="002E2558">
              <w:rPr>
                <w:i/>
                <w:iCs/>
                <w:color w:val="1D336D" w:themeColor="background2"/>
              </w:rPr>
              <w:t xml:space="preserve"> investments.</w:t>
            </w:r>
          </w:p>
        </w:tc>
      </w:tr>
    </w:tbl>
    <w:p w14:paraId="7F0EC75A" w14:textId="1B686E20" w:rsidR="001442E2" w:rsidRDefault="00983D62" w:rsidP="00983D62">
      <w:pPr>
        <w:pStyle w:val="Heading2"/>
      </w:pPr>
      <w:bookmarkStart w:id="17" w:name="_Toc164783034"/>
      <w:r>
        <w:rPr>
          <w:caps w:val="0"/>
          <w:color w:val="152651" w:themeColor="background2" w:themeShade="BF"/>
          <w:sz w:val="24"/>
          <w:szCs w:val="24"/>
        </w:rPr>
        <w:lastRenderedPageBreak/>
        <w:t>The Coral Reef Innovation Project</w:t>
      </w:r>
      <w:bookmarkEnd w:id="17"/>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983D62" w:rsidRPr="0053529A" w14:paraId="22CCEAC8" w14:textId="77777777" w:rsidTr="00983D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shd w:val="clear" w:color="auto" w:fill="1D336D" w:themeFill="background2"/>
          </w:tcPr>
          <w:p w14:paraId="61EAAB1A" w14:textId="2D7BB66D" w:rsidR="00983D62" w:rsidRDefault="00983D62" w:rsidP="00983D62">
            <w:pPr>
              <w:jc w:val="center"/>
              <w:rPr>
                <w:b/>
                <w:bCs/>
                <w:color w:val="1D336D" w:themeColor="background2"/>
              </w:rPr>
            </w:pPr>
            <w:r w:rsidRPr="001442E2">
              <w:rPr>
                <w:b/>
                <w:bCs/>
                <w:color w:val="FFFFFF" w:themeColor="background1"/>
              </w:rPr>
              <w:t>#</w:t>
            </w:r>
          </w:p>
        </w:tc>
        <w:tc>
          <w:tcPr>
            <w:tcW w:w="8924" w:type="dxa"/>
            <w:shd w:val="clear" w:color="auto" w:fill="1D336D" w:themeFill="background2"/>
          </w:tcPr>
          <w:p w14:paraId="02B2DCCA" w14:textId="7E1238FA" w:rsidR="00983D62" w:rsidRPr="005C07B4" w:rsidRDefault="00983D62" w:rsidP="00983D62">
            <w:pPr>
              <w:cnfStyle w:val="100000000000" w:firstRow="1" w:lastRow="0" w:firstColumn="0" w:lastColumn="0" w:oddVBand="0" w:evenVBand="0" w:oddHBand="0" w:evenHBand="0" w:firstRowFirstColumn="0" w:firstRowLastColumn="0" w:lastRowFirstColumn="0" w:lastRowLastColumn="0"/>
              <w:rPr>
                <w:b/>
                <w:bCs/>
                <w:i/>
                <w:iCs/>
                <w:color w:val="1D336D" w:themeColor="background2"/>
              </w:rPr>
            </w:pPr>
            <w:r w:rsidRPr="001442E2">
              <w:rPr>
                <w:b/>
                <w:bCs/>
                <w:color w:val="FFFFFF" w:themeColor="background1"/>
              </w:rPr>
              <w:t>Finding</w:t>
            </w:r>
          </w:p>
        </w:tc>
      </w:tr>
      <w:tr w:rsidR="005C07B4" w:rsidRPr="0053529A" w14:paraId="49648D07"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1462002" w14:textId="797BFE17" w:rsidR="005C07B4" w:rsidRDefault="005C07B4">
            <w:pPr>
              <w:jc w:val="center"/>
              <w:rPr>
                <w:b/>
                <w:bCs/>
                <w:color w:val="1D336D" w:themeColor="background2"/>
              </w:rPr>
            </w:pPr>
            <w:r>
              <w:rPr>
                <w:b/>
                <w:bCs/>
                <w:color w:val="1D336D" w:themeColor="background2"/>
              </w:rPr>
              <w:t>2</w:t>
            </w:r>
            <w:r w:rsidR="00054B50">
              <w:rPr>
                <w:b/>
                <w:bCs/>
                <w:color w:val="1D336D" w:themeColor="background2"/>
              </w:rPr>
              <w:t>6</w:t>
            </w:r>
          </w:p>
        </w:tc>
        <w:tc>
          <w:tcPr>
            <w:tcW w:w="8924" w:type="dxa"/>
            <w:shd w:val="clear" w:color="auto" w:fill="auto"/>
          </w:tcPr>
          <w:p w14:paraId="3A46CE49" w14:textId="205E3A25" w:rsidR="005C07B4" w:rsidRPr="005C07B4" w:rsidRDefault="005C07B4">
            <w:pPr>
              <w:cnfStyle w:val="000000100000" w:firstRow="0" w:lastRow="0" w:firstColumn="0" w:lastColumn="0" w:oddVBand="0" w:evenVBand="0" w:oddHBand="1" w:evenHBand="0" w:firstRowFirstColumn="0" w:firstRowLastColumn="0" w:lastRowFirstColumn="0" w:lastRowLastColumn="0"/>
              <w:rPr>
                <w:i/>
                <w:iCs/>
                <w:color w:val="1D336D" w:themeColor="background2"/>
              </w:rPr>
            </w:pPr>
            <w:proofErr w:type="spellStart"/>
            <w:r w:rsidRPr="005C07B4">
              <w:rPr>
                <w:b/>
                <w:bCs/>
                <w:i/>
                <w:iCs/>
                <w:color w:val="1D336D" w:themeColor="background2"/>
              </w:rPr>
              <w:t>ReefCloud</w:t>
            </w:r>
            <w:proofErr w:type="spellEnd"/>
            <w:r w:rsidRPr="005C07B4">
              <w:rPr>
                <w:b/>
                <w:bCs/>
                <w:i/>
                <w:iCs/>
                <w:color w:val="1D336D" w:themeColor="background2"/>
              </w:rPr>
              <w:t xml:space="preserve"> has achieved its objective to become an efficient coral reef monitoring tool</w:t>
            </w:r>
            <w:r w:rsidRPr="005C07B4">
              <w:rPr>
                <w:i/>
                <w:iCs/>
                <w:color w:val="1D336D" w:themeColor="background2"/>
              </w:rPr>
              <w:t>. Users are satisfied with the platform's technical capabilities, and the quality of the artificial intelligence tool is expected to improve as the database expands.</w:t>
            </w:r>
          </w:p>
        </w:tc>
      </w:tr>
      <w:tr w:rsidR="005C07B4" w:rsidRPr="0053529A" w14:paraId="0B576916"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31831C76" w14:textId="24CFB6D6" w:rsidR="005C07B4" w:rsidRDefault="005C07B4">
            <w:pPr>
              <w:jc w:val="center"/>
              <w:rPr>
                <w:b/>
                <w:bCs/>
                <w:color w:val="1D336D" w:themeColor="background2"/>
              </w:rPr>
            </w:pPr>
            <w:r>
              <w:rPr>
                <w:b/>
                <w:bCs/>
                <w:color w:val="1D336D" w:themeColor="background2"/>
              </w:rPr>
              <w:t>2</w:t>
            </w:r>
            <w:r w:rsidR="00054B50">
              <w:rPr>
                <w:b/>
                <w:bCs/>
                <w:color w:val="1D336D" w:themeColor="background2"/>
              </w:rPr>
              <w:t>7</w:t>
            </w:r>
          </w:p>
        </w:tc>
        <w:tc>
          <w:tcPr>
            <w:tcW w:w="8924" w:type="dxa"/>
            <w:shd w:val="clear" w:color="auto" w:fill="auto"/>
          </w:tcPr>
          <w:p w14:paraId="0DE7A952" w14:textId="7E705EE3" w:rsidR="005C07B4" w:rsidRPr="005C07B4" w:rsidRDefault="005C07B4">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5C07B4">
              <w:rPr>
                <w:b/>
                <w:bCs/>
                <w:i/>
                <w:iCs/>
                <w:color w:val="1D336D" w:themeColor="background2"/>
              </w:rPr>
              <w:t xml:space="preserve">AIMS continues to develop the </w:t>
            </w:r>
            <w:proofErr w:type="spellStart"/>
            <w:r w:rsidRPr="005C07B4">
              <w:rPr>
                <w:b/>
                <w:bCs/>
                <w:i/>
                <w:iCs/>
                <w:color w:val="1D336D" w:themeColor="background2"/>
              </w:rPr>
              <w:t>ReefCloud</w:t>
            </w:r>
            <w:proofErr w:type="spellEnd"/>
            <w:r w:rsidRPr="005C07B4">
              <w:rPr>
                <w:b/>
                <w:bCs/>
                <w:i/>
                <w:iCs/>
                <w:color w:val="1D336D" w:themeColor="background2"/>
              </w:rPr>
              <w:t xml:space="preserve"> tool to increase effectiveness</w:t>
            </w:r>
            <w:r w:rsidRPr="005C07B4">
              <w:rPr>
                <w:i/>
                <w:iCs/>
                <w:color w:val="1D336D" w:themeColor="background2"/>
              </w:rPr>
              <w:t xml:space="preserve">. AIMS is addressing concerns about </w:t>
            </w:r>
            <w:r w:rsidR="57383E82" w:rsidRPr="73E6867D">
              <w:rPr>
                <w:i/>
                <w:iCs/>
                <w:color w:val="1D336D" w:themeColor="background2"/>
              </w:rPr>
              <w:t xml:space="preserve">data </w:t>
            </w:r>
            <w:r w:rsidRPr="005C07B4">
              <w:rPr>
                <w:i/>
                <w:iCs/>
                <w:color w:val="1D336D" w:themeColor="background2"/>
              </w:rPr>
              <w:t xml:space="preserve">ownership and usage. In addition, it is expanding the platform's scope beyond data analysis to inform national policy. Efforts are underway to integrate data from </w:t>
            </w:r>
            <w:proofErr w:type="spellStart"/>
            <w:r w:rsidRPr="005C07B4">
              <w:rPr>
                <w:i/>
                <w:iCs/>
                <w:color w:val="1D336D" w:themeColor="background2"/>
              </w:rPr>
              <w:t>ReefCloud</w:t>
            </w:r>
            <w:proofErr w:type="spellEnd"/>
            <w:r w:rsidRPr="005C07B4">
              <w:rPr>
                <w:i/>
                <w:iCs/>
                <w:color w:val="1D336D" w:themeColor="background2"/>
              </w:rPr>
              <w:t xml:space="preserve"> with contextual information to identify impactful policies and interventions for reef management.</w:t>
            </w:r>
          </w:p>
        </w:tc>
      </w:tr>
      <w:tr w:rsidR="005C07B4" w:rsidRPr="0053529A" w14:paraId="2DD3C962"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367309B" w14:textId="4FA5FA98" w:rsidR="005C07B4" w:rsidRDefault="005C07B4">
            <w:pPr>
              <w:jc w:val="center"/>
              <w:rPr>
                <w:b/>
                <w:bCs/>
                <w:color w:val="1D336D" w:themeColor="background2"/>
              </w:rPr>
            </w:pPr>
            <w:r>
              <w:rPr>
                <w:b/>
                <w:bCs/>
                <w:color w:val="1D336D" w:themeColor="background2"/>
              </w:rPr>
              <w:t>2</w:t>
            </w:r>
            <w:r w:rsidR="00054B50">
              <w:rPr>
                <w:b/>
                <w:bCs/>
                <w:color w:val="1D336D" w:themeColor="background2"/>
              </w:rPr>
              <w:t>8</w:t>
            </w:r>
          </w:p>
        </w:tc>
        <w:tc>
          <w:tcPr>
            <w:tcW w:w="8924" w:type="dxa"/>
            <w:shd w:val="clear" w:color="auto" w:fill="auto"/>
          </w:tcPr>
          <w:p w14:paraId="18C08C51" w14:textId="27BD92ED" w:rsidR="005C07B4" w:rsidRPr="005C07B4" w:rsidRDefault="005C07B4">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5C07B4">
              <w:rPr>
                <w:b/>
                <w:bCs/>
                <w:i/>
                <w:iCs/>
                <w:color w:val="1D336D" w:themeColor="background2"/>
              </w:rPr>
              <w:t xml:space="preserve">While the </w:t>
            </w:r>
            <w:proofErr w:type="spellStart"/>
            <w:r w:rsidRPr="005C07B4">
              <w:rPr>
                <w:b/>
                <w:bCs/>
                <w:i/>
                <w:iCs/>
                <w:color w:val="1D336D" w:themeColor="background2"/>
              </w:rPr>
              <w:t>ReefCloud</w:t>
            </w:r>
            <w:proofErr w:type="spellEnd"/>
            <w:r w:rsidRPr="005C07B4">
              <w:rPr>
                <w:b/>
                <w:bCs/>
                <w:i/>
                <w:iCs/>
                <w:color w:val="1D336D" w:themeColor="background2"/>
              </w:rPr>
              <w:t xml:space="preserve"> Investment is well managed and delivering high quality outputs, it does not meet the </w:t>
            </w:r>
            <w:proofErr w:type="spellStart"/>
            <w:r w:rsidRPr="005C07B4">
              <w:rPr>
                <w:b/>
                <w:bCs/>
                <w:i/>
                <w:iCs/>
                <w:color w:val="1D336D" w:themeColor="background2"/>
              </w:rPr>
              <w:t>NbS</w:t>
            </w:r>
            <w:proofErr w:type="spellEnd"/>
            <w:r w:rsidRPr="005C07B4">
              <w:rPr>
                <w:b/>
                <w:bCs/>
                <w:i/>
                <w:iCs/>
                <w:color w:val="1D336D" w:themeColor="background2"/>
              </w:rPr>
              <w:t xml:space="preserve"> criteria proposed by the evaluation team</w:t>
            </w:r>
            <w:r w:rsidRPr="005C07B4">
              <w:rPr>
                <w:i/>
                <w:iCs/>
                <w:color w:val="1D336D" w:themeColor="background2"/>
              </w:rPr>
              <w:t xml:space="preserve">. Whilst it can be argued that </w:t>
            </w:r>
            <w:proofErr w:type="spellStart"/>
            <w:r w:rsidRPr="005C07B4">
              <w:rPr>
                <w:i/>
                <w:iCs/>
                <w:color w:val="1D336D" w:themeColor="background2"/>
              </w:rPr>
              <w:t>ReefCloud</w:t>
            </w:r>
            <w:proofErr w:type="spellEnd"/>
            <w:r w:rsidRPr="005C07B4">
              <w:rPr>
                <w:i/>
                <w:iCs/>
                <w:color w:val="1D336D" w:themeColor="background2"/>
              </w:rPr>
              <w:t xml:space="preserve"> </w:t>
            </w:r>
            <w:r w:rsidR="1F82F9E7" w:rsidRPr="73E6867D">
              <w:rPr>
                <w:i/>
                <w:iCs/>
                <w:color w:val="1D336D" w:themeColor="background2"/>
              </w:rPr>
              <w:t>combines</w:t>
            </w:r>
            <w:r w:rsidRPr="005C07B4">
              <w:rPr>
                <w:i/>
                <w:iCs/>
                <w:color w:val="1D336D" w:themeColor="background2"/>
              </w:rPr>
              <w:t xml:space="preserve"> all three of the </w:t>
            </w:r>
            <w:proofErr w:type="spellStart"/>
            <w:r w:rsidRPr="005C07B4">
              <w:rPr>
                <w:i/>
                <w:iCs/>
                <w:color w:val="1D336D" w:themeColor="background2"/>
              </w:rPr>
              <w:t>NbS</w:t>
            </w:r>
            <w:proofErr w:type="spellEnd"/>
            <w:r w:rsidRPr="005C07B4">
              <w:rPr>
                <w:i/>
                <w:iCs/>
                <w:color w:val="1D336D" w:themeColor="background2"/>
              </w:rPr>
              <w:t xml:space="preserve"> pillars (biodiversity, livelihoods </w:t>
            </w:r>
            <w:r w:rsidR="00CF02BB" w:rsidRPr="005C07B4">
              <w:rPr>
                <w:i/>
                <w:iCs/>
                <w:color w:val="1D336D" w:themeColor="background2"/>
              </w:rPr>
              <w:t>and</w:t>
            </w:r>
            <w:r w:rsidRPr="005C07B4">
              <w:rPr>
                <w:i/>
                <w:iCs/>
                <w:color w:val="1D336D" w:themeColor="background2"/>
              </w:rPr>
              <w:t xml:space="preserve"> climate), it is not "a solution" (i.e., the project is not resolving a priority challenge faced by the target communities).</w:t>
            </w:r>
            <w:r w:rsidR="44A0083F" w:rsidRPr="73E6867D">
              <w:rPr>
                <w:i/>
                <w:iCs/>
                <w:color w:val="1D336D" w:themeColor="background2"/>
              </w:rPr>
              <w:t xml:space="preserve"> Nevertheless, the evaluation has assessed </w:t>
            </w:r>
            <w:proofErr w:type="spellStart"/>
            <w:r w:rsidR="44A0083F" w:rsidRPr="73E6867D">
              <w:rPr>
                <w:i/>
                <w:iCs/>
                <w:color w:val="1D336D" w:themeColor="background2"/>
              </w:rPr>
              <w:t>ReefCloud</w:t>
            </w:r>
            <w:proofErr w:type="spellEnd"/>
            <w:r w:rsidR="44A0083F" w:rsidRPr="73E6867D">
              <w:rPr>
                <w:i/>
                <w:iCs/>
                <w:color w:val="1D336D" w:themeColor="background2"/>
              </w:rPr>
              <w:t xml:space="preserve"> against all </w:t>
            </w:r>
            <w:proofErr w:type="spellStart"/>
            <w:r w:rsidR="44A0083F" w:rsidRPr="73E6867D">
              <w:rPr>
                <w:i/>
                <w:iCs/>
                <w:color w:val="1D336D" w:themeColor="background2"/>
              </w:rPr>
              <w:t>NbS</w:t>
            </w:r>
            <w:proofErr w:type="spellEnd"/>
            <w:r w:rsidR="44A0083F" w:rsidRPr="73E6867D">
              <w:rPr>
                <w:i/>
                <w:iCs/>
                <w:color w:val="1D336D" w:themeColor="background2"/>
              </w:rPr>
              <w:t xml:space="preserve"> criteria for consistency and to identify lessons for future </w:t>
            </w:r>
            <w:proofErr w:type="spellStart"/>
            <w:r w:rsidR="44A0083F" w:rsidRPr="73E6867D">
              <w:rPr>
                <w:i/>
                <w:iCs/>
                <w:color w:val="1D336D" w:themeColor="background2"/>
              </w:rPr>
              <w:t>NbS</w:t>
            </w:r>
            <w:proofErr w:type="spellEnd"/>
            <w:r w:rsidR="44A0083F" w:rsidRPr="73E6867D">
              <w:rPr>
                <w:i/>
                <w:iCs/>
                <w:color w:val="1D336D" w:themeColor="background2"/>
              </w:rPr>
              <w:t xml:space="preserve"> project</w:t>
            </w:r>
            <w:r w:rsidR="56450969" w:rsidRPr="73E6867D">
              <w:rPr>
                <w:i/>
                <w:iCs/>
                <w:color w:val="1D336D" w:themeColor="background2"/>
              </w:rPr>
              <w:t>s</w:t>
            </w:r>
            <w:r w:rsidR="44A0083F" w:rsidRPr="73E6867D">
              <w:rPr>
                <w:i/>
                <w:iCs/>
                <w:color w:val="1D336D" w:themeColor="background2"/>
              </w:rPr>
              <w:t xml:space="preserve"> focusing on reef restoration or conservation.</w:t>
            </w:r>
          </w:p>
        </w:tc>
      </w:tr>
    </w:tbl>
    <w:p w14:paraId="6F334416" w14:textId="77777777" w:rsidR="00EA7FE2" w:rsidRDefault="00EA7FE2" w:rsidP="00B814D2"/>
    <w:p w14:paraId="0918A08C" w14:textId="4D646017" w:rsidR="007E1BF8" w:rsidRPr="007E1BF8" w:rsidRDefault="00EA7FE2" w:rsidP="007E1BF8">
      <w:pPr>
        <w:pStyle w:val="Heading1"/>
      </w:pPr>
      <w:bookmarkStart w:id="18" w:name="_Toc164783035"/>
      <w:r w:rsidRPr="00EA7FE2">
        <w:t>Recommendations (Strategic level)</w:t>
      </w:r>
      <w:bookmarkEnd w:id="18"/>
      <w:r w:rsidRPr="00EA7FE2">
        <w:t xml:space="preserve"> </w:t>
      </w:r>
      <w:r w:rsidRPr="00EA7FE2">
        <w:tab/>
      </w:r>
    </w:p>
    <w:tbl>
      <w:tblPr>
        <w:tblW w:w="0" w:type="auto"/>
        <w:jc w:val="center"/>
        <w:tblBorders>
          <w:bottom w:val="single" w:sz="4" w:space="0" w:color="1D336D"/>
          <w:insideH w:val="single" w:sz="4" w:space="0" w:color="1D336D"/>
        </w:tblBorders>
        <w:tblLayout w:type="fixed"/>
        <w:tblCellMar>
          <w:left w:w="0" w:type="dxa"/>
          <w:right w:w="0" w:type="dxa"/>
        </w:tblCellMar>
        <w:tblLook w:val="01E0" w:firstRow="1" w:lastRow="1" w:firstColumn="1" w:lastColumn="1" w:noHBand="0" w:noVBand="0"/>
      </w:tblPr>
      <w:tblGrid>
        <w:gridCol w:w="711"/>
        <w:gridCol w:w="7631"/>
        <w:gridCol w:w="1298"/>
      </w:tblGrid>
      <w:tr w:rsidR="00CB2CB5" w14:paraId="05490BD6" w14:textId="77777777" w:rsidTr="00983D62">
        <w:trPr>
          <w:trHeight w:val="887"/>
          <w:tblHeader/>
          <w:jc w:val="center"/>
        </w:trPr>
        <w:tc>
          <w:tcPr>
            <w:tcW w:w="711" w:type="dxa"/>
            <w:shd w:val="clear" w:color="auto" w:fill="1D336D" w:themeFill="background2"/>
          </w:tcPr>
          <w:p w14:paraId="35BDE27A" w14:textId="77777777" w:rsidR="00CB2CB5" w:rsidRPr="00983D62" w:rsidRDefault="00CB2CB5">
            <w:pPr>
              <w:pStyle w:val="TableParagraph"/>
              <w:spacing w:before="134"/>
              <w:rPr>
                <w:b/>
                <w:color w:val="FFFFFF" w:themeColor="background1"/>
                <w:sz w:val="20"/>
              </w:rPr>
            </w:pPr>
            <w:bookmarkStart w:id="19" w:name="_Hlk164782288"/>
            <w:r w:rsidRPr="00983D62">
              <w:rPr>
                <w:b/>
                <w:color w:val="FFFFFF" w:themeColor="background1"/>
                <w:spacing w:val="-10"/>
                <w:sz w:val="20"/>
              </w:rPr>
              <w:t>#</w:t>
            </w:r>
          </w:p>
        </w:tc>
        <w:tc>
          <w:tcPr>
            <w:tcW w:w="7631" w:type="dxa"/>
            <w:shd w:val="clear" w:color="auto" w:fill="1D336D" w:themeFill="background2"/>
          </w:tcPr>
          <w:p w14:paraId="50A61F89" w14:textId="77777777" w:rsidR="00CB2CB5" w:rsidRPr="00983D62" w:rsidRDefault="00CB2CB5">
            <w:pPr>
              <w:pStyle w:val="TableParagraph"/>
              <w:spacing w:before="134"/>
              <w:ind w:left="14"/>
              <w:rPr>
                <w:b/>
                <w:color w:val="FFFFFF" w:themeColor="background1"/>
                <w:sz w:val="20"/>
              </w:rPr>
            </w:pPr>
            <w:r w:rsidRPr="00983D62">
              <w:rPr>
                <w:b/>
                <w:color w:val="FFFFFF" w:themeColor="background1"/>
                <w:spacing w:val="-2"/>
                <w:sz w:val="20"/>
              </w:rPr>
              <w:t>Recommendation</w:t>
            </w:r>
          </w:p>
        </w:tc>
        <w:tc>
          <w:tcPr>
            <w:tcW w:w="1298" w:type="dxa"/>
            <w:shd w:val="clear" w:color="auto" w:fill="1D336D" w:themeFill="background2"/>
          </w:tcPr>
          <w:p w14:paraId="1014B3F9" w14:textId="77777777" w:rsidR="00CB2CB5" w:rsidRPr="00983D62" w:rsidRDefault="00CB2CB5">
            <w:pPr>
              <w:pStyle w:val="TableParagraph"/>
              <w:spacing w:before="131" w:line="292" w:lineRule="auto"/>
              <w:ind w:left="110" w:right="237"/>
              <w:rPr>
                <w:b/>
                <w:color w:val="FFFFFF" w:themeColor="background1"/>
                <w:sz w:val="20"/>
              </w:rPr>
            </w:pPr>
            <w:r w:rsidRPr="00983D62">
              <w:rPr>
                <w:b/>
                <w:color w:val="FFFFFF" w:themeColor="background1"/>
                <w:spacing w:val="-4"/>
                <w:sz w:val="20"/>
              </w:rPr>
              <w:t xml:space="preserve">See </w:t>
            </w:r>
            <w:r w:rsidRPr="00983D62">
              <w:rPr>
                <w:b/>
                <w:color w:val="FFFFFF" w:themeColor="background1"/>
                <w:sz w:val="20"/>
              </w:rPr>
              <w:t>findings</w:t>
            </w:r>
            <w:r w:rsidRPr="00983D62">
              <w:rPr>
                <w:b/>
                <w:color w:val="FFFFFF" w:themeColor="background1"/>
                <w:spacing w:val="-14"/>
                <w:sz w:val="20"/>
              </w:rPr>
              <w:t xml:space="preserve"> </w:t>
            </w:r>
            <w:r w:rsidRPr="00983D62">
              <w:rPr>
                <w:b/>
                <w:color w:val="FFFFFF" w:themeColor="background1"/>
                <w:sz w:val="20"/>
              </w:rPr>
              <w:t>#</w:t>
            </w:r>
          </w:p>
        </w:tc>
      </w:tr>
      <w:bookmarkEnd w:id="19"/>
      <w:tr w:rsidR="00CB2CB5" w14:paraId="61467D3F" w14:textId="77777777" w:rsidTr="006E7363">
        <w:trPr>
          <w:trHeight w:val="589"/>
          <w:jc w:val="center"/>
        </w:trPr>
        <w:tc>
          <w:tcPr>
            <w:tcW w:w="711" w:type="dxa"/>
            <w:shd w:val="clear" w:color="auto" w:fill="F1F1F1"/>
          </w:tcPr>
          <w:p w14:paraId="5E57C2F1" w14:textId="77777777" w:rsidR="00CB2CB5" w:rsidRDefault="00CB2CB5">
            <w:pPr>
              <w:pStyle w:val="TableParagraph"/>
              <w:spacing w:before="116"/>
              <w:ind w:left="0" w:right="297"/>
              <w:jc w:val="right"/>
              <w:rPr>
                <w:b/>
                <w:sz w:val="20"/>
              </w:rPr>
            </w:pPr>
            <w:r>
              <w:rPr>
                <w:b/>
                <w:color w:val="1D336C"/>
                <w:spacing w:val="-10"/>
                <w:sz w:val="20"/>
              </w:rPr>
              <w:t>1</w:t>
            </w:r>
          </w:p>
        </w:tc>
        <w:tc>
          <w:tcPr>
            <w:tcW w:w="7631" w:type="dxa"/>
          </w:tcPr>
          <w:p w14:paraId="67DE8C36" w14:textId="77777777" w:rsidR="00CB2CB5" w:rsidRDefault="00CB2CB5">
            <w:pPr>
              <w:pStyle w:val="TableParagraph"/>
              <w:spacing w:before="116"/>
              <w:ind w:left="83"/>
              <w:rPr>
                <w:i/>
                <w:iCs/>
                <w:sz w:val="20"/>
                <w:szCs w:val="20"/>
              </w:rPr>
            </w:pPr>
            <w:r w:rsidRPr="2B37D4A4">
              <w:rPr>
                <w:i/>
                <w:iCs/>
                <w:color w:val="1D336C"/>
                <w:sz w:val="20"/>
                <w:szCs w:val="20"/>
              </w:rPr>
              <w:t>An</w:t>
            </w:r>
            <w:r w:rsidRPr="2B37D4A4">
              <w:rPr>
                <w:i/>
                <w:iCs/>
                <w:color w:val="1D336C"/>
                <w:spacing w:val="-8"/>
                <w:sz w:val="20"/>
                <w:szCs w:val="20"/>
              </w:rPr>
              <w:t xml:space="preserve"> </w:t>
            </w:r>
            <w:r w:rsidRPr="2B37D4A4">
              <w:rPr>
                <w:i/>
                <w:iCs/>
                <w:color w:val="1D336C"/>
                <w:sz w:val="20"/>
                <w:szCs w:val="20"/>
              </w:rPr>
              <w:t>ambitious</w:t>
            </w:r>
            <w:r w:rsidRPr="2B37D4A4">
              <w:rPr>
                <w:i/>
                <w:iCs/>
                <w:color w:val="1D336C"/>
                <w:spacing w:val="-6"/>
                <w:sz w:val="20"/>
                <w:szCs w:val="20"/>
              </w:rPr>
              <w:t xml:space="preserve"> </w:t>
            </w:r>
            <w:r w:rsidRPr="2B37D4A4">
              <w:rPr>
                <w:i/>
                <w:iCs/>
                <w:color w:val="1D336C"/>
                <w:sz w:val="20"/>
                <w:szCs w:val="20"/>
              </w:rPr>
              <w:t>definition</w:t>
            </w:r>
            <w:r w:rsidRPr="2B37D4A4">
              <w:rPr>
                <w:i/>
                <w:iCs/>
                <w:color w:val="1D336C"/>
                <w:spacing w:val="-7"/>
                <w:sz w:val="20"/>
                <w:szCs w:val="20"/>
              </w:rPr>
              <w:t xml:space="preserve"> </w:t>
            </w:r>
            <w:r w:rsidRPr="2B37D4A4">
              <w:rPr>
                <w:i/>
                <w:iCs/>
                <w:color w:val="1D336C"/>
                <w:sz w:val="20"/>
                <w:szCs w:val="20"/>
              </w:rPr>
              <w:t>for</w:t>
            </w:r>
            <w:r w:rsidRPr="2B37D4A4">
              <w:rPr>
                <w:i/>
                <w:iCs/>
                <w:color w:val="1D336C"/>
                <w:spacing w:val="-5"/>
                <w:sz w:val="20"/>
                <w:szCs w:val="20"/>
              </w:rPr>
              <w:t xml:space="preserve"> </w:t>
            </w:r>
            <w:proofErr w:type="spellStart"/>
            <w:r w:rsidRPr="2B37D4A4">
              <w:rPr>
                <w:i/>
                <w:iCs/>
                <w:color w:val="1D336C"/>
                <w:sz w:val="20"/>
                <w:szCs w:val="20"/>
              </w:rPr>
              <w:t>NbS</w:t>
            </w:r>
            <w:proofErr w:type="spellEnd"/>
            <w:r w:rsidRPr="2B37D4A4">
              <w:rPr>
                <w:i/>
                <w:iCs/>
                <w:color w:val="1D336C"/>
                <w:spacing w:val="-8"/>
                <w:sz w:val="20"/>
                <w:szCs w:val="20"/>
              </w:rPr>
              <w:t xml:space="preserve"> </w:t>
            </w:r>
            <w:r w:rsidRPr="2B37D4A4">
              <w:rPr>
                <w:i/>
                <w:iCs/>
                <w:color w:val="1D336C"/>
                <w:sz w:val="20"/>
                <w:szCs w:val="20"/>
              </w:rPr>
              <w:t>should</w:t>
            </w:r>
            <w:r w:rsidRPr="2B37D4A4">
              <w:rPr>
                <w:i/>
                <w:iCs/>
                <w:color w:val="1D336C"/>
                <w:spacing w:val="-7"/>
                <w:sz w:val="20"/>
                <w:szCs w:val="20"/>
              </w:rPr>
              <w:t xml:space="preserve"> </w:t>
            </w:r>
            <w:r w:rsidRPr="2B37D4A4">
              <w:rPr>
                <w:i/>
                <w:iCs/>
                <w:color w:val="1D336C"/>
                <w:sz w:val="20"/>
                <w:szCs w:val="20"/>
              </w:rPr>
              <w:t>be</w:t>
            </w:r>
            <w:r w:rsidRPr="2B37D4A4">
              <w:rPr>
                <w:i/>
                <w:iCs/>
                <w:color w:val="1D336C"/>
                <w:spacing w:val="-8"/>
                <w:sz w:val="20"/>
                <w:szCs w:val="20"/>
              </w:rPr>
              <w:t xml:space="preserve"> </w:t>
            </w:r>
            <w:r w:rsidRPr="2B37D4A4">
              <w:rPr>
                <w:i/>
                <w:iCs/>
                <w:color w:val="1D336C"/>
                <w:sz w:val="20"/>
                <w:szCs w:val="20"/>
              </w:rPr>
              <w:t>established</w:t>
            </w:r>
            <w:r w:rsidRPr="2B37D4A4">
              <w:rPr>
                <w:i/>
                <w:iCs/>
                <w:color w:val="1D336C"/>
                <w:spacing w:val="-3"/>
                <w:sz w:val="20"/>
                <w:szCs w:val="20"/>
              </w:rPr>
              <w:t xml:space="preserve"> </w:t>
            </w:r>
            <w:r w:rsidRPr="2B37D4A4">
              <w:rPr>
                <w:i/>
                <w:iCs/>
                <w:color w:val="1D336C"/>
                <w:sz w:val="20"/>
                <w:szCs w:val="20"/>
              </w:rPr>
              <w:t>at</w:t>
            </w:r>
            <w:r w:rsidRPr="2B37D4A4">
              <w:rPr>
                <w:i/>
                <w:iCs/>
                <w:color w:val="1D336C"/>
                <w:spacing w:val="-8"/>
                <w:sz w:val="20"/>
                <w:szCs w:val="20"/>
              </w:rPr>
              <w:t xml:space="preserve"> </w:t>
            </w:r>
            <w:r w:rsidRPr="2B37D4A4">
              <w:rPr>
                <w:i/>
                <w:iCs/>
                <w:color w:val="1D336C"/>
                <w:sz w:val="20"/>
                <w:szCs w:val="20"/>
              </w:rPr>
              <w:t>the</w:t>
            </w:r>
            <w:r w:rsidRPr="2B37D4A4">
              <w:rPr>
                <w:i/>
                <w:iCs/>
                <w:color w:val="1D336C"/>
                <w:spacing w:val="-7"/>
                <w:sz w:val="20"/>
                <w:szCs w:val="20"/>
              </w:rPr>
              <w:t xml:space="preserve"> strategic</w:t>
            </w:r>
            <w:r w:rsidRPr="2B37D4A4">
              <w:rPr>
                <w:i/>
                <w:iCs/>
                <w:color w:val="1D336C"/>
                <w:spacing w:val="-6"/>
                <w:sz w:val="20"/>
                <w:szCs w:val="20"/>
              </w:rPr>
              <w:t xml:space="preserve"> </w:t>
            </w:r>
            <w:r w:rsidRPr="2B37D4A4">
              <w:rPr>
                <w:i/>
                <w:iCs/>
                <w:color w:val="1D336C"/>
                <w:spacing w:val="-2"/>
                <w:sz w:val="20"/>
                <w:szCs w:val="20"/>
              </w:rPr>
              <w:t>level.</w:t>
            </w:r>
          </w:p>
        </w:tc>
        <w:tc>
          <w:tcPr>
            <w:tcW w:w="1298" w:type="dxa"/>
          </w:tcPr>
          <w:p w14:paraId="5FB5ECB3" w14:textId="77777777" w:rsidR="00CB2CB5" w:rsidRDefault="00CB2CB5">
            <w:pPr>
              <w:pStyle w:val="TableParagraph"/>
              <w:spacing w:before="116"/>
              <w:ind w:left="110"/>
              <w:rPr>
                <w:sz w:val="20"/>
              </w:rPr>
            </w:pPr>
            <w:r>
              <w:rPr>
                <w:sz w:val="20"/>
              </w:rPr>
              <w:t>1,</w:t>
            </w:r>
            <w:r>
              <w:rPr>
                <w:spacing w:val="-4"/>
                <w:sz w:val="20"/>
              </w:rPr>
              <w:t xml:space="preserve"> </w:t>
            </w:r>
            <w:r>
              <w:rPr>
                <w:sz w:val="20"/>
              </w:rPr>
              <w:t>5,</w:t>
            </w:r>
            <w:r>
              <w:rPr>
                <w:spacing w:val="-2"/>
                <w:sz w:val="20"/>
              </w:rPr>
              <w:t xml:space="preserve"> </w:t>
            </w:r>
            <w:r>
              <w:rPr>
                <w:spacing w:val="-10"/>
                <w:sz w:val="20"/>
              </w:rPr>
              <w:t>8</w:t>
            </w:r>
          </w:p>
        </w:tc>
      </w:tr>
      <w:tr w:rsidR="00CB2CB5" w14:paraId="44A6124F" w14:textId="77777777" w:rsidTr="006E7363">
        <w:trPr>
          <w:trHeight w:val="890"/>
          <w:jc w:val="center"/>
        </w:trPr>
        <w:tc>
          <w:tcPr>
            <w:tcW w:w="711" w:type="dxa"/>
            <w:shd w:val="clear" w:color="auto" w:fill="F1F1F1"/>
          </w:tcPr>
          <w:p w14:paraId="683FBB24" w14:textId="77777777" w:rsidR="00CB2CB5" w:rsidRDefault="00CB2CB5">
            <w:pPr>
              <w:pStyle w:val="TableParagraph"/>
              <w:ind w:left="0" w:right="297"/>
              <w:jc w:val="right"/>
              <w:rPr>
                <w:b/>
                <w:sz w:val="20"/>
              </w:rPr>
            </w:pPr>
            <w:r>
              <w:rPr>
                <w:b/>
                <w:color w:val="1D336C"/>
                <w:spacing w:val="-10"/>
                <w:sz w:val="20"/>
              </w:rPr>
              <w:t>2</w:t>
            </w:r>
          </w:p>
        </w:tc>
        <w:tc>
          <w:tcPr>
            <w:tcW w:w="7631" w:type="dxa"/>
          </w:tcPr>
          <w:p w14:paraId="6FFB4B70" w14:textId="77777777" w:rsidR="00CB2CB5" w:rsidRDefault="00CB2CB5">
            <w:pPr>
              <w:pStyle w:val="TableParagraph"/>
              <w:spacing w:line="292" w:lineRule="auto"/>
              <w:ind w:left="83"/>
              <w:rPr>
                <w:i/>
                <w:iCs/>
                <w:sz w:val="20"/>
                <w:szCs w:val="20"/>
              </w:rPr>
            </w:pPr>
            <w:r w:rsidRPr="2B37D4A4">
              <w:rPr>
                <w:i/>
                <w:iCs/>
                <w:color w:val="1D336C"/>
                <w:sz w:val="20"/>
                <w:szCs w:val="20"/>
              </w:rPr>
              <w:t>To</w:t>
            </w:r>
            <w:r w:rsidRPr="2B37D4A4">
              <w:rPr>
                <w:i/>
                <w:iCs/>
                <w:color w:val="1D336C"/>
                <w:spacing w:val="-6"/>
                <w:sz w:val="20"/>
                <w:szCs w:val="20"/>
              </w:rPr>
              <w:t xml:space="preserve"> </w:t>
            </w:r>
            <w:r w:rsidRPr="002B0D8C">
              <w:rPr>
                <w:i/>
                <w:iCs/>
                <w:color w:val="1D336C"/>
                <w:sz w:val="20"/>
                <w:szCs w:val="20"/>
                <w:lang w:val="en-GB"/>
              </w:rPr>
              <w:t>operationalise</w:t>
            </w:r>
            <w:r w:rsidRPr="2B37D4A4">
              <w:rPr>
                <w:i/>
                <w:iCs/>
                <w:color w:val="1D336C"/>
                <w:spacing w:val="-4"/>
                <w:sz w:val="20"/>
                <w:szCs w:val="20"/>
              </w:rPr>
              <w:t xml:space="preserve"> </w:t>
            </w:r>
            <w:r w:rsidRPr="2B37D4A4">
              <w:rPr>
                <w:i/>
                <w:iCs/>
                <w:color w:val="1D336C"/>
                <w:sz w:val="20"/>
                <w:szCs w:val="20"/>
              </w:rPr>
              <w:t>the</w:t>
            </w:r>
            <w:r w:rsidRPr="2B37D4A4">
              <w:rPr>
                <w:i/>
                <w:iCs/>
                <w:color w:val="1D336C"/>
                <w:spacing w:val="-5"/>
                <w:sz w:val="20"/>
                <w:szCs w:val="20"/>
              </w:rPr>
              <w:t xml:space="preserve"> </w:t>
            </w:r>
            <w:proofErr w:type="spellStart"/>
            <w:r w:rsidRPr="2B37D4A4">
              <w:rPr>
                <w:i/>
                <w:iCs/>
                <w:color w:val="1D336C"/>
                <w:sz w:val="20"/>
                <w:szCs w:val="20"/>
              </w:rPr>
              <w:t>NbS</w:t>
            </w:r>
            <w:proofErr w:type="spellEnd"/>
            <w:r w:rsidRPr="2B37D4A4">
              <w:rPr>
                <w:i/>
                <w:iCs/>
                <w:color w:val="1D336C"/>
                <w:spacing w:val="-6"/>
                <w:sz w:val="20"/>
                <w:szCs w:val="20"/>
              </w:rPr>
              <w:t xml:space="preserve"> </w:t>
            </w:r>
            <w:r w:rsidRPr="2B37D4A4">
              <w:rPr>
                <w:i/>
                <w:iCs/>
                <w:color w:val="1D336C"/>
                <w:sz w:val="20"/>
                <w:szCs w:val="20"/>
              </w:rPr>
              <w:t>definition,</w:t>
            </w:r>
            <w:r w:rsidRPr="2B37D4A4">
              <w:rPr>
                <w:i/>
                <w:iCs/>
                <w:color w:val="1D336C"/>
                <w:spacing w:val="-6"/>
                <w:sz w:val="20"/>
                <w:szCs w:val="20"/>
              </w:rPr>
              <w:t xml:space="preserve"> </w:t>
            </w:r>
            <w:r w:rsidRPr="2B37D4A4">
              <w:rPr>
                <w:i/>
                <w:iCs/>
                <w:color w:val="1D336C"/>
                <w:sz w:val="20"/>
                <w:szCs w:val="20"/>
              </w:rPr>
              <w:t>all</w:t>
            </w:r>
            <w:r w:rsidRPr="2B37D4A4">
              <w:rPr>
                <w:i/>
                <w:iCs/>
                <w:color w:val="1D336C"/>
                <w:spacing w:val="-5"/>
                <w:sz w:val="20"/>
                <w:szCs w:val="20"/>
              </w:rPr>
              <w:t xml:space="preserve"> </w:t>
            </w:r>
            <w:proofErr w:type="spellStart"/>
            <w:r w:rsidRPr="2B37D4A4">
              <w:rPr>
                <w:i/>
                <w:iCs/>
                <w:color w:val="1D336C"/>
                <w:sz w:val="20"/>
                <w:szCs w:val="20"/>
              </w:rPr>
              <w:t>NbS</w:t>
            </w:r>
            <w:proofErr w:type="spellEnd"/>
            <w:r w:rsidRPr="2B37D4A4">
              <w:rPr>
                <w:i/>
                <w:iCs/>
                <w:color w:val="1D336C"/>
                <w:sz w:val="20"/>
                <w:szCs w:val="20"/>
              </w:rPr>
              <w:t xml:space="preserve"> terminology,</w:t>
            </w:r>
            <w:r w:rsidRPr="2B37D4A4">
              <w:rPr>
                <w:i/>
                <w:iCs/>
                <w:color w:val="1D336C"/>
                <w:spacing w:val="-4"/>
                <w:sz w:val="20"/>
                <w:szCs w:val="20"/>
              </w:rPr>
              <w:t xml:space="preserve"> </w:t>
            </w:r>
            <w:r w:rsidRPr="2B37D4A4">
              <w:rPr>
                <w:i/>
                <w:iCs/>
                <w:color w:val="1D336C"/>
                <w:sz w:val="20"/>
                <w:szCs w:val="20"/>
              </w:rPr>
              <w:t>operational criteria,</w:t>
            </w:r>
            <w:r w:rsidRPr="2B37D4A4">
              <w:rPr>
                <w:i/>
                <w:iCs/>
                <w:color w:val="1D336C"/>
                <w:spacing w:val="-9"/>
                <w:sz w:val="20"/>
                <w:szCs w:val="20"/>
              </w:rPr>
              <w:t xml:space="preserve"> </w:t>
            </w:r>
            <w:r w:rsidRPr="2B37D4A4">
              <w:rPr>
                <w:i/>
                <w:iCs/>
                <w:color w:val="1D336C"/>
                <w:sz w:val="20"/>
                <w:szCs w:val="20"/>
              </w:rPr>
              <w:t>and</w:t>
            </w:r>
            <w:r w:rsidRPr="2B37D4A4">
              <w:rPr>
                <w:i/>
                <w:iCs/>
                <w:color w:val="1D336C"/>
                <w:spacing w:val="-8"/>
                <w:sz w:val="20"/>
                <w:szCs w:val="20"/>
              </w:rPr>
              <w:t xml:space="preserve"> </w:t>
            </w:r>
            <w:r w:rsidRPr="2B37D4A4">
              <w:rPr>
                <w:i/>
                <w:iCs/>
                <w:color w:val="1D336C"/>
                <w:sz w:val="20"/>
                <w:szCs w:val="20"/>
              </w:rPr>
              <w:t>minimum</w:t>
            </w:r>
            <w:r w:rsidRPr="2B37D4A4">
              <w:rPr>
                <w:i/>
                <w:iCs/>
                <w:color w:val="1D336C"/>
                <w:spacing w:val="-10"/>
                <w:sz w:val="20"/>
                <w:szCs w:val="20"/>
              </w:rPr>
              <w:t xml:space="preserve"> </w:t>
            </w:r>
            <w:r w:rsidRPr="2B37D4A4">
              <w:rPr>
                <w:i/>
                <w:iCs/>
                <w:color w:val="1D336C"/>
                <w:sz w:val="20"/>
                <w:szCs w:val="20"/>
              </w:rPr>
              <w:t>performance</w:t>
            </w:r>
            <w:r w:rsidRPr="2B37D4A4">
              <w:rPr>
                <w:i/>
                <w:iCs/>
                <w:color w:val="1D336C"/>
                <w:spacing w:val="-10"/>
                <w:sz w:val="20"/>
                <w:szCs w:val="20"/>
              </w:rPr>
              <w:t xml:space="preserve"> </w:t>
            </w:r>
            <w:r w:rsidRPr="2B37D4A4">
              <w:rPr>
                <w:i/>
                <w:iCs/>
                <w:color w:val="1D336C"/>
                <w:sz w:val="20"/>
                <w:szCs w:val="20"/>
              </w:rPr>
              <w:t>targets</w:t>
            </w:r>
            <w:r w:rsidRPr="2B37D4A4">
              <w:rPr>
                <w:i/>
                <w:iCs/>
                <w:color w:val="1D336C"/>
                <w:spacing w:val="-9"/>
                <w:sz w:val="20"/>
                <w:szCs w:val="20"/>
              </w:rPr>
              <w:t xml:space="preserve"> </w:t>
            </w:r>
            <w:r w:rsidRPr="2B37D4A4">
              <w:rPr>
                <w:i/>
                <w:iCs/>
                <w:color w:val="1D336C"/>
                <w:sz w:val="20"/>
                <w:szCs w:val="20"/>
              </w:rPr>
              <w:t>should</w:t>
            </w:r>
            <w:r w:rsidRPr="2B37D4A4">
              <w:rPr>
                <w:i/>
                <w:iCs/>
                <w:color w:val="1D336C"/>
                <w:spacing w:val="-10"/>
                <w:sz w:val="20"/>
                <w:szCs w:val="20"/>
              </w:rPr>
              <w:t xml:space="preserve"> </w:t>
            </w:r>
            <w:r w:rsidRPr="2B37D4A4">
              <w:rPr>
                <w:i/>
                <w:iCs/>
                <w:color w:val="1D336C"/>
                <w:sz w:val="20"/>
                <w:szCs w:val="20"/>
              </w:rPr>
              <w:t>be</w:t>
            </w:r>
            <w:r w:rsidRPr="2B37D4A4">
              <w:rPr>
                <w:i/>
                <w:iCs/>
                <w:color w:val="1D336C"/>
                <w:spacing w:val="-9"/>
                <w:sz w:val="20"/>
                <w:szCs w:val="20"/>
              </w:rPr>
              <w:t xml:space="preserve"> </w:t>
            </w:r>
            <w:r w:rsidRPr="2B37D4A4">
              <w:rPr>
                <w:i/>
                <w:iCs/>
                <w:color w:val="1D336C"/>
                <w:sz w:val="20"/>
                <w:szCs w:val="20"/>
              </w:rPr>
              <w:t>comprehensively</w:t>
            </w:r>
            <w:r w:rsidRPr="2B37D4A4">
              <w:rPr>
                <w:i/>
                <w:iCs/>
                <w:color w:val="1D336C"/>
                <w:spacing w:val="-9"/>
                <w:sz w:val="20"/>
                <w:szCs w:val="20"/>
              </w:rPr>
              <w:t xml:space="preserve"> </w:t>
            </w:r>
            <w:r w:rsidRPr="2B37D4A4">
              <w:rPr>
                <w:i/>
                <w:iCs/>
                <w:color w:val="1D336C"/>
                <w:spacing w:val="-2"/>
                <w:sz w:val="20"/>
                <w:szCs w:val="20"/>
              </w:rPr>
              <w:t>defined.</w:t>
            </w:r>
          </w:p>
        </w:tc>
        <w:tc>
          <w:tcPr>
            <w:tcW w:w="1298" w:type="dxa"/>
          </w:tcPr>
          <w:p w14:paraId="1689EF17" w14:textId="77777777" w:rsidR="00CB2CB5" w:rsidRDefault="00CB2CB5">
            <w:pPr>
              <w:pStyle w:val="TableParagraph"/>
              <w:ind w:left="110"/>
              <w:rPr>
                <w:sz w:val="20"/>
              </w:rPr>
            </w:pPr>
            <w:r>
              <w:rPr>
                <w:sz w:val="20"/>
              </w:rPr>
              <w:t>5,</w:t>
            </w:r>
            <w:r>
              <w:rPr>
                <w:spacing w:val="-4"/>
                <w:sz w:val="20"/>
              </w:rPr>
              <w:t xml:space="preserve"> </w:t>
            </w:r>
            <w:r>
              <w:rPr>
                <w:spacing w:val="-12"/>
                <w:sz w:val="20"/>
              </w:rPr>
              <w:t>8</w:t>
            </w:r>
          </w:p>
        </w:tc>
      </w:tr>
      <w:tr w:rsidR="00CB2CB5" w14:paraId="3DB0310D" w14:textId="77777777" w:rsidTr="006E7363">
        <w:trPr>
          <w:trHeight w:val="1171"/>
          <w:jc w:val="center"/>
        </w:trPr>
        <w:tc>
          <w:tcPr>
            <w:tcW w:w="711" w:type="dxa"/>
            <w:shd w:val="clear" w:color="auto" w:fill="F1F1F1"/>
          </w:tcPr>
          <w:p w14:paraId="32192915" w14:textId="77777777" w:rsidR="00CB2CB5" w:rsidRDefault="00CB2CB5">
            <w:pPr>
              <w:pStyle w:val="TableParagraph"/>
              <w:ind w:left="0" w:right="297"/>
              <w:jc w:val="right"/>
              <w:rPr>
                <w:b/>
                <w:sz w:val="20"/>
              </w:rPr>
            </w:pPr>
            <w:r>
              <w:rPr>
                <w:b/>
                <w:color w:val="1D336C"/>
                <w:spacing w:val="-10"/>
                <w:sz w:val="20"/>
              </w:rPr>
              <w:t>3</w:t>
            </w:r>
          </w:p>
        </w:tc>
        <w:tc>
          <w:tcPr>
            <w:tcW w:w="7631" w:type="dxa"/>
          </w:tcPr>
          <w:p w14:paraId="0A49CFF1" w14:textId="115E03D7" w:rsidR="00CB2CB5" w:rsidRDefault="00CB2CB5">
            <w:pPr>
              <w:pStyle w:val="TableParagraph"/>
              <w:spacing w:line="292" w:lineRule="auto"/>
              <w:ind w:left="83"/>
              <w:rPr>
                <w:i/>
                <w:color w:val="1D336C"/>
                <w:sz w:val="20"/>
                <w:szCs w:val="20"/>
              </w:rPr>
            </w:pPr>
            <w:r w:rsidRPr="4E74A253">
              <w:rPr>
                <w:i/>
                <w:color w:val="1D336C"/>
                <w:sz w:val="20"/>
                <w:szCs w:val="20"/>
              </w:rPr>
              <w:t xml:space="preserve">The investment ambition should be clearly defined at the proposal and stop-go </w:t>
            </w:r>
            <w:r w:rsidR="002C5F66" w:rsidRPr="4E74A253">
              <w:rPr>
                <w:i/>
                <w:color w:val="1D336C"/>
                <w:sz w:val="20"/>
                <w:szCs w:val="20"/>
              </w:rPr>
              <w:t>stages</w:t>
            </w:r>
            <w:r w:rsidR="002C5F66">
              <w:rPr>
                <w:i/>
                <w:iCs/>
                <w:color w:val="1D336C"/>
                <w:sz w:val="20"/>
                <w:szCs w:val="20"/>
              </w:rPr>
              <w:t xml:space="preserve"> (</w:t>
            </w:r>
            <w:r w:rsidRPr="4E74A253">
              <w:rPr>
                <w:i/>
                <w:iCs/>
                <w:color w:val="1D336C"/>
                <w:sz w:val="20"/>
                <w:szCs w:val="20"/>
              </w:rPr>
              <w:t>design, pilot, rollout</w:t>
            </w:r>
            <w:r>
              <w:rPr>
                <w:i/>
                <w:iCs/>
                <w:color w:val="1D336C"/>
                <w:sz w:val="20"/>
                <w:szCs w:val="20"/>
              </w:rPr>
              <w:t xml:space="preserve"> </w:t>
            </w:r>
            <w:r w:rsidR="002C5F66">
              <w:rPr>
                <w:i/>
                <w:iCs/>
                <w:color w:val="1D336C"/>
                <w:sz w:val="20"/>
                <w:szCs w:val="20"/>
              </w:rPr>
              <w:t>etc.</w:t>
            </w:r>
            <w:r>
              <w:rPr>
                <w:i/>
                <w:iCs/>
                <w:color w:val="1D336C"/>
                <w:sz w:val="20"/>
                <w:szCs w:val="20"/>
              </w:rPr>
              <w:t>)</w:t>
            </w:r>
            <w:r w:rsidRPr="4E74A253">
              <w:rPr>
                <w:i/>
                <w:iCs/>
                <w:color w:val="1D336C"/>
                <w:sz w:val="20"/>
                <w:szCs w:val="20"/>
              </w:rPr>
              <w:t>.</w:t>
            </w:r>
            <w:r w:rsidRPr="4E74A253">
              <w:rPr>
                <w:i/>
                <w:color w:val="1D336C"/>
                <w:spacing w:val="-5"/>
                <w:sz w:val="20"/>
                <w:szCs w:val="20"/>
              </w:rPr>
              <w:t xml:space="preserve"> </w:t>
            </w:r>
            <w:r w:rsidRPr="4E74A253">
              <w:rPr>
                <w:i/>
                <w:color w:val="1D336C"/>
                <w:sz w:val="20"/>
                <w:szCs w:val="20"/>
              </w:rPr>
              <w:t>The</w:t>
            </w:r>
            <w:r w:rsidRPr="4E74A253">
              <w:rPr>
                <w:i/>
                <w:color w:val="1D336C"/>
                <w:spacing w:val="-4"/>
                <w:sz w:val="20"/>
                <w:szCs w:val="20"/>
              </w:rPr>
              <w:t xml:space="preserve"> </w:t>
            </w:r>
            <w:r w:rsidRPr="4E74A253">
              <w:rPr>
                <w:i/>
                <w:color w:val="1D336C"/>
                <w:sz w:val="20"/>
                <w:szCs w:val="20"/>
              </w:rPr>
              <w:t>ambition</w:t>
            </w:r>
            <w:r w:rsidRPr="4E74A253">
              <w:rPr>
                <w:i/>
                <w:color w:val="1D336C"/>
                <w:spacing w:val="-5"/>
                <w:sz w:val="20"/>
                <w:szCs w:val="20"/>
              </w:rPr>
              <w:t xml:space="preserve"> </w:t>
            </w:r>
            <w:r w:rsidRPr="4E74A253">
              <w:rPr>
                <w:i/>
                <w:color w:val="1D336C"/>
                <w:sz w:val="20"/>
                <w:szCs w:val="20"/>
              </w:rPr>
              <w:t>should</w:t>
            </w:r>
            <w:r w:rsidRPr="4E74A253">
              <w:rPr>
                <w:i/>
                <w:color w:val="1D336C"/>
                <w:spacing w:val="-5"/>
                <w:sz w:val="20"/>
                <w:szCs w:val="20"/>
              </w:rPr>
              <w:t xml:space="preserve"> </w:t>
            </w:r>
            <w:r w:rsidRPr="4E74A253">
              <w:rPr>
                <w:i/>
                <w:color w:val="1D336C"/>
                <w:sz w:val="20"/>
                <w:szCs w:val="20"/>
              </w:rPr>
              <w:t>be</w:t>
            </w:r>
            <w:r w:rsidRPr="4E74A253">
              <w:rPr>
                <w:i/>
                <w:color w:val="1D336C"/>
                <w:spacing w:val="-4"/>
                <w:sz w:val="20"/>
                <w:szCs w:val="20"/>
              </w:rPr>
              <w:t xml:space="preserve"> </w:t>
            </w:r>
            <w:r w:rsidRPr="4E74A253">
              <w:rPr>
                <w:i/>
                <w:color w:val="1D336C"/>
                <w:sz w:val="20"/>
                <w:szCs w:val="20"/>
              </w:rPr>
              <w:t>broadly</w:t>
            </w:r>
            <w:r w:rsidRPr="4E74A253">
              <w:rPr>
                <w:i/>
                <w:color w:val="1D336C"/>
                <w:spacing w:val="-5"/>
                <w:sz w:val="20"/>
                <w:szCs w:val="20"/>
              </w:rPr>
              <w:t xml:space="preserve"> </w:t>
            </w:r>
            <w:r w:rsidRPr="4E74A253">
              <w:rPr>
                <w:i/>
                <w:color w:val="1D336C"/>
                <w:sz w:val="20"/>
                <w:szCs w:val="20"/>
              </w:rPr>
              <w:t>defined,</w:t>
            </w:r>
            <w:r w:rsidRPr="4E74A253">
              <w:rPr>
                <w:i/>
                <w:color w:val="1D336C"/>
                <w:spacing w:val="-4"/>
                <w:sz w:val="20"/>
                <w:szCs w:val="20"/>
              </w:rPr>
              <w:t xml:space="preserve"> </w:t>
            </w:r>
            <w:r w:rsidRPr="4E74A253">
              <w:rPr>
                <w:i/>
                <w:color w:val="1D336C"/>
                <w:sz w:val="20"/>
                <w:szCs w:val="20"/>
              </w:rPr>
              <w:t>requiring</w:t>
            </w:r>
            <w:r w:rsidRPr="4E74A253">
              <w:rPr>
                <w:i/>
                <w:color w:val="1D336C"/>
                <w:spacing w:val="-5"/>
                <w:sz w:val="20"/>
                <w:szCs w:val="20"/>
              </w:rPr>
              <w:t xml:space="preserve"> </w:t>
            </w:r>
            <w:r w:rsidRPr="4E74A253">
              <w:rPr>
                <w:i/>
                <w:color w:val="1D336C"/>
                <w:sz w:val="20"/>
                <w:szCs w:val="20"/>
              </w:rPr>
              <w:t>investments</w:t>
            </w:r>
            <w:r w:rsidRPr="4E74A253">
              <w:rPr>
                <w:i/>
                <w:color w:val="1D336C"/>
                <w:spacing w:val="-3"/>
                <w:sz w:val="20"/>
                <w:szCs w:val="20"/>
              </w:rPr>
              <w:t xml:space="preserve"> </w:t>
            </w:r>
            <w:r w:rsidRPr="4E74A253">
              <w:rPr>
                <w:i/>
                <w:color w:val="1D336C"/>
                <w:sz w:val="20"/>
                <w:szCs w:val="20"/>
              </w:rPr>
              <w:t>or</w:t>
            </w:r>
            <w:r w:rsidRPr="4E74A253">
              <w:rPr>
                <w:i/>
                <w:color w:val="1D336C"/>
                <w:spacing w:val="-5"/>
                <w:sz w:val="20"/>
                <w:szCs w:val="20"/>
              </w:rPr>
              <w:t xml:space="preserve"> </w:t>
            </w:r>
            <w:r w:rsidRPr="4E74A253">
              <w:rPr>
                <w:i/>
                <w:color w:val="1D336C"/>
                <w:sz w:val="20"/>
                <w:szCs w:val="20"/>
              </w:rPr>
              <w:t>projects</w:t>
            </w:r>
            <w:r w:rsidRPr="4E74A253">
              <w:rPr>
                <w:i/>
                <w:color w:val="1D336C"/>
                <w:spacing w:val="-5"/>
                <w:sz w:val="20"/>
                <w:szCs w:val="20"/>
              </w:rPr>
              <w:t xml:space="preserve"> </w:t>
            </w:r>
            <w:r w:rsidRPr="4E74A253">
              <w:rPr>
                <w:i/>
                <w:color w:val="1D336C"/>
                <w:sz w:val="20"/>
                <w:szCs w:val="20"/>
              </w:rPr>
              <w:t>to demonstrate their ability to meet the defined criteria and performance targets.</w:t>
            </w:r>
            <w:r w:rsidRPr="4E74A253">
              <w:rPr>
                <w:i/>
                <w:iCs/>
                <w:color w:val="1D336C"/>
                <w:sz w:val="20"/>
                <w:szCs w:val="20"/>
              </w:rPr>
              <w:t xml:space="preserve"> Piloting </w:t>
            </w:r>
            <w:proofErr w:type="spellStart"/>
            <w:r w:rsidRPr="4E74A253">
              <w:rPr>
                <w:i/>
                <w:iCs/>
                <w:color w:val="1D336C"/>
                <w:sz w:val="20"/>
                <w:szCs w:val="20"/>
              </w:rPr>
              <w:t>NbS</w:t>
            </w:r>
            <w:proofErr w:type="spellEnd"/>
            <w:r w:rsidRPr="4E74A253">
              <w:rPr>
                <w:i/>
                <w:iCs/>
                <w:color w:val="1D336C"/>
                <w:sz w:val="20"/>
                <w:szCs w:val="20"/>
              </w:rPr>
              <w:t xml:space="preserve"> to prove </w:t>
            </w:r>
            <w:r w:rsidR="006551F0">
              <w:rPr>
                <w:i/>
                <w:iCs/>
                <w:color w:val="1D336C"/>
                <w:sz w:val="20"/>
                <w:szCs w:val="20"/>
              </w:rPr>
              <w:t>the</w:t>
            </w:r>
            <w:r w:rsidR="006551F0" w:rsidRPr="4E74A253">
              <w:rPr>
                <w:i/>
                <w:iCs/>
                <w:color w:val="1D336C"/>
                <w:sz w:val="20"/>
                <w:szCs w:val="20"/>
              </w:rPr>
              <w:t xml:space="preserve"> </w:t>
            </w:r>
            <w:r w:rsidRPr="4E74A253">
              <w:rPr>
                <w:i/>
                <w:iCs/>
                <w:color w:val="1D336C"/>
                <w:sz w:val="20"/>
                <w:szCs w:val="20"/>
              </w:rPr>
              <w:t>concept is essential before rollout.</w:t>
            </w:r>
          </w:p>
        </w:tc>
        <w:tc>
          <w:tcPr>
            <w:tcW w:w="1298" w:type="dxa"/>
          </w:tcPr>
          <w:p w14:paraId="4CBB04B3" w14:textId="77777777" w:rsidR="00CB2CB5" w:rsidRDefault="00CB2CB5">
            <w:pPr>
              <w:pStyle w:val="TableParagraph"/>
              <w:ind w:left="110"/>
              <w:rPr>
                <w:sz w:val="20"/>
                <w:szCs w:val="20"/>
              </w:rPr>
            </w:pPr>
            <w:r w:rsidRPr="4E74A253">
              <w:rPr>
                <w:sz w:val="20"/>
                <w:szCs w:val="20"/>
              </w:rPr>
              <w:t>7,</w:t>
            </w:r>
            <w:r w:rsidRPr="4E74A253">
              <w:rPr>
                <w:spacing w:val="-4"/>
                <w:sz w:val="20"/>
                <w:szCs w:val="20"/>
              </w:rPr>
              <w:t xml:space="preserve"> </w:t>
            </w:r>
            <w:r w:rsidRPr="4E74A253">
              <w:rPr>
                <w:sz w:val="20"/>
                <w:szCs w:val="20"/>
              </w:rPr>
              <w:t>9,</w:t>
            </w:r>
            <w:r w:rsidRPr="4E74A253">
              <w:rPr>
                <w:spacing w:val="-2"/>
                <w:sz w:val="20"/>
                <w:szCs w:val="20"/>
              </w:rPr>
              <w:t xml:space="preserve"> </w:t>
            </w:r>
            <w:r w:rsidRPr="4E74A253">
              <w:rPr>
                <w:spacing w:val="-5"/>
                <w:sz w:val="20"/>
                <w:szCs w:val="20"/>
              </w:rPr>
              <w:t>11, 19</w:t>
            </w:r>
          </w:p>
        </w:tc>
      </w:tr>
      <w:tr w:rsidR="00CB2CB5" w14:paraId="4CCE2DA5" w14:textId="77777777" w:rsidTr="006E7363">
        <w:trPr>
          <w:trHeight w:val="1170"/>
          <w:jc w:val="center"/>
        </w:trPr>
        <w:tc>
          <w:tcPr>
            <w:tcW w:w="711" w:type="dxa"/>
            <w:shd w:val="clear" w:color="auto" w:fill="F1F1F1"/>
          </w:tcPr>
          <w:p w14:paraId="2B569A63" w14:textId="77777777" w:rsidR="00CB2CB5" w:rsidRDefault="00CB2CB5">
            <w:pPr>
              <w:pStyle w:val="TableParagraph"/>
              <w:ind w:left="0" w:right="297"/>
              <w:jc w:val="right"/>
              <w:rPr>
                <w:b/>
                <w:sz w:val="20"/>
              </w:rPr>
            </w:pPr>
            <w:r>
              <w:rPr>
                <w:b/>
                <w:color w:val="1D336C"/>
                <w:spacing w:val="-10"/>
                <w:sz w:val="20"/>
              </w:rPr>
              <w:t>4</w:t>
            </w:r>
          </w:p>
        </w:tc>
        <w:tc>
          <w:tcPr>
            <w:tcW w:w="7631" w:type="dxa"/>
          </w:tcPr>
          <w:p w14:paraId="346D9990" w14:textId="77777777" w:rsidR="00CB2CB5" w:rsidRDefault="00CB2CB5">
            <w:pPr>
              <w:pStyle w:val="TableParagraph"/>
              <w:spacing w:before="134" w:line="292" w:lineRule="auto"/>
              <w:ind w:left="83" w:right="108"/>
              <w:rPr>
                <w:i/>
                <w:iCs/>
                <w:color w:val="1D336C"/>
                <w:sz w:val="20"/>
                <w:szCs w:val="20"/>
              </w:rPr>
            </w:pPr>
            <w:r w:rsidRPr="2B37D4A4">
              <w:rPr>
                <w:i/>
                <w:iCs/>
                <w:color w:val="1D336C"/>
                <w:sz w:val="20"/>
                <w:szCs w:val="20"/>
              </w:rPr>
              <w:t>Establishment of a guidance framework at strategic level that includes baselines, trends, and</w:t>
            </w:r>
            <w:r w:rsidRPr="2B37D4A4">
              <w:rPr>
                <w:i/>
                <w:iCs/>
                <w:color w:val="1D336C"/>
                <w:spacing w:val="-5"/>
                <w:sz w:val="20"/>
                <w:szCs w:val="20"/>
              </w:rPr>
              <w:t xml:space="preserve"> </w:t>
            </w:r>
            <w:r w:rsidRPr="2B37D4A4">
              <w:rPr>
                <w:i/>
                <w:iCs/>
                <w:color w:val="1D336C"/>
                <w:sz w:val="20"/>
                <w:szCs w:val="20"/>
              </w:rPr>
              <w:t>targets.</w:t>
            </w:r>
            <w:r w:rsidRPr="2B37D4A4">
              <w:rPr>
                <w:i/>
                <w:iCs/>
                <w:color w:val="1D336C"/>
                <w:spacing w:val="-5"/>
                <w:sz w:val="20"/>
                <w:szCs w:val="20"/>
              </w:rPr>
              <w:t xml:space="preserve"> </w:t>
            </w:r>
            <w:r w:rsidRPr="2B37D4A4">
              <w:rPr>
                <w:i/>
                <w:iCs/>
                <w:color w:val="1D336C"/>
                <w:sz w:val="20"/>
                <w:szCs w:val="20"/>
              </w:rPr>
              <w:t>The</w:t>
            </w:r>
            <w:r w:rsidRPr="2B37D4A4">
              <w:rPr>
                <w:i/>
                <w:iCs/>
                <w:color w:val="1D336C"/>
                <w:spacing w:val="-5"/>
                <w:sz w:val="20"/>
                <w:szCs w:val="20"/>
              </w:rPr>
              <w:t xml:space="preserve"> </w:t>
            </w:r>
            <w:r w:rsidRPr="2B37D4A4">
              <w:rPr>
                <w:i/>
                <w:iCs/>
                <w:color w:val="1D336C"/>
                <w:sz w:val="20"/>
                <w:szCs w:val="20"/>
              </w:rPr>
              <w:t>framework</w:t>
            </w:r>
            <w:r w:rsidRPr="2B37D4A4">
              <w:rPr>
                <w:i/>
                <w:iCs/>
                <w:color w:val="1D336C"/>
                <w:spacing w:val="-3"/>
                <w:sz w:val="20"/>
                <w:szCs w:val="20"/>
              </w:rPr>
              <w:t xml:space="preserve"> </w:t>
            </w:r>
            <w:r w:rsidRPr="2B37D4A4">
              <w:rPr>
                <w:i/>
                <w:iCs/>
                <w:color w:val="1D336C"/>
                <w:sz w:val="20"/>
                <w:szCs w:val="20"/>
              </w:rPr>
              <w:t>should</w:t>
            </w:r>
            <w:r w:rsidRPr="2B37D4A4">
              <w:rPr>
                <w:i/>
                <w:iCs/>
                <w:color w:val="1D336C"/>
                <w:spacing w:val="-5"/>
                <w:sz w:val="20"/>
                <w:szCs w:val="20"/>
              </w:rPr>
              <w:t xml:space="preserve"> </w:t>
            </w:r>
            <w:r w:rsidRPr="2B37D4A4">
              <w:rPr>
                <w:i/>
                <w:iCs/>
                <w:color w:val="1D336C"/>
                <w:sz w:val="20"/>
                <w:szCs w:val="20"/>
              </w:rPr>
              <w:t>focus</w:t>
            </w:r>
            <w:r w:rsidRPr="2B37D4A4">
              <w:rPr>
                <w:i/>
                <w:iCs/>
                <w:color w:val="1D336C"/>
                <w:spacing w:val="-2"/>
                <w:sz w:val="20"/>
                <w:szCs w:val="20"/>
              </w:rPr>
              <w:t xml:space="preserve"> </w:t>
            </w:r>
            <w:r w:rsidRPr="2B37D4A4">
              <w:rPr>
                <w:i/>
                <w:iCs/>
                <w:color w:val="1D336C"/>
                <w:sz w:val="20"/>
                <w:szCs w:val="20"/>
              </w:rPr>
              <w:t>on</w:t>
            </w:r>
            <w:r w:rsidRPr="2B37D4A4">
              <w:rPr>
                <w:i/>
                <w:iCs/>
                <w:color w:val="1D336C"/>
                <w:spacing w:val="-5"/>
                <w:sz w:val="20"/>
                <w:szCs w:val="20"/>
              </w:rPr>
              <w:t xml:space="preserve"> </w:t>
            </w:r>
            <w:r w:rsidRPr="2B37D4A4">
              <w:rPr>
                <w:i/>
                <w:iCs/>
                <w:color w:val="1D336C"/>
                <w:sz w:val="20"/>
                <w:szCs w:val="20"/>
              </w:rPr>
              <w:t>outcomes</w:t>
            </w:r>
            <w:r w:rsidRPr="2B37D4A4">
              <w:rPr>
                <w:i/>
                <w:iCs/>
                <w:color w:val="1D336C"/>
                <w:spacing w:val="-2"/>
                <w:sz w:val="20"/>
                <w:szCs w:val="20"/>
              </w:rPr>
              <w:t xml:space="preserve"> </w:t>
            </w:r>
            <w:r w:rsidRPr="2B37D4A4">
              <w:rPr>
                <w:i/>
                <w:iCs/>
                <w:color w:val="1D336C"/>
                <w:sz w:val="20"/>
                <w:szCs w:val="20"/>
              </w:rPr>
              <w:t>that</w:t>
            </w:r>
            <w:r w:rsidRPr="2B37D4A4">
              <w:rPr>
                <w:i/>
                <w:iCs/>
                <w:color w:val="1D336C"/>
                <w:spacing w:val="-5"/>
                <w:sz w:val="20"/>
                <w:szCs w:val="20"/>
              </w:rPr>
              <w:t xml:space="preserve"> </w:t>
            </w:r>
            <w:r w:rsidRPr="2B37D4A4">
              <w:rPr>
                <w:i/>
                <w:iCs/>
                <w:color w:val="1D336C"/>
                <w:sz w:val="20"/>
                <w:szCs w:val="20"/>
              </w:rPr>
              <w:t>can</w:t>
            </w:r>
            <w:r w:rsidRPr="2B37D4A4">
              <w:rPr>
                <w:i/>
                <w:iCs/>
                <w:color w:val="1D336C"/>
                <w:spacing w:val="-5"/>
                <w:sz w:val="20"/>
                <w:szCs w:val="20"/>
              </w:rPr>
              <w:t xml:space="preserve"> </w:t>
            </w:r>
            <w:r w:rsidRPr="2B37D4A4">
              <w:rPr>
                <w:i/>
                <w:iCs/>
                <w:color w:val="1D336C"/>
                <w:sz w:val="20"/>
                <w:szCs w:val="20"/>
              </w:rPr>
              <w:t>be</w:t>
            </w:r>
            <w:r w:rsidRPr="2B37D4A4">
              <w:rPr>
                <w:i/>
                <w:iCs/>
                <w:color w:val="1D336C"/>
                <w:spacing w:val="-3"/>
                <w:sz w:val="20"/>
                <w:szCs w:val="20"/>
              </w:rPr>
              <w:t xml:space="preserve"> </w:t>
            </w:r>
            <w:r w:rsidRPr="2B37D4A4">
              <w:rPr>
                <w:i/>
                <w:iCs/>
                <w:color w:val="1D336C"/>
                <w:sz w:val="20"/>
                <w:szCs w:val="20"/>
              </w:rPr>
              <w:t>aggregated</w:t>
            </w:r>
            <w:r w:rsidRPr="2B37D4A4">
              <w:rPr>
                <w:i/>
                <w:iCs/>
                <w:color w:val="1D336C"/>
                <w:spacing w:val="-4"/>
                <w:sz w:val="20"/>
                <w:szCs w:val="20"/>
              </w:rPr>
              <w:t xml:space="preserve"> </w:t>
            </w:r>
            <w:r w:rsidRPr="2B37D4A4">
              <w:rPr>
                <w:i/>
                <w:iCs/>
                <w:color w:val="1D336C"/>
                <w:sz w:val="20"/>
                <w:szCs w:val="20"/>
              </w:rPr>
              <w:t>from project to investment to portfolio levels.</w:t>
            </w:r>
          </w:p>
        </w:tc>
        <w:tc>
          <w:tcPr>
            <w:tcW w:w="1298" w:type="dxa"/>
          </w:tcPr>
          <w:p w14:paraId="6BA8FBBB" w14:textId="77777777" w:rsidR="00CB2CB5" w:rsidRDefault="00CB2CB5">
            <w:pPr>
              <w:pStyle w:val="TableParagraph"/>
              <w:ind w:left="110"/>
              <w:rPr>
                <w:sz w:val="20"/>
              </w:rPr>
            </w:pPr>
            <w:r>
              <w:rPr>
                <w:sz w:val="20"/>
              </w:rPr>
              <w:t>7,</w:t>
            </w:r>
            <w:r>
              <w:rPr>
                <w:spacing w:val="-3"/>
                <w:sz w:val="20"/>
              </w:rPr>
              <w:t xml:space="preserve"> </w:t>
            </w:r>
            <w:r>
              <w:rPr>
                <w:sz w:val="20"/>
              </w:rPr>
              <w:t>8,</w:t>
            </w:r>
            <w:r>
              <w:rPr>
                <w:spacing w:val="-1"/>
                <w:sz w:val="20"/>
              </w:rPr>
              <w:t xml:space="preserve"> </w:t>
            </w:r>
            <w:r>
              <w:rPr>
                <w:spacing w:val="-10"/>
                <w:sz w:val="20"/>
              </w:rPr>
              <w:t>9</w:t>
            </w:r>
          </w:p>
        </w:tc>
      </w:tr>
      <w:tr w:rsidR="00CB2CB5" w14:paraId="3666F493" w14:textId="77777777" w:rsidTr="006E7363">
        <w:trPr>
          <w:trHeight w:val="890"/>
          <w:jc w:val="center"/>
        </w:trPr>
        <w:tc>
          <w:tcPr>
            <w:tcW w:w="711" w:type="dxa"/>
            <w:shd w:val="clear" w:color="auto" w:fill="F1F1F1"/>
          </w:tcPr>
          <w:p w14:paraId="1CB9DE66" w14:textId="77777777" w:rsidR="00CB2CB5" w:rsidRDefault="00CB2CB5">
            <w:pPr>
              <w:pStyle w:val="TableParagraph"/>
              <w:spacing w:before="134"/>
              <w:ind w:left="0" w:right="297"/>
              <w:jc w:val="right"/>
              <w:rPr>
                <w:b/>
                <w:sz w:val="20"/>
              </w:rPr>
            </w:pPr>
            <w:r>
              <w:rPr>
                <w:b/>
                <w:color w:val="1D336C"/>
                <w:spacing w:val="-10"/>
                <w:sz w:val="20"/>
              </w:rPr>
              <w:lastRenderedPageBreak/>
              <w:t>5</w:t>
            </w:r>
          </w:p>
        </w:tc>
        <w:tc>
          <w:tcPr>
            <w:tcW w:w="7631" w:type="dxa"/>
          </w:tcPr>
          <w:p w14:paraId="21959F29" w14:textId="77777777" w:rsidR="00CB2CB5" w:rsidRDefault="00CB2CB5">
            <w:pPr>
              <w:pStyle w:val="TableParagraph"/>
              <w:spacing w:before="134" w:line="292" w:lineRule="auto"/>
              <w:ind w:left="83"/>
              <w:rPr>
                <w:i/>
                <w:color w:val="1D336C"/>
                <w:sz w:val="20"/>
                <w:szCs w:val="20"/>
              </w:rPr>
            </w:pPr>
            <w:r w:rsidRPr="448C5BCD">
              <w:rPr>
                <w:i/>
                <w:color w:val="1D336C"/>
                <w:sz w:val="20"/>
                <w:szCs w:val="20"/>
              </w:rPr>
              <w:t>Collaboratively</w:t>
            </w:r>
            <w:r w:rsidRPr="448C5BCD">
              <w:rPr>
                <w:i/>
                <w:color w:val="1D336C"/>
                <w:spacing w:val="-7"/>
                <w:sz w:val="20"/>
                <w:szCs w:val="20"/>
              </w:rPr>
              <w:t xml:space="preserve"> </w:t>
            </w:r>
            <w:r w:rsidRPr="448C5BCD">
              <w:rPr>
                <w:i/>
                <w:color w:val="1D336C"/>
                <w:sz w:val="20"/>
                <w:szCs w:val="20"/>
              </w:rPr>
              <w:t>establish</w:t>
            </w:r>
            <w:r w:rsidRPr="448C5BCD">
              <w:rPr>
                <w:i/>
                <w:color w:val="1D336C"/>
                <w:spacing w:val="-8"/>
                <w:sz w:val="20"/>
                <w:szCs w:val="20"/>
              </w:rPr>
              <w:t xml:space="preserve"> </w:t>
            </w:r>
            <w:r w:rsidRPr="448C5BCD">
              <w:rPr>
                <w:i/>
                <w:color w:val="1D336C"/>
                <w:sz w:val="20"/>
                <w:szCs w:val="20"/>
              </w:rPr>
              <w:t>progress</w:t>
            </w:r>
            <w:r w:rsidRPr="448C5BCD">
              <w:rPr>
                <w:i/>
                <w:color w:val="1D336C"/>
                <w:spacing w:val="-7"/>
                <w:sz w:val="20"/>
                <w:szCs w:val="20"/>
              </w:rPr>
              <w:t xml:space="preserve"> </w:t>
            </w:r>
            <w:r w:rsidRPr="448C5BCD">
              <w:rPr>
                <w:i/>
                <w:color w:val="1D336C"/>
                <w:sz w:val="20"/>
                <w:szCs w:val="20"/>
              </w:rPr>
              <w:t>and</w:t>
            </w:r>
            <w:r w:rsidRPr="448C5BCD">
              <w:rPr>
                <w:i/>
                <w:color w:val="1D336C"/>
                <w:spacing w:val="-6"/>
                <w:sz w:val="20"/>
                <w:szCs w:val="20"/>
              </w:rPr>
              <w:t xml:space="preserve"> </w:t>
            </w:r>
            <w:r w:rsidRPr="448C5BCD">
              <w:rPr>
                <w:i/>
                <w:color w:val="1D336C"/>
                <w:sz w:val="20"/>
                <w:szCs w:val="20"/>
              </w:rPr>
              <w:t>trend</w:t>
            </w:r>
            <w:r w:rsidRPr="448C5BCD">
              <w:rPr>
                <w:i/>
                <w:color w:val="1D336C"/>
                <w:spacing w:val="-6"/>
                <w:sz w:val="20"/>
                <w:szCs w:val="20"/>
              </w:rPr>
              <w:t xml:space="preserve"> </w:t>
            </w:r>
            <w:r w:rsidRPr="448C5BCD">
              <w:rPr>
                <w:i/>
                <w:color w:val="1D336C"/>
                <w:sz w:val="20"/>
                <w:szCs w:val="20"/>
              </w:rPr>
              <w:t>measurement</w:t>
            </w:r>
            <w:r w:rsidRPr="448C5BCD">
              <w:rPr>
                <w:i/>
                <w:color w:val="1D336C"/>
                <w:spacing w:val="-6"/>
                <w:sz w:val="20"/>
                <w:szCs w:val="20"/>
              </w:rPr>
              <w:t xml:space="preserve"> </w:t>
            </w:r>
            <w:r w:rsidRPr="448C5BCD">
              <w:rPr>
                <w:i/>
                <w:color w:val="1D336C"/>
                <w:sz w:val="20"/>
                <w:szCs w:val="20"/>
              </w:rPr>
              <w:t>methods</w:t>
            </w:r>
            <w:r w:rsidRPr="448C5BCD">
              <w:rPr>
                <w:i/>
                <w:color w:val="1D336C"/>
                <w:spacing w:val="-7"/>
                <w:sz w:val="20"/>
                <w:szCs w:val="20"/>
              </w:rPr>
              <w:t xml:space="preserve"> </w:t>
            </w:r>
            <w:r w:rsidRPr="448C5BCD">
              <w:rPr>
                <w:i/>
                <w:color w:val="1D336C"/>
                <w:sz w:val="20"/>
                <w:szCs w:val="20"/>
              </w:rPr>
              <w:t>through consultations with positive outlier projects.</w:t>
            </w:r>
          </w:p>
        </w:tc>
        <w:tc>
          <w:tcPr>
            <w:tcW w:w="1298" w:type="dxa"/>
          </w:tcPr>
          <w:p w14:paraId="0407B2E7" w14:textId="77777777" w:rsidR="00CB2CB5" w:rsidRDefault="00CB2CB5">
            <w:pPr>
              <w:pStyle w:val="TableParagraph"/>
              <w:spacing w:before="134"/>
              <w:ind w:left="110"/>
              <w:rPr>
                <w:sz w:val="20"/>
                <w:szCs w:val="20"/>
              </w:rPr>
            </w:pPr>
            <w:r w:rsidRPr="4E74A253">
              <w:rPr>
                <w:sz w:val="20"/>
                <w:szCs w:val="20"/>
              </w:rPr>
              <w:t>5,</w:t>
            </w:r>
            <w:r w:rsidRPr="4E74A253">
              <w:rPr>
                <w:spacing w:val="-4"/>
                <w:sz w:val="20"/>
                <w:szCs w:val="20"/>
              </w:rPr>
              <w:t xml:space="preserve"> </w:t>
            </w:r>
            <w:r w:rsidRPr="4E74A253">
              <w:rPr>
                <w:spacing w:val="-12"/>
                <w:sz w:val="20"/>
                <w:szCs w:val="20"/>
              </w:rPr>
              <w:t>7</w:t>
            </w:r>
          </w:p>
        </w:tc>
      </w:tr>
      <w:tr w:rsidR="00CB2CB5" w14:paraId="3580A094" w14:textId="77777777" w:rsidTr="006E7363">
        <w:trPr>
          <w:trHeight w:val="503"/>
          <w:jc w:val="center"/>
        </w:trPr>
        <w:tc>
          <w:tcPr>
            <w:tcW w:w="711" w:type="dxa"/>
            <w:shd w:val="clear" w:color="auto" w:fill="F1F1F1"/>
          </w:tcPr>
          <w:p w14:paraId="26C18F22" w14:textId="77777777" w:rsidR="00CB2CB5" w:rsidRDefault="00CB2CB5">
            <w:pPr>
              <w:pStyle w:val="TableParagraph"/>
              <w:spacing w:before="134"/>
              <w:ind w:left="0" w:right="297"/>
              <w:jc w:val="right"/>
              <w:rPr>
                <w:b/>
                <w:sz w:val="20"/>
              </w:rPr>
            </w:pPr>
            <w:r>
              <w:rPr>
                <w:b/>
                <w:color w:val="1D336C"/>
                <w:spacing w:val="-10"/>
                <w:sz w:val="20"/>
              </w:rPr>
              <w:t>6</w:t>
            </w:r>
          </w:p>
        </w:tc>
        <w:tc>
          <w:tcPr>
            <w:tcW w:w="7631" w:type="dxa"/>
          </w:tcPr>
          <w:p w14:paraId="6A9CDC1F" w14:textId="6F9D4D30" w:rsidR="00CB2CB5" w:rsidRDefault="00CB2CB5">
            <w:pPr>
              <w:pStyle w:val="TableParagraph"/>
              <w:spacing w:before="134" w:line="292" w:lineRule="auto"/>
              <w:ind w:left="83"/>
              <w:rPr>
                <w:i/>
                <w:iCs/>
                <w:sz w:val="20"/>
                <w:szCs w:val="20"/>
              </w:rPr>
            </w:pPr>
            <w:r w:rsidRPr="2B37D4A4">
              <w:rPr>
                <w:i/>
                <w:iCs/>
                <w:color w:val="1D336C"/>
                <w:sz w:val="20"/>
                <w:szCs w:val="20"/>
              </w:rPr>
              <w:t>Establish</w:t>
            </w:r>
            <w:r w:rsidRPr="2B37D4A4">
              <w:rPr>
                <w:i/>
                <w:iCs/>
                <w:color w:val="1D336C"/>
                <w:spacing w:val="-3"/>
                <w:sz w:val="20"/>
                <w:szCs w:val="20"/>
              </w:rPr>
              <w:t xml:space="preserve"> </w:t>
            </w:r>
            <w:r w:rsidRPr="2B37D4A4">
              <w:rPr>
                <w:i/>
                <w:iCs/>
                <w:color w:val="1D336C"/>
                <w:sz w:val="20"/>
                <w:szCs w:val="20"/>
              </w:rPr>
              <w:t>a</w:t>
            </w:r>
            <w:r w:rsidRPr="2B37D4A4">
              <w:rPr>
                <w:i/>
                <w:iCs/>
                <w:color w:val="1D336C"/>
                <w:spacing w:val="-5"/>
                <w:sz w:val="20"/>
                <w:szCs w:val="20"/>
              </w:rPr>
              <w:t xml:space="preserve"> </w:t>
            </w:r>
            <w:r w:rsidR="002C5F66" w:rsidRPr="2B37D4A4">
              <w:rPr>
                <w:i/>
                <w:iCs/>
                <w:color w:val="1D336C"/>
                <w:sz w:val="20"/>
                <w:szCs w:val="20"/>
              </w:rPr>
              <w:t>facility</w:t>
            </w:r>
            <w:r w:rsidR="002C5F66" w:rsidRPr="2B37D4A4">
              <w:rPr>
                <w:i/>
                <w:iCs/>
                <w:color w:val="1D336C"/>
                <w:spacing w:val="-4"/>
                <w:sz w:val="20"/>
                <w:szCs w:val="20"/>
              </w:rPr>
              <w:t xml:space="preserve"> to</w:t>
            </w:r>
            <w:r w:rsidRPr="2B37D4A4">
              <w:rPr>
                <w:i/>
                <w:iCs/>
                <w:color w:val="1D336C"/>
                <w:spacing w:val="-4"/>
                <w:sz w:val="20"/>
                <w:szCs w:val="20"/>
              </w:rPr>
              <w:t xml:space="preserve"> </w:t>
            </w:r>
            <w:r w:rsidRPr="2B37D4A4">
              <w:rPr>
                <w:i/>
                <w:iCs/>
                <w:color w:val="1D336C"/>
                <w:sz w:val="20"/>
                <w:szCs w:val="20"/>
              </w:rPr>
              <w:t>provide</w:t>
            </w:r>
            <w:r w:rsidRPr="2B37D4A4">
              <w:rPr>
                <w:i/>
                <w:iCs/>
                <w:color w:val="1D336C"/>
                <w:spacing w:val="-3"/>
                <w:sz w:val="20"/>
                <w:szCs w:val="20"/>
              </w:rPr>
              <w:t xml:space="preserve"> </w:t>
            </w:r>
            <w:r w:rsidRPr="2B37D4A4">
              <w:rPr>
                <w:i/>
                <w:iCs/>
                <w:color w:val="1D336C"/>
                <w:sz w:val="20"/>
                <w:szCs w:val="20"/>
              </w:rPr>
              <w:t>technical</w:t>
            </w:r>
            <w:r w:rsidRPr="2B37D4A4">
              <w:rPr>
                <w:i/>
                <w:iCs/>
                <w:color w:val="1D336C"/>
                <w:spacing w:val="-6"/>
                <w:sz w:val="20"/>
                <w:szCs w:val="20"/>
              </w:rPr>
              <w:t xml:space="preserve"> </w:t>
            </w:r>
            <w:r w:rsidRPr="2B37D4A4">
              <w:rPr>
                <w:i/>
                <w:iCs/>
                <w:color w:val="1D336C"/>
                <w:sz w:val="20"/>
                <w:szCs w:val="20"/>
              </w:rPr>
              <w:t>support</w:t>
            </w:r>
            <w:r w:rsidRPr="2B37D4A4">
              <w:rPr>
                <w:i/>
                <w:iCs/>
                <w:color w:val="1D336C"/>
                <w:spacing w:val="-5"/>
                <w:sz w:val="20"/>
                <w:szCs w:val="20"/>
              </w:rPr>
              <w:t xml:space="preserve"> to all </w:t>
            </w:r>
            <w:proofErr w:type="spellStart"/>
            <w:r w:rsidRPr="2B37D4A4">
              <w:rPr>
                <w:i/>
                <w:iCs/>
                <w:color w:val="1D336C"/>
                <w:sz w:val="20"/>
                <w:szCs w:val="20"/>
              </w:rPr>
              <w:t>NbS</w:t>
            </w:r>
            <w:proofErr w:type="spellEnd"/>
            <w:r w:rsidRPr="2B37D4A4">
              <w:rPr>
                <w:i/>
                <w:iCs/>
                <w:color w:val="1D336C"/>
                <w:sz w:val="20"/>
                <w:szCs w:val="20"/>
              </w:rPr>
              <w:t xml:space="preserve"> </w:t>
            </w:r>
            <w:r w:rsidRPr="2B37D4A4">
              <w:rPr>
                <w:i/>
                <w:iCs/>
                <w:color w:val="1D336C"/>
                <w:spacing w:val="-2"/>
                <w:sz w:val="20"/>
                <w:szCs w:val="20"/>
              </w:rPr>
              <w:t>investments.</w:t>
            </w:r>
          </w:p>
        </w:tc>
        <w:tc>
          <w:tcPr>
            <w:tcW w:w="1298" w:type="dxa"/>
          </w:tcPr>
          <w:p w14:paraId="1EB58A20" w14:textId="77777777" w:rsidR="00CB2CB5" w:rsidRDefault="00CB2CB5">
            <w:pPr>
              <w:pStyle w:val="TableParagraph"/>
              <w:spacing w:before="134"/>
              <w:ind w:left="110"/>
              <w:rPr>
                <w:sz w:val="20"/>
              </w:rPr>
            </w:pPr>
            <w:r>
              <w:rPr>
                <w:sz w:val="20"/>
              </w:rPr>
              <w:t>2,</w:t>
            </w:r>
            <w:r>
              <w:rPr>
                <w:spacing w:val="-6"/>
                <w:sz w:val="20"/>
              </w:rPr>
              <w:t xml:space="preserve"> </w:t>
            </w:r>
            <w:r>
              <w:rPr>
                <w:sz w:val="20"/>
              </w:rPr>
              <w:t>3,</w:t>
            </w:r>
            <w:r>
              <w:rPr>
                <w:spacing w:val="-2"/>
                <w:sz w:val="20"/>
              </w:rPr>
              <w:t xml:space="preserve"> </w:t>
            </w:r>
            <w:r>
              <w:rPr>
                <w:sz w:val="20"/>
              </w:rPr>
              <w:t>4,</w:t>
            </w:r>
            <w:r>
              <w:rPr>
                <w:spacing w:val="-3"/>
                <w:sz w:val="20"/>
              </w:rPr>
              <w:t xml:space="preserve"> </w:t>
            </w:r>
            <w:r>
              <w:rPr>
                <w:spacing w:val="-5"/>
                <w:sz w:val="20"/>
              </w:rPr>
              <w:t>10</w:t>
            </w:r>
          </w:p>
        </w:tc>
      </w:tr>
      <w:tr w:rsidR="00CB2CB5" w14:paraId="0103676C" w14:textId="77777777" w:rsidTr="006E7363">
        <w:trPr>
          <w:trHeight w:val="1449"/>
          <w:jc w:val="center"/>
        </w:trPr>
        <w:tc>
          <w:tcPr>
            <w:tcW w:w="711" w:type="dxa"/>
            <w:shd w:val="clear" w:color="auto" w:fill="F1F1F1"/>
          </w:tcPr>
          <w:p w14:paraId="229D1506" w14:textId="77777777" w:rsidR="00CB2CB5" w:rsidRDefault="00CB2CB5">
            <w:pPr>
              <w:pStyle w:val="TableParagraph"/>
              <w:spacing w:before="134"/>
              <w:ind w:left="0" w:right="297"/>
              <w:jc w:val="right"/>
              <w:rPr>
                <w:b/>
                <w:sz w:val="20"/>
              </w:rPr>
            </w:pPr>
            <w:r>
              <w:rPr>
                <w:b/>
                <w:color w:val="1D336C"/>
                <w:spacing w:val="-10"/>
                <w:sz w:val="20"/>
              </w:rPr>
              <w:t>7</w:t>
            </w:r>
          </w:p>
        </w:tc>
        <w:tc>
          <w:tcPr>
            <w:tcW w:w="7631" w:type="dxa"/>
          </w:tcPr>
          <w:p w14:paraId="7F3C570D" w14:textId="4E819592" w:rsidR="00CB2CB5" w:rsidRDefault="00CB2CB5">
            <w:pPr>
              <w:pStyle w:val="TableParagraph"/>
              <w:spacing w:before="134" w:line="292" w:lineRule="auto"/>
              <w:ind w:left="83"/>
              <w:rPr>
                <w:i/>
                <w:sz w:val="20"/>
              </w:rPr>
            </w:pPr>
            <w:r>
              <w:rPr>
                <w:i/>
                <w:color w:val="1D336C"/>
                <w:sz w:val="20"/>
              </w:rPr>
              <w:t>Cross-cutting</w:t>
            </w:r>
            <w:r>
              <w:rPr>
                <w:i/>
                <w:color w:val="1D336C"/>
                <w:spacing w:val="-5"/>
                <w:sz w:val="20"/>
              </w:rPr>
              <w:t xml:space="preserve"> </w:t>
            </w:r>
            <w:r>
              <w:rPr>
                <w:i/>
                <w:color w:val="1D336C"/>
                <w:sz w:val="20"/>
              </w:rPr>
              <w:t>specialists</w:t>
            </w:r>
            <w:r>
              <w:rPr>
                <w:i/>
                <w:color w:val="1D336C"/>
                <w:spacing w:val="-2"/>
                <w:sz w:val="20"/>
              </w:rPr>
              <w:t xml:space="preserve"> </w:t>
            </w:r>
            <w:r>
              <w:rPr>
                <w:i/>
                <w:color w:val="1D336C"/>
                <w:sz w:val="20"/>
              </w:rPr>
              <w:t>provide</w:t>
            </w:r>
            <w:r>
              <w:rPr>
                <w:i/>
                <w:color w:val="1D336C"/>
                <w:spacing w:val="-4"/>
                <w:sz w:val="20"/>
              </w:rPr>
              <w:t xml:space="preserve"> </w:t>
            </w:r>
            <w:r>
              <w:rPr>
                <w:i/>
                <w:color w:val="1D336C"/>
                <w:sz w:val="20"/>
              </w:rPr>
              <w:t>their</w:t>
            </w:r>
            <w:r>
              <w:rPr>
                <w:i/>
                <w:color w:val="1D336C"/>
                <w:spacing w:val="-4"/>
                <w:sz w:val="20"/>
              </w:rPr>
              <w:t xml:space="preserve"> </w:t>
            </w:r>
            <w:r>
              <w:rPr>
                <w:i/>
                <w:color w:val="1D336C"/>
                <w:sz w:val="20"/>
              </w:rPr>
              <w:t>input</w:t>
            </w:r>
            <w:r>
              <w:rPr>
                <w:i/>
                <w:color w:val="1D336C"/>
                <w:spacing w:val="-2"/>
                <w:sz w:val="20"/>
              </w:rPr>
              <w:t xml:space="preserve"> </w:t>
            </w:r>
            <w:r>
              <w:rPr>
                <w:i/>
                <w:color w:val="1D336C"/>
                <w:sz w:val="20"/>
              </w:rPr>
              <w:t>at</w:t>
            </w:r>
            <w:r>
              <w:rPr>
                <w:i/>
                <w:color w:val="1D336C"/>
                <w:spacing w:val="-5"/>
                <w:sz w:val="20"/>
              </w:rPr>
              <w:t xml:space="preserve"> </w:t>
            </w:r>
            <w:r>
              <w:rPr>
                <w:i/>
                <w:color w:val="1D336C"/>
                <w:sz w:val="20"/>
              </w:rPr>
              <w:t>the</w:t>
            </w:r>
            <w:r>
              <w:rPr>
                <w:i/>
                <w:color w:val="1D336C"/>
                <w:spacing w:val="-4"/>
                <w:sz w:val="20"/>
              </w:rPr>
              <w:t xml:space="preserve"> </w:t>
            </w:r>
            <w:r>
              <w:rPr>
                <w:i/>
                <w:color w:val="1D336C"/>
                <w:sz w:val="20"/>
              </w:rPr>
              <w:t>design</w:t>
            </w:r>
            <w:r>
              <w:rPr>
                <w:i/>
                <w:color w:val="1D336C"/>
                <w:spacing w:val="-6"/>
                <w:sz w:val="20"/>
              </w:rPr>
              <w:t xml:space="preserve"> </w:t>
            </w:r>
            <w:r>
              <w:rPr>
                <w:i/>
                <w:color w:val="1D336C"/>
                <w:sz w:val="20"/>
              </w:rPr>
              <w:t>stage</w:t>
            </w:r>
            <w:r>
              <w:rPr>
                <w:i/>
                <w:color w:val="1D336C"/>
                <w:spacing w:val="-3"/>
                <w:sz w:val="20"/>
              </w:rPr>
              <w:t xml:space="preserve"> </w:t>
            </w:r>
            <w:r>
              <w:rPr>
                <w:i/>
                <w:color w:val="1D336C"/>
                <w:sz w:val="20"/>
              </w:rPr>
              <w:t>in</w:t>
            </w:r>
            <w:r>
              <w:rPr>
                <w:i/>
                <w:color w:val="1D336C"/>
                <w:spacing w:val="-5"/>
                <w:sz w:val="20"/>
              </w:rPr>
              <w:t xml:space="preserve"> </w:t>
            </w:r>
            <w:r>
              <w:rPr>
                <w:i/>
                <w:color w:val="1D336C"/>
                <w:sz w:val="20"/>
              </w:rPr>
              <w:t>collaboration</w:t>
            </w:r>
            <w:r>
              <w:rPr>
                <w:i/>
                <w:color w:val="1D336C"/>
                <w:spacing w:val="-3"/>
                <w:sz w:val="20"/>
              </w:rPr>
              <w:t xml:space="preserve"> </w:t>
            </w:r>
            <w:r>
              <w:rPr>
                <w:i/>
                <w:color w:val="1D336C"/>
                <w:sz w:val="20"/>
              </w:rPr>
              <w:t xml:space="preserve">with </w:t>
            </w:r>
            <w:proofErr w:type="spellStart"/>
            <w:r>
              <w:rPr>
                <w:i/>
                <w:color w:val="1D336C"/>
                <w:sz w:val="20"/>
              </w:rPr>
              <w:t>NbS</w:t>
            </w:r>
            <w:proofErr w:type="spellEnd"/>
            <w:r>
              <w:rPr>
                <w:i/>
                <w:color w:val="1D336C"/>
                <w:sz w:val="20"/>
              </w:rPr>
              <w:t xml:space="preserve"> experts to achieve an integrated approach. </w:t>
            </w:r>
            <w:proofErr w:type="spellStart"/>
            <w:r>
              <w:rPr>
                <w:i/>
                <w:color w:val="1D336C"/>
                <w:sz w:val="20"/>
              </w:rPr>
              <w:t>NbS</w:t>
            </w:r>
            <w:proofErr w:type="spellEnd"/>
            <w:r>
              <w:rPr>
                <w:i/>
                <w:color w:val="1D336C"/>
                <w:sz w:val="20"/>
              </w:rPr>
              <w:t xml:space="preserve"> presents significant opportunities for transformative impacts on cross-cutting issues such as GEDSI, </w:t>
            </w:r>
            <w:proofErr w:type="spellStart"/>
            <w:r>
              <w:rPr>
                <w:i/>
                <w:color w:val="1D336C"/>
                <w:sz w:val="20"/>
              </w:rPr>
              <w:t>localisation</w:t>
            </w:r>
            <w:proofErr w:type="spellEnd"/>
            <w:r>
              <w:rPr>
                <w:i/>
                <w:color w:val="1D336C"/>
                <w:sz w:val="20"/>
              </w:rPr>
              <w:t xml:space="preserve">, and </w:t>
            </w:r>
            <w:r w:rsidR="006551F0">
              <w:rPr>
                <w:i/>
                <w:color w:val="1D336C"/>
                <w:sz w:val="20"/>
              </w:rPr>
              <w:t>Indigenous</w:t>
            </w:r>
            <w:r>
              <w:rPr>
                <w:i/>
                <w:color w:val="1D336C"/>
                <w:sz w:val="20"/>
              </w:rPr>
              <w:t xml:space="preserve"> engagement.</w:t>
            </w:r>
          </w:p>
        </w:tc>
        <w:tc>
          <w:tcPr>
            <w:tcW w:w="1298" w:type="dxa"/>
          </w:tcPr>
          <w:p w14:paraId="48E47FB0" w14:textId="77777777" w:rsidR="00CB2CB5" w:rsidRDefault="00CB2CB5">
            <w:pPr>
              <w:pStyle w:val="TableParagraph"/>
              <w:spacing w:before="134"/>
              <w:ind w:left="110"/>
              <w:rPr>
                <w:sz w:val="20"/>
              </w:rPr>
            </w:pPr>
            <w:r>
              <w:rPr>
                <w:sz w:val="20"/>
              </w:rPr>
              <w:t>2,</w:t>
            </w:r>
            <w:r>
              <w:rPr>
                <w:spacing w:val="-4"/>
                <w:sz w:val="20"/>
              </w:rPr>
              <w:t xml:space="preserve"> </w:t>
            </w:r>
            <w:r>
              <w:rPr>
                <w:spacing w:val="-12"/>
                <w:sz w:val="20"/>
              </w:rPr>
              <w:t>8</w:t>
            </w:r>
          </w:p>
        </w:tc>
      </w:tr>
      <w:tr w:rsidR="00CB2CB5" w14:paraId="21BC2084" w14:textId="77777777" w:rsidTr="006E7363">
        <w:trPr>
          <w:trHeight w:val="890"/>
          <w:jc w:val="center"/>
        </w:trPr>
        <w:tc>
          <w:tcPr>
            <w:tcW w:w="711" w:type="dxa"/>
            <w:shd w:val="clear" w:color="auto" w:fill="F1F1F1"/>
          </w:tcPr>
          <w:p w14:paraId="7AA33D99" w14:textId="77777777" w:rsidR="00CB2CB5" w:rsidRDefault="00CB2CB5">
            <w:pPr>
              <w:pStyle w:val="TableParagraph"/>
              <w:ind w:left="0" w:right="297"/>
              <w:jc w:val="right"/>
              <w:rPr>
                <w:b/>
                <w:sz w:val="20"/>
              </w:rPr>
            </w:pPr>
            <w:r>
              <w:rPr>
                <w:b/>
                <w:color w:val="1D336C"/>
                <w:spacing w:val="-10"/>
                <w:sz w:val="20"/>
              </w:rPr>
              <w:t>8</w:t>
            </w:r>
          </w:p>
        </w:tc>
        <w:tc>
          <w:tcPr>
            <w:tcW w:w="7631" w:type="dxa"/>
          </w:tcPr>
          <w:p w14:paraId="637F0C98" w14:textId="77777777" w:rsidR="00CB2CB5" w:rsidRDefault="00CB2CB5">
            <w:pPr>
              <w:pStyle w:val="TableParagraph"/>
              <w:spacing w:before="134" w:line="292" w:lineRule="auto"/>
              <w:ind w:left="83" w:right="108"/>
              <w:rPr>
                <w:i/>
                <w:sz w:val="20"/>
              </w:rPr>
            </w:pPr>
            <w:r>
              <w:rPr>
                <w:i/>
                <w:color w:val="1D336C"/>
                <w:sz w:val="20"/>
              </w:rPr>
              <w:t>Establish</w:t>
            </w:r>
            <w:r>
              <w:rPr>
                <w:i/>
                <w:color w:val="1D336C"/>
                <w:spacing w:val="-6"/>
                <w:sz w:val="20"/>
              </w:rPr>
              <w:t xml:space="preserve"> </w:t>
            </w:r>
            <w:r>
              <w:rPr>
                <w:i/>
                <w:color w:val="1D336C"/>
                <w:sz w:val="20"/>
              </w:rPr>
              <w:t>separate</w:t>
            </w:r>
            <w:r>
              <w:rPr>
                <w:i/>
                <w:color w:val="1D336C"/>
                <w:spacing w:val="-6"/>
                <w:sz w:val="20"/>
              </w:rPr>
              <w:t xml:space="preserve"> </w:t>
            </w:r>
            <w:r>
              <w:rPr>
                <w:i/>
                <w:color w:val="1D336C"/>
                <w:sz w:val="20"/>
              </w:rPr>
              <w:t>funding</w:t>
            </w:r>
            <w:r>
              <w:rPr>
                <w:i/>
                <w:color w:val="1D336C"/>
                <w:spacing w:val="-5"/>
                <w:sz w:val="20"/>
              </w:rPr>
              <w:t xml:space="preserve"> </w:t>
            </w:r>
            <w:r>
              <w:rPr>
                <w:i/>
                <w:color w:val="1D336C"/>
                <w:sz w:val="20"/>
              </w:rPr>
              <w:t>for</w:t>
            </w:r>
            <w:r>
              <w:rPr>
                <w:i/>
                <w:color w:val="1D336C"/>
                <w:spacing w:val="-6"/>
                <w:sz w:val="20"/>
              </w:rPr>
              <w:t xml:space="preserve"> </w:t>
            </w:r>
            <w:r>
              <w:rPr>
                <w:i/>
                <w:color w:val="1D336C"/>
                <w:sz w:val="20"/>
              </w:rPr>
              <w:t>expert</w:t>
            </w:r>
            <w:r>
              <w:rPr>
                <w:i/>
                <w:color w:val="1D336C"/>
                <w:spacing w:val="-6"/>
                <w:sz w:val="20"/>
              </w:rPr>
              <w:t xml:space="preserve"> </w:t>
            </w:r>
            <w:r>
              <w:rPr>
                <w:i/>
                <w:color w:val="1D336C"/>
                <w:sz w:val="20"/>
              </w:rPr>
              <w:t>services</w:t>
            </w:r>
            <w:r>
              <w:rPr>
                <w:i/>
                <w:color w:val="1D336C"/>
                <w:spacing w:val="-5"/>
                <w:sz w:val="20"/>
              </w:rPr>
              <w:t xml:space="preserve"> </w:t>
            </w:r>
            <w:r>
              <w:rPr>
                <w:i/>
                <w:color w:val="1D336C"/>
                <w:sz w:val="20"/>
              </w:rPr>
              <w:t>to</w:t>
            </w:r>
            <w:r>
              <w:rPr>
                <w:i/>
                <w:color w:val="1D336C"/>
                <w:spacing w:val="-4"/>
                <w:sz w:val="20"/>
              </w:rPr>
              <w:t xml:space="preserve"> </w:t>
            </w:r>
            <w:proofErr w:type="spellStart"/>
            <w:r>
              <w:rPr>
                <w:i/>
                <w:color w:val="1D336C"/>
                <w:sz w:val="20"/>
              </w:rPr>
              <w:t>incentivise</w:t>
            </w:r>
            <w:proofErr w:type="spellEnd"/>
            <w:r>
              <w:rPr>
                <w:i/>
                <w:color w:val="1D336C"/>
                <w:spacing w:val="-6"/>
                <w:sz w:val="20"/>
              </w:rPr>
              <w:t xml:space="preserve"> </w:t>
            </w:r>
            <w:r>
              <w:rPr>
                <w:i/>
                <w:color w:val="1D336C"/>
                <w:sz w:val="20"/>
              </w:rPr>
              <w:t>their</w:t>
            </w:r>
            <w:r>
              <w:rPr>
                <w:i/>
                <w:color w:val="1D336C"/>
                <w:spacing w:val="-3"/>
                <w:sz w:val="20"/>
              </w:rPr>
              <w:t xml:space="preserve"> </w:t>
            </w:r>
            <w:proofErr w:type="spellStart"/>
            <w:r>
              <w:rPr>
                <w:i/>
                <w:color w:val="1D336C"/>
                <w:sz w:val="20"/>
              </w:rPr>
              <w:t>utilisation</w:t>
            </w:r>
            <w:proofErr w:type="spellEnd"/>
            <w:r>
              <w:rPr>
                <w:i/>
                <w:color w:val="1D336C"/>
                <w:spacing w:val="-6"/>
                <w:sz w:val="20"/>
              </w:rPr>
              <w:t xml:space="preserve"> </w:t>
            </w:r>
            <w:r>
              <w:rPr>
                <w:i/>
                <w:color w:val="1D336C"/>
                <w:sz w:val="20"/>
              </w:rPr>
              <w:t xml:space="preserve">within </w:t>
            </w:r>
            <w:proofErr w:type="spellStart"/>
            <w:r>
              <w:rPr>
                <w:i/>
                <w:color w:val="1D336C"/>
                <w:sz w:val="20"/>
              </w:rPr>
              <w:t>NbS</w:t>
            </w:r>
            <w:proofErr w:type="spellEnd"/>
            <w:r>
              <w:rPr>
                <w:i/>
                <w:color w:val="1D336C"/>
                <w:sz w:val="20"/>
              </w:rPr>
              <w:t xml:space="preserve"> initiatives.</w:t>
            </w:r>
          </w:p>
        </w:tc>
        <w:tc>
          <w:tcPr>
            <w:tcW w:w="1298" w:type="dxa"/>
          </w:tcPr>
          <w:p w14:paraId="1C130BE5" w14:textId="77777777" w:rsidR="00CB2CB5" w:rsidRDefault="00CB2CB5">
            <w:pPr>
              <w:pStyle w:val="TableParagraph"/>
              <w:ind w:left="110"/>
              <w:rPr>
                <w:sz w:val="20"/>
              </w:rPr>
            </w:pPr>
            <w:r>
              <w:rPr>
                <w:spacing w:val="-10"/>
                <w:sz w:val="20"/>
              </w:rPr>
              <w:t>7</w:t>
            </w:r>
          </w:p>
        </w:tc>
      </w:tr>
      <w:tr w:rsidR="00CB2CB5" w14:paraId="1B10FF5F" w14:textId="77777777" w:rsidTr="006E7363">
        <w:trPr>
          <w:trHeight w:val="890"/>
          <w:jc w:val="center"/>
        </w:trPr>
        <w:tc>
          <w:tcPr>
            <w:tcW w:w="711" w:type="dxa"/>
            <w:shd w:val="clear" w:color="auto" w:fill="F1F1F1"/>
          </w:tcPr>
          <w:p w14:paraId="49383701" w14:textId="77777777" w:rsidR="00CB2CB5" w:rsidRDefault="00CB2CB5">
            <w:pPr>
              <w:pStyle w:val="TableParagraph"/>
              <w:ind w:left="0" w:right="297"/>
              <w:jc w:val="right"/>
              <w:rPr>
                <w:b/>
                <w:sz w:val="20"/>
              </w:rPr>
            </w:pPr>
            <w:r>
              <w:rPr>
                <w:b/>
                <w:color w:val="1D336C"/>
                <w:spacing w:val="-10"/>
                <w:sz w:val="20"/>
              </w:rPr>
              <w:t>9</w:t>
            </w:r>
          </w:p>
        </w:tc>
        <w:tc>
          <w:tcPr>
            <w:tcW w:w="7631" w:type="dxa"/>
          </w:tcPr>
          <w:p w14:paraId="0CA2ED0B" w14:textId="77777777" w:rsidR="00CB2CB5" w:rsidRDefault="00CB2CB5">
            <w:pPr>
              <w:pStyle w:val="TableParagraph"/>
              <w:spacing w:before="134" w:line="292" w:lineRule="auto"/>
              <w:ind w:left="83"/>
              <w:rPr>
                <w:i/>
                <w:sz w:val="20"/>
              </w:rPr>
            </w:pPr>
            <w:r>
              <w:rPr>
                <w:i/>
                <w:color w:val="1D336C"/>
                <w:sz w:val="20"/>
              </w:rPr>
              <w:t>Integrate</w:t>
            </w:r>
            <w:r>
              <w:rPr>
                <w:i/>
                <w:color w:val="1D336C"/>
                <w:spacing w:val="-7"/>
                <w:sz w:val="20"/>
              </w:rPr>
              <w:t xml:space="preserve"> </w:t>
            </w:r>
            <w:r>
              <w:rPr>
                <w:i/>
                <w:color w:val="1D336C"/>
                <w:sz w:val="20"/>
              </w:rPr>
              <w:t>regular</w:t>
            </w:r>
            <w:r>
              <w:rPr>
                <w:i/>
                <w:color w:val="1D336C"/>
                <w:spacing w:val="-6"/>
                <w:sz w:val="20"/>
              </w:rPr>
              <w:t xml:space="preserve"> </w:t>
            </w:r>
            <w:r>
              <w:rPr>
                <w:i/>
                <w:color w:val="1D336C"/>
                <w:sz w:val="20"/>
              </w:rPr>
              <w:t>implementation</w:t>
            </w:r>
            <w:r>
              <w:rPr>
                <w:i/>
                <w:color w:val="1D336C"/>
                <w:spacing w:val="-6"/>
                <w:sz w:val="20"/>
              </w:rPr>
              <w:t xml:space="preserve"> </w:t>
            </w:r>
            <w:r>
              <w:rPr>
                <w:i/>
                <w:color w:val="1D336C"/>
                <w:sz w:val="20"/>
              </w:rPr>
              <w:t>activities</w:t>
            </w:r>
            <w:r>
              <w:rPr>
                <w:i/>
                <w:color w:val="1D336C"/>
                <w:spacing w:val="-5"/>
                <w:sz w:val="20"/>
              </w:rPr>
              <w:t xml:space="preserve"> </w:t>
            </w:r>
            <w:r>
              <w:rPr>
                <w:i/>
                <w:color w:val="1D336C"/>
                <w:sz w:val="20"/>
              </w:rPr>
              <w:t>with</w:t>
            </w:r>
            <w:r>
              <w:rPr>
                <w:i/>
                <w:color w:val="1D336C"/>
                <w:spacing w:val="-6"/>
                <w:sz w:val="20"/>
              </w:rPr>
              <w:t xml:space="preserve"> </w:t>
            </w:r>
            <w:r>
              <w:rPr>
                <w:i/>
                <w:color w:val="1D336C"/>
                <w:sz w:val="20"/>
              </w:rPr>
              <w:t>interventions</w:t>
            </w:r>
            <w:r>
              <w:rPr>
                <w:i/>
                <w:color w:val="1D336C"/>
                <w:spacing w:val="-3"/>
                <w:sz w:val="20"/>
              </w:rPr>
              <w:t xml:space="preserve"> </w:t>
            </w:r>
            <w:r>
              <w:rPr>
                <w:i/>
                <w:color w:val="1D336C"/>
                <w:sz w:val="20"/>
              </w:rPr>
              <w:t>aimed</w:t>
            </w:r>
            <w:r>
              <w:rPr>
                <w:i/>
                <w:color w:val="1D336C"/>
                <w:spacing w:val="-5"/>
                <w:sz w:val="20"/>
              </w:rPr>
              <w:t xml:space="preserve"> </w:t>
            </w:r>
            <w:r>
              <w:rPr>
                <w:i/>
                <w:color w:val="1D336C"/>
                <w:sz w:val="20"/>
              </w:rPr>
              <w:t>at</w:t>
            </w:r>
            <w:r>
              <w:rPr>
                <w:i/>
                <w:color w:val="1D336C"/>
                <w:spacing w:val="-4"/>
                <w:sz w:val="20"/>
              </w:rPr>
              <w:t xml:space="preserve"> </w:t>
            </w:r>
            <w:r>
              <w:rPr>
                <w:i/>
                <w:color w:val="1D336C"/>
                <w:sz w:val="20"/>
              </w:rPr>
              <w:t>improving</w:t>
            </w:r>
            <w:r>
              <w:rPr>
                <w:i/>
                <w:color w:val="1D336C"/>
                <w:spacing w:val="-5"/>
                <w:sz w:val="20"/>
              </w:rPr>
              <w:t xml:space="preserve"> </w:t>
            </w:r>
            <w:r>
              <w:rPr>
                <w:i/>
                <w:color w:val="1D336C"/>
                <w:sz w:val="20"/>
              </w:rPr>
              <w:t xml:space="preserve">the operating environment of </w:t>
            </w:r>
            <w:proofErr w:type="spellStart"/>
            <w:r>
              <w:rPr>
                <w:i/>
                <w:color w:val="1D336C"/>
                <w:sz w:val="20"/>
              </w:rPr>
              <w:t>NbS</w:t>
            </w:r>
            <w:proofErr w:type="spellEnd"/>
            <w:r>
              <w:rPr>
                <w:i/>
                <w:color w:val="1D336C"/>
                <w:sz w:val="20"/>
              </w:rPr>
              <w:t xml:space="preserve"> initiatives.</w:t>
            </w:r>
          </w:p>
        </w:tc>
        <w:tc>
          <w:tcPr>
            <w:tcW w:w="1298" w:type="dxa"/>
          </w:tcPr>
          <w:p w14:paraId="616C8401" w14:textId="77777777" w:rsidR="00CB2CB5" w:rsidRDefault="00CB2CB5">
            <w:pPr>
              <w:pStyle w:val="TableParagraph"/>
              <w:ind w:left="110"/>
              <w:rPr>
                <w:sz w:val="20"/>
              </w:rPr>
            </w:pPr>
            <w:r>
              <w:rPr>
                <w:sz w:val="20"/>
              </w:rPr>
              <w:t>6,</w:t>
            </w:r>
            <w:r>
              <w:rPr>
                <w:spacing w:val="-4"/>
                <w:sz w:val="20"/>
              </w:rPr>
              <w:t xml:space="preserve"> </w:t>
            </w:r>
            <w:r>
              <w:rPr>
                <w:sz w:val="20"/>
              </w:rPr>
              <w:t>12,</w:t>
            </w:r>
            <w:r>
              <w:rPr>
                <w:spacing w:val="-3"/>
                <w:sz w:val="20"/>
              </w:rPr>
              <w:t xml:space="preserve"> </w:t>
            </w:r>
            <w:r>
              <w:rPr>
                <w:spacing w:val="-5"/>
                <w:sz w:val="20"/>
              </w:rPr>
              <w:t>15</w:t>
            </w:r>
          </w:p>
        </w:tc>
      </w:tr>
      <w:tr w:rsidR="00CB2CB5" w14:paraId="678FB2DF" w14:textId="77777777" w:rsidTr="006E7363">
        <w:trPr>
          <w:trHeight w:val="2011"/>
          <w:jc w:val="center"/>
        </w:trPr>
        <w:tc>
          <w:tcPr>
            <w:tcW w:w="711" w:type="dxa"/>
            <w:shd w:val="clear" w:color="auto" w:fill="F1F1F1"/>
          </w:tcPr>
          <w:p w14:paraId="76218D4A" w14:textId="77777777" w:rsidR="00CB2CB5" w:rsidRDefault="00CB2CB5">
            <w:pPr>
              <w:pStyle w:val="TableParagraph"/>
              <w:spacing w:before="137"/>
              <w:ind w:left="0" w:right="242"/>
              <w:jc w:val="right"/>
              <w:rPr>
                <w:b/>
                <w:sz w:val="20"/>
              </w:rPr>
            </w:pPr>
            <w:r>
              <w:rPr>
                <w:b/>
                <w:color w:val="1D336C"/>
                <w:spacing w:val="-5"/>
                <w:sz w:val="20"/>
              </w:rPr>
              <w:t>10</w:t>
            </w:r>
          </w:p>
        </w:tc>
        <w:tc>
          <w:tcPr>
            <w:tcW w:w="7631" w:type="dxa"/>
          </w:tcPr>
          <w:p w14:paraId="00364F6A" w14:textId="77777777" w:rsidR="00CB2CB5" w:rsidRDefault="00CB2CB5">
            <w:pPr>
              <w:pStyle w:val="TableParagraph"/>
              <w:spacing w:before="134" w:line="292" w:lineRule="auto"/>
              <w:ind w:left="83" w:right="108"/>
              <w:rPr>
                <w:i/>
                <w:sz w:val="20"/>
              </w:rPr>
            </w:pPr>
            <w:proofErr w:type="spellStart"/>
            <w:r>
              <w:rPr>
                <w:i/>
                <w:color w:val="1D336C"/>
                <w:sz w:val="20"/>
              </w:rPr>
              <w:t>Prioritise</w:t>
            </w:r>
            <w:proofErr w:type="spellEnd"/>
            <w:r>
              <w:rPr>
                <w:i/>
                <w:color w:val="1D336C"/>
                <w:sz w:val="20"/>
              </w:rPr>
              <w:t xml:space="preserve"> manageable interventions that address the context of </w:t>
            </w:r>
            <w:proofErr w:type="spellStart"/>
            <w:r>
              <w:rPr>
                <w:i/>
                <w:color w:val="1D336C"/>
                <w:sz w:val="20"/>
              </w:rPr>
              <w:t>NbS</w:t>
            </w:r>
            <w:proofErr w:type="spellEnd"/>
            <w:r>
              <w:rPr>
                <w:i/>
                <w:color w:val="1D336C"/>
                <w:sz w:val="20"/>
              </w:rPr>
              <w:t xml:space="preserve"> initiatives attuned to country-specific political economy considerations. As </w:t>
            </w:r>
            <w:proofErr w:type="spellStart"/>
            <w:r>
              <w:rPr>
                <w:i/>
                <w:color w:val="1D336C"/>
                <w:sz w:val="20"/>
              </w:rPr>
              <w:t>NbS</w:t>
            </w:r>
            <w:proofErr w:type="spellEnd"/>
            <w:r>
              <w:rPr>
                <w:i/>
                <w:color w:val="1D336C"/>
                <w:sz w:val="20"/>
              </w:rPr>
              <w:t xml:space="preserve"> is a relatively new field, there are various challenges that need to be addressed, ranging from scientific issues to governance structures and regulatory frameworks. Therefore, it is important for </w:t>
            </w:r>
            <w:proofErr w:type="spellStart"/>
            <w:r>
              <w:rPr>
                <w:i/>
                <w:color w:val="1D336C"/>
                <w:sz w:val="20"/>
              </w:rPr>
              <w:t>NbS</w:t>
            </w:r>
            <w:proofErr w:type="spellEnd"/>
            <w:r>
              <w:rPr>
                <w:i/>
                <w:color w:val="1D336C"/>
                <w:sz w:val="20"/>
              </w:rPr>
              <w:t xml:space="preserve"> projects to allocate their resources judiciously</w:t>
            </w:r>
            <w:r>
              <w:rPr>
                <w:i/>
                <w:color w:val="1D336C"/>
                <w:spacing w:val="-3"/>
                <w:sz w:val="20"/>
              </w:rPr>
              <w:t xml:space="preserve"> </w:t>
            </w:r>
            <w:r>
              <w:rPr>
                <w:i/>
                <w:color w:val="1D336C"/>
                <w:sz w:val="20"/>
              </w:rPr>
              <w:t>and</w:t>
            </w:r>
            <w:r>
              <w:rPr>
                <w:i/>
                <w:color w:val="1D336C"/>
                <w:spacing w:val="-4"/>
                <w:sz w:val="20"/>
              </w:rPr>
              <w:t xml:space="preserve"> </w:t>
            </w:r>
            <w:r>
              <w:rPr>
                <w:i/>
                <w:color w:val="1D336C"/>
                <w:sz w:val="20"/>
              </w:rPr>
              <w:t>avoid</w:t>
            </w:r>
            <w:r>
              <w:rPr>
                <w:i/>
                <w:color w:val="1D336C"/>
                <w:spacing w:val="-4"/>
                <w:sz w:val="20"/>
              </w:rPr>
              <w:t xml:space="preserve"> </w:t>
            </w:r>
            <w:r>
              <w:rPr>
                <w:i/>
                <w:color w:val="1D336C"/>
                <w:sz w:val="20"/>
              </w:rPr>
              <w:t>spreading</w:t>
            </w:r>
            <w:r>
              <w:rPr>
                <w:i/>
                <w:color w:val="1D336C"/>
                <w:spacing w:val="-4"/>
                <w:sz w:val="20"/>
              </w:rPr>
              <w:t xml:space="preserve"> </w:t>
            </w:r>
            <w:r>
              <w:rPr>
                <w:i/>
                <w:color w:val="1D336C"/>
                <w:sz w:val="20"/>
              </w:rPr>
              <w:t>them</w:t>
            </w:r>
            <w:r>
              <w:rPr>
                <w:i/>
                <w:color w:val="1D336C"/>
                <w:spacing w:val="-4"/>
                <w:sz w:val="20"/>
              </w:rPr>
              <w:t xml:space="preserve"> </w:t>
            </w:r>
            <w:r>
              <w:rPr>
                <w:i/>
                <w:color w:val="1D336C"/>
                <w:sz w:val="20"/>
              </w:rPr>
              <w:t>too</w:t>
            </w:r>
            <w:r>
              <w:rPr>
                <w:i/>
                <w:color w:val="1D336C"/>
                <w:spacing w:val="-5"/>
                <w:sz w:val="20"/>
              </w:rPr>
              <w:t xml:space="preserve"> </w:t>
            </w:r>
            <w:r>
              <w:rPr>
                <w:i/>
                <w:color w:val="1D336C"/>
                <w:sz w:val="20"/>
              </w:rPr>
              <w:t>thin</w:t>
            </w:r>
            <w:r>
              <w:rPr>
                <w:i/>
                <w:color w:val="1D336C"/>
                <w:spacing w:val="-4"/>
                <w:sz w:val="20"/>
              </w:rPr>
              <w:t xml:space="preserve"> </w:t>
            </w:r>
            <w:r>
              <w:rPr>
                <w:i/>
                <w:color w:val="1D336C"/>
                <w:sz w:val="20"/>
              </w:rPr>
              <w:t>across</w:t>
            </w:r>
            <w:r>
              <w:rPr>
                <w:i/>
                <w:color w:val="1D336C"/>
                <w:spacing w:val="-3"/>
                <w:sz w:val="20"/>
              </w:rPr>
              <w:t xml:space="preserve"> </w:t>
            </w:r>
            <w:r>
              <w:rPr>
                <w:i/>
                <w:color w:val="1D336C"/>
                <w:sz w:val="20"/>
              </w:rPr>
              <w:t>the</w:t>
            </w:r>
            <w:r>
              <w:rPr>
                <w:i/>
                <w:color w:val="1D336C"/>
                <w:spacing w:val="-4"/>
                <w:sz w:val="20"/>
              </w:rPr>
              <w:t xml:space="preserve"> </w:t>
            </w:r>
            <w:r>
              <w:rPr>
                <w:i/>
                <w:color w:val="1D336C"/>
                <w:sz w:val="20"/>
              </w:rPr>
              <w:t>multitude</w:t>
            </w:r>
            <w:r>
              <w:rPr>
                <w:i/>
                <w:color w:val="1D336C"/>
                <w:spacing w:val="-3"/>
                <w:sz w:val="20"/>
              </w:rPr>
              <w:t xml:space="preserve"> </w:t>
            </w:r>
            <w:r>
              <w:rPr>
                <w:i/>
                <w:color w:val="1D336C"/>
                <w:sz w:val="20"/>
              </w:rPr>
              <w:t>of</w:t>
            </w:r>
            <w:r>
              <w:rPr>
                <w:i/>
                <w:color w:val="1D336C"/>
                <w:spacing w:val="-4"/>
                <w:sz w:val="20"/>
              </w:rPr>
              <w:t xml:space="preserve"> </w:t>
            </w:r>
            <w:r>
              <w:rPr>
                <w:i/>
                <w:color w:val="1D336C"/>
                <w:sz w:val="20"/>
              </w:rPr>
              <w:t>context-related challenges that may arise.</w:t>
            </w:r>
          </w:p>
        </w:tc>
        <w:tc>
          <w:tcPr>
            <w:tcW w:w="1298" w:type="dxa"/>
          </w:tcPr>
          <w:p w14:paraId="3E914EFA" w14:textId="77777777" w:rsidR="00CB2CB5" w:rsidRDefault="00CB2CB5">
            <w:pPr>
              <w:pStyle w:val="TableParagraph"/>
              <w:spacing w:before="137"/>
              <w:ind w:left="110"/>
              <w:rPr>
                <w:sz w:val="20"/>
              </w:rPr>
            </w:pPr>
            <w:r>
              <w:rPr>
                <w:sz w:val="20"/>
              </w:rPr>
              <w:t>6,</w:t>
            </w:r>
            <w:r>
              <w:rPr>
                <w:spacing w:val="-4"/>
                <w:sz w:val="20"/>
              </w:rPr>
              <w:t xml:space="preserve"> </w:t>
            </w:r>
            <w:r>
              <w:rPr>
                <w:sz w:val="20"/>
              </w:rPr>
              <w:t>11,</w:t>
            </w:r>
            <w:r>
              <w:rPr>
                <w:spacing w:val="-4"/>
                <w:sz w:val="20"/>
              </w:rPr>
              <w:t xml:space="preserve"> </w:t>
            </w:r>
            <w:r>
              <w:rPr>
                <w:spacing w:val="-5"/>
                <w:sz w:val="20"/>
              </w:rPr>
              <w:t>15</w:t>
            </w:r>
          </w:p>
        </w:tc>
      </w:tr>
    </w:tbl>
    <w:p w14:paraId="23035349" w14:textId="77777777" w:rsidR="002F4993" w:rsidRDefault="002F4993" w:rsidP="00B814D2"/>
    <w:p w14:paraId="13F6758A" w14:textId="5B0C3079" w:rsidR="009B0D84" w:rsidRDefault="00EA7FE2" w:rsidP="00C66EA6">
      <w:pPr>
        <w:pStyle w:val="Heading1"/>
      </w:pPr>
      <w:bookmarkStart w:id="20" w:name="_Toc164783036"/>
      <w:r w:rsidRPr="00EA7FE2">
        <w:t>Recommendations (Investment level)</w:t>
      </w:r>
      <w:bookmarkEnd w:id="20"/>
      <w:r w:rsidRPr="00EA7FE2">
        <w:t xml:space="preserve"> </w:t>
      </w:r>
    </w:p>
    <w:p w14:paraId="53E1BED6" w14:textId="01E6CABD" w:rsidR="00983D62" w:rsidRPr="00983D62" w:rsidRDefault="00983D62" w:rsidP="00983D62">
      <w:pPr>
        <w:pStyle w:val="Heading2"/>
        <w:rPr>
          <w:color w:val="1D336D" w:themeColor="background2"/>
          <w:sz w:val="24"/>
          <w:szCs w:val="24"/>
        </w:rPr>
      </w:pPr>
      <w:bookmarkStart w:id="21" w:name="_Toc164783037"/>
      <w:r w:rsidRPr="00983D62">
        <w:rPr>
          <w:caps w:val="0"/>
          <w:color w:val="1D336D" w:themeColor="background2"/>
          <w:sz w:val="24"/>
          <w:szCs w:val="24"/>
        </w:rPr>
        <w:t xml:space="preserve">Climate Resilient </w:t>
      </w:r>
      <w:r>
        <w:rPr>
          <w:caps w:val="0"/>
          <w:color w:val="1D336D" w:themeColor="background2"/>
          <w:sz w:val="24"/>
          <w:szCs w:val="24"/>
        </w:rPr>
        <w:t>b</w:t>
      </w:r>
      <w:r w:rsidRPr="00983D62">
        <w:rPr>
          <w:caps w:val="0"/>
          <w:color w:val="1D336D" w:themeColor="background2"/>
          <w:sz w:val="24"/>
          <w:szCs w:val="24"/>
        </w:rPr>
        <w:t>y Nature</w:t>
      </w:r>
      <w:bookmarkEnd w:id="21"/>
    </w:p>
    <w:tbl>
      <w:tblPr>
        <w:tblW w:w="9640" w:type="dxa"/>
        <w:jc w:val="center"/>
        <w:tblLayout w:type="fixed"/>
        <w:tblCellMar>
          <w:left w:w="0" w:type="dxa"/>
          <w:right w:w="0" w:type="dxa"/>
        </w:tblCellMar>
        <w:tblLook w:val="01E0" w:firstRow="1" w:lastRow="1" w:firstColumn="1" w:lastColumn="1" w:noHBand="0" w:noVBand="0"/>
      </w:tblPr>
      <w:tblGrid>
        <w:gridCol w:w="711"/>
        <w:gridCol w:w="7653"/>
        <w:gridCol w:w="1276"/>
      </w:tblGrid>
      <w:tr w:rsidR="009B0D84" w14:paraId="1ED4E611" w14:textId="77777777" w:rsidTr="00983D62">
        <w:trPr>
          <w:trHeight w:val="887"/>
          <w:tblHeader/>
          <w:jc w:val="center"/>
        </w:trPr>
        <w:tc>
          <w:tcPr>
            <w:tcW w:w="711" w:type="dxa"/>
            <w:tcBorders>
              <w:bottom w:val="single" w:sz="4" w:space="0" w:color="000000" w:themeColor="text1"/>
            </w:tcBorders>
            <w:shd w:val="clear" w:color="auto" w:fill="1D336D" w:themeFill="background2"/>
          </w:tcPr>
          <w:p w14:paraId="7107DBCA" w14:textId="77777777" w:rsidR="009B0D84" w:rsidRPr="00983D62" w:rsidRDefault="009B0D84">
            <w:pPr>
              <w:pStyle w:val="TableParagraph"/>
              <w:spacing w:before="134"/>
              <w:rPr>
                <w:b/>
                <w:color w:val="FFFFFF" w:themeColor="background1"/>
                <w:sz w:val="20"/>
              </w:rPr>
            </w:pPr>
            <w:r w:rsidRPr="00983D62">
              <w:rPr>
                <w:b/>
                <w:color w:val="FFFFFF" w:themeColor="background1"/>
                <w:spacing w:val="-10"/>
                <w:sz w:val="20"/>
              </w:rPr>
              <w:t>#</w:t>
            </w:r>
          </w:p>
        </w:tc>
        <w:tc>
          <w:tcPr>
            <w:tcW w:w="7653" w:type="dxa"/>
            <w:tcBorders>
              <w:bottom w:val="single" w:sz="4" w:space="0" w:color="000000" w:themeColor="text1"/>
            </w:tcBorders>
            <w:shd w:val="clear" w:color="auto" w:fill="1D336D" w:themeFill="background2"/>
          </w:tcPr>
          <w:p w14:paraId="5587B81D" w14:textId="77777777" w:rsidR="009B0D84" w:rsidRPr="00983D62" w:rsidRDefault="009B0D84">
            <w:pPr>
              <w:pStyle w:val="TableParagraph"/>
              <w:spacing w:before="134"/>
              <w:ind w:left="83"/>
              <w:rPr>
                <w:b/>
                <w:color w:val="FFFFFF" w:themeColor="background1"/>
                <w:sz w:val="20"/>
              </w:rPr>
            </w:pPr>
            <w:r w:rsidRPr="00983D62">
              <w:rPr>
                <w:b/>
                <w:color w:val="FFFFFF" w:themeColor="background1"/>
                <w:spacing w:val="-2"/>
                <w:sz w:val="20"/>
              </w:rPr>
              <w:t>Recommendation</w:t>
            </w:r>
          </w:p>
        </w:tc>
        <w:tc>
          <w:tcPr>
            <w:tcW w:w="1276" w:type="dxa"/>
            <w:tcBorders>
              <w:bottom w:val="single" w:sz="4" w:space="0" w:color="000000" w:themeColor="text1"/>
            </w:tcBorders>
            <w:shd w:val="clear" w:color="auto" w:fill="1D336D" w:themeFill="background2"/>
          </w:tcPr>
          <w:p w14:paraId="52AF0162" w14:textId="77777777" w:rsidR="009B0D84" w:rsidRPr="00983D62" w:rsidRDefault="009B0D84">
            <w:pPr>
              <w:pStyle w:val="TableParagraph"/>
              <w:spacing w:before="131" w:line="292" w:lineRule="auto"/>
              <w:ind w:left="88" w:right="237"/>
              <w:rPr>
                <w:color w:val="FFFFFF" w:themeColor="background1"/>
                <w:sz w:val="20"/>
              </w:rPr>
            </w:pPr>
            <w:r w:rsidRPr="00983D62">
              <w:rPr>
                <w:b/>
                <w:color w:val="FFFFFF" w:themeColor="background1"/>
                <w:spacing w:val="-4"/>
                <w:sz w:val="20"/>
              </w:rPr>
              <w:t xml:space="preserve">See </w:t>
            </w:r>
            <w:r w:rsidRPr="00983D62">
              <w:rPr>
                <w:b/>
                <w:color w:val="FFFFFF" w:themeColor="background1"/>
                <w:sz w:val="20"/>
              </w:rPr>
              <w:t>findings</w:t>
            </w:r>
            <w:r w:rsidRPr="00983D62">
              <w:rPr>
                <w:b/>
                <w:color w:val="FFFFFF" w:themeColor="background1"/>
                <w:spacing w:val="-14"/>
                <w:sz w:val="20"/>
              </w:rPr>
              <w:t xml:space="preserve"> </w:t>
            </w:r>
            <w:r w:rsidRPr="00983D62">
              <w:rPr>
                <w:color w:val="FFFFFF" w:themeColor="background1"/>
                <w:sz w:val="20"/>
              </w:rPr>
              <w:t>#</w:t>
            </w:r>
          </w:p>
        </w:tc>
      </w:tr>
      <w:tr w:rsidR="009B0D84" w14:paraId="072C5854" w14:textId="77777777" w:rsidTr="00983D62">
        <w:trPr>
          <w:trHeight w:val="1170"/>
          <w:jc w:val="center"/>
        </w:trPr>
        <w:tc>
          <w:tcPr>
            <w:tcW w:w="711" w:type="dxa"/>
            <w:tcBorders>
              <w:top w:val="single" w:sz="4" w:space="0" w:color="000000" w:themeColor="text1"/>
              <w:bottom w:val="single" w:sz="4" w:space="0" w:color="000000" w:themeColor="text1"/>
            </w:tcBorders>
            <w:shd w:val="clear" w:color="auto" w:fill="F1F1F1"/>
          </w:tcPr>
          <w:p w14:paraId="6F0372CA" w14:textId="77777777" w:rsidR="009B0D84" w:rsidRDefault="009B0D84">
            <w:pPr>
              <w:pStyle w:val="TableParagraph"/>
              <w:ind w:left="0" w:right="242"/>
              <w:jc w:val="right"/>
              <w:rPr>
                <w:b/>
                <w:sz w:val="20"/>
              </w:rPr>
            </w:pPr>
            <w:r>
              <w:rPr>
                <w:b/>
                <w:color w:val="1D336C"/>
                <w:spacing w:val="-5"/>
                <w:sz w:val="20"/>
              </w:rPr>
              <w:t>11</w:t>
            </w:r>
          </w:p>
        </w:tc>
        <w:tc>
          <w:tcPr>
            <w:tcW w:w="7653" w:type="dxa"/>
            <w:tcBorders>
              <w:top w:val="single" w:sz="4" w:space="0" w:color="000000" w:themeColor="text1"/>
              <w:bottom w:val="single" w:sz="4" w:space="0" w:color="000000" w:themeColor="text1"/>
            </w:tcBorders>
          </w:tcPr>
          <w:p w14:paraId="7257B31B" w14:textId="366FCDD9" w:rsidR="009B0D84" w:rsidRPr="00FB2EF4" w:rsidRDefault="009B0D84">
            <w:pPr>
              <w:rPr>
                <w:i/>
                <w:iCs/>
                <w:color w:val="1D336C"/>
                <w:szCs w:val="20"/>
              </w:rPr>
            </w:pPr>
            <w:r w:rsidRPr="00B71534">
              <w:rPr>
                <w:i/>
                <w:iCs/>
                <w:color w:val="1D336C"/>
                <w:szCs w:val="20"/>
              </w:rPr>
              <w:t>Prioritise</w:t>
            </w:r>
            <w:r w:rsidRPr="00B71534">
              <w:rPr>
                <w:i/>
                <w:iCs/>
                <w:color w:val="1D336C"/>
                <w:spacing w:val="-3"/>
                <w:szCs w:val="20"/>
              </w:rPr>
              <w:t xml:space="preserve"> </w:t>
            </w:r>
            <w:r w:rsidRPr="00B71534">
              <w:rPr>
                <w:i/>
                <w:iCs/>
                <w:color w:val="1D336C"/>
                <w:szCs w:val="20"/>
              </w:rPr>
              <w:t>investment</w:t>
            </w:r>
            <w:r w:rsidRPr="00B71534">
              <w:rPr>
                <w:i/>
                <w:iCs/>
                <w:color w:val="1D336C"/>
                <w:spacing w:val="-3"/>
                <w:szCs w:val="20"/>
              </w:rPr>
              <w:t xml:space="preserve"> </w:t>
            </w:r>
            <w:r w:rsidRPr="00B71534">
              <w:rPr>
                <w:i/>
                <w:iCs/>
                <w:color w:val="1D336C"/>
                <w:szCs w:val="20"/>
              </w:rPr>
              <w:t>in</w:t>
            </w:r>
            <w:r w:rsidRPr="00B71534">
              <w:rPr>
                <w:i/>
                <w:iCs/>
                <w:color w:val="1D336C"/>
                <w:spacing w:val="-3"/>
                <w:szCs w:val="20"/>
              </w:rPr>
              <w:t xml:space="preserve"> </w:t>
            </w:r>
            <w:r w:rsidRPr="00B71534">
              <w:rPr>
                <w:i/>
                <w:iCs/>
                <w:color w:val="1D336C"/>
                <w:szCs w:val="20"/>
              </w:rPr>
              <w:t>improving</w:t>
            </w:r>
            <w:r w:rsidRPr="00B71534">
              <w:rPr>
                <w:i/>
                <w:iCs/>
                <w:color w:val="1D336C"/>
                <w:spacing w:val="-6"/>
                <w:szCs w:val="20"/>
              </w:rPr>
              <w:t xml:space="preserve"> </w:t>
            </w:r>
            <w:r w:rsidRPr="00B71534">
              <w:rPr>
                <w:i/>
                <w:iCs/>
                <w:color w:val="1D336C"/>
                <w:szCs w:val="20"/>
              </w:rPr>
              <w:t>and</w:t>
            </w:r>
            <w:r w:rsidRPr="00B71534">
              <w:rPr>
                <w:i/>
                <w:iCs/>
                <w:color w:val="1D336C"/>
                <w:spacing w:val="-6"/>
                <w:szCs w:val="20"/>
              </w:rPr>
              <w:t xml:space="preserve"> </w:t>
            </w:r>
            <w:r w:rsidRPr="00B71534">
              <w:rPr>
                <w:i/>
                <w:iCs/>
                <w:color w:val="1D336C"/>
                <w:szCs w:val="20"/>
              </w:rPr>
              <w:t>replicating</w:t>
            </w:r>
            <w:r w:rsidRPr="00B71534">
              <w:rPr>
                <w:i/>
                <w:iCs/>
                <w:color w:val="1D336C"/>
                <w:spacing w:val="-6"/>
                <w:szCs w:val="20"/>
              </w:rPr>
              <w:t xml:space="preserve"> </w:t>
            </w:r>
            <w:r w:rsidRPr="00B71534">
              <w:rPr>
                <w:i/>
                <w:iCs/>
                <w:color w:val="1D336C"/>
                <w:szCs w:val="20"/>
              </w:rPr>
              <w:t>successful</w:t>
            </w:r>
            <w:r w:rsidRPr="00B71534">
              <w:rPr>
                <w:i/>
                <w:iCs/>
                <w:color w:val="1D336C"/>
                <w:spacing w:val="-6"/>
                <w:szCs w:val="20"/>
              </w:rPr>
              <w:t xml:space="preserve"> </w:t>
            </w:r>
            <w:r w:rsidRPr="00B71534">
              <w:rPr>
                <w:i/>
                <w:iCs/>
                <w:color w:val="1D336C"/>
                <w:szCs w:val="20"/>
              </w:rPr>
              <w:t>approaches</w:t>
            </w:r>
            <w:r w:rsidRPr="00B71534">
              <w:rPr>
                <w:i/>
                <w:iCs/>
                <w:color w:val="1D336C"/>
                <w:spacing w:val="-4"/>
                <w:szCs w:val="20"/>
              </w:rPr>
              <w:t xml:space="preserve"> </w:t>
            </w:r>
            <w:r w:rsidRPr="00B71534">
              <w:rPr>
                <w:i/>
                <w:iCs/>
                <w:color w:val="1D336C"/>
                <w:szCs w:val="20"/>
              </w:rPr>
              <w:t>to</w:t>
            </w:r>
            <w:r w:rsidRPr="00B71534">
              <w:rPr>
                <w:i/>
                <w:iCs/>
                <w:color w:val="1D336C"/>
                <w:spacing w:val="-4"/>
                <w:szCs w:val="20"/>
              </w:rPr>
              <w:t xml:space="preserve"> </w:t>
            </w:r>
            <w:r w:rsidRPr="00B71534">
              <w:rPr>
                <w:i/>
                <w:iCs/>
                <w:color w:val="1D336C"/>
                <w:szCs w:val="20"/>
              </w:rPr>
              <w:t xml:space="preserve">date. </w:t>
            </w:r>
            <w:r>
              <w:rPr>
                <w:i/>
                <w:iCs/>
                <w:color w:val="1D336C"/>
                <w:szCs w:val="20"/>
              </w:rPr>
              <w:t xml:space="preserve">A comprehensive review of all projects, sub-projects, and early-stage pilots should be undertaken, drawing on criteria derived from an ambitious </w:t>
            </w:r>
            <w:proofErr w:type="spellStart"/>
            <w:r>
              <w:rPr>
                <w:i/>
                <w:iCs/>
                <w:color w:val="1D336C"/>
                <w:szCs w:val="20"/>
              </w:rPr>
              <w:t>NbS</w:t>
            </w:r>
            <w:proofErr w:type="spellEnd"/>
            <w:r>
              <w:rPr>
                <w:i/>
                <w:iCs/>
                <w:color w:val="1D336C"/>
                <w:szCs w:val="20"/>
              </w:rPr>
              <w:t xml:space="preserve"> definition. As a minimum, this should include assessment against the </w:t>
            </w:r>
            <w:proofErr w:type="spellStart"/>
            <w:r>
              <w:rPr>
                <w:i/>
                <w:iCs/>
                <w:color w:val="1D336C"/>
                <w:szCs w:val="20"/>
              </w:rPr>
              <w:t>NbS</w:t>
            </w:r>
            <w:proofErr w:type="spellEnd"/>
            <w:r>
              <w:rPr>
                <w:i/>
                <w:iCs/>
                <w:color w:val="1D336C"/>
                <w:szCs w:val="20"/>
              </w:rPr>
              <w:t xml:space="preserve"> criteria of biodiversity, climate change, and livelihoods. The intention of such a review is not to shift the goal posts of current projects, but to ensure that future activities are meeting the definition of a </w:t>
            </w:r>
            <w:proofErr w:type="spellStart"/>
            <w:r>
              <w:rPr>
                <w:i/>
                <w:iCs/>
                <w:color w:val="1D336C"/>
                <w:szCs w:val="20"/>
              </w:rPr>
              <w:t>NbS</w:t>
            </w:r>
            <w:proofErr w:type="spellEnd"/>
            <w:r>
              <w:rPr>
                <w:i/>
                <w:iCs/>
                <w:color w:val="1D336C"/>
                <w:szCs w:val="20"/>
              </w:rPr>
              <w:t>.</w:t>
            </w:r>
          </w:p>
        </w:tc>
        <w:tc>
          <w:tcPr>
            <w:tcW w:w="1276" w:type="dxa"/>
            <w:tcBorders>
              <w:top w:val="single" w:sz="4" w:space="0" w:color="000000" w:themeColor="text1"/>
              <w:bottom w:val="single" w:sz="4" w:space="0" w:color="000000" w:themeColor="text1"/>
            </w:tcBorders>
          </w:tcPr>
          <w:p w14:paraId="297EF93D" w14:textId="77777777" w:rsidR="009B0D84" w:rsidRDefault="009B0D84">
            <w:pPr>
              <w:pStyle w:val="TableParagraph"/>
              <w:ind w:left="88"/>
              <w:rPr>
                <w:sz w:val="20"/>
              </w:rPr>
            </w:pPr>
            <w:r>
              <w:rPr>
                <w:sz w:val="20"/>
              </w:rPr>
              <w:t>20,</w:t>
            </w:r>
            <w:r>
              <w:rPr>
                <w:spacing w:val="-6"/>
                <w:sz w:val="20"/>
              </w:rPr>
              <w:t xml:space="preserve"> </w:t>
            </w:r>
            <w:r>
              <w:rPr>
                <w:spacing w:val="-10"/>
                <w:sz w:val="20"/>
              </w:rPr>
              <w:t>8</w:t>
            </w:r>
          </w:p>
        </w:tc>
      </w:tr>
      <w:tr w:rsidR="009B0D84" w14:paraId="0637B257" w14:textId="77777777" w:rsidTr="00983D62">
        <w:trPr>
          <w:trHeight w:val="890"/>
          <w:jc w:val="center"/>
        </w:trPr>
        <w:tc>
          <w:tcPr>
            <w:tcW w:w="711" w:type="dxa"/>
            <w:tcBorders>
              <w:top w:val="single" w:sz="4" w:space="0" w:color="000000" w:themeColor="text1"/>
              <w:bottom w:val="single" w:sz="4" w:space="0" w:color="000000" w:themeColor="text1"/>
            </w:tcBorders>
            <w:shd w:val="clear" w:color="auto" w:fill="F1F1F1"/>
          </w:tcPr>
          <w:p w14:paraId="4B4546B6" w14:textId="77777777" w:rsidR="009B0D84" w:rsidRDefault="009B0D84">
            <w:pPr>
              <w:pStyle w:val="TableParagraph"/>
              <w:spacing w:before="137"/>
              <w:ind w:left="0" w:right="242"/>
              <w:jc w:val="right"/>
              <w:rPr>
                <w:b/>
                <w:sz w:val="20"/>
              </w:rPr>
            </w:pPr>
            <w:r>
              <w:rPr>
                <w:b/>
                <w:color w:val="1D336C"/>
                <w:spacing w:val="-5"/>
                <w:sz w:val="20"/>
              </w:rPr>
              <w:t>12</w:t>
            </w:r>
          </w:p>
        </w:tc>
        <w:tc>
          <w:tcPr>
            <w:tcW w:w="7653" w:type="dxa"/>
            <w:tcBorders>
              <w:top w:val="single" w:sz="4" w:space="0" w:color="000000" w:themeColor="text1"/>
              <w:bottom w:val="single" w:sz="4" w:space="0" w:color="000000" w:themeColor="text1"/>
            </w:tcBorders>
          </w:tcPr>
          <w:p w14:paraId="3BB696CC" w14:textId="77777777" w:rsidR="009B0D84" w:rsidRDefault="009B0D84">
            <w:pPr>
              <w:pStyle w:val="TableParagraph"/>
              <w:spacing w:before="134" w:line="292" w:lineRule="auto"/>
              <w:ind w:left="83"/>
              <w:rPr>
                <w:i/>
                <w:sz w:val="20"/>
              </w:rPr>
            </w:pPr>
            <w:r>
              <w:rPr>
                <w:i/>
                <w:color w:val="1D336C"/>
                <w:sz w:val="20"/>
              </w:rPr>
              <w:t>Proactively</w:t>
            </w:r>
            <w:r>
              <w:rPr>
                <w:i/>
                <w:color w:val="1D336C"/>
                <w:spacing w:val="-5"/>
                <w:sz w:val="20"/>
              </w:rPr>
              <w:t xml:space="preserve"> </w:t>
            </w:r>
            <w:r>
              <w:rPr>
                <w:i/>
                <w:color w:val="1D336C"/>
                <w:sz w:val="20"/>
              </w:rPr>
              <w:t>increase</w:t>
            </w:r>
            <w:r>
              <w:rPr>
                <w:i/>
                <w:color w:val="1D336C"/>
                <w:spacing w:val="-5"/>
                <w:sz w:val="20"/>
              </w:rPr>
              <w:t xml:space="preserve"> </w:t>
            </w:r>
            <w:r>
              <w:rPr>
                <w:i/>
                <w:color w:val="1D336C"/>
                <w:sz w:val="20"/>
              </w:rPr>
              <w:t>the</w:t>
            </w:r>
            <w:r>
              <w:rPr>
                <w:i/>
                <w:color w:val="1D336C"/>
                <w:spacing w:val="-5"/>
                <w:sz w:val="20"/>
              </w:rPr>
              <w:t xml:space="preserve"> </w:t>
            </w:r>
            <w:r>
              <w:rPr>
                <w:i/>
                <w:color w:val="1D336C"/>
                <w:sz w:val="20"/>
              </w:rPr>
              <w:t>provision</w:t>
            </w:r>
            <w:r>
              <w:rPr>
                <w:i/>
                <w:color w:val="1D336C"/>
                <w:spacing w:val="-4"/>
                <w:sz w:val="20"/>
              </w:rPr>
              <w:t xml:space="preserve"> </w:t>
            </w:r>
            <w:r>
              <w:rPr>
                <w:i/>
                <w:color w:val="1D336C"/>
                <w:sz w:val="20"/>
              </w:rPr>
              <w:t>of</w:t>
            </w:r>
            <w:r>
              <w:rPr>
                <w:i/>
                <w:color w:val="1D336C"/>
                <w:spacing w:val="-4"/>
                <w:sz w:val="20"/>
              </w:rPr>
              <w:t xml:space="preserve"> </w:t>
            </w:r>
            <w:r>
              <w:rPr>
                <w:i/>
                <w:color w:val="1D336C"/>
                <w:sz w:val="20"/>
              </w:rPr>
              <w:t>guidance</w:t>
            </w:r>
            <w:r>
              <w:rPr>
                <w:i/>
                <w:color w:val="1D336C"/>
                <w:spacing w:val="-5"/>
                <w:sz w:val="20"/>
              </w:rPr>
              <w:t xml:space="preserve"> </w:t>
            </w:r>
            <w:r>
              <w:rPr>
                <w:i/>
                <w:color w:val="1D336C"/>
                <w:sz w:val="20"/>
              </w:rPr>
              <w:t>and</w:t>
            </w:r>
            <w:r>
              <w:rPr>
                <w:i/>
                <w:color w:val="1D336C"/>
                <w:spacing w:val="-5"/>
                <w:sz w:val="20"/>
              </w:rPr>
              <w:t xml:space="preserve"> </w:t>
            </w:r>
            <w:r>
              <w:rPr>
                <w:i/>
                <w:color w:val="1D336C"/>
                <w:sz w:val="20"/>
              </w:rPr>
              <w:t>expertise. The</w:t>
            </w:r>
            <w:r>
              <w:rPr>
                <w:i/>
                <w:color w:val="1D336C"/>
                <w:spacing w:val="-6"/>
                <w:sz w:val="20"/>
              </w:rPr>
              <w:t xml:space="preserve"> </w:t>
            </w:r>
            <w:r>
              <w:rPr>
                <w:i/>
                <w:color w:val="1D336C"/>
                <w:sz w:val="20"/>
              </w:rPr>
              <w:t>support</w:t>
            </w:r>
            <w:r>
              <w:rPr>
                <w:i/>
                <w:color w:val="1D336C"/>
                <w:spacing w:val="-3"/>
                <w:sz w:val="20"/>
              </w:rPr>
              <w:t xml:space="preserve"> </w:t>
            </w:r>
            <w:r>
              <w:rPr>
                <w:i/>
                <w:color w:val="1D336C"/>
                <w:sz w:val="20"/>
              </w:rPr>
              <w:t>provided should be practical and tailored to the specific needs of each project.</w:t>
            </w:r>
          </w:p>
        </w:tc>
        <w:tc>
          <w:tcPr>
            <w:tcW w:w="1276" w:type="dxa"/>
            <w:tcBorders>
              <w:top w:val="single" w:sz="4" w:space="0" w:color="000000" w:themeColor="text1"/>
              <w:bottom w:val="single" w:sz="4" w:space="0" w:color="000000" w:themeColor="text1"/>
            </w:tcBorders>
          </w:tcPr>
          <w:p w14:paraId="66C3F26A" w14:textId="77777777" w:rsidR="009B0D84" w:rsidRDefault="009B0D84">
            <w:pPr>
              <w:pStyle w:val="TableParagraph"/>
              <w:spacing w:before="137"/>
              <w:ind w:left="88"/>
              <w:rPr>
                <w:sz w:val="20"/>
              </w:rPr>
            </w:pPr>
            <w:r>
              <w:rPr>
                <w:sz w:val="20"/>
              </w:rPr>
              <w:t>19,</w:t>
            </w:r>
            <w:r>
              <w:rPr>
                <w:spacing w:val="-6"/>
                <w:sz w:val="20"/>
              </w:rPr>
              <w:t xml:space="preserve"> </w:t>
            </w:r>
            <w:r>
              <w:rPr>
                <w:spacing w:val="-10"/>
                <w:sz w:val="20"/>
              </w:rPr>
              <w:t>2</w:t>
            </w:r>
          </w:p>
        </w:tc>
      </w:tr>
      <w:tr w:rsidR="009B0D84" w14:paraId="0BD78767" w14:textId="77777777" w:rsidTr="00983D62">
        <w:trPr>
          <w:trHeight w:val="1449"/>
          <w:jc w:val="center"/>
        </w:trPr>
        <w:tc>
          <w:tcPr>
            <w:tcW w:w="711" w:type="dxa"/>
            <w:tcBorders>
              <w:top w:val="single" w:sz="4" w:space="0" w:color="000000" w:themeColor="text1"/>
              <w:bottom w:val="single" w:sz="4" w:space="0" w:color="000000" w:themeColor="text1"/>
            </w:tcBorders>
            <w:shd w:val="clear" w:color="auto" w:fill="F1F1F1"/>
          </w:tcPr>
          <w:p w14:paraId="21C16150" w14:textId="77777777" w:rsidR="009B0D84" w:rsidRDefault="009B0D84">
            <w:pPr>
              <w:pStyle w:val="TableParagraph"/>
              <w:ind w:left="0" w:right="242"/>
              <w:jc w:val="right"/>
              <w:rPr>
                <w:b/>
                <w:sz w:val="20"/>
              </w:rPr>
            </w:pPr>
            <w:r>
              <w:rPr>
                <w:b/>
                <w:color w:val="1D336C"/>
                <w:spacing w:val="-5"/>
                <w:sz w:val="20"/>
              </w:rPr>
              <w:lastRenderedPageBreak/>
              <w:t>13</w:t>
            </w:r>
          </w:p>
        </w:tc>
        <w:tc>
          <w:tcPr>
            <w:tcW w:w="7653" w:type="dxa"/>
            <w:tcBorders>
              <w:top w:val="single" w:sz="4" w:space="0" w:color="000000" w:themeColor="text1"/>
              <w:bottom w:val="single" w:sz="4" w:space="0" w:color="000000" w:themeColor="text1"/>
            </w:tcBorders>
          </w:tcPr>
          <w:p w14:paraId="12BF0C43" w14:textId="77777777" w:rsidR="009B0D84" w:rsidRDefault="009B0D84">
            <w:pPr>
              <w:pStyle w:val="TableParagraph"/>
              <w:spacing w:before="134" w:line="292" w:lineRule="auto"/>
              <w:ind w:left="83" w:right="85"/>
              <w:rPr>
                <w:i/>
                <w:sz w:val="20"/>
              </w:rPr>
            </w:pPr>
            <w:r>
              <w:rPr>
                <w:i/>
                <w:color w:val="1D336C"/>
                <w:sz w:val="20"/>
              </w:rPr>
              <w:t>Enhance</w:t>
            </w:r>
            <w:r>
              <w:rPr>
                <w:i/>
                <w:color w:val="1D336C"/>
                <w:spacing w:val="-3"/>
                <w:sz w:val="20"/>
              </w:rPr>
              <w:t xml:space="preserve"> </w:t>
            </w:r>
            <w:r>
              <w:rPr>
                <w:i/>
                <w:color w:val="1D336C"/>
                <w:sz w:val="20"/>
              </w:rPr>
              <w:t>the</w:t>
            </w:r>
            <w:r>
              <w:rPr>
                <w:i/>
                <w:color w:val="1D336C"/>
                <w:spacing w:val="-2"/>
                <w:sz w:val="20"/>
              </w:rPr>
              <w:t xml:space="preserve"> </w:t>
            </w:r>
            <w:r>
              <w:rPr>
                <w:i/>
                <w:color w:val="1D336C"/>
                <w:sz w:val="20"/>
              </w:rPr>
              <w:t>investment’s</w:t>
            </w:r>
            <w:r>
              <w:rPr>
                <w:i/>
                <w:color w:val="1D336C"/>
                <w:spacing w:val="-2"/>
                <w:sz w:val="20"/>
              </w:rPr>
              <w:t xml:space="preserve"> </w:t>
            </w:r>
            <w:r>
              <w:rPr>
                <w:i/>
                <w:color w:val="1D336C"/>
                <w:sz w:val="20"/>
              </w:rPr>
              <w:t>MEL</w:t>
            </w:r>
            <w:r>
              <w:rPr>
                <w:i/>
                <w:color w:val="1D336C"/>
                <w:spacing w:val="-1"/>
                <w:sz w:val="20"/>
              </w:rPr>
              <w:t xml:space="preserve"> </w:t>
            </w:r>
            <w:r>
              <w:rPr>
                <w:i/>
                <w:color w:val="1D336C"/>
                <w:sz w:val="20"/>
              </w:rPr>
              <w:t>function</w:t>
            </w:r>
            <w:r>
              <w:rPr>
                <w:i/>
                <w:color w:val="1D336C"/>
                <w:spacing w:val="-1"/>
                <w:sz w:val="20"/>
              </w:rPr>
              <w:t xml:space="preserve"> </w:t>
            </w:r>
            <w:r>
              <w:rPr>
                <w:i/>
                <w:color w:val="1D336C"/>
                <w:sz w:val="20"/>
              </w:rPr>
              <w:t>with</w:t>
            </w:r>
            <w:r>
              <w:rPr>
                <w:i/>
                <w:color w:val="1D336C"/>
                <w:spacing w:val="-3"/>
                <w:sz w:val="20"/>
              </w:rPr>
              <w:t xml:space="preserve"> </w:t>
            </w:r>
            <w:r>
              <w:rPr>
                <w:i/>
                <w:color w:val="1D336C"/>
                <w:sz w:val="20"/>
              </w:rPr>
              <w:t>a</w:t>
            </w:r>
            <w:r>
              <w:rPr>
                <w:i/>
                <w:color w:val="1D336C"/>
                <w:spacing w:val="-4"/>
                <w:sz w:val="20"/>
              </w:rPr>
              <w:t xml:space="preserve"> </w:t>
            </w:r>
            <w:r>
              <w:rPr>
                <w:i/>
                <w:color w:val="1D336C"/>
                <w:sz w:val="20"/>
              </w:rPr>
              <w:t>specific</w:t>
            </w:r>
            <w:r>
              <w:rPr>
                <w:i/>
                <w:color w:val="1D336C"/>
                <w:spacing w:val="-2"/>
                <w:sz w:val="20"/>
              </w:rPr>
              <w:t xml:space="preserve"> </w:t>
            </w:r>
            <w:r>
              <w:rPr>
                <w:i/>
                <w:color w:val="1D336C"/>
                <w:sz w:val="20"/>
              </w:rPr>
              <w:t>focus</w:t>
            </w:r>
            <w:r>
              <w:rPr>
                <w:i/>
                <w:color w:val="1D336C"/>
                <w:spacing w:val="-2"/>
                <w:sz w:val="20"/>
              </w:rPr>
              <w:t xml:space="preserve"> </w:t>
            </w:r>
            <w:r>
              <w:rPr>
                <w:i/>
                <w:color w:val="1D336C"/>
                <w:sz w:val="20"/>
              </w:rPr>
              <w:t>on</w:t>
            </w:r>
            <w:r>
              <w:rPr>
                <w:i/>
                <w:color w:val="1D336C"/>
                <w:spacing w:val="-4"/>
                <w:sz w:val="20"/>
              </w:rPr>
              <w:t xml:space="preserve"> </w:t>
            </w:r>
            <w:r>
              <w:rPr>
                <w:i/>
                <w:color w:val="1D336C"/>
                <w:sz w:val="20"/>
              </w:rPr>
              <w:t>project</w:t>
            </w:r>
            <w:r>
              <w:rPr>
                <w:i/>
                <w:color w:val="1D336C"/>
                <w:spacing w:val="-3"/>
                <w:sz w:val="20"/>
              </w:rPr>
              <w:t xml:space="preserve"> </w:t>
            </w:r>
            <w:r>
              <w:rPr>
                <w:i/>
                <w:color w:val="1D336C"/>
                <w:sz w:val="20"/>
              </w:rPr>
              <w:t>support. The MEL function should involve a comprehensive assessment of on-the-ground progress conducted by diverse experts who collaborate to establish an integrated approach,</w:t>
            </w:r>
            <w:r>
              <w:rPr>
                <w:i/>
                <w:color w:val="1D336C"/>
                <w:spacing w:val="-5"/>
                <w:sz w:val="20"/>
              </w:rPr>
              <w:t xml:space="preserve"> </w:t>
            </w:r>
            <w:r>
              <w:rPr>
                <w:i/>
                <w:color w:val="1D336C"/>
                <w:sz w:val="20"/>
              </w:rPr>
              <w:t>ensuring</w:t>
            </w:r>
            <w:r>
              <w:rPr>
                <w:i/>
                <w:color w:val="1D336C"/>
                <w:spacing w:val="-5"/>
                <w:sz w:val="20"/>
              </w:rPr>
              <w:t xml:space="preserve"> </w:t>
            </w:r>
            <w:r>
              <w:rPr>
                <w:i/>
                <w:color w:val="1D336C"/>
                <w:sz w:val="20"/>
              </w:rPr>
              <w:t>that</w:t>
            </w:r>
            <w:r>
              <w:rPr>
                <w:i/>
                <w:color w:val="1D336C"/>
                <w:spacing w:val="-5"/>
                <w:sz w:val="20"/>
              </w:rPr>
              <w:t xml:space="preserve"> </w:t>
            </w:r>
            <w:r>
              <w:rPr>
                <w:i/>
                <w:color w:val="1D336C"/>
                <w:sz w:val="20"/>
              </w:rPr>
              <w:t>projects</w:t>
            </w:r>
            <w:r>
              <w:rPr>
                <w:i/>
                <w:color w:val="1D336C"/>
                <w:spacing w:val="-4"/>
                <w:sz w:val="20"/>
              </w:rPr>
              <w:t xml:space="preserve"> </w:t>
            </w:r>
            <w:r>
              <w:rPr>
                <w:i/>
                <w:color w:val="1D336C"/>
                <w:sz w:val="20"/>
              </w:rPr>
              <w:t>meet</w:t>
            </w:r>
            <w:r>
              <w:rPr>
                <w:i/>
                <w:color w:val="1D336C"/>
                <w:spacing w:val="-5"/>
                <w:sz w:val="20"/>
              </w:rPr>
              <w:t xml:space="preserve"> </w:t>
            </w:r>
            <w:r>
              <w:rPr>
                <w:i/>
                <w:color w:val="1D336C"/>
                <w:sz w:val="20"/>
              </w:rPr>
              <w:t>all</w:t>
            </w:r>
            <w:r>
              <w:rPr>
                <w:i/>
                <w:color w:val="1D336C"/>
                <w:spacing w:val="-4"/>
                <w:sz w:val="20"/>
              </w:rPr>
              <w:t xml:space="preserve"> </w:t>
            </w:r>
            <w:proofErr w:type="spellStart"/>
            <w:r>
              <w:rPr>
                <w:i/>
                <w:color w:val="1D336C"/>
                <w:sz w:val="20"/>
              </w:rPr>
              <w:t>NbS</w:t>
            </w:r>
            <w:proofErr w:type="spellEnd"/>
            <w:r>
              <w:rPr>
                <w:i/>
                <w:color w:val="1D336C"/>
                <w:spacing w:val="-5"/>
                <w:sz w:val="20"/>
              </w:rPr>
              <w:t xml:space="preserve"> </w:t>
            </w:r>
            <w:r>
              <w:rPr>
                <w:i/>
                <w:color w:val="1D336C"/>
                <w:sz w:val="20"/>
              </w:rPr>
              <w:t>criteria,</w:t>
            </w:r>
            <w:r>
              <w:rPr>
                <w:i/>
                <w:color w:val="1D336C"/>
                <w:spacing w:val="-3"/>
                <w:sz w:val="20"/>
              </w:rPr>
              <w:t xml:space="preserve"> </w:t>
            </w:r>
            <w:r>
              <w:rPr>
                <w:i/>
                <w:color w:val="1D336C"/>
                <w:sz w:val="20"/>
              </w:rPr>
              <w:t>including</w:t>
            </w:r>
            <w:r>
              <w:rPr>
                <w:i/>
                <w:color w:val="1D336C"/>
                <w:spacing w:val="-3"/>
                <w:sz w:val="20"/>
              </w:rPr>
              <w:t xml:space="preserve"> </w:t>
            </w:r>
            <w:r>
              <w:rPr>
                <w:i/>
                <w:color w:val="1D336C"/>
                <w:sz w:val="20"/>
              </w:rPr>
              <w:t>cross-cutting</w:t>
            </w:r>
            <w:r>
              <w:rPr>
                <w:i/>
                <w:color w:val="1D336C"/>
                <w:spacing w:val="-4"/>
                <w:sz w:val="20"/>
              </w:rPr>
              <w:t xml:space="preserve"> </w:t>
            </w:r>
            <w:r>
              <w:rPr>
                <w:i/>
                <w:color w:val="1D336C"/>
                <w:sz w:val="20"/>
              </w:rPr>
              <w:t>issues.</w:t>
            </w:r>
          </w:p>
        </w:tc>
        <w:tc>
          <w:tcPr>
            <w:tcW w:w="1276" w:type="dxa"/>
            <w:tcBorders>
              <w:top w:val="single" w:sz="4" w:space="0" w:color="000000" w:themeColor="text1"/>
              <w:bottom w:val="single" w:sz="4" w:space="0" w:color="000000" w:themeColor="text1"/>
            </w:tcBorders>
          </w:tcPr>
          <w:p w14:paraId="464623C8" w14:textId="77777777" w:rsidR="009B0D84" w:rsidRDefault="009B0D84">
            <w:pPr>
              <w:pStyle w:val="TableParagraph"/>
              <w:ind w:left="88"/>
              <w:rPr>
                <w:sz w:val="20"/>
              </w:rPr>
            </w:pPr>
            <w:r>
              <w:rPr>
                <w:sz w:val="20"/>
              </w:rPr>
              <w:t>19,</w:t>
            </w:r>
            <w:r>
              <w:rPr>
                <w:spacing w:val="-6"/>
                <w:sz w:val="20"/>
              </w:rPr>
              <w:t xml:space="preserve"> </w:t>
            </w:r>
            <w:r>
              <w:rPr>
                <w:spacing w:val="-5"/>
                <w:sz w:val="20"/>
              </w:rPr>
              <w:t>21</w:t>
            </w:r>
          </w:p>
        </w:tc>
      </w:tr>
    </w:tbl>
    <w:p w14:paraId="3BBFA8E8" w14:textId="62113577" w:rsidR="00983D62" w:rsidRPr="00983D62" w:rsidRDefault="00983D62" w:rsidP="00983D62">
      <w:pPr>
        <w:pStyle w:val="Heading2"/>
        <w:rPr>
          <w:color w:val="1D336D" w:themeColor="background2"/>
          <w:sz w:val="24"/>
          <w:szCs w:val="24"/>
        </w:rPr>
      </w:pPr>
      <w:bookmarkStart w:id="22" w:name="_Toc164783038"/>
      <w:r>
        <w:rPr>
          <w:caps w:val="0"/>
          <w:color w:val="1D336D" w:themeColor="background2"/>
          <w:sz w:val="24"/>
          <w:szCs w:val="24"/>
        </w:rPr>
        <w:t>Pacific Blue Carbon Program</w:t>
      </w:r>
      <w:bookmarkEnd w:id="22"/>
    </w:p>
    <w:tbl>
      <w:tblPr>
        <w:tblW w:w="9640" w:type="dxa"/>
        <w:jc w:val="center"/>
        <w:tblBorders>
          <w:bottom w:val="single" w:sz="4" w:space="0" w:color="1D336D"/>
          <w:insideH w:val="single" w:sz="4" w:space="0" w:color="1D336D"/>
        </w:tblBorders>
        <w:tblLayout w:type="fixed"/>
        <w:tblCellMar>
          <w:left w:w="0" w:type="dxa"/>
          <w:right w:w="0" w:type="dxa"/>
        </w:tblCellMar>
        <w:tblLook w:val="01E0" w:firstRow="1" w:lastRow="1" w:firstColumn="1" w:lastColumn="1" w:noHBand="0" w:noVBand="0"/>
      </w:tblPr>
      <w:tblGrid>
        <w:gridCol w:w="711"/>
        <w:gridCol w:w="7631"/>
        <w:gridCol w:w="22"/>
        <w:gridCol w:w="1276"/>
      </w:tblGrid>
      <w:tr w:rsidR="00983D62" w:rsidRPr="00983D62" w14:paraId="4106FC75" w14:textId="77777777" w:rsidTr="00983D62">
        <w:trPr>
          <w:trHeight w:val="887"/>
          <w:tblHeader/>
          <w:jc w:val="center"/>
        </w:trPr>
        <w:tc>
          <w:tcPr>
            <w:tcW w:w="711" w:type="dxa"/>
            <w:shd w:val="clear" w:color="auto" w:fill="1D336D" w:themeFill="background2"/>
          </w:tcPr>
          <w:p w14:paraId="104845D3" w14:textId="77777777" w:rsidR="00983D62" w:rsidRPr="00983D62" w:rsidRDefault="00983D62" w:rsidP="00C24621">
            <w:pPr>
              <w:pStyle w:val="TableParagraph"/>
              <w:spacing w:before="134"/>
              <w:rPr>
                <w:b/>
                <w:color w:val="FFFFFF" w:themeColor="background1"/>
                <w:sz w:val="20"/>
              </w:rPr>
            </w:pPr>
            <w:r w:rsidRPr="00983D62">
              <w:rPr>
                <w:b/>
                <w:color w:val="FFFFFF" w:themeColor="background1"/>
                <w:spacing w:val="-10"/>
                <w:sz w:val="20"/>
              </w:rPr>
              <w:t>#</w:t>
            </w:r>
          </w:p>
        </w:tc>
        <w:tc>
          <w:tcPr>
            <w:tcW w:w="7631" w:type="dxa"/>
            <w:shd w:val="clear" w:color="auto" w:fill="1D336D" w:themeFill="background2"/>
          </w:tcPr>
          <w:p w14:paraId="3FAB635A" w14:textId="77777777" w:rsidR="00983D62" w:rsidRPr="00983D62" w:rsidRDefault="00983D62" w:rsidP="00C24621">
            <w:pPr>
              <w:pStyle w:val="TableParagraph"/>
              <w:spacing w:before="134"/>
              <w:ind w:left="14"/>
              <w:rPr>
                <w:b/>
                <w:color w:val="FFFFFF" w:themeColor="background1"/>
                <w:sz w:val="20"/>
              </w:rPr>
            </w:pPr>
            <w:r w:rsidRPr="00983D62">
              <w:rPr>
                <w:b/>
                <w:color w:val="FFFFFF" w:themeColor="background1"/>
                <w:spacing w:val="-2"/>
                <w:sz w:val="20"/>
              </w:rPr>
              <w:t>Recommendation</w:t>
            </w:r>
          </w:p>
        </w:tc>
        <w:tc>
          <w:tcPr>
            <w:tcW w:w="1298" w:type="dxa"/>
            <w:gridSpan w:val="2"/>
            <w:shd w:val="clear" w:color="auto" w:fill="1D336D" w:themeFill="background2"/>
          </w:tcPr>
          <w:p w14:paraId="2D0F5A46" w14:textId="77777777" w:rsidR="00983D62" w:rsidRPr="00983D62" w:rsidRDefault="00983D62" w:rsidP="00C24621">
            <w:pPr>
              <w:pStyle w:val="TableParagraph"/>
              <w:spacing w:before="131" w:line="292" w:lineRule="auto"/>
              <w:ind w:left="110" w:right="237"/>
              <w:rPr>
                <w:b/>
                <w:color w:val="FFFFFF" w:themeColor="background1"/>
                <w:sz w:val="20"/>
              </w:rPr>
            </w:pPr>
            <w:r w:rsidRPr="00983D62">
              <w:rPr>
                <w:b/>
                <w:color w:val="FFFFFF" w:themeColor="background1"/>
                <w:spacing w:val="-4"/>
                <w:sz w:val="20"/>
              </w:rPr>
              <w:t xml:space="preserve">See </w:t>
            </w:r>
            <w:r w:rsidRPr="00983D62">
              <w:rPr>
                <w:b/>
                <w:color w:val="FFFFFF" w:themeColor="background1"/>
                <w:sz w:val="20"/>
              </w:rPr>
              <w:t>findings</w:t>
            </w:r>
            <w:r w:rsidRPr="00983D62">
              <w:rPr>
                <w:b/>
                <w:color w:val="FFFFFF" w:themeColor="background1"/>
                <w:spacing w:val="-14"/>
                <w:sz w:val="20"/>
              </w:rPr>
              <w:t xml:space="preserve"> </w:t>
            </w:r>
            <w:r w:rsidRPr="00983D62">
              <w:rPr>
                <w:b/>
                <w:color w:val="FFFFFF" w:themeColor="background1"/>
                <w:sz w:val="20"/>
              </w:rPr>
              <w:t>#</w:t>
            </w:r>
          </w:p>
        </w:tc>
      </w:tr>
      <w:tr w:rsidR="009B0D84" w14:paraId="204CA153" w14:textId="77777777" w:rsidTr="00983D62">
        <w:tblPrEx>
          <w:tblBorders>
            <w:bottom w:val="none" w:sz="0" w:space="0" w:color="auto"/>
            <w:insideH w:val="none" w:sz="0" w:space="0" w:color="auto"/>
          </w:tblBorders>
        </w:tblPrEx>
        <w:trPr>
          <w:trHeight w:val="1449"/>
          <w:jc w:val="center"/>
        </w:trPr>
        <w:tc>
          <w:tcPr>
            <w:tcW w:w="711" w:type="dxa"/>
            <w:tcBorders>
              <w:top w:val="single" w:sz="4" w:space="0" w:color="000000" w:themeColor="text1"/>
              <w:bottom w:val="single" w:sz="4" w:space="0" w:color="000000" w:themeColor="text1"/>
            </w:tcBorders>
            <w:shd w:val="clear" w:color="auto" w:fill="F1F1F1"/>
          </w:tcPr>
          <w:p w14:paraId="60225D67" w14:textId="77777777" w:rsidR="009B0D84" w:rsidRDefault="009B0D84">
            <w:pPr>
              <w:pStyle w:val="TableParagraph"/>
              <w:spacing w:before="134"/>
              <w:ind w:left="0" w:right="242"/>
              <w:jc w:val="right"/>
              <w:rPr>
                <w:b/>
                <w:sz w:val="20"/>
              </w:rPr>
            </w:pPr>
            <w:r>
              <w:rPr>
                <w:b/>
                <w:color w:val="1D336C"/>
                <w:spacing w:val="-5"/>
                <w:sz w:val="20"/>
              </w:rPr>
              <w:t>14</w:t>
            </w:r>
          </w:p>
        </w:tc>
        <w:tc>
          <w:tcPr>
            <w:tcW w:w="7653" w:type="dxa"/>
            <w:gridSpan w:val="2"/>
            <w:tcBorders>
              <w:top w:val="single" w:sz="4" w:space="0" w:color="000000" w:themeColor="text1"/>
              <w:bottom w:val="single" w:sz="4" w:space="0" w:color="000000" w:themeColor="text1"/>
            </w:tcBorders>
          </w:tcPr>
          <w:p w14:paraId="21661A0D" w14:textId="77777777" w:rsidR="009B0D84" w:rsidRDefault="009B0D84">
            <w:pPr>
              <w:pStyle w:val="TableParagraph"/>
              <w:spacing w:before="134" w:line="292" w:lineRule="auto"/>
              <w:ind w:left="83"/>
              <w:rPr>
                <w:i/>
                <w:sz w:val="20"/>
              </w:rPr>
            </w:pPr>
            <w:r>
              <w:rPr>
                <w:i/>
                <w:color w:val="1D336C"/>
                <w:sz w:val="20"/>
              </w:rPr>
              <w:t xml:space="preserve">Document the different phases of implementation as a case study. The various aspects of project </w:t>
            </w:r>
            <w:proofErr w:type="spellStart"/>
            <w:r>
              <w:rPr>
                <w:i/>
                <w:color w:val="1D336C"/>
                <w:sz w:val="20"/>
              </w:rPr>
              <w:t>conceptualisation</w:t>
            </w:r>
            <w:proofErr w:type="spellEnd"/>
            <w:r>
              <w:rPr>
                <w:i/>
                <w:color w:val="1D336C"/>
                <w:sz w:val="20"/>
              </w:rPr>
              <w:t>, government engagement, pilot design, assessment</w:t>
            </w:r>
            <w:r>
              <w:rPr>
                <w:i/>
                <w:color w:val="1D336C"/>
                <w:spacing w:val="-5"/>
                <w:sz w:val="20"/>
              </w:rPr>
              <w:t xml:space="preserve"> </w:t>
            </w:r>
            <w:r>
              <w:rPr>
                <w:i/>
                <w:color w:val="1D336C"/>
                <w:sz w:val="20"/>
              </w:rPr>
              <w:t>of</w:t>
            </w:r>
            <w:r>
              <w:rPr>
                <w:i/>
                <w:color w:val="1D336C"/>
                <w:spacing w:val="-3"/>
                <w:sz w:val="20"/>
              </w:rPr>
              <w:t xml:space="preserve"> </w:t>
            </w:r>
            <w:r>
              <w:rPr>
                <w:i/>
                <w:color w:val="1D336C"/>
                <w:sz w:val="20"/>
              </w:rPr>
              <w:t>the</w:t>
            </w:r>
            <w:r>
              <w:rPr>
                <w:i/>
                <w:color w:val="1D336C"/>
                <w:spacing w:val="-4"/>
                <w:sz w:val="20"/>
              </w:rPr>
              <w:t xml:space="preserve"> </w:t>
            </w:r>
            <w:r>
              <w:rPr>
                <w:i/>
                <w:color w:val="1D336C"/>
                <w:sz w:val="20"/>
              </w:rPr>
              <w:t>operating</w:t>
            </w:r>
            <w:r>
              <w:rPr>
                <w:i/>
                <w:color w:val="1D336C"/>
                <w:spacing w:val="-5"/>
                <w:sz w:val="20"/>
              </w:rPr>
              <w:t xml:space="preserve"> </w:t>
            </w:r>
            <w:r>
              <w:rPr>
                <w:i/>
                <w:color w:val="1D336C"/>
                <w:sz w:val="20"/>
              </w:rPr>
              <w:t>context,</w:t>
            </w:r>
            <w:r>
              <w:rPr>
                <w:i/>
                <w:color w:val="1D336C"/>
                <w:spacing w:val="-3"/>
                <w:sz w:val="20"/>
              </w:rPr>
              <w:t xml:space="preserve"> </w:t>
            </w:r>
            <w:r>
              <w:rPr>
                <w:i/>
                <w:color w:val="1D336C"/>
                <w:sz w:val="20"/>
              </w:rPr>
              <w:t>and</w:t>
            </w:r>
            <w:r>
              <w:rPr>
                <w:i/>
                <w:color w:val="1D336C"/>
                <w:spacing w:val="-5"/>
                <w:sz w:val="20"/>
              </w:rPr>
              <w:t xml:space="preserve"> </w:t>
            </w:r>
            <w:r>
              <w:rPr>
                <w:i/>
                <w:color w:val="1D336C"/>
                <w:sz w:val="20"/>
              </w:rPr>
              <w:t>site</w:t>
            </w:r>
            <w:r>
              <w:rPr>
                <w:i/>
                <w:color w:val="1D336C"/>
                <w:spacing w:val="-3"/>
                <w:sz w:val="20"/>
              </w:rPr>
              <w:t xml:space="preserve"> </w:t>
            </w:r>
            <w:r>
              <w:rPr>
                <w:i/>
                <w:color w:val="1D336C"/>
                <w:sz w:val="20"/>
              </w:rPr>
              <w:t>selection</w:t>
            </w:r>
            <w:r>
              <w:rPr>
                <w:i/>
                <w:color w:val="1D336C"/>
                <w:spacing w:val="-5"/>
                <w:sz w:val="20"/>
              </w:rPr>
              <w:t xml:space="preserve"> </w:t>
            </w:r>
            <w:r>
              <w:rPr>
                <w:i/>
                <w:color w:val="1D336C"/>
                <w:sz w:val="20"/>
              </w:rPr>
              <w:t>could</w:t>
            </w:r>
            <w:r>
              <w:rPr>
                <w:i/>
                <w:color w:val="1D336C"/>
                <w:spacing w:val="-5"/>
                <w:sz w:val="20"/>
              </w:rPr>
              <w:t xml:space="preserve"> </w:t>
            </w:r>
            <w:r>
              <w:rPr>
                <w:i/>
                <w:color w:val="1D336C"/>
                <w:sz w:val="20"/>
              </w:rPr>
              <w:t>all</w:t>
            </w:r>
            <w:r>
              <w:rPr>
                <w:i/>
                <w:color w:val="1D336C"/>
                <w:spacing w:val="-4"/>
                <w:sz w:val="20"/>
              </w:rPr>
              <w:t xml:space="preserve"> </w:t>
            </w:r>
            <w:r>
              <w:rPr>
                <w:i/>
                <w:color w:val="1D336C"/>
                <w:sz w:val="20"/>
              </w:rPr>
              <w:t>provide</w:t>
            </w:r>
            <w:r>
              <w:rPr>
                <w:i/>
                <w:color w:val="1D336C"/>
                <w:spacing w:val="-5"/>
                <w:sz w:val="20"/>
              </w:rPr>
              <w:t xml:space="preserve"> </w:t>
            </w:r>
            <w:r>
              <w:rPr>
                <w:i/>
                <w:color w:val="1D336C"/>
                <w:sz w:val="20"/>
              </w:rPr>
              <w:t>valuable lessons for other investments and projects.</w:t>
            </w:r>
          </w:p>
        </w:tc>
        <w:tc>
          <w:tcPr>
            <w:tcW w:w="1276" w:type="dxa"/>
            <w:tcBorders>
              <w:top w:val="single" w:sz="4" w:space="0" w:color="000000" w:themeColor="text1"/>
              <w:bottom w:val="single" w:sz="4" w:space="0" w:color="000000" w:themeColor="text1"/>
            </w:tcBorders>
          </w:tcPr>
          <w:p w14:paraId="65023232" w14:textId="385D25C0" w:rsidR="009B0D84" w:rsidRDefault="009B0D84">
            <w:pPr>
              <w:pStyle w:val="TableParagraph"/>
              <w:spacing w:before="134"/>
              <w:ind w:left="88"/>
              <w:rPr>
                <w:sz w:val="20"/>
              </w:rPr>
            </w:pPr>
            <w:r>
              <w:rPr>
                <w:sz w:val="20"/>
              </w:rPr>
              <w:t>2</w:t>
            </w:r>
            <w:r w:rsidR="00024461">
              <w:rPr>
                <w:sz w:val="20"/>
              </w:rPr>
              <w:t>4</w:t>
            </w:r>
            <w:r>
              <w:rPr>
                <w:sz w:val="20"/>
              </w:rPr>
              <w:t>,</w:t>
            </w:r>
            <w:r>
              <w:rPr>
                <w:spacing w:val="-6"/>
                <w:sz w:val="20"/>
              </w:rPr>
              <w:t xml:space="preserve"> </w:t>
            </w:r>
            <w:r>
              <w:rPr>
                <w:spacing w:val="-5"/>
                <w:sz w:val="20"/>
              </w:rPr>
              <w:t>2</w:t>
            </w:r>
            <w:r w:rsidR="00024461">
              <w:rPr>
                <w:spacing w:val="-5"/>
                <w:sz w:val="20"/>
              </w:rPr>
              <w:t>5</w:t>
            </w:r>
          </w:p>
        </w:tc>
      </w:tr>
      <w:tr w:rsidR="009B0D84" w14:paraId="725880C0" w14:textId="77777777" w:rsidTr="00983D62">
        <w:tblPrEx>
          <w:tblBorders>
            <w:bottom w:val="none" w:sz="0" w:space="0" w:color="auto"/>
            <w:insideH w:val="none" w:sz="0" w:space="0" w:color="auto"/>
          </w:tblBorders>
        </w:tblPrEx>
        <w:trPr>
          <w:trHeight w:val="1170"/>
          <w:jc w:val="center"/>
        </w:trPr>
        <w:tc>
          <w:tcPr>
            <w:tcW w:w="711" w:type="dxa"/>
            <w:tcBorders>
              <w:top w:val="single" w:sz="4" w:space="0" w:color="000000" w:themeColor="text1"/>
              <w:bottom w:val="single" w:sz="4" w:space="0" w:color="000000" w:themeColor="text1"/>
            </w:tcBorders>
            <w:shd w:val="clear" w:color="auto" w:fill="F1F1F1"/>
          </w:tcPr>
          <w:p w14:paraId="36D5BBFA" w14:textId="77777777" w:rsidR="009B0D84" w:rsidRDefault="009B0D84">
            <w:pPr>
              <w:pStyle w:val="TableParagraph"/>
              <w:ind w:left="0" w:right="242"/>
              <w:jc w:val="right"/>
              <w:rPr>
                <w:b/>
                <w:sz w:val="20"/>
              </w:rPr>
            </w:pPr>
            <w:r>
              <w:rPr>
                <w:b/>
                <w:color w:val="1D336C"/>
                <w:spacing w:val="-5"/>
                <w:sz w:val="20"/>
              </w:rPr>
              <w:t>15</w:t>
            </w:r>
          </w:p>
        </w:tc>
        <w:tc>
          <w:tcPr>
            <w:tcW w:w="7653" w:type="dxa"/>
            <w:gridSpan w:val="2"/>
            <w:tcBorders>
              <w:top w:val="single" w:sz="4" w:space="0" w:color="000000" w:themeColor="text1"/>
              <w:bottom w:val="single" w:sz="4" w:space="0" w:color="000000" w:themeColor="text1"/>
            </w:tcBorders>
          </w:tcPr>
          <w:p w14:paraId="409942F5" w14:textId="77777777" w:rsidR="009B0D84" w:rsidRDefault="009B0D84">
            <w:pPr>
              <w:pStyle w:val="TableParagraph"/>
              <w:spacing w:before="134" w:line="292" w:lineRule="auto"/>
              <w:ind w:left="83"/>
              <w:rPr>
                <w:i/>
                <w:sz w:val="20"/>
                <w:szCs w:val="20"/>
              </w:rPr>
            </w:pPr>
            <w:r w:rsidRPr="26C3BDFB">
              <w:rPr>
                <w:i/>
                <w:color w:val="1D336C"/>
                <w:sz w:val="20"/>
                <w:szCs w:val="20"/>
              </w:rPr>
              <w:t>Foster</w:t>
            </w:r>
            <w:r w:rsidRPr="26C3BDFB">
              <w:rPr>
                <w:i/>
                <w:color w:val="1D336C"/>
                <w:spacing w:val="-5"/>
                <w:sz w:val="20"/>
                <w:szCs w:val="20"/>
              </w:rPr>
              <w:t xml:space="preserve"> </w:t>
            </w:r>
            <w:r w:rsidRPr="26C3BDFB">
              <w:rPr>
                <w:i/>
                <w:color w:val="1D336C"/>
                <w:sz w:val="20"/>
                <w:szCs w:val="20"/>
              </w:rPr>
              <w:t>collaboration</w:t>
            </w:r>
            <w:r w:rsidRPr="26C3BDFB">
              <w:rPr>
                <w:i/>
                <w:color w:val="1D336C"/>
                <w:spacing w:val="-6"/>
                <w:sz w:val="20"/>
                <w:szCs w:val="20"/>
              </w:rPr>
              <w:t xml:space="preserve"> </w:t>
            </w:r>
            <w:r w:rsidRPr="26C3BDFB">
              <w:rPr>
                <w:i/>
                <w:color w:val="1D336C"/>
                <w:sz w:val="20"/>
                <w:szCs w:val="20"/>
              </w:rPr>
              <w:t>with</w:t>
            </w:r>
            <w:r w:rsidRPr="26C3BDFB">
              <w:rPr>
                <w:i/>
                <w:color w:val="1D336C"/>
                <w:spacing w:val="-4"/>
                <w:sz w:val="20"/>
                <w:szCs w:val="20"/>
              </w:rPr>
              <w:t xml:space="preserve"> </w:t>
            </w:r>
            <w:r w:rsidRPr="26C3BDFB">
              <w:rPr>
                <w:i/>
                <w:color w:val="1D336C"/>
                <w:sz w:val="20"/>
                <w:szCs w:val="20"/>
              </w:rPr>
              <w:t>other</w:t>
            </w:r>
            <w:r w:rsidRPr="26C3BDFB">
              <w:rPr>
                <w:i/>
                <w:color w:val="1D336C"/>
                <w:spacing w:val="-5"/>
                <w:sz w:val="20"/>
                <w:szCs w:val="20"/>
              </w:rPr>
              <w:t xml:space="preserve"> </w:t>
            </w:r>
            <w:r w:rsidRPr="26C3BDFB">
              <w:rPr>
                <w:i/>
                <w:color w:val="1D336C"/>
                <w:sz w:val="20"/>
                <w:szCs w:val="20"/>
              </w:rPr>
              <w:t>investments</w:t>
            </w:r>
            <w:r w:rsidRPr="26C3BDFB">
              <w:rPr>
                <w:i/>
                <w:color w:val="1D336C"/>
                <w:spacing w:val="-5"/>
                <w:sz w:val="20"/>
                <w:szCs w:val="20"/>
              </w:rPr>
              <w:t xml:space="preserve"> </w:t>
            </w:r>
            <w:r w:rsidRPr="26C3BDFB">
              <w:rPr>
                <w:i/>
                <w:color w:val="1D336C"/>
                <w:sz w:val="20"/>
                <w:szCs w:val="20"/>
              </w:rPr>
              <w:t>and</w:t>
            </w:r>
            <w:r w:rsidRPr="26C3BDFB">
              <w:rPr>
                <w:i/>
                <w:color w:val="1D336C"/>
                <w:spacing w:val="-4"/>
                <w:sz w:val="20"/>
                <w:szCs w:val="20"/>
              </w:rPr>
              <w:t xml:space="preserve"> </w:t>
            </w:r>
            <w:r w:rsidRPr="26C3BDFB">
              <w:rPr>
                <w:i/>
                <w:color w:val="1D336C"/>
                <w:sz w:val="20"/>
                <w:szCs w:val="20"/>
              </w:rPr>
              <w:t>projects.</w:t>
            </w:r>
            <w:r w:rsidRPr="26C3BDFB">
              <w:rPr>
                <w:i/>
                <w:color w:val="1D336C"/>
                <w:spacing w:val="-1"/>
                <w:sz w:val="20"/>
                <w:szCs w:val="20"/>
              </w:rPr>
              <w:t xml:space="preserve"> </w:t>
            </w:r>
            <w:r w:rsidRPr="26C3BDFB">
              <w:rPr>
                <w:i/>
                <w:color w:val="1D336C"/>
                <w:sz w:val="20"/>
                <w:szCs w:val="20"/>
              </w:rPr>
              <w:t>Collaboration</w:t>
            </w:r>
            <w:r w:rsidRPr="26C3BDFB">
              <w:rPr>
                <w:i/>
                <w:color w:val="1D336C"/>
                <w:spacing w:val="-5"/>
                <w:sz w:val="20"/>
                <w:szCs w:val="20"/>
              </w:rPr>
              <w:t xml:space="preserve"> </w:t>
            </w:r>
            <w:r w:rsidRPr="26C3BDFB">
              <w:rPr>
                <w:i/>
                <w:color w:val="1D336C"/>
                <w:sz w:val="20"/>
                <w:szCs w:val="20"/>
              </w:rPr>
              <w:t>allows</w:t>
            </w:r>
            <w:r w:rsidRPr="26C3BDFB">
              <w:rPr>
                <w:i/>
                <w:color w:val="1D336C"/>
                <w:spacing w:val="-5"/>
                <w:sz w:val="20"/>
                <w:szCs w:val="20"/>
              </w:rPr>
              <w:t xml:space="preserve"> </w:t>
            </w:r>
            <w:r w:rsidRPr="26C3BDFB">
              <w:rPr>
                <w:i/>
                <w:color w:val="1D336C"/>
                <w:sz w:val="20"/>
                <w:szCs w:val="20"/>
              </w:rPr>
              <w:t>for</w:t>
            </w:r>
            <w:r w:rsidRPr="26C3BDFB">
              <w:rPr>
                <w:i/>
                <w:color w:val="1D336C"/>
                <w:spacing w:val="-3"/>
                <w:sz w:val="20"/>
                <w:szCs w:val="20"/>
              </w:rPr>
              <w:t xml:space="preserve"> </w:t>
            </w:r>
            <w:r w:rsidRPr="26C3BDFB">
              <w:rPr>
                <w:i/>
                <w:color w:val="1D336C"/>
                <w:sz w:val="20"/>
                <w:szCs w:val="20"/>
              </w:rPr>
              <w:t xml:space="preserve">the pooling of resources and the development of shared methodologies, ensuring consistency and comparability in measuring key </w:t>
            </w:r>
            <w:proofErr w:type="spellStart"/>
            <w:r w:rsidRPr="26C3BDFB">
              <w:rPr>
                <w:i/>
                <w:color w:val="1D336C"/>
                <w:sz w:val="20"/>
                <w:szCs w:val="20"/>
              </w:rPr>
              <w:t>NbS</w:t>
            </w:r>
            <w:proofErr w:type="spellEnd"/>
            <w:r w:rsidRPr="26C3BDFB">
              <w:rPr>
                <w:i/>
                <w:color w:val="1D336C"/>
                <w:sz w:val="20"/>
                <w:szCs w:val="20"/>
              </w:rPr>
              <w:t xml:space="preserve"> </w:t>
            </w:r>
            <w:r w:rsidRPr="26C3BDFB">
              <w:rPr>
                <w:i/>
                <w:iCs/>
                <w:color w:val="1D336C"/>
                <w:sz w:val="20"/>
                <w:szCs w:val="20"/>
              </w:rPr>
              <w:t xml:space="preserve">pillars. </w:t>
            </w:r>
          </w:p>
        </w:tc>
        <w:tc>
          <w:tcPr>
            <w:tcW w:w="1276" w:type="dxa"/>
            <w:tcBorders>
              <w:top w:val="single" w:sz="4" w:space="0" w:color="000000" w:themeColor="text1"/>
              <w:bottom w:val="single" w:sz="4" w:space="0" w:color="000000" w:themeColor="text1"/>
            </w:tcBorders>
          </w:tcPr>
          <w:p w14:paraId="52AA8260" w14:textId="47971F4B" w:rsidR="009B0D84" w:rsidRDefault="009B0D84">
            <w:pPr>
              <w:pStyle w:val="TableParagraph"/>
              <w:ind w:left="88"/>
              <w:rPr>
                <w:sz w:val="20"/>
              </w:rPr>
            </w:pPr>
            <w:r>
              <w:rPr>
                <w:sz w:val="20"/>
              </w:rPr>
              <w:t>2</w:t>
            </w:r>
            <w:r w:rsidR="00024461">
              <w:rPr>
                <w:sz w:val="20"/>
              </w:rPr>
              <w:t>4</w:t>
            </w:r>
            <w:r>
              <w:rPr>
                <w:sz w:val="20"/>
              </w:rPr>
              <w:t>,</w:t>
            </w:r>
            <w:r>
              <w:rPr>
                <w:spacing w:val="-6"/>
                <w:sz w:val="20"/>
              </w:rPr>
              <w:t xml:space="preserve"> </w:t>
            </w:r>
            <w:r>
              <w:rPr>
                <w:spacing w:val="-5"/>
                <w:sz w:val="20"/>
              </w:rPr>
              <w:t>2</w:t>
            </w:r>
            <w:r w:rsidR="00024461">
              <w:rPr>
                <w:spacing w:val="-5"/>
                <w:sz w:val="20"/>
              </w:rPr>
              <w:t>5</w:t>
            </w:r>
          </w:p>
        </w:tc>
      </w:tr>
      <w:tr w:rsidR="009B0D84" w14:paraId="64E1968B" w14:textId="77777777" w:rsidTr="00983D62">
        <w:tblPrEx>
          <w:tblBorders>
            <w:bottom w:val="none" w:sz="0" w:space="0" w:color="auto"/>
            <w:insideH w:val="none" w:sz="0" w:space="0" w:color="auto"/>
          </w:tblBorders>
        </w:tblPrEx>
        <w:trPr>
          <w:trHeight w:val="1168"/>
          <w:jc w:val="center"/>
        </w:trPr>
        <w:tc>
          <w:tcPr>
            <w:tcW w:w="711" w:type="dxa"/>
            <w:tcBorders>
              <w:top w:val="single" w:sz="4" w:space="0" w:color="000000" w:themeColor="text1"/>
              <w:bottom w:val="single" w:sz="4" w:space="0" w:color="000000" w:themeColor="text1"/>
            </w:tcBorders>
            <w:shd w:val="clear" w:color="auto" w:fill="F1F1F1"/>
          </w:tcPr>
          <w:p w14:paraId="48504AD3" w14:textId="77777777" w:rsidR="009B0D84" w:rsidRDefault="009B0D84">
            <w:pPr>
              <w:pStyle w:val="TableParagraph"/>
              <w:spacing w:before="134"/>
              <w:ind w:left="0" w:right="242"/>
              <w:jc w:val="right"/>
              <w:rPr>
                <w:b/>
                <w:sz w:val="20"/>
              </w:rPr>
            </w:pPr>
            <w:r>
              <w:rPr>
                <w:b/>
                <w:color w:val="1D336C"/>
                <w:spacing w:val="-5"/>
                <w:sz w:val="20"/>
              </w:rPr>
              <w:t>16</w:t>
            </w:r>
          </w:p>
        </w:tc>
        <w:tc>
          <w:tcPr>
            <w:tcW w:w="7653" w:type="dxa"/>
            <w:gridSpan w:val="2"/>
            <w:tcBorders>
              <w:top w:val="single" w:sz="4" w:space="0" w:color="000000" w:themeColor="text1"/>
              <w:bottom w:val="single" w:sz="4" w:space="0" w:color="000000" w:themeColor="text1"/>
            </w:tcBorders>
          </w:tcPr>
          <w:p w14:paraId="4B534AE8" w14:textId="77777777" w:rsidR="009B0D84" w:rsidRDefault="009B0D84">
            <w:pPr>
              <w:pStyle w:val="TableParagraph"/>
              <w:spacing w:before="134" w:line="292" w:lineRule="auto"/>
              <w:ind w:left="83" w:right="550"/>
              <w:jc w:val="both"/>
              <w:rPr>
                <w:i/>
                <w:sz w:val="20"/>
              </w:rPr>
            </w:pPr>
            <w:r>
              <w:rPr>
                <w:i/>
                <w:color w:val="1D336C"/>
                <w:sz w:val="20"/>
              </w:rPr>
              <w:t>Revision</w:t>
            </w:r>
            <w:r>
              <w:rPr>
                <w:i/>
                <w:color w:val="1D336C"/>
                <w:spacing w:val="-5"/>
                <w:sz w:val="20"/>
              </w:rPr>
              <w:t xml:space="preserve"> </w:t>
            </w:r>
            <w:r>
              <w:rPr>
                <w:i/>
                <w:color w:val="1D336C"/>
                <w:sz w:val="20"/>
              </w:rPr>
              <w:t>of</w:t>
            </w:r>
            <w:r>
              <w:rPr>
                <w:i/>
                <w:color w:val="1D336C"/>
                <w:spacing w:val="-3"/>
                <w:sz w:val="20"/>
              </w:rPr>
              <w:t xml:space="preserve"> </w:t>
            </w:r>
            <w:r>
              <w:rPr>
                <w:i/>
                <w:color w:val="1D336C"/>
                <w:sz w:val="20"/>
              </w:rPr>
              <w:t>the</w:t>
            </w:r>
            <w:r>
              <w:rPr>
                <w:i/>
                <w:color w:val="1D336C"/>
                <w:spacing w:val="-3"/>
                <w:sz w:val="20"/>
              </w:rPr>
              <w:t xml:space="preserve"> </w:t>
            </w:r>
            <w:r>
              <w:rPr>
                <w:i/>
                <w:color w:val="1D336C"/>
                <w:sz w:val="20"/>
              </w:rPr>
              <w:t>investment’s</w:t>
            </w:r>
            <w:r>
              <w:rPr>
                <w:i/>
                <w:color w:val="1D336C"/>
                <w:spacing w:val="-4"/>
                <w:sz w:val="20"/>
              </w:rPr>
              <w:t xml:space="preserve"> </w:t>
            </w:r>
            <w:r>
              <w:rPr>
                <w:i/>
                <w:color w:val="1D336C"/>
                <w:sz w:val="20"/>
              </w:rPr>
              <w:t>governance</w:t>
            </w:r>
            <w:r>
              <w:rPr>
                <w:i/>
                <w:color w:val="1D336C"/>
                <w:spacing w:val="-3"/>
                <w:sz w:val="20"/>
              </w:rPr>
              <w:t xml:space="preserve"> </w:t>
            </w:r>
            <w:r>
              <w:rPr>
                <w:i/>
                <w:color w:val="1D336C"/>
                <w:sz w:val="20"/>
              </w:rPr>
              <w:t>structure</w:t>
            </w:r>
            <w:r>
              <w:rPr>
                <w:i/>
                <w:color w:val="1D336C"/>
                <w:spacing w:val="-5"/>
                <w:sz w:val="20"/>
              </w:rPr>
              <w:t xml:space="preserve"> </w:t>
            </w:r>
            <w:r>
              <w:rPr>
                <w:i/>
                <w:color w:val="1D336C"/>
                <w:sz w:val="20"/>
              </w:rPr>
              <w:t>to</w:t>
            </w:r>
            <w:r>
              <w:rPr>
                <w:i/>
                <w:color w:val="1D336C"/>
                <w:spacing w:val="-3"/>
                <w:sz w:val="20"/>
              </w:rPr>
              <w:t xml:space="preserve"> </w:t>
            </w:r>
            <w:r>
              <w:rPr>
                <w:i/>
                <w:color w:val="1D336C"/>
                <w:sz w:val="20"/>
              </w:rPr>
              <w:t>enhance</w:t>
            </w:r>
            <w:r>
              <w:rPr>
                <w:i/>
                <w:color w:val="1D336C"/>
                <w:spacing w:val="-3"/>
                <w:sz w:val="20"/>
              </w:rPr>
              <w:t xml:space="preserve"> </w:t>
            </w:r>
            <w:r>
              <w:rPr>
                <w:i/>
                <w:color w:val="1D336C"/>
                <w:sz w:val="20"/>
              </w:rPr>
              <w:t>the</w:t>
            </w:r>
            <w:r>
              <w:rPr>
                <w:i/>
                <w:color w:val="1D336C"/>
                <w:spacing w:val="-3"/>
                <w:sz w:val="20"/>
              </w:rPr>
              <w:t xml:space="preserve"> </w:t>
            </w:r>
            <w:r>
              <w:rPr>
                <w:i/>
                <w:color w:val="1D336C"/>
                <w:sz w:val="20"/>
              </w:rPr>
              <w:t>integration</w:t>
            </w:r>
            <w:r>
              <w:rPr>
                <w:i/>
                <w:color w:val="1D336C"/>
                <w:spacing w:val="-5"/>
                <w:sz w:val="20"/>
              </w:rPr>
              <w:t xml:space="preserve"> </w:t>
            </w:r>
            <w:r>
              <w:rPr>
                <w:i/>
                <w:color w:val="1D336C"/>
                <w:sz w:val="20"/>
              </w:rPr>
              <w:t>of different</w:t>
            </w:r>
            <w:r>
              <w:rPr>
                <w:i/>
                <w:color w:val="1D336C"/>
                <w:spacing w:val="-5"/>
                <w:sz w:val="20"/>
              </w:rPr>
              <w:t xml:space="preserve"> </w:t>
            </w:r>
            <w:r>
              <w:rPr>
                <w:i/>
                <w:color w:val="1D336C"/>
                <w:sz w:val="20"/>
              </w:rPr>
              <w:t>components.</w:t>
            </w:r>
            <w:r>
              <w:rPr>
                <w:i/>
                <w:color w:val="1D336C"/>
                <w:spacing w:val="-5"/>
                <w:sz w:val="20"/>
              </w:rPr>
              <w:t xml:space="preserve"> </w:t>
            </w:r>
            <w:r>
              <w:rPr>
                <w:i/>
                <w:color w:val="1D336C"/>
                <w:sz w:val="20"/>
              </w:rPr>
              <w:t>A</w:t>
            </w:r>
            <w:r>
              <w:rPr>
                <w:i/>
                <w:color w:val="1D336C"/>
                <w:spacing w:val="-6"/>
                <w:sz w:val="20"/>
              </w:rPr>
              <w:t xml:space="preserve"> </w:t>
            </w:r>
            <w:r>
              <w:rPr>
                <w:i/>
                <w:color w:val="1D336C"/>
                <w:sz w:val="20"/>
              </w:rPr>
              <w:t>key</w:t>
            </w:r>
            <w:r>
              <w:rPr>
                <w:i/>
                <w:color w:val="1D336C"/>
                <w:spacing w:val="-4"/>
                <w:sz w:val="20"/>
              </w:rPr>
              <w:t xml:space="preserve"> </w:t>
            </w:r>
            <w:r>
              <w:rPr>
                <w:i/>
                <w:color w:val="1D336C"/>
                <w:sz w:val="20"/>
              </w:rPr>
              <w:t>aspect</w:t>
            </w:r>
            <w:r>
              <w:rPr>
                <w:i/>
                <w:color w:val="1D336C"/>
                <w:spacing w:val="-5"/>
                <w:sz w:val="20"/>
              </w:rPr>
              <w:t xml:space="preserve"> </w:t>
            </w:r>
            <w:r>
              <w:rPr>
                <w:i/>
                <w:color w:val="1D336C"/>
                <w:sz w:val="20"/>
              </w:rPr>
              <w:t>of</w:t>
            </w:r>
            <w:r>
              <w:rPr>
                <w:i/>
                <w:color w:val="1D336C"/>
                <w:spacing w:val="-5"/>
                <w:sz w:val="20"/>
              </w:rPr>
              <w:t xml:space="preserve"> </w:t>
            </w:r>
            <w:r>
              <w:rPr>
                <w:i/>
                <w:color w:val="1D336C"/>
                <w:sz w:val="20"/>
              </w:rPr>
              <w:t>this</w:t>
            </w:r>
            <w:r>
              <w:rPr>
                <w:i/>
                <w:color w:val="1D336C"/>
                <w:spacing w:val="-4"/>
                <w:sz w:val="20"/>
              </w:rPr>
              <w:t xml:space="preserve"> </w:t>
            </w:r>
            <w:r>
              <w:rPr>
                <w:i/>
                <w:color w:val="1D336C"/>
                <w:sz w:val="20"/>
              </w:rPr>
              <w:t>revision</w:t>
            </w:r>
            <w:r>
              <w:rPr>
                <w:i/>
                <w:color w:val="1D336C"/>
                <w:spacing w:val="-6"/>
                <w:sz w:val="20"/>
              </w:rPr>
              <w:t xml:space="preserve"> </w:t>
            </w:r>
            <w:r>
              <w:rPr>
                <w:i/>
                <w:color w:val="1D336C"/>
                <w:sz w:val="20"/>
              </w:rPr>
              <w:t>should</w:t>
            </w:r>
            <w:r>
              <w:rPr>
                <w:i/>
                <w:color w:val="1D336C"/>
                <w:spacing w:val="-5"/>
                <w:sz w:val="20"/>
              </w:rPr>
              <w:t xml:space="preserve"> </w:t>
            </w:r>
            <w:r>
              <w:rPr>
                <w:i/>
                <w:color w:val="1D336C"/>
                <w:sz w:val="20"/>
              </w:rPr>
              <w:t>involve</w:t>
            </w:r>
            <w:r>
              <w:rPr>
                <w:i/>
                <w:color w:val="1D336C"/>
                <w:spacing w:val="-3"/>
                <w:sz w:val="20"/>
              </w:rPr>
              <w:t xml:space="preserve"> </w:t>
            </w:r>
            <w:r>
              <w:rPr>
                <w:i/>
                <w:color w:val="1D336C"/>
                <w:sz w:val="20"/>
              </w:rPr>
              <w:t>designating</w:t>
            </w:r>
            <w:r>
              <w:rPr>
                <w:i/>
                <w:color w:val="1D336C"/>
                <w:spacing w:val="-5"/>
                <w:sz w:val="20"/>
              </w:rPr>
              <w:t xml:space="preserve"> </w:t>
            </w:r>
            <w:r>
              <w:rPr>
                <w:i/>
                <w:color w:val="1D336C"/>
                <w:sz w:val="20"/>
              </w:rPr>
              <w:t xml:space="preserve">a single </w:t>
            </w:r>
            <w:proofErr w:type="spellStart"/>
            <w:r>
              <w:rPr>
                <w:i/>
                <w:color w:val="1D336C"/>
                <w:sz w:val="20"/>
              </w:rPr>
              <w:t>organisation</w:t>
            </w:r>
            <w:proofErr w:type="spellEnd"/>
            <w:r>
              <w:rPr>
                <w:i/>
                <w:color w:val="1D336C"/>
                <w:sz w:val="20"/>
              </w:rPr>
              <w:t xml:space="preserve"> as responsible for the overall outcomes of the investment.</w:t>
            </w:r>
          </w:p>
        </w:tc>
        <w:tc>
          <w:tcPr>
            <w:tcW w:w="1276" w:type="dxa"/>
            <w:tcBorders>
              <w:top w:val="single" w:sz="4" w:space="0" w:color="000000" w:themeColor="text1"/>
              <w:bottom w:val="single" w:sz="4" w:space="0" w:color="000000" w:themeColor="text1"/>
            </w:tcBorders>
          </w:tcPr>
          <w:p w14:paraId="556D8058" w14:textId="0B9865B4" w:rsidR="009B0D84" w:rsidRDefault="009B0D84">
            <w:pPr>
              <w:pStyle w:val="TableParagraph"/>
              <w:spacing w:before="134"/>
              <w:ind w:left="88"/>
              <w:rPr>
                <w:sz w:val="20"/>
              </w:rPr>
            </w:pPr>
            <w:r>
              <w:rPr>
                <w:spacing w:val="-5"/>
                <w:sz w:val="20"/>
              </w:rPr>
              <w:t>2</w:t>
            </w:r>
            <w:r w:rsidR="00024461">
              <w:rPr>
                <w:spacing w:val="-5"/>
                <w:sz w:val="20"/>
              </w:rPr>
              <w:t>3</w:t>
            </w:r>
          </w:p>
        </w:tc>
      </w:tr>
      <w:tr w:rsidR="009B0D84" w14:paraId="2B171E6D" w14:textId="77777777" w:rsidTr="00983D62">
        <w:tblPrEx>
          <w:tblBorders>
            <w:bottom w:val="none" w:sz="0" w:space="0" w:color="auto"/>
            <w:insideH w:val="none" w:sz="0" w:space="0" w:color="auto"/>
          </w:tblBorders>
        </w:tblPrEx>
        <w:trPr>
          <w:trHeight w:val="890"/>
          <w:jc w:val="center"/>
        </w:trPr>
        <w:tc>
          <w:tcPr>
            <w:tcW w:w="711" w:type="dxa"/>
            <w:tcBorders>
              <w:top w:val="single" w:sz="4" w:space="0" w:color="000000" w:themeColor="text1"/>
              <w:bottom w:val="single" w:sz="4" w:space="0" w:color="000000" w:themeColor="text1"/>
            </w:tcBorders>
            <w:shd w:val="clear" w:color="auto" w:fill="F1F1F1"/>
          </w:tcPr>
          <w:p w14:paraId="3D5945E3" w14:textId="77777777" w:rsidR="009B0D84" w:rsidRDefault="009B0D84">
            <w:pPr>
              <w:pStyle w:val="TableParagraph"/>
              <w:ind w:left="0" w:right="242"/>
              <w:jc w:val="right"/>
              <w:rPr>
                <w:b/>
                <w:sz w:val="20"/>
              </w:rPr>
            </w:pPr>
            <w:r>
              <w:rPr>
                <w:b/>
                <w:color w:val="1D336C"/>
                <w:spacing w:val="-5"/>
                <w:sz w:val="20"/>
              </w:rPr>
              <w:t>17</w:t>
            </w:r>
          </w:p>
        </w:tc>
        <w:tc>
          <w:tcPr>
            <w:tcW w:w="7653" w:type="dxa"/>
            <w:gridSpan w:val="2"/>
            <w:tcBorders>
              <w:top w:val="single" w:sz="4" w:space="0" w:color="000000" w:themeColor="text1"/>
              <w:bottom w:val="single" w:sz="4" w:space="0" w:color="000000" w:themeColor="text1"/>
            </w:tcBorders>
          </w:tcPr>
          <w:p w14:paraId="24DAE4D1" w14:textId="77777777" w:rsidR="009B0D84" w:rsidRDefault="009B0D84">
            <w:pPr>
              <w:pStyle w:val="TableParagraph"/>
              <w:spacing w:line="292" w:lineRule="auto"/>
              <w:ind w:left="83"/>
              <w:rPr>
                <w:i/>
                <w:sz w:val="20"/>
              </w:rPr>
            </w:pPr>
            <w:r>
              <w:rPr>
                <w:i/>
                <w:color w:val="1D336C"/>
                <w:sz w:val="20"/>
              </w:rPr>
              <w:t>Collaborate</w:t>
            </w:r>
            <w:r>
              <w:rPr>
                <w:i/>
                <w:color w:val="1D336C"/>
                <w:spacing w:val="-2"/>
                <w:sz w:val="20"/>
              </w:rPr>
              <w:t xml:space="preserve"> </w:t>
            </w:r>
            <w:r>
              <w:rPr>
                <w:i/>
                <w:color w:val="1D336C"/>
                <w:sz w:val="20"/>
              </w:rPr>
              <w:t>with</w:t>
            </w:r>
            <w:r>
              <w:rPr>
                <w:i/>
                <w:color w:val="1D336C"/>
                <w:spacing w:val="-4"/>
                <w:sz w:val="20"/>
              </w:rPr>
              <w:t xml:space="preserve"> </w:t>
            </w:r>
            <w:r>
              <w:rPr>
                <w:i/>
                <w:color w:val="1D336C"/>
                <w:sz w:val="20"/>
              </w:rPr>
              <w:t>the</w:t>
            </w:r>
            <w:r>
              <w:rPr>
                <w:i/>
                <w:color w:val="1D336C"/>
                <w:spacing w:val="-4"/>
                <w:sz w:val="20"/>
              </w:rPr>
              <w:t xml:space="preserve"> </w:t>
            </w:r>
            <w:r>
              <w:rPr>
                <w:i/>
                <w:color w:val="1D336C"/>
                <w:sz w:val="20"/>
              </w:rPr>
              <w:t>Government</w:t>
            </w:r>
            <w:r>
              <w:rPr>
                <w:i/>
                <w:color w:val="1D336C"/>
                <w:spacing w:val="-4"/>
                <w:sz w:val="20"/>
              </w:rPr>
              <w:t xml:space="preserve"> </w:t>
            </w:r>
            <w:r>
              <w:rPr>
                <w:i/>
                <w:color w:val="1D336C"/>
                <w:sz w:val="20"/>
              </w:rPr>
              <w:t>of</w:t>
            </w:r>
            <w:r>
              <w:rPr>
                <w:i/>
                <w:color w:val="1D336C"/>
                <w:spacing w:val="-4"/>
                <w:sz w:val="20"/>
              </w:rPr>
              <w:t xml:space="preserve"> </w:t>
            </w:r>
            <w:r>
              <w:rPr>
                <w:i/>
                <w:color w:val="1D336C"/>
                <w:sz w:val="20"/>
              </w:rPr>
              <w:t>Fiji</w:t>
            </w:r>
            <w:r>
              <w:rPr>
                <w:i/>
                <w:color w:val="1D336C"/>
                <w:spacing w:val="-5"/>
                <w:sz w:val="20"/>
              </w:rPr>
              <w:t xml:space="preserve"> </w:t>
            </w:r>
            <w:r>
              <w:rPr>
                <w:i/>
                <w:color w:val="1D336C"/>
                <w:sz w:val="20"/>
              </w:rPr>
              <w:t>(</w:t>
            </w:r>
            <w:proofErr w:type="spellStart"/>
            <w:r>
              <w:rPr>
                <w:i/>
                <w:color w:val="1D336C"/>
                <w:sz w:val="20"/>
              </w:rPr>
              <w:t>GoF</w:t>
            </w:r>
            <w:proofErr w:type="spellEnd"/>
            <w:r>
              <w:rPr>
                <w:i/>
                <w:color w:val="1D336C"/>
                <w:sz w:val="20"/>
              </w:rPr>
              <w:t>)</w:t>
            </w:r>
            <w:r>
              <w:rPr>
                <w:i/>
                <w:color w:val="1D336C"/>
                <w:spacing w:val="-3"/>
                <w:sz w:val="20"/>
              </w:rPr>
              <w:t xml:space="preserve"> </w:t>
            </w:r>
            <w:r>
              <w:rPr>
                <w:i/>
                <w:color w:val="1D336C"/>
                <w:sz w:val="20"/>
              </w:rPr>
              <w:t>to</w:t>
            </w:r>
            <w:r>
              <w:rPr>
                <w:i/>
                <w:color w:val="1D336C"/>
                <w:spacing w:val="-3"/>
                <w:sz w:val="20"/>
              </w:rPr>
              <w:t xml:space="preserve"> </w:t>
            </w:r>
            <w:r>
              <w:rPr>
                <w:i/>
                <w:color w:val="1D336C"/>
                <w:sz w:val="20"/>
              </w:rPr>
              <w:t>develop</w:t>
            </w:r>
            <w:r>
              <w:rPr>
                <w:i/>
                <w:color w:val="1D336C"/>
                <w:spacing w:val="-5"/>
                <w:sz w:val="20"/>
              </w:rPr>
              <w:t xml:space="preserve"> </w:t>
            </w:r>
            <w:r>
              <w:rPr>
                <w:i/>
                <w:color w:val="1D336C"/>
                <w:sz w:val="20"/>
              </w:rPr>
              <w:t>a</w:t>
            </w:r>
            <w:r>
              <w:rPr>
                <w:i/>
                <w:color w:val="1D336C"/>
                <w:spacing w:val="-2"/>
                <w:sz w:val="20"/>
              </w:rPr>
              <w:t xml:space="preserve"> </w:t>
            </w:r>
            <w:r>
              <w:rPr>
                <w:i/>
                <w:color w:val="1D336C"/>
                <w:sz w:val="20"/>
              </w:rPr>
              <w:t>preliminary</w:t>
            </w:r>
            <w:r>
              <w:rPr>
                <w:i/>
                <w:color w:val="1D336C"/>
                <w:spacing w:val="-3"/>
                <w:sz w:val="20"/>
              </w:rPr>
              <w:t xml:space="preserve"> </w:t>
            </w:r>
            <w:r>
              <w:rPr>
                <w:i/>
                <w:color w:val="1D336C"/>
                <w:sz w:val="20"/>
              </w:rPr>
              <w:t>plan</w:t>
            </w:r>
            <w:r>
              <w:rPr>
                <w:i/>
                <w:color w:val="1D336C"/>
                <w:spacing w:val="-4"/>
                <w:sz w:val="20"/>
              </w:rPr>
              <w:t xml:space="preserve"> </w:t>
            </w:r>
            <w:r>
              <w:rPr>
                <w:i/>
                <w:color w:val="1D336C"/>
                <w:sz w:val="20"/>
              </w:rPr>
              <w:t>for</w:t>
            </w:r>
            <w:r>
              <w:rPr>
                <w:i/>
                <w:color w:val="1D336C"/>
                <w:spacing w:val="-4"/>
                <w:sz w:val="20"/>
              </w:rPr>
              <w:t xml:space="preserve"> </w:t>
            </w:r>
            <w:r>
              <w:rPr>
                <w:i/>
                <w:color w:val="1D336C"/>
                <w:sz w:val="20"/>
              </w:rPr>
              <w:t xml:space="preserve">the nationwide rollout of </w:t>
            </w:r>
            <w:proofErr w:type="spellStart"/>
            <w:r>
              <w:rPr>
                <w:i/>
                <w:color w:val="1D336C"/>
                <w:sz w:val="20"/>
              </w:rPr>
              <w:t>NbS</w:t>
            </w:r>
            <w:proofErr w:type="spellEnd"/>
            <w:r>
              <w:rPr>
                <w:i/>
                <w:color w:val="1D336C"/>
                <w:sz w:val="20"/>
              </w:rPr>
              <w:t>, particularly focusing on blue carbon initiatives.</w:t>
            </w:r>
          </w:p>
        </w:tc>
        <w:tc>
          <w:tcPr>
            <w:tcW w:w="1276" w:type="dxa"/>
            <w:tcBorders>
              <w:top w:val="single" w:sz="4" w:space="0" w:color="000000" w:themeColor="text1"/>
              <w:bottom w:val="single" w:sz="4" w:space="0" w:color="000000" w:themeColor="text1"/>
            </w:tcBorders>
          </w:tcPr>
          <w:p w14:paraId="7C88E71C" w14:textId="70825B9E" w:rsidR="009B0D84" w:rsidRDefault="009B0D84">
            <w:pPr>
              <w:pStyle w:val="TableParagraph"/>
              <w:ind w:left="88"/>
              <w:rPr>
                <w:sz w:val="20"/>
              </w:rPr>
            </w:pPr>
            <w:r>
              <w:rPr>
                <w:spacing w:val="-5"/>
                <w:sz w:val="20"/>
              </w:rPr>
              <w:t>2</w:t>
            </w:r>
            <w:r w:rsidR="00024461">
              <w:rPr>
                <w:spacing w:val="-5"/>
                <w:sz w:val="20"/>
              </w:rPr>
              <w:t>3</w:t>
            </w:r>
          </w:p>
        </w:tc>
      </w:tr>
    </w:tbl>
    <w:p w14:paraId="702DFDCC" w14:textId="034F2121" w:rsidR="00983D62" w:rsidRPr="00983D62" w:rsidRDefault="00983D62" w:rsidP="00983D62">
      <w:pPr>
        <w:pStyle w:val="Heading2"/>
        <w:rPr>
          <w:color w:val="1D336D" w:themeColor="background2"/>
          <w:sz w:val="24"/>
          <w:szCs w:val="24"/>
        </w:rPr>
      </w:pPr>
      <w:bookmarkStart w:id="23" w:name="_Toc164783039"/>
      <w:r>
        <w:rPr>
          <w:caps w:val="0"/>
          <w:color w:val="1D336D" w:themeColor="background2"/>
          <w:sz w:val="24"/>
          <w:szCs w:val="24"/>
        </w:rPr>
        <w:t>The Coral Reef Innovation Project</w:t>
      </w:r>
      <w:bookmarkEnd w:id="23"/>
    </w:p>
    <w:tbl>
      <w:tblPr>
        <w:tblW w:w="9640" w:type="dxa"/>
        <w:jc w:val="center"/>
        <w:tblBorders>
          <w:bottom w:val="single" w:sz="4" w:space="0" w:color="1D336D"/>
          <w:insideH w:val="single" w:sz="4" w:space="0" w:color="1D336D"/>
        </w:tblBorders>
        <w:tblLayout w:type="fixed"/>
        <w:tblCellMar>
          <w:left w:w="0" w:type="dxa"/>
          <w:right w:w="0" w:type="dxa"/>
        </w:tblCellMar>
        <w:tblLook w:val="01E0" w:firstRow="1" w:lastRow="1" w:firstColumn="1" w:lastColumn="1" w:noHBand="0" w:noVBand="0"/>
      </w:tblPr>
      <w:tblGrid>
        <w:gridCol w:w="711"/>
        <w:gridCol w:w="7631"/>
        <w:gridCol w:w="22"/>
        <w:gridCol w:w="1276"/>
      </w:tblGrid>
      <w:tr w:rsidR="00983D62" w:rsidRPr="00983D62" w14:paraId="07E38223" w14:textId="77777777" w:rsidTr="00983D62">
        <w:trPr>
          <w:trHeight w:val="887"/>
          <w:tblHeader/>
          <w:jc w:val="center"/>
        </w:trPr>
        <w:tc>
          <w:tcPr>
            <w:tcW w:w="711" w:type="dxa"/>
            <w:shd w:val="clear" w:color="auto" w:fill="1D336D" w:themeFill="background2"/>
          </w:tcPr>
          <w:p w14:paraId="15D03B2E" w14:textId="77777777" w:rsidR="00983D62" w:rsidRPr="00983D62" w:rsidRDefault="00983D62" w:rsidP="00C24621">
            <w:pPr>
              <w:pStyle w:val="TableParagraph"/>
              <w:spacing w:before="134"/>
              <w:rPr>
                <w:b/>
                <w:color w:val="FFFFFF" w:themeColor="background1"/>
                <w:sz w:val="20"/>
              </w:rPr>
            </w:pPr>
            <w:r w:rsidRPr="00983D62">
              <w:rPr>
                <w:b/>
                <w:color w:val="FFFFFF" w:themeColor="background1"/>
                <w:spacing w:val="-10"/>
                <w:sz w:val="20"/>
              </w:rPr>
              <w:t>#</w:t>
            </w:r>
          </w:p>
        </w:tc>
        <w:tc>
          <w:tcPr>
            <w:tcW w:w="7631" w:type="dxa"/>
            <w:shd w:val="clear" w:color="auto" w:fill="1D336D" w:themeFill="background2"/>
          </w:tcPr>
          <w:p w14:paraId="707B20E2" w14:textId="77777777" w:rsidR="00983D62" w:rsidRPr="00983D62" w:rsidRDefault="00983D62" w:rsidP="00C24621">
            <w:pPr>
              <w:pStyle w:val="TableParagraph"/>
              <w:spacing w:before="134"/>
              <w:ind w:left="14"/>
              <w:rPr>
                <w:b/>
                <w:color w:val="FFFFFF" w:themeColor="background1"/>
                <w:sz w:val="20"/>
              </w:rPr>
            </w:pPr>
            <w:r w:rsidRPr="00983D62">
              <w:rPr>
                <w:b/>
                <w:color w:val="FFFFFF" w:themeColor="background1"/>
                <w:spacing w:val="-2"/>
                <w:sz w:val="20"/>
              </w:rPr>
              <w:t>Recommendation</w:t>
            </w:r>
          </w:p>
        </w:tc>
        <w:tc>
          <w:tcPr>
            <w:tcW w:w="1298" w:type="dxa"/>
            <w:gridSpan w:val="2"/>
            <w:shd w:val="clear" w:color="auto" w:fill="1D336D" w:themeFill="background2"/>
          </w:tcPr>
          <w:p w14:paraId="3EA981C0" w14:textId="77777777" w:rsidR="00983D62" w:rsidRPr="00983D62" w:rsidRDefault="00983D62" w:rsidP="00C24621">
            <w:pPr>
              <w:pStyle w:val="TableParagraph"/>
              <w:spacing w:before="131" w:line="292" w:lineRule="auto"/>
              <w:ind w:left="110" w:right="237"/>
              <w:rPr>
                <w:b/>
                <w:color w:val="FFFFFF" w:themeColor="background1"/>
                <w:sz w:val="20"/>
              </w:rPr>
            </w:pPr>
            <w:r w:rsidRPr="00983D62">
              <w:rPr>
                <w:b/>
                <w:color w:val="FFFFFF" w:themeColor="background1"/>
                <w:spacing w:val="-4"/>
                <w:sz w:val="20"/>
              </w:rPr>
              <w:t xml:space="preserve">See </w:t>
            </w:r>
            <w:r w:rsidRPr="00983D62">
              <w:rPr>
                <w:b/>
                <w:color w:val="FFFFFF" w:themeColor="background1"/>
                <w:sz w:val="20"/>
              </w:rPr>
              <w:t>findings</w:t>
            </w:r>
            <w:r w:rsidRPr="00983D62">
              <w:rPr>
                <w:b/>
                <w:color w:val="FFFFFF" w:themeColor="background1"/>
                <w:spacing w:val="-14"/>
                <w:sz w:val="20"/>
              </w:rPr>
              <w:t xml:space="preserve"> </w:t>
            </w:r>
            <w:r w:rsidRPr="00983D62">
              <w:rPr>
                <w:b/>
                <w:color w:val="FFFFFF" w:themeColor="background1"/>
                <w:sz w:val="20"/>
              </w:rPr>
              <w:t>#</w:t>
            </w:r>
          </w:p>
        </w:tc>
      </w:tr>
      <w:tr w:rsidR="009B0D84" w14:paraId="6F5BABB0" w14:textId="77777777" w:rsidTr="00983D62">
        <w:tblPrEx>
          <w:tblBorders>
            <w:bottom w:val="none" w:sz="0" w:space="0" w:color="auto"/>
            <w:insideH w:val="none" w:sz="0" w:space="0" w:color="auto"/>
          </w:tblBorders>
        </w:tblPrEx>
        <w:trPr>
          <w:trHeight w:val="1170"/>
          <w:jc w:val="center"/>
        </w:trPr>
        <w:tc>
          <w:tcPr>
            <w:tcW w:w="711" w:type="dxa"/>
            <w:tcBorders>
              <w:top w:val="single" w:sz="4" w:space="0" w:color="000000" w:themeColor="text1"/>
              <w:bottom w:val="single" w:sz="4" w:space="0" w:color="1D336C"/>
            </w:tcBorders>
            <w:shd w:val="clear" w:color="auto" w:fill="F1F1F1"/>
          </w:tcPr>
          <w:p w14:paraId="0F269B35" w14:textId="77777777" w:rsidR="009B0D84" w:rsidRDefault="009B0D84">
            <w:pPr>
              <w:pStyle w:val="TableParagraph"/>
              <w:spacing w:before="134"/>
              <w:ind w:left="0" w:right="242"/>
              <w:jc w:val="right"/>
              <w:rPr>
                <w:b/>
                <w:sz w:val="20"/>
              </w:rPr>
            </w:pPr>
            <w:r>
              <w:rPr>
                <w:b/>
                <w:color w:val="1D336C"/>
                <w:spacing w:val="-5"/>
                <w:sz w:val="20"/>
              </w:rPr>
              <w:t>18</w:t>
            </w:r>
          </w:p>
        </w:tc>
        <w:tc>
          <w:tcPr>
            <w:tcW w:w="7653" w:type="dxa"/>
            <w:gridSpan w:val="2"/>
            <w:tcBorders>
              <w:top w:val="single" w:sz="4" w:space="0" w:color="000000" w:themeColor="text1"/>
              <w:bottom w:val="single" w:sz="4" w:space="0" w:color="1D336C"/>
            </w:tcBorders>
          </w:tcPr>
          <w:p w14:paraId="571D0171" w14:textId="366037D7" w:rsidR="009B0D84" w:rsidRDefault="009B0D84">
            <w:pPr>
              <w:pStyle w:val="TableParagraph"/>
              <w:spacing w:before="134" w:line="292" w:lineRule="auto"/>
              <w:ind w:left="83"/>
              <w:rPr>
                <w:i/>
                <w:iCs/>
                <w:sz w:val="20"/>
                <w:szCs w:val="20"/>
              </w:rPr>
            </w:pPr>
            <w:r w:rsidRPr="2B37D4A4">
              <w:rPr>
                <w:i/>
                <w:iCs/>
                <w:color w:val="1D336C"/>
                <w:sz w:val="20"/>
                <w:szCs w:val="20"/>
              </w:rPr>
              <w:t xml:space="preserve">Establish collaborative partnerships with </w:t>
            </w:r>
            <w:proofErr w:type="spellStart"/>
            <w:r w:rsidRPr="2B37D4A4">
              <w:rPr>
                <w:i/>
                <w:iCs/>
                <w:color w:val="1D336C"/>
                <w:sz w:val="20"/>
                <w:szCs w:val="20"/>
              </w:rPr>
              <w:t>NbS</w:t>
            </w:r>
            <w:proofErr w:type="spellEnd"/>
            <w:r w:rsidRPr="2B37D4A4">
              <w:rPr>
                <w:i/>
                <w:iCs/>
                <w:color w:val="1D336C"/>
                <w:sz w:val="20"/>
                <w:szCs w:val="20"/>
              </w:rPr>
              <w:t xml:space="preserve"> projects that are focused on reef restoration,</w:t>
            </w:r>
            <w:r w:rsidRPr="2B37D4A4">
              <w:rPr>
                <w:i/>
                <w:iCs/>
                <w:color w:val="1D336C"/>
                <w:spacing w:val="-5"/>
                <w:sz w:val="20"/>
                <w:szCs w:val="20"/>
              </w:rPr>
              <w:t xml:space="preserve"> </w:t>
            </w:r>
            <w:r w:rsidRPr="2B37D4A4">
              <w:rPr>
                <w:i/>
                <w:iCs/>
                <w:color w:val="1D336C"/>
                <w:sz w:val="20"/>
                <w:szCs w:val="20"/>
              </w:rPr>
              <w:t>particularly</w:t>
            </w:r>
            <w:r w:rsidRPr="2B37D4A4">
              <w:rPr>
                <w:i/>
                <w:iCs/>
                <w:color w:val="1D336C"/>
                <w:spacing w:val="-2"/>
                <w:sz w:val="20"/>
                <w:szCs w:val="20"/>
              </w:rPr>
              <w:t xml:space="preserve"> </w:t>
            </w:r>
            <w:r w:rsidRPr="2B37D4A4">
              <w:rPr>
                <w:i/>
                <w:iCs/>
                <w:color w:val="1D336C"/>
                <w:sz w:val="20"/>
                <w:szCs w:val="20"/>
              </w:rPr>
              <w:t>if</w:t>
            </w:r>
            <w:r w:rsidRPr="2B37D4A4">
              <w:rPr>
                <w:i/>
                <w:iCs/>
                <w:color w:val="1D336C"/>
                <w:spacing w:val="-5"/>
                <w:sz w:val="20"/>
                <w:szCs w:val="20"/>
              </w:rPr>
              <w:t xml:space="preserve"> </w:t>
            </w:r>
            <w:r w:rsidRPr="2B37D4A4">
              <w:rPr>
                <w:i/>
                <w:iCs/>
                <w:color w:val="1D336C"/>
                <w:sz w:val="20"/>
                <w:szCs w:val="20"/>
              </w:rPr>
              <w:t>the</w:t>
            </w:r>
            <w:r w:rsidRPr="2B37D4A4">
              <w:rPr>
                <w:i/>
                <w:iCs/>
                <w:color w:val="1D336C"/>
                <w:spacing w:val="-5"/>
                <w:sz w:val="20"/>
                <w:szCs w:val="20"/>
              </w:rPr>
              <w:t xml:space="preserve"> </w:t>
            </w:r>
            <w:r w:rsidRPr="2B37D4A4">
              <w:rPr>
                <w:i/>
                <w:iCs/>
                <w:color w:val="1D336C"/>
                <w:sz w:val="20"/>
                <w:szCs w:val="20"/>
              </w:rPr>
              <w:t>investment</w:t>
            </w:r>
            <w:r w:rsidRPr="2B37D4A4">
              <w:rPr>
                <w:i/>
                <w:iCs/>
                <w:color w:val="1D336C"/>
                <w:spacing w:val="-3"/>
                <w:sz w:val="20"/>
                <w:szCs w:val="20"/>
              </w:rPr>
              <w:t xml:space="preserve"> </w:t>
            </w:r>
            <w:r w:rsidRPr="2B37D4A4">
              <w:rPr>
                <w:i/>
                <w:iCs/>
                <w:color w:val="1D336C"/>
                <w:sz w:val="20"/>
                <w:szCs w:val="20"/>
              </w:rPr>
              <w:t>intends</w:t>
            </w:r>
            <w:r w:rsidRPr="2B37D4A4">
              <w:rPr>
                <w:i/>
                <w:iCs/>
                <w:color w:val="1D336C"/>
                <w:spacing w:val="-4"/>
                <w:sz w:val="20"/>
                <w:szCs w:val="20"/>
              </w:rPr>
              <w:t xml:space="preserve"> </w:t>
            </w:r>
            <w:r w:rsidRPr="2B37D4A4">
              <w:rPr>
                <w:i/>
                <w:iCs/>
                <w:color w:val="1D336C"/>
                <w:sz w:val="20"/>
                <w:szCs w:val="20"/>
              </w:rPr>
              <w:t>to</w:t>
            </w:r>
            <w:r w:rsidRPr="2B37D4A4">
              <w:rPr>
                <w:i/>
                <w:iCs/>
                <w:color w:val="1D336C"/>
                <w:spacing w:val="-6"/>
                <w:sz w:val="20"/>
                <w:szCs w:val="20"/>
              </w:rPr>
              <w:t xml:space="preserve"> </w:t>
            </w:r>
            <w:r w:rsidRPr="2B37D4A4">
              <w:rPr>
                <w:i/>
                <w:iCs/>
                <w:color w:val="1D336C"/>
                <w:sz w:val="20"/>
                <w:szCs w:val="20"/>
              </w:rPr>
              <w:t>secure</w:t>
            </w:r>
            <w:r w:rsidRPr="2B37D4A4">
              <w:rPr>
                <w:i/>
                <w:iCs/>
                <w:color w:val="1D336C"/>
                <w:spacing w:val="-5"/>
                <w:sz w:val="20"/>
                <w:szCs w:val="20"/>
              </w:rPr>
              <w:t xml:space="preserve"> </w:t>
            </w:r>
            <w:r w:rsidRPr="2B37D4A4">
              <w:rPr>
                <w:i/>
                <w:iCs/>
                <w:color w:val="1D336C"/>
                <w:sz w:val="20"/>
                <w:szCs w:val="20"/>
              </w:rPr>
              <w:t>ongoing</w:t>
            </w:r>
            <w:r w:rsidRPr="2B37D4A4">
              <w:rPr>
                <w:i/>
                <w:iCs/>
                <w:color w:val="1D336C"/>
                <w:spacing w:val="-4"/>
                <w:sz w:val="20"/>
                <w:szCs w:val="20"/>
              </w:rPr>
              <w:t xml:space="preserve"> </w:t>
            </w:r>
            <w:r w:rsidRPr="2B37D4A4">
              <w:rPr>
                <w:i/>
                <w:iCs/>
                <w:color w:val="1D336C"/>
                <w:sz w:val="20"/>
                <w:szCs w:val="20"/>
              </w:rPr>
              <w:t>funding</w:t>
            </w:r>
            <w:r w:rsidRPr="2B37D4A4">
              <w:rPr>
                <w:i/>
                <w:iCs/>
                <w:color w:val="1D336C"/>
                <w:spacing w:val="-5"/>
                <w:sz w:val="20"/>
                <w:szCs w:val="20"/>
              </w:rPr>
              <w:t xml:space="preserve"> </w:t>
            </w:r>
            <w:r w:rsidRPr="2B37D4A4">
              <w:rPr>
                <w:i/>
                <w:iCs/>
                <w:color w:val="1D336C"/>
                <w:sz w:val="20"/>
                <w:szCs w:val="20"/>
              </w:rPr>
              <w:t>from</w:t>
            </w:r>
            <w:r w:rsidRPr="2B37D4A4">
              <w:rPr>
                <w:i/>
                <w:iCs/>
                <w:color w:val="1D336C"/>
                <w:spacing w:val="-5"/>
                <w:sz w:val="20"/>
                <w:szCs w:val="20"/>
              </w:rPr>
              <w:t xml:space="preserve"> </w:t>
            </w:r>
            <w:r w:rsidRPr="2B37D4A4">
              <w:rPr>
                <w:i/>
                <w:iCs/>
                <w:color w:val="1D336C"/>
                <w:sz w:val="20"/>
                <w:szCs w:val="20"/>
              </w:rPr>
              <w:t xml:space="preserve">the DFAT </w:t>
            </w:r>
            <w:proofErr w:type="spellStart"/>
            <w:r w:rsidRPr="2B37D4A4">
              <w:rPr>
                <w:i/>
                <w:iCs/>
                <w:color w:val="1D336C"/>
                <w:sz w:val="20"/>
                <w:szCs w:val="20"/>
              </w:rPr>
              <w:t>NbS</w:t>
            </w:r>
            <w:proofErr w:type="spellEnd"/>
            <w:r w:rsidRPr="2B37D4A4">
              <w:rPr>
                <w:i/>
                <w:iCs/>
                <w:color w:val="1D336C"/>
                <w:sz w:val="20"/>
                <w:szCs w:val="20"/>
              </w:rPr>
              <w:t xml:space="preserve"> funding envelop</w:t>
            </w:r>
            <w:r w:rsidR="006551F0">
              <w:rPr>
                <w:i/>
                <w:iCs/>
                <w:color w:val="1D336C"/>
                <w:sz w:val="20"/>
                <w:szCs w:val="20"/>
              </w:rPr>
              <w:t>e</w:t>
            </w:r>
            <w:r w:rsidRPr="2B37D4A4">
              <w:rPr>
                <w:i/>
                <w:iCs/>
                <w:color w:val="1D336C"/>
                <w:sz w:val="20"/>
                <w:szCs w:val="20"/>
              </w:rPr>
              <w:t>.</w:t>
            </w:r>
          </w:p>
        </w:tc>
        <w:tc>
          <w:tcPr>
            <w:tcW w:w="1276" w:type="dxa"/>
            <w:tcBorders>
              <w:top w:val="single" w:sz="4" w:space="0" w:color="000000" w:themeColor="text1"/>
              <w:bottom w:val="single" w:sz="4" w:space="0" w:color="1D336C"/>
            </w:tcBorders>
          </w:tcPr>
          <w:p w14:paraId="0ECD26F1" w14:textId="1984FFBF" w:rsidR="009B0D84" w:rsidRDefault="009B0D84">
            <w:pPr>
              <w:pStyle w:val="TableParagraph"/>
              <w:spacing w:before="134"/>
              <w:ind w:left="88"/>
              <w:rPr>
                <w:sz w:val="20"/>
              </w:rPr>
            </w:pPr>
            <w:r>
              <w:rPr>
                <w:sz w:val="20"/>
              </w:rPr>
              <w:t>2</w:t>
            </w:r>
            <w:r w:rsidR="004B577E">
              <w:rPr>
                <w:sz w:val="20"/>
              </w:rPr>
              <w:t>6</w:t>
            </w:r>
            <w:r>
              <w:rPr>
                <w:sz w:val="20"/>
              </w:rPr>
              <w:t>,</w:t>
            </w:r>
            <w:r>
              <w:rPr>
                <w:spacing w:val="-4"/>
                <w:sz w:val="20"/>
              </w:rPr>
              <w:t xml:space="preserve"> </w:t>
            </w:r>
            <w:r>
              <w:rPr>
                <w:sz w:val="20"/>
              </w:rPr>
              <w:t>2</w:t>
            </w:r>
            <w:r w:rsidR="007B3C28">
              <w:rPr>
                <w:sz w:val="20"/>
              </w:rPr>
              <w:t>7</w:t>
            </w:r>
            <w:r>
              <w:rPr>
                <w:sz w:val="20"/>
              </w:rPr>
              <w:t>,</w:t>
            </w:r>
            <w:r>
              <w:rPr>
                <w:spacing w:val="-4"/>
                <w:sz w:val="20"/>
              </w:rPr>
              <w:t xml:space="preserve"> </w:t>
            </w:r>
            <w:r>
              <w:rPr>
                <w:spacing w:val="-5"/>
                <w:sz w:val="20"/>
              </w:rPr>
              <w:t>2</w:t>
            </w:r>
            <w:r w:rsidR="007B3C28">
              <w:rPr>
                <w:spacing w:val="-5"/>
                <w:sz w:val="20"/>
              </w:rPr>
              <w:t>8</w:t>
            </w:r>
          </w:p>
        </w:tc>
      </w:tr>
    </w:tbl>
    <w:p w14:paraId="793FDB2D" w14:textId="6DA6990C" w:rsidR="00EA7FE2" w:rsidRPr="00EA7FE2" w:rsidRDefault="0022045A" w:rsidP="0022045A">
      <w:pPr>
        <w:pStyle w:val="ChapterHeading"/>
      </w:pPr>
      <w:bookmarkStart w:id="24" w:name="_Toc164783040"/>
      <w:r>
        <w:lastRenderedPageBreak/>
        <w:t>Introduction</w:t>
      </w:r>
      <w:bookmarkEnd w:id="24"/>
    </w:p>
    <w:p w14:paraId="4D4294D6" w14:textId="57FF3DC5" w:rsidR="00EA7FE2" w:rsidRPr="00EA7FE2" w:rsidRDefault="00EA7FE2" w:rsidP="00B814D2">
      <w:r w:rsidRPr="00EA7FE2">
        <w:t>This report details the findings and recommendations from an independent evaluation of three of Australia’s international nature-based solutions (</w:t>
      </w:r>
      <w:proofErr w:type="spellStart"/>
      <w:r w:rsidRPr="00EA7FE2">
        <w:t>NbS</w:t>
      </w:r>
      <w:proofErr w:type="spellEnd"/>
      <w:r w:rsidRPr="00EA7FE2">
        <w:t xml:space="preserve">) investments. Commissioned by the Department of Foreign Affairs and Trade (DFAT), the evaluation provides a summative assessment on the performance of the investments (Climate Resilient by Nature, Pacific Blue Carbon Program, and </w:t>
      </w:r>
      <w:proofErr w:type="spellStart"/>
      <w:r w:rsidRPr="00EA7FE2">
        <w:t>ReefCloud</w:t>
      </w:r>
      <w:proofErr w:type="spellEnd"/>
      <w:r w:rsidRPr="00EA7FE2">
        <w:t xml:space="preserve">) at the current stage in their lifecycle, and considers the potential for using this appraisal to develop a strategic investment approach for future </w:t>
      </w:r>
      <w:proofErr w:type="spellStart"/>
      <w:r w:rsidRPr="00EA7FE2">
        <w:t>NbS</w:t>
      </w:r>
      <w:proofErr w:type="spellEnd"/>
      <w:r w:rsidRPr="00EA7FE2">
        <w:t xml:space="preserve"> projects that align with Australia’s international development policy priorities. The evaluation was conducted between September 2023 and March 2024.</w:t>
      </w:r>
    </w:p>
    <w:p w14:paraId="60374BF0" w14:textId="77777777" w:rsidR="00EA7FE2" w:rsidRPr="00EA7FE2" w:rsidRDefault="00EA7FE2" w:rsidP="00B814D2">
      <w:r w:rsidRPr="00EA7FE2">
        <w:t xml:space="preserve">Lessons learned through the assessment will inform and shape the next phase of Australia’s support to </w:t>
      </w:r>
      <w:proofErr w:type="spellStart"/>
      <w:r w:rsidRPr="00EA7FE2">
        <w:t>NbS</w:t>
      </w:r>
      <w:proofErr w:type="spellEnd"/>
      <w:r w:rsidRPr="00EA7FE2">
        <w:t xml:space="preserve">, including recommendations on how DFAT’s </w:t>
      </w:r>
      <w:proofErr w:type="spellStart"/>
      <w:r w:rsidRPr="00EA7FE2">
        <w:t>NbS</w:t>
      </w:r>
      <w:proofErr w:type="spellEnd"/>
      <w:r w:rsidRPr="00EA7FE2">
        <w:t xml:space="preserve"> investments deliver, or could in a potential new phase be made to deliver, against Australia’s:</w:t>
      </w:r>
    </w:p>
    <w:p w14:paraId="12B1B381" w14:textId="5463D329" w:rsidR="00EA7FE2" w:rsidRPr="00EA7FE2" w:rsidRDefault="00EA7FE2" w:rsidP="0022045A">
      <w:pPr>
        <w:pStyle w:val="ListParagraph"/>
        <w:numPr>
          <w:ilvl w:val="0"/>
          <w:numId w:val="33"/>
        </w:numPr>
      </w:pPr>
      <w:r w:rsidRPr="00EA7FE2">
        <w:t>Climate finance commitments</w:t>
      </w:r>
      <w:r w:rsidR="0022045A">
        <w:br/>
      </w:r>
    </w:p>
    <w:p w14:paraId="23DB3FCB" w14:textId="43B6A62C" w:rsidR="00EA7FE2" w:rsidRPr="00EA7FE2" w:rsidRDefault="00EA7FE2" w:rsidP="0022045A">
      <w:pPr>
        <w:pStyle w:val="ListParagraph"/>
        <w:numPr>
          <w:ilvl w:val="0"/>
          <w:numId w:val="33"/>
        </w:numPr>
      </w:pPr>
      <w:r w:rsidRPr="00EA7FE2">
        <w:t>Nature finance commitments, and</w:t>
      </w:r>
      <w:r w:rsidR="0022045A">
        <w:br/>
      </w:r>
    </w:p>
    <w:p w14:paraId="2D2B26F0" w14:textId="402B5720" w:rsidR="00EA7FE2" w:rsidRPr="00EA7FE2" w:rsidRDefault="00EA7FE2" w:rsidP="0022045A">
      <w:pPr>
        <w:pStyle w:val="ListParagraph"/>
        <w:numPr>
          <w:ilvl w:val="0"/>
          <w:numId w:val="33"/>
        </w:numPr>
      </w:pPr>
      <w:r w:rsidRPr="00EA7FE2">
        <w:t>Development objectives, including gender equality, disability, and social inclusion (GEDSI) and engagement with First Nations.</w:t>
      </w:r>
    </w:p>
    <w:p w14:paraId="6B819702" w14:textId="77777777" w:rsidR="00EA7FE2" w:rsidRPr="00EA7FE2" w:rsidRDefault="00EA7FE2" w:rsidP="00B814D2">
      <w:r w:rsidRPr="00EA7FE2">
        <w:t>Where relevant, dependent on stated end of program outcomes (EOPOs), this includes consideration of how each investment is delivering against outcomes for livelihoods, climate, and biodiversity.</w:t>
      </w:r>
    </w:p>
    <w:p w14:paraId="658B0F0D" w14:textId="38BBCE06" w:rsidR="00EA7FE2" w:rsidRPr="00EA7FE2" w:rsidRDefault="00EA7FE2" w:rsidP="00B814D2">
      <w:r w:rsidRPr="00EA7FE2">
        <w:t>Given the strategic and thematic context of the evaluation that unites the investments as a group, the assessment has identified lessons of potential broader relevance alongside targeted recommendations on the value of each investment.</w:t>
      </w:r>
    </w:p>
    <w:p w14:paraId="22CD5225" w14:textId="77777777" w:rsidR="00EA7FE2" w:rsidRPr="00EA7FE2" w:rsidRDefault="00EA7FE2" w:rsidP="0022045A">
      <w:pPr>
        <w:pStyle w:val="Heading1"/>
      </w:pPr>
      <w:bookmarkStart w:id="25" w:name="_Toc164783041"/>
      <w:r w:rsidRPr="00EA7FE2">
        <w:t>NBS Context</w:t>
      </w:r>
      <w:bookmarkEnd w:id="25"/>
      <w:r w:rsidRPr="00EA7FE2">
        <w:tab/>
      </w:r>
    </w:p>
    <w:p w14:paraId="418F59D2" w14:textId="77777777" w:rsidR="00EA7FE2" w:rsidRPr="00EA7FE2" w:rsidRDefault="00EA7FE2" w:rsidP="00B814D2">
      <w:r w:rsidRPr="00EA7FE2">
        <w:t>Nature-based solutions (</w:t>
      </w:r>
      <w:proofErr w:type="spellStart"/>
      <w:r w:rsidRPr="00EA7FE2">
        <w:t>NbS</w:t>
      </w:r>
      <w:proofErr w:type="spellEnd"/>
      <w:r w:rsidRPr="00EA7FE2">
        <w:t>) have emerged as a critical and innovative approach to tackling the challenges posed by climate change. As the impacts of climate change become increasingly evident across the globe, there is a growing recognition of the need for holistic and sustainable strategies that not only mitigate greenhouse gas emissions but also enhance the resilience of ecosystems and communities. They form a critical component of Australia’s climate-resilient development programming because they can simultaneously mitigate carbon emissions, build disaster resilience, deliver biodiversity benefits and provide sustainable livelihoods.</w:t>
      </w:r>
    </w:p>
    <w:p w14:paraId="3375ABB3" w14:textId="77777777" w:rsidR="00EA7FE2" w:rsidRPr="00EA7FE2" w:rsidRDefault="00EA7FE2" w:rsidP="00B814D2">
      <w:r w:rsidRPr="00EA7FE2">
        <w:t>Australia has recently made significant commitments to increase its international finance for nature and climate. The country has joined the Joint Donor Statement on International Finance for Biodiversity and Nature, aligning with global efforts to enhance public finance for nature-positive projects. This commitment reflects Australia's dedication to integrating climate and biodiversity goals within the international development system and supporting the achievement of the Sustainable Development Goals.</w:t>
      </w:r>
    </w:p>
    <w:p w14:paraId="4448C6C5" w14:textId="3E1297F5" w:rsidR="00EA7FE2" w:rsidRPr="00EA7FE2" w:rsidRDefault="00EA7FE2" w:rsidP="00B814D2">
      <w:r w:rsidRPr="00EA7FE2">
        <w:t>Australia has also committed to increasing its climate financing</w:t>
      </w:r>
      <w:r w:rsidR="008E4908">
        <w:t xml:space="preserve">. </w:t>
      </w:r>
      <w:r w:rsidR="008E4908" w:rsidRPr="008E4908">
        <w:t>In 2023, Australia strengthened its previous climate finance commitment of $2 billion and is now expected to deliver $3 billion towards the global goal on climate finance over 2020 to 2025.</w:t>
      </w:r>
      <w:r w:rsidRPr="00EA7FE2">
        <w:t xml:space="preserve"> Australia’s Overseas Development Assistance (ODA) for climate in 202</w:t>
      </w:r>
      <w:r w:rsidR="000517C7">
        <w:t>2</w:t>
      </w:r>
      <w:r w:rsidRPr="00EA7FE2">
        <w:t>-2</w:t>
      </w:r>
      <w:r w:rsidR="000517C7">
        <w:t>3</w:t>
      </w:r>
      <w:r w:rsidRPr="00EA7FE2">
        <w:t xml:space="preserve"> amounts to over $</w:t>
      </w:r>
      <w:r w:rsidR="00B44089">
        <w:t>571</w:t>
      </w:r>
      <w:r w:rsidR="00B44089" w:rsidRPr="00EA7FE2">
        <w:t xml:space="preserve"> </w:t>
      </w:r>
      <w:r w:rsidRPr="00EA7FE2">
        <w:t xml:space="preserve">million, representing a significant increase from the previous year. By investing more in </w:t>
      </w:r>
      <w:proofErr w:type="spellStart"/>
      <w:r w:rsidRPr="00EA7FE2">
        <w:t>NbS</w:t>
      </w:r>
      <w:proofErr w:type="spellEnd"/>
      <w:r w:rsidRPr="00EA7FE2">
        <w:t>, DFAT aims to enhance both its climate and nature finance, aligning with Australia’s International Development Policy priorities.</w:t>
      </w:r>
    </w:p>
    <w:p w14:paraId="3E31F3E4" w14:textId="19C55A7B" w:rsidR="00EA7FE2" w:rsidRPr="00EA7FE2" w:rsidRDefault="00EA7FE2" w:rsidP="00B814D2">
      <w:r w:rsidRPr="00EA7FE2">
        <w:lastRenderedPageBreak/>
        <w:t xml:space="preserve">Despite the growing importance of </w:t>
      </w:r>
      <w:proofErr w:type="spellStart"/>
      <w:r w:rsidRPr="00EA7FE2">
        <w:t>NbS</w:t>
      </w:r>
      <w:proofErr w:type="spellEnd"/>
      <w:r w:rsidRPr="00EA7FE2">
        <w:t xml:space="preserve">, Australia does not currently have its own investment strategy in this sector. Most of the Australian Government's ODA investments in </w:t>
      </w:r>
      <w:proofErr w:type="spellStart"/>
      <w:r w:rsidRPr="00EA7FE2">
        <w:t>NbS</w:t>
      </w:r>
      <w:proofErr w:type="spellEnd"/>
      <w:r w:rsidRPr="00EA7FE2">
        <w:t xml:space="preserve"> are set to end in 2024-25, with previous investments and partnerships being selected on an ad hoc basis. Therefore, an evaluation of selected DFAT’s </w:t>
      </w:r>
      <w:proofErr w:type="spellStart"/>
      <w:r w:rsidRPr="00EA7FE2">
        <w:t>NbS</w:t>
      </w:r>
      <w:proofErr w:type="spellEnd"/>
      <w:r w:rsidRPr="00EA7FE2">
        <w:t xml:space="preserve"> investments was considered necessary to assess the effectiveness of current investments and determine the potential value of continued investment in </w:t>
      </w:r>
      <w:proofErr w:type="spellStart"/>
      <w:r w:rsidRPr="00EA7FE2">
        <w:t>NbS</w:t>
      </w:r>
      <w:proofErr w:type="spellEnd"/>
      <w:r w:rsidRPr="00EA7FE2">
        <w:t>. This evaluation will inform Australia's future strategy and investments in the sector.</w:t>
      </w:r>
    </w:p>
    <w:p w14:paraId="1D66466D" w14:textId="77777777" w:rsidR="00EA7FE2" w:rsidRPr="00EA7FE2" w:rsidRDefault="00EA7FE2" w:rsidP="00A0321E">
      <w:pPr>
        <w:pStyle w:val="Heading1"/>
      </w:pPr>
      <w:bookmarkStart w:id="26" w:name="_Toc164783042"/>
      <w:r w:rsidRPr="00EA7FE2">
        <w:t>Overview of selected NBS programs</w:t>
      </w:r>
      <w:bookmarkEnd w:id="26"/>
      <w:r w:rsidRPr="00EA7FE2">
        <w:t xml:space="preserve"> </w:t>
      </w:r>
      <w:r w:rsidRPr="00EA7FE2">
        <w:tab/>
      </w:r>
    </w:p>
    <w:p w14:paraId="155740CB" w14:textId="77777777" w:rsidR="00EA7FE2" w:rsidRPr="00EA7FE2" w:rsidRDefault="00EA7FE2" w:rsidP="00B814D2">
      <w:r w:rsidRPr="00EA7FE2">
        <w:t xml:space="preserve">To assess the effectiveness of current investments and inform the next phase of Australia's support to </w:t>
      </w:r>
      <w:proofErr w:type="spellStart"/>
      <w:r w:rsidRPr="00EA7FE2">
        <w:t>NbS</w:t>
      </w:r>
      <w:proofErr w:type="spellEnd"/>
      <w:r w:rsidRPr="00EA7FE2">
        <w:t xml:space="preserve">, the evaluation has focussed on three current investments identified by DFAT’s Climate Diplomacy and Development Finance Division (CSD) as investments with </w:t>
      </w:r>
      <w:proofErr w:type="spellStart"/>
      <w:r w:rsidRPr="00EA7FE2">
        <w:t>NbS</w:t>
      </w:r>
      <w:proofErr w:type="spellEnd"/>
      <w:r w:rsidRPr="00EA7FE2">
        <w:t xml:space="preserve"> as a relevant sector:</w:t>
      </w:r>
    </w:p>
    <w:p w14:paraId="4F5D5FD2" w14:textId="77777777" w:rsidR="00EA7FE2" w:rsidRPr="00A0321E" w:rsidRDefault="00EA7FE2" w:rsidP="00A0321E">
      <w:pPr>
        <w:pStyle w:val="Heading3"/>
      </w:pPr>
      <w:r w:rsidRPr="00A0321E">
        <w:t>1.</w:t>
      </w:r>
      <w:r w:rsidRPr="00A0321E">
        <w:tab/>
        <w:t>Climate Resilient by Nature (</w:t>
      </w:r>
      <w:proofErr w:type="spellStart"/>
      <w:r w:rsidRPr="00A0321E">
        <w:t>CRxN</w:t>
      </w:r>
      <w:proofErr w:type="spellEnd"/>
      <w:r w:rsidRPr="00A0321E">
        <w:t>)</w:t>
      </w:r>
    </w:p>
    <w:p w14:paraId="4C31DE58" w14:textId="77777777" w:rsidR="00EA7FE2" w:rsidRPr="00EA7FE2" w:rsidRDefault="00EA7FE2" w:rsidP="00B814D2">
      <w:proofErr w:type="spellStart"/>
      <w:r w:rsidRPr="00EA7FE2">
        <w:t>CRxN</w:t>
      </w:r>
      <w:proofErr w:type="spellEnd"/>
      <w:r w:rsidRPr="00EA7FE2">
        <w:t xml:space="preserve"> ($14.5 million, 2021-2025) is an Australian Government partnership with WWF-Australia. The investment aims to utilise nature-based solutions to build sustainable livelihoods in the Indo-Pacific. It has 10 projects supporting 20,000 people across 85 communities in the Pacific and Southeast Asia. A Knowledge Hub supports learning and collaboration across project partners.</w:t>
      </w:r>
    </w:p>
    <w:p w14:paraId="302BB4C1" w14:textId="77777777" w:rsidR="00EA7FE2" w:rsidRPr="00EA7FE2" w:rsidRDefault="00EA7FE2" w:rsidP="00B814D2">
      <w:r w:rsidRPr="00EA7FE2">
        <w:t xml:space="preserve">The </w:t>
      </w:r>
      <w:proofErr w:type="spellStart"/>
      <w:r w:rsidRPr="00EA7FE2">
        <w:t>CRxN</w:t>
      </w:r>
      <w:proofErr w:type="spellEnd"/>
      <w:r w:rsidRPr="00EA7FE2">
        <w:t xml:space="preserve"> End of Project Outcomes are:</w:t>
      </w:r>
    </w:p>
    <w:p w14:paraId="17C22157" w14:textId="66EA2C83" w:rsidR="00EA7FE2" w:rsidRPr="00EA7FE2" w:rsidRDefault="00EA7FE2" w:rsidP="00A0321E">
      <w:pPr>
        <w:pStyle w:val="ListParagraph"/>
        <w:numPr>
          <w:ilvl w:val="0"/>
          <w:numId w:val="34"/>
        </w:numPr>
      </w:pPr>
      <w:r w:rsidRPr="00A0321E">
        <w:rPr>
          <w:b/>
          <w:color w:val="1D336D" w:themeColor="background2"/>
        </w:rPr>
        <w:t>Outcome 1:</w:t>
      </w:r>
      <w:r w:rsidRPr="003B59F7">
        <w:rPr>
          <w:color w:val="1D336D" w:themeColor="background2"/>
        </w:rPr>
        <w:t xml:space="preserve"> </w:t>
      </w:r>
      <w:r w:rsidRPr="00EA7FE2">
        <w:t>More Pacific and Southeast Asian communities are deploying nature-based solutions to protect and restore critical ecosystems and build community resilience.</w:t>
      </w:r>
      <w:r w:rsidR="00A0321E">
        <w:br/>
      </w:r>
    </w:p>
    <w:p w14:paraId="0D85B630" w14:textId="25900FF6" w:rsidR="00EA7FE2" w:rsidRPr="00EA7FE2" w:rsidRDefault="00EA7FE2" w:rsidP="00A0321E">
      <w:pPr>
        <w:pStyle w:val="ListParagraph"/>
        <w:numPr>
          <w:ilvl w:val="0"/>
          <w:numId w:val="34"/>
        </w:numPr>
      </w:pPr>
      <w:r w:rsidRPr="00A0321E">
        <w:rPr>
          <w:b/>
          <w:color w:val="1D336D" w:themeColor="background2"/>
        </w:rPr>
        <w:t>Outcome 2:</w:t>
      </w:r>
      <w:r w:rsidRPr="003B59F7">
        <w:rPr>
          <w:color w:val="1D336D" w:themeColor="background2"/>
        </w:rPr>
        <w:t xml:space="preserve"> </w:t>
      </w:r>
      <w:r w:rsidRPr="00EA7FE2">
        <w:t xml:space="preserve">Progress towards new high integrity carbon markets linked to </w:t>
      </w:r>
      <w:proofErr w:type="spellStart"/>
      <w:r w:rsidRPr="00EA7FE2">
        <w:t>NbS</w:t>
      </w:r>
      <w:proofErr w:type="spellEnd"/>
      <w:r w:rsidRPr="00EA7FE2">
        <w:t xml:space="preserve"> investments.</w:t>
      </w:r>
      <w:r w:rsidR="00A0321E">
        <w:br/>
      </w:r>
    </w:p>
    <w:p w14:paraId="5DAB1006" w14:textId="7B617C76" w:rsidR="00EA7FE2" w:rsidRPr="00EA7FE2" w:rsidRDefault="00EA7FE2" w:rsidP="00A0321E">
      <w:pPr>
        <w:pStyle w:val="ListParagraph"/>
        <w:numPr>
          <w:ilvl w:val="0"/>
          <w:numId w:val="34"/>
        </w:numPr>
      </w:pPr>
      <w:r w:rsidRPr="00A0321E">
        <w:rPr>
          <w:b/>
          <w:color w:val="1D336D" w:themeColor="background2"/>
        </w:rPr>
        <w:t>Outcome 3:</w:t>
      </w:r>
      <w:r w:rsidRPr="003B59F7">
        <w:rPr>
          <w:color w:val="1D336D" w:themeColor="background2"/>
        </w:rPr>
        <w:t xml:space="preserve"> </w:t>
      </w:r>
      <w:r w:rsidRPr="00EA7FE2">
        <w:t xml:space="preserve">Communities access new and/or diversified livelihood opportunities through </w:t>
      </w:r>
      <w:proofErr w:type="spellStart"/>
      <w:r w:rsidRPr="00EA7FE2">
        <w:t>NbS</w:t>
      </w:r>
      <w:proofErr w:type="spellEnd"/>
      <w:r w:rsidRPr="00EA7FE2">
        <w:t>.</w:t>
      </w:r>
      <w:r w:rsidR="00A0321E">
        <w:br/>
      </w:r>
    </w:p>
    <w:p w14:paraId="0692A60D" w14:textId="4B20F9FF" w:rsidR="00EA7FE2" w:rsidRPr="00EA7FE2" w:rsidRDefault="00EA7FE2" w:rsidP="00A0321E">
      <w:pPr>
        <w:pStyle w:val="ListParagraph"/>
        <w:numPr>
          <w:ilvl w:val="0"/>
          <w:numId w:val="34"/>
        </w:numPr>
      </w:pPr>
      <w:r w:rsidRPr="00A0321E">
        <w:rPr>
          <w:b/>
          <w:color w:val="1D336D" w:themeColor="background2"/>
        </w:rPr>
        <w:t>Outcome 4:</w:t>
      </w:r>
      <w:r w:rsidRPr="003B59F7">
        <w:rPr>
          <w:color w:val="1D336D" w:themeColor="background2"/>
        </w:rPr>
        <w:t xml:space="preserve"> </w:t>
      </w:r>
      <w:r w:rsidRPr="00EA7FE2">
        <w:t xml:space="preserve">Increased engagement of governments, CSOs and private sector with </w:t>
      </w:r>
      <w:proofErr w:type="spellStart"/>
      <w:r w:rsidRPr="00EA7FE2">
        <w:t>NbS</w:t>
      </w:r>
      <w:proofErr w:type="spellEnd"/>
      <w:r w:rsidRPr="00EA7FE2">
        <w:t>.</w:t>
      </w:r>
      <w:r w:rsidR="00A0321E">
        <w:br/>
      </w:r>
    </w:p>
    <w:p w14:paraId="42F8FB77" w14:textId="2F3296E5" w:rsidR="00EA7FE2" w:rsidRPr="00EA7FE2" w:rsidRDefault="00EA7FE2" w:rsidP="00A0321E">
      <w:pPr>
        <w:pStyle w:val="ListParagraph"/>
        <w:numPr>
          <w:ilvl w:val="0"/>
          <w:numId w:val="34"/>
        </w:numPr>
      </w:pPr>
      <w:r w:rsidRPr="00A0321E">
        <w:rPr>
          <w:b/>
          <w:color w:val="1D336D" w:themeColor="background2"/>
        </w:rPr>
        <w:t xml:space="preserve">Outcome </w:t>
      </w:r>
      <w:r w:rsidRPr="00D2562A">
        <w:rPr>
          <w:b/>
          <w:bCs/>
          <w:color w:val="1D336D" w:themeColor="background2"/>
        </w:rPr>
        <w:t>5:</w:t>
      </w:r>
      <w:r w:rsidRPr="00EA7FE2">
        <w:t xml:space="preserve"> Women, youth, persons with disabilities and other potentially marginalised groups are benefitting from and more involved in decision-making related to </w:t>
      </w:r>
      <w:proofErr w:type="spellStart"/>
      <w:r w:rsidRPr="00EA7FE2">
        <w:t>NbS</w:t>
      </w:r>
      <w:proofErr w:type="spellEnd"/>
      <w:r w:rsidRPr="00EA7FE2">
        <w:t>.</w:t>
      </w:r>
    </w:p>
    <w:p w14:paraId="64D3EDA7" w14:textId="77777777" w:rsidR="00EA7FE2" w:rsidRPr="00A0321E" w:rsidRDefault="00EA7FE2" w:rsidP="00A0321E">
      <w:pPr>
        <w:pStyle w:val="Heading3"/>
      </w:pPr>
      <w:r w:rsidRPr="00A0321E">
        <w:t>2.</w:t>
      </w:r>
      <w:r w:rsidRPr="00A0321E">
        <w:tab/>
        <w:t>Pacific Blue Carbon Program</w:t>
      </w:r>
    </w:p>
    <w:p w14:paraId="31510F50" w14:textId="77777777" w:rsidR="00EA7FE2" w:rsidRPr="00EA7FE2" w:rsidRDefault="00EA7FE2" w:rsidP="00B814D2">
      <w:r w:rsidRPr="00EA7FE2">
        <w:t>Pacific Blue Carbon ($6.3 million, 2018-2024) is an Australian Government partnership with the Department of Industry, Science and Resources (DISR), Conservation International, the Climate Finance Lab and CSIRO to build capacity to protect and restore blue carbon ecosystems in Fiji and PNG. This includes to measure, report and verify carbon in mangroves and seagrasses to incorporate this information in countries’ greenhouse gas accounts, and climate and related policies. As part of this program, Conservation International is also developing blue carbon projects to demonstrate viability of carbon offsets through protection of marine ecosystems.</w:t>
      </w:r>
    </w:p>
    <w:p w14:paraId="62A5CC20" w14:textId="76318A45" w:rsidR="00EA7FE2" w:rsidRPr="00EA7FE2" w:rsidRDefault="00EA7FE2" w:rsidP="00B814D2">
      <w:r w:rsidRPr="00EA7FE2">
        <w:t>The Pacific Blue Carbon End of Project Outcomes are:</w:t>
      </w:r>
    </w:p>
    <w:p w14:paraId="0D94D626" w14:textId="0E1FCC56" w:rsidR="00EA7FE2" w:rsidRPr="00EA7FE2" w:rsidRDefault="00EA7FE2" w:rsidP="00A0321E">
      <w:pPr>
        <w:pStyle w:val="ListParagraph"/>
        <w:numPr>
          <w:ilvl w:val="0"/>
          <w:numId w:val="35"/>
        </w:numPr>
      </w:pPr>
      <w:r w:rsidRPr="00A0321E">
        <w:rPr>
          <w:b/>
          <w:color w:val="1D336D" w:themeColor="background2"/>
        </w:rPr>
        <w:t>Outcome 1:</w:t>
      </w:r>
      <w:r w:rsidRPr="003B59F7">
        <w:rPr>
          <w:color w:val="1D336D" w:themeColor="background2"/>
        </w:rPr>
        <w:t xml:space="preserve"> </w:t>
      </w:r>
      <w:r w:rsidRPr="00EA7FE2">
        <w:t>Catalyse the participation of Pacific Island governments and stakeholders in blue carbon ecosystem management as part of their efforts to address climate change.</w:t>
      </w:r>
      <w:r w:rsidR="00A0321E">
        <w:br/>
      </w:r>
    </w:p>
    <w:p w14:paraId="21E82036" w14:textId="3E80AF9A" w:rsidR="00EA7FE2" w:rsidRPr="00EA7FE2" w:rsidRDefault="00EA7FE2" w:rsidP="00A0321E">
      <w:pPr>
        <w:pStyle w:val="ListParagraph"/>
        <w:numPr>
          <w:ilvl w:val="0"/>
          <w:numId w:val="35"/>
        </w:numPr>
      </w:pPr>
      <w:r w:rsidRPr="00A0321E">
        <w:rPr>
          <w:b/>
          <w:color w:val="1D336D" w:themeColor="background2"/>
        </w:rPr>
        <w:t>Outcome 2:</w:t>
      </w:r>
      <w:r w:rsidRPr="003B59F7">
        <w:rPr>
          <w:color w:val="1D336D" w:themeColor="background2"/>
        </w:rPr>
        <w:t xml:space="preserve"> </w:t>
      </w:r>
      <w:r w:rsidRPr="00EA7FE2">
        <w:t>Contribute towards an enabling environment for future trading by Australia and the private sector in blue carbon credits.</w:t>
      </w:r>
      <w:r w:rsidR="00A0321E">
        <w:br/>
      </w:r>
    </w:p>
    <w:p w14:paraId="61287821" w14:textId="68B9EAC9" w:rsidR="00EA7FE2" w:rsidRPr="00EA7FE2" w:rsidRDefault="00EA7FE2" w:rsidP="00A0321E">
      <w:pPr>
        <w:pStyle w:val="ListParagraph"/>
        <w:numPr>
          <w:ilvl w:val="0"/>
          <w:numId w:val="35"/>
        </w:numPr>
      </w:pPr>
      <w:r w:rsidRPr="00A0321E">
        <w:rPr>
          <w:b/>
          <w:color w:val="1D336D" w:themeColor="background2"/>
        </w:rPr>
        <w:lastRenderedPageBreak/>
        <w:t>Outcome 3:</w:t>
      </w:r>
      <w:r w:rsidRPr="003B59F7">
        <w:rPr>
          <w:color w:val="1D336D" w:themeColor="background2"/>
        </w:rPr>
        <w:t xml:space="preserve"> </w:t>
      </w:r>
      <w:r w:rsidRPr="00EA7FE2">
        <w:t>Leverage international public and private finance for blue carbon ecosystem protection and restoration in the Pacific.</w:t>
      </w:r>
    </w:p>
    <w:p w14:paraId="163E3406" w14:textId="7A9E3307" w:rsidR="00EA7FE2" w:rsidRPr="00A0321E" w:rsidRDefault="00EA7FE2" w:rsidP="00A0321E">
      <w:pPr>
        <w:pStyle w:val="Heading3"/>
      </w:pPr>
      <w:r w:rsidRPr="00A0321E">
        <w:t xml:space="preserve"> 3.</w:t>
      </w:r>
      <w:r w:rsidRPr="00A0321E">
        <w:tab/>
      </w:r>
      <w:proofErr w:type="spellStart"/>
      <w:r w:rsidRPr="00A0321E">
        <w:t>ReefCloud</w:t>
      </w:r>
      <w:proofErr w:type="spellEnd"/>
    </w:p>
    <w:p w14:paraId="6B5E7855" w14:textId="1CE9784C" w:rsidR="00EA7FE2" w:rsidRPr="00EA7FE2" w:rsidRDefault="00EA7FE2" w:rsidP="00B814D2">
      <w:proofErr w:type="spellStart"/>
      <w:r w:rsidRPr="00EA7FE2">
        <w:t>ReefCloud</w:t>
      </w:r>
      <w:proofErr w:type="spellEnd"/>
      <w:r w:rsidRPr="00EA7FE2">
        <w:t xml:space="preserve"> ($6.6 million, 2023 – 2025) is an Australian Government partnership with the Australian Institute of Marine Science (AIMS). </w:t>
      </w:r>
      <w:proofErr w:type="spellStart"/>
      <w:r w:rsidRPr="00EA7FE2">
        <w:t>ReefCloud</w:t>
      </w:r>
      <w:proofErr w:type="spellEnd"/>
      <w:r w:rsidRPr="00EA7FE2">
        <w:t xml:space="preserve"> utilises artificial intelligence systems to allow local communities and </w:t>
      </w:r>
      <w:r w:rsidR="006551F0">
        <w:t>Indigenous</w:t>
      </w:r>
      <w:r w:rsidRPr="00EA7FE2">
        <w:t xml:space="preserve"> ranger groups to collect data on their reefs, upload them to cloud based systems and analyse them. The data will support governments to undertake management planning, including for high value ecosystems.</w:t>
      </w:r>
    </w:p>
    <w:p w14:paraId="223B50E3" w14:textId="77777777" w:rsidR="00EA7FE2" w:rsidRPr="00EA7FE2" w:rsidRDefault="00EA7FE2" w:rsidP="00B814D2">
      <w:proofErr w:type="spellStart"/>
      <w:r w:rsidRPr="00EA7FE2">
        <w:t>ReefCloud</w:t>
      </w:r>
      <w:proofErr w:type="spellEnd"/>
      <w:r w:rsidRPr="00EA7FE2">
        <w:t xml:space="preserve"> End of Project Outcomes are:</w:t>
      </w:r>
    </w:p>
    <w:p w14:paraId="4881915B" w14:textId="50E0DE3E" w:rsidR="00EA7FE2" w:rsidRPr="00EA7FE2" w:rsidRDefault="00EA7FE2" w:rsidP="00A0321E">
      <w:pPr>
        <w:pStyle w:val="ListParagraph"/>
        <w:numPr>
          <w:ilvl w:val="0"/>
          <w:numId w:val="36"/>
        </w:numPr>
      </w:pPr>
      <w:r w:rsidRPr="00A0321E">
        <w:rPr>
          <w:b/>
          <w:color w:val="1D336D" w:themeColor="background2"/>
        </w:rPr>
        <w:t>Outcome 1:</w:t>
      </w:r>
      <w:r w:rsidRPr="00A0321E">
        <w:rPr>
          <w:color w:val="1D336D" w:themeColor="background2"/>
        </w:rPr>
        <w:t xml:space="preserve"> </w:t>
      </w:r>
      <w:r w:rsidRPr="00EA7FE2">
        <w:t>On ground action: Pacific developing nations contribute to co-develop and pilot on- ground an effective coral reef monitoring platform.</w:t>
      </w:r>
      <w:r w:rsidR="00A0321E">
        <w:br/>
      </w:r>
    </w:p>
    <w:p w14:paraId="2DB22B8C" w14:textId="18CCE317" w:rsidR="00EA7FE2" w:rsidRPr="00EA7FE2" w:rsidRDefault="00EA7FE2" w:rsidP="00A0321E">
      <w:pPr>
        <w:pStyle w:val="ListParagraph"/>
        <w:numPr>
          <w:ilvl w:val="0"/>
          <w:numId w:val="36"/>
        </w:numPr>
      </w:pPr>
      <w:r w:rsidRPr="00A0321E">
        <w:rPr>
          <w:b/>
          <w:color w:val="1D336D" w:themeColor="background2"/>
        </w:rPr>
        <w:t>Outcome 2:</w:t>
      </w:r>
      <w:r w:rsidRPr="00A0321E">
        <w:rPr>
          <w:color w:val="1D336D" w:themeColor="background2"/>
        </w:rPr>
        <w:t xml:space="preserve"> </w:t>
      </w:r>
      <w:r w:rsidRPr="00EA7FE2">
        <w:t>Empowering people: Pacific coral reef scientists and managers are empowered to use integrated monitoring systems to report on the status of coral reefs.</w:t>
      </w:r>
      <w:r w:rsidR="00A0321E">
        <w:br/>
      </w:r>
    </w:p>
    <w:p w14:paraId="7A4D5A0D" w14:textId="611498FF" w:rsidR="00EA7FE2" w:rsidRPr="00EA7FE2" w:rsidRDefault="00EA7FE2" w:rsidP="00B814D2">
      <w:pPr>
        <w:pStyle w:val="ListParagraph"/>
        <w:numPr>
          <w:ilvl w:val="0"/>
          <w:numId w:val="36"/>
        </w:numPr>
      </w:pPr>
      <w:r w:rsidRPr="00A0321E">
        <w:rPr>
          <w:b/>
          <w:color w:val="1D336D" w:themeColor="background2"/>
        </w:rPr>
        <w:t>Outcome 3:</w:t>
      </w:r>
      <w:r w:rsidRPr="00A0321E">
        <w:rPr>
          <w:color w:val="1D336D" w:themeColor="background2"/>
        </w:rPr>
        <w:t xml:space="preserve"> </w:t>
      </w:r>
      <w:r w:rsidRPr="00EA7FE2">
        <w:t>Fostering collaboration: collaboration among Pacific stakeholders is fostered towards applying and scaling the integrated coral reef monitoring platform to a regional and global context.</w:t>
      </w:r>
    </w:p>
    <w:p w14:paraId="6F368FBD" w14:textId="77777777" w:rsidR="00EA7FE2" w:rsidRPr="00EA7FE2" w:rsidRDefault="00EA7FE2" w:rsidP="00A0321E">
      <w:pPr>
        <w:pStyle w:val="Heading1"/>
      </w:pPr>
      <w:bookmarkStart w:id="27" w:name="_Toc164783043"/>
      <w:r w:rsidRPr="00EA7FE2">
        <w:t>Methodology</w:t>
      </w:r>
      <w:bookmarkEnd w:id="27"/>
      <w:r w:rsidRPr="00EA7FE2">
        <w:t xml:space="preserve"> </w:t>
      </w:r>
      <w:r w:rsidRPr="00EA7FE2">
        <w:tab/>
      </w:r>
    </w:p>
    <w:p w14:paraId="61175709" w14:textId="77777777" w:rsidR="00EA7FE2" w:rsidRPr="00EA7FE2" w:rsidRDefault="00EA7FE2" w:rsidP="00B814D2">
      <w:r w:rsidRPr="00EA7FE2">
        <w:t>The evaluation utilised a mixed methods approach, combining document and literature review, semi- structured stakeholder interviews, and Pacific Research Methodologies. Field visits to Fiji, Solomon Islands, and Timor-Leste were undertaken, and included a minimum of one project site per investment. Research was largely qualitative, utilising quantitative secondary data where available and relevant, in particular looking at results achieved and at data disaggregated by sex, age, ability and group reached. A summary of the methodology used is provided below, with a detailed methodology provided in Annex 2.</w:t>
      </w:r>
    </w:p>
    <w:p w14:paraId="5772D3BA" w14:textId="77777777" w:rsidR="00EA7FE2" w:rsidRPr="00A0321E" w:rsidRDefault="00EA7FE2" w:rsidP="00A0321E">
      <w:pPr>
        <w:pStyle w:val="Heading3"/>
      </w:pPr>
      <w:r w:rsidRPr="00A0321E">
        <w:t>Document review</w:t>
      </w:r>
    </w:p>
    <w:p w14:paraId="6B317024" w14:textId="77777777" w:rsidR="00EA7FE2" w:rsidRPr="00EA7FE2" w:rsidRDefault="00EA7FE2" w:rsidP="00B814D2">
      <w:r w:rsidRPr="00EA7FE2">
        <w:t xml:space="preserve">The document review included the analysis of 83 documents. The review focused on primary literature provided to the evaluation team by DFAT and the respective program managers. Documents included DFAT policy and strategy documents, program documents including the design documents of each of the three investments, data gathered under the investment’s monitoring and evaluation (M&amp;E) systems, and investment monitoring reports (IMRs). The evaluation also reviewed recent publications on </w:t>
      </w:r>
      <w:proofErr w:type="spellStart"/>
      <w:r w:rsidRPr="00EA7FE2">
        <w:t>NbS</w:t>
      </w:r>
      <w:proofErr w:type="spellEnd"/>
      <w:r w:rsidRPr="00EA7FE2">
        <w:t xml:space="preserve"> globally and other grey literature including reports published by government, regional, and multilateral institutions, academic literature, and documents concerning other development programs as relevant. The document review helped to identify key issues ahead of the field visits and has provided the basis for factual data presented in this report. Please see Annex 5 for a full list of the public documents reviewed.</w:t>
      </w:r>
    </w:p>
    <w:p w14:paraId="62A812A8" w14:textId="77777777" w:rsidR="00EA7FE2" w:rsidRPr="00A0321E" w:rsidRDefault="00EA7FE2" w:rsidP="00A0321E">
      <w:pPr>
        <w:pStyle w:val="Heading3"/>
      </w:pPr>
      <w:r w:rsidRPr="00A0321E">
        <w:t>Key informant interviews</w:t>
      </w:r>
    </w:p>
    <w:p w14:paraId="189AF03C" w14:textId="32A2AFCA" w:rsidR="00EA7FE2" w:rsidRPr="00EA7FE2" w:rsidRDefault="00EA7FE2" w:rsidP="00B814D2">
      <w:r w:rsidRPr="00EA7FE2">
        <w:t>Semi-structured interviews were undertaken with 28</w:t>
      </w:r>
      <w:r w:rsidR="00152F9A">
        <w:t>3</w:t>
      </w:r>
      <w:r w:rsidRPr="00EA7FE2">
        <w:t xml:space="preserve"> individuals (112 women, 171 men). Key informants comprised 7 DFAT staff, 6 partner government representatives, 47 program managers and implementing partners, and 209 community members currently engaged with the </w:t>
      </w:r>
      <w:proofErr w:type="spellStart"/>
      <w:r w:rsidRPr="00EA7FE2">
        <w:t>NbS</w:t>
      </w:r>
      <w:proofErr w:type="spellEnd"/>
      <w:r w:rsidRPr="00EA7FE2">
        <w:t xml:space="preserve"> investments. A full list of interviews conducted is available in Annex 3.</w:t>
      </w:r>
    </w:p>
    <w:p w14:paraId="71203490" w14:textId="77777777" w:rsidR="00EA7FE2" w:rsidRPr="00EA7FE2" w:rsidRDefault="00EA7FE2" w:rsidP="00B814D2">
      <w:r w:rsidRPr="00EA7FE2">
        <w:lastRenderedPageBreak/>
        <w:t>Notes were taken for each Key Informant Interview (KII) or Focus Group Discussion (FGD), coded and analysed against the Key Evaluation Questions (KEQs), and are reflected in the evaluation findings. KEQs are available in Annex 1.</w:t>
      </w:r>
    </w:p>
    <w:p w14:paraId="0352C59F" w14:textId="015875C1" w:rsidR="00EA7FE2" w:rsidRPr="0095562B" w:rsidRDefault="00EA7FE2" w:rsidP="0095562B">
      <w:pPr>
        <w:pStyle w:val="Heading3"/>
      </w:pPr>
      <w:r w:rsidRPr="0095562B">
        <w:t>Field visit</w:t>
      </w:r>
    </w:p>
    <w:p w14:paraId="16B5C39F" w14:textId="77777777" w:rsidR="00EA7FE2" w:rsidRPr="00EA7FE2" w:rsidRDefault="00EA7FE2" w:rsidP="00B814D2">
      <w:r w:rsidRPr="00EA7FE2">
        <w:t>In collaboration with DFAT and program managers, a purposive sampling method was employed in the selection of project site visits. The selection was based on several factors, including the progress of the projects, their accessibility in terms of location, and the availability of project stakeholders. Additionally, time and safety constraints due to the onset of cyclone season influenced the sites that were ultimately chosen.</w:t>
      </w:r>
    </w:p>
    <w:p w14:paraId="561E6222" w14:textId="77777777" w:rsidR="00EA7FE2" w:rsidRPr="00EA7FE2" w:rsidRDefault="00EA7FE2" w:rsidP="00B814D2">
      <w:r w:rsidRPr="00EA7FE2">
        <w:t xml:space="preserve">It is important to mention that although Australia's international investments in </w:t>
      </w:r>
      <w:proofErr w:type="spellStart"/>
      <w:r w:rsidRPr="00EA7FE2">
        <w:t>NbS</w:t>
      </w:r>
      <w:proofErr w:type="spellEnd"/>
      <w:r w:rsidRPr="00EA7FE2">
        <w:t xml:space="preserve"> are currently being implemented in Southeast Asia and the Pacific, the evaluation has a strong geographical focus on the Pacific region. While </w:t>
      </w:r>
      <w:proofErr w:type="spellStart"/>
      <w:r w:rsidRPr="00EA7FE2">
        <w:t>NbS</w:t>
      </w:r>
      <w:proofErr w:type="spellEnd"/>
      <w:r w:rsidRPr="00EA7FE2">
        <w:t xml:space="preserve"> are vital for enhancing climate resilience in Southeast Asia, time constraints prevented the evaluation team from conducting site visits to projects underway in the Mekong region. To supplement the evaluation, independent interviews were conducted with stakeholders who had visited the Mekong project sites.</w:t>
      </w:r>
    </w:p>
    <w:p w14:paraId="66A7951B" w14:textId="77777777" w:rsidR="00EA7FE2" w:rsidRPr="00EA7FE2" w:rsidRDefault="00EA7FE2" w:rsidP="00B814D2">
      <w:r w:rsidRPr="00EA7FE2">
        <w:t xml:space="preserve">The Pacific field visit covered three countries and 11 project sites: </w:t>
      </w:r>
    </w:p>
    <w:p w14:paraId="46101615" w14:textId="126457E3" w:rsidR="00EA7FE2" w:rsidRPr="00EA7FE2" w:rsidRDefault="00EA7FE2" w:rsidP="00945290">
      <w:pPr>
        <w:pStyle w:val="ListParagraph"/>
        <w:numPr>
          <w:ilvl w:val="0"/>
          <w:numId w:val="37"/>
        </w:numPr>
      </w:pPr>
      <w:r w:rsidRPr="00EA7FE2">
        <w:t xml:space="preserve">In </w:t>
      </w:r>
      <w:r w:rsidRPr="00945290">
        <w:rPr>
          <w:b/>
          <w:color w:val="1D336D" w:themeColor="background2"/>
        </w:rPr>
        <w:t>Fiji</w:t>
      </w:r>
      <w:r w:rsidRPr="00EA7FE2">
        <w:t>, 1 site was visited (in Ra Province). Additional sites had been planned for review</w:t>
      </w:r>
      <w:r w:rsidR="00644DB8">
        <w:t>;</w:t>
      </w:r>
      <w:r w:rsidRPr="00EA7FE2">
        <w:t xml:space="preserve"> however</w:t>
      </w:r>
      <w:r w:rsidR="00644DB8">
        <w:t>,</w:t>
      </w:r>
      <w:r w:rsidRPr="00EA7FE2">
        <w:t xml:space="preserve"> visits were prevented due to tropical cyclone Mal. </w:t>
      </w:r>
      <w:r w:rsidR="00945290">
        <w:br/>
      </w:r>
    </w:p>
    <w:p w14:paraId="722C0555" w14:textId="6C2A5512" w:rsidR="00EA7FE2" w:rsidRPr="00EA7FE2" w:rsidRDefault="00EA7FE2" w:rsidP="00945290">
      <w:pPr>
        <w:pStyle w:val="ListParagraph"/>
        <w:numPr>
          <w:ilvl w:val="0"/>
          <w:numId w:val="37"/>
        </w:numPr>
      </w:pPr>
      <w:r w:rsidRPr="00EA7FE2">
        <w:t xml:space="preserve">In </w:t>
      </w:r>
      <w:r w:rsidRPr="00945290">
        <w:rPr>
          <w:b/>
          <w:color w:val="1D336D" w:themeColor="background2"/>
        </w:rPr>
        <w:t>Solomon Islands</w:t>
      </w:r>
      <w:r w:rsidRPr="00EA7FE2">
        <w:t>, 6 sites were visited (4 in North Malaita and 2 in South Malaita)</w:t>
      </w:r>
      <w:r w:rsidR="00945290">
        <w:br/>
      </w:r>
    </w:p>
    <w:p w14:paraId="1DD588B0" w14:textId="4627E906" w:rsidR="00EA7FE2" w:rsidRPr="00EA7FE2" w:rsidRDefault="00EA7FE2" w:rsidP="00945290">
      <w:pPr>
        <w:pStyle w:val="ListParagraph"/>
        <w:numPr>
          <w:ilvl w:val="0"/>
          <w:numId w:val="37"/>
        </w:numPr>
      </w:pPr>
      <w:r w:rsidRPr="00EA7FE2">
        <w:t xml:space="preserve">In </w:t>
      </w:r>
      <w:r w:rsidRPr="00945290">
        <w:rPr>
          <w:b/>
          <w:color w:val="1D336D" w:themeColor="background2"/>
        </w:rPr>
        <w:t>Timor-Leste</w:t>
      </w:r>
      <w:r w:rsidRPr="00EA7FE2">
        <w:t xml:space="preserve">, 4 sites were visited (2 in </w:t>
      </w:r>
      <w:proofErr w:type="spellStart"/>
      <w:r w:rsidRPr="00EA7FE2">
        <w:t>Viqueque</w:t>
      </w:r>
      <w:proofErr w:type="spellEnd"/>
      <w:r w:rsidRPr="00EA7FE2">
        <w:t xml:space="preserve"> and 2 in </w:t>
      </w:r>
      <w:proofErr w:type="spellStart"/>
      <w:r w:rsidRPr="00EA7FE2">
        <w:t>Baucau</w:t>
      </w:r>
      <w:proofErr w:type="spellEnd"/>
      <w:r w:rsidRPr="00EA7FE2">
        <w:t>).</w:t>
      </w:r>
    </w:p>
    <w:p w14:paraId="5346B41B" w14:textId="1504D75F" w:rsidR="00EA7FE2" w:rsidRDefault="00EA7FE2" w:rsidP="00B814D2">
      <w:r w:rsidRPr="00EA7FE2">
        <w:t xml:space="preserve">A full list of projects visits is presented within Table 1 below. </w:t>
      </w:r>
      <w:r w:rsidR="00945290">
        <w:br/>
      </w:r>
    </w:p>
    <w:p w14:paraId="47D663C3" w14:textId="65262BAF" w:rsidR="00945290" w:rsidRPr="002352A1" w:rsidRDefault="00945290" w:rsidP="00945290">
      <w:pPr>
        <w:pStyle w:val="CVHeadingSmall"/>
        <w:rPr>
          <w:rFonts w:eastAsiaTheme="majorEastAsia" w:cs="Calibri"/>
          <w:iCs/>
          <w:sz w:val="22"/>
          <w:szCs w:val="18"/>
          <w:lang w:eastAsia="en-AU"/>
        </w:rPr>
      </w:pPr>
      <w:r w:rsidRPr="002352A1">
        <w:rPr>
          <w:rFonts w:eastAsiaTheme="majorEastAsia" w:cs="Calibri"/>
          <w:iCs/>
          <w:sz w:val="22"/>
          <w:szCs w:val="18"/>
          <w:lang w:eastAsia="en-AU"/>
        </w:rPr>
        <w:t xml:space="preserve">Table </w:t>
      </w:r>
      <w:r w:rsidRPr="002352A1">
        <w:rPr>
          <w:rFonts w:eastAsiaTheme="majorEastAsia" w:cs="Calibri"/>
          <w:iCs/>
          <w:sz w:val="22"/>
          <w:szCs w:val="18"/>
          <w:lang w:eastAsia="en-AU"/>
        </w:rPr>
        <w:fldChar w:fldCharType="begin"/>
      </w:r>
      <w:r w:rsidRPr="002352A1">
        <w:rPr>
          <w:rFonts w:eastAsiaTheme="majorEastAsia" w:cs="Calibri"/>
          <w:iCs/>
          <w:sz w:val="22"/>
          <w:szCs w:val="18"/>
          <w:lang w:eastAsia="en-AU"/>
        </w:rPr>
        <w:instrText xml:space="preserve"> SEQ Table \* ARABIC </w:instrText>
      </w:r>
      <w:r w:rsidRPr="002352A1">
        <w:rPr>
          <w:rFonts w:eastAsiaTheme="majorEastAsia" w:cs="Calibri"/>
          <w:iCs/>
          <w:sz w:val="22"/>
          <w:szCs w:val="18"/>
          <w:lang w:eastAsia="en-AU"/>
        </w:rPr>
        <w:fldChar w:fldCharType="separate"/>
      </w:r>
      <w:r w:rsidR="003103FE">
        <w:rPr>
          <w:rFonts w:eastAsiaTheme="majorEastAsia" w:cs="Calibri"/>
          <w:iCs/>
          <w:noProof/>
          <w:sz w:val="22"/>
          <w:szCs w:val="18"/>
          <w:lang w:eastAsia="en-AU"/>
        </w:rPr>
        <w:t>1</w:t>
      </w:r>
      <w:r w:rsidRPr="002352A1">
        <w:rPr>
          <w:rFonts w:eastAsiaTheme="majorEastAsia" w:cs="Calibri"/>
          <w:iCs/>
          <w:sz w:val="22"/>
          <w:szCs w:val="18"/>
          <w:lang w:eastAsia="en-AU"/>
        </w:rPr>
        <w:fldChar w:fldCharType="end"/>
      </w:r>
      <w:r w:rsidRPr="002352A1">
        <w:rPr>
          <w:rFonts w:eastAsiaTheme="majorEastAsia" w:cs="Calibri"/>
          <w:iCs/>
          <w:sz w:val="22"/>
          <w:szCs w:val="18"/>
          <w:lang w:eastAsia="en-AU"/>
        </w:rPr>
        <w:t>: Project site visits</w:t>
      </w:r>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1134"/>
        <w:gridCol w:w="1843"/>
        <w:gridCol w:w="4961"/>
        <w:gridCol w:w="1690"/>
      </w:tblGrid>
      <w:tr w:rsidR="00D72EF9" w14:paraId="1AF2F963" w14:textId="77777777" w:rsidTr="001553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34" w:type="dxa"/>
          </w:tcPr>
          <w:p w14:paraId="4BAAF876" w14:textId="5C7019D2" w:rsidR="00802D98" w:rsidRPr="00C32808" w:rsidRDefault="00802D98" w:rsidP="00B814D2">
            <w:pPr>
              <w:rPr>
                <w:b/>
                <w:bCs/>
                <w:color w:val="1D336D" w:themeColor="background2"/>
              </w:rPr>
            </w:pPr>
            <w:r w:rsidRPr="00C32808">
              <w:rPr>
                <w:b/>
                <w:bCs/>
                <w:color w:val="1D336D" w:themeColor="background2"/>
              </w:rPr>
              <w:t>Country</w:t>
            </w:r>
          </w:p>
        </w:tc>
        <w:tc>
          <w:tcPr>
            <w:tcW w:w="1843" w:type="dxa"/>
            <w:shd w:val="clear" w:color="auto" w:fill="F2F2F2" w:themeFill="background1" w:themeFillShade="F2"/>
          </w:tcPr>
          <w:p w14:paraId="790AA772" w14:textId="59709414" w:rsidR="00802D98" w:rsidRPr="00C32808" w:rsidRDefault="00802D98" w:rsidP="00B814D2">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sidRPr="00C32808">
              <w:rPr>
                <w:b/>
                <w:bCs/>
                <w:color w:val="1D336D" w:themeColor="background2"/>
              </w:rPr>
              <w:t>Investment</w:t>
            </w:r>
          </w:p>
        </w:tc>
        <w:tc>
          <w:tcPr>
            <w:tcW w:w="4961" w:type="dxa"/>
            <w:shd w:val="clear" w:color="auto" w:fill="F2F2F2" w:themeFill="background1" w:themeFillShade="F2"/>
          </w:tcPr>
          <w:p w14:paraId="28C6C5CA" w14:textId="168F6265" w:rsidR="00802D98" w:rsidRPr="00C32808" w:rsidRDefault="00802D98" w:rsidP="00B814D2">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sidRPr="00C32808">
              <w:rPr>
                <w:b/>
                <w:bCs/>
                <w:color w:val="1D336D" w:themeColor="background2"/>
              </w:rPr>
              <w:t>Project</w:t>
            </w:r>
          </w:p>
        </w:tc>
        <w:tc>
          <w:tcPr>
            <w:tcW w:w="1690" w:type="dxa"/>
            <w:shd w:val="clear" w:color="auto" w:fill="F2F2F2" w:themeFill="background1" w:themeFillShade="F2"/>
          </w:tcPr>
          <w:p w14:paraId="6C9E9625" w14:textId="5162CA02" w:rsidR="00802D98" w:rsidRPr="00C32808" w:rsidRDefault="00802D98" w:rsidP="00B814D2">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sidRPr="00C32808">
              <w:rPr>
                <w:b/>
                <w:bCs/>
                <w:color w:val="1D336D" w:themeColor="background2"/>
              </w:rPr>
              <w:t>Project location</w:t>
            </w:r>
          </w:p>
        </w:tc>
      </w:tr>
      <w:tr w:rsidR="005C10CE" w14:paraId="49B6DABB"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76560CD3" w14:textId="1FD62D37" w:rsidR="00802D98" w:rsidRPr="00EB5812" w:rsidRDefault="00C818A6" w:rsidP="00B814D2">
            <w:pPr>
              <w:rPr>
                <w:b/>
                <w:bCs/>
                <w:color w:val="1D336D" w:themeColor="background2"/>
              </w:rPr>
            </w:pPr>
            <w:r w:rsidRPr="00EB5812">
              <w:rPr>
                <w:b/>
                <w:bCs/>
                <w:color w:val="1D336D" w:themeColor="background2"/>
              </w:rPr>
              <w:t>Fiji</w:t>
            </w:r>
          </w:p>
        </w:tc>
        <w:tc>
          <w:tcPr>
            <w:tcW w:w="1843" w:type="dxa"/>
            <w:shd w:val="clear" w:color="auto" w:fill="auto"/>
          </w:tcPr>
          <w:p w14:paraId="5E36EDE4" w14:textId="64E18FA5" w:rsidR="00802D98" w:rsidRPr="00EB5812" w:rsidRDefault="00C818A6"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B5812">
              <w:rPr>
                <w:i/>
                <w:iCs/>
                <w:color w:val="1D336D" w:themeColor="background2"/>
              </w:rPr>
              <w:t>Pacific Blue Carbon Program</w:t>
            </w:r>
          </w:p>
        </w:tc>
        <w:tc>
          <w:tcPr>
            <w:tcW w:w="4961" w:type="dxa"/>
            <w:shd w:val="clear" w:color="auto" w:fill="auto"/>
          </w:tcPr>
          <w:p w14:paraId="7C512BC0" w14:textId="0ED24A4E" w:rsidR="00802D98" w:rsidRPr="00EB5812" w:rsidRDefault="00C818A6"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B5812">
              <w:rPr>
                <w:i/>
                <w:iCs/>
                <w:color w:val="1D336D" w:themeColor="background2"/>
              </w:rPr>
              <w:t>Blue Carbon Pilot Project in Fiji: Adaptation and Mitigation Outcomes for Resilient Island Communities</w:t>
            </w:r>
          </w:p>
        </w:tc>
        <w:tc>
          <w:tcPr>
            <w:tcW w:w="1690" w:type="dxa"/>
            <w:shd w:val="clear" w:color="auto" w:fill="auto"/>
          </w:tcPr>
          <w:p w14:paraId="5108627B" w14:textId="3CE6054B" w:rsidR="00802D98" w:rsidRPr="00EB5812" w:rsidRDefault="0004598B"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B5812">
              <w:rPr>
                <w:i/>
                <w:iCs/>
                <w:color w:val="1D336D" w:themeColor="background2"/>
              </w:rPr>
              <w:t xml:space="preserve">Community of </w:t>
            </w:r>
            <w:proofErr w:type="spellStart"/>
            <w:r w:rsidRPr="00EB5812">
              <w:rPr>
                <w:i/>
                <w:iCs/>
                <w:color w:val="1D336D" w:themeColor="background2"/>
              </w:rPr>
              <w:t>Barotu</w:t>
            </w:r>
            <w:proofErr w:type="spellEnd"/>
            <w:r w:rsidRPr="00EB5812">
              <w:rPr>
                <w:i/>
                <w:iCs/>
                <w:color w:val="1D336D" w:themeColor="background2"/>
              </w:rPr>
              <w:t xml:space="preserve"> </w:t>
            </w:r>
          </w:p>
        </w:tc>
      </w:tr>
      <w:tr w:rsidR="00267445" w14:paraId="7D8EE4C9" w14:textId="77777777" w:rsidTr="006E7363">
        <w:tc>
          <w:tcPr>
            <w:cnfStyle w:val="001000000000" w:firstRow="0" w:lastRow="0" w:firstColumn="1" w:lastColumn="0" w:oddVBand="0" w:evenVBand="0" w:oddHBand="0" w:evenHBand="0" w:firstRowFirstColumn="0" w:firstRowLastColumn="0" w:lastRowFirstColumn="0" w:lastRowLastColumn="0"/>
            <w:tcW w:w="1134" w:type="dxa"/>
          </w:tcPr>
          <w:p w14:paraId="06F20DCE" w14:textId="691C39CB" w:rsidR="00802D98" w:rsidRPr="00EB5812" w:rsidRDefault="0004598B" w:rsidP="00B814D2">
            <w:pPr>
              <w:rPr>
                <w:b/>
                <w:bCs/>
                <w:color w:val="1D336D" w:themeColor="background2"/>
              </w:rPr>
            </w:pPr>
            <w:r w:rsidRPr="00EB5812">
              <w:rPr>
                <w:b/>
                <w:bCs/>
                <w:color w:val="1D336D" w:themeColor="background2"/>
              </w:rPr>
              <w:t>Solomon Islands</w:t>
            </w:r>
          </w:p>
        </w:tc>
        <w:tc>
          <w:tcPr>
            <w:tcW w:w="1843" w:type="dxa"/>
            <w:shd w:val="clear" w:color="auto" w:fill="F2F2F2" w:themeFill="background1" w:themeFillShade="F2"/>
          </w:tcPr>
          <w:p w14:paraId="0F085176" w14:textId="4A6B0672" w:rsidR="00802D98"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proofErr w:type="spellStart"/>
            <w:r w:rsidRPr="00EB5812">
              <w:rPr>
                <w:i/>
                <w:iCs/>
                <w:color w:val="1D336D" w:themeColor="background2"/>
              </w:rPr>
              <w:t>CRxN</w:t>
            </w:r>
            <w:proofErr w:type="spellEnd"/>
          </w:p>
        </w:tc>
        <w:tc>
          <w:tcPr>
            <w:tcW w:w="4961" w:type="dxa"/>
            <w:shd w:val="clear" w:color="auto" w:fill="F2F2F2" w:themeFill="background1" w:themeFillShade="F2"/>
          </w:tcPr>
          <w:p w14:paraId="4D29C321" w14:textId="7F1B7ADC" w:rsidR="00802D98"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EB5812">
              <w:rPr>
                <w:i/>
                <w:iCs/>
                <w:color w:val="1D336D" w:themeColor="background2"/>
              </w:rPr>
              <w:t>Farmer Managed Natural Regeneration (FMNR) of mangroves and tropical forests</w:t>
            </w:r>
          </w:p>
        </w:tc>
        <w:tc>
          <w:tcPr>
            <w:tcW w:w="1690" w:type="dxa"/>
            <w:shd w:val="clear" w:color="auto" w:fill="F2F2F2" w:themeFill="background1" w:themeFillShade="F2"/>
          </w:tcPr>
          <w:p w14:paraId="562FA9B8" w14:textId="07BFC8C5" w:rsidR="00802D98"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EB5812">
              <w:rPr>
                <w:i/>
                <w:iCs/>
                <w:color w:val="1D336D" w:themeColor="background2"/>
              </w:rPr>
              <w:t xml:space="preserve">Community of </w:t>
            </w:r>
            <w:proofErr w:type="spellStart"/>
            <w:r w:rsidRPr="00EB5812">
              <w:rPr>
                <w:i/>
                <w:iCs/>
                <w:color w:val="1D336D" w:themeColor="background2"/>
              </w:rPr>
              <w:t>Sulagwahu</w:t>
            </w:r>
            <w:proofErr w:type="spellEnd"/>
          </w:p>
        </w:tc>
      </w:tr>
      <w:tr w:rsidR="005C10CE" w14:paraId="7FF1F740"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DEBF744" w14:textId="4DB4504D" w:rsidR="00802D98" w:rsidRPr="00EB5812" w:rsidRDefault="0004598B" w:rsidP="00B814D2">
            <w:pPr>
              <w:rPr>
                <w:b/>
                <w:bCs/>
                <w:color w:val="1D336D" w:themeColor="background2"/>
              </w:rPr>
            </w:pPr>
            <w:r w:rsidRPr="00EB5812">
              <w:rPr>
                <w:b/>
                <w:bCs/>
                <w:color w:val="1D336D" w:themeColor="background2"/>
              </w:rPr>
              <w:t>Solomon Islands</w:t>
            </w:r>
          </w:p>
        </w:tc>
        <w:tc>
          <w:tcPr>
            <w:tcW w:w="1843" w:type="dxa"/>
            <w:shd w:val="clear" w:color="auto" w:fill="auto"/>
          </w:tcPr>
          <w:p w14:paraId="1079DC79" w14:textId="0CC2262C" w:rsidR="00802D98" w:rsidRPr="00EB5812" w:rsidRDefault="0004598B"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proofErr w:type="spellStart"/>
            <w:r w:rsidRPr="00EB5812">
              <w:rPr>
                <w:i/>
                <w:iCs/>
                <w:color w:val="1D336D" w:themeColor="background2"/>
              </w:rPr>
              <w:t>CRxN</w:t>
            </w:r>
            <w:proofErr w:type="spellEnd"/>
          </w:p>
        </w:tc>
        <w:tc>
          <w:tcPr>
            <w:tcW w:w="4961" w:type="dxa"/>
            <w:shd w:val="clear" w:color="auto" w:fill="auto"/>
          </w:tcPr>
          <w:p w14:paraId="2E0BCFAC" w14:textId="7C664261" w:rsidR="00802D98" w:rsidRPr="00EB5812" w:rsidRDefault="0004598B"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B5812">
              <w:rPr>
                <w:i/>
                <w:iCs/>
                <w:color w:val="1D336D" w:themeColor="background2"/>
              </w:rPr>
              <w:t>Farmer Managed Natural Regeneration (FMNR) of mangroves and tropical forests</w:t>
            </w:r>
          </w:p>
        </w:tc>
        <w:tc>
          <w:tcPr>
            <w:tcW w:w="1690" w:type="dxa"/>
            <w:shd w:val="clear" w:color="auto" w:fill="auto"/>
          </w:tcPr>
          <w:p w14:paraId="162AB86D" w14:textId="2ED21697" w:rsidR="00802D98" w:rsidRPr="00EB5812" w:rsidRDefault="0004598B"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B5812">
              <w:rPr>
                <w:i/>
                <w:iCs/>
                <w:color w:val="1D336D" w:themeColor="background2"/>
              </w:rPr>
              <w:t xml:space="preserve">Community of </w:t>
            </w:r>
            <w:proofErr w:type="spellStart"/>
            <w:r w:rsidRPr="00EB5812">
              <w:rPr>
                <w:i/>
                <w:iCs/>
                <w:color w:val="1D336D" w:themeColor="background2"/>
              </w:rPr>
              <w:t>A'ama</w:t>
            </w:r>
            <w:proofErr w:type="spellEnd"/>
          </w:p>
        </w:tc>
      </w:tr>
      <w:tr w:rsidR="00267445" w14:paraId="7E0C8074" w14:textId="77777777" w:rsidTr="006E7363">
        <w:tc>
          <w:tcPr>
            <w:cnfStyle w:val="001000000000" w:firstRow="0" w:lastRow="0" w:firstColumn="1" w:lastColumn="0" w:oddVBand="0" w:evenVBand="0" w:oddHBand="0" w:evenHBand="0" w:firstRowFirstColumn="0" w:firstRowLastColumn="0" w:lastRowFirstColumn="0" w:lastRowLastColumn="0"/>
            <w:tcW w:w="1134" w:type="dxa"/>
          </w:tcPr>
          <w:p w14:paraId="00A7414C" w14:textId="3C8F840E" w:rsidR="00802D98" w:rsidRPr="00EB5812" w:rsidRDefault="0004598B" w:rsidP="00B814D2">
            <w:pPr>
              <w:rPr>
                <w:b/>
                <w:bCs/>
                <w:color w:val="1D336D" w:themeColor="background2"/>
              </w:rPr>
            </w:pPr>
            <w:r w:rsidRPr="00EB5812">
              <w:rPr>
                <w:b/>
                <w:bCs/>
                <w:color w:val="1D336D" w:themeColor="background2"/>
              </w:rPr>
              <w:t>Solomon Islands</w:t>
            </w:r>
          </w:p>
        </w:tc>
        <w:tc>
          <w:tcPr>
            <w:tcW w:w="1843" w:type="dxa"/>
            <w:shd w:val="clear" w:color="auto" w:fill="F2F2F2" w:themeFill="background1" w:themeFillShade="F2"/>
          </w:tcPr>
          <w:p w14:paraId="2B80BB94" w14:textId="66DC1F14" w:rsidR="00802D98"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proofErr w:type="spellStart"/>
            <w:r w:rsidRPr="00EB5812">
              <w:rPr>
                <w:i/>
                <w:iCs/>
                <w:color w:val="1D336D" w:themeColor="background2"/>
              </w:rPr>
              <w:t>CRxN</w:t>
            </w:r>
            <w:proofErr w:type="spellEnd"/>
          </w:p>
        </w:tc>
        <w:tc>
          <w:tcPr>
            <w:tcW w:w="4961" w:type="dxa"/>
            <w:shd w:val="clear" w:color="auto" w:fill="F2F2F2" w:themeFill="background1" w:themeFillShade="F2"/>
          </w:tcPr>
          <w:p w14:paraId="04A8F4BD" w14:textId="7B0E905A" w:rsidR="00802D98"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EB5812">
              <w:rPr>
                <w:i/>
                <w:iCs/>
                <w:color w:val="1D336D" w:themeColor="background2"/>
              </w:rPr>
              <w:t>Farmer Managed Natural Regeneration (FMNR) of mangroves and tropical forests</w:t>
            </w:r>
          </w:p>
        </w:tc>
        <w:tc>
          <w:tcPr>
            <w:tcW w:w="1690" w:type="dxa"/>
            <w:shd w:val="clear" w:color="auto" w:fill="F2F2F2" w:themeFill="background1" w:themeFillShade="F2"/>
          </w:tcPr>
          <w:p w14:paraId="60C198B7" w14:textId="56062835" w:rsidR="00802D98"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EB5812">
              <w:rPr>
                <w:i/>
                <w:iCs/>
                <w:color w:val="1D336D" w:themeColor="background2"/>
              </w:rPr>
              <w:t xml:space="preserve">Community of </w:t>
            </w:r>
            <w:proofErr w:type="spellStart"/>
            <w:r w:rsidRPr="00EB5812">
              <w:rPr>
                <w:i/>
                <w:iCs/>
                <w:color w:val="1D336D" w:themeColor="background2"/>
              </w:rPr>
              <w:t>Kwene</w:t>
            </w:r>
            <w:proofErr w:type="spellEnd"/>
          </w:p>
        </w:tc>
      </w:tr>
      <w:tr w:rsidR="005C10CE" w14:paraId="757F2624"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0A8CDBD" w14:textId="6D348018" w:rsidR="00802D98" w:rsidRPr="00EB5812" w:rsidRDefault="0004598B" w:rsidP="00B814D2">
            <w:pPr>
              <w:rPr>
                <w:b/>
                <w:bCs/>
                <w:color w:val="1D336D" w:themeColor="background2"/>
              </w:rPr>
            </w:pPr>
            <w:r w:rsidRPr="00EB5812">
              <w:rPr>
                <w:b/>
                <w:bCs/>
                <w:color w:val="1D336D" w:themeColor="background2"/>
              </w:rPr>
              <w:t>Solomon Islands</w:t>
            </w:r>
          </w:p>
        </w:tc>
        <w:tc>
          <w:tcPr>
            <w:tcW w:w="1843" w:type="dxa"/>
            <w:shd w:val="clear" w:color="auto" w:fill="auto"/>
          </w:tcPr>
          <w:p w14:paraId="26E99F35" w14:textId="43A1D9FA" w:rsidR="00802D98" w:rsidRPr="00EB5812" w:rsidRDefault="0004598B"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proofErr w:type="spellStart"/>
            <w:r w:rsidRPr="00EB5812">
              <w:rPr>
                <w:i/>
                <w:iCs/>
                <w:color w:val="1D336D" w:themeColor="background2"/>
              </w:rPr>
              <w:t>CRxN</w:t>
            </w:r>
            <w:proofErr w:type="spellEnd"/>
          </w:p>
        </w:tc>
        <w:tc>
          <w:tcPr>
            <w:tcW w:w="4961" w:type="dxa"/>
            <w:shd w:val="clear" w:color="auto" w:fill="auto"/>
          </w:tcPr>
          <w:p w14:paraId="6B8D7C08" w14:textId="75C78DEA" w:rsidR="00802D98" w:rsidRPr="00EB5812" w:rsidRDefault="0004598B"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B5812">
              <w:rPr>
                <w:i/>
                <w:iCs/>
                <w:color w:val="1D336D" w:themeColor="background2"/>
              </w:rPr>
              <w:t>Farmer Managed Natural Regeneration (FMNR) of mangroves and tropical forests</w:t>
            </w:r>
          </w:p>
        </w:tc>
        <w:tc>
          <w:tcPr>
            <w:tcW w:w="1690" w:type="dxa"/>
            <w:shd w:val="clear" w:color="auto" w:fill="auto"/>
          </w:tcPr>
          <w:p w14:paraId="2DDC3F8F" w14:textId="79FB1949" w:rsidR="00802D98" w:rsidRPr="00EB5812" w:rsidRDefault="0004598B"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B5812">
              <w:rPr>
                <w:i/>
                <w:iCs/>
                <w:color w:val="1D336D" w:themeColor="background2"/>
              </w:rPr>
              <w:t xml:space="preserve">Community of </w:t>
            </w:r>
            <w:proofErr w:type="spellStart"/>
            <w:r w:rsidRPr="00EB5812">
              <w:rPr>
                <w:i/>
                <w:iCs/>
                <w:color w:val="1D336D" w:themeColor="background2"/>
              </w:rPr>
              <w:t>Manakwai</w:t>
            </w:r>
            <w:proofErr w:type="spellEnd"/>
          </w:p>
        </w:tc>
      </w:tr>
      <w:tr w:rsidR="00267445" w14:paraId="5E0AB5E3" w14:textId="77777777" w:rsidTr="006E7363">
        <w:tc>
          <w:tcPr>
            <w:cnfStyle w:val="001000000000" w:firstRow="0" w:lastRow="0" w:firstColumn="1" w:lastColumn="0" w:oddVBand="0" w:evenVBand="0" w:oddHBand="0" w:evenHBand="0" w:firstRowFirstColumn="0" w:firstRowLastColumn="0" w:lastRowFirstColumn="0" w:lastRowLastColumn="0"/>
            <w:tcW w:w="1134" w:type="dxa"/>
          </w:tcPr>
          <w:p w14:paraId="29E72113" w14:textId="2FA402CF" w:rsidR="00802D98" w:rsidRPr="00EB5812" w:rsidRDefault="0004598B" w:rsidP="00B814D2">
            <w:pPr>
              <w:rPr>
                <w:b/>
                <w:bCs/>
                <w:color w:val="1D336D" w:themeColor="background2"/>
              </w:rPr>
            </w:pPr>
            <w:r w:rsidRPr="00EB5812">
              <w:rPr>
                <w:b/>
                <w:bCs/>
                <w:color w:val="1D336D" w:themeColor="background2"/>
              </w:rPr>
              <w:lastRenderedPageBreak/>
              <w:t>Solomon Islands</w:t>
            </w:r>
          </w:p>
        </w:tc>
        <w:tc>
          <w:tcPr>
            <w:tcW w:w="1843" w:type="dxa"/>
            <w:shd w:val="clear" w:color="auto" w:fill="F2F2F2" w:themeFill="background1" w:themeFillShade="F2"/>
          </w:tcPr>
          <w:p w14:paraId="22ECA242" w14:textId="28455DDD" w:rsidR="00802D98"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proofErr w:type="spellStart"/>
            <w:r w:rsidRPr="00EB5812">
              <w:rPr>
                <w:i/>
                <w:iCs/>
                <w:color w:val="1D336D" w:themeColor="background2"/>
              </w:rPr>
              <w:t>CRxN</w:t>
            </w:r>
            <w:proofErr w:type="spellEnd"/>
          </w:p>
        </w:tc>
        <w:tc>
          <w:tcPr>
            <w:tcW w:w="4961" w:type="dxa"/>
            <w:shd w:val="clear" w:color="auto" w:fill="F2F2F2" w:themeFill="background1" w:themeFillShade="F2"/>
          </w:tcPr>
          <w:p w14:paraId="6B1974F9" w14:textId="615F0E88" w:rsidR="00802D98"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EB5812">
              <w:rPr>
                <w:i/>
                <w:iCs/>
                <w:color w:val="1D336D" w:themeColor="background2"/>
              </w:rPr>
              <w:t>Sustainable Community Climate Resilience through Nature-based Solutions in Papua New Guinea and Solomon Islands</w:t>
            </w:r>
          </w:p>
        </w:tc>
        <w:tc>
          <w:tcPr>
            <w:tcW w:w="1690" w:type="dxa"/>
            <w:shd w:val="clear" w:color="auto" w:fill="F2F2F2" w:themeFill="background1" w:themeFillShade="F2"/>
          </w:tcPr>
          <w:p w14:paraId="4AA95ABC" w14:textId="3D4E9FEB" w:rsidR="00802D98"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EB5812">
              <w:rPr>
                <w:i/>
                <w:iCs/>
                <w:color w:val="1D336D" w:themeColor="background2"/>
              </w:rPr>
              <w:t>Community of One Para</w:t>
            </w:r>
          </w:p>
        </w:tc>
      </w:tr>
      <w:tr w:rsidR="005C10CE" w14:paraId="5B504A36"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BF0AC44" w14:textId="44EAA015" w:rsidR="00802D98" w:rsidRPr="00EB5812" w:rsidRDefault="0004598B" w:rsidP="00B814D2">
            <w:pPr>
              <w:rPr>
                <w:b/>
                <w:bCs/>
                <w:color w:val="1D336D" w:themeColor="background2"/>
              </w:rPr>
            </w:pPr>
            <w:r w:rsidRPr="00EB5812">
              <w:rPr>
                <w:b/>
                <w:bCs/>
                <w:color w:val="1D336D" w:themeColor="background2"/>
              </w:rPr>
              <w:t>Solomon Islands</w:t>
            </w:r>
          </w:p>
        </w:tc>
        <w:tc>
          <w:tcPr>
            <w:tcW w:w="1843" w:type="dxa"/>
            <w:shd w:val="clear" w:color="auto" w:fill="auto"/>
          </w:tcPr>
          <w:p w14:paraId="3B0D8EA3" w14:textId="062AE903" w:rsidR="00802D98" w:rsidRPr="00EB5812" w:rsidRDefault="0004598B"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proofErr w:type="spellStart"/>
            <w:r w:rsidRPr="00EB5812">
              <w:rPr>
                <w:i/>
                <w:iCs/>
                <w:color w:val="1D336D" w:themeColor="background2"/>
              </w:rPr>
              <w:t>CRxN</w:t>
            </w:r>
            <w:proofErr w:type="spellEnd"/>
            <w:r w:rsidRPr="00EB5812">
              <w:rPr>
                <w:i/>
                <w:iCs/>
                <w:color w:val="1D336D" w:themeColor="background2"/>
              </w:rPr>
              <w:tab/>
            </w:r>
          </w:p>
        </w:tc>
        <w:tc>
          <w:tcPr>
            <w:tcW w:w="4961" w:type="dxa"/>
            <w:shd w:val="clear" w:color="auto" w:fill="auto"/>
          </w:tcPr>
          <w:p w14:paraId="1225C634" w14:textId="68DEF46B" w:rsidR="00802D98" w:rsidRPr="00EB5812" w:rsidRDefault="0004598B"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B5812">
              <w:rPr>
                <w:i/>
                <w:iCs/>
                <w:color w:val="1D336D" w:themeColor="background2"/>
              </w:rPr>
              <w:t>Sustainable Community Climate Resilience through Nature-based Solutions in Papua New Guinea and Solomon Islands</w:t>
            </w:r>
          </w:p>
        </w:tc>
        <w:tc>
          <w:tcPr>
            <w:tcW w:w="1690" w:type="dxa"/>
            <w:shd w:val="clear" w:color="auto" w:fill="auto"/>
          </w:tcPr>
          <w:p w14:paraId="4E317B34" w14:textId="0B247F0D" w:rsidR="00802D98" w:rsidRPr="00EB5812" w:rsidRDefault="0004598B"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B5812">
              <w:rPr>
                <w:i/>
                <w:iCs/>
                <w:color w:val="1D336D" w:themeColor="background2"/>
              </w:rPr>
              <w:t xml:space="preserve">Community of </w:t>
            </w:r>
            <w:proofErr w:type="spellStart"/>
            <w:r w:rsidRPr="00EB5812">
              <w:rPr>
                <w:i/>
                <w:iCs/>
                <w:color w:val="1D336D" w:themeColor="background2"/>
              </w:rPr>
              <w:t>Aruaru-Hauhari</w:t>
            </w:r>
            <w:proofErr w:type="spellEnd"/>
          </w:p>
        </w:tc>
      </w:tr>
      <w:tr w:rsidR="0004598B" w14:paraId="07854825" w14:textId="77777777" w:rsidTr="006E7363">
        <w:tc>
          <w:tcPr>
            <w:cnfStyle w:val="001000000000" w:firstRow="0" w:lastRow="0" w:firstColumn="1" w:lastColumn="0" w:oddVBand="0" w:evenVBand="0" w:oddHBand="0" w:evenHBand="0" w:firstRowFirstColumn="0" w:firstRowLastColumn="0" w:lastRowFirstColumn="0" w:lastRowLastColumn="0"/>
            <w:tcW w:w="1134" w:type="dxa"/>
          </w:tcPr>
          <w:p w14:paraId="35ADD1B0" w14:textId="29FD094D" w:rsidR="0004598B" w:rsidRPr="00EB5812" w:rsidRDefault="0004598B" w:rsidP="00B814D2">
            <w:pPr>
              <w:rPr>
                <w:b/>
                <w:bCs/>
                <w:color w:val="1D336D" w:themeColor="background2"/>
              </w:rPr>
            </w:pPr>
            <w:r w:rsidRPr="00EB5812">
              <w:rPr>
                <w:b/>
                <w:bCs/>
                <w:color w:val="1D336D" w:themeColor="background2"/>
              </w:rPr>
              <w:t>Timor-Leste</w:t>
            </w:r>
          </w:p>
        </w:tc>
        <w:tc>
          <w:tcPr>
            <w:tcW w:w="1843" w:type="dxa"/>
            <w:shd w:val="clear" w:color="auto" w:fill="F2F2F2" w:themeFill="background1" w:themeFillShade="F2"/>
          </w:tcPr>
          <w:p w14:paraId="68522DAB" w14:textId="2A3827F2" w:rsidR="0004598B"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proofErr w:type="spellStart"/>
            <w:r w:rsidRPr="00EB5812">
              <w:rPr>
                <w:i/>
                <w:iCs/>
                <w:color w:val="1D336D" w:themeColor="background2"/>
              </w:rPr>
              <w:t>CRxN</w:t>
            </w:r>
            <w:proofErr w:type="spellEnd"/>
          </w:p>
        </w:tc>
        <w:tc>
          <w:tcPr>
            <w:tcW w:w="4961" w:type="dxa"/>
            <w:shd w:val="clear" w:color="auto" w:fill="F2F2F2" w:themeFill="background1" w:themeFillShade="F2"/>
          </w:tcPr>
          <w:p w14:paraId="33AEE611" w14:textId="01D8FC42" w:rsidR="0004598B"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EB5812">
              <w:rPr>
                <w:i/>
                <w:iCs/>
                <w:color w:val="1D336D" w:themeColor="background2"/>
              </w:rPr>
              <w:t>Transforming Rural Lives through Adaptation and Carbon Capture (TRACC ) Project</w:t>
            </w:r>
          </w:p>
        </w:tc>
        <w:tc>
          <w:tcPr>
            <w:tcW w:w="1690" w:type="dxa"/>
            <w:shd w:val="clear" w:color="auto" w:fill="F2F2F2" w:themeFill="background1" w:themeFillShade="F2"/>
          </w:tcPr>
          <w:p w14:paraId="57BCF80F" w14:textId="6287A185" w:rsidR="0004598B"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EB5812">
              <w:rPr>
                <w:i/>
                <w:iCs/>
                <w:color w:val="1D336D" w:themeColor="background2"/>
              </w:rPr>
              <w:t xml:space="preserve">Community of </w:t>
            </w:r>
            <w:proofErr w:type="spellStart"/>
            <w:r w:rsidRPr="00EB5812">
              <w:rPr>
                <w:i/>
                <w:iCs/>
                <w:color w:val="1D336D" w:themeColor="background2"/>
              </w:rPr>
              <w:t>Bibileo</w:t>
            </w:r>
            <w:proofErr w:type="spellEnd"/>
          </w:p>
        </w:tc>
      </w:tr>
      <w:tr w:rsidR="0004598B" w14:paraId="2FFEA4FA"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F2D6E1D" w14:textId="51BAD7EC" w:rsidR="0004598B" w:rsidRPr="00EB5812" w:rsidRDefault="0004598B" w:rsidP="00B814D2">
            <w:pPr>
              <w:rPr>
                <w:b/>
                <w:bCs/>
                <w:color w:val="1D336D" w:themeColor="background2"/>
              </w:rPr>
            </w:pPr>
            <w:r w:rsidRPr="00EB5812">
              <w:rPr>
                <w:b/>
                <w:bCs/>
                <w:color w:val="1D336D" w:themeColor="background2"/>
              </w:rPr>
              <w:t>Timor-Leste</w:t>
            </w:r>
          </w:p>
        </w:tc>
        <w:tc>
          <w:tcPr>
            <w:tcW w:w="1843" w:type="dxa"/>
            <w:shd w:val="clear" w:color="auto" w:fill="auto"/>
          </w:tcPr>
          <w:p w14:paraId="2CE60AA1" w14:textId="54D77320" w:rsidR="0004598B" w:rsidRPr="00EB5812" w:rsidRDefault="0004598B"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proofErr w:type="spellStart"/>
            <w:r w:rsidRPr="00EB5812">
              <w:rPr>
                <w:i/>
                <w:iCs/>
                <w:color w:val="1D336D" w:themeColor="background2"/>
              </w:rPr>
              <w:t>CRxN</w:t>
            </w:r>
            <w:proofErr w:type="spellEnd"/>
          </w:p>
        </w:tc>
        <w:tc>
          <w:tcPr>
            <w:tcW w:w="4961" w:type="dxa"/>
            <w:shd w:val="clear" w:color="auto" w:fill="auto"/>
          </w:tcPr>
          <w:p w14:paraId="10328FE4" w14:textId="60516748" w:rsidR="0004598B" w:rsidRPr="00EB5812" w:rsidRDefault="0004598B"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B5812">
              <w:rPr>
                <w:i/>
                <w:iCs/>
                <w:color w:val="1D336D" w:themeColor="background2"/>
              </w:rPr>
              <w:t>Transforming Rural Lives through Adaptation and Carbon Capture (TRACC ) Project</w:t>
            </w:r>
          </w:p>
        </w:tc>
        <w:tc>
          <w:tcPr>
            <w:tcW w:w="1690" w:type="dxa"/>
            <w:shd w:val="clear" w:color="auto" w:fill="auto"/>
          </w:tcPr>
          <w:p w14:paraId="7EC6E9A7" w14:textId="323453A1" w:rsidR="0004598B" w:rsidRPr="00EB5812" w:rsidRDefault="0004598B"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B5812">
              <w:rPr>
                <w:i/>
                <w:iCs/>
                <w:color w:val="1D336D" w:themeColor="background2"/>
              </w:rPr>
              <w:t xml:space="preserve">Community of </w:t>
            </w:r>
            <w:proofErr w:type="spellStart"/>
            <w:r w:rsidRPr="00EB5812">
              <w:rPr>
                <w:i/>
                <w:iCs/>
                <w:color w:val="1D336D" w:themeColor="background2"/>
              </w:rPr>
              <w:t>Uaguia</w:t>
            </w:r>
            <w:proofErr w:type="spellEnd"/>
          </w:p>
        </w:tc>
      </w:tr>
      <w:tr w:rsidR="0004598B" w14:paraId="44CE824D" w14:textId="77777777" w:rsidTr="006E7363">
        <w:tc>
          <w:tcPr>
            <w:cnfStyle w:val="001000000000" w:firstRow="0" w:lastRow="0" w:firstColumn="1" w:lastColumn="0" w:oddVBand="0" w:evenVBand="0" w:oddHBand="0" w:evenHBand="0" w:firstRowFirstColumn="0" w:firstRowLastColumn="0" w:lastRowFirstColumn="0" w:lastRowLastColumn="0"/>
            <w:tcW w:w="1134" w:type="dxa"/>
          </w:tcPr>
          <w:p w14:paraId="570BE7A8" w14:textId="008C4482" w:rsidR="0004598B" w:rsidRPr="00EB5812" w:rsidRDefault="0004598B" w:rsidP="00B814D2">
            <w:pPr>
              <w:rPr>
                <w:b/>
                <w:bCs/>
                <w:color w:val="1D336D" w:themeColor="background2"/>
              </w:rPr>
            </w:pPr>
            <w:r w:rsidRPr="00EB5812">
              <w:rPr>
                <w:b/>
                <w:bCs/>
                <w:color w:val="1D336D" w:themeColor="background2"/>
              </w:rPr>
              <w:t>Timor-Leste</w:t>
            </w:r>
          </w:p>
        </w:tc>
        <w:tc>
          <w:tcPr>
            <w:tcW w:w="1843" w:type="dxa"/>
            <w:shd w:val="clear" w:color="auto" w:fill="F2F2F2" w:themeFill="background1" w:themeFillShade="F2"/>
          </w:tcPr>
          <w:p w14:paraId="7EC2F3E4" w14:textId="56044875" w:rsidR="0004598B"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proofErr w:type="spellStart"/>
            <w:r w:rsidRPr="00EB5812">
              <w:rPr>
                <w:i/>
                <w:iCs/>
                <w:color w:val="1D336D" w:themeColor="background2"/>
              </w:rPr>
              <w:t>CRxN</w:t>
            </w:r>
            <w:proofErr w:type="spellEnd"/>
          </w:p>
        </w:tc>
        <w:tc>
          <w:tcPr>
            <w:tcW w:w="4961" w:type="dxa"/>
            <w:shd w:val="clear" w:color="auto" w:fill="F2F2F2" w:themeFill="background1" w:themeFillShade="F2"/>
          </w:tcPr>
          <w:p w14:paraId="18136632" w14:textId="147E4A03" w:rsidR="0004598B"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EB5812">
              <w:rPr>
                <w:i/>
                <w:iCs/>
                <w:color w:val="1D336D" w:themeColor="background2"/>
              </w:rPr>
              <w:t>Transforming Rural Lives through Adaptation and Carbon Capture (TRACC ) Project</w:t>
            </w:r>
          </w:p>
        </w:tc>
        <w:tc>
          <w:tcPr>
            <w:tcW w:w="1690" w:type="dxa"/>
            <w:shd w:val="clear" w:color="auto" w:fill="F2F2F2" w:themeFill="background1" w:themeFillShade="F2"/>
          </w:tcPr>
          <w:p w14:paraId="3B444316" w14:textId="78DFEA40" w:rsidR="0004598B" w:rsidRPr="00EB5812" w:rsidRDefault="0004598B" w:rsidP="00B814D2">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EB5812">
              <w:rPr>
                <w:i/>
                <w:iCs/>
                <w:color w:val="1D336D" w:themeColor="background2"/>
              </w:rPr>
              <w:t xml:space="preserve">Community of </w:t>
            </w:r>
            <w:proofErr w:type="spellStart"/>
            <w:r w:rsidRPr="00EB5812">
              <w:rPr>
                <w:i/>
                <w:iCs/>
                <w:color w:val="1D336D" w:themeColor="background2"/>
              </w:rPr>
              <w:t>Bualale</w:t>
            </w:r>
            <w:proofErr w:type="spellEnd"/>
          </w:p>
        </w:tc>
      </w:tr>
      <w:tr w:rsidR="0004598B" w14:paraId="4721065E"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1699F9C" w14:textId="0E046DE0" w:rsidR="0004598B" w:rsidRPr="00EB5812" w:rsidRDefault="00EB5812" w:rsidP="00B814D2">
            <w:pPr>
              <w:rPr>
                <w:b/>
                <w:bCs/>
                <w:color w:val="1D336D" w:themeColor="background2"/>
              </w:rPr>
            </w:pPr>
            <w:r w:rsidRPr="00EB5812">
              <w:rPr>
                <w:b/>
                <w:bCs/>
                <w:color w:val="1D336D" w:themeColor="background2"/>
              </w:rPr>
              <w:t>Timor-Leste</w:t>
            </w:r>
          </w:p>
        </w:tc>
        <w:tc>
          <w:tcPr>
            <w:tcW w:w="1843" w:type="dxa"/>
            <w:shd w:val="clear" w:color="auto" w:fill="auto"/>
          </w:tcPr>
          <w:p w14:paraId="0C1D0322" w14:textId="0D4578C5" w:rsidR="0004598B" w:rsidRPr="00EB5812" w:rsidRDefault="00EB5812"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proofErr w:type="spellStart"/>
            <w:r w:rsidRPr="00EB5812">
              <w:rPr>
                <w:i/>
                <w:iCs/>
                <w:color w:val="1D336D" w:themeColor="background2"/>
              </w:rPr>
              <w:t>CRxN</w:t>
            </w:r>
            <w:proofErr w:type="spellEnd"/>
          </w:p>
        </w:tc>
        <w:tc>
          <w:tcPr>
            <w:tcW w:w="4961" w:type="dxa"/>
            <w:shd w:val="clear" w:color="auto" w:fill="auto"/>
          </w:tcPr>
          <w:p w14:paraId="500DF290" w14:textId="3BABAEAD" w:rsidR="0004598B" w:rsidRPr="00EB5812" w:rsidRDefault="00EB5812"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B5812">
              <w:rPr>
                <w:i/>
                <w:iCs/>
                <w:color w:val="1D336D" w:themeColor="background2"/>
              </w:rPr>
              <w:t>Transforming Rural Lives through Adaptation and Carbon Capture (TRACC ) Project</w:t>
            </w:r>
          </w:p>
        </w:tc>
        <w:tc>
          <w:tcPr>
            <w:tcW w:w="1690" w:type="dxa"/>
            <w:shd w:val="clear" w:color="auto" w:fill="auto"/>
          </w:tcPr>
          <w:p w14:paraId="421F5587" w14:textId="3151BB67" w:rsidR="0004598B" w:rsidRPr="00EB5812" w:rsidRDefault="00EB5812" w:rsidP="00B814D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B5812">
              <w:rPr>
                <w:i/>
                <w:iCs/>
                <w:color w:val="1D336D" w:themeColor="background2"/>
              </w:rPr>
              <w:t xml:space="preserve">Community of </w:t>
            </w:r>
            <w:proofErr w:type="spellStart"/>
            <w:r w:rsidRPr="00EB5812">
              <w:rPr>
                <w:i/>
                <w:iCs/>
                <w:color w:val="1D336D" w:themeColor="background2"/>
              </w:rPr>
              <w:t>Macalaco</w:t>
            </w:r>
            <w:proofErr w:type="spellEnd"/>
          </w:p>
        </w:tc>
      </w:tr>
    </w:tbl>
    <w:p w14:paraId="3830FD79" w14:textId="21A90E1F" w:rsidR="00EA7FE2" w:rsidRPr="00EA7FE2" w:rsidRDefault="00EA7FE2" w:rsidP="00B814D2">
      <w:r w:rsidRPr="00EA7FE2">
        <w:tab/>
      </w:r>
      <w:r w:rsidRPr="00EA7FE2">
        <w:tab/>
      </w:r>
    </w:p>
    <w:p w14:paraId="4A78D31D" w14:textId="42FA5F60" w:rsidR="00EA7FE2" w:rsidRPr="005A7E0A" w:rsidRDefault="005A7E0A" w:rsidP="005A7E0A">
      <w:pPr>
        <w:pStyle w:val="Heading3"/>
      </w:pPr>
      <w:r w:rsidRPr="005A7E0A">
        <w:t>Informed c</w:t>
      </w:r>
      <w:r w:rsidR="00EA7FE2" w:rsidRPr="005A7E0A">
        <w:t>onsent</w:t>
      </w:r>
    </w:p>
    <w:p w14:paraId="1847D64E" w14:textId="77777777" w:rsidR="00EA7FE2" w:rsidRPr="00EA7FE2" w:rsidRDefault="00EA7FE2" w:rsidP="00B814D2">
      <w:r w:rsidRPr="00EA7FE2">
        <w:t>All evaluation participants provided informed consent prior to data collection. Verbal consent was also sought for taking photographs using the standard DFAT form and process. The process was verbally explained via translators. In some cases, the implementing agency requested consent to take photographs for the whole evaluation team.</w:t>
      </w:r>
    </w:p>
    <w:p w14:paraId="16F52EDA" w14:textId="77777777" w:rsidR="00EA7FE2" w:rsidRPr="005A7E0A" w:rsidRDefault="00EA7FE2" w:rsidP="005A7E0A">
      <w:pPr>
        <w:pStyle w:val="Heading3"/>
      </w:pPr>
      <w:r w:rsidRPr="005A7E0A">
        <w:t>Triangulation and rigour of evidence</w:t>
      </w:r>
    </w:p>
    <w:p w14:paraId="571323BB" w14:textId="77777777" w:rsidR="00EA7FE2" w:rsidRPr="00EA7FE2" w:rsidRDefault="00EA7FE2" w:rsidP="00B814D2">
      <w:r w:rsidRPr="00EA7FE2">
        <w:t>Most findings presented in the report have been validated through triangulation. Generally, findings are based on data that has emerged from multiple sources and/or methods (i.e. document review and/or field visit discussions and/or interviews). Where possible quantitative data was used to further strengthen evidence.</w:t>
      </w:r>
    </w:p>
    <w:p w14:paraId="144EA22A" w14:textId="77777777" w:rsidR="00EA7FE2" w:rsidRPr="00EA7FE2" w:rsidRDefault="00EA7FE2" w:rsidP="00B814D2">
      <w:r w:rsidRPr="00EA7FE2">
        <w:t>Observations made by the evaluation team revealed inconsistencies between reported progress and on-the- ground reality. As a result, the team gave priority to information collected during field visits, followed by insights obtained through interviews, and considered reports that aligned with the observed conditions on the ground.</w:t>
      </w:r>
    </w:p>
    <w:p w14:paraId="27AFE7F2" w14:textId="77777777" w:rsidR="00EA7FE2" w:rsidRPr="005A7E0A" w:rsidRDefault="00EA7FE2" w:rsidP="00C77B8F">
      <w:pPr>
        <w:pStyle w:val="Heading3"/>
      </w:pPr>
      <w:r w:rsidRPr="005A7E0A">
        <w:t>Report format</w:t>
      </w:r>
    </w:p>
    <w:p w14:paraId="2261FBB8" w14:textId="77777777" w:rsidR="00EA7FE2" w:rsidRPr="00EA7FE2" w:rsidRDefault="00EA7FE2" w:rsidP="00B814D2">
      <w:r w:rsidRPr="00EA7FE2">
        <w:t xml:space="preserve">In the absence of a clear </w:t>
      </w:r>
      <w:proofErr w:type="spellStart"/>
      <w:r w:rsidRPr="00EA7FE2">
        <w:t>NbS</w:t>
      </w:r>
      <w:proofErr w:type="spellEnd"/>
      <w:r w:rsidRPr="00EA7FE2">
        <w:t xml:space="preserve"> performance framework at a strategic level, the evaluation team have taken a distinct structure for this report, separating the findings at a strategic level from those at the investment level.</w:t>
      </w:r>
    </w:p>
    <w:p w14:paraId="2E95F45D" w14:textId="77777777" w:rsidR="0094177F" w:rsidRDefault="0094177F">
      <w:pPr>
        <w:spacing w:after="0" w:line="240" w:lineRule="auto"/>
      </w:pPr>
      <w:r>
        <w:br w:type="page"/>
      </w:r>
    </w:p>
    <w:p w14:paraId="24027C4A" w14:textId="5C89D3FA" w:rsidR="00EA7FE2" w:rsidRPr="00EA7FE2" w:rsidRDefault="00EA7FE2" w:rsidP="00B814D2">
      <w:r w:rsidRPr="00EA7FE2">
        <w:lastRenderedPageBreak/>
        <w:t xml:space="preserve">For the strategic level assessment, the report structure is in line with the Organisation for Economic Co-operation and Development (OECD) Development Assistance Committee (DAC) evaluation criteria (relevance, coherence, effectiveness, efficiency, impact and sustainability). As part of the effectiveness criterion, the evaluation team has developed a preliminary framework that provides minimum standards for </w:t>
      </w:r>
      <w:proofErr w:type="spellStart"/>
      <w:r w:rsidRPr="00EA7FE2">
        <w:t>NbS</w:t>
      </w:r>
      <w:proofErr w:type="spellEnd"/>
      <w:r w:rsidRPr="00EA7FE2">
        <w:t xml:space="preserve"> interventions.</w:t>
      </w:r>
    </w:p>
    <w:p w14:paraId="0E66F070" w14:textId="02A5AFF1" w:rsidR="00EA7FE2" w:rsidRPr="00EA7FE2" w:rsidRDefault="00EA7FE2" w:rsidP="00B814D2">
      <w:r w:rsidRPr="00EA7FE2">
        <w:t xml:space="preserve">The minimum standards provided by the preliminary framework have been used to structure the investment level assessment of DFAT’s selected </w:t>
      </w:r>
      <w:proofErr w:type="spellStart"/>
      <w:r w:rsidRPr="00EA7FE2">
        <w:t>NbS</w:t>
      </w:r>
      <w:proofErr w:type="spellEnd"/>
      <w:r w:rsidRPr="00EA7FE2">
        <w:t xml:space="preserve"> activities. The standards include: the delivery of EOPOs; </w:t>
      </w:r>
      <w:r w:rsidR="006551F0">
        <w:t>i</w:t>
      </w:r>
      <w:r w:rsidRPr="00EA7FE2">
        <w:t xml:space="preserve">s it a solution; </w:t>
      </w:r>
      <w:proofErr w:type="spellStart"/>
      <w:r w:rsidRPr="00EA7FE2">
        <w:t>NbS</w:t>
      </w:r>
      <w:proofErr w:type="spellEnd"/>
      <w:r w:rsidRPr="00EA7FE2">
        <w:t xml:space="preserve"> pillars; relevant scale; governance; GEDSI; </w:t>
      </w:r>
      <w:r w:rsidR="006551F0">
        <w:t>Indigenous</w:t>
      </w:r>
      <w:r w:rsidRPr="00EA7FE2">
        <w:t xml:space="preserve"> participation; and safeguards.</w:t>
      </w:r>
    </w:p>
    <w:p w14:paraId="1E22AC17" w14:textId="714FFBB1" w:rsidR="00EA7FE2" w:rsidRPr="00EA7FE2" w:rsidRDefault="00EA7FE2" w:rsidP="00B814D2">
      <w:r w:rsidRPr="00EA7FE2">
        <w:t xml:space="preserve">The section below (Key Limitations) explains why this preliminary framework for minimum </w:t>
      </w:r>
      <w:proofErr w:type="spellStart"/>
      <w:r w:rsidRPr="00EA7FE2">
        <w:t>NbS</w:t>
      </w:r>
      <w:proofErr w:type="spellEnd"/>
      <w:r w:rsidRPr="00EA7FE2">
        <w:t xml:space="preserve"> standards was developed. Further information on each of the specific criteria is provided in the strategic level assessment, under the heading of Effectiveness. </w:t>
      </w:r>
    </w:p>
    <w:p w14:paraId="5EAD1837" w14:textId="0487191F" w:rsidR="00EA7FE2" w:rsidRPr="00150362" w:rsidRDefault="00EA7FE2" w:rsidP="00150362">
      <w:pPr>
        <w:pStyle w:val="Heading1"/>
      </w:pPr>
      <w:bookmarkStart w:id="28" w:name="_Toc164783044"/>
      <w:r w:rsidRPr="00150362">
        <w:t>Key limitations</w:t>
      </w:r>
      <w:bookmarkEnd w:id="28"/>
      <w:r w:rsidRPr="00150362">
        <w:t xml:space="preserve"> </w:t>
      </w:r>
      <w:r w:rsidRPr="00150362">
        <w:tab/>
      </w:r>
    </w:p>
    <w:p w14:paraId="200CCCDB" w14:textId="64E1CF60" w:rsidR="00EA7FE2" w:rsidRPr="00EA7FE2" w:rsidRDefault="00EA7FE2" w:rsidP="003C6824">
      <w:pPr>
        <w:pStyle w:val="ListParagraph"/>
        <w:numPr>
          <w:ilvl w:val="0"/>
          <w:numId w:val="38"/>
        </w:numPr>
      </w:pPr>
      <w:r w:rsidRPr="00EA7FE2">
        <w:t xml:space="preserve">Due to the absence of an agreed definition for </w:t>
      </w:r>
      <w:proofErr w:type="spellStart"/>
      <w:r w:rsidRPr="00EA7FE2">
        <w:t>NbS</w:t>
      </w:r>
      <w:proofErr w:type="spellEnd"/>
      <w:r w:rsidRPr="00EA7FE2">
        <w:t xml:space="preserve">, the evaluation team was required to propose a </w:t>
      </w:r>
      <w:proofErr w:type="spellStart"/>
      <w:r w:rsidRPr="00EA7FE2">
        <w:t>NbS</w:t>
      </w:r>
      <w:proofErr w:type="spellEnd"/>
      <w:r w:rsidRPr="00EA7FE2">
        <w:t xml:space="preserve"> performance framework for this evaluation. At the strategic level, </w:t>
      </w:r>
      <w:proofErr w:type="spellStart"/>
      <w:r w:rsidRPr="00EA7FE2">
        <w:t>NbS</w:t>
      </w:r>
      <w:proofErr w:type="spellEnd"/>
      <w:r w:rsidRPr="00EA7FE2">
        <w:t xml:space="preserve"> lacked a clear and consistent definition, with each investment applying slightly different interpretations. Initially, the evaluation team suggested using the IUCN Global Standard for </w:t>
      </w:r>
      <w:proofErr w:type="spellStart"/>
      <w:r w:rsidRPr="00EA7FE2">
        <w:t>NbS</w:t>
      </w:r>
      <w:proofErr w:type="spellEnd"/>
      <w:r w:rsidRPr="00EA7FE2">
        <w:t xml:space="preserve"> as a reference framework. However, during the evaluation, it became evident that not all stakeholders adhered to the IUCN definition, and that some stakeholders considered the IUCN Global Standards less applicable in the Pacific context. Consequently, the evaluation team developed specific performance criteria for </w:t>
      </w:r>
      <w:proofErr w:type="spellStart"/>
      <w:r w:rsidRPr="00EA7FE2">
        <w:t>NbS</w:t>
      </w:r>
      <w:proofErr w:type="spellEnd"/>
      <w:r w:rsidRPr="00EA7FE2">
        <w:t xml:space="preserve"> projects within the scope of this evaluation, drawing from international best practices, including the IUCN Global Standards, and aligning them with the priorities of Australia's International Development Policy. These criteria were further tailored to align with the definitions used by the investments included in this evaluation. While the resulting </w:t>
      </w:r>
      <w:proofErr w:type="spellStart"/>
      <w:r w:rsidRPr="00EA7FE2">
        <w:t>NbS</w:t>
      </w:r>
      <w:proofErr w:type="spellEnd"/>
      <w:r w:rsidRPr="00EA7FE2">
        <w:t xml:space="preserve"> criteria are suitable for this</w:t>
      </w:r>
      <w:r w:rsidR="003C6824">
        <w:t xml:space="preserve"> </w:t>
      </w:r>
      <w:r w:rsidRPr="00EA7FE2">
        <w:t xml:space="preserve">evaluation, broader discussions within DFAT and its partners are necessary to develop performance criteria that can be applied across a future </w:t>
      </w:r>
      <w:proofErr w:type="spellStart"/>
      <w:r w:rsidRPr="00EA7FE2">
        <w:t>NbS</w:t>
      </w:r>
      <w:proofErr w:type="spellEnd"/>
      <w:r w:rsidRPr="00EA7FE2">
        <w:t xml:space="preserve"> portfolio; that align more closely with global </w:t>
      </w:r>
      <w:proofErr w:type="spellStart"/>
      <w:r w:rsidRPr="00EA7FE2">
        <w:t>NbS</w:t>
      </w:r>
      <w:proofErr w:type="spellEnd"/>
      <w:r w:rsidRPr="00EA7FE2">
        <w:t xml:space="preserve"> standards and that are contextualised to meet the ambitions of Australia's International Development Policy.</w:t>
      </w:r>
      <w:r w:rsidR="003C6824">
        <w:br/>
      </w:r>
    </w:p>
    <w:p w14:paraId="0D25E622" w14:textId="60F0FB8F" w:rsidR="00EA7FE2" w:rsidRPr="00EA7FE2" w:rsidRDefault="00EA7FE2" w:rsidP="003C6824">
      <w:pPr>
        <w:pStyle w:val="ListParagraph"/>
        <w:numPr>
          <w:ilvl w:val="0"/>
          <w:numId w:val="38"/>
        </w:numPr>
      </w:pPr>
      <w:r w:rsidRPr="00EA7FE2">
        <w:t xml:space="preserve">The investment projects included in the evaluation are implemented across Southeast Asia and the Pacific. Due to logistic and time constraints, it was not feasible to visit all projects. However, the evaluation team visited at least one project from each of the three investments, identifying locations where multiple investment partners were active, offering diverse projects that could provide insights into various approaches to </w:t>
      </w:r>
      <w:proofErr w:type="spellStart"/>
      <w:r w:rsidRPr="00EA7FE2">
        <w:t>NbS</w:t>
      </w:r>
      <w:proofErr w:type="spellEnd"/>
      <w:r w:rsidRPr="00EA7FE2">
        <w:t>. Based on logistical feasibility and consultations with the implementing partners and the Evaluation Manager, the evaluation team travelled to Timor-Leste, Fiji, and Solomon Islands over a 19-day period.</w:t>
      </w:r>
      <w:r w:rsidR="003C6824">
        <w:br/>
      </w:r>
    </w:p>
    <w:p w14:paraId="3667E09C" w14:textId="17321AA9" w:rsidR="00F15B51" w:rsidRDefault="00EA7FE2" w:rsidP="000C24C5">
      <w:pPr>
        <w:pStyle w:val="ListParagraph"/>
        <w:numPr>
          <w:ilvl w:val="0"/>
          <w:numId w:val="38"/>
        </w:numPr>
      </w:pPr>
      <w:r w:rsidRPr="00EA7FE2">
        <w:t>Due to the impact of Tropical Cyclone Mal, the evaluation team were not able to conduct all intended site visits whil</w:t>
      </w:r>
      <w:r w:rsidR="008E4908">
        <w:t>e</w:t>
      </w:r>
      <w:r w:rsidRPr="00EA7FE2">
        <w:t xml:space="preserve"> in Fiji. As a result, some KIIs could not be undertaken, resulting in a more limited sample of stakeholder perspectives. </w:t>
      </w:r>
    </w:p>
    <w:p w14:paraId="29E898B6" w14:textId="766710D6" w:rsidR="00F15B51" w:rsidRPr="00EA7FE2" w:rsidRDefault="00053F5C" w:rsidP="00150362">
      <w:pPr>
        <w:pStyle w:val="NormalWeb"/>
        <w:jc w:val="center"/>
      </w:pPr>
      <w:r>
        <w:rPr>
          <w:noProof/>
        </w:rPr>
        <w:lastRenderedPageBreak/>
        <w:drawing>
          <wp:inline distT="0" distB="0" distL="0" distR="0" wp14:anchorId="40C9AB53" wp14:editId="7E5243B3">
            <wp:extent cx="6119189" cy="8656320"/>
            <wp:effectExtent l="0" t="0" r="0" b="0"/>
            <wp:docPr id="1461068568" name="Picture 5" descr="Image provides a case study of nature-based beekeeping. Text version available in Annex 4 under heading 'case stud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68568" name="Picture 5" descr="Image provides a case study of nature-based beekeeping. Text version available in Annex 4 under heading 'case study 1'."/>
                    <pic:cNvPicPr>
                      <a:picLocks noChangeAspect="1" noChangeArrowheads="1"/>
                    </pic:cNvPicPr>
                  </pic:nvPicPr>
                  <pic:blipFill>
                    <a:blip r:embed="rId20"/>
                    <a:stretch>
                      <a:fillRect/>
                    </a:stretch>
                  </pic:blipFill>
                  <pic:spPr bwMode="auto">
                    <a:xfrm>
                      <a:off x="0" y="0"/>
                      <a:ext cx="6119189" cy="8656320"/>
                    </a:xfrm>
                    <a:prstGeom prst="rect">
                      <a:avLst/>
                    </a:prstGeom>
                    <a:noFill/>
                    <a:ln>
                      <a:noFill/>
                    </a:ln>
                  </pic:spPr>
                </pic:pic>
              </a:graphicData>
            </a:graphic>
          </wp:inline>
        </w:drawing>
      </w:r>
    </w:p>
    <w:p w14:paraId="6B9F0C95" w14:textId="38D24B70" w:rsidR="00EA7FE2" w:rsidRPr="00EA7FE2" w:rsidRDefault="00C33239" w:rsidP="00C33239">
      <w:pPr>
        <w:pStyle w:val="ChapterHeading"/>
      </w:pPr>
      <w:bookmarkStart w:id="29" w:name="_Toc164783045"/>
      <w:r>
        <w:lastRenderedPageBreak/>
        <w:t>Findings at the strategic level</w:t>
      </w:r>
      <w:bookmarkEnd w:id="29"/>
    </w:p>
    <w:p w14:paraId="12046295" w14:textId="5F7E0C17" w:rsidR="00EA7FE2" w:rsidRPr="00EA7FE2" w:rsidRDefault="00EA7FE2" w:rsidP="00B814D2">
      <w:r w:rsidRPr="00EA7FE2">
        <w:t xml:space="preserve">The following chapter presents findings with relevance to assessing Australia’s current approaches to </w:t>
      </w:r>
      <w:proofErr w:type="spellStart"/>
      <w:r w:rsidRPr="00EA7FE2">
        <w:t>NbS</w:t>
      </w:r>
      <w:proofErr w:type="spellEnd"/>
      <w:r w:rsidRPr="00EA7FE2">
        <w:t xml:space="preserve"> at the strategic, or potential “portfolio” level, including alignment with Australia’s International Development Policy priorities. Evaluation criteria (relevance, coherence, effectiveness, efficiency, impact, and sustainability) set out by the OECD DAC have been used to evaluate the three investments under review as a collective group. As the investments that inform this assessment represent only some of Australia’s investments in </w:t>
      </w:r>
      <w:proofErr w:type="spellStart"/>
      <w:r w:rsidRPr="00EA7FE2">
        <w:t>NbS</w:t>
      </w:r>
      <w:proofErr w:type="spellEnd"/>
      <w:r w:rsidRPr="00EA7FE2">
        <w:t xml:space="preserve">, the findings below may not be reflective of </w:t>
      </w:r>
      <w:proofErr w:type="spellStart"/>
      <w:r w:rsidRPr="00EA7FE2">
        <w:t>NbS</w:t>
      </w:r>
      <w:proofErr w:type="spellEnd"/>
      <w:r w:rsidRPr="00EA7FE2">
        <w:t xml:space="preserve"> investments beyond the scope of this evaluation.</w:t>
      </w:r>
    </w:p>
    <w:p w14:paraId="4D46A2E1" w14:textId="77777777" w:rsidR="00EA7FE2" w:rsidRPr="00EA7FE2" w:rsidRDefault="00EA7FE2" w:rsidP="00C33239">
      <w:pPr>
        <w:pStyle w:val="Heading1"/>
      </w:pPr>
      <w:bookmarkStart w:id="30" w:name="_Toc164783046"/>
      <w:r w:rsidRPr="00EA7FE2">
        <w:t>Relevance</w:t>
      </w:r>
      <w:bookmarkEnd w:id="30"/>
      <w:r w:rsidRPr="00EA7FE2">
        <w:t xml:space="preserve"> </w:t>
      </w:r>
    </w:p>
    <w:p w14:paraId="35A1CF13" w14:textId="20548B6B" w:rsidR="00EA7FE2" w:rsidRPr="00EA7FE2" w:rsidRDefault="00EA7FE2" w:rsidP="00B814D2">
      <w:r w:rsidRPr="00EA7FE2">
        <w:t xml:space="preserve">The following assesses the extent to which </w:t>
      </w:r>
      <w:proofErr w:type="spellStart"/>
      <w:r w:rsidRPr="00EA7FE2">
        <w:t>NbS</w:t>
      </w:r>
      <w:proofErr w:type="spellEnd"/>
      <w:r w:rsidRPr="00EA7FE2">
        <w:t xml:space="preserve"> respond to priorities of partner communities, partner governments, and Australia's International Development Policy. The structure of this section follows the priorities outlined in Australia's International Development Policy, where "relevance to partner governments and communities" </w:t>
      </w:r>
      <w:r w:rsidR="006551F0">
        <w:t>is</w:t>
      </w:r>
      <w:r w:rsidR="006551F0" w:rsidRPr="00EA7FE2">
        <w:t xml:space="preserve"> </w:t>
      </w:r>
      <w:r w:rsidRPr="00EA7FE2">
        <w:t xml:space="preserve">included as </w:t>
      </w:r>
      <w:r w:rsidR="006551F0">
        <w:t>a criterion</w:t>
      </w:r>
      <w:r w:rsidRPr="00EA7FE2">
        <w:t>.</w:t>
      </w:r>
      <w:r w:rsidR="00150362">
        <w:t xml:space="preserve"> </w:t>
      </w:r>
      <w:r w:rsidRPr="00EA7FE2">
        <w:t xml:space="preserve">Overall, </w:t>
      </w:r>
      <w:proofErr w:type="spellStart"/>
      <w:r w:rsidRPr="00EA7FE2">
        <w:t>NbS</w:t>
      </w:r>
      <w:proofErr w:type="spellEnd"/>
      <w:r w:rsidRPr="00EA7FE2">
        <w:t xml:space="preserve"> offer an important contribution to Australia's international development commitments, aligning well with most priorities set out in the International Development Policy.</w:t>
      </w:r>
    </w:p>
    <w:p w14:paraId="1B91E884" w14:textId="77777777" w:rsidR="00EA7FE2" w:rsidRPr="00EA7FE2" w:rsidRDefault="00EA7FE2" w:rsidP="00B814D2">
      <w:proofErr w:type="spellStart"/>
      <w:r w:rsidRPr="003B59F7">
        <w:rPr>
          <w:b/>
          <w:color w:val="1D336D" w:themeColor="background2"/>
        </w:rPr>
        <w:t>NbS</w:t>
      </w:r>
      <w:proofErr w:type="spellEnd"/>
      <w:r w:rsidRPr="003B59F7">
        <w:rPr>
          <w:b/>
          <w:color w:val="1D336D" w:themeColor="background2"/>
        </w:rPr>
        <w:t xml:space="preserve"> respond to calls from the Indo-Pacific region, particularly those of Australia’s Pacific neighbours</w:t>
      </w:r>
      <w:r w:rsidRPr="003B59F7">
        <w:rPr>
          <w:color w:val="1D336D" w:themeColor="background2"/>
        </w:rPr>
        <w:t xml:space="preserve">. </w:t>
      </w:r>
      <w:r w:rsidRPr="00EA7FE2">
        <w:t xml:space="preserve">Investment stakeholders have voiced a strong commitment from their respective (local) governments to prioritise nature restoration and climate change adaptation. Notably, several partner governments have expressed a keen desire to leverage the findings and outcomes of the ongoing </w:t>
      </w:r>
      <w:proofErr w:type="spellStart"/>
      <w:r w:rsidRPr="00EA7FE2">
        <w:t>NbS</w:t>
      </w:r>
      <w:proofErr w:type="spellEnd"/>
      <w:r w:rsidRPr="00EA7FE2">
        <w:t xml:space="preserve"> projects to inform the development of national policies and implementation strategies.</w:t>
      </w:r>
    </w:p>
    <w:p w14:paraId="4791D6E9" w14:textId="24CF88B4" w:rsidR="00EA7FE2" w:rsidRPr="00EA7FE2" w:rsidRDefault="00EA7FE2" w:rsidP="00B814D2">
      <w:r w:rsidRPr="003B59F7">
        <w:rPr>
          <w:b/>
          <w:color w:val="1D336D" w:themeColor="background2"/>
        </w:rPr>
        <w:t xml:space="preserve">At the regional level, </w:t>
      </w:r>
      <w:proofErr w:type="spellStart"/>
      <w:r w:rsidRPr="003B59F7">
        <w:rPr>
          <w:b/>
          <w:color w:val="1D336D" w:themeColor="background2"/>
        </w:rPr>
        <w:t>NbS</w:t>
      </w:r>
      <w:proofErr w:type="spellEnd"/>
      <w:r w:rsidRPr="003B59F7">
        <w:rPr>
          <w:b/>
          <w:color w:val="1D336D" w:themeColor="background2"/>
        </w:rPr>
        <w:t xml:space="preserve"> possess the potential to significantly enhance the development policies of Australia's partner nations</w:t>
      </w:r>
      <w:r w:rsidRPr="003B59F7">
        <w:rPr>
          <w:color w:val="1D336D" w:themeColor="background2"/>
        </w:rPr>
        <w:t>.</w:t>
      </w:r>
      <w:r w:rsidRPr="00EA7FE2">
        <w:t xml:space="preserve"> Notably, </w:t>
      </w:r>
      <w:proofErr w:type="spellStart"/>
      <w:r w:rsidRPr="00EA7FE2">
        <w:t>NbS</w:t>
      </w:r>
      <w:proofErr w:type="spellEnd"/>
      <w:r w:rsidRPr="00EA7FE2">
        <w:t xml:space="preserve"> plays a crucial role in advancing the 2050 Strategy for the Blue Pacific Continent, particularly in the domains of people-centred development, climate change adaptation and mitigation, disaster risk reduction, ocean and environment, as well as economic development.</w:t>
      </w:r>
      <w:r w:rsidR="009F38A5">
        <w:rPr>
          <w:rStyle w:val="FootnoteReference"/>
        </w:rPr>
        <w:footnoteReference w:id="8"/>
      </w:r>
    </w:p>
    <w:p w14:paraId="40EE8302" w14:textId="6116B1AB" w:rsidR="00EA7FE2" w:rsidRPr="00EA7FE2" w:rsidRDefault="00EA7FE2" w:rsidP="00B814D2">
      <w:proofErr w:type="spellStart"/>
      <w:r w:rsidRPr="003B59F7">
        <w:rPr>
          <w:b/>
          <w:color w:val="1D336D" w:themeColor="background2"/>
        </w:rPr>
        <w:t>NbS</w:t>
      </w:r>
      <w:proofErr w:type="spellEnd"/>
      <w:r w:rsidRPr="003B59F7">
        <w:rPr>
          <w:b/>
          <w:color w:val="1D336D" w:themeColor="background2"/>
        </w:rPr>
        <w:t xml:space="preserve"> are designed to address the priorities of recipient communities, providing a ‘solution’ to their specific concerns</w:t>
      </w:r>
      <w:r w:rsidRPr="00EA7FE2">
        <w:t xml:space="preserve">. Throughout field visits, the adverse impacts of climate change on communities were observed, including the disappearance of 150 meters of mangrove ecosystem; erosion of 80 meters of coastline; the loss of coral reefs; depletion of coastal fish populations; and insufficient food production from local gardens. Communities expressed the profound impact of climate change on their livelihoods, community cohesion, and overall </w:t>
      </w:r>
      <w:r w:rsidR="006551F0">
        <w:t>wellbeing</w:t>
      </w:r>
      <w:r w:rsidRPr="00EA7FE2">
        <w:t>. These impacts are strengthening their commitment to forego short-term income in favour of undertaking efforts to restore their natural environment.</w:t>
      </w:r>
    </w:p>
    <w:p w14:paraId="76442040" w14:textId="56E1FDC5" w:rsidR="00150362" w:rsidRDefault="008D35B9" w:rsidP="008E1289">
      <w:proofErr w:type="spellStart"/>
      <w:r w:rsidRPr="003B59F7">
        <w:rPr>
          <w:b/>
          <w:color w:val="1D336D" w:themeColor="background2"/>
        </w:rPr>
        <w:t>NbS</w:t>
      </w:r>
      <w:proofErr w:type="spellEnd"/>
      <w:r w:rsidRPr="003B59F7">
        <w:rPr>
          <w:b/>
          <w:color w:val="1D336D" w:themeColor="background2"/>
        </w:rPr>
        <w:t xml:space="preserve"> provide opportunities to advance valuable and strategic contributions to GEDSI outcomes</w:t>
      </w:r>
      <w:r w:rsidRPr="003B59F7">
        <w:rPr>
          <w:color w:val="1D336D" w:themeColor="background2"/>
        </w:rPr>
        <w:t xml:space="preserve">. </w:t>
      </w:r>
      <w:r w:rsidR="00C71FBA" w:rsidRPr="00483189">
        <w:t>While existing GEDSI reporting primarily focuses on women's inclusion, there is a broader potential for considering the inclusion of other marginalised and vulnerable groups, such as people with disabilities, youth, people with diverse sexual orientations, gender identities, expressions, and sex characteristics (SOGIESC), and other disadvantaged communities. These groups, including women and girls in all their diversity, are heavily reliant on their natural environments and bear a disproportionate burden from the impacts of climate change.</w:t>
      </w:r>
      <w:r w:rsidR="00E57BB6">
        <w:rPr>
          <w:rStyle w:val="FootnoteReference"/>
        </w:rPr>
        <w:footnoteReference w:id="9"/>
      </w:r>
      <w:r w:rsidR="00772820">
        <w:t xml:space="preserve"> </w:t>
      </w:r>
      <w:proofErr w:type="spellStart"/>
      <w:r w:rsidR="00C71FBA" w:rsidRPr="00E57BB6">
        <w:t>NbS</w:t>
      </w:r>
      <w:proofErr w:type="spellEnd"/>
      <w:r w:rsidR="00C71FBA" w:rsidRPr="00E57BB6">
        <w:t xml:space="preserve"> initiatives should not only focus on the inclusion of these specific groups, but also serve as a path</w:t>
      </w:r>
      <w:r w:rsidR="00C71FBA" w:rsidRPr="00772820">
        <w:t xml:space="preserve">way to address underlying issues of structural inequality and exclusion. By adopting inclusive design and management practices, </w:t>
      </w:r>
      <w:proofErr w:type="spellStart"/>
      <w:r w:rsidR="00C71FBA" w:rsidRPr="00772820">
        <w:t>NbS</w:t>
      </w:r>
      <w:proofErr w:type="spellEnd"/>
      <w:r w:rsidR="00C71FBA" w:rsidRPr="00772820">
        <w:t xml:space="preserve"> projects can contribute to building more equitable and inclusive societies</w:t>
      </w:r>
      <w:r w:rsidR="0094177F">
        <w:t>.</w:t>
      </w:r>
    </w:p>
    <w:p w14:paraId="0C0C7039" w14:textId="439640E3" w:rsidR="00FC5DCE" w:rsidRDefault="00BC51F4" w:rsidP="008E1289">
      <w:pPr>
        <w:rPr>
          <w:b/>
          <w:bCs/>
          <w:color w:val="1D336D" w:themeColor="background2"/>
        </w:rPr>
      </w:pPr>
      <w:r w:rsidRPr="00BB5917">
        <w:rPr>
          <w:b/>
          <w:bCs/>
          <w:color w:val="1D336D" w:themeColor="background2"/>
        </w:rPr>
        <w:lastRenderedPageBreak/>
        <w:t xml:space="preserve">Box </w:t>
      </w:r>
      <w:r>
        <w:rPr>
          <w:b/>
          <w:bCs/>
          <w:color w:val="1D336D" w:themeColor="background2"/>
        </w:rPr>
        <w:t>2</w:t>
      </w:r>
      <w:r w:rsidRPr="00BB5917">
        <w:rPr>
          <w:b/>
          <w:bCs/>
          <w:color w:val="1D336D" w:themeColor="background2"/>
        </w:rPr>
        <w:t>: Defin</w:t>
      </w:r>
      <w:r w:rsidR="00664D2C">
        <w:rPr>
          <w:b/>
          <w:bCs/>
          <w:color w:val="1D336D" w:themeColor="background2"/>
        </w:rPr>
        <w:t>ition of livelihoods</w:t>
      </w:r>
    </w:p>
    <w:p w14:paraId="2668046F" w14:textId="4FBAED49" w:rsidR="00C35F89" w:rsidRPr="00C35F89" w:rsidRDefault="00C35F89" w:rsidP="00C35F89">
      <w:pPr>
        <w:pBdr>
          <w:top w:val="single" w:sz="4" w:space="1" w:color="auto"/>
          <w:left w:val="single" w:sz="4" w:space="4" w:color="auto"/>
          <w:bottom w:val="single" w:sz="4" w:space="1" w:color="auto"/>
          <w:right w:val="single" w:sz="4" w:space="4" w:color="auto"/>
        </w:pBdr>
        <w:shd w:val="clear" w:color="auto" w:fill="F2F2F2" w:themeFill="background1" w:themeFillShade="F2"/>
        <w:spacing w:before="240"/>
        <w:rPr>
          <w:iCs/>
          <w:color w:val="1D336C"/>
        </w:rPr>
      </w:pPr>
      <w:r>
        <w:rPr>
          <w:iCs/>
          <w:color w:val="1D336C"/>
        </w:rPr>
        <w:t>L</w:t>
      </w:r>
      <w:r w:rsidR="00670D14" w:rsidRPr="00670D14">
        <w:rPr>
          <w:iCs/>
          <w:color w:val="1D336C"/>
        </w:rPr>
        <w:t>ivelihoods are commonly understood as a means of earning income to sustain one's life and meet basic needs.  However, in the context of international development and the scope of this evaluation report, the definition of livelihoods is broader and encompasses the overall wellbeing of individuals. This includes not only income but also the five asset classes: human, natural, social, physical, and financial. Additionally, it considers people's vulnerability to various stresses and shocks, as well as the influence of policies, institutions, and processes on their livelihoods.  The projects reviewed as part of this evaluation have not necessarily defined the term "livelihood" and those who have, have not necessarily used the same definition as the one proposed above.</w:t>
      </w:r>
    </w:p>
    <w:p w14:paraId="7832FDC2" w14:textId="074CEF7F" w:rsidR="00EA7FE2" w:rsidRPr="00EA7FE2" w:rsidRDefault="00F56BFB" w:rsidP="00B814D2">
      <w:r>
        <w:br/>
      </w:r>
      <w:proofErr w:type="spellStart"/>
      <w:r w:rsidR="00EA7FE2" w:rsidRPr="003B59F7">
        <w:rPr>
          <w:b/>
          <w:color w:val="1D336D" w:themeColor="background2"/>
        </w:rPr>
        <w:t>NbS</w:t>
      </w:r>
      <w:proofErr w:type="spellEnd"/>
      <w:r w:rsidR="00EA7FE2" w:rsidRPr="003B59F7">
        <w:rPr>
          <w:b/>
          <w:color w:val="1D336D" w:themeColor="background2"/>
        </w:rPr>
        <w:t xml:space="preserve"> support local actors and local leadership</w:t>
      </w:r>
      <w:r w:rsidR="00EA7FE2" w:rsidRPr="00EA7FE2">
        <w:t xml:space="preserve">. </w:t>
      </w:r>
      <w:proofErr w:type="spellStart"/>
      <w:r w:rsidR="00EA7FE2" w:rsidRPr="00EA7FE2">
        <w:t>NbS</w:t>
      </w:r>
      <w:proofErr w:type="spellEnd"/>
      <w:r w:rsidR="00EA7FE2" w:rsidRPr="00EA7FE2">
        <w:t xml:space="preserve"> require a long-term commitment from the implementing communities that can only be achieved if the initiatives embrace local knowledge and are led by local actors. This not only works to achieve the three benefits of </w:t>
      </w:r>
      <w:proofErr w:type="spellStart"/>
      <w:r w:rsidR="00EA7FE2" w:rsidRPr="00EA7FE2">
        <w:t>NbS</w:t>
      </w:r>
      <w:proofErr w:type="spellEnd"/>
      <w:r w:rsidR="00EA7FE2" w:rsidRPr="00EA7FE2">
        <w:t xml:space="preserve"> (biodiversity, livelihoods and climate</w:t>
      </w:r>
      <w:r w:rsidR="00EA7FE2">
        <w:t>)</w:t>
      </w:r>
      <w:r w:rsidR="00EA7FE2" w:rsidRPr="00EA7FE2">
        <w:t xml:space="preserve">, it also empowers local communities by recognising their knowledge and expertise, ensuring meaningful participation in decision-making processes. The long-term commitment of </w:t>
      </w:r>
      <w:proofErr w:type="spellStart"/>
      <w:r w:rsidR="00EA7FE2" w:rsidRPr="00EA7FE2">
        <w:t>NbS</w:t>
      </w:r>
      <w:proofErr w:type="spellEnd"/>
      <w:r w:rsidR="00EA7FE2" w:rsidRPr="00EA7FE2">
        <w:t xml:space="preserve"> also provides an entry point for locally led </w:t>
      </w:r>
      <w:r w:rsidR="00EA7FE2" w:rsidRPr="006738CB">
        <w:t xml:space="preserve">initiatives, recognising the typical </w:t>
      </w:r>
      <w:proofErr w:type="spellStart"/>
      <w:r w:rsidR="00EA7FE2" w:rsidRPr="006738CB">
        <w:t>NbS</w:t>
      </w:r>
      <w:proofErr w:type="spellEnd"/>
      <w:r w:rsidR="00EA7FE2" w:rsidRPr="006738CB">
        <w:t xml:space="preserve"> timeframe necessitates the involvement of local civil society organisations and/or hybrid</w:t>
      </w:r>
      <w:r w:rsidR="006738CB">
        <w:t xml:space="preserve"> </w:t>
      </w:r>
      <w:r w:rsidR="00EA7FE2" w:rsidRPr="006738CB">
        <w:t>business structures. Consequently, strengthening the capacities of civil society organisations and (local) governments becomes crucial for enabling this process.</w:t>
      </w:r>
    </w:p>
    <w:p w14:paraId="573DE114" w14:textId="07F52726" w:rsidR="00EA7FE2" w:rsidRPr="00EA7FE2" w:rsidRDefault="00EA7FE2" w:rsidP="00B814D2">
      <w:proofErr w:type="spellStart"/>
      <w:r w:rsidRPr="003B59F7">
        <w:rPr>
          <w:b/>
          <w:color w:val="1D336D" w:themeColor="background2"/>
        </w:rPr>
        <w:t>NbS</w:t>
      </w:r>
      <w:proofErr w:type="spellEnd"/>
      <w:r w:rsidRPr="003B59F7">
        <w:rPr>
          <w:b/>
          <w:color w:val="1D336D" w:themeColor="background2"/>
        </w:rPr>
        <w:t xml:space="preserve"> make significant contributions to both climate change mitigation and adaptation efforts</w:t>
      </w:r>
      <w:r w:rsidRPr="003B59F7">
        <w:rPr>
          <w:color w:val="1D336D" w:themeColor="background2"/>
        </w:rPr>
        <w:t>.</w:t>
      </w:r>
      <w:r w:rsidRPr="00EA7FE2">
        <w:t xml:space="preserve"> For instance, in terms of mitigation, numerous projects are currently undergoing registration with international certification bodies to ensure the verification of their carbon credits. As for adaptation, integrating natural infrastructure, such as mangroves and wetlands into coastal development practices is proving to effectively enhance resilience against climate-related risks like </w:t>
      </w:r>
      <w:r w:rsidR="006551F0">
        <w:t>sea level</w:t>
      </w:r>
      <w:r w:rsidRPr="00EA7FE2">
        <w:t xml:space="preserve"> rise and extreme weather events.</w:t>
      </w:r>
    </w:p>
    <w:p w14:paraId="7BF0A1CA" w14:textId="1F8DAFEB" w:rsidR="00EA7FE2" w:rsidRPr="00EA7FE2" w:rsidRDefault="00EA7FE2" w:rsidP="00B814D2">
      <w:proofErr w:type="spellStart"/>
      <w:r w:rsidRPr="003B59F7">
        <w:rPr>
          <w:b/>
          <w:color w:val="1D336D" w:themeColor="background2"/>
        </w:rPr>
        <w:t>NbS</w:t>
      </w:r>
      <w:proofErr w:type="spellEnd"/>
      <w:r w:rsidRPr="003B59F7">
        <w:rPr>
          <w:b/>
          <w:color w:val="1D336D" w:themeColor="background2"/>
        </w:rPr>
        <w:t xml:space="preserve"> measurably contribute to livelihoods that extend beyond income</w:t>
      </w:r>
      <w:r w:rsidRPr="00EA7FE2">
        <w:t xml:space="preserve">, encompassing people's overall </w:t>
      </w:r>
      <w:r w:rsidR="006551F0">
        <w:t>wellbeing</w:t>
      </w:r>
      <w:r w:rsidRPr="00EA7FE2">
        <w:t xml:space="preserve">, including their assets, resilience to stresses and shocks, and agency. Communities bear the brunt of climate change impacts and are committed to restore their natural environment. To ensure sustained motivation for conservation efforts, </w:t>
      </w:r>
      <w:proofErr w:type="spellStart"/>
      <w:r w:rsidRPr="00EA7FE2">
        <w:t>NbS</w:t>
      </w:r>
      <w:proofErr w:type="spellEnd"/>
      <w:r w:rsidRPr="00EA7FE2">
        <w:t xml:space="preserve"> reviewed ensure that communities benefit through improved livelihoods that have tangible and meaningful effects on their </w:t>
      </w:r>
      <w:r w:rsidR="006551F0">
        <w:t>wellbeing</w:t>
      </w:r>
      <w:r w:rsidRPr="00EA7FE2">
        <w:t>.</w:t>
      </w:r>
    </w:p>
    <w:p w14:paraId="05C13FE6" w14:textId="48C28E27" w:rsidR="00067CE3" w:rsidRPr="004271B4" w:rsidRDefault="00EA7FE2" w:rsidP="00B814D2">
      <w:proofErr w:type="spellStart"/>
      <w:r w:rsidRPr="003B59F7">
        <w:rPr>
          <w:b/>
          <w:color w:val="1D336D" w:themeColor="background2"/>
        </w:rPr>
        <w:t>NbS</w:t>
      </w:r>
      <w:proofErr w:type="spellEnd"/>
      <w:r w:rsidRPr="003B59F7">
        <w:rPr>
          <w:b/>
          <w:color w:val="1D336D" w:themeColor="background2"/>
        </w:rPr>
        <w:t xml:space="preserve"> inherently embrace nature positivity and hold great potential for significant contributions to biodiversity conservation</w:t>
      </w:r>
      <w:r w:rsidRPr="00C7397A">
        <w:t xml:space="preserve">. All projects assessed throughout the evaluation had a positive impact on nature restoration. Several </w:t>
      </w:r>
      <w:proofErr w:type="spellStart"/>
      <w:r w:rsidRPr="00C7397A">
        <w:t>NbS</w:t>
      </w:r>
      <w:proofErr w:type="spellEnd"/>
      <w:r w:rsidRPr="00C7397A">
        <w:t xml:space="preserve"> assessed during this evaluation are progressing well and are poised to have demonstrable impacts on biodiversity within a medium-term timeframe. Recognising that biodiversity requires time to recover, it is crucial to allow these projects to scale up to a land</w:t>
      </w:r>
      <w:r w:rsidR="006551F0">
        <w:t>scape or seascape</w:t>
      </w:r>
      <w:r w:rsidRPr="00C7397A">
        <w:t xml:space="preserve"> size,</w:t>
      </w:r>
      <w:r w:rsidR="001416EB" w:rsidRPr="00C7397A">
        <w:rPr>
          <w:rStyle w:val="FootnoteReference"/>
        </w:rPr>
        <w:footnoteReference w:id="10"/>
      </w:r>
      <w:r w:rsidRPr="00C7397A">
        <w:t xml:space="preserve"> ensuring their effectiveness over larger ecosystems.</w:t>
      </w:r>
    </w:p>
    <w:p w14:paraId="4EE545D4" w14:textId="1168BF35" w:rsidR="00EA7FE2" w:rsidRDefault="00EA7FE2" w:rsidP="00B814D2">
      <w:proofErr w:type="spellStart"/>
      <w:r w:rsidRPr="003B59F7">
        <w:rPr>
          <w:b/>
          <w:color w:val="1D336D" w:themeColor="background2"/>
        </w:rPr>
        <w:t>NbS</w:t>
      </w:r>
      <w:proofErr w:type="spellEnd"/>
      <w:r w:rsidRPr="003B59F7">
        <w:rPr>
          <w:b/>
          <w:color w:val="1D336D" w:themeColor="background2"/>
        </w:rPr>
        <w:t xml:space="preserve"> require long-term blended finance that encourages experimentation with innovative development finance</w:t>
      </w:r>
      <w:r w:rsidRPr="00C7397A">
        <w:t xml:space="preserve">. The use of carbon credits is a proven multiplier for the investment of development funds. Several </w:t>
      </w:r>
      <w:proofErr w:type="spellStart"/>
      <w:r w:rsidRPr="00C7397A">
        <w:t>NbS</w:t>
      </w:r>
      <w:proofErr w:type="spellEnd"/>
      <w:r w:rsidRPr="00C7397A">
        <w:t xml:space="preserve"> are testing community enterprises to generate resources for nature and communities. </w:t>
      </w:r>
      <w:proofErr w:type="spellStart"/>
      <w:r w:rsidRPr="00C7397A">
        <w:t>NbS</w:t>
      </w:r>
      <w:proofErr w:type="spellEnd"/>
      <w:r w:rsidRPr="00C7397A">
        <w:t xml:space="preserve"> contributions to </w:t>
      </w:r>
      <w:r w:rsidR="15636B7E">
        <w:t xml:space="preserve">biodiversity, livelihoods, and </w:t>
      </w:r>
      <w:r>
        <w:t>climate</w:t>
      </w:r>
      <w:r w:rsidRPr="00C7397A">
        <w:t xml:space="preserve"> make them attractive for impact investment, albeit that more work is required on the exact modalities. Biodiversity credits are also a new and promising form of finance that can multiply the original investment of development funds.</w:t>
      </w:r>
    </w:p>
    <w:p w14:paraId="66520C47" w14:textId="31F14702" w:rsidR="004D2D0C" w:rsidRPr="002352A1" w:rsidRDefault="004D2D0C" w:rsidP="004D2D0C">
      <w:pPr>
        <w:pStyle w:val="Caption"/>
        <w:keepNext/>
        <w:rPr>
          <w:color w:val="1D336D" w:themeColor="background2"/>
        </w:rPr>
      </w:pPr>
      <w:r w:rsidRPr="002352A1">
        <w:rPr>
          <w:color w:val="1D336D" w:themeColor="background2"/>
        </w:rPr>
        <w:lastRenderedPageBreak/>
        <w:t xml:space="preserve">Table </w:t>
      </w:r>
      <w:r w:rsidRPr="002352A1">
        <w:rPr>
          <w:color w:val="1D336D" w:themeColor="background2"/>
        </w:rPr>
        <w:fldChar w:fldCharType="begin"/>
      </w:r>
      <w:r w:rsidRPr="002352A1">
        <w:rPr>
          <w:color w:val="1D336D" w:themeColor="background2"/>
        </w:rPr>
        <w:instrText xml:space="preserve"> SEQ Table \* ARABIC </w:instrText>
      </w:r>
      <w:r w:rsidRPr="002352A1">
        <w:rPr>
          <w:color w:val="1D336D" w:themeColor="background2"/>
        </w:rPr>
        <w:fldChar w:fldCharType="separate"/>
      </w:r>
      <w:r w:rsidR="003103FE">
        <w:rPr>
          <w:noProof/>
          <w:color w:val="1D336D" w:themeColor="background2"/>
        </w:rPr>
        <w:t>2</w:t>
      </w:r>
      <w:r w:rsidRPr="002352A1">
        <w:rPr>
          <w:color w:val="1D336D" w:themeColor="background2"/>
        </w:rPr>
        <w:fldChar w:fldCharType="end"/>
      </w:r>
      <w:r w:rsidRPr="002352A1">
        <w:rPr>
          <w:color w:val="1D336D" w:themeColor="background2"/>
        </w:rPr>
        <w:t>: Key strategic level findings (</w:t>
      </w:r>
      <w:r w:rsidR="00424BFB">
        <w:rPr>
          <w:color w:val="1D336D" w:themeColor="background2"/>
        </w:rPr>
        <w:t>R</w:t>
      </w:r>
      <w:r w:rsidRPr="002352A1">
        <w:rPr>
          <w:color w:val="1D336D" w:themeColor="background2"/>
        </w:rPr>
        <w:t>elevance)</w:t>
      </w:r>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FF5759" w:rsidRPr="00AC51BB" w14:paraId="71892F87" w14:textId="77777777" w:rsidTr="006E73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3E46453" w14:textId="77777777" w:rsidR="00FF5759" w:rsidRPr="00AC51BB" w:rsidRDefault="00FF5759">
            <w:pPr>
              <w:jc w:val="center"/>
              <w:rPr>
                <w:b/>
                <w:bCs/>
                <w:color w:val="1D336D" w:themeColor="background2"/>
              </w:rPr>
            </w:pPr>
            <w:r w:rsidRPr="00AC51BB">
              <w:rPr>
                <w:b/>
                <w:bCs/>
                <w:color w:val="1D336D" w:themeColor="background2"/>
              </w:rPr>
              <w:t>#</w:t>
            </w:r>
          </w:p>
        </w:tc>
        <w:tc>
          <w:tcPr>
            <w:tcW w:w="8924" w:type="dxa"/>
            <w:shd w:val="clear" w:color="auto" w:fill="F2F2F2" w:themeFill="background1" w:themeFillShade="F2"/>
          </w:tcPr>
          <w:p w14:paraId="1BE9C076" w14:textId="774E2AB4" w:rsidR="00FF5759" w:rsidRPr="00AC51BB" w:rsidRDefault="00FF5759">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sidRPr="00AC51BB">
              <w:rPr>
                <w:b/>
                <w:bCs/>
                <w:color w:val="1D336D" w:themeColor="background2"/>
              </w:rPr>
              <w:t>Finding</w:t>
            </w:r>
            <w:r w:rsidR="00602B30">
              <w:rPr>
                <w:b/>
                <w:bCs/>
                <w:color w:val="1D336D" w:themeColor="background2"/>
              </w:rPr>
              <w:t xml:space="preserve"> – Relevance</w:t>
            </w:r>
          </w:p>
        </w:tc>
      </w:tr>
      <w:tr w:rsidR="00FF5759" w:rsidRPr="0053529A" w14:paraId="2B40006A"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3B48ABF" w14:textId="77777777" w:rsidR="00FF5759" w:rsidRPr="0053529A" w:rsidRDefault="00FF5759">
            <w:pPr>
              <w:jc w:val="center"/>
              <w:rPr>
                <w:b/>
                <w:bCs/>
                <w:color w:val="1D336D" w:themeColor="background2"/>
              </w:rPr>
            </w:pPr>
            <w:r w:rsidRPr="0053529A">
              <w:rPr>
                <w:b/>
                <w:bCs/>
                <w:color w:val="1D336D" w:themeColor="background2"/>
              </w:rPr>
              <w:t>1</w:t>
            </w:r>
          </w:p>
        </w:tc>
        <w:tc>
          <w:tcPr>
            <w:tcW w:w="8924" w:type="dxa"/>
            <w:shd w:val="clear" w:color="auto" w:fill="auto"/>
          </w:tcPr>
          <w:p w14:paraId="203BA545" w14:textId="77777777" w:rsidR="00FF5759" w:rsidRPr="0053529A" w:rsidRDefault="00FF5759">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D4940">
              <w:rPr>
                <w:b/>
                <w:bCs/>
                <w:i/>
                <w:iCs/>
                <w:color w:val="1D336D" w:themeColor="background2"/>
              </w:rPr>
              <w:t xml:space="preserve">Overall, </w:t>
            </w:r>
            <w:proofErr w:type="spellStart"/>
            <w:r w:rsidRPr="003D4940">
              <w:rPr>
                <w:b/>
                <w:bCs/>
                <w:i/>
                <w:iCs/>
                <w:color w:val="1D336D" w:themeColor="background2"/>
              </w:rPr>
              <w:t>NbS</w:t>
            </w:r>
            <w:proofErr w:type="spellEnd"/>
            <w:r w:rsidRPr="003D4940">
              <w:rPr>
                <w:b/>
                <w:bCs/>
                <w:i/>
                <w:iCs/>
                <w:color w:val="1D336D" w:themeColor="background2"/>
              </w:rPr>
              <w:t xml:space="preserve"> initiatives align well with Australia's international development priorities and respond to the needs and priorities of partner communities and governments, particularly in the Pacific region</w:t>
            </w:r>
            <w:r w:rsidRPr="0053529A">
              <w:rPr>
                <w:i/>
                <w:iCs/>
                <w:color w:val="1D336D" w:themeColor="background2"/>
              </w:rPr>
              <w:t>.</w:t>
            </w:r>
          </w:p>
        </w:tc>
      </w:tr>
      <w:tr w:rsidR="00FF5759" w:rsidRPr="0053529A" w14:paraId="58E31A7E"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515CACC3" w14:textId="77777777" w:rsidR="00FF5759" w:rsidRPr="0053529A" w:rsidRDefault="00FF5759">
            <w:pPr>
              <w:jc w:val="center"/>
              <w:rPr>
                <w:b/>
                <w:bCs/>
                <w:color w:val="1D336D" w:themeColor="background2"/>
              </w:rPr>
            </w:pPr>
            <w:r w:rsidRPr="0053529A">
              <w:rPr>
                <w:b/>
                <w:bCs/>
                <w:color w:val="1D336D" w:themeColor="background2"/>
              </w:rPr>
              <w:t>2</w:t>
            </w:r>
          </w:p>
        </w:tc>
        <w:tc>
          <w:tcPr>
            <w:tcW w:w="8924" w:type="dxa"/>
            <w:shd w:val="clear" w:color="auto" w:fill="auto"/>
          </w:tcPr>
          <w:p w14:paraId="6B5C8EE7" w14:textId="77777777" w:rsidR="00FF5759" w:rsidRPr="0053529A" w:rsidRDefault="00FF5759">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A22470">
              <w:rPr>
                <w:b/>
                <w:bCs/>
                <w:i/>
                <w:iCs/>
                <w:color w:val="1D336D" w:themeColor="background2"/>
              </w:rPr>
              <w:t xml:space="preserve">Australia’s current </w:t>
            </w:r>
            <w:proofErr w:type="spellStart"/>
            <w:r w:rsidRPr="00A22470">
              <w:rPr>
                <w:b/>
                <w:bCs/>
                <w:i/>
                <w:iCs/>
                <w:color w:val="1D336D" w:themeColor="background2"/>
              </w:rPr>
              <w:t>NbS</w:t>
            </w:r>
            <w:proofErr w:type="spellEnd"/>
            <w:r w:rsidRPr="00A22470">
              <w:rPr>
                <w:b/>
                <w:bCs/>
                <w:i/>
                <w:iCs/>
                <w:color w:val="1D336D" w:themeColor="background2"/>
              </w:rPr>
              <w:t xml:space="preserve"> initiatives provide opportunities to advance gender equality, inclusion of vulnerable groups, and local leadership</w:t>
            </w:r>
            <w:r w:rsidRPr="0053529A">
              <w:rPr>
                <w:i/>
                <w:iCs/>
                <w:color w:val="1D336D" w:themeColor="background2"/>
              </w:rPr>
              <w:t>. Currently, GEDSI reporting is focused largely on women’s inclusion. There is greater potential for the consideration of people with disabilities, youth, people with diverse SOGIESC, and other marginalised and vulnerable groups.</w:t>
            </w:r>
          </w:p>
        </w:tc>
      </w:tr>
      <w:tr w:rsidR="00FF5759" w:rsidRPr="0053529A" w14:paraId="0335BCC1"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B7C473E" w14:textId="77777777" w:rsidR="00FF5759" w:rsidRPr="0053529A" w:rsidRDefault="00FF5759">
            <w:pPr>
              <w:jc w:val="center"/>
              <w:rPr>
                <w:b/>
                <w:bCs/>
                <w:color w:val="1D336D" w:themeColor="background2"/>
              </w:rPr>
            </w:pPr>
            <w:r w:rsidRPr="0053529A">
              <w:rPr>
                <w:b/>
                <w:bCs/>
                <w:color w:val="1D336D" w:themeColor="background2"/>
              </w:rPr>
              <w:t>3</w:t>
            </w:r>
          </w:p>
        </w:tc>
        <w:tc>
          <w:tcPr>
            <w:tcW w:w="8924" w:type="dxa"/>
            <w:shd w:val="clear" w:color="auto" w:fill="auto"/>
          </w:tcPr>
          <w:p w14:paraId="09C5C57B" w14:textId="61CE2F41" w:rsidR="00FF5759" w:rsidRPr="0053529A" w:rsidRDefault="00FF5759">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A22470">
              <w:rPr>
                <w:b/>
                <w:bCs/>
                <w:i/>
                <w:iCs/>
                <w:color w:val="1D336D" w:themeColor="background2"/>
              </w:rPr>
              <w:t xml:space="preserve">Long-term blended finance, including the use of carbon credits and community enterprises, is essential for supporting </w:t>
            </w:r>
            <w:proofErr w:type="spellStart"/>
            <w:r w:rsidRPr="00A22470">
              <w:rPr>
                <w:b/>
                <w:bCs/>
                <w:i/>
                <w:iCs/>
                <w:color w:val="1D336D" w:themeColor="background2"/>
              </w:rPr>
              <w:t>NbS</w:t>
            </w:r>
            <w:proofErr w:type="spellEnd"/>
            <w:r w:rsidRPr="00A22470">
              <w:rPr>
                <w:b/>
                <w:bCs/>
                <w:i/>
                <w:iCs/>
                <w:color w:val="1D336D" w:themeColor="background2"/>
              </w:rPr>
              <w:t xml:space="preserve"> and leveraging their contributions to </w:t>
            </w:r>
            <w:r w:rsidR="29C517D9" w:rsidRPr="25FA2EDA">
              <w:rPr>
                <w:b/>
                <w:bCs/>
                <w:i/>
                <w:iCs/>
                <w:color w:val="1D336D" w:themeColor="background2"/>
              </w:rPr>
              <w:t>biodiversity, livelihoods, and</w:t>
            </w:r>
            <w:r w:rsidR="4536E43B" w:rsidRPr="25FA2EDA">
              <w:rPr>
                <w:b/>
                <w:bCs/>
                <w:i/>
                <w:iCs/>
                <w:color w:val="1D336D" w:themeColor="background2"/>
              </w:rPr>
              <w:t xml:space="preserve"> </w:t>
            </w:r>
            <w:r w:rsidRPr="00A22470">
              <w:rPr>
                <w:b/>
                <w:bCs/>
                <w:i/>
                <w:iCs/>
                <w:color w:val="1D336D" w:themeColor="background2"/>
              </w:rPr>
              <w:t>climate</w:t>
            </w:r>
            <w:r w:rsidRPr="0053529A">
              <w:rPr>
                <w:i/>
                <w:iCs/>
                <w:color w:val="1D336D" w:themeColor="background2"/>
              </w:rPr>
              <w:t xml:space="preserve">. </w:t>
            </w:r>
            <w:proofErr w:type="spellStart"/>
            <w:r w:rsidRPr="0053529A">
              <w:rPr>
                <w:i/>
                <w:iCs/>
                <w:color w:val="1D336D" w:themeColor="background2"/>
              </w:rPr>
              <w:t>NbS</w:t>
            </w:r>
            <w:proofErr w:type="spellEnd"/>
            <w:r w:rsidRPr="0053529A">
              <w:rPr>
                <w:i/>
                <w:iCs/>
                <w:color w:val="1D336D" w:themeColor="background2"/>
              </w:rPr>
              <w:t xml:space="preserve"> present attractive opportunities for impact investment, but further work is needed to refine the modalities, including exploring the potential of biodiversity credits as a promising form of finance.</w:t>
            </w:r>
          </w:p>
        </w:tc>
      </w:tr>
    </w:tbl>
    <w:p w14:paraId="5CE32247" w14:textId="7FE08987" w:rsidR="00EA7FE2" w:rsidRPr="00EA7FE2" w:rsidRDefault="00EA7FE2" w:rsidP="00320961">
      <w:pPr>
        <w:pStyle w:val="Heading1"/>
      </w:pPr>
      <w:bookmarkStart w:id="31" w:name="_Toc164783047"/>
      <w:r w:rsidRPr="00320961">
        <w:t>Coherence</w:t>
      </w:r>
      <w:bookmarkEnd w:id="31"/>
      <w:r w:rsidRPr="00EA7FE2">
        <w:t xml:space="preserve"> </w:t>
      </w:r>
    </w:p>
    <w:p w14:paraId="10A6E26D" w14:textId="77777777" w:rsidR="00EA7FE2" w:rsidRPr="00EA7FE2" w:rsidRDefault="00EA7FE2" w:rsidP="00B814D2">
      <w:r w:rsidRPr="00EA7FE2">
        <w:t xml:space="preserve">This section assesses the compatibility of </w:t>
      </w:r>
      <w:proofErr w:type="spellStart"/>
      <w:r w:rsidRPr="00EA7FE2">
        <w:t>NbS</w:t>
      </w:r>
      <w:proofErr w:type="spellEnd"/>
      <w:r w:rsidRPr="00EA7FE2">
        <w:t xml:space="preserve"> with other development interventions, in particular policy support across the sector and at partner country level. It identifies the extent to which other interventions and </w:t>
      </w:r>
      <w:proofErr w:type="spellStart"/>
      <w:r w:rsidRPr="00EA7FE2">
        <w:t>NbS</w:t>
      </w:r>
      <w:proofErr w:type="spellEnd"/>
      <w:r w:rsidRPr="00EA7FE2">
        <w:t xml:space="preserve"> create synergies, duplication or even work against each other. This section first addresses </w:t>
      </w:r>
      <w:proofErr w:type="spellStart"/>
      <w:r w:rsidRPr="00EA7FE2">
        <w:t>NbS</w:t>
      </w:r>
      <w:proofErr w:type="spellEnd"/>
      <w:r w:rsidRPr="00EA7FE2">
        <w:t xml:space="preserve"> compatibility with other initiatives and then turns to the coherence with or support from the operating environment.</w:t>
      </w:r>
    </w:p>
    <w:p w14:paraId="7486809C" w14:textId="67229897" w:rsidR="00BE3FF6" w:rsidRPr="004271B4" w:rsidRDefault="00EA7FE2" w:rsidP="00B814D2">
      <w:proofErr w:type="spellStart"/>
      <w:r w:rsidRPr="003B59F7">
        <w:rPr>
          <w:b/>
          <w:color w:val="1D336D" w:themeColor="background2"/>
        </w:rPr>
        <w:t>NbS</w:t>
      </w:r>
      <w:proofErr w:type="spellEnd"/>
      <w:r w:rsidRPr="003B59F7">
        <w:rPr>
          <w:b/>
          <w:color w:val="1D336D" w:themeColor="background2"/>
        </w:rPr>
        <w:t xml:space="preserve"> align with most community-level development interventions</w:t>
      </w:r>
      <w:r w:rsidRPr="003B59F7">
        <w:rPr>
          <w:color w:val="1D336D" w:themeColor="background2"/>
        </w:rPr>
        <w:t xml:space="preserve"> </w:t>
      </w:r>
      <w:r w:rsidRPr="00EA7FE2">
        <w:t xml:space="preserve">as they adhere to sound development principles, particularly emphasising community engagement in both design and implementation processes. </w:t>
      </w:r>
      <w:proofErr w:type="spellStart"/>
      <w:r w:rsidRPr="00EA7FE2">
        <w:t>NbS</w:t>
      </w:r>
      <w:proofErr w:type="spellEnd"/>
      <w:r w:rsidRPr="00EA7FE2">
        <w:t xml:space="preserve"> inherently encompass broad and advantageous impacts, encompassing various environmental, social, and economic dimensions. Beyond the fundamental pillars of </w:t>
      </w:r>
      <w:proofErr w:type="spellStart"/>
      <w:r w:rsidRPr="00EA7FE2">
        <w:t>NbS</w:t>
      </w:r>
      <w:proofErr w:type="spellEnd"/>
      <w:r w:rsidRPr="00EA7FE2">
        <w:t xml:space="preserve"> (biodiversity, livelihoods and climate), </w:t>
      </w:r>
      <w:proofErr w:type="spellStart"/>
      <w:r w:rsidRPr="00EA7FE2">
        <w:t>NbS</w:t>
      </w:r>
      <w:proofErr w:type="spellEnd"/>
      <w:r w:rsidRPr="00EA7FE2">
        <w:t xml:space="preserve"> have the potential to yield positive effects on various other areas such as water resources, flood prevention, erosion control, soil health, GEDSI, community resilience, health, and education</w:t>
      </w:r>
      <w:r w:rsidR="00CF5F9F">
        <w:t>.</w:t>
      </w:r>
      <w:r w:rsidR="00CF5F9F">
        <w:rPr>
          <w:rStyle w:val="FootnoteReference"/>
        </w:rPr>
        <w:footnoteReference w:id="11"/>
      </w:r>
    </w:p>
    <w:p w14:paraId="29800554" w14:textId="4547F4C8" w:rsidR="00EA7FE2" w:rsidRPr="00EA7FE2" w:rsidRDefault="00EA7FE2" w:rsidP="00B814D2">
      <w:r w:rsidRPr="003B59F7">
        <w:rPr>
          <w:b/>
          <w:color w:val="1D336D" w:themeColor="background2"/>
        </w:rPr>
        <w:t xml:space="preserve">Given the multifaceted nature of competing demands, </w:t>
      </w:r>
      <w:proofErr w:type="spellStart"/>
      <w:r w:rsidRPr="003B59F7">
        <w:rPr>
          <w:b/>
          <w:color w:val="1D336D" w:themeColor="background2"/>
        </w:rPr>
        <w:t>NbS</w:t>
      </w:r>
      <w:proofErr w:type="spellEnd"/>
      <w:r w:rsidRPr="003B59F7">
        <w:rPr>
          <w:b/>
          <w:color w:val="1D336D" w:themeColor="background2"/>
        </w:rPr>
        <w:t xml:space="preserve"> necessitate the integration of expertise across all their constituent components</w:t>
      </w:r>
      <w:r w:rsidRPr="00EA7FE2">
        <w:t xml:space="preserve">. Additionally, contextual obstacles can potentially diminish the effectiveness of </w:t>
      </w:r>
      <w:proofErr w:type="spellStart"/>
      <w:r w:rsidRPr="00EA7FE2">
        <w:t>NbS</w:t>
      </w:r>
      <w:proofErr w:type="spellEnd"/>
      <w:r w:rsidRPr="00EA7FE2">
        <w:t>, highlighting the need for increased expertise and complementary interventions to establish an enabling operational framework. In the subsequent paragraphs, the importance of expert inputs is examined initially, followed by an exploration of relevant contextual factors.</w:t>
      </w:r>
    </w:p>
    <w:p w14:paraId="2BC18740" w14:textId="25CA2799" w:rsidR="00EA7FE2" w:rsidRPr="00EA7FE2" w:rsidRDefault="00EA7FE2" w:rsidP="00B814D2">
      <w:proofErr w:type="spellStart"/>
      <w:r w:rsidRPr="003B59F7">
        <w:rPr>
          <w:b/>
          <w:color w:val="1D336D" w:themeColor="background2"/>
        </w:rPr>
        <w:t>NbS</w:t>
      </w:r>
      <w:proofErr w:type="spellEnd"/>
      <w:r w:rsidRPr="003B59F7">
        <w:rPr>
          <w:b/>
          <w:color w:val="1D336D" w:themeColor="background2"/>
        </w:rPr>
        <w:t xml:space="preserve"> with access to a high level of expertise are navigating the pilot phase more effectively</w:t>
      </w:r>
      <w:r w:rsidRPr="00EA7FE2">
        <w:t xml:space="preserve">. To optimise their diverse range of outcomes, </w:t>
      </w:r>
      <w:proofErr w:type="spellStart"/>
      <w:r w:rsidRPr="00EA7FE2">
        <w:t>NbS</w:t>
      </w:r>
      <w:proofErr w:type="spellEnd"/>
      <w:r w:rsidRPr="00EA7FE2">
        <w:t xml:space="preserve"> must utilise their resources efficiently, fine-tune activities, and capitalise on potential synergies. Designing and refining </w:t>
      </w:r>
      <w:proofErr w:type="spellStart"/>
      <w:r w:rsidRPr="00EA7FE2">
        <w:t>NbS</w:t>
      </w:r>
      <w:proofErr w:type="spellEnd"/>
      <w:r w:rsidRPr="00EA7FE2">
        <w:t xml:space="preserve"> activities in complex contexts necessitates expert knowledge that not all projects have been able to access. For instance, various projects</w:t>
      </w:r>
      <w:r w:rsidR="006551F0">
        <w:t xml:space="preserve"> are</w:t>
      </w:r>
      <w:r w:rsidRPr="00EA7FE2">
        <w:t xml:space="preserve"> focused on the conservation or restoration of mangroves, with one project engaging Australian experts to test different approaches, including the establishment of multiple nurseries and the comparison of propagation methods. In contrast, another project relied on the expertise of the local Ministry of Environment but found </w:t>
      </w:r>
      <w:r w:rsidRPr="00EA7FE2">
        <w:lastRenderedPageBreak/>
        <w:t xml:space="preserve">that standard methodologies had limited effectiveness in addressing local challenges such as </w:t>
      </w:r>
      <w:r w:rsidR="006551F0">
        <w:t>sea level</w:t>
      </w:r>
      <w:r w:rsidRPr="00EA7FE2">
        <w:t xml:space="preserve"> rise and soil salination. A third project has decided to focus only on the protection of mangroves because the restoration is too complex, and expertise is not available. Similarly, the GEDSI elements of most projects were limited to equal representation and consultation of women and men. However, one project was able to expand their GEDSI efforts through access to a technical GEDSI advisor. With technical guidance, the project was able to design a process that utilised </w:t>
      </w:r>
      <w:proofErr w:type="spellStart"/>
      <w:r w:rsidRPr="00EA7FE2">
        <w:t>NbS</w:t>
      </w:r>
      <w:proofErr w:type="spellEnd"/>
      <w:r w:rsidRPr="00EA7FE2">
        <w:t xml:space="preserve"> for addressing unequal gender roles and achieving a better balance of workload between spouses. Comparable examples of leveraging expertise are available for environmental safeguards, disaster</w:t>
      </w:r>
      <w:r w:rsidR="006551F0">
        <w:t xml:space="preserve"> risk</w:t>
      </w:r>
      <w:r w:rsidRPr="00EA7FE2">
        <w:t xml:space="preserve"> reduction, financing options, political economy of incentives, and governance systems specific to </w:t>
      </w:r>
      <w:proofErr w:type="spellStart"/>
      <w:r w:rsidRPr="00EA7FE2">
        <w:t>NbS</w:t>
      </w:r>
      <w:proofErr w:type="spellEnd"/>
      <w:r w:rsidRPr="00EA7FE2">
        <w:t>.</w:t>
      </w:r>
    </w:p>
    <w:p w14:paraId="3A733D59" w14:textId="5C46BBEE" w:rsidR="00EA7FE2" w:rsidRPr="00EA7FE2" w:rsidRDefault="00EA7FE2" w:rsidP="00B814D2">
      <w:r w:rsidRPr="00EA7FE2">
        <w:t>The operating environment of any initiative comprises two essential aspects: internal coherence and external coherence. Internal coherence refers to the operating environment facilitated by DFAT for its investments.</w:t>
      </w:r>
      <w:r w:rsidR="00CF5F9F">
        <w:t xml:space="preserve"> </w:t>
      </w:r>
      <w:r w:rsidRPr="00EA7FE2">
        <w:t xml:space="preserve">External coherence is the operating environment at the international, country, and community levels. The following paragraphs provide a brief overview of both dimensions in relation to DFAT’s </w:t>
      </w:r>
      <w:proofErr w:type="spellStart"/>
      <w:r w:rsidRPr="00EA7FE2">
        <w:t>NbS</w:t>
      </w:r>
      <w:proofErr w:type="spellEnd"/>
      <w:r w:rsidRPr="00EA7FE2">
        <w:t xml:space="preserve"> investments:</w:t>
      </w:r>
    </w:p>
    <w:p w14:paraId="72055B31" w14:textId="77777777" w:rsidR="00EA7FE2" w:rsidRPr="00EA7FE2" w:rsidRDefault="00EA7FE2" w:rsidP="00B814D2">
      <w:r w:rsidRPr="003B59F7">
        <w:rPr>
          <w:b/>
          <w:color w:val="1D336D" w:themeColor="background2"/>
        </w:rPr>
        <w:t>Enhancing internal coherence can be achieved through the provision of additional guidance from DFAT</w:t>
      </w:r>
      <w:r w:rsidRPr="003B59F7">
        <w:rPr>
          <w:color w:val="1D336D" w:themeColor="background2"/>
        </w:rPr>
        <w:t xml:space="preserve">. </w:t>
      </w:r>
      <w:r w:rsidRPr="00EA7FE2">
        <w:t xml:space="preserve">Throughout the evaluation process, a diverse range of </w:t>
      </w:r>
      <w:proofErr w:type="spellStart"/>
      <w:r w:rsidRPr="00EA7FE2">
        <w:t>NbS</w:t>
      </w:r>
      <w:proofErr w:type="spellEnd"/>
      <w:r w:rsidRPr="00EA7FE2">
        <w:t xml:space="preserve"> projects was observed, showcasing varying levels of quality. These projects adopted different interpretations of </w:t>
      </w:r>
      <w:proofErr w:type="spellStart"/>
      <w:r w:rsidRPr="00EA7FE2">
        <w:t>NbS</w:t>
      </w:r>
      <w:proofErr w:type="spellEnd"/>
      <w:r w:rsidRPr="00EA7FE2">
        <w:t xml:space="preserve">, which influenced their approaches to implementation. For instance, many projects struggled to define the requirements for achieving nature positivity within DFAT funded </w:t>
      </w:r>
      <w:proofErr w:type="spellStart"/>
      <w:r w:rsidRPr="00EA7FE2">
        <w:t>NbS</w:t>
      </w:r>
      <w:proofErr w:type="spellEnd"/>
      <w:r w:rsidRPr="00EA7FE2">
        <w:t>. Consequently, nature-positive components included activities ranging from tree planting to biodiversity assessments at the landscape level. In contrast, projects that were subject to external biodiversity requirements, such as those seeking carbon credit certification, demonstrated more comprehensive plans and measurements for biodiversity outcomes.</w:t>
      </w:r>
    </w:p>
    <w:p w14:paraId="562EE54F" w14:textId="27515714" w:rsidR="00BE3FF6" w:rsidRPr="004271B4" w:rsidRDefault="00EA7FE2" w:rsidP="00B814D2">
      <w:r w:rsidRPr="003B59F7">
        <w:rPr>
          <w:b/>
          <w:color w:val="1D336D" w:themeColor="background2"/>
        </w:rPr>
        <w:t xml:space="preserve">The absence of unified guidance for all </w:t>
      </w:r>
      <w:proofErr w:type="spellStart"/>
      <w:r w:rsidRPr="003B59F7">
        <w:rPr>
          <w:b/>
          <w:color w:val="1D336D" w:themeColor="background2"/>
        </w:rPr>
        <w:t>NbS</w:t>
      </w:r>
      <w:proofErr w:type="spellEnd"/>
      <w:r w:rsidRPr="003B59F7">
        <w:rPr>
          <w:b/>
          <w:color w:val="1D336D" w:themeColor="background2"/>
        </w:rPr>
        <w:t xml:space="preserve"> initiatives potentially hindered the development of consistent </w:t>
      </w:r>
      <w:proofErr w:type="spellStart"/>
      <w:r w:rsidRPr="003B59F7">
        <w:rPr>
          <w:b/>
          <w:color w:val="1D336D" w:themeColor="background2"/>
        </w:rPr>
        <w:t>NbS</w:t>
      </w:r>
      <w:proofErr w:type="spellEnd"/>
      <w:r w:rsidRPr="003B59F7">
        <w:rPr>
          <w:b/>
          <w:color w:val="1D336D" w:themeColor="background2"/>
        </w:rPr>
        <w:t xml:space="preserve"> designs and impeded the ability to draw lessons based on standardised progress measurements</w:t>
      </w:r>
      <w:r w:rsidRPr="00EA7FE2">
        <w:t xml:space="preserve">. A definition for all </w:t>
      </w:r>
      <w:proofErr w:type="spellStart"/>
      <w:r w:rsidRPr="00EA7FE2">
        <w:t>NbS</w:t>
      </w:r>
      <w:proofErr w:type="spellEnd"/>
      <w:r w:rsidRPr="00EA7FE2">
        <w:t xml:space="preserve"> investments could serve as a guiding framework, promoting a common measurement system focused on the three key pillars of </w:t>
      </w:r>
      <w:proofErr w:type="spellStart"/>
      <w:r w:rsidRPr="00EA7FE2">
        <w:t>NbS</w:t>
      </w:r>
      <w:proofErr w:type="spellEnd"/>
      <w:r w:rsidRPr="00EA7FE2">
        <w:t xml:space="preserve"> (biodiversity, livelihoods and climate), key criteria, and DFAT</w:t>
      </w:r>
      <w:r w:rsidR="00F4404A">
        <w:t>’</w:t>
      </w:r>
      <w:r w:rsidRPr="00EA7FE2">
        <w:t xml:space="preserve">s cross-cutting priorities. Such a framework, implemented at the DFAT level and subsequently adopted at the investment and project levels, could facilitate the comparison of effectiveness among the varying projects. For instance, while most project proposals included EOPOs, few have incorporated measurements for the three key pillars of </w:t>
      </w:r>
      <w:proofErr w:type="spellStart"/>
      <w:r w:rsidRPr="00EA7FE2">
        <w:t>NbS</w:t>
      </w:r>
      <w:proofErr w:type="spellEnd"/>
      <w:r w:rsidRPr="00EA7FE2">
        <w:t xml:space="preserve">. Consequently, each project reported progress based on their specific EOPOs without overarching outcome measurements. The lack of standardised outcomes and measurement approaches hampers the ability to compare the effectiveness of </w:t>
      </w:r>
      <w:proofErr w:type="spellStart"/>
      <w:r w:rsidRPr="00EA7FE2">
        <w:t>NbS</w:t>
      </w:r>
      <w:proofErr w:type="spellEnd"/>
      <w:r w:rsidRPr="00EA7FE2">
        <w:t xml:space="preserve"> projects and limits the extraction of lessons at the portfolio level.</w:t>
      </w:r>
    </w:p>
    <w:p w14:paraId="541E378B" w14:textId="20437010" w:rsidR="00EA7FE2" w:rsidRPr="00EA7FE2" w:rsidRDefault="00EA7FE2" w:rsidP="00B814D2">
      <w:r w:rsidRPr="003B59F7">
        <w:rPr>
          <w:b/>
          <w:color w:val="1D336D" w:themeColor="background2"/>
        </w:rPr>
        <w:t>External coherence poses a challenge for all investments</w:t>
      </w:r>
      <w:r w:rsidRPr="00EA7FE2">
        <w:t xml:space="preserve">, with the Pacific Blue Carbon project demonstrating the most consistent efforts in addressing this aspect. The project effectively incorporates community-level </w:t>
      </w:r>
      <w:proofErr w:type="spellStart"/>
      <w:r w:rsidRPr="00EA7FE2">
        <w:t>NbS</w:t>
      </w:r>
      <w:proofErr w:type="spellEnd"/>
      <w:r w:rsidRPr="00EA7FE2">
        <w:t xml:space="preserve"> activities with components focused on supporting national policies, international policies and guidelines, as well as scientific research. This integrated approach, which combines bottom-up work with elements that address the broader operating context, appears to contribute to higher impact even in the early stages of implementation. However, other projects visited by the evaluation team reported similar challenges related to external coherence that were either unaddressed or difficult to address.</w:t>
      </w:r>
    </w:p>
    <w:p w14:paraId="2FF291D9" w14:textId="4BEDE09B" w:rsidR="00EA7FE2" w:rsidRPr="00EA7FE2" w:rsidRDefault="00EA7FE2" w:rsidP="00B814D2">
      <w:r w:rsidRPr="003B59F7">
        <w:rPr>
          <w:b/>
          <w:color w:val="1D336D" w:themeColor="background2"/>
        </w:rPr>
        <w:t>One of the most formidable challenges faced by all projects is the escalating impacts of climate change</w:t>
      </w:r>
      <w:r w:rsidRPr="00EA7FE2">
        <w:t>. In certain areas, mangroves have been lost at a rate of approximately 150 meters over a decade, resulting in coastal erosion. Restoring these mangroves at the same pace they disappear requires significant interventions that go beyond the capacity of local communities. Additionally, threats such as soil runoff,</w:t>
      </w:r>
      <w:r w:rsidR="00C36684">
        <w:t xml:space="preserve"> </w:t>
      </w:r>
      <w:r w:rsidRPr="00EA7FE2">
        <w:t xml:space="preserve">changing rainfall patterns, landownership rights, and rising sea levels extend beyond the reach of </w:t>
      </w:r>
      <w:proofErr w:type="spellStart"/>
      <w:r w:rsidRPr="00EA7FE2">
        <w:t>NbS</w:t>
      </w:r>
      <w:proofErr w:type="spellEnd"/>
      <w:r w:rsidRPr="00EA7FE2">
        <w:t xml:space="preserve"> projects.</w:t>
      </w:r>
    </w:p>
    <w:p w14:paraId="07D1F5CC" w14:textId="3D0462DD" w:rsidR="00EA7FE2" w:rsidRPr="00EA7FE2" w:rsidRDefault="00EA7FE2" w:rsidP="00B814D2">
      <w:r w:rsidRPr="003B59F7">
        <w:rPr>
          <w:b/>
          <w:color w:val="1D336D" w:themeColor="background2"/>
        </w:rPr>
        <w:lastRenderedPageBreak/>
        <w:t>Another common challenge relates to the regulatory framework and the capacity of government counterparts</w:t>
      </w:r>
      <w:r w:rsidRPr="00EA7FE2">
        <w:t xml:space="preserve">. Regulatory arrangements at the country level exhibit variability and are largely incomplete. Various investments are currently aiding government counterparts in formulating and enhancing a regulatory framework for </w:t>
      </w:r>
      <w:proofErr w:type="spellStart"/>
      <w:r w:rsidRPr="00EA7FE2">
        <w:t>NbS</w:t>
      </w:r>
      <w:proofErr w:type="spellEnd"/>
      <w:r w:rsidRPr="00EA7FE2">
        <w:t xml:space="preserve">, carbon ownership, and access to carbon markets, among other areas. Given the limited expertise of governments in these domains, technical advisory services relating to </w:t>
      </w:r>
      <w:proofErr w:type="spellStart"/>
      <w:r w:rsidRPr="00EA7FE2">
        <w:t>NbS</w:t>
      </w:r>
      <w:proofErr w:type="spellEnd"/>
      <w:r w:rsidRPr="00EA7FE2">
        <w:t xml:space="preserve"> regulatory frameworks should be provided to local governments, supporting them to make well-informed decisions regarding their options.</w:t>
      </w:r>
      <w:r w:rsidR="009A3089">
        <w:t xml:space="preserve"> </w:t>
      </w:r>
      <w:r w:rsidRPr="00EA7FE2">
        <w:t xml:space="preserve">Several projects rely on government expertise to assume responsibility for </w:t>
      </w:r>
      <w:proofErr w:type="spellStart"/>
      <w:r w:rsidRPr="00EA7FE2">
        <w:t>NbS</w:t>
      </w:r>
      <w:proofErr w:type="spellEnd"/>
      <w:r w:rsidRPr="00EA7FE2">
        <w:t xml:space="preserve"> initiatives in the medium term. While some government departments exhibit keen interest and demonstrate sufficient capacity to take over these projects, others face challenges of understaffing and limited capabilities to handle the complex implementation requirements of </w:t>
      </w:r>
      <w:proofErr w:type="spellStart"/>
      <w:r w:rsidRPr="00EA7FE2">
        <w:t>NbS</w:t>
      </w:r>
      <w:proofErr w:type="spellEnd"/>
      <w:r w:rsidRPr="00EA7FE2">
        <w:t xml:space="preserve">. Some projects require administrative interventions from the government, such as approving the protected status of project locations, which can be time-consuming and resource-intensive due to the limited capacity of government counterparts to process </w:t>
      </w:r>
      <w:proofErr w:type="spellStart"/>
      <w:r w:rsidRPr="00EA7FE2">
        <w:t>NbS</w:t>
      </w:r>
      <w:proofErr w:type="spellEnd"/>
      <w:r w:rsidRPr="00EA7FE2">
        <w:t>-related requests.</w:t>
      </w:r>
    </w:p>
    <w:p w14:paraId="5D48D427" w14:textId="26FF2878" w:rsidR="00B87D5E" w:rsidRPr="00D936D6" w:rsidRDefault="00EA7FE2" w:rsidP="00D936D6">
      <w:r w:rsidRPr="003B59F7">
        <w:rPr>
          <w:b/>
          <w:color w:val="1D336D" w:themeColor="background2"/>
        </w:rPr>
        <w:t>At the international level, certain challenges also emerge</w:t>
      </w:r>
      <w:r w:rsidRPr="00C53A60">
        <w:t>. For instance, all blue carbon projects face the issue that the Intergovernmental Panel on Climate Change (IPCC) has not issued guidance on various blue carbon ecosystems, including tidal marshes, seagrass meadows, and kelp forests. Consequently, countries lack clarity on how to apply Article 6 to internationally traded blue carbon credits.</w:t>
      </w:r>
      <w:r w:rsidR="00DE6EFB" w:rsidRPr="00C53A60">
        <w:rPr>
          <w:rStyle w:val="FootnoteReference"/>
        </w:rPr>
        <w:footnoteReference w:id="12"/>
      </w:r>
      <w:r w:rsidRPr="00C53A60">
        <w:t xml:space="preserve"> Another international challenge affecting </w:t>
      </w:r>
      <w:proofErr w:type="spellStart"/>
      <w:r w:rsidRPr="00C53A60">
        <w:t>NbS</w:t>
      </w:r>
      <w:proofErr w:type="spellEnd"/>
      <w:r w:rsidRPr="00C53A60">
        <w:t xml:space="preserve"> is that most projects in the Pacific employ Plan Vivo certification,</w:t>
      </w:r>
      <w:r w:rsidR="004F3F84" w:rsidRPr="00C53A60">
        <w:rPr>
          <w:rStyle w:val="FootnoteReference"/>
        </w:rPr>
        <w:footnoteReference w:id="13"/>
      </w:r>
      <w:r w:rsidRPr="00C53A60">
        <w:t xml:space="preserve"> yet Plan Vivo credits are not recognised for sale in Australia under the Climate Active Carbon Neutral Standard.</w:t>
      </w:r>
      <w:r w:rsidR="00C50CDB" w:rsidRPr="00C53A60">
        <w:rPr>
          <w:rStyle w:val="FootnoteReference"/>
        </w:rPr>
        <w:footnoteReference w:id="14"/>
      </w:r>
      <w:r w:rsidRPr="00C53A60">
        <w:t xml:space="preserve"> Consequently, no carbon credits from the Pacific under Plan Vivo have been sold in Australia.</w:t>
      </w:r>
    </w:p>
    <w:p w14:paraId="49728883" w14:textId="18271D7B" w:rsidR="00B87D5E" w:rsidRPr="00F56BFB" w:rsidRDefault="00B87D5E" w:rsidP="00F56BFB">
      <w:pPr>
        <w:pStyle w:val="Caption"/>
        <w:keepNext/>
        <w:rPr>
          <w:color w:val="1D336D" w:themeColor="background2"/>
        </w:rPr>
      </w:pPr>
      <w:r w:rsidRPr="002352A1">
        <w:rPr>
          <w:color w:val="1D336D" w:themeColor="background2"/>
        </w:rPr>
        <w:t xml:space="preserve">Table </w:t>
      </w:r>
      <w:r w:rsidRPr="002352A1">
        <w:rPr>
          <w:color w:val="1D336D" w:themeColor="background2"/>
        </w:rPr>
        <w:fldChar w:fldCharType="begin"/>
      </w:r>
      <w:r w:rsidRPr="002352A1">
        <w:rPr>
          <w:color w:val="1D336D" w:themeColor="background2"/>
        </w:rPr>
        <w:instrText xml:space="preserve"> SEQ Table \* ARABIC </w:instrText>
      </w:r>
      <w:r w:rsidRPr="002352A1">
        <w:rPr>
          <w:color w:val="1D336D" w:themeColor="background2"/>
        </w:rPr>
        <w:fldChar w:fldCharType="separate"/>
      </w:r>
      <w:r w:rsidR="003103FE">
        <w:rPr>
          <w:noProof/>
          <w:color w:val="1D336D" w:themeColor="background2"/>
        </w:rPr>
        <w:t>3</w:t>
      </w:r>
      <w:r w:rsidRPr="002352A1">
        <w:rPr>
          <w:color w:val="1D336D" w:themeColor="background2"/>
        </w:rPr>
        <w:fldChar w:fldCharType="end"/>
      </w:r>
      <w:r w:rsidRPr="002352A1">
        <w:rPr>
          <w:color w:val="1D336D" w:themeColor="background2"/>
        </w:rPr>
        <w:t>: Key strategic level findings (</w:t>
      </w:r>
      <w:r w:rsidR="00424BFB">
        <w:rPr>
          <w:color w:val="1D336D" w:themeColor="background2"/>
        </w:rPr>
        <w:t>C</w:t>
      </w:r>
      <w:r w:rsidRPr="002352A1">
        <w:rPr>
          <w:color w:val="1D336D" w:themeColor="background2"/>
        </w:rPr>
        <w:t>oherence)</w:t>
      </w:r>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813DEA" w:rsidRPr="00AC51BB" w14:paraId="3BE55AD5" w14:textId="77777777" w:rsidTr="006E73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F14910A" w14:textId="77777777" w:rsidR="00813DEA" w:rsidRPr="00AC51BB" w:rsidRDefault="00813DEA">
            <w:pPr>
              <w:jc w:val="center"/>
              <w:rPr>
                <w:b/>
                <w:bCs/>
                <w:color w:val="1D336D" w:themeColor="background2"/>
              </w:rPr>
            </w:pPr>
            <w:r w:rsidRPr="00AC51BB">
              <w:rPr>
                <w:b/>
                <w:bCs/>
                <w:color w:val="1D336D" w:themeColor="background2"/>
              </w:rPr>
              <w:t>#</w:t>
            </w:r>
          </w:p>
        </w:tc>
        <w:tc>
          <w:tcPr>
            <w:tcW w:w="8924" w:type="dxa"/>
            <w:shd w:val="clear" w:color="auto" w:fill="F2F2F2" w:themeFill="background1" w:themeFillShade="F2"/>
          </w:tcPr>
          <w:p w14:paraId="530D2F88" w14:textId="13A701BA" w:rsidR="00813DEA" w:rsidRPr="00AC51BB" w:rsidRDefault="00813DEA">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sidRPr="00AC51BB">
              <w:rPr>
                <w:b/>
                <w:bCs/>
                <w:color w:val="1D336D" w:themeColor="background2"/>
              </w:rPr>
              <w:t>Finding</w:t>
            </w:r>
            <w:r w:rsidR="00602B30">
              <w:rPr>
                <w:b/>
                <w:bCs/>
                <w:color w:val="1D336D" w:themeColor="background2"/>
              </w:rPr>
              <w:t xml:space="preserve"> – Coherence </w:t>
            </w:r>
          </w:p>
        </w:tc>
      </w:tr>
      <w:tr w:rsidR="00813DEA" w:rsidRPr="00A22470" w14:paraId="33CDB14F"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5A43099" w14:textId="77777777" w:rsidR="00813DEA" w:rsidRPr="00A22470" w:rsidRDefault="00813DEA">
            <w:pPr>
              <w:jc w:val="center"/>
              <w:rPr>
                <w:b/>
                <w:bCs/>
                <w:color w:val="1D336D" w:themeColor="background2"/>
              </w:rPr>
            </w:pPr>
            <w:r w:rsidRPr="00A22470">
              <w:rPr>
                <w:b/>
                <w:bCs/>
                <w:color w:val="1D336D" w:themeColor="background2"/>
              </w:rPr>
              <w:t>4</w:t>
            </w:r>
          </w:p>
        </w:tc>
        <w:tc>
          <w:tcPr>
            <w:tcW w:w="8924" w:type="dxa"/>
            <w:shd w:val="clear" w:color="auto" w:fill="auto"/>
          </w:tcPr>
          <w:p w14:paraId="06E900BB" w14:textId="77777777" w:rsidR="00813DEA" w:rsidRPr="00A22470" w:rsidRDefault="00813DEA">
            <w:pPr>
              <w:cnfStyle w:val="000000100000" w:firstRow="0" w:lastRow="0" w:firstColumn="0" w:lastColumn="0" w:oddVBand="0" w:evenVBand="0" w:oddHBand="1" w:evenHBand="0" w:firstRowFirstColumn="0" w:firstRowLastColumn="0" w:lastRowFirstColumn="0" w:lastRowLastColumn="0"/>
              <w:rPr>
                <w:i/>
                <w:iCs/>
                <w:color w:val="1D336D" w:themeColor="background2"/>
              </w:rPr>
            </w:pPr>
            <w:proofErr w:type="spellStart"/>
            <w:r w:rsidRPr="00A22470">
              <w:rPr>
                <w:b/>
                <w:bCs/>
                <w:i/>
                <w:iCs/>
                <w:color w:val="1D336D" w:themeColor="background2"/>
              </w:rPr>
              <w:t>NbS</w:t>
            </w:r>
            <w:proofErr w:type="spellEnd"/>
            <w:r w:rsidRPr="00A22470">
              <w:rPr>
                <w:b/>
                <w:bCs/>
                <w:i/>
                <w:iCs/>
                <w:color w:val="1D336D" w:themeColor="background2"/>
              </w:rPr>
              <w:t xml:space="preserve"> align well with community-level development interventions and demonstrate broad positive impacts across environmental, social, and economic dimensions</w:t>
            </w:r>
            <w:r w:rsidRPr="00A22470">
              <w:rPr>
                <w:i/>
                <w:iCs/>
                <w:color w:val="1D336D" w:themeColor="background2"/>
              </w:rPr>
              <w:t xml:space="preserve">. However, the effectiveness of </w:t>
            </w:r>
            <w:proofErr w:type="spellStart"/>
            <w:r w:rsidRPr="00A22470">
              <w:rPr>
                <w:i/>
                <w:iCs/>
                <w:color w:val="1D336D" w:themeColor="background2"/>
              </w:rPr>
              <w:t>NbS</w:t>
            </w:r>
            <w:proofErr w:type="spellEnd"/>
            <w:r w:rsidRPr="00A22470">
              <w:rPr>
                <w:i/>
                <w:iCs/>
                <w:color w:val="1D336D" w:themeColor="background2"/>
              </w:rPr>
              <w:t xml:space="preserve"> is influenced by the availability of expertise and the contextual factors of the operating environment, highlighting the need for integrated expertise and complementary interventions.</w:t>
            </w:r>
          </w:p>
        </w:tc>
      </w:tr>
      <w:tr w:rsidR="00813DEA" w:rsidRPr="00A22470" w14:paraId="1AFBDEB7"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7517F4CC" w14:textId="77777777" w:rsidR="00813DEA" w:rsidRPr="00A22470" w:rsidRDefault="00813DEA">
            <w:pPr>
              <w:jc w:val="center"/>
              <w:rPr>
                <w:b/>
                <w:bCs/>
                <w:color w:val="1D336D" w:themeColor="background2"/>
              </w:rPr>
            </w:pPr>
            <w:r w:rsidRPr="00A22470">
              <w:rPr>
                <w:b/>
                <w:bCs/>
                <w:color w:val="1D336D" w:themeColor="background2"/>
              </w:rPr>
              <w:t>5</w:t>
            </w:r>
          </w:p>
        </w:tc>
        <w:tc>
          <w:tcPr>
            <w:tcW w:w="8924" w:type="dxa"/>
            <w:shd w:val="clear" w:color="auto" w:fill="auto"/>
          </w:tcPr>
          <w:p w14:paraId="33172BE6" w14:textId="77777777" w:rsidR="00813DEA" w:rsidRPr="00A22470" w:rsidRDefault="00813DEA">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A22470">
              <w:rPr>
                <w:b/>
                <w:bCs/>
                <w:i/>
                <w:iCs/>
                <w:color w:val="1D336D" w:themeColor="background2"/>
              </w:rPr>
              <w:t xml:space="preserve">The absence of unified guidance for </w:t>
            </w:r>
            <w:proofErr w:type="spellStart"/>
            <w:r w:rsidRPr="00A22470">
              <w:rPr>
                <w:b/>
                <w:bCs/>
                <w:i/>
                <w:iCs/>
                <w:color w:val="1D336D" w:themeColor="background2"/>
              </w:rPr>
              <w:t>NbS</w:t>
            </w:r>
            <w:proofErr w:type="spellEnd"/>
            <w:r w:rsidRPr="00A22470">
              <w:rPr>
                <w:b/>
                <w:bCs/>
                <w:i/>
                <w:iCs/>
                <w:color w:val="1D336D" w:themeColor="background2"/>
              </w:rPr>
              <w:t xml:space="preserve"> initiatives hinders consistent design and measurement approaches, making it challenging to compare effectiveness and extract lessons across projects</w:t>
            </w:r>
            <w:r w:rsidRPr="00A22470">
              <w:rPr>
                <w:i/>
                <w:iCs/>
                <w:color w:val="1D336D" w:themeColor="background2"/>
              </w:rPr>
              <w:t xml:space="preserve">. A DFAT-level definition and guiding framework for </w:t>
            </w:r>
            <w:proofErr w:type="spellStart"/>
            <w:r w:rsidRPr="00A22470">
              <w:rPr>
                <w:i/>
                <w:iCs/>
                <w:color w:val="1D336D" w:themeColor="background2"/>
              </w:rPr>
              <w:t>NbS</w:t>
            </w:r>
            <w:proofErr w:type="spellEnd"/>
            <w:r w:rsidRPr="00A22470">
              <w:rPr>
                <w:i/>
                <w:iCs/>
                <w:color w:val="1D336D" w:themeColor="background2"/>
              </w:rPr>
              <w:t xml:space="preserve"> could promote standardised progress measurements and enhance internal coherence. An overarching guidance framework would harmonise reporting and reduce the loss of information at strategic level.</w:t>
            </w:r>
          </w:p>
        </w:tc>
      </w:tr>
      <w:tr w:rsidR="00813DEA" w:rsidRPr="00A22470" w14:paraId="05CCE5B9"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B9BC2E2" w14:textId="77777777" w:rsidR="00813DEA" w:rsidRPr="00A22470" w:rsidRDefault="00813DEA">
            <w:pPr>
              <w:jc w:val="center"/>
              <w:rPr>
                <w:b/>
                <w:bCs/>
                <w:color w:val="1D336D" w:themeColor="background2"/>
              </w:rPr>
            </w:pPr>
            <w:r w:rsidRPr="00A22470">
              <w:rPr>
                <w:b/>
                <w:bCs/>
                <w:color w:val="1D336D" w:themeColor="background2"/>
              </w:rPr>
              <w:t>6</w:t>
            </w:r>
          </w:p>
        </w:tc>
        <w:tc>
          <w:tcPr>
            <w:tcW w:w="8924" w:type="dxa"/>
            <w:shd w:val="clear" w:color="auto" w:fill="auto"/>
          </w:tcPr>
          <w:p w14:paraId="31903EFB" w14:textId="77777777" w:rsidR="00813DEA" w:rsidRPr="00A22470" w:rsidRDefault="00813DEA">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A22470">
              <w:rPr>
                <w:b/>
                <w:bCs/>
                <w:i/>
                <w:iCs/>
                <w:color w:val="1D336D" w:themeColor="background2"/>
              </w:rPr>
              <w:t xml:space="preserve">External coherence poses challenges for </w:t>
            </w:r>
            <w:proofErr w:type="spellStart"/>
            <w:r w:rsidRPr="00A22470">
              <w:rPr>
                <w:b/>
                <w:bCs/>
                <w:i/>
                <w:iCs/>
                <w:color w:val="1D336D" w:themeColor="background2"/>
              </w:rPr>
              <w:t>NbS</w:t>
            </w:r>
            <w:proofErr w:type="spellEnd"/>
            <w:r w:rsidRPr="00A22470">
              <w:rPr>
                <w:b/>
                <w:bCs/>
                <w:i/>
                <w:iCs/>
                <w:color w:val="1D336D" w:themeColor="background2"/>
              </w:rPr>
              <w:t xml:space="preserve"> projects, particularly in addressing escalating climate change impacts and navigating regulatory frameworks and government capacities</w:t>
            </w:r>
            <w:r w:rsidRPr="00A22470">
              <w:rPr>
                <w:i/>
                <w:iCs/>
                <w:color w:val="1D336D" w:themeColor="background2"/>
              </w:rPr>
              <w:t>. Integrated approaches that combine community-level activities with broader policy and research components show promising results, but there is a need to address some challenges related to external coherence at a strategic level.</w:t>
            </w:r>
          </w:p>
        </w:tc>
      </w:tr>
    </w:tbl>
    <w:p w14:paraId="341C0B6B" w14:textId="33577AE2" w:rsidR="00EA7FE2" w:rsidRPr="00EA7FE2" w:rsidRDefault="00EA7FE2" w:rsidP="00B814D2"/>
    <w:p w14:paraId="7838D98D" w14:textId="02089983" w:rsidR="00EA7FE2" w:rsidRPr="00EA7FE2" w:rsidRDefault="00EA7FE2" w:rsidP="00B87D5E">
      <w:pPr>
        <w:pStyle w:val="Heading1"/>
      </w:pPr>
      <w:bookmarkStart w:id="32" w:name="_Toc164783048"/>
      <w:r w:rsidRPr="00EA7FE2">
        <w:lastRenderedPageBreak/>
        <w:t>Effectiveness</w:t>
      </w:r>
      <w:bookmarkEnd w:id="32"/>
      <w:r w:rsidRPr="00EA7FE2">
        <w:t xml:space="preserve"> </w:t>
      </w:r>
    </w:p>
    <w:p w14:paraId="4B9101B9" w14:textId="40593481" w:rsidR="00EA7FE2" w:rsidRPr="00EA7FE2" w:rsidRDefault="00EA7FE2" w:rsidP="00B814D2">
      <w:r w:rsidRPr="00EA7FE2">
        <w:t xml:space="preserve">In reviewing the three investments </w:t>
      </w:r>
      <w:r w:rsidR="00240013">
        <w:t>united by a common sector</w:t>
      </w:r>
      <w:r w:rsidRPr="00EA7FE2">
        <w:t xml:space="preserve">, this section of the evaluation aims to generate learnings that can inform a systematic and strategic approach to </w:t>
      </w:r>
      <w:proofErr w:type="spellStart"/>
      <w:r w:rsidRPr="00EA7FE2">
        <w:t>NbS</w:t>
      </w:r>
      <w:proofErr w:type="spellEnd"/>
      <w:r w:rsidRPr="00EA7FE2">
        <w:t xml:space="preserve"> as a discrete sector for making development interventions. By assessing the investments as a group, it becomes possible to identify common patterns, capitalise on lessons learned, and determine whether they collectively possess the potential to deliver higher-level objectives beyond their individual EOPOs. To support the strategic coherence of investments, clear </w:t>
      </w:r>
      <w:proofErr w:type="spellStart"/>
      <w:r w:rsidRPr="00EA7FE2">
        <w:t>NbS</w:t>
      </w:r>
      <w:proofErr w:type="spellEnd"/>
      <w:r w:rsidRPr="00EA7FE2">
        <w:t xml:space="preserve"> criteria will need to be established, including logical methodologies for monitoring progress. To this effect, the evaluation has applied nine </w:t>
      </w:r>
      <w:proofErr w:type="spellStart"/>
      <w:r w:rsidRPr="00EA7FE2">
        <w:t>NbS</w:t>
      </w:r>
      <w:proofErr w:type="spellEnd"/>
      <w:r w:rsidRPr="00EA7FE2">
        <w:t xml:space="preserve"> criteria to the selected investments, with the aim of identifying lessons to inform a possible strategic level approach in future. The nine </w:t>
      </w:r>
      <w:proofErr w:type="spellStart"/>
      <w:r w:rsidRPr="00EA7FE2">
        <w:t>NbS</w:t>
      </w:r>
      <w:proofErr w:type="spellEnd"/>
      <w:r w:rsidRPr="00EA7FE2">
        <w:t xml:space="preserve"> criteria applied by the evaluation team were derived from international best practice and contextualised to align with the ambitions of Australia</w:t>
      </w:r>
      <w:r w:rsidR="006551F0">
        <w:t>’</w:t>
      </w:r>
      <w:r w:rsidRPr="00EA7FE2">
        <w:t xml:space="preserve">s International Development Policy. Importantly, the criteria were further adapted to ensure they would not exceed the </w:t>
      </w:r>
      <w:proofErr w:type="spellStart"/>
      <w:r w:rsidRPr="00EA7FE2">
        <w:t>NbS</w:t>
      </w:r>
      <w:proofErr w:type="spellEnd"/>
      <w:r w:rsidRPr="00EA7FE2">
        <w:t xml:space="preserve"> definitions used by each of the investments included in the evaluation.</w:t>
      </w:r>
    </w:p>
    <w:p w14:paraId="08FFB3F0" w14:textId="2A2927E8" w:rsidR="00B63899" w:rsidRPr="00C36684" w:rsidRDefault="00EA7FE2" w:rsidP="00B814D2">
      <w:r w:rsidRPr="00EA7FE2">
        <w:t xml:space="preserve">In assessing the </w:t>
      </w:r>
      <w:proofErr w:type="spellStart"/>
      <w:r w:rsidRPr="00EA7FE2">
        <w:t>NbS</w:t>
      </w:r>
      <w:proofErr w:type="spellEnd"/>
      <w:r w:rsidRPr="00EA7FE2">
        <w:t xml:space="preserve"> investments against the nine criteria below, it is important to acknowledge an emerging trend across all projects. Where implementing partners have existing high levels of expertise and extensive experience in </w:t>
      </w:r>
      <w:proofErr w:type="spellStart"/>
      <w:r w:rsidRPr="00EA7FE2">
        <w:t>NbS</w:t>
      </w:r>
      <w:proofErr w:type="spellEnd"/>
      <w:r w:rsidRPr="00EA7FE2">
        <w:t xml:space="preserve">, projects are performing well against the criteria and demonstrating scalable pilot activities. However, implementing partners who possess minimal prior experience in </w:t>
      </w:r>
      <w:proofErr w:type="spellStart"/>
      <w:r w:rsidRPr="00EA7FE2">
        <w:t>NbS</w:t>
      </w:r>
      <w:proofErr w:type="spellEnd"/>
      <w:r w:rsidRPr="00EA7FE2">
        <w:t xml:space="preserve"> implementation appear to be struggling to achieve balance across the three </w:t>
      </w:r>
      <w:proofErr w:type="spellStart"/>
      <w:r w:rsidRPr="00EA7FE2">
        <w:t>NbS</w:t>
      </w:r>
      <w:proofErr w:type="spellEnd"/>
      <w:r w:rsidRPr="00EA7FE2">
        <w:t xml:space="preserve"> pillars (livelihoods, biodiversity, and climate). </w:t>
      </w:r>
    </w:p>
    <w:p w14:paraId="2123634D" w14:textId="2B8C63E1" w:rsidR="00EA7FE2" w:rsidRPr="00EA7FE2" w:rsidRDefault="00EA7FE2" w:rsidP="00B814D2">
      <w:r w:rsidRPr="003B59F7">
        <w:rPr>
          <w:b/>
          <w:color w:val="1D336D" w:themeColor="background2"/>
        </w:rPr>
        <w:t xml:space="preserve">Criterion 1: </w:t>
      </w:r>
      <w:proofErr w:type="spellStart"/>
      <w:r w:rsidRPr="003B59F7">
        <w:rPr>
          <w:b/>
          <w:color w:val="1D336D" w:themeColor="background2"/>
        </w:rPr>
        <w:t>NbS</w:t>
      </w:r>
      <w:proofErr w:type="spellEnd"/>
      <w:r w:rsidRPr="003B59F7">
        <w:rPr>
          <w:b/>
          <w:color w:val="1D336D" w:themeColor="background2"/>
        </w:rPr>
        <w:t xml:space="preserve"> are a </w:t>
      </w:r>
      <w:r w:rsidR="006551F0">
        <w:rPr>
          <w:b/>
          <w:color w:val="1D336D" w:themeColor="background2"/>
        </w:rPr>
        <w:t>“</w:t>
      </w:r>
      <w:r w:rsidRPr="003B59F7">
        <w:rPr>
          <w:b/>
          <w:color w:val="1D336D" w:themeColor="background2"/>
        </w:rPr>
        <w:t>solution</w:t>
      </w:r>
      <w:r w:rsidR="006551F0">
        <w:rPr>
          <w:b/>
          <w:color w:val="1D336D" w:themeColor="background2"/>
        </w:rPr>
        <w:t>”</w:t>
      </w:r>
      <w:r w:rsidRPr="00EA7FE2">
        <w:t xml:space="preserve">. The main </w:t>
      </w:r>
      <w:r w:rsidR="008E2C5C">
        <w:t>goal</w:t>
      </w:r>
      <w:r w:rsidR="008E2C5C" w:rsidRPr="00EA7FE2">
        <w:t xml:space="preserve"> </w:t>
      </w:r>
      <w:r w:rsidRPr="00EA7FE2">
        <w:t xml:space="preserve">of </w:t>
      </w:r>
      <w:r w:rsidR="008E2C5C">
        <w:t>a</w:t>
      </w:r>
      <w:r w:rsidR="008E2C5C" w:rsidRPr="00EA7FE2">
        <w:t xml:space="preserve"> </w:t>
      </w:r>
      <w:proofErr w:type="spellStart"/>
      <w:r w:rsidRPr="00EA7FE2">
        <w:t>NbS</w:t>
      </w:r>
      <w:proofErr w:type="spellEnd"/>
      <w:r w:rsidRPr="00EA7FE2">
        <w:t xml:space="preserve"> must be </w:t>
      </w:r>
      <w:r w:rsidR="008E2C5C">
        <w:t xml:space="preserve">to provide </w:t>
      </w:r>
      <w:r w:rsidRPr="00EA7FE2">
        <w:t xml:space="preserve">a solution to a priority challenge faced by the communities where the </w:t>
      </w:r>
      <w:proofErr w:type="spellStart"/>
      <w:r w:rsidRPr="00EA7FE2">
        <w:t>NbS</w:t>
      </w:r>
      <w:proofErr w:type="spellEnd"/>
      <w:r w:rsidRPr="00EA7FE2">
        <w:t xml:space="preserve"> is implemented. This is essential to ensure that the communities are willing to commit to the </w:t>
      </w:r>
      <w:proofErr w:type="spellStart"/>
      <w:r w:rsidRPr="00EA7FE2">
        <w:t>NbS</w:t>
      </w:r>
      <w:proofErr w:type="spellEnd"/>
      <w:r w:rsidRPr="00EA7FE2">
        <w:t xml:space="preserve"> long term and to ensure that the </w:t>
      </w:r>
      <w:proofErr w:type="spellStart"/>
      <w:r w:rsidRPr="00EA7FE2">
        <w:t>NbS</w:t>
      </w:r>
      <w:proofErr w:type="spellEnd"/>
      <w:r w:rsidRPr="00EA7FE2">
        <w:t xml:space="preserve"> does not divert scarce community resources to activities that are not a community priority. All investments reviewed and most projects in each investment are a solution to a priority need of the communities. Projects are working closely with the affected communities and are responding to their challenges. As a result, these projects are getting strong buy-in from the target communities. There are a few projects where the coherence between the different components is slightly weaker, and the solution is therefore less clear. There is only one investment that was not initiated by the target community.</w:t>
      </w:r>
    </w:p>
    <w:p w14:paraId="65A53738" w14:textId="77777777" w:rsidR="00EA7FE2" w:rsidRPr="00EA7FE2" w:rsidRDefault="00EA7FE2" w:rsidP="00B814D2">
      <w:r w:rsidRPr="003B59F7">
        <w:rPr>
          <w:b/>
          <w:color w:val="1D336D" w:themeColor="background2"/>
        </w:rPr>
        <w:t xml:space="preserve">Criterion 2: </w:t>
      </w:r>
      <w:proofErr w:type="spellStart"/>
      <w:r w:rsidRPr="003B59F7">
        <w:rPr>
          <w:b/>
          <w:color w:val="1D336D" w:themeColor="background2"/>
        </w:rPr>
        <w:t>NbS</w:t>
      </w:r>
      <w:proofErr w:type="spellEnd"/>
      <w:r w:rsidRPr="003B59F7">
        <w:rPr>
          <w:b/>
          <w:color w:val="1D336D" w:themeColor="background2"/>
        </w:rPr>
        <w:t xml:space="preserve"> contribute to climate mitigation or adaptation</w:t>
      </w:r>
      <w:r w:rsidRPr="00EA7FE2">
        <w:t>. All investments and their projects have clearly defined their climate change mitigation and adaptation contribution. The projects pursuing mitigation targets, particularly those aiming to generate carbon credits, are using rigorous methods to measure their mitigation contribution. While most projects focused on adaptation have made strong progress in this area, they have rarely measured these results effectively.</w:t>
      </w:r>
    </w:p>
    <w:p w14:paraId="0E444CAB" w14:textId="139C5FA2" w:rsidR="00EA7FE2" w:rsidRPr="00EA7FE2" w:rsidRDefault="00EA7FE2" w:rsidP="00B814D2">
      <w:r w:rsidRPr="003B59F7">
        <w:rPr>
          <w:b/>
          <w:color w:val="1D336D" w:themeColor="background2"/>
        </w:rPr>
        <w:t xml:space="preserve">Criterion 3: </w:t>
      </w:r>
      <w:proofErr w:type="spellStart"/>
      <w:r w:rsidRPr="003B59F7">
        <w:rPr>
          <w:b/>
          <w:color w:val="1D336D" w:themeColor="background2"/>
        </w:rPr>
        <w:t>NbS</w:t>
      </w:r>
      <w:proofErr w:type="spellEnd"/>
      <w:r w:rsidRPr="003B59F7">
        <w:rPr>
          <w:b/>
          <w:color w:val="1D336D" w:themeColor="background2"/>
        </w:rPr>
        <w:t xml:space="preserve"> need to be nature positive</w:t>
      </w:r>
      <w:r w:rsidRPr="00EA7FE2">
        <w:t>. All investments and their projects contribute to nature conservation or restoration. For example, one project prevents logging in nine (not all funded by DFAT) community owned forests of 500 to 900 ha. At this scale, biodiversity conservation and recovery are possible. Still, this criterion has been interpreted widely by the different investments and projects. At the high end of the range, projects pursuing carbon credits are forced by their carbon certification standards to measure various biodiversity indicators while at the lower end, projects understood this requirement to be met by planting a small number of trees or mangroves.</w:t>
      </w:r>
    </w:p>
    <w:p w14:paraId="5CA87EFE" w14:textId="77777777" w:rsidR="0094177F" w:rsidRDefault="0094177F">
      <w:pPr>
        <w:spacing w:after="0" w:line="240" w:lineRule="auto"/>
        <w:rPr>
          <w:b/>
          <w:color w:val="1D336D" w:themeColor="background2"/>
        </w:rPr>
      </w:pPr>
      <w:r>
        <w:rPr>
          <w:b/>
          <w:color w:val="1D336D" w:themeColor="background2"/>
        </w:rPr>
        <w:br w:type="page"/>
      </w:r>
    </w:p>
    <w:p w14:paraId="6F9AA6F3" w14:textId="1ADAF2FC" w:rsidR="00EA7FE2" w:rsidRPr="00EA7FE2" w:rsidRDefault="00EA7FE2" w:rsidP="00B814D2">
      <w:r w:rsidRPr="003B59F7">
        <w:rPr>
          <w:b/>
          <w:color w:val="1D336D" w:themeColor="background2"/>
        </w:rPr>
        <w:lastRenderedPageBreak/>
        <w:t xml:space="preserve">Criterion 4: </w:t>
      </w:r>
      <w:proofErr w:type="spellStart"/>
      <w:r w:rsidRPr="003B59F7">
        <w:rPr>
          <w:b/>
          <w:color w:val="1D336D" w:themeColor="background2"/>
        </w:rPr>
        <w:t>NbS</w:t>
      </w:r>
      <w:proofErr w:type="spellEnd"/>
      <w:r w:rsidRPr="003B59F7">
        <w:rPr>
          <w:b/>
          <w:color w:val="1D336D" w:themeColor="background2"/>
        </w:rPr>
        <w:t xml:space="preserve"> have increased the quality of life for the communities in which they are implemented</w:t>
      </w:r>
      <w:r w:rsidRPr="00EA7FE2">
        <w:t>. All investments and projects have a clear focus on livelihoods. Some projects are projecting a considerable increase in the future flow of resources to affected communities. Carbon credits create a strong interdependency between livelihoods and ecosystem restoration, i.e. income is received for carbon storage that can only be achieved through nature conservation and restoration. Biodiversity credits create similar interdependencies but are at early stages of development.</w:t>
      </w:r>
    </w:p>
    <w:p w14:paraId="1B03B017" w14:textId="77777777" w:rsidR="00EA7FE2" w:rsidRPr="00EA7FE2" w:rsidRDefault="00EA7FE2" w:rsidP="00B814D2">
      <w:r w:rsidRPr="00EA7FE2">
        <w:t>Efforts are underway to address the limitations surrounding carbon and biodiversity credits in certain areas. In these cases, various initiatives are being developed to establish community-controlled social enterprises that can generate both financial resources for conservation and income for local communities. However, it is important to note that creating alternative livelihoods presents significant challenges, even in non-</w:t>
      </w:r>
      <w:proofErr w:type="spellStart"/>
      <w:r w:rsidRPr="00EA7FE2">
        <w:t>NbS</w:t>
      </w:r>
      <w:proofErr w:type="spellEnd"/>
      <w:r w:rsidRPr="00EA7FE2">
        <w:t xml:space="preserve"> projects that solely focus on livelihood development without integrating nature-positive and climate change considerations. Substantial experimentation and refinement are often required to achieve meaningful progress.</w:t>
      </w:r>
    </w:p>
    <w:p w14:paraId="64C2CD2E" w14:textId="4014BE7E" w:rsidR="00EA7FE2" w:rsidRPr="00EA7FE2" w:rsidRDefault="00EA7FE2" w:rsidP="00B814D2">
      <w:r w:rsidRPr="00EA7FE2">
        <w:t xml:space="preserve">In the context of </w:t>
      </w:r>
      <w:proofErr w:type="spellStart"/>
      <w:r w:rsidRPr="00EA7FE2">
        <w:t>NbS</w:t>
      </w:r>
      <w:proofErr w:type="spellEnd"/>
      <w:r w:rsidRPr="00EA7FE2">
        <w:t xml:space="preserve">, the establishment of new livelihoods must be coupled with climate adaptation and nature-positive outcomes. This integration may necessitate that the livelihood component generates a surplus that can be allocated towards funding these activities. Projects that allocate a portion of the livelihood income to compensate workers, particularly women, for their efforts in executing conservation and restoration initiatives, have demonstrated greater success compared to those relying solely on voluntary community-based nature restoration interventions. This places additional demands on the financial resources generated by the </w:t>
      </w:r>
      <w:proofErr w:type="spellStart"/>
      <w:r w:rsidRPr="00EA7FE2">
        <w:t>NbS</w:t>
      </w:r>
      <w:proofErr w:type="spellEnd"/>
      <w:r w:rsidRPr="00EA7FE2">
        <w:t xml:space="preserve"> and necessitates governance systems capable of allocating benefits in alignment with </w:t>
      </w:r>
      <w:proofErr w:type="spellStart"/>
      <w:r w:rsidRPr="00EA7FE2">
        <w:t>NbS</w:t>
      </w:r>
      <w:proofErr w:type="spellEnd"/>
      <w:r w:rsidRPr="00EA7FE2">
        <w:t xml:space="preserve"> priorities.</w:t>
      </w:r>
    </w:p>
    <w:p w14:paraId="16ECC091" w14:textId="662AE7F7" w:rsidR="00EA7FE2" w:rsidRPr="00EA7FE2" w:rsidRDefault="00EA7FE2" w:rsidP="00B814D2">
      <w:r w:rsidRPr="003B59F7">
        <w:rPr>
          <w:b/>
          <w:color w:val="1D336D" w:themeColor="background2"/>
        </w:rPr>
        <w:t xml:space="preserve">Criterion 5: </w:t>
      </w:r>
      <w:proofErr w:type="spellStart"/>
      <w:r w:rsidRPr="003B59F7">
        <w:rPr>
          <w:b/>
          <w:color w:val="1D336D" w:themeColor="background2"/>
        </w:rPr>
        <w:t>NbS</w:t>
      </w:r>
      <w:proofErr w:type="spellEnd"/>
      <w:r w:rsidRPr="003B59F7">
        <w:rPr>
          <w:b/>
          <w:color w:val="1D336D" w:themeColor="background2"/>
        </w:rPr>
        <w:t xml:space="preserve"> is implemented at a scale that allows for sustainable outcomes across the three benefits of </w:t>
      </w:r>
      <w:proofErr w:type="spellStart"/>
      <w:r w:rsidRPr="003B59F7">
        <w:rPr>
          <w:b/>
          <w:color w:val="1D336D" w:themeColor="background2"/>
        </w:rPr>
        <w:t>NbS</w:t>
      </w:r>
      <w:proofErr w:type="spellEnd"/>
      <w:r w:rsidRPr="003B59F7">
        <w:rPr>
          <w:b/>
          <w:color w:val="1D336D" w:themeColor="background2"/>
        </w:rPr>
        <w:t xml:space="preserve"> </w:t>
      </w:r>
      <w:r w:rsidR="00290488" w:rsidRPr="003B59F7">
        <w:rPr>
          <w:b/>
          <w:color w:val="1D336D" w:themeColor="background2"/>
        </w:rPr>
        <w:t>(</w:t>
      </w:r>
      <w:r w:rsidR="6DD4E8C0" w:rsidRPr="72E5C8EE">
        <w:rPr>
          <w:b/>
          <w:bCs/>
          <w:color w:val="1D336D" w:themeColor="background2"/>
        </w:rPr>
        <w:t>biodiversity, livelihoods</w:t>
      </w:r>
      <w:r w:rsidRPr="003B59F7">
        <w:rPr>
          <w:b/>
          <w:color w:val="1D336D" w:themeColor="background2"/>
        </w:rPr>
        <w:t>, and climate</w:t>
      </w:r>
      <w:r w:rsidR="00290488" w:rsidRPr="003B59F7">
        <w:rPr>
          <w:b/>
          <w:color w:val="1D336D" w:themeColor="background2"/>
        </w:rPr>
        <w:t>)</w:t>
      </w:r>
      <w:r w:rsidRPr="00EA7FE2">
        <w:t xml:space="preserve">. The minimum viable size for a project is often determined by the interconnected natural processes that occur across the broader landscape. For example, upstream logging leads to soil run-off which negatively impacts seagrass and coral reefs ecosystems found downstream. This, in turn, increases erosion and damages the mangroves that protect coastal communities. Such compounding effects can often result in lower levels of food security for affected communities. Consequently, to effectively address food security concerns, </w:t>
      </w:r>
      <w:proofErr w:type="spellStart"/>
      <w:r w:rsidRPr="00EA7FE2">
        <w:t>NbS</w:t>
      </w:r>
      <w:proofErr w:type="spellEnd"/>
      <w:r w:rsidRPr="00EA7FE2">
        <w:t xml:space="preserve"> projects must operate at the broader landscape level.</w:t>
      </w:r>
    </w:p>
    <w:p w14:paraId="13A44156" w14:textId="793297F6" w:rsidR="00EA7FE2" w:rsidRPr="00EA7FE2" w:rsidRDefault="00EA7FE2" w:rsidP="00B814D2">
      <w:r w:rsidRPr="00EA7FE2">
        <w:t>Scale is not only geographic</w:t>
      </w:r>
      <w:r w:rsidR="006551F0">
        <w:t>.</w:t>
      </w:r>
      <w:r w:rsidRPr="00EA7FE2">
        <w:t xml:space="preserve"> For livelihoods, it might be necessary to explore market access and consumer demand. For climate, it might be necessary to work at a certain intensity or speed for nature to deliver its climate adaptation impacts. Most projects are still in the pilot phase: they are testing which approaches are working and how they can be scaled. The successful projects are thinking and planning at the scale required to achieve impact on all three components. For example, one project is combining a very small pilot with a nation-wide assessment of replication sites. The pilot is too small to be viable, but its size allows for information to be generated quickly so it can inform the rollout of the project at scale.</w:t>
      </w:r>
    </w:p>
    <w:p w14:paraId="1F6B3EBC" w14:textId="45E0E78A" w:rsidR="00EA7FE2" w:rsidRPr="00EA7FE2" w:rsidRDefault="00EA7FE2" w:rsidP="00B814D2">
      <w:r w:rsidRPr="003B59F7">
        <w:rPr>
          <w:b/>
          <w:color w:val="1D336D" w:themeColor="background2"/>
        </w:rPr>
        <w:t xml:space="preserve">Criterion 6: </w:t>
      </w:r>
      <w:proofErr w:type="spellStart"/>
      <w:r w:rsidRPr="003B59F7">
        <w:rPr>
          <w:b/>
          <w:color w:val="1D336D" w:themeColor="background2"/>
        </w:rPr>
        <w:t>NbS</w:t>
      </w:r>
      <w:proofErr w:type="spellEnd"/>
      <w:r w:rsidRPr="003B59F7">
        <w:rPr>
          <w:b/>
          <w:color w:val="1D336D" w:themeColor="background2"/>
        </w:rPr>
        <w:t xml:space="preserve"> operate through permanent governance structures with fair representation of all stakeholders</w:t>
      </w:r>
      <w:r w:rsidRPr="00EA7FE2">
        <w:t xml:space="preserve">. All </w:t>
      </w:r>
      <w:proofErr w:type="spellStart"/>
      <w:r w:rsidRPr="00EA7FE2">
        <w:t>NbS</w:t>
      </w:r>
      <w:proofErr w:type="spellEnd"/>
      <w:r w:rsidRPr="00EA7FE2">
        <w:t xml:space="preserve"> projects are bringing together a wide range of stake</w:t>
      </w:r>
      <w:r w:rsidR="006551F0">
        <w:t>holders</w:t>
      </w:r>
      <w:r w:rsidRPr="00EA7FE2">
        <w:t xml:space="preserve"> and rightsholders who each need to be consulted and who should benefit from </w:t>
      </w:r>
      <w:proofErr w:type="spellStart"/>
      <w:r w:rsidRPr="00EA7FE2">
        <w:t>NbS</w:t>
      </w:r>
      <w:proofErr w:type="spellEnd"/>
      <w:r w:rsidRPr="00EA7FE2">
        <w:t xml:space="preserve"> over the long term. The most successful projects have governance structures that continue to operate when the DFAT funding has ended. Several </w:t>
      </w:r>
      <w:proofErr w:type="spellStart"/>
      <w:r w:rsidRPr="00EA7FE2">
        <w:t>NbS</w:t>
      </w:r>
      <w:proofErr w:type="spellEnd"/>
      <w:r w:rsidRPr="00EA7FE2">
        <w:t xml:space="preserve"> have developed innovative governance structures that have fair representation of the different stakeholders. For example, one project has copied the traditional community structures for joint use of fishing areas into a registered cooperative in charge of conservation. Most of these governance structures need medium term capacity enhancement including capability to monitor safeguards, implement grievance mechanisms and systems to negotiate trade-offs between stakeholders.</w:t>
      </w:r>
    </w:p>
    <w:p w14:paraId="1F5E6199" w14:textId="02822A21" w:rsidR="00EA7FE2" w:rsidRPr="00EA7FE2" w:rsidRDefault="00EA7FE2" w:rsidP="00B814D2">
      <w:r w:rsidRPr="003B59F7">
        <w:rPr>
          <w:b/>
          <w:color w:val="1D336D" w:themeColor="background2"/>
        </w:rPr>
        <w:lastRenderedPageBreak/>
        <w:t xml:space="preserve">Criterion 7: </w:t>
      </w:r>
      <w:proofErr w:type="spellStart"/>
      <w:r w:rsidRPr="003B59F7">
        <w:rPr>
          <w:b/>
          <w:color w:val="1D336D" w:themeColor="background2"/>
        </w:rPr>
        <w:t>NbS</w:t>
      </w:r>
      <w:proofErr w:type="spellEnd"/>
      <w:r w:rsidRPr="003B59F7">
        <w:rPr>
          <w:b/>
          <w:color w:val="1D336D" w:themeColor="background2"/>
        </w:rPr>
        <w:t xml:space="preserve"> regularly review activities against environmental, social, and climate safeguards</w:t>
      </w:r>
      <w:r w:rsidRPr="00EA7FE2">
        <w:t xml:space="preserve">. Most investments and projects have standard safeguards in place (e.g. Child Protection). The high-performing projects have ample experience with </w:t>
      </w:r>
      <w:proofErr w:type="spellStart"/>
      <w:r w:rsidRPr="00EA7FE2">
        <w:t>NbS</w:t>
      </w:r>
      <w:proofErr w:type="spellEnd"/>
      <w:r w:rsidRPr="00EA7FE2">
        <w:t xml:space="preserve"> and have effective environmental, social and climate safeguards in place. </w:t>
      </w:r>
    </w:p>
    <w:p w14:paraId="02D2EBEC" w14:textId="23FC6AB2" w:rsidR="00EA7FE2" w:rsidRPr="00EA7FE2" w:rsidRDefault="00EA7FE2" w:rsidP="00B814D2">
      <w:r w:rsidRPr="00EA7FE2">
        <w:t>Still the results of safeguard assessments are not always systematically recorded and made available for review. For example, several organisations reviewed the potential effects of introducing non-indigenous flora or fauna on the ecosystem. The result of the review was not recorded under the safeguards of the project. Safeguards are particularly important during the pilot phase when changes can still be made to mitigate risks.</w:t>
      </w:r>
    </w:p>
    <w:p w14:paraId="70B17F31" w14:textId="77777777" w:rsidR="00EA7FE2" w:rsidRPr="00EA7FE2" w:rsidRDefault="00EA7FE2" w:rsidP="00B814D2">
      <w:r w:rsidRPr="003B59F7">
        <w:rPr>
          <w:b/>
          <w:color w:val="1D336D" w:themeColor="background2"/>
        </w:rPr>
        <w:t xml:space="preserve">Criterion 8: </w:t>
      </w:r>
      <w:proofErr w:type="spellStart"/>
      <w:r w:rsidRPr="003B59F7">
        <w:rPr>
          <w:b/>
          <w:color w:val="1D336D" w:themeColor="background2"/>
        </w:rPr>
        <w:t>NbS</w:t>
      </w:r>
      <w:proofErr w:type="spellEnd"/>
      <w:r w:rsidRPr="003B59F7">
        <w:rPr>
          <w:b/>
          <w:color w:val="1D336D" w:themeColor="background2"/>
        </w:rPr>
        <w:t xml:space="preserve"> make a positive contribution to all aspects of GEDSI</w:t>
      </w:r>
      <w:r w:rsidRPr="00EA7FE2">
        <w:t>. All projects have GEDSI interventions and indicators to ensure representative samples during consultations and to facilitate participation of women and vulnerable groups. Some projects have proven that it is possible to go beyond the minimum requirements and introduce GEDSI activities that are transformative. Involving GEDSI experts at the design and implementation stage of the project seems to be the determining factor.</w:t>
      </w:r>
    </w:p>
    <w:p w14:paraId="64697F6D" w14:textId="575D3BF6" w:rsidR="00EA7FE2" w:rsidRPr="00EA7FE2" w:rsidRDefault="00EA7FE2" w:rsidP="00B814D2">
      <w:r w:rsidRPr="003B59F7">
        <w:rPr>
          <w:b/>
          <w:color w:val="1D336D" w:themeColor="background2"/>
        </w:rPr>
        <w:t xml:space="preserve">Criterion 9: </w:t>
      </w:r>
      <w:proofErr w:type="spellStart"/>
      <w:r w:rsidRPr="003B59F7">
        <w:rPr>
          <w:b/>
          <w:color w:val="1D336D" w:themeColor="background2"/>
        </w:rPr>
        <w:t>NbS</w:t>
      </w:r>
      <w:proofErr w:type="spellEnd"/>
      <w:r w:rsidRPr="003B59F7">
        <w:rPr>
          <w:b/>
          <w:color w:val="1D336D" w:themeColor="background2"/>
        </w:rPr>
        <w:t xml:space="preserve"> ensure meaningful inclusion of </w:t>
      </w:r>
      <w:r w:rsidR="006551F0">
        <w:rPr>
          <w:b/>
          <w:color w:val="1D336D" w:themeColor="background2"/>
        </w:rPr>
        <w:t>Indigenous</w:t>
      </w:r>
      <w:r w:rsidRPr="003B59F7">
        <w:rPr>
          <w:b/>
          <w:color w:val="1D336D" w:themeColor="background2"/>
        </w:rPr>
        <w:t xml:space="preserve"> communities, build upon Traditional Knowledge, and are respectful of </w:t>
      </w:r>
      <w:r w:rsidR="006551F0">
        <w:rPr>
          <w:b/>
          <w:color w:val="1D336D" w:themeColor="background2"/>
        </w:rPr>
        <w:t>Indigenous</w:t>
      </w:r>
      <w:r w:rsidRPr="003B59F7">
        <w:rPr>
          <w:b/>
          <w:color w:val="1D336D" w:themeColor="background2"/>
        </w:rPr>
        <w:t xml:space="preserve"> ways of being</w:t>
      </w:r>
      <w:r w:rsidRPr="00EA7FE2">
        <w:t xml:space="preserve">. All </w:t>
      </w:r>
      <w:proofErr w:type="spellStart"/>
      <w:r w:rsidRPr="00EA7FE2">
        <w:t>NbS</w:t>
      </w:r>
      <w:proofErr w:type="spellEnd"/>
      <w:r w:rsidRPr="00EA7FE2">
        <w:t xml:space="preserve"> projects are closely working with their target communities. </w:t>
      </w:r>
      <w:proofErr w:type="spellStart"/>
      <w:r w:rsidRPr="00EA7FE2">
        <w:t>NbS</w:t>
      </w:r>
      <w:proofErr w:type="spellEnd"/>
      <w:r w:rsidRPr="00EA7FE2">
        <w:t xml:space="preserve"> projects can only succeed with proper </w:t>
      </w:r>
      <w:r w:rsidR="006551F0">
        <w:t>Indigenous</w:t>
      </w:r>
      <w:r w:rsidRPr="00EA7FE2">
        <w:t xml:space="preserve"> engagement and co-design processes. All projects have involved </w:t>
      </w:r>
      <w:r w:rsidR="006551F0">
        <w:t>Indigenous</w:t>
      </w:r>
      <w:r w:rsidRPr="00EA7FE2">
        <w:t xml:space="preserve"> communities at the early stages of the project</w:t>
      </w:r>
      <w:r w:rsidR="0094177F">
        <w:t>, ensuring</w:t>
      </w:r>
      <w:r w:rsidRPr="00EA7FE2">
        <w:t xml:space="preserve"> </w:t>
      </w:r>
      <w:r w:rsidR="0094177F">
        <w:t xml:space="preserve">meaningful </w:t>
      </w:r>
      <w:r w:rsidRPr="00EA7FE2">
        <w:t>decision-making processes and provid</w:t>
      </w:r>
      <w:r w:rsidR="0094177F">
        <w:t>ing communities</w:t>
      </w:r>
      <w:r w:rsidRPr="00EA7FE2">
        <w:t xml:space="preserve"> with a platform to voice their perspectives, concerns, and aspirations through</w:t>
      </w:r>
      <w:r w:rsidR="0094177F">
        <w:t>out</w:t>
      </w:r>
      <w:r w:rsidRPr="00EA7FE2">
        <w:t xml:space="preserve"> all phases of the </w:t>
      </w:r>
      <w:r w:rsidRPr="0094177F">
        <w:t xml:space="preserve">project lifecycle. Some projects have used </w:t>
      </w:r>
      <w:r w:rsidR="00307F44" w:rsidRPr="0094177F">
        <w:t xml:space="preserve">Traditional </w:t>
      </w:r>
      <w:r w:rsidRPr="0094177F">
        <w:t>Knowledge and practices</w:t>
      </w:r>
      <w:r w:rsidR="0094177F">
        <w:t>,</w:t>
      </w:r>
      <w:r w:rsidRPr="0094177F">
        <w:t xml:space="preserve"> for example the inclusion of traditional mangrove propagation method</w:t>
      </w:r>
      <w:r w:rsidR="0094177F">
        <w:t>s</w:t>
      </w:r>
      <w:r w:rsidRPr="0094177F">
        <w:t xml:space="preserve"> in a trial of various methods resulted in </w:t>
      </w:r>
      <w:r w:rsidR="0094177F">
        <w:t>evidence</w:t>
      </w:r>
      <w:r w:rsidRPr="0094177F">
        <w:t xml:space="preserve"> that the </w:t>
      </w:r>
      <w:r w:rsidR="0094177F">
        <w:t>traditional method</w:t>
      </w:r>
      <w:r w:rsidRPr="0094177F">
        <w:t xml:space="preserve"> was more effective.</w:t>
      </w:r>
    </w:p>
    <w:p w14:paraId="516FCCDE" w14:textId="6683DB74" w:rsidR="00F201B1" w:rsidRPr="002352A1" w:rsidRDefault="00F201B1" w:rsidP="00F201B1">
      <w:pPr>
        <w:pStyle w:val="Caption"/>
        <w:keepNext/>
        <w:rPr>
          <w:color w:val="1D336D" w:themeColor="background2"/>
        </w:rPr>
      </w:pPr>
      <w:r w:rsidRPr="002352A1">
        <w:rPr>
          <w:color w:val="1D336D" w:themeColor="background2"/>
        </w:rPr>
        <w:t xml:space="preserve">Table </w:t>
      </w:r>
      <w:r w:rsidRPr="002352A1">
        <w:rPr>
          <w:color w:val="1D336D" w:themeColor="background2"/>
        </w:rPr>
        <w:fldChar w:fldCharType="begin"/>
      </w:r>
      <w:r w:rsidRPr="002352A1">
        <w:rPr>
          <w:color w:val="1D336D" w:themeColor="background2"/>
        </w:rPr>
        <w:instrText xml:space="preserve"> SEQ Table \* ARABIC </w:instrText>
      </w:r>
      <w:r w:rsidRPr="002352A1">
        <w:rPr>
          <w:color w:val="1D336D" w:themeColor="background2"/>
        </w:rPr>
        <w:fldChar w:fldCharType="separate"/>
      </w:r>
      <w:r w:rsidR="003103FE">
        <w:rPr>
          <w:noProof/>
          <w:color w:val="1D336D" w:themeColor="background2"/>
        </w:rPr>
        <w:t>4</w:t>
      </w:r>
      <w:r w:rsidRPr="002352A1">
        <w:rPr>
          <w:color w:val="1D336D" w:themeColor="background2"/>
        </w:rPr>
        <w:fldChar w:fldCharType="end"/>
      </w:r>
      <w:r w:rsidRPr="002352A1">
        <w:rPr>
          <w:color w:val="1D336D" w:themeColor="background2"/>
        </w:rPr>
        <w:t>:</w:t>
      </w:r>
      <w:r w:rsidR="00572E0B">
        <w:rPr>
          <w:color w:val="1D336D" w:themeColor="background2"/>
        </w:rPr>
        <w:t xml:space="preserve"> </w:t>
      </w:r>
      <w:r w:rsidRPr="002352A1">
        <w:rPr>
          <w:color w:val="1D336D" w:themeColor="background2"/>
        </w:rPr>
        <w:t>Key strategic findings (</w:t>
      </w:r>
      <w:r w:rsidR="00424BFB">
        <w:rPr>
          <w:color w:val="1D336D" w:themeColor="background2"/>
        </w:rPr>
        <w:t>E</w:t>
      </w:r>
      <w:r w:rsidRPr="002352A1">
        <w:rPr>
          <w:color w:val="1D336D" w:themeColor="background2"/>
        </w:rPr>
        <w:t>ffectiveness)</w:t>
      </w:r>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F201B1" w:rsidRPr="00AC51BB" w14:paraId="59DF6B60" w14:textId="77777777" w:rsidTr="006E73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6F904B0" w14:textId="77777777" w:rsidR="00F201B1" w:rsidRPr="00AC51BB" w:rsidRDefault="00F201B1">
            <w:pPr>
              <w:jc w:val="center"/>
              <w:rPr>
                <w:b/>
                <w:bCs/>
                <w:color w:val="1D336D" w:themeColor="background2"/>
              </w:rPr>
            </w:pPr>
            <w:r w:rsidRPr="00AC51BB">
              <w:rPr>
                <w:b/>
                <w:bCs/>
                <w:color w:val="1D336D" w:themeColor="background2"/>
              </w:rPr>
              <w:t>#</w:t>
            </w:r>
          </w:p>
        </w:tc>
        <w:tc>
          <w:tcPr>
            <w:tcW w:w="8924" w:type="dxa"/>
            <w:shd w:val="clear" w:color="auto" w:fill="F2F2F2" w:themeFill="background1" w:themeFillShade="F2"/>
          </w:tcPr>
          <w:p w14:paraId="5A35B7F7" w14:textId="483C5D4B" w:rsidR="00F201B1" w:rsidRPr="00AC51BB" w:rsidRDefault="00F201B1">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sidRPr="00AC51BB">
              <w:rPr>
                <w:b/>
                <w:bCs/>
                <w:color w:val="1D336D" w:themeColor="background2"/>
              </w:rPr>
              <w:t>Finding</w:t>
            </w:r>
            <w:r w:rsidR="00602B30">
              <w:rPr>
                <w:b/>
                <w:bCs/>
                <w:color w:val="1D336D" w:themeColor="background2"/>
              </w:rPr>
              <w:t xml:space="preserve"> </w:t>
            </w:r>
            <w:r w:rsidR="00983D62">
              <w:rPr>
                <w:b/>
                <w:bCs/>
                <w:color w:val="1D336D" w:themeColor="background2"/>
              </w:rPr>
              <w:t>–</w:t>
            </w:r>
            <w:r w:rsidR="00602B30">
              <w:rPr>
                <w:b/>
                <w:bCs/>
                <w:color w:val="1D336D" w:themeColor="background2"/>
              </w:rPr>
              <w:t xml:space="preserve"> Effectiveness</w:t>
            </w:r>
          </w:p>
        </w:tc>
      </w:tr>
      <w:tr w:rsidR="00F201B1" w:rsidRPr="003D4940" w14:paraId="5C8C14FB"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275649F" w14:textId="77777777" w:rsidR="00F201B1" w:rsidRPr="00A22470" w:rsidRDefault="00F201B1">
            <w:pPr>
              <w:jc w:val="center"/>
              <w:rPr>
                <w:b/>
                <w:bCs/>
                <w:color w:val="1D336D" w:themeColor="background2"/>
              </w:rPr>
            </w:pPr>
            <w:r w:rsidRPr="00A22470">
              <w:rPr>
                <w:b/>
                <w:bCs/>
                <w:color w:val="1D336D" w:themeColor="background2"/>
              </w:rPr>
              <w:t>7</w:t>
            </w:r>
          </w:p>
        </w:tc>
        <w:tc>
          <w:tcPr>
            <w:tcW w:w="8924" w:type="dxa"/>
            <w:shd w:val="clear" w:color="auto" w:fill="auto"/>
          </w:tcPr>
          <w:p w14:paraId="2CA1F6F6" w14:textId="77777777" w:rsidR="00F201B1" w:rsidRPr="003D4940" w:rsidRDefault="00F201B1">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D4940">
              <w:rPr>
                <w:b/>
                <w:bCs/>
                <w:i/>
                <w:iCs/>
                <w:color w:val="1D336D" w:themeColor="background2"/>
              </w:rPr>
              <w:t xml:space="preserve">The absence of clear and overarching guidance and standardised measurements for all </w:t>
            </w:r>
            <w:proofErr w:type="spellStart"/>
            <w:r w:rsidRPr="003D4940">
              <w:rPr>
                <w:b/>
                <w:bCs/>
                <w:i/>
                <w:iCs/>
                <w:color w:val="1D336D" w:themeColor="background2"/>
              </w:rPr>
              <w:t>NbS</w:t>
            </w:r>
            <w:proofErr w:type="spellEnd"/>
            <w:r w:rsidRPr="003D4940">
              <w:rPr>
                <w:b/>
                <w:bCs/>
                <w:i/>
                <w:iCs/>
                <w:color w:val="1D336D" w:themeColor="background2"/>
              </w:rPr>
              <w:t xml:space="preserve"> investments makes it challenging to determine the effectiveness of </w:t>
            </w:r>
            <w:proofErr w:type="spellStart"/>
            <w:r w:rsidRPr="003D4940">
              <w:rPr>
                <w:b/>
                <w:bCs/>
                <w:i/>
                <w:iCs/>
                <w:color w:val="1D336D" w:themeColor="background2"/>
              </w:rPr>
              <w:t>NbS</w:t>
            </w:r>
            <w:proofErr w:type="spellEnd"/>
            <w:r w:rsidRPr="003D4940">
              <w:rPr>
                <w:b/>
                <w:bCs/>
                <w:i/>
                <w:iCs/>
                <w:color w:val="1D336D" w:themeColor="background2"/>
              </w:rPr>
              <w:t xml:space="preserve"> projects</w:t>
            </w:r>
            <w:r w:rsidRPr="003D4940">
              <w:rPr>
                <w:i/>
                <w:iCs/>
                <w:color w:val="1D336D" w:themeColor="background2"/>
              </w:rPr>
              <w:t xml:space="preserve">. For the purpose of this evaluation, nine evaluation criteria were used to identify lessons for a potential future portfolio of </w:t>
            </w:r>
            <w:proofErr w:type="spellStart"/>
            <w:r w:rsidRPr="003D4940">
              <w:rPr>
                <w:i/>
                <w:iCs/>
                <w:color w:val="1D336D" w:themeColor="background2"/>
              </w:rPr>
              <w:t>NbS</w:t>
            </w:r>
            <w:proofErr w:type="spellEnd"/>
            <w:r w:rsidRPr="003D4940">
              <w:rPr>
                <w:i/>
                <w:iCs/>
                <w:color w:val="1D336D" w:themeColor="background2"/>
              </w:rPr>
              <w:t xml:space="preserve"> investments, including the design of effective measurement methods.</w:t>
            </w:r>
          </w:p>
        </w:tc>
      </w:tr>
      <w:tr w:rsidR="00F201B1" w:rsidRPr="003D4940" w14:paraId="02451D08"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050DC451" w14:textId="77777777" w:rsidR="00F201B1" w:rsidRPr="00A22470" w:rsidRDefault="00F201B1">
            <w:pPr>
              <w:jc w:val="center"/>
              <w:rPr>
                <w:b/>
                <w:bCs/>
                <w:color w:val="1D336D" w:themeColor="background2"/>
              </w:rPr>
            </w:pPr>
            <w:r w:rsidRPr="00A22470">
              <w:rPr>
                <w:b/>
                <w:bCs/>
                <w:color w:val="1D336D" w:themeColor="background2"/>
              </w:rPr>
              <w:t>8</w:t>
            </w:r>
          </w:p>
        </w:tc>
        <w:tc>
          <w:tcPr>
            <w:tcW w:w="8924" w:type="dxa"/>
            <w:shd w:val="clear" w:color="auto" w:fill="auto"/>
          </w:tcPr>
          <w:p w14:paraId="7C3116D0" w14:textId="3FDA7CBF" w:rsidR="00F201B1" w:rsidRPr="003D4940" w:rsidRDefault="00F201B1">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3D4940">
              <w:rPr>
                <w:b/>
                <w:bCs/>
                <w:i/>
                <w:iCs/>
                <w:color w:val="1D336D" w:themeColor="background2"/>
              </w:rPr>
              <w:t xml:space="preserve">The evaluation team propose nine criteria for </w:t>
            </w:r>
            <w:proofErr w:type="spellStart"/>
            <w:r w:rsidRPr="003D4940">
              <w:rPr>
                <w:b/>
                <w:bCs/>
                <w:i/>
                <w:iCs/>
                <w:color w:val="1D336D" w:themeColor="background2"/>
              </w:rPr>
              <w:t>NbS</w:t>
            </w:r>
            <w:proofErr w:type="spellEnd"/>
            <w:r w:rsidRPr="003D4940">
              <w:rPr>
                <w:b/>
                <w:bCs/>
                <w:i/>
                <w:iCs/>
                <w:color w:val="1D336D" w:themeColor="background2"/>
              </w:rPr>
              <w:t xml:space="preserve"> projects moving forward</w:t>
            </w:r>
            <w:r w:rsidRPr="003D4940">
              <w:rPr>
                <w:i/>
                <w:iCs/>
                <w:color w:val="1D336D" w:themeColor="background2"/>
              </w:rPr>
              <w:t>, including being a solution to community needs; contributing to climate mitigation or adaptation; being nature- positive; improving the quality of life for communities; operating at a sustainable scale; having fair governance structures; conducting regular safeguard reviews;</w:t>
            </w:r>
            <w:r w:rsidR="006C0CE1">
              <w:rPr>
                <w:i/>
                <w:iCs/>
                <w:color w:val="1D336D" w:themeColor="background2"/>
              </w:rPr>
              <w:t xml:space="preserve"> </w:t>
            </w:r>
            <w:r w:rsidR="00C27AD3">
              <w:rPr>
                <w:i/>
                <w:iCs/>
                <w:color w:val="1D336D" w:themeColor="background2"/>
              </w:rPr>
              <w:t xml:space="preserve">integration of </w:t>
            </w:r>
            <w:r w:rsidRPr="003D4940">
              <w:rPr>
                <w:i/>
                <w:iCs/>
                <w:color w:val="1D336D" w:themeColor="background2"/>
              </w:rPr>
              <w:t xml:space="preserve"> GEDSI</w:t>
            </w:r>
            <w:r w:rsidR="00C27AD3">
              <w:rPr>
                <w:i/>
                <w:iCs/>
                <w:color w:val="1D336D" w:themeColor="background2"/>
              </w:rPr>
              <w:t xml:space="preserve"> into </w:t>
            </w:r>
            <w:proofErr w:type="spellStart"/>
            <w:r w:rsidR="00C27AD3">
              <w:rPr>
                <w:i/>
                <w:iCs/>
                <w:color w:val="1D336D" w:themeColor="background2"/>
              </w:rPr>
              <w:t>NbS</w:t>
            </w:r>
            <w:proofErr w:type="spellEnd"/>
            <w:r w:rsidR="00C27AD3">
              <w:rPr>
                <w:i/>
                <w:iCs/>
                <w:color w:val="1D336D" w:themeColor="background2"/>
              </w:rPr>
              <w:t xml:space="preserve"> progr</w:t>
            </w:r>
            <w:r w:rsidR="006C0CE1">
              <w:rPr>
                <w:i/>
                <w:iCs/>
                <w:color w:val="1D336D" w:themeColor="background2"/>
              </w:rPr>
              <w:t>ams</w:t>
            </w:r>
            <w:r w:rsidRPr="003D4940">
              <w:rPr>
                <w:i/>
                <w:iCs/>
                <w:color w:val="1D336D" w:themeColor="background2"/>
              </w:rPr>
              <w:t xml:space="preserve">; and the inclusion and respect of </w:t>
            </w:r>
            <w:r w:rsidR="006551F0">
              <w:rPr>
                <w:i/>
                <w:iCs/>
                <w:color w:val="1D336D" w:themeColor="background2"/>
              </w:rPr>
              <w:t>Indigenous</w:t>
            </w:r>
            <w:r w:rsidRPr="003D4940">
              <w:rPr>
                <w:i/>
                <w:iCs/>
                <w:color w:val="1D336D" w:themeColor="background2"/>
              </w:rPr>
              <w:t xml:space="preserve"> knowledge and ways of being.</w:t>
            </w:r>
          </w:p>
        </w:tc>
      </w:tr>
      <w:tr w:rsidR="00F201B1" w:rsidRPr="003D4940" w14:paraId="444D6ADA"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0776BF0" w14:textId="77777777" w:rsidR="00F201B1" w:rsidRPr="00A22470" w:rsidRDefault="00F201B1">
            <w:pPr>
              <w:jc w:val="center"/>
              <w:rPr>
                <w:b/>
                <w:bCs/>
                <w:color w:val="1D336D" w:themeColor="background2"/>
              </w:rPr>
            </w:pPr>
            <w:r w:rsidRPr="00A22470">
              <w:rPr>
                <w:b/>
                <w:bCs/>
                <w:color w:val="1D336D" w:themeColor="background2"/>
              </w:rPr>
              <w:t>9</w:t>
            </w:r>
          </w:p>
        </w:tc>
        <w:tc>
          <w:tcPr>
            <w:tcW w:w="8924" w:type="dxa"/>
            <w:shd w:val="clear" w:color="auto" w:fill="auto"/>
          </w:tcPr>
          <w:p w14:paraId="70749A39" w14:textId="1E2669B0" w:rsidR="00F201B1" w:rsidRPr="003D4940" w:rsidRDefault="00F201B1">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D4940">
              <w:rPr>
                <w:b/>
                <w:bCs/>
                <w:i/>
                <w:iCs/>
                <w:color w:val="1D336D" w:themeColor="background2"/>
              </w:rPr>
              <w:t>The evaluation found notable disparities in approach, size, and quality among the investments and their respective projects</w:t>
            </w:r>
            <w:r w:rsidRPr="003D4940">
              <w:rPr>
                <w:i/>
                <w:iCs/>
                <w:color w:val="1D336D" w:themeColor="background2"/>
              </w:rPr>
              <w:t xml:space="preserve">. However, the successful projects have demonstrated that </w:t>
            </w:r>
            <w:proofErr w:type="spellStart"/>
            <w:r w:rsidRPr="003D4940">
              <w:rPr>
                <w:i/>
                <w:iCs/>
                <w:color w:val="1D336D" w:themeColor="background2"/>
              </w:rPr>
              <w:t>NbS</w:t>
            </w:r>
            <w:proofErr w:type="spellEnd"/>
            <w:r w:rsidRPr="003D4940">
              <w:rPr>
                <w:i/>
                <w:iCs/>
                <w:color w:val="1D336D" w:themeColor="background2"/>
              </w:rPr>
              <w:t xml:space="preserve"> can simultaneously deliver results on quality of life, climate, and ecosystem targets, and explore innovative governance structures for long-term sustainability. There is ample room to increase ambition for </w:t>
            </w:r>
            <w:proofErr w:type="spellStart"/>
            <w:r w:rsidRPr="003D4940">
              <w:rPr>
                <w:i/>
                <w:iCs/>
                <w:color w:val="1D336D" w:themeColor="background2"/>
              </w:rPr>
              <w:t>NbS</w:t>
            </w:r>
            <w:proofErr w:type="spellEnd"/>
            <w:r w:rsidRPr="003D4940">
              <w:rPr>
                <w:i/>
                <w:iCs/>
                <w:color w:val="1D336D" w:themeColor="background2"/>
              </w:rPr>
              <w:t xml:space="preserve"> investments as higher requirements contribute to higher quality.</w:t>
            </w:r>
          </w:p>
        </w:tc>
      </w:tr>
    </w:tbl>
    <w:p w14:paraId="1C96AD4A" w14:textId="77777777" w:rsidR="00F201B1" w:rsidRDefault="00F201B1" w:rsidP="00B814D2">
      <w:pPr>
        <w:rPr>
          <w:highlight w:val="cyan"/>
        </w:rPr>
      </w:pPr>
    </w:p>
    <w:p w14:paraId="78F14195" w14:textId="77777777" w:rsidR="006D6399" w:rsidRDefault="006D6399" w:rsidP="00B814D2">
      <w:pPr>
        <w:rPr>
          <w:highlight w:val="cyan"/>
        </w:rPr>
      </w:pPr>
    </w:p>
    <w:p w14:paraId="325ADEAC" w14:textId="55ACE688" w:rsidR="00C15172" w:rsidRDefault="00C15172" w:rsidP="0094177F">
      <w:pPr>
        <w:pStyle w:val="NormalWeb"/>
        <w:jc w:val="center"/>
      </w:pPr>
      <w:r>
        <w:rPr>
          <w:noProof/>
        </w:rPr>
        <w:lastRenderedPageBreak/>
        <w:drawing>
          <wp:inline distT="0" distB="0" distL="0" distR="0" wp14:anchorId="58C2559A" wp14:editId="0673B8C8">
            <wp:extent cx="6119189" cy="8656320"/>
            <wp:effectExtent l="0" t="0" r="0" b="0"/>
            <wp:docPr id="1319284265" name="Picture 7" descr="Image provides a case study of nature-based beekeeping. Text version available in Annex 4 under heading 'case stud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84265" name="Picture 7" descr="Image provides a case study of nature-based beekeeping. Text version available in Annex 4 under heading 'case study 2'."/>
                    <pic:cNvPicPr>
                      <a:picLocks noChangeAspect="1" noChangeArrowheads="1"/>
                    </pic:cNvPicPr>
                  </pic:nvPicPr>
                  <pic:blipFill>
                    <a:blip r:embed="rId21"/>
                    <a:stretch>
                      <a:fillRect/>
                    </a:stretch>
                  </pic:blipFill>
                  <pic:spPr bwMode="auto">
                    <a:xfrm>
                      <a:off x="0" y="0"/>
                      <a:ext cx="6119189" cy="8656320"/>
                    </a:xfrm>
                    <a:prstGeom prst="rect">
                      <a:avLst/>
                    </a:prstGeom>
                    <a:noFill/>
                    <a:ln>
                      <a:noFill/>
                    </a:ln>
                  </pic:spPr>
                </pic:pic>
              </a:graphicData>
            </a:graphic>
          </wp:inline>
        </w:drawing>
      </w:r>
    </w:p>
    <w:p w14:paraId="0D0C654A" w14:textId="33969AF0" w:rsidR="00EA7FE2" w:rsidRPr="00267445" w:rsidRDefault="00EA7FE2" w:rsidP="00F201B1">
      <w:pPr>
        <w:pStyle w:val="Heading1"/>
      </w:pPr>
      <w:bookmarkStart w:id="33" w:name="_Toc164783049"/>
      <w:r w:rsidRPr="00267445">
        <w:lastRenderedPageBreak/>
        <w:t>Efficiency</w:t>
      </w:r>
      <w:bookmarkEnd w:id="33"/>
      <w:r w:rsidRPr="00267445">
        <w:t xml:space="preserve"> </w:t>
      </w:r>
      <w:r w:rsidRPr="00267445">
        <w:tab/>
      </w:r>
    </w:p>
    <w:p w14:paraId="3A71D0D2" w14:textId="516BC8EC" w:rsidR="00EA7FE2" w:rsidRPr="00267445" w:rsidRDefault="000B4CFE" w:rsidP="00B814D2">
      <w:r w:rsidRPr="000B4CFE">
        <w:t xml:space="preserve">Within this section, the </w:t>
      </w:r>
      <w:r w:rsidR="00A34E20">
        <w:t xml:space="preserve">initial </w:t>
      </w:r>
      <w:r w:rsidRPr="000B4CFE">
        <w:t xml:space="preserve">evaluation centres on appraising the </w:t>
      </w:r>
      <w:r w:rsidR="0001077D">
        <w:t>efficiency</w:t>
      </w:r>
      <w:r w:rsidRPr="000B4CFE">
        <w:t xml:space="preserve"> of </w:t>
      </w:r>
      <w:proofErr w:type="spellStart"/>
      <w:r w:rsidRPr="000B4CFE">
        <w:t>NbS</w:t>
      </w:r>
      <w:proofErr w:type="spellEnd"/>
      <w:r w:rsidRPr="000B4CFE">
        <w:t xml:space="preserve"> when contrasted with alternative approaches that do not encompass the</w:t>
      </w:r>
      <w:r w:rsidR="00F60572">
        <w:t xml:space="preserve"> </w:t>
      </w:r>
      <w:r w:rsidR="00EA7FE2" w:rsidRPr="00F60572">
        <w:t xml:space="preserve">three </w:t>
      </w:r>
      <w:proofErr w:type="spellStart"/>
      <w:r w:rsidR="00F60572" w:rsidRPr="00F60572">
        <w:t>NbS</w:t>
      </w:r>
      <w:proofErr w:type="spellEnd"/>
      <w:r w:rsidR="00F60572" w:rsidRPr="00F60572">
        <w:t xml:space="preserve"> </w:t>
      </w:r>
      <w:r w:rsidR="00EA7FE2" w:rsidRPr="00F60572">
        <w:t xml:space="preserve">pillars of </w:t>
      </w:r>
      <w:r w:rsidR="00A50C24" w:rsidRPr="00EA7FE2">
        <w:t>livelihoods, biodiversity, and climate</w:t>
      </w:r>
      <w:r w:rsidR="00EA7FE2" w:rsidRPr="00B33B00">
        <w:t xml:space="preserve">. Subsequently, the assessment examines the degree to which </w:t>
      </w:r>
      <w:r w:rsidR="003C45D7">
        <w:t>DFAT’s</w:t>
      </w:r>
      <w:r w:rsidR="003C45D7" w:rsidRPr="00B33B00">
        <w:t xml:space="preserve"> </w:t>
      </w:r>
      <w:proofErr w:type="spellStart"/>
      <w:r w:rsidR="00EA7FE2" w:rsidRPr="00B33B00">
        <w:t>NbS</w:t>
      </w:r>
      <w:proofErr w:type="spellEnd"/>
      <w:r w:rsidR="00EA7FE2" w:rsidRPr="00B33B00">
        <w:t xml:space="preserve"> investments demonstrate economic viability and timely implementation.</w:t>
      </w:r>
      <w:r w:rsidR="00EA7FE2" w:rsidRPr="00267445">
        <w:t xml:space="preserve"> </w:t>
      </w:r>
    </w:p>
    <w:p w14:paraId="25D139DB" w14:textId="26971F20" w:rsidR="00EA7FE2" w:rsidRPr="00267445" w:rsidRDefault="00EA7FE2" w:rsidP="00B814D2">
      <w:r w:rsidRPr="003B59F7">
        <w:rPr>
          <w:b/>
          <w:color w:val="1D336D" w:themeColor="background2"/>
        </w:rPr>
        <w:t xml:space="preserve">Research indicates that </w:t>
      </w:r>
      <w:proofErr w:type="spellStart"/>
      <w:r w:rsidRPr="003B59F7">
        <w:rPr>
          <w:b/>
          <w:color w:val="1D336D" w:themeColor="background2"/>
        </w:rPr>
        <w:t>NbS</w:t>
      </w:r>
      <w:proofErr w:type="spellEnd"/>
      <w:r w:rsidRPr="003B59F7">
        <w:rPr>
          <w:b/>
          <w:color w:val="1D336D" w:themeColor="background2"/>
        </w:rPr>
        <w:t xml:space="preserve"> are more efficient than grey</w:t>
      </w:r>
      <w:r w:rsidR="000A32D1">
        <w:rPr>
          <w:rStyle w:val="FootnoteReference"/>
          <w:b/>
          <w:color w:val="1D336D" w:themeColor="background2"/>
        </w:rPr>
        <w:footnoteReference w:id="15"/>
      </w:r>
      <w:r w:rsidRPr="003B59F7">
        <w:rPr>
          <w:b/>
          <w:color w:val="1D336D" w:themeColor="background2"/>
        </w:rPr>
        <w:t xml:space="preserve"> or non-nature-based alternatives</w:t>
      </w:r>
      <w:r w:rsidRPr="00267445">
        <w:t xml:space="preserve">. The evaluation conducted does not encompass a comprehensive analysis of the efficiency of </w:t>
      </w:r>
      <w:proofErr w:type="spellStart"/>
      <w:r w:rsidRPr="00267445">
        <w:t>NbS</w:t>
      </w:r>
      <w:proofErr w:type="spellEnd"/>
      <w:r w:rsidRPr="00267445">
        <w:t xml:space="preserve"> for climate compared to non-nature-based alternatives. However, it is worth highlighting that within the climate domain, </w:t>
      </w:r>
      <w:proofErr w:type="spellStart"/>
      <w:r w:rsidRPr="00267445">
        <w:t>NbS</w:t>
      </w:r>
      <w:proofErr w:type="spellEnd"/>
      <w:r w:rsidRPr="00267445">
        <w:t xml:space="preserve"> are generally regarded as more efficient than mechanical carbon capture methods</w:t>
      </w:r>
      <w:r w:rsidR="000A36FD" w:rsidRPr="00267445">
        <w:rPr>
          <w:rStyle w:val="FootnoteReference"/>
        </w:rPr>
        <w:footnoteReference w:id="16"/>
      </w:r>
      <w:r w:rsidRPr="00267445">
        <w:t xml:space="preserve"> and demonstrate greater efficiency than conventional grey infrastructure solutions.</w:t>
      </w:r>
      <w:r w:rsidR="00C917EC" w:rsidRPr="00267445">
        <w:rPr>
          <w:rStyle w:val="FootnoteReference"/>
        </w:rPr>
        <w:footnoteReference w:id="17"/>
      </w:r>
    </w:p>
    <w:p w14:paraId="6E06220A" w14:textId="7C783F9D" w:rsidR="00EA7FE2" w:rsidRPr="00EA7FE2" w:rsidRDefault="00EA7FE2" w:rsidP="00B814D2">
      <w:r w:rsidRPr="00610742">
        <w:rPr>
          <w:b/>
          <w:color w:val="1D336D" w:themeColor="background2"/>
        </w:rPr>
        <w:t>The</w:t>
      </w:r>
      <w:r w:rsidR="1768F09C" w:rsidRPr="00610742">
        <w:rPr>
          <w:b/>
          <w:color w:val="1D336D" w:themeColor="background2"/>
        </w:rPr>
        <w:t xml:space="preserve">re is no conclusive evidence on the efficiency of </w:t>
      </w:r>
      <w:proofErr w:type="spellStart"/>
      <w:r w:rsidR="1768F09C" w:rsidRPr="00610742">
        <w:rPr>
          <w:b/>
          <w:color w:val="1D336D" w:themeColor="background2"/>
        </w:rPr>
        <w:t>NbS</w:t>
      </w:r>
      <w:proofErr w:type="spellEnd"/>
      <w:r w:rsidR="1768F09C" w:rsidRPr="00610742">
        <w:rPr>
          <w:b/>
          <w:color w:val="1D336D" w:themeColor="background2"/>
        </w:rPr>
        <w:t xml:space="preserve"> versus a</w:t>
      </w:r>
      <w:r w:rsidRPr="00610742">
        <w:rPr>
          <w:b/>
          <w:color w:val="1D336D" w:themeColor="background2"/>
        </w:rPr>
        <w:t xml:space="preserve"> streamlined approach of top-down green climate adaptation </w:t>
      </w:r>
      <w:r w:rsidRPr="00F62D63">
        <w:rPr>
          <w:b/>
          <w:color w:val="1D336D" w:themeColor="background2"/>
        </w:rPr>
        <w:t>programs</w:t>
      </w:r>
      <w:r w:rsidR="6811D3B0" w:rsidRPr="00F62D63">
        <w:rPr>
          <w:b/>
          <w:color w:val="1D336D" w:themeColor="background2"/>
        </w:rPr>
        <w:t>.</w:t>
      </w:r>
      <w:r w:rsidR="00100721">
        <w:rPr>
          <w:rStyle w:val="FootnoteReference"/>
          <w:b/>
          <w:color w:val="1D336D" w:themeColor="background2"/>
        </w:rPr>
        <w:footnoteReference w:id="18"/>
      </w:r>
      <w:r w:rsidRPr="4A31D3D3">
        <w:rPr>
          <w:b/>
        </w:rPr>
        <w:t xml:space="preserve"> </w:t>
      </w:r>
      <w:r w:rsidRPr="00EA7FE2">
        <w:t xml:space="preserve">However, the inherent nature of </w:t>
      </w:r>
      <w:proofErr w:type="spellStart"/>
      <w:r w:rsidRPr="00EA7FE2">
        <w:t>NbS</w:t>
      </w:r>
      <w:proofErr w:type="spellEnd"/>
      <w:r w:rsidRPr="00EA7FE2">
        <w:t xml:space="preserve">, which focuses on addressing community-identified priorities, offers distinct advantages. By adopting a bottom-up approach that starts at the community level, </w:t>
      </w:r>
      <w:proofErr w:type="spellStart"/>
      <w:r w:rsidRPr="00EA7FE2">
        <w:t>NbS</w:t>
      </w:r>
      <w:proofErr w:type="spellEnd"/>
      <w:r w:rsidRPr="00EA7FE2">
        <w:t xml:space="preserve"> facilitates a broader range of options and increases the likelihood of an investment’s long-term sustainability.</w:t>
      </w:r>
      <w:r w:rsidR="00647C07">
        <w:rPr>
          <w:rStyle w:val="FootnoteReference"/>
        </w:rPr>
        <w:footnoteReference w:id="19"/>
      </w:r>
      <w:r w:rsidRPr="00EA7FE2">
        <w:t xml:space="preserve"> This approach also fosters an enhanced understanding of climate change impacts on the ground, further strengthening trust between implementing partners and communities. Ultimately, </w:t>
      </w:r>
      <w:proofErr w:type="spellStart"/>
      <w:r w:rsidRPr="00EA7FE2">
        <w:t>NbS</w:t>
      </w:r>
      <w:proofErr w:type="spellEnd"/>
      <w:r w:rsidRPr="00EA7FE2">
        <w:t xml:space="preserve"> empowers communities to actively participate in climate change adaptation and ensures that solutions align closely with their unique circumstances and needs.</w:t>
      </w:r>
      <w:r w:rsidRPr="73E6867D">
        <w:rPr>
          <w:rStyle w:val="FootnoteReference"/>
        </w:rPr>
        <w:footnoteReference w:id="20"/>
      </w:r>
    </w:p>
    <w:p w14:paraId="6534D477" w14:textId="4615C032" w:rsidR="00C23C27" w:rsidRPr="0094177F" w:rsidRDefault="00EA7FE2" w:rsidP="00B814D2">
      <w:r w:rsidRPr="003B59F7">
        <w:rPr>
          <w:b/>
          <w:color w:val="1D336D" w:themeColor="background2"/>
        </w:rPr>
        <w:t xml:space="preserve">Most DFAT funded </w:t>
      </w:r>
      <w:proofErr w:type="spellStart"/>
      <w:r w:rsidRPr="003B59F7">
        <w:rPr>
          <w:b/>
          <w:color w:val="1D336D" w:themeColor="background2"/>
        </w:rPr>
        <w:t>NbS</w:t>
      </w:r>
      <w:proofErr w:type="spellEnd"/>
      <w:r w:rsidRPr="003B59F7">
        <w:rPr>
          <w:b/>
          <w:color w:val="1D336D" w:themeColor="background2"/>
        </w:rPr>
        <w:t xml:space="preserve"> initiatives demonstrate efficiency, but there might be a potential under- allocation of resources</w:t>
      </w:r>
      <w:r w:rsidRPr="00EA7FE2">
        <w:t xml:space="preserve">. For instance, in one project, the team conducts monthly visits to the project sites. However, it would be worthwhile to explore if more frequent visits or even having a permanent project team on-site could yield greater outcomes. Testing such adjustments could shed light on the possibility of achieving more significant results. In another project, the communities are asked to engage in communal conservation and restoration efforts for their forests and mangroves without financial compensation. The project believes that this approach promotes positive community dynamics by encouraging members to volunteer for restoration work. </w:t>
      </w:r>
      <w:r w:rsidR="0094177F">
        <w:t>While</w:t>
      </w:r>
      <w:r w:rsidRPr="00EA7FE2">
        <w:t xml:space="preserve"> </w:t>
      </w:r>
      <w:r w:rsidR="0094177F">
        <w:t>this approach may work in some instances, it</w:t>
      </w:r>
      <w:r w:rsidRPr="00EA7FE2">
        <w:t xml:space="preserve"> is important to </w:t>
      </w:r>
      <w:r w:rsidR="0094177F">
        <w:t>note</w:t>
      </w:r>
      <w:r w:rsidRPr="00EA7FE2">
        <w:t xml:space="preserve"> </w:t>
      </w:r>
      <w:r w:rsidR="0094177F">
        <w:t xml:space="preserve">that </w:t>
      </w:r>
      <w:r w:rsidRPr="00EA7FE2">
        <w:t>th</w:t>
      </w:r>
      <w:r w:rsidR="0094177F">
        <w:t>e</w:t>
      </w:r>
      <w:r w:rsidRPr="00EA7FE2">
        <w:t xml:space="preserve"> </w:t>
      </w:r>
      <w:r w:rsidR="0094177F">
        <w:t>practical application of volunteered time may be limited</w:t>
      </w:r>
      <w:r w:rsidRPr="00EA7FE2">
        <w:t>. Consequently, the progress of restoration work is slow. Given the rapid impact of climate change on these communities, generating resources to compensate workers could accelerate the speed of restoration. Exploring alternative approaches to secure funding and increase the pace of restoration could be a valuable avenue for investigation.</w:t>
      </w:r>
    </w:p>
    <w:p w14:paraId="5C2A9006" w14:textId="446253C8" w:rsidR="00EA7FE2" w:rsidRPr="00EA7FE2" w:rsidRDefault="00EA7FE2" w:rsidP="00B814D2">
      <w:r w:rsidRPr="003B59F7">
        <w:rPr>
          <w:b/>
          <w:color w:val="1D336D" w:themeColor="background2"/>
        </w:rPr>
        <w:t>Most investments and projects are experiencing delays in their implementation</w:t>
      </w:r>
      <w:r w:rsidRPr="00EA7FE2">
        <w:t xml:space="preserve">. The ambitious timelines set for the initiatives were due to limited implementation windows linked with DFAT funding cycles. Project stakeholders note that accurately predicting the duration of a pilot phase is challenging, given the various issues that require thorough research and testing. Once a project has demonstrated its effectiveness, implementers suggest that approximately three years are necessary to initiate a new </w:t>
      </w:r>
      <w:proofErr w:type="spellStart"/>
      <w:r w:rsidRPr="00EA7FE2">
        <w:t>NbS</w:t>
      </w:r>
      <w:proofErr w:type="spellEnd"/>
      <w:r w:rsidRPr="00EA7FE2">
        <w:t xml:space="preserve">. Therefore, despite time constraints, the </w:t>
      </w:r>
      <w:proofErr w:type="spellStart"/>
      <w:r w:rsidRPr="00EA7FE2">
        <w:t>NbS</w:t>
      </w:r>
      <w:proofErr w:type="spellEnd"/>
      <w:r w:rsidRPr="00EA7FE2">
        <w:t xml:space="preserve"> projects reviewed have made noteworthy progress within the available timeframe.</w:t>
      </w:r>
    </w:p>
    <w:p w14:paraId="2DB8C434" w14:textId="1B6945C0" w:rsidR="002352A1" w:rsidRPr="002352A1" w:rsidRDefault="002352A1" w:rsidP="002352A1">
      <w:pPr>
        <w:pStyle w:val="Caption"/>
        <w:keepNext/>
        <w:rPr>
          <w:color w:val="1D336D" w:themeColor="background2"/>
        </w:rPr>
      </w:pPr>
      <w:r w:rsidRPr="002352A1">
        <w:rPr>
          <w:color w:val="1D336D" w:themeColor="background2"/>
        </w:rPr>
        <w:lastRenderedPageBreak/>
        <w:t xml:space="preserve">Table </w:t>
      </w:r>
      <w:r w:rsidRPr="002352A1">
        <w:rPr>
          <w:color w:val="1D336D" w:themeColor="background2"/>
        </w:rPr>
        <w:fldChar w:fldCharType="begin"/>
      </w:r>
      <w:r w:rsidRPr="002352A1">
        <w:rPr>
          <w:color w:val="1D336D" w:themeColor="background2"/>
        </w:rPr>
        <w:instrText xml:space="preserve"> SEQ Table \* ARABIC </w:instrText>
      </w:r>
      <w:r w:rsidRPr="002352A1">
        <w:rPr>
          <w:color w:val="1D336D" w:themeColor="background2"/>
        </w:rPr>
        <w:fldChar w:fldCharType="separate"/>
      </w:r>
      <w:r w:rsidR="003103FE">
        <w:rPr>
          <w:noProof/>
          <w:color w:val="1D336D" w:themeColor="background2"/>
        </w:rPr>
        <w:t>5</w:t>
      </w:r>
      <w:r w:rsidRPr="002352A1">
        <w:rPr>
          <w:color w:val="1D336D" w:themeColor="background2"/>
        </w:rPr>
        <w:fldChar w:fldCharType="end"/>
      </w:r>
      <w:r w:rsidRPr="002352A1">
        <w:rPr>
          <w:color w:val="1D336D" w:themeColor="background2"/>
        </w:rPr>
        <w:t>: Key strategic level findings (</w:t>
      </w:r>
      <w:r w:rsidR="00424BFB">
        <w:rPr>
          <w:color w:val="1D336D" w:themeColor="background2"/>
        </w:rPr>
        <w:t>E</w:t>
      </w:r>
      <w:r w:rsidRPr="002352A1">
        <w:rPr>
          <w:color w:val="1D336D" w:themeColor="background2"/>
        </w:rPr>
        <w:t>fficiency)</w:t>
      </w:r>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0220C2" w:rsidRPr="00AC51BB" w14:paraId="566DB276" w14:textId="77777777" w:rsidTr="006E73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2EF76B1" w14:textId="77777777" w:rsidR="000220C2" w:rsidRPr="00AC51BB" w:rsidRDefault="000220C2">
            <w:pPr>
              <w:jc w:val="center"/>
              <w:rPr>
                <w:b/>
                <w:bCs/>
                <w:color w:val="1D336D" w:themeColor="background2"/>
              </w:rPr>
            </w:pPr>
            <w:r w:rsidRPr="00AC51BB">
              <w:rPr>
                <w:b/>
                <w:bCs/>
                <w:color w:val="1D336D" w:themeColor="background2"/>
              </w:rPr>
              <w:t>#</w:t>
            </w:r>
          </w:p>
        </w:tc>
        <w:tc>
          <w:tcPr>
            <w:tcW w:w="8924" w:type="dxa"/>
            <w:shd w:val="clear" w:color="auto" w:fill="F2F2F2" w:themeFill="background1" w:themeFillShade="F2"/>
          </w:tcPr>
          <w:p w14:paraId="17A956A5" w14:textId="6AD58086" w:rsidR="000220C2" w:rsidRPr="00AC51BB" w:rsidRDefault="000220C2">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sidRPr="00AC51BB">
              <w:rPr>
                <w:b/>
                <w:bCs/>
                <w:color w:val="1D336D" w:themeColor="background2"/>
              </w:rPr>
              <w:t>Finding</w:t>
            </w:r>
            <w:r w:rsidR="00424BFB">
              <w:rPr>
                <w:b/>
                <w:bCs/>
                <w:color w:val="1D336D" w:themeColor="background2"/>
              </w:rPr>
              <w:t xml:space="preserve"> </w:t>
            </w:r>
            <w:r w:rsidR="00983D62">
              <w:rPr>
                <w:b/>
                <w:bCs/>
                <w:color w:val="1D336D" w:themeColor="background2"/>
              </w:rPr>
              <w:t>–</w:t>
            </w:r>
            <w:r w:rsidR="00424BFB">
              <w:rPr>
                <w:b/>
                <w:bCs/>
                <w:color w:val="1D336D" w:themeColor="background2"/>
              </w:rPr>
              <w:t xml:space="preserve"> Efficiency</w:t>
            </w:r>
          </w:p>
        </w:tc>
      </w:tr>
      <w:tr w:rsidR="000220C2" w:rsidRPr="003D4940" w14:paraId="12623F04"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9F7E071" w14:textId="77777777" w:rsidR="000220C2" w:rsidRPr="00C5551F" w:rsidRDefault="000220C2">
            <w:pPr>
              <w:jc w:val="center"/>
              <w:rPr>
                <w:b/>
                <w:bCs/>
                <w:color w:val="1D336D" w:themeColor="background2"/>
              </w:rPr>
            </w:pPr>
            <w:r w:rsidRPr="00C5551F">
              <w:rPr>
                <w:b/>
                <w:bCs/>
                <w:color w:val="1D336D" w:themeColor="background2"/>
              </w:rPr>
              <w:t>10</w:t>
            </w:r>
          </w:p>
        </w:tc>
        <w:tc>
          <w:tcPr>
            <w:tcW w:w="8924" w:type="dxa"/>
            <w:shd w:val="clear" w:color="auto" w:fill="auto"/>
          </w:tcPr>
          <w:p w14:paraId="456A1988" w14:textId="384C42CC" w:rsidR="000220C2" w:rsidRPr="003D4940" w:rsidRDefault="000220C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D4940">
              <w:rPr>
                <w:b/>
                <w:bCs/>
                <w:i/>
                <w:iCs/>
                <w:color w:val="1D336D" w:themeColor="background2"/>
              </w:rPr>
              <w:t xml:space="preserve">Research indicates that </w:t>
            </w:r>
            <w:proofErr w:type="spellStart"/>
            <w:r w:rsidRPr="003D4940">
              <w:rPr>
                <w:b/>
                <w:bCs/>
                <w:i/>
                <w:iCs/>
                <w:color w:val="1D336D" w:themeColor="background2"/>
              </w:rPr>
              <w:t>NbS</w:t>
            </w:r>
            <w:proofErr w:type="spellEnd"/>
            <w:r w:rsidRPr="003D4940">
              <w:rPr>
                <w:b/>
                <w:bCs/>
                <w:i/>
                <w:iCs/>
                <w:color w:val="1D336D" w:themeColor="background2"/>
              </w:rPr>
              <w:t xml:space="preserve"> are generally more efficient and cost-effective than (grey) non-nature-based alternatives</w:t>
            </w:r>
            <w:r w:rsidRPr="003D4940">
              <w:rPr>
                <w:i/>
                <w:iCs/>
                <w:color w:val="1D336D" w:themeColor="background2"/>
              </w:rPr>
              <w:t xml:space="preserve">. </w:t>
            </w:r>
            <w:r w:rsidR="00091524" w:rsidRPr="003D4940">
              <w:rPr>
                <w:i/>
                <w:iCs/>
                <w:color w:val="1D336D" w:themeColor="background2"/>
              </w:rPr>
              <w:t>Compared to top-down green climate adaptation programs</w:t>
            </w:r>
            <w:r w:rsidR="00091524">
              <w:rPr>
                <w:i/>
                <w:iCs/>
                <w:color w:val="1D336D" w:themeColor="background2"/>
              </w:rPr>
              <w:t>,</w:t>
            </w:r>
            <w:r w:rsidR="00091524" w:rsidRPr="003D4940">
              <w:rPr>
                <w:i/>
                <w:iCs/>
                <w:color w:val="1D336D" w:themeColor="background2"/>
              </w:rPr>
              <w:t xml:space="preserve"> </w:t>
            </w:r>
            <w:r w:rsidR="00091524">
              <w:rPr>
                <w:i/>
                <w:iCs/>
                <w:color w:val="1D336D" w:themeColor="background2"/>
              </w:rPr>
              <w:t>the</w:t>
            </w:r>
            <w:r w:rsidR="00091524" w:rsidRPr="003D4940">
              <w:rPr>
                <w:i/>
                <w:iCs/>
                <w:color w:val="1D336D" w:themeColor="background2"/>
              </w:rPr>
              <w:t xml:space="preserve"> active community engagement and long-term sustainability potential </w:t>
            </w:r>
            <w:r w:rsidR="00091524">
              <w:rPr>
                <w:i/>
                <w:iCs/>
                <w:color w:val="1D336D" w:themeColor="background2"/>
              </w:rPr>
              <w:t xml:space="preserve">of </w:t>
            </w:r>
            <w:proofErr w:type="spellStart"/>
            <w:r w:rsidR="00091524">
              <w:rPr>
                <w:i/>
                <w:iCs/>
                <w:color w:val="1D336D" w:themeColor="background2"/>
              </w:rPr>
              <w:t>NbS</w:t>
            </w:r>
            <w:proofErr w:type="spellEnd"/>
            <w:r w:rsidR="00091524">
              <w:rPr>
                <w:i/>
                <w:iCs/>
                <w:color w:val="1D336D" w:themeColor="background2"/>
              </w:rPr>
              <w:t xml:space="preserve"> </w:t>
            </w:r>
            <w:r w:rsidR="00091524" w:rsidRPr="003D4940">
              <w:rPr>
                <w:i/>
                <w:iCs/>
                <w:color w:val="1D336D" w:themeColor="background2"/>
              </w:rPr>
              <w:t>make them more likely to achieve lasting impact.</w:t>
            </w:r>
          </w:p>
        </w:tc>
      </w:tr>
      <w:tr w:rsidR="000220C2" w:rsidRPr="003D4940" w14:paraId="2226F632"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5E18304D" w14:textId="77777777" w:rsidR="000220C2" w:rsidRPr="00C5551F" w:rsidRDefault="000220C2">
            <w:pPr>
              <w:jc w:val="center"/>
              <w:rPr>
                <w:b/>
                <w:bCs/>
                <w:color w:val="1D336D" w:themeColor="background2"/>
              </w:rPr>
            </w:pPr>
            <w:r w:rsidRPr="00C5551F">
              <w:rPr>
                <w:b/>
                <w:bCs/>
                <w:color w:val="1D336D" w:themeColor="background2"/>
              </w:rPr>
              <w:t>11</w:t>
            </w:r>
          </w:p>
        </w:tc>
        <w:tc>
          <w:tcPr>
            <w:tcW w:w="8924" w:type="dxa"/>
            <w:shd w:val="clear" w:color="auto" w:fill="auto"/>
          </w:tcPr>
          <w:p w14:paraId="6101EE7C" w14:textId="77777777" w:rsidR="000220C2" w:rsidRPr="003D4940" w:rsidRDefault="000220C2">
            <w:pPr>
              <w:cnfStyle w:val="000000000000" w:firstRow="0" w:lastRow="0" w:firstColumn="0" w:lastColumn="0" w:oddVBand="0" w:evenVBand="0" w:oddHBand="0" w:evenHBand="0" w:firstRowFirstColumn="0" w:firstRowLastColumn="0" w:lastRowFirstColumn="0" w:lastRowLastColumn="0"/>
              <w:rPr>
                <w:i/>
                <w:iCs/>
                <w:color w:val="1D336D" w:themeColor="background2"/>
              </w:rPr>
            </w:pPr>
            <w:proofErr w:type="spellStart"/>
            <w:r w:rsidRPr="003D4940">
              <w:rPr>
                <w:b/>
                <w:bCs/>
                <w:i/>
                <w:iCs/>
                <w:color w:val="1D336D" w:themeColor="background2"/>
              </w:rPr>
              <w:t>NbS</w:t>
            </w:r>
            <w:proofErr w:type="spellEnd"/>
            <w:r w:rsidRPr="003D4940">
              <w:rPr>
                <w:b/>
                <w:bCs/>
                <w:i/>
                <w:iCs/>
                <w:color w:val="1D336D" w:themeColor="background2"/>
              </w:rPr>
              <w:t xml:space="preserve"> investments demonstrate overall efficiency, but increased resource allocation will enhance efficiency and impact</w:t>
            </w:r>
            <w:r w:rsidRPr="003D4940">
              <w:rPr>
                <w:i/>
                <w:iCs/>
                <w:color w:val="1D336D" w:themeColor="background2"/>
              </w:rPr>
              <w:t>. Adjustments such as increasing project site visits or exploring alternative funding approaches could enhance outcomes. For example, compensating community members for their restoration work could accelerate the pace of restoration, considering the urgency of climate change impacts.</w:t>
            </w:r>
          </w:p>
        </w:tc>
      </w:tr>
      <w:tr w:rsidR="000220C2" w:rsidRPr="003D4940" w14:paraId="28B66AE0"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BBFAC43" w14:textId="77777777" w:rsidR="000220C2" w:rsidRPr="00C5551F" w:rsidRDefault="000220C2">
            <w:pPr>
              <w:jc w:val="center"/>
              <w:rPr>
                <w:b/>
                <w:bCs/>
                <w:color w:val="1D336D" w:themeColor="background2"/>
              </w:rPr>
            </w:pPr>
            <w:r w:rsidRPr="00C5551F">
              <w:rPr>
                <w:b/>
                <w:bCs/>
                <w:color w:val="1D336D" w:themeColor="background2"/>
              </w:rPr>
              <w:t>12</w:t>
            </w:r>
          </w:p>
        </w:tc>
        <w:tc>
          <w:tcPr>
            <w:tcW w:w="8924" w:type="dxa"/>
            <w:shd w:val="clear" w:color="auto" w:fill="auto"/>
          </w:tcPr>
          <w:p w14:paraId="134066DA" w14:textId="5C3A1DD0" w:rsidR="000220C2" w:rsidRPr="003D4940" w:rsidRDefault="000220C2">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D4940">
              <w:rPr>
                <w:b/>
                <w:bCs/>
                <w:i/>
                <w:iCs/>
                <w:color w:val="1D336D" w:themeColor="background2"/>
              </w:rPr>
              <w:t>Most investments and projects are experiencing delays in their implementation</w:t>
            </w:r>
            <w:r w:rsidRPr="003D4940">
              <w:rPr>
                <w:i/>
                <w:iCs/>
                <w:color w:val="1D336D" w:themeColor="background2"/>
              </w:rPr>
              <w:t>. Ambitious timelines, driven by funding cycles, often underestimate the time required for thorough research, testing, and piloting</w:t>
            </w:r>
            <w:r w:rsidR="007057DA">
              <w:rPr>
                <w:i/>
                <w:iCs/>
                <w:color w:val="1D336D" w:themeColor="background2"/>
              </w:rPr>
              <w:t xml:space="preserve">. </w:t>
            </w:r>
            <w:r w:rsidRPr="003D4940">
              <w:rPr>
                <w:i/>
                <w:iCs/>
                <w:color w:val="1D336D" w:themeColor="background2"/>
              </w:rPr>
              <w:t>Despite time constraints, the projects reviewed have made notable progress within their available timeframe.</w:t>
            </w:r>
          </w:p>
        </w:tc>
      </w:tr>
    </w:tbl>
    <w:p w14:paraId="67E42BBD" w14:textId="77777777" w:rsidR="00EA7FE2" w:rsidRPr="00EA7FE2" w:rsidRDefault="00EA7FE2" w:rsidP="00B814D2"/>
    <w:p w14:paraId="726D8B35" w14:textId="132C2088" w:rsidR="00EA7FE2" w:rsidRPr="00EA7FE2" w:rsidRDefault="00EA7FE2" w:rsidP="00E13FE2">
      <w:pPr>
        <w:pStyle w:val="Heading1"/>
      </w:pPr>
      <w:bookmarkStart w:id="34" w:name="_Toc164783050"/>
      <w:r w:rsidRPr="00EA7FE2">
        <w:t>Impact</w:t>
      </w:r>
      <w:bookmarkEnd w:id="34"/>
      <w:r w:rsidRPr="00EA7FE2">
        <w:t xml:space="preserve"> </w:t>
      </w:r>
      <w:r w:rsidRPr="00EA7FE2">
        <w:tab/>
      </w:r>
    </w:p>
    <w:p w14:paraId="3D1FED77" w14:textId="499B7C5D" w:rsidR="00EA7FE2" w:rsidRPr="00EA7FE2" w:rsidRDefault="00EA7FE2" w:rsidP="00B814D2">
      <w:r w:rsidRPr="00EA7FE2">
        <w:t xml:space="preserve">Ideally, this section would evaluate </w:t>
      </w:r>
      <w:r w:rsidR="00D04B5B">
        <w:t>how</w:t>
      </w:r>
      <w:r w:rsidRPr="00EA7FE2">
        <w:t xml:space="preserve"> </w:t>
      </w:r>
      <w:r w:rsidR="00C976AB">
        <w:t xml:space="preserve">the impacts of </w:t>
      </w:r>
      <w:r w:rsidR="007D6776">
        <w:t xml:space="preserve">international </w:t>
      </w:r>
      <w:proofErr w:type="spellStart"/>
      <w:r w:rsidRPr="00EA7FE2">
        <w:t>NbS</w:t>
      </w:r>
      <w:proofErr w:type="spellEnd"/>
      <w:r w:rsidRPr="00EA7FE2">
        <w:t xml:space="preserve"> </w:t>
      </w:r>
      <w:r w:rsidR="00E40570">
        <w:t>interventions</w:t>
      </w:r>
      <w:r w:rsidRPr="00EA7FE2">
        <w:t xml:space="preserve"> </w:t>
      </w:r>
      <w:r w:rsidR="00D04B5B">
        <w:t xml:space="preserve">have </w:t>
      </w:r>
      <w:r w:rsidRPr="00EA7FE2">
        <w:t>align</w:t>
      </w:r>
      <w:r w:rsidR="00D04B5B">
        <w:t>ed</w:t>
      </w:r>
      <w:r w:rsidRPr="00EA7FE2">
        <w:t xml:space="preserve"> with </w:t>
      </w:r>
      <w:r w:rsidR="00370804">
        <w:t>relevant</w:t>
      </w:r>
      <w:r w:rsidRPr="00EA7FE2">
        <w:t xml:space="preserve"> ambitions set forth by the Australian Government. </w:t>
      </w:r>
      <w:r w:rsidR="00247C59" w:rsidRPr="00341DC9">
        <w:t>However, a</w:t>
      </w:r>
      <w:r w:rsidRPr="00341DC9">
        <w:t xml:space="preserve">s </w:t>
      </w:r>
      <w:r w:rsidR="001C4237" w:rsidRPr="00341DC9">
        <w:t>at</w:t>
      </w:r>
      <w:r w:rsidRPr="00341DC9">
        <w:t xml:space="preserve"> </w:t>
      </w:r>
      <w:r w:rsidR="00D602EF" w:rsidRPr="00341DC9">
        <w:t>the time of this evaluation</w:t>
      </w:r>
      <w:r w:rsidRPr="00341DC9">
        <w:t xml:space="preserve">, </w:t>
      </w:r>
      <w:r w:rsidR="00591BF9" w:rsidRPr="00341DC9">
        <w:t>the Australian Government is yet to</w:t>
      </w:r>
      <w:r w:rsidR="007D6776" w:rsidRPr="00341DC9">
        <w:t xml:space="preserve"> </w:t>
      </w:r>
      <w:r w:rsidRPr="00341DC9">
        <w:t>explicitly state</w:t>
      </w:r>
      <w:r w:rsidR="00341DC9" w:rsidRPr="00341DC9">
        <w:t xml:space="preserve"> their</w:t>
      </w:r>
      <w:r w:rsidRPr="00341DC9">
        <w:t xml:space="preserve"> ambition</w:t>
      </w:r>
      <w:r w:rsidR="00341DC9">
        <w:t xml:space="preserve"> in this sector</w:t>
      </w:r>
      <w:r w:rsidR="00927B27">
        <w:t xml:space="preserve">, and it is also </w:t>
      </w:r>
      <w:r w:rsidRPr="00EA7FE2">
        <w:t xml:space="preserve">important to note that the impacts of </w:t>
      </w:r>
      <w:proofErr w:type="spellStart"/>
      <w:r w:rsidRPr="00EA7FE2">
        <w:t>NbS</w:t>
      </w:r>
      <w:proofErr w:type="spellEnd"/>
      <w:r w:rsidRPr="00EA7FE2">
        <w:t xml:space="preserve"> initiatives are anticipated to materialise over the medium term.</w:t>
      </w:r>
      <w:r w:rsidR="006253ED">
        <w:t xml:space="preserve"> </w:t>
      </w:r>
      <w:r w:rsidRPr="00EA7FE2">
        <w:t>Therefore, it is premature to conduct a comprehensive assessment of the impacts achieved thus far. However, it is possible to offer preliminary insights into projects that have the potential to yield greater impact in the future.</w:t>
      </w:r>
    </w:p>
    <w:p w14:paraId="0CE5C021" w14:textId="76BADC77" w:rsidR="00EA7FE2" w:rsidRPr="00EA7FE2" w:rsidRDefault="00EA7FE2" w:rsidP="00B814D2">
      <w:r w:rsidRPr="003B59F7">
        <w:rPr>
          <w:b/>
          <w:color w:val="1D336D" w:themeColor="background2"/>
        </w:rPr>
        <w:t>Most projects are currently in the pilot phase trying to test whether their approach is working</w:t>
      </w:r>
      <w:r w:rsidRPr="00EA7FE2">
        <w:t>. The most successful projects have a clearly defined testing and research agenda combined with intensified measuring and recording at this stage to collect the data to confirm their proof of concept. For example, one restoration project is keeping track of the number of workers and the hours they work on each h</w:t>
      </w:r>
      <w:r w:rsidR="00F55C5F">
        <w:t>ectare</w:t>
      </w:r>
      <w:r w:rsidRPr="00EA7FE2">
        <w:t xml:space="preserve"> of land, to calculate and plan the resources needed when the project is scaling up beyond the pilot.</w:t>
      </w:r>
    </w:p>
    <w:p w14:paraId="650879EB" w14:textId="092433C1" w:rsidR="00EA7FE2" w:rsidRPr="00EA7FE2" w:rsidRDefault="00EA7FE2" w:rsidP="00B814D2">
      <w:r w:rsidRPr="003B59F7">
        <w:rPr>
          <w:b/>
          <w:color w:val="1D336D" w:themeColor="background2"/>
        </w:rPr>
        <w:t>The biggest threat to impact is climate change itself</w:t>
      </w:r>
      <w:r w:rsidRPr="00EA7FE2">
        <w:t>. Several successful projects are indicating that their conservation and restoration efforts might not be able to reverse the impacts of climate change. For example, a project working on coastal erosion indicated that its conservation efforts were important to buy time but that eventually the protective mangroves would die off and the coastal villages would be washed away.</w:t>
      </w:r>
    </w:p>
    <w:p w14:paraId="113A1499" w14:textId="3678A9BE" w:rsidR="00EA7FE2" w:rsidRPr="00EA7FE2" w:rsidRDefault="00EA7FE2" w:rsidP="00B814D2">
      <w:r w:rsidRPr="003B59F7">
        <w:rPr>
          <w:b/>
          <w:color w:val="1D336D" w:themeColor="background2"/>
        </w:rPr>
        <w:t xml:space="preserve">The least developed component of most </w:t>
      </w:r>
      <w:proofErr w:type="spellStart"/>
      <w:r w:rsidRPr="003B59F7">
        <w:rPr>
          <w:b/>
          <w:color w:val="1D336D" w:themeColor="background2"/>
        </w:rPr>
        <w:t>NbS</w:t>
      </w:r>
      <w:proofErr w:type="spellEnd"/>
      <w:r w:rsidRPr="003B59F7">
        <w:rPr>
          <w:b/>
          <w:color w:val="1D336D" w:themeColor="background2"/>
        </w:rPr>
        <w:t xml:space="preserve"> activities is biodiversity or nature-positive outcomes and impacts</w:t>
      </w:r>
      <w:r w:rsidRPr="00EA7FE2">
        <w:t xml:space="preserve">. As indicated above, some projects are more advanced because there are external requirements to measure or report on biodiversity, e.g. from carbon credits certification bodies. Still, the biodiversity targets of the </w:t>
      </w:r>
      <w:proofErr w:type="spellStart"/>
      <w:r w:rsidRPr="00EA7FE2">
        <w:t>NbS</w:t>
      </w:r>
      <w:proofErr w:type="spellEnd"/>
      <w:r w:rsidRPr="00EA7FE2">
        <w:t xml:space="preserve"> are rarely stated. </w:t>
      </w:r>
    </w:p>
    <w:p w14:paraId="25F42F68" w14:textId="77777777" w:rsidR="0094177F" w:rsidRDefault="0094177F">
      <w:pPr>
        <w:spacing w:after="0" w:line="240" w:lineRule="auto"/>
        <w:rPr>
          <w:b/>
          <w:color w:val="1D336D" w:themeColor="background2"/>
        </w:rPr>
      </w:pPr>
      <w:r>
        <w:rPr>
          <w:b/>
          <w:color w:val="1D336D" w:themeColor="background2"/>
        </w:rPr>
        <w:br w:type="page"/>
      </w:r>
    </w:p>
    <w:p w14:paraId="42BDEA13" w14:textId="6D48E0CC" w:rsidR="00D62EA6" w:rsidRPr="00C23C27" w:rsidRDefault="00EA7FE2" w:rsidP="00C23C27">
      <w:r w:rsidRPr="003B59F7">
        <w:rPr>
          <w:b/>
          <w:color w:val="1D336D" w:themeColor="background2"/>
        </w:rPr>
        <w:lastRenderedPageBreak/>
        <w:t xml:space="preserve">It is worth assessing whether projects that try to influence their operating context in parallel with the implementation of the </w:t>
      </w:r>
      <w:proofErr w:type="spellStart"/>
      <w:r w:rsidRPr="003B59F7">
        <w:rPr>
          <w:b/>
          <w:color w:val="1D336D" w:themeColor="background2"/>
        </w:rPr>
        <w:t>NbS</w:t>
      </w:r>
      <w:proofErr w:type="spellEnd"/>
      <w:r w:rsidRPr="003B59F7">
        <w:rPr>
          <w:b/>
          <w:color w:val="1D336D" w:themeColor="background2"/>
        </w:rPr>
        <w:t xml:space="preserve"> achieve more impact</w:t>
      </w:r>
      <w:r w:rsidRPr="00D62EA6">
        <w:t xml:space="preserve">. The initial observation is that the projects who take a more holistic approach seem to be more successful. This might be because these organisations have better capacity or systems, but it would be fair to hypothesise that lobbying for changes in the operating context (for example, legislative environment or other) will result in increased and faster results for the project proponent, as well as for organisations working in parallel to implement </w:t>
      </w:r>
      <w:proofErr w:type="spellStart"/>
      <w:r w:rsidRPr="00D62EA6">
        <w:t>NbS</w:t>
      </w:r>
      <w:proofErr w:type="spellEnd"/>
      <w:r w:rsidRPr="00D62EA6">
        <w:t xml:space="preserve"> in their country context.</w:t>
      </w:r>
      <w:r w:rsidR="00BE2F1D">
        <w:rPr>
          <w:color w:val="1D336D" w:themeColor="background2"/>
        </w:rPr>
        <w:br/>
      </w:r>
      <w:r w:rsidR="00BE2F1D">
        <w:rPr>
          <w:color w:val="1D336D" w:themeColor="background2"/>
        </w:rPr>
        <w:br/>
      </w:r>
      <w:r w:rsidR="00D62EA6" w:rsidRPr="00C23C27">
        <w:rPr>
          <w:b/>
          <w:iCs/>
          <w:color w:val="1D336D" w:themeColor="background2"/>
          <w:sz w:val="22"/>
          <w:szCs w:val="18"/>
        </w:rPr>
        <w:t xml:space="preserve">Table </w:t>
      </w:r>
      <w:r w:rsidR="00D62EA6" w:rsidRPr="00C23C27">
        <w:rPr>
          <w:b/>
          <w:iCs/>
          <w:color w:val="1D336D" w:themeColor="background2"/>
          <w:sz w:val="22"/>
          <w:szCs w:val="18"/>
        </w:rPr>
        <w:fldChar w:fldCharType="begin"/>
      </w:r>
      <w:r w:rsidR="00D62EA6" w:rsidRPr="00C23C27">
        <w:rPr>
          <w:b/>
          <w:iCs/>
          <w:color w:val="1D336D" w:themeColor="background2"/>
          <w:sz w:val="22"/>
          <w:szCs w:val="18"/>
        </w:rPr>
        <w:instrText xml:space="preserve"> SEQ Table \* ARABIC </w:instrText>
      </w:r>
      <w:r w:rsidR="00D62EA6" w:rsidRPr="00C23C27">
        <w:rPr>
          <w:b/>
          <w:iCs/>
          <w:color w:val="1D336D" w:themeColor="background2"/>
          <w:sz w:val="22"/>
          <w:szCs w:val="18"/>
        </w:rPr>
        <w:fldChar w:fldCharType="separate"/>
      </w:r>
      <w:r w:rsidR="003103FE">
        <w:rPr>
          <w:b/>
          <w:iCs/>
          <w:noProof/>
          <w:color w:val="1D336D" w:themeColor="background2"/>
          <w:sz w:val="22"/>
          <w:szCs w:val="18"/>
        </w:rPr>
        <w:t>6</w:t>
      </w:r>
      <w:r w:rsidR="00D62EA6" w:rsidRPr="00C23C27">
        <w:rPr>
          <w:b/>
          <w:iCs/>
          <w:color w:val="1D336D" w:themeColor="background2"/>
          <w:sz w:val="22"/>
          <w:szCs w:val="18"/>
        </w:rPr>
        <w:fldChar w:fldCharType="end"/>
      </w:r>
      <w:r w:rsidR="00D62EA6" w:rsidRPr="00C23C27">
        <w:rPr>
          <w:b/>
          <w:iCs/>
          <w:color w:val="1D336D" w:themeColor="background2"/>
          <w:sz w:val="22"/>
          <w:szCs w:val="18"/>
        </w:rPr>
        <w:t>: Key strategic level findings (</w:t>
      </w:r>
      <w:r w:rsidR="00424BFB">
        <w:rPr>
          <w:b/>
          <w:iCs/>
          <w:color w:val="1D336D" w:themeColor="background2"/>
          <w:sz w:val="22"/>
          <w:szCs w:val="18"/>
        </w:rPr>
        <w:t>I</w:t>
      </w:r>
      <w:r w:rsidR="00D62EA6" w:rsidRPr="00C23C27">
        <w:rPr>
          <w:b/>
          <w:iCs/>
          <w:color w:val="1D336D" w:themeColor="background2"/>
          <w:sz w:val="22"/>
          <w:szCs w:val="18"/>
        </w:rPr>
        <w:t>mpact)</w:t>
      </w:r>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127270" w14:paraId="5E3C36E3" w14:textId="77777777" w:rsidTr="006E73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906BB92" w14:textId="77777777" w:rsidR="00127270" w:rsidRPr="00AC51BB" w:rsidRDefault="00127270">
            <w:pPr>
              <w:jc w:val="center"/>
              <w:rPr>
                <w:b/>
                <w:bCs/>
                <w:color w:val="1D336D" w:themeColor="background2"/>
              </w:rPr>
            </w:pPr>
            <w:r w:rsidRPr="00AC51BB">
              <w:rPr>
                <w:b/>
                <w:bCs/>
                <w:color w:val="1D336D" w:themeColor="background2"/>
              </w:rPr>
              <w:t>#</w:t>
            </w:r>
          </w:p>
        </w:tc>
        <w:tc>
          <w:tcPr>
            <w:tcW w:w="8924" w:type="dxa"/>
            <w:shd w:val="clear" w:color="auto" w:fill="F2F2F2" w:themeFill="background1" w:themeFillShade="F2"/>
          </w:tcPr>
          <w:p w14:paraId="5256926D" w14:textId="090DCE84" w:rsidR="00127270" w:rsidRPr="00AC51BB" w:rsidRDefault="00127270">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sidRPr="00AC51BB">
              <w:rPr>
                <w:b/>
                <w:bCs/>
                <w:color w:val="1D336D" w:themeColor="background2"/>
              </w:rPr>
              <w:t>Finding</w:t>
            </w:r>
            <w:r w:rsidR="00424BFB">
              <w:rPr>
                <w:b/>
                <w:bCs/>
                <w:color w:val="1D336D" w:themeColor="background2"/>
              </w:rPr>
              <w:t xml:space="preserve"> </w:t>
            </w:r>
            <w:r w:rsidR="00983D62">
              <w:rPr>
                <w:b/>
                <w:bCs/>
                <w:color w:val="1D336D" w:themeColor="background2"/>
              </w:rPr>
              <w:t>–</w:t>
            </w:r>
            <w:r w:rsidR="00424BFB">
              <w:rPr>
                <w:b/>
                <w:bCs/>
                <w:color w:val="1D336D" w:themeColor="background2"/>
              </w:rPr>
              <w:t xml:space="preserve"> Impact</w:t>
            </w:r>
          </w:p>
        </w:tc>
      </w:tr>
      <w:tr w:rsidR="00127270" w14:paraId="0BBEEA31"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5EBF62F" w14:textId="77777777" w:rsidR="00127270" w:rsidRPr="00B75AD5" w:rsidRDefault="00127270">
            <w:pPr>
              <w:jc w:val="center"/>
              <w:rPr>
                <w:b/>
                <w:bCs/>
                <w:color w:val="1D336D" w:themeColor="background2"/>
              </w:rPr>
            </w:pPr>
            <w:r w:rsidRPr="00B75AD5">
              <w:rPr>
                <w:b/>
                <w:bCs/>
                <w:color w:val="1D336D" w:themeColor="background2"/>
              </w:rPr>
              <w:t>13</w:t>
            </w:r>
          </w:p>
        </w:tc>
        <w:tc>
          <w:tcPr>
            <w:tcW w:w="8924" w:type="dxa"/>
            <w:shd w:val="clear" w:color="auto" w:fill="auto"/>
          </w:tcPr>
          <w:p w14:paraId="08504DA2" w14:textId="04CE06F2" w:rsidR="00127270" w:rsidRPr="003D4940" w:rsidRDefault="00127270">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8C4F53">
              <w:rPr>
                <w:b/>
                <w:bCs/>
                <w:i/>
                <w:iCs/>
                <w:color w:val="1D336D" w:themeColor="background2"/>
              </w:rPr>
              <w:t>Most projects reviewed are currently in the pilot phase, focused on testing their approaches and gathering data to confirm their proof of concept</w:t>
            </w:r>
            <w:r w:rsidRPr="00AC211D">
              <w:rPr>
                <w:i/>
                <w:iCs/>
                <w:color w:val="1D336D" w:themeColor="background2"/>
              </w:rPr>
              <w:t>. Successful projects have well-defined testing and research agendas, combined with systematic measurement and recording of data to inform future scaling.</w:t>
            </w:r>
          </w:p>
        </w:tc>
      </w:tr>
      <w:tr w:rsidR="00127270" w14:paraId="2ADF6381"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362AFEF7" w14:textId="77777777" w:rsidR="00127270" w:rsidRPr="00B75AD5" w:rsidRDefault="00127270">
            <w:pPr>
              <w:jc w:val="center"/>
              <w:rPr>
                <w:b/>
                <w:bCs/>
                <w:color w:val="1D336D" w:themeColor="background2"/>
              </w:rPr>
            </w:pPr>
            <w:r w:rsidRPr="00B75AD5">
              <w:rPr>
                <w:b/>
                <w:bCs/>
                <w:color w:val="1D336D" w:themeColor="background2"/>
              </w:rPr>
              <w:t>14</w:t>
            </w:r>
          </w:p>
        </w:tc>
        <w:tc>
          <w:tcPr>
            <w:tcW w:w="8924" w:type="dxa"/>
            <w:shd w:val="clear" w:color="auto" w:fill="auto"/>
          </w:tcPr>
          <w:p w14:paraId="2A84272B" w14:textId="23E40E2D" w:rsidR="00127270" w:rsidRPr="003D4940" w:rsidRDefault="00CC095D">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6675FE">
              <w:rPr>
                <w:b/>
                <w:bCs/>
                <w:i/>
                <w:iCs/>
                <w:color w:val="1D336D" w:themeColor="background2"/>
              </w:rPr>
              <w:t xml:space="preserve">The impact of climate change poses a substantial risk to </w:t>
            </w:r>
            <w:proofErr w:type="spellStart"/>
            <w:r w:rsidRPr="006675FE">
              <w:rPr>
                <w:b/>
                <w:bCs/>
                <w:i/>
                <w:iCs/>
                <w:color w:val="1D336D" w:themeColor="background2"/>
              </w:rPr>
              <w:t>NbS</w:t>
            </w:r>
            <w:proofErr w:type="spellEnd"/>
            <w:r w:rsidRPr="006675FE">
              <w:rPr>
                <w:b/>
                <w:bCs/>
                <w:i/>
                <w:iCs/>
                <w:color w:val="1D336D" w:themeColor="background2"/>
              </w:rPr>
              <w:t xml:space="preserve"> projects</w:t>
            </w:r>
            <w:r w:rsidRPr="006675FE">
              <w:rPr>
                <w:i/>
                <w:iCs/>
                <w:color w:val="1D336D" w:themeColor="background2"/>
              </w:rPr>
              <w:t xml:space="preserve">. While these projects contribute to community adaptation efforts against climate change, it is important to recognise that not all </w:t>
            </w:r>
            <w:proofErr w:type="spellStart"/>
            <w:r w:rsidRPr="006675FE">
              <w:rPr>
                <w:i/>
                <w:iCs/>
                <w:color w:val="1D336D" w:themeColor="background2"/>
              </w:rPr>
              <w:t>NbS</w:t>
            </w:r>
            <w:proofErr w:type="spellEnd"/>
            <w:r w:rsidRPr="006675FE">
              <w:rPr>
                <w:i/>
                <w:iCs/>
                <w:color w:val="1D336D" w:themeColor="background2"/>
              </w:rPr>
              <w:t xml:space="preserve"> projects can completely mitigate the local effects of climate change. Nonetheless, even projects that cannot fully reverse these impacts still offer valuable benefits. Over the medium term, </w:t>
            </w:r>
            <w:proofErr w:type="spellStart"/>
            <w:r w:rsidRPr="006675FE">
              <w:rPr>
                <w:i/>
                <w:iCs/>
                <w:color w:val="1D336D" w:themeColor="background2"/>
              </w:rPr>
              <w:t>NbS</w:t>
            </w:r>
            <w:proofErr w:type="spellEnd"/>
            <w:r w:rsidRPr="006675FE">
              <w:rPr>
                <w:i/>
                <w:iCs/>
                <w:color w:val="1D336D" w:themeColor="background2"/>
              </w:rPr>
              <w:t xml:space="preserve"> projects have the potential to provide protection and co-benefits to the communities they serve.</w:t>
            </w:r>
          </w:p>
        </w:tc>
      </w:tr>
      <w:tr w:rsidR="00127270" w14:paraId="29ED789B"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6F91F42" w14:textId="77777777" w:rsidR="00127270" w:rsidRPr="00B75AD5" w:rsidRDefault="00127270">
            <w:pPr>
              <w:jc w:val="center"/>
              <w:rPr>
                <w:b/>
                <w:bCs/>
                <w:color w:val="1D336D" w:themeColor="background2"/>
              </w:rPr>
            </w:pPr>
            <w:r w:rsidRPr="00B75AD5">
              <w:rPr>
                <w:b/>
                <w:bCs/>
                <w:color w:val="1D336D" w:themeColor="background2"/>
              </w:rPr>
              <w:t>15</w:t>
            </w:r>
          </w:p>
        </w:tc>
        <w:tc>
          <w:tcPr>
            <w:tcW w:w="8924" w:type="dxa"/>
            <w:shd w:val="clear" w:color="auto" w:fill="auto"/>
          </w:tcPr>
          <w:p w14:paraId="2E310730" w14:textId="77777777" w:rsidR="00127270" w:rsidRPr="003D4940" w:rsidRDefault="00127270" w:rsidP="007057DA">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AC211D">
              <w:rPr>
                <w:b/>
                <w:bCs/>
                <w:i/>
                <w:iCs/>
                <w:color w:val="1D336D" w:themeColor="background2"/>
              </w:rPr>
              <w:t xml:space="preserve">Projects that take a holistic approach and aim to influence the operating context alongside </w:t>
            </w:r>
            <w:proofErr w:type="spellStart"/>
            <w:r w:rsidRPr="00AC211D">
              <w:rPr>
                <w:b/>
                <w:bCs/>
                <w:i/>
                <w:iCs/>
                <w:color w:val="1D336D" w:themeColor="background2"/>
              </w:rPr>
              <w:t>NbS</w:t>
            </w:r>
            <w:proofErr w:type="spellEnd"/>
            <w:r w:rsidRPr="00AC211D">
              <w:rPr>
                <w:b/>
                <w:bCs/>
                <w:i/>
                <w:iCs/>
                <w:color w:val="1D336D" w:themeColor="background2"/>
              </w:rPr>
              <w:t xml:space="preserve"> implementation show promising potential for achieving greater impact</w:t>
            </w:r>
            <w:r w:rsidRPr="00AC211D">
              <w:rPr>
                <w:i/>
                <w:iCs/>
                <w:color w:val="1D336D" w:themeColor="background2"/>
              </w:rPr>
              <w:t xml:space="preserve">. Biodiversity and nature-positive outcomes are often the least developed aspects of </w:t>
            </w:r>
            <w:proofErr w:type="spellStart"/>
            <w:r w:rsidRPr="00AC211D">
              <w:rPr>
                <w:i/>
                <w:iCs/>
                <w:color w:val="1D336D" w:themeColor="background2"/>
              </w:rPr>
              <w:t>NbS</w:t>
            </w:r>
            <w:proofErr w:type="spellEnd"/>
            <w:r w:rsidRPr="00AC211D">
              <w:rPr>
                <w:i/>
                <w:iCs/>
                <w:color w:val="1D336D" w:themeColor="background2"/>
              </w:rPr>
              <w:t xml:space="preserve"> activities. Few projects have clearly stated biodiversity targets, potentially due to the absence of overarching requirements or limited expertise at the implementing organisation level. A unified guidance framework facilitates the identification of expert inputs required by investments and their projects.</w:t>
            </w:r>
          </w:p>
        </w:tc>
      </w:tr>
    </w:tbl>
    <w:p w14:paraId="39AC21B5" w14:textId="77777777" w:rsidR="00127270" w:rsidRDefault="00127270" w:rsidP="00B814D2"/>
    <w:p w14:paraId="3A94CB03" w14:textId="0FFFE81B" w:rsidR="00EA7FE2" w:rsidRPr="00EA7FE2" w:rsidRDefault="00EA7FE2" w:rsidP="00BE2F1D">
      <w:pPr>
        <w:pStyle w:val="Heading1"/>
      </w:pPr>
      <w:bookmarkStart w:id="35" w:name="_Toc164783051"/>
      <w:r w:rsidRPr="00EA7FE2">
        <w:t>Sustainability</w:t>
      </w:r>
      <w:bookmarkEnd w:id="35"/>
      <w:r w:rsidRPr="00EA7FE2">
        <w:t xml:space="preserve"> </w:t>
      </w:r>
      <w:r w:rsidRPr="00EA7FE2">
        <w:tab/>
      </w:r>
    </w:p>
    <w:p w14:paraId="793D00D6" w14:textId="77777777" w:rsidR="00EA7FE2" w:rsidRPr="00EA7FE2" w:rsidRDefault="00EA7FE2" w:rsidP="00B814D2">
      <w:r w:rsidRPr="00EA7FE2">
        <w:t xml:space="preserve">This section assesses the extent to which </w:t>
      </w:r>
      <w:proofErr w:type="spellStart"/>
      <w:r w:rsidRPr="00EA7FE2">
        <w:t>NbS</w:t>
      </w:r>
      <w:proofErr w:type="spellEnd"/>
      <w:r w:rsidRPr="00EA7FE2">
        <w:t xml:space="preserve"> activities and their benefits are likely to persist beyond the conclusion of current DFAT funding.</w:t>
      </w:r>
    </w:p>
    <w:p w14:paraId="34560E46" w14:textId="77777777" w:rsidR="00EA7FE2" w:rsidRPr="00EA7FE2" w:rsidRDefault="00EA7FE2" w:rsidP="00B814D2">
      <w:r w:rsidRPr="00EA7FE2">
        <w:t>All projects have defined a sustainability strategy. Most strategies have proposed approaches to ensure ongoing management functions and to secure continued funding.</w:t>
      </w:r>
    </w:p>
    <w:p w14:paraId="7AC1C8FA" w14:textId="5AFB0D02" w:rsidR="00EA7FE2" w:rsidRPr="00EA7FE2" w:rsidRDefault="00EA7FE2" w:rsidP="00B814D2">
      <w:r w:rsidRPr="003B59F7">
        <w:rPr>
          <w:b/>
          <w:color w:val="1D336D" w:themeColor="background2"/>
        </w:rPr>
        <w:t>The continuation of management functions primarily involves transitioning from implementing partners to a more permanent entity</w:t>
      </w:r>
      <w:r w:rsidRPr="00EA7FE2">
        <w:t>. Currently, efforts are focused on establishing governance structures at the community level to effectively distribute benefits and carry out conservation and restoration work.</w:t>
      </w:r>
      <w:r w:rsidR="00CF441B">
        <w:t xml:space="preserve"> </w:t>
      </w:r>
      <w:r w:rsidRPr="00EA7FE2">
        <w:t xml:space="preserve">Various structures such as cooperatives, NGO/CSOs, and innovative experiments involving social enterprises, are being explored to sustain the initiatives beyond the conclusion of DFAT funding. In some instances, a handover is not necessary as the DFAT-funded organisations have committed to long-term presence on the ground, and in one case, with the sole objective of implementing </w:t>
      </w:r>
      <w:proofErr w:type="spellStart"/>
      <w:r w:rsidRPr="00EA7FE2">
        <w:t>NbS</w:t>
      </w:r>
      <w:proofErr w:type="spellEnd"/>
      <w:r w:rsidRPr="00EA7FE2">
        <w:t xml:space="preserve"> projects.</w:t>
      </w:r>
    </w:p>
    <w:p w14:paraId="33C0DD41" w14:textId="77777777" w:rsidR="0094177F" w:rsidRDefault="0094177F">
      <w:pPr>
        <w:spacing w:after="0" w:line="240" w:lineRule="auto"/>
        <w:rPr>
          <w:b/>
          <w:color w:val="1D336D" w:themeColor="background2"/>
        </w:rPr>
      </w:pPr>
      <w:r>
        <w:rPr>
          <w:b/>
          <w:color w:val="1D336D" w:themeColor="background2"/>
        </w:rPr>
        <w:br w:type="page"/>
      </w:r>
    </w:p>
    <w:p w14:paraId="77481F2B" w14:textId="3AD5B656" w:rsidR="00EA7FE2" w:rsidRPr="00EA7FE2" w:rsidRDefault="00EA7FE2" w:rsidP="00B814D2">
      <w:r w:rsidRPr="003B59F7">
        <w:rPr>
          <w:b/>
          <w:color w:val="1D336D" w:themeColor="background2"/>
        </w:rPr>
        <w:lastRenderedPageBreak/>
        <w:t xml:space="preserve">The </w:t>
      </w:r>
      <w:proofErr w:type="spellStart"/>
      <w:r w:rsidRPr="003B59F7">
        <w:rPr>
          <w:b/>
          <w:color w:val="1D336D" w:themeColor="background2"/>
        </w:rPr>
        <w:t>NbS</w:t>
      </w:r>
      <w:proofErr w:type="spellEnd"/>
      <w:r w:rsidRPr="003B59F7">
        <w:rPr>
          <w:b/>
          <w:color w:val="1D336D" w:themeColor="background2"/>
        </w:rPr>
        <w:t xml:space="preserve"> initiatives are actively testing potential sources of long-term funding</w:t>
      </w:r>
      <w:r w:rsidRPr="00EA7FE2">
        <w:t xml:space="preserve">. Among these, the most established option is generating revenue through the sale of carbon credits. However, it is important to note that not all landscapes and activities qualify for carbon credits, necessitating the identification of alternative income sources for some projects. Biodiversity credits show promise as a complementary avenue for </w:t>
      </w:r>
      <w:proofErr w:type="spellStart"/>
      <w:r w:rsidRPr="00EA7FE2">
        <w:t>NbS</w:t>
      </w:r>
      <w:proofErr w:type="spellEnd"/>
      <w:r w:rsidRPr="00EA7FE2">
        <w:t xml:space="preserve">. However, such credits remain in the early stages of development and require further testing. Establishing community-owned enterprises is another encouraging approach to generate sustainable funds for </w:t>
      </w:r>
      <w:proofErr w:type="spellStart"/>
      <w:r w:rsidRPr="00EA7FE2">
        <w:t>NbS</w:t>
      </w:r>
      <w:proofErr w:type="spellEnd"/>
      <w:r w:rsidRPr="00EA7FE2">
        <w:t>; however, these approaches also require additional testing and evaluation.</w:t>
      </w:r>
    </w:p>
    <w:p w14:paraId="78B6C2F1" w14:textId="5AE30CE2" w:rsidR="00EA7FE2" w:rsidRDefault="00EA7FE2" w:rsidP="00B814D2">
      <w:r w:rsidRPr="003B59F7">
        <w:rPr>
          <w:b/>
          <w:color w:val="1D336D" w:themeColor="background2"/>
        </w:rPr>
        <w:t>The above funding options may still require gap funding, as payments need to commence before income from credits or enterprises begin to flow</w:t>
      </w:r>
      <w:r w:rsidRPr="00EA7FE2">
        <w:t>. Some projects equipped with administrative capabilities are exploring funding opportunities through entities such as the Green Climate Fund (GCF) or the Global Environmental Fund (GEF). However, to date, no projects have explored blended finance models, such as soft loans, for gap funding purposes.</w:t>
      </w:r>
    </w:p>
    <w:p w14:paraId="0A90876E" w14:textId="04BC4F24" w:rsidR="00C23C27" w:rsidRPr="00C23C27" w:rsidRDefault="00C23C27" w:rsidP="00C23C27">
      <w:pPr>
        <w:pStyle w:val="Caption"/>
        <w:keepNext/>
        <w:rPr>
          <w:color w:val="1D336D" w:themeColor="background2"/>
        </w:rPr>
      </w:pPr>
      <w:r w:rsidRPr="00C23C27">
        <w:rPr>
          <w:color w:val="1D336D" w:themeColor="background2"/>
        </w:rPr>
        <w:t xml:space="preserve">Table </w:t>
      </w:r>
      <w:r w:rsidRPr="00C23C27">
        <w:rPr>
          <w:color w:val="1D336D" w:themeColor="background2"/>
        </w:rPr>
        <w:fldChar w:fldCharType="begin"/>
      </w:r>
      <w:r w:rsidRPr="00C23C27">
        <w:rPr>
          <w:color w:val="1D336D" w:themeColor="background2"/>
        </w:rPr>
        <w:instrText xml:space="preserve"> SEQ Table \* ARABIC </w:instrText>
      </w:r>
      <w:r w:rsidRPr="00C23C27">
        <w:rPr>
          <w:color w:val="1D336D" w:themeColor="background2"/>
        </w:rPr>
        <w:fldChar w:fldCharType="separate"/>
      </w:r>
      <w:r w:rsidR="003103FE">
        <w:rPr>
          <w:noProof/>
          <w:color w:val="1D336D" w:themeColor="background2"/>
        </w:rPr>
        <w:t>7</w:t>
      </w:r>
      <w:r w:rsidRPr="00C23C27">
        <w:rPr>
          <w:color w:val="1D336D" w:themeColor="background2"/>
        </w:rPr>
        <w:fldChar w:fldCharType="end"/>
      </w:r>
      <w:r w:rsidRPr="00C23C27">
        <w:rPr>
          <w:color w:val="1D336D" w:themeColor="background2"/>
        </w:rPr>
        <w:t>: Key strategic level findings (</w:t>
      </w:r>
      <w:r w:rsidR="00424BFB">
        <w:rPr>
          <w:color w:val="1D336D" w:themeColor="background2"/>
        </w:rPr>
        <w:t>S</w:t>
      </w:r>
      <w:r w:rsidRPr="00C23C27">
        <w:rPr>
          <w:color w:val="1D336D" w:themeColor="background2"/>
        </w:rPr>
        <w:t>ustainability)</w:t>
      </w:r>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CF441B" w14:paraId="5DF82F16" w14:textId="77777777" w:rsidTr="006E73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C07855B" w14:textId="77777777" w:rsidR="00CF441B" w:rsidRPr="00AC51BB" w:rsidRDefault="00CF441B">
            <w:pPr>
              <w:jc w:val="center"/>
              <w:rPr>
                <w:b/>
                <w:bCs/>
                <w:color w:val="1D336D" w:themeColor="background2"/>
              </w:rPr>
            </w:pPr>
            <w:r w:rsidRPr="00AC51BB">
              <w:rPr>
                <w:b/>
                <w:bCs/>
                <w:color w:val="1D336D" w:themeColor="background2"/>
              </w:rPr>
              <w:t>#</w:t>
            </w:r>
          </w:p>
        </w:tc>
        <w:tc>
          <w:tcPr>
            <w:tcW w:w="8924" w:type="dxa"/>
            <w:shd w:val="clear" w:color="auto" w:fill="F2F2F2" w:themeFill="background1" w:themeFillShade="F2"/>
          </w:tcPr>
          <w:p w14:paraId="5793D8FC" w14:textId="362D777E" w:rsidR="00CF441B" w:rsidRPr="00AC51BB" w:rsidRDefault="00CF441B">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sidRPr="00AC51BB">
              <w:rPr>
                <w:b/>
                <w:bCs/>
                <w:color w:val="1D336D" w:themeColor="background2"/>
              </w:rPr>
              <w:t>Finding</w:t>
            </w:r>
            <w:r w:rsidR="00424BFB">
              <w:rPr>
                <w:b/>
                <w:bCs/>
                <w:color w:val="1D336D" w:themeColor="background2"/>
              </w:rPr>
              <w:t xml:space="preserve"> </w:t>
            </w:r>
            <w:r w:rsidR="00983D62">
              <w:rPr>
                <w:b/>
                <w:bCs/>
                <w:color w:val="1D336D" w:themeColor="background2"/>
              </w:rPr>
              <w:t>–</w:t>
            </w:r>
            <w:r w:rsidR="00424BFB">
              <w:rPr>
                <w:b/>
                <w:bCs/>
                <w:color w:val="1D336D" w:themeColor="background2"/>
              </w:rPr>
              <w:t xml:space="preserve"> Sustainability</w:t>
            </w:r>
          </w:p>
        </w:tc>
      </w:tr>
      <w:tr w:rsidR="00CF441B" w14:paraId="2BA01B5F"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008DC08" w14:textId="77777777" w:rsidR="00CF441B" w:rsidRDefault="00CF441B">
            <w:pPr>
              <w:jc w:val="center"/>
            </w:pPr>
            <w:r w:rsidRPr="00DD3D1A">
              <w:rPr>
                <w:b/>
                <w:bCs/>
                <w:color w:val="1D336D" w:themeColor="background2"/>
              </w:rPr>
              <w:t>16</w:t>
            </w:r>
          </w:p>
        </w:tc>
        <w:tc>
          <w:tcPr>
            <w:tcW w:w="8924" w:type="dxa"/>
            <w:shd w:val="clear" w:color="auto" w:fill="auto"/>
          </w:tcPr>
          <w:p w14:paraId="1EEE00C4" w14:textId="77777777" w:rsidR="00CF441B" w:rsidRPr="003D4940" w:rsidRDefault="00CF441B">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AC211D">
              <w:rPr>
                <w:b/>
                <w:bCs/>
                <w:i/>
                <w:iCs/>
                <w:color w:val="1D336D" w:themeColor="background2"/>
              </w:rPr>
              <w:t xml:space="preserve">All </w:t>
            </w:r>
            <w:proofErr w:type="spellStart"/>
            <w:r w:rsidRPr="00AC211D">
              <w:rPr>
                <w:b/>
                <w:bCs/>
                <w:i/>
                <w:iCs/>
                <w:color w:val="1D336D" w:themeColor="background2"/>
              </w:rPr>
              <w:t>NbS</w:t>
            </w:r>
            <w:proofErr w:type="spellEnd"/>
            <w:r w:rsidRPr="00AC211D">
              <w:rPr>
                <w:b/>
                <w:bCs/>
                <w:i/>
                <w:iCs/>
                <w:color w:val="1D336D" w:themeColor="background2"/>
              </w:rPr>
              <w:t xml:space="preserve"> projects reviewed have defined sustainability strategies, focusing on ongoing management functions and securing continued funding</w:t>
            </w:r>
            <w:r w:rsidRPr="00AC211D">
              <w:rPr>
                <w:i/>
                <w:iCs/>
                <w:color w:val="1D336D" w:themeColor="background2"/>
              </w:rPr>
              <w:t>. Efforts are concentrated on establishing governance structures at the community level, exploring options such as cooperatives, NGOs/CSOs, and social enterprises to sustain initiatives beyond DFAT funding.</w:t>
            </w:r>
          </w:p>
        </w:tc>
      </w:tr>
      <w:tr w:rsidR="00CF441B" w14:paraId="4AE3E085"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3846DFE2" w14:textId="77777777" w:rsidR="00CF441B" w:rsidRPr="00DD3D1A" w:rsidRDefault="00CF441B">
            <w:pPr>
              <w:jc w:val="center"/>
              <w:rPr>
                <w:b/>
                <w:bCs/>
                <w:color w:val="1D336D" w:themeColor="background2"/>
              </w:rPr>
            </w:pPr>
            <w:r>
              <w:rPr>
                <w:b/>
                <w:bCs/>
                <w:color w:val="1D336D" w:themeColor="background2"/>
              </w:rPr>
              <w:t>17</w:t>
            </w:r>
          </w:p>
        </w:tc>
        <w:tc>
          <w:tcPr>
            <w:tcW w:w="8924" w:type="dxa"/>
            <w:shd w:val="clear" w:color="auto" w:fill="auto"/>
          </w:tcPr>
          <w:p w14:paraId="1207A8D0" w14:textId="77777777" w:rsidR="00CF441B" w:rsidRPr="0066291D" w:rsidRDefault="00CF441B">
            <w:pPr>
              <w:cnfStyle w:val="000000000000" w:firstRow="0" w:lastRow="0" w:firstColumn="0" w:lastColumn="0" w:oddVBand="0" w:evenVBand="0" w:oddHBand="0" w:evenHBand="0" w:firstRowFirstColumn="0" w:firstRowLastColumn="0" w:lastRowFirstColumn="0" w:lastRowLastColumn="0"/>
              <w:rPr>
                <w:i/>
                <w:iCs/>
                <w:color w:val="1D336D" w:themeColor="background2"/>
              </w:rPr>
            </w:pPr>
            <w:proofErr w:type="spellStart"/>
            <w:r w:rsidRPr="0066291D">
              <w:rPr>
                <w:b/>
                <w:bCs/>
                <w:i/>
                <w:iCs/>
                <w:color w:val="1D336D" w:themeColor="background2"/>
              </w:rPr>
              <w:t>NbS</w:t>
            </w:r>
            <w:proofErr w:type="spellEnd"/>
            <w:r w:rsidRPr="0066291D">
              <w:rPr>
                <w:b/>
                <w:bCs/>
                <w:i/>
                <w:iCs/>
                <w:color w:val="1D336D" w:themeColor="background2"/>
              </w:rPr>
              <w:t xml:space="preserve"> initiatives are actively testing potential sources of long-term funding</w:t>
            </w:r>
            <w:r w:rsidRPr="0066291D">
              <w:rPr>
                <w:i/>
                <w:iCs/>
                <w:color w:val="1D336D" w:themeColor="background2"/>
              </w:rPr>
              <w:t>. Revenue generation through the sale of carbon credits is the most established option, although not all landscapes and activities qualify. Biodiversity credits and community-owned enterprises are also being explored. However, additional testing and evaluation are needed, and gap funding may be required before income from credits or enterprises begins to flow.</w:t>
            </w:r>
          </w:p>
        </w:tc>
      </w:tr>
      <w:tr w:rsidR="00CF441B" w14:paraId="1F6F4D28"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329278F" w14:textId="77777777" w:rsidR="00CF441B" w:rsidRPr="00DD3D1A" w:rsidRDefault="00CF441B">
            <w:pPr>
              <w:jc w:val="center"/>
              <w:rPr>
                <w:b/>
                <w:bCs/>
                <w:color w:val="1D336D" w:themeColor="background2"/>
              </w:rPr>
            </w:pPr>
            <w:r>
              <w:rPr>
                <w:b/>
                <w:bCs/>
                <w:color w:val="1D336D" w:themeColor="background2"/>
              </w:rPr>
              <w:t>18</w:t>
            </w:r>
          </w:p>
        </w:tc>
        <w:tc>
          <w:tcPr>
            <w:tcW w:w="8924" w:type="dxa"/>
            <w:shd w:val="clear" w:color="auto" w:fill="auto"/>
          </w:tcPr>
          <w:p w14:paraId="7CDF593C" w14:textId="009D4012" w:rsidR="00CF441B" w:rsidRPr="0066291D" w:rsidRDefault="00CF441B">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66291D">
              <w:rPr>
                <w:b/>
                <w:bCs/>
                <w:i/>
                <w:iCs/>
                <w:color w:val="1D336D" w:themeColor="background2"/>
              </w:rPr>
              <w:t>Some projects are exploring funding opportunities through entities such as the Green Climate Fund (GCF) or the Global Environmental Fund (GEF)</w:t>
            </w:r>
            <w:r w:rsidRPr="0066291D">
              <w:rPr>
                <w:i/>
                <w:iCs/>
                <w:color w:val="1D336D" w:themeColor="background2"/>
              </w:rPr>
              <w:t>. Blended finance models, such as soft loans, for gap funding purposes have not been explored thus far.</w:t>
            </w:r>
          </w:p>
        </w:tc>
      </w:tr>
    </w:tbl>
    <w:p w14:paraId="27D933BB" w14:textId="77777777" w:rsidR="00BE711B" w:rsidRDefault="00BE711B" w:rsidP="004A5B97">
      <w:pPr>
        <w:pStyle w:val="NormalWeb"/>
        <w:rPr>
          <w:noProof/>
        </w:rPr>
      </w:pPr>
    </w:p>
    <w:p w14:paraId="61D50689" w14:textId="12E7F19C" w:rsidR="004A5B97" w:rsidRPr="00F422B6" w:rsidRDefault="004A5B97" w:rsidP="00150362">
      <w:pPr>
        <w:pStyle w:val="NormalWeb"/>
        <w:jc w:val="center"/>
        <w:rPr>
          <w:rFonts w:asciiTheme="minorHAnsi" w:eastAsiaTheme="majorEastAsia" w:hAnsiTheme="minorHAnsi" w:cs="Calibri"/>
          <w:color w:val="000000" w:themeColor="text1"/>
          <w:sz w:val="14"/>
          <w:szCs w:val="20"/>
        </w:rPr>
      </w:pPr>
      <w:r>
        <w:rPr>
          <w:noProof/>
        </w:rPr>
        <w:lastRenderedPageBreak/>
        <w:drawing>
          <wp:inline distT="0" distB="0" distL="0" distR="0" wp14:anchorId="38F9CA5C" wp14:editId="5C3B8FD7">
            <wp:extent cx="5619750" cy="8537321"/>
            <wp:effectExtent l="0" t="0" r="0" b="0"/>
            <wp:docPr id="2073737732" name="Picture 6" descr="Image provides a case study of nature-based beekeeping. Text version available in Annex 4 under heading 'case stud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737732" name="Picture 6" descr="Image provides a case study of nature-based beekeeping. Text version available in Annex 4 under heading 'case study 3'."/>
                    <pic:cNvPicPr>
                      <a:picLocks noChangeAspect="1" noChangeArrowheads="1"/>
                    </pic:cNvPicPr>
                  </pic:nvPicPr>
                  <pic:blipFill rotWithShape="1">
                    <a:blip r:embed="rId22"/>
                    <a:srcRect l="4154" r="4152" b="1528"/>
                    <a:stretch/>
                  </pic:blipFill>
                  <pic:spPr bwMode="auto">
                    <a:xfrm>
                      <a:off x="0" y="0"/>
                      <a:ext cx="5619750" cy="8537321"/>
                    </a:xfrm>
                    <a:prstGeom prst="rect">
                      <a:avLst/>
                    </a:prstGeom>
                    <a:noFill/>
                    <a:ln>
                      <a:noFill/>
                    </a:ln>
                    <a:extLst>
                      <a:ext uri="{53640926-AAD7-44D8-BBD7-CCE9431645EC}">
                        <a14:shadowObscured xmlns:a14="http://schemas.microsoft.com/office/drawing/2010/main"/>
                      </a:ext>
                    </a:extLst>
                  </pic:spPr>
                </pic:pic>
              </a:graphicData>
            </a:graphic>
          </wp:inline>
        </w:drawing>
      </w:r>
      <w:r w:rsidR="0094177F">
        <w:rPr>
          <w:rFonts w:asciiTheme="minorHAnsi" w:eastAsiaTheme="majorEastAsia" w:hAnsiTheme="minorHAnsi" w:cs="Calibri"/>
          <w:color w:val="000000" w:themeColor="text1"/>
          <w:sz w:val="14"/>
          <w:szCs w:val="20"/>
        </w:rPr>
        <w:br/>
      </w:r>
      <w:r w:rsidR="00120EF0" w:rsidRPr="001D5A77">
        <w:rPr>
          <w:rFonts w:asciiTheme="minorHAnsi" w:eastAsiaTheme="majorEastAsia" w:hAnsiTheme="minorHAnsi" w:cs="Calibri"/>
          <w:color w:val="000000" w:themeColor="text1"/>
          <w:sz w:val="14"/>
          <w:szCs w:val="20"/>
        </w:rPr>
        <w:t xml:space="preserve">* See: IUCN (2021); </w:t>
      </w:r>
      <w:r w:rsidR="00622F6B" w:rsidRPr="001D5A77">
        <w:rPr>
          <w:rFonts w:asciiTheme="minorHAnsi" w:eastAsiaTheme="majorEastAsia" w:hAnsiTheme="minorHAnsi" w:cs="Calibri"/>
          <w:color w:val="000000" w:themeColor="text1"/>
          <w:sz w:val="14"/>
          <w:szCs w:val="20"/>
        </w:rPr>
        <w:t xml:space="preserve">and </w:t>
      </w:r>
      <w:r w:rsidR="00D118ED" w:rsidRPr="001D5A77">
        <w:rPr>
          <w:rFonts w:asciiTheme="minorHAnsi" w:eastAsiaTheme="majorEastAsia" w:hAnsiTheme="minorHAnsi" w:cs="Calibri"/>
          <w:color w:val="000000" w:themeColor="text1"/>
          <w:sz w:val="14"/>
          <w:szCs w:val="20"/>
        </w:rPr>
        <w:t>Donato</w:t>
      </w:r>
      <w:r w:rsidR="00B745C8" w:rsidRPr="001D5A77">
        <w:rPr>
          <w:rFonts w:asciiTheme="minorHAnsi" w:eastAsiaTheme="majorEastAsia" w:hAnsiTheme="minorHAnsi" w:cs="Calibri"/>
          <w:color w:val="000000" w:themeColor="text1"/>
          <w:sz w:val="14"/>
          <w:szCs w:val="20"/>
        </w:rPr>
        <w:t xml:space="preserve"> et al. (2011)</w:t>
      </w:r>
    </w:p>
    <w:p w14:paraId="77940CEC" w14:textId="7D558BEF" w:rsidR="00EA7FE2" w:rsidRPr="00EA7FE2" w:rsidRDefault="00CF441B" w:rsidP="00CF441B">
      <w:pPr>
        <w:pStyle w:val="ChapterHeading"/>
      </w:pPr>
      <w:bookmarkStart w:id="36" w:name="_Toc164783052"/>
      <w:r>
        <w:lastRenderedPageBreak/>
        <w:t>Findings at the investment level</w:t>
      </w:r>
      <w:bookmarkEnd w:id="36"/>
    </w:p>
    <w:p w14:paraId="4E2E37FC" w14:textId="05FCE643" w:rsidR="00EA7FE2" w:rsidRPr="00B653D6" w:rsidRDefault="004F04A7" w:rsidP="00B653D6">
      <w:pPr>
        <w:pStyle w:val="Heading1"/>
      </w:pPr>
      <w:bookmarkStart w:id="37" w:name="_Toc164783053"/>
      <w:r>
        <w:t>CLIMATE RESILIENT BY NATURE</w:t>
      </w:r>
      <w:bookmarkEnd w:id="37"/>
      <w:r w:rsidR="00EA7FE2" w:rsidRPr="00B653D6">
        <w:t xml:space="preserve"> </w:t>
      </w:r>
      <w:r w:rsidR="00EA7FE2" w:rsidRPr="00B653D6">
        <w:tab/>
      </w:r>
    </w:p>
    <w:p w14:paraId="5E26A127" w14:textId="77777777" w:rsidR="00EA7FE2" w:rsidRPr="002938ED" w:rsidRDefault="00EA7FE2" w:rsidP="004B741C">
      <w:pPr>
        <w:pStyle w:val="Heading2"/>
        <w:rPr>
          <w:color w:val="1D336D" w:themeColor="background2"/>
        </w:rPr>
      </w:pPr>
      <w:bookmarkStart w:id="38" w:name="_Toc164783054"/>
      <w:r w:rsidRPr="002938ED">
        <w:rPr>
          <w:color w:val="1D336D" w:themeColor="background2"/>
        </w:rPr>
        <w:t>Overview</w:t>
      </w:r>
      <w:bookmarkEnd w:id="38"/>
    </w:p>
    <w:p w14:paraId="0B013082" w14:textId="3DD32CDD" w:rsidR="00EA7FE2" w:rsidRPr="00B653D6" w:rsidRDefault="00EA7FE2" w:rsidP="00B814D2">
      <w:r w:rsidRPr="00B653D6">
        <w:t>Climate Resilien</w:t>
      </w:r>
      <w:r w:rsidR="00427588">
        <w:t>t</w:t>
      </w:r>
      <w:r w:rsidRPr="00B653D6">
        <w:t xml:space="preserve"> by Nature (</w:t>
      </w:r>
      <w:proofErr w:type="spellStart"/>
      <w:r w:rsidRPr="00B653D6">
        <w:t>CRxN</w:t>
      </w:r>
      <w:proofErr w:type="spellEnd"/>
      <w:r w:rsidRPr="00B653D6">
        <w:t xml:space="preserve">) is an AUD14.5 million Australian Government initiative, in partnership with WWF-Australia. Launched in 2021 at COP26, </w:t>
      </w:r>
      <w:proofErr w:type="spellStart"/>
      <w:r w:rsidRPr="00B653D6">
        <w:t>CRxN</w:t>
      </w:r>
      <w:proofErr w:type="spellEnd"/>
      <w:r w:rsidRPr="00B653D6">
        <w:t xml:space="preserve"> is supporting 10 projects and a Knowledge Hub (see Table 1 below) across the Indo-Pacific region, working with communities utilising </w:t>
      </w:r>
      <w:proofErr w:type="spellStart"/>
      <w:r w:rsidRPr="00B653D6">
        <w:t>NbS</w:t>
      </w:r>
      <w:proofErr w:type="spellEnd"/>
      <w:r w:rsidRPr="00B653D6">
        <w:t xml:space="preserve"> to restore and protect critical ecosystems, build sustainable livelihoods, and increase resilience to climate shocks.</w:t>
      </w:r>
    </w:p>
    <w:p w14:paraId="47AEAED0" w14:textId="4408ED6B" w:rsidR="00EA7FE2" w:rsidRPr="00B653D6" w:rsidRDefault="00EA7FE2" w:rsidP="00B814D2">
      <w:proofErr w:type="spellStart"/>
      <w:r w:rsidRPr="00B653D6">
        <w:t>CRxN</w:t>
      </w:r>
      <w:proofErr w:type="spellEnd"/>
      <w:r w:rsidRPr="00B653D6">
        <w:t xml:space="preserve"> is funded by DFAT, with </w:t>
      </w:r>
      <w:r w:rsidR="005B4FDF">
        <w:t>some</w:t>
      </w:r>
      <w:r w:rsidR="005B4FDF" w:rsidRPr="00B653D6">
        <w:t xml:space="preserve"> </w:t>
      </w:r>
      <w:r w:rsidRPr="00B653D6">
        <w:t xml:space="preserve">funding provided </w:t>
      </w:r>
      <w:r w:rsidR="005B4FDF">
        <w:t>under</w:t>
      </w:r>
      <w:r w:rsidRPr="00B653D6">
        <w:t xml:space="preserve"> the Mekong Australia Partnership - Water, Energy and Climate Change (MAP-WEC).</w:t>
      </w:r>
    </w:p>
    <w:p w14:paraId="13753543" w14:textId="77777777" w:rsidR="00EA7FE2" w:rsidRPr="00B653D6" w:rsidRDefault="00EA7FE2" w:rsidP="00B814D2">
      <w:proofErr w:type="spellStart"/>
      <w:r w:rsidRPr="00B653D6">
        <w:t>CRxN</w:t>
      </w:r>
      <w:proofErr w:type="spellEnd"/>
      <w:r w:rsidRPr="00B653D6">
        <w:t xml:space="preserve"> was originally designed as a 2-year investment, which provided individual projects with implementation periods of between 12 and 18 months. Since 2021, the program has been extended twice. As part of this, projects were offered no-cost extensions, and then in 2023, a selection of projects were awarded costed extensions. While these extensions have been welcomed by WWF-Australia and its implementing partners, it is important to understand that </w:t>
      </w:r>
      <w:proofErr w:type="spellStart"/>
      <w:r w:rsidRPr="00B653D6">
        <w:t>CRxN</w:t>
      </w:r>
      <w:proofErr w:type="spellEnd"/>
      <w:r w:rsidRPr="00B653D6">
        <w:t xml:space="preserve"> was not designed as a four-year program. </w:t>
      </w:r>
    </w:p>
    <w:p w14:paraId="1288FAB3" w14:textId="77777777" w:rsidR="00EA7FE2" w:rsidRPr="00B653D6" w:rsidRDefault="00EA7FE2" w:rsidP="00B814D2">
      <w:r w:rsidRPr="00B653D6">
        <w:t xml:space="preserve">At the core of </w:t>
      </w:r>
      <w:proofErr w:type="spellStart"/>
      <w:r w:rsidRPr="00B653D6">
        <w:t>CRxN’s</w:t>
      </w:r>
      <w:proofErr w:type="spellEnd"/>
      <w:r w:rsidRPr="00B653D6">
        <w:t xml:space="preserve"> design is an acknowledgment that the scale of climate change and biodiversity loss is too great for any one organisation or sector to tackle alone, and that regional collaboration is essential for the sustainable restoration and protection of critical ecosystems. As a result, </w:t>
      </w:r>
      <w:proofErr w:type="spellStart"/>
      <w:r w:rsidRPr="00B653D6">
        <w:t>CRxN</w:t>
      </w:r>
      <w:proofErr w:type="spellEnd"/>
      <w:r w:rsidRPr="00B653D6">
        <w:t xml:space="preserve"> has partnered with 23 Australian based NGOs and their local partners working in the Indo-Pacific (see Table 1 below).</w:t>
      </w:r>
    </w:p>
    <w:p w14:paraId="2C0650B6" w14:textId="77777777" w:rsidR="00EA7FE2" w:rsidRPr="00EA7FE2" w:rsidRDefault="00EA7FE2" w:rsidP="00B814D2">
      <w:r w:rsidRPr="00B653D6">
        <w:t xml:space="preserve">In the Mekong, </w:t>
      </w:r>
      <w:proofErr w:type="spellStart"/>
      <w:r w:rsidRPr="00B653D6">
        <w:t>CRxN</w:t>
      </w:r>
      <w:proofErr w:type="spellEnd"/>
      <w:r w:rsidRPr="00B653D6">
        <w:t xml:space="preserve"> is supporting the integration and implementation of country-level projects under a broader, regional programmatic umbrella. The </w:t>
      </w:r>
      <w:proofErr w:type="spellStart"/>
      <w:r w:rsidRPr="00B653D6">
        <w:t>CRxN</w:t>
      </w:r>
      <w:proofErr w:type="spellEnd"/>
      <w:r w:rsidRPr="00B653D6">
        <w:t xml:space="preserve"> Mekong Expansion, funded by MAP-WEC, supports WWF Viet Nam, Laos, and Cambodia to implement multi-sector </w:t>
      </w:r>
      <w:proofErr w:type="spellStart"/>
      <w:r w:rsidRPr="00B653D6">
        <w:t>NbS</w:t>
      </w:r>
      <w:proofErr w:type="spellEnd"/>
      <w:r w:rsidRPr="00B653D6">
        <w:t xml:space="preserve"> projects that include landscape management, freshwater ecosystem restoration and flood-based / aquaculture livelihood activities with the goal of sustainably restoring and protecting Mekong riverine and floodplain ecosystems.</w:t>
      </w:r>
    </w:p>
    <w:p w14:paraId="56CB4287" w14:textId="77777777" w:rsidR="00EA7FE2" w:rsidRPr="00EA7FE2" w:rsidRDefault="00EA7FE2" w:rsidP="00B814D2">
      <w:r w:rsidRPr="00EA7FE2">
        <w:t xml:space="preserve">The </w:t>
      </w:r>
      <w:proofErr w:type="spellStart"/>
      <w:r w:rsidRPr="00EA7FE2">
        <w:t>CRxN</w:t>
      </w:r>
      <w:proofErr w:type="spellEnd"/>
      <w:r w:rsidRPr="00EA7FE2">
        <w:t xml:space="preserve"> investment has three key components:</w:t>
      </w:r>
    </w:p>
    <w:p w14:paraId="4EC42908" w14:textId="77777777" w:rsidR="00EA7FE2" w:rsidRPr="00EA7FE2" w:rsidRDefault="00EA7FE2" w:rsidP="00B814D2">
      <w:r w:rsidRPr="000E4D96">
        <w:rPr>
          <w:b/>
          <w:bCs/>
          <w:color w:val="1D336D" w:themeColor="background2"/>
        </w:rPr>
        <w:t>Expanding nature-based solutions in the Pacific:</w:t>
      </w:r>
      <w:r w:rsidRPr="000E4D96">
        <w:rPr>
          <w:color w:val="1D336D" w:themeColor="background2"/>
        </w:rPr>
        <w:t xml:space="preserve"> </w:t>
      </w:r>
      <w:r w:rsidRPr="00EA7FE2">
        <w:t xml:space="preserve">The expansion component of </w:t>
      </w:r>
      <w:proofErr w:type="spellStart"/>
      <w:r w:rsidRPr="00EA7FE2">
        <w:t>CRxN</w:t>
      </w:r>
      <w:proofErr w:type="spellEnd"/>
      <w:r w:rsidRPr="00EA7FE2">
        <w:t xml:space="preserve"> provides funding and support to expand and scale-up existing </w:t>
      </w:r>
      <w:proofErr w:type="spellStart"/>
      <w:r w:rsidRPr="00EA7FE2">
        <w:t>NbS</w:t>
      </w:r>
      <w:proofErr w:type="spellEnd"/>
      <w:r w:rsidRPr="00EA7FE2">
        <w:t xml:space="preserve"> projects by partnering with environmental NGOs already operating in the region.</w:t>
      </w:r>
    </w:p>
    <w:p w14:paraId="5666F8A3" w14:textId="77777777" w:rsidR="00EA7FE2" w:rsidRPr="00EA7FE2" w:rsidRDefault="00EA7FE2" w:rsidP="00B814D2">
      <w:r w:rsidRPr="000E4D96">
        <w:rPr>
          <w:b/>
          <w:bCs/>
          <w:color w:val="1D336D" w:themeColor="background2"/>
        </w:rPr>
        <w:t>Australia-Pacific Nature-Based Solutions Challenge:</w:t>
      </w:r>
      <w:r w:rsidRPr="000E4D96">
        <w:rPr>
          <w:color w:val="1D336D" w:themeColor="background2"/>
        </w:rPr>
        <w:t xml:space="preserve"> </w:t>
      </w:r>
      <w:r w:rsidRPr="00EA7FE2">
        <w:t xml:space="preserve">The challenge round of </w:t>
      </w:r>
      <w:proofErr w:type="spellStart"/>
      <w:r w:rsidRPr="00EA7FE2">
        <w:t>CRxN</w:t>
      </w:r>
      <w:proofErr w:type="spellEnd"/>
      <w:r w:rsidRPr="00EA7FE2">
        <w:t xml:space="preserve"> facilitated competitive, open funding rounds to support Australian international development NGOs and their local partners to pilot and expand nature-based approaches in their climate change related programming.</w:t>
      </w:r>
    </w:p>
    <w:p w14:paraId="3EBBA8C1" w14:textId="12D0A232" w:rsidR="006E2FC4" w:rsidRPr="00EA7FE2" w:rsidRDefault="00EA7FE2" w:rsidP="00B814D2">
      <w:r w:rsidRPr="000E4D96">
        <w:rPr>
          <w:b/>
          <w:bCs/>
          <w:color w:val="1D336D" w:themeColor="background2"/>
        </w:rPr>
        <w:t>Learning, Innovation and Knowledge Hub:</w:t>
      </w:r>
      <w:r w:rsidRPr="000E4D96">
        <w:rPr>
          <w:color w:val="1D336D" w:themeColor="background2"/>
        </w:rPr>
        <w:t xml:space="preserve"> </w:t>
      </w:r>
      <w:proofErr w:type="spellStart"/>
      <w:r w:rsidRPr="00EA7FE2">
        <w:t>CRxN’s</w:t>
      </w:r>
      <w:proofErr w:type="spellEnd"/>
      <w:r w:rsidRPr="00EA7FE2">
        <w:t xml:space="preserve"> Indo-Pacific Knowledge Hub captures project impacts and lessons, commissions and communicates relevant, practical research, and fosters a cross-sector community of practice to inform new partnerships and approaches that ensure local communities are at the heart of </w:t>
      </w:r>
      <w:proofErr w:type="spellStart"/>
      <w:r w:rsidRPr="00EA7FE2">
        <w:t>NbS</w:t>
      </w:r>
      <w:proofErr w:type="spellEnd"/>
      <w:r w:rsidRPr="00EA7FE2">
        <w:t xml:space="preserve">. </w:t>
      </w:r>
    </w:p>
    <w:p w14:paraId="7D0BD238" w14:textId="1CD69931" w:rsidR="006E2FC4" w:rsidRDefault="006E2FC4" w:rsidP="006E2FC4">
      <w:pPr>
        <w:pStyle w:val="Heading3"/>
      </w:pPr>
      <w:r>
        <w:lastRenderedPageBreak/>
        <w:t xml:space="preserve">Table </w:t>
      </w:r>
      <w:r w:rsidR="00670D14">
        <w:fldChar w:fldCharType="begin"/>
      </w:r>
      <w:r w:rsidR="00670D14">
        <w:instrText xml:space="preserve"> SEQ Table \* ARABIC </w:instrText>
      </w:r>
      <w:r w:rsidR="00670D14">
        <w:fldChar w:fldCharType="separate"/>
      </w:r>
      <w:r w:rsidR="003103FE">
        <w:rPr>
          <w:noProof/>
        </w:rPr>
        <w:t>8</w:t>
      </w:r>
      <w:r w:rsidR="00670D14">
        <w:rPr>
          <w:noProof/>
        </w:rPr>
        <w:fldChar w:fldCharType="end"/>
      </w:r>
      <w:r>
        <w:t xml:space="preserve">: </w:t>
      </w:r>
      <w:proofErr w:type="spellStart"/>
      <w:r>
        <w:t>CRxN</w:t>
      </w:r>
      <w:proofErr w:type="spellEnd"/>
      <w:r>
        <w:t xml:space="preserve"> projects</w:t>
      </w:r>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1633"/>
        <w:gridCol w:w="1248"/>
        <w:gridCol w:w="1655"/>
        <w:gridCol w:w="5102"/>
      </w:tblGrid>
      <w:tr w:rsidR="00074787" w14:paraId="0017C020" w14:textId="77777777" w:rsidTr="003B530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3" w:type="dxa"/>
          </w:tcPr>
          <w:p w14:paraId="4045DA2A" w14:textId="0C2C26F5" w:rsidR="006E2FC4" w:rsidRPr="00C32808" w:rsidRDefault="006E2FC4">
            <w:pPr>
              <w:rPr>
                <w:b/>
                <w:bCs/>
                <w:color w:val="1D336D" w:themeColor="background2"/>
              </w:rPr>
            </w:pPr>
            <w:r>
              <w:rPr>
                <w:b/>
                <w:bCs/>
                <w:color w:val="1D336D" w:themeColor="background2"/>
              </w:rPr>
              <w:t>Project name</w:t>
            </w:r>
          </w:p>
        </w:tc>
        <w:tc>
          <w:tcPr>
            <w:tcW w:w="1248" w:type="dxa"/>
            <w:shd w:val="clear" w:color="auto" w:fill="F2F2F2" w:themeFill="background1" w:themeFillShade="F2"/>
          </w:tcPr>
          <w:p w14:paraId="52CF663B" w14:textId="17954505" w:rsidR="006E2FC4" w:rsidRPr="00C32808" w:rsidRDefault="006E2FC4">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Pr>
                <w:b/>
                <w:bCs/>
                <w:color w:val="1D336D" w:themeColor="background2"/>
              </w:rPr>
              <w:t>Location(s)</w:t>
            </w:r>
          </w:p>
        </w:tc>
        <w:tc>
          <w:tcPr>
            <w:tcW w:w="1655" w:type="dxa"/>
            <w:shd w:val="clear" w:color="auto" w:fill="F2F2F2" w:themeFill="background1" w:themeFillShade="F2"/>
          </w:tcPr>
          <w:p w14:paraId="7991D1A0" w14:textId="1FE5D9BD" w:rsidR="006E2FC4" w:rsidRPr="00C32808" w:rsidRDefault="006E2FC4">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Pr>
                <w:b/>
                <w:bCs/>
                <w:color w:val="1D336D" w:themeColor="background2"/>
              </w:rPr>
              <w:t>Implementing partner</w:t>
            </w:r>
          </w:p>
        </w:tc>
        <w:tc>
          <w:tcPr>
            <w:tcW w:w="5102" w:type="dxa"/>
            <w:shd w:val="clear" w:color="auto" w:fill="F2F2F2" w:themeFill="background1" w:themeFillShade="F2"/>
          </w:tcPr>
          <w:p w14:paraId="6A23F26A" w14:textId="36274152" w:rsidR="006E2FC4" w:rsidRPr="00C32808" w:rsidRDefault="006E2FC4">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Pr>
                <w:b/>
                <w:bCs/>
                <w:color w:val="1D336D" w:themeColor="background2"/>
              </w:rPr>
              <w:t>Key focal area</w:t>
            </w:r>
          </w:p>
        </w:tc>
      </w:tr>
      <w:tr w:rsidR="006E2FC4" w14:paraId="2A618151"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3" w:type="dxa"/>
          </w:tcPr>
          <w:p w14:paraId="2A324984" w14:textId="418BC483" w:rsidR="006E2FC4" w:rsidRPr="00EB5812" w:rsidRDefault="000D6D7E" w:rsidP="000D6D7E">
            <w:pPr>
              <w:rPr>
                <w:b/>
                <w:bCs/>
                <w:color w:val="1D336D" w:themeColor="background2"/>
              </w:rPr>
            </w:pPr>
            <w:r w:rsidRPr="00E80B6D">
              <w:rPr>
                <w:b/>
                <w:bCs/>
                <w:color w:val="1D336D" w:themeColor="background2"/>
              </w:rPr>
              <w:t>Farmer Managed Natural Regeneration (FMNR) of</w:t>
            </w:r>
            <w:r w:rsidR="00E80B6D">
              <w:rPr>
                <w:b/>
                <w:bCs/>
                <w:color w:val="1D336D" w:themeColor="background2"/>
              </w:rPr>
              <w:t xml:space="preserve"> </w:t>
            </w:r>
            <w:r w:rsidRPr="00E80B6D">
              <w:rPr>
                <w:b/>
                <w:bCs/>
                <w:color w:val="1D336D" w:themeColor="background2"/>
              </w:rPr>
              <w:t>mangroves and tropical forests</w:t>
            </w:r>
          </w:p>
        </w:tc>
        <w:tc>
          <w:tcPr>
            <w:tcW w:w="1248" w:type="dxa"/>
            <w:shd w:val="clear" w:color="auto" w:fill="auto"/>
          </w:tcPr>
          <w:p w14:paraId="663B2824" w14:textId="6616FE87" w:rsidR="006E2FC4" w:rsidRPr="00EB5812" w:rsidRDefault="00562549">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Pr>
                <w:i/>
                <w:iCs/>
                <w:color w:val="1D336D" w:themeColor="background2"/>
              </w:rPr>
              <w:t>Solomon Islands</w:t>
            </w:r>
          </w:p>
        </w:tc>
        <w:tc>
          <w:tcPr>
            <w:tcW w:w="1655" w:type="dxa"/>
            <w:shd w:val="clear" w:color="auto" w:fill="auto"/>
          </w:tcPr>
          <w:p w14:paraId="3DE06164" w14:textId="77777777" w:rsidR="00B26BFE" w:rsidRPr="00B26BFE" w:rsidRDefault="00B26BFE" w:rsidP="00B26BFE">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B26BFE">
              <w:rPr>
                <w:i/>
                <w:iCs/>
                <w:color w:val="1D336D" w:themeColor="background2"/>
              </w:rPr>
              <w:t>WV Australia</w:t>
            </w:r>
          </w:p>
          <w:p w14:paraId="067FD6BB" w14:textId="64051543" w:rsidR="006E2FC4" w:rsidRPr="00EB5812" w:rsidRDefault="00B26BFE" w:rsidP="00B26BFE">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B26BFE">
              <w:rPr>
                <w:i/>
                <w:iCs/>
                <w:color w:val="1D336D" w:themeColor="background2"/>
              </w:rPr>
              <w:t>WV Solomon Islands</w:t>
            </w:r>
          </w:p>
        </w:tc>
        <w:tc>
          <w:tcPr>
            <w:tcW w:w="5102" w:type="dxa"/>
            <w:shd w:val="clear" w:color="auto" w:fill="auto"/>
          </w:tcPr>
          <w:p w14:paraId="715D7BC1" w14:textId="7BCB9C10" w:rsidR="006E2FC4" w:rsidRPr="00EB5812" w:rsidRDefault="00ED23B7">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D23B7">
              <w:rPr>
                <w:i/>
                <w:iCs/>
                <w:color w:val="1D336D" w:themeColor="background2"/>
              </w:rPr>
              <w:t>Implementing Farmer Managed Natural Regeneration (FMNR) with eight communities to regenerate, restore and protect mangrove forests, agricultural land, and tropical forests. FMNR is being implemented alongside climate-smart agricultural and fisheries practices in targeted agricultural and coastal communities.</w:t>
            </w:r>
          </w:p>
        </w:tc>
      </w:tr>
      <w:tr w:rsidR="00074787" w14:paraId="23C65E3E" w14:textId="77777777" w:rsidTr="006E7363">
        <w:tc>
          <w:tcPr>
            <w:cnfStyle w:val="001000000000" w:firstRow="0" w:lastRow="0" w:firstColumn="1" w:lastColumn="0" w:oddVBand="0" w:evenVBand="0" w:oddHBand="0" w:evenHBand="0" w:firstRowFirstColumn="0" w:firstRowLastColumn="0" w:lastRowFirstColumn="0" w:lastRowLastColumn="0"/>
            <w:tcW w:w="1633" w:type="dxa"/>
          </w:tcPr>
          <w:p w14:paraId="79AAD0F8" w14:textId="659CD305" w:rsidR="006E2FC4" w:rsidRPr="00EB5812" w:rsidRDefault="003A566F">
            <w:pPr>
              <w:rPr>
                <w:b/>
                <w:bCs/>
                <w:color w:val="1D336D" w:themeColor="background2"/>
              </w:rPr>
            </w:pPr>
            <w:r w:rsidRPr="003A566F">
              <w:rPr>
                <w:b/>
                <w:bCs/>
                <w:color w:val="1D336D" w:themeColor="background2"/>
              </w:rPr>
              <w:t>Community based participation in nature-based climate solutions</w:t>
            </w:r>
          </w:p>
        </w:tc>
        <w:tc>
          <w:tcPr>
            <w:tcW w:w="1248" w:type="dxa"/>
            <w:shd w:val="clear" w:color="auto" w:fill="F2F2F2" w:themeFill="background1" w:themeFillShade="F2"/>
          </w:tcPr>
          <w:p w14:paraId="5A918BCE" w14:textId="77777777" w:rsidR="00C20301" w:rsidRPr="00C20301" w:rsidRDefault="00C20301" w:rsidP="00C20301">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C20301">
              <w:rPr>
                <w:i/>
                <w:iCs/>
                <w:color w:val="1D336D" w:themeColor="background2"/>
              </w:rPr>
              <w:t>Solomon Islands</w:t>
            </w:r>
          </w:p>
          <w:p w14:paraId="291FC46A" w14:textId="1CAD41DE" w:rsidR="006E2FC4" w:rsidRPr="00EB5812" w:rsidRDefault="00C20301" w:rsidP="00C20301">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C20301">
              <w:rPr>
                <w:i/>
                <w:iCs/>
                <w:color w:val="1D336D" w:themeColor="background2"/>
              </w:rPr>
              <w:t>Papua New Guinea</w:t>
            </w:r>
          </w:p>
        </w:tc>
        <w:tc>
          <w:tcPr>
            <w:tcW w:w="1655" w:type="dxa"/>
            <w:shd w:val="clear" w:color="auto" w:fill="F2F2F2" w:themeFill="background1" w:themeFillShade="F2"/>
          </w:tcPr>
          <w:p w14:paraId="59E159D2" w14:textId="0DF35FDC" w:rsidR="005D4C03" w:rsidRPr="005D4C03" w:rsidRDefault="005D4C03" w:rsidP="005D4C03">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5D4C03">
              <w:rPr>
                <w:i/>
                <w:iCs/>
                <w:color w:val="1D336D" w:themeColor="background2"/>
              </w:rPr>
              <w:t>Save the Children</w:t>
            </w:r>
          </w:p>
          <w:p w14:paraId="353FB404" w14:textId="77777777" w:rsidR="005D4C03" w:rsidRPr="005D4C03" w:rsidRDefault="005D4C03" w:rsidP="005D4C03">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5D4C03">
              <w:rPr>
                <w:i/>
                <w:iCs/>
                <w:color w:val="1D336D" w:themeColor="background2"/>
              </w:rPr>
              <w:t>Natural Carbon The Nature Conservancy</w:t>
            </w:r>
          </w:p>
          <w:p w14:paraId="42BED5F9" w14:textId="67E9D86A" w:rsidR="006E2FC4" w:rsidRPr="00EB5812" w:rsidRDefault="005D4C03" w:rsidP="005D4C03">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5D4C03">
              <w:rPr>
                <w:i/>
                <w:iCs/>
                <w:color w:val="1D336D" w:themeColor="background2"/>
              </w:rPr>
              <w:t>Mai-</w:t>
            </w:r>
            <w:proofErr w:type="spellStart"/>
            <w:r w:rsidRPr="005D4C03">
              <w:rPr>
                <w:i/>
                <w:iCs/>
                <w:color w:val="1D336D" w:themeColor="background2"/>
              </w:rPr>
              <w:t>Maasina</w:t>
            </w:r>
            <w:proofErr w:type="spellEnd"/>
            <w:r w:rsidRPr="005D4C03">
              <w:rPr>
                <w:i/>
                <w:iCs/>
                <w:color w:val="1D336D" w:themeColor="background2"/>
              </w:rPr>
              <w:t xml:space="preserve"> Green Belt</w:t>
            </w:r>
          </w:p>
        </w:tc>
        <w:tc>
          <w:tcPr>
            <w:tcW w:w="5102" w:type="dxa"/>
            <w:shd w:val="clear" w:color="auto" w:fill="F2F2F2" w:themeFill="background1" w:themeFillShade="F2"/>
          </w:tcPr>
          <w:p w14:paraId="2E238587" w14:textId="246BFAAC" w:rsidR="006E2FC4" w:rsidRPr="00EB5812" w:rsidRDefault="00DD4DFE">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DD4DFE">
              <w:rPr>
                <w:i/>
                <w:iCs/>
                <w:color w:val="1D336D" w:themeColor="background2"/>
              </w:rPr>
              <w:t>Supporting communities in PNG and Solomon Islands to be more resilient to the unavoidable impacts of climate change through better natural resource management, ecosystem-based adaptation action, deployment of livelihoods diversification strategies and capitalising on carbon market opportunities.</w:t>
            </w:r>
          </w:p>
        </w:tc>
      </w:tr>
      <w:tr w:rsidR="006E2FC4" w14:paraId="77B796C5" w14:textId="77777777" w:rsidTr="006E7363">
        <w:trPr>
          <w:cnfStyle w:val="000000100000" w:firstRow="0" w:lastRow="0" w:firstColumn="0" w:lastColumn="0" w:oddVBand="0" w:evenVBand="0" w:oddHBand="1" w:evenHBand="0" w:firstRowFirstColumn="0" w:firstRowLastColumn="0" w:lastRowFirstColumn="0" w:lastRowLastColumn="0"/>
          <w:trHeight w:val="3583"/>
        </w:trPr>
        <w:tc>
          <w:tcPr>
            <w:cnfStyle w:val="001000000000" w:firstRow="0" w:lastRow="0" w:firstColumn="1" w:lastColumn="0" w:oddVBand="0" w:evenVBand="0" w:oddHBand="0" w:evenHBand="0" w:firstRowFirstColumn="0" w:firstRowLastColumn="0" w:lastRowFirstColumn="0" w:lastRowLastColumn="0"/>
            <w:tcW w:w="1633" w:type="dxa"/>
          </w:tcPr>
          <w:p w14:paraId="0C1A2DF8" w14:textId="4231ABEF" w:rsidR="006E2FC4" w:rsidRPr="00EB5812" w:rsidRDefault="00083089" w:rsidP="00083089">
            <w:pPr>
              <w:rPr>
                <w:b/>
                <w:bCs/>
                <w:color w:val="1D336D" w:themeColor="background2"/>
              </w:rPr>
            </w:pPr>
            <w:r w:rsidRPr="00083089">
              <w:rPr>
                <w:b/>
                <w:bCs/>
                <w:color w:val="1D336D" w:themeColor="background2"/>
              </w:rPr>
              <w:t>Transforming Rural Lives through Adaptation and Carbon Capture (TRACC )</w:t>
            </w:r>
            <w:r w:rsidR="00E80B6D">
              <w:rPr>
                <w:b/>
                <w:bCs/>
                <w:color w:val="1D336D" w:themeColor="background2"/>
              </w:rPr>
              <w:t xml:space="preserve"> </w:t>
            </w:r>
            <w:r w:rsidRPr="00083089">
              <w:rPr>
                <w:b/>
                <w:bCs/>
                <w:color w:val="1D336D" w:themeColor="background2"/>
              </w:rPr>
              <w:t>Project</w:t>
            </w:r>
          </w:p>
        </w:tc>
        <w:tc>
          <w:tcPr>
            <w:tcW w:w="1248" w:type="dxa"/>
            <w:shd w:val="clear" w:color="auto" w:fill="auto"/>
          </w:tcPr>
          <w:p w14:paraId="63623478" w14:textId="4654511A" w:rsidR="006E2FC4" w:rsidRPr="00EB5812" w:rsidRDefault="00976128">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976128">
              <w:rPr>
                <w:i/>
                <w:iCs/>
                <w:color w:val="1D336D" w:themeColor="background2"/>
              </w:rPr>
              <w:t>Timor-Leste</w:t>
            </w:r>
          </w:p>
        </w:tc>
        <w:tc>
          <w:tcPr>
            <w:tcW w:w="1655" w:type="dxa"/>
            <w:shd w:val="clear" w:color="auto" w:fill="auto"/>
          </w:tcPr>
          <w:p w14:paraId="581DB492" w14:textId="537352AC" w:rsidR="00AD0C15" w:rsidRPr="00AD0C15" w:rsidRDefault="00AD0C15" w:rsidP="00AD0C15">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AD0C15">
              <w:rPr>
                <w:i/>
                <w:iCs/>
                <w:color w:val="1D336D" w:themeColor="background2"/>
              </w:rPr>
              <w:t>Caritas Australia</w:t>
            </w:r>
          </w:p>
          <w:p w14:paraId="0B478541" w14:textId="1BA94D19" w:rsidR="00AD0C15" w:rsidRPr="00AD0C15" w:rsidRDefault="00AD0C15" w:rsidP="00AD0C15">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AD0C15">
              <w:rPr>
                <w:i/>
                <w:iCs/>
                <w:color w:val="1D336D" w:themeColor="background2"/>
              </w:rPr>
              <w:t>Catholic Relief Services</w:t>
            </w:r>
          </w:p>
          <w:p w14:paraId="4983D455" w14:textId="51CFC0E4" w:rsidR="006E2FC4" w:rsidRPr="00EB5812" w:rsidRDefault="00AD0C15" w:rsidP="00AD0C15">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AD0C15">
              <w:rPr>
                <w:i/>
                <w:iCs/>
                <w:color w:val="1D336D" w:themeColor="background2"/>
              </w:rPr>
              <w:t>Aboriginal Carbon Foundation</w:t>
            </w:r>
          </w:p>
        </w:tc>
        <w:tc>
          <w:tcPr>
            <w:tcW w:w="5102" w:type="dxa"/>
            <w:shd w:val="clear" w:color="auto" w:fill="auto"/>
          </w:tcPr>
          <w:p w14:paraId="2F7BE992" w14:textId="77777777" w:rsidR="001E41F6" w:rsidRPr="001E41F6" w:rsidRDefault="001E41F6" w:rsidP="001E41F6">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1E41F6">
              <w:rPr>
                <w:i/>
                <w:iCs/>
                <w:color w:val="1D336D" w:themeColor="background2"/>
              </w:rPr>
              <w:t>Engaging communities that are negatively impacted by degrading ecosystem services due to intensive deforestation for the creation of agricultural land, and loss of soil due to heavy rains. Repopulating home gardens and farm plots with various tree sapling species that support food security, shelter, and soil integrity.</w:t>
            </w:r>
          </w:p>
          <w:p w14:paraId="3FBC5C6F" w14:textId="77777777" w:rsidR="001E41F6" w:rsidRPr="001E41F6" w:rsidRDefault="001E41F6" w:rsidP="001E41F6">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1E41F6">
              <w:rPr>
                <w:i/>
                <w:iCs/>
                <w:color w:val="1D336D" w:themeColor="background2"/>
              </w:rPr>
              <w:t xml:space="preserve">Development of </w:t>
            </w:r>
            <w:proofErr w:type="spellStart"/>
            <w:r w:rsidRPr="001E41F6">
              <w:rPr>
                <w:i/>
                <w:iCs/>
                <w:color w:val="1D336D" w:themeColor="background2"/>
              </w:rPr>
              <w:t>tara</w:t>
            </w:r>
            <w:proofErr w:type="spellEnd"/>
            <w:r w:rsidRPr="001E41F6">
              <w:rPr>
                <w:i/>
                <w:iCs/>
                <w:color w:val="1D336D" w:themeColor="background2"/>
              </w:rPr>
              <w:t xml:space="preserve"> </w:t>
            </w:r>
            <w:proofErr w:type="spellStart"/>
            <w:r w:rsidRPr="001E41F6">
              <w:rPr>
                <w:i/>
                <w:iCs/>
                <w:color w:val="1D336D" w:themeColor="background2"/>
              </w:rPr>
              <w:t>bandu</w:t>
            </w:r>
            <w:proofErr w:type="spellEnd"/>
            <w:r w:rsidRPr="001E41F6">
              <w:rPr>
                <w:i/>
                <w:iCs/>
                <w:color w:val="1D336D" w:themeColor="background2"/>
              </w:rPr>
              <w:t xml:space="preserve"> – community rules that govern sustainable management of community forest areas.</w:t>
            </w:r>
          </w:p>
          <w:p w14:paraId="61759A91" w14:textId="6A8B56CF" w:rsidR="006E2FC4" w:rsidRPr="00EB5812" w:rsidRDefault="001E41F6" w:rsidP="001E41F6">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1E41F6">
              <w:rPr>
                <w:i/>
                <w:iCs/>
                <w:color w:val="1D336D" w:themeColor="background2"/>
              </w:rPr>
              <w:t>Exploring incentives of carbon markets</w:t>
            </w:r>
            <w:r w:rsidR="00C544CE">
              <w:rPr>
                <w:i/>
                <w:iCs/>
                <w:color w:val="1D336D" w:themeColor="background2"/>
              </w:rPr>
              <w:t>.</w:t>
            </w:r>
          </w:p>
        </w:tc>
      </w:tr>
      <w:tr w:rsidR="00074787" w14:paraId="4CBF741C" w14:textId="77777777" w:rsidTr="006E7363">
        <w:tc>
          <w:tcPr>
            <w:cnfStyle w:val="001000000000" w:firstRow="0" w:lastRow="0" w:firstColumn="1" w:lastColumn="0" w:oddVBand="0" w:evenVBand="0" w:oddHBand="0" w:evenHBand="0" w:firstRowFirstColumn="0" w:firstRowLastColumn="0" w:lastRowFirstColumn="0" w:lastRowLastColumn="0"/>
            <w:tcW w:w="1633" w:type="dxa"/>
          </w:tcPr>
          <w:p w14:paraId="59200B8F" w14:textId="5B96CC69" w:rsidR="006E2FC4" w:rsidRPr="00EB5812" w:rsidRDefault="00643217">
            <w:pPr>
              <w:rPr>
                <w:b/>
                <w:bCs/>
                <w:color w:val="1D336D" w:themeColor="background2"/>
              </w:rPr>
            </w:pPr>
            <w:r w:rsidRPr="00643217">
              <w:rPr>
                <w:b/>
                <w:bCs/>
                <w:color w:val="1D336D" w:themeColor="background2"/>
              </w:rPr>
              <w:t>Nature-Positive Business for Climate Critical Ecosystems</w:t>
            </w:r>
          </w:p>
        </w:tc>
        <w:tc>
          <w:tcPr>
            <w:tcW w:w="1248" w:type="dxa"/>
            <w:shd w:val="clear" w:color="auto" w:fill="F2F2F2" w:themeFill="background1" w:themeFillShade="F2"/>
          </w:tcPr>
          <w:p w14:paraId="7A21340E" w14:textId="77777777" w:rsidR="008D1383" w:rsidRPr="008D1383" w:rsidRDefault="008D1383" w:rsidP="008D1383">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8D1383">
              <w:rPr>
                <w:i/>
                <w:iCs/>
                <w:color w:val="1D336D" w:themeColor="background2"/>
              </w:rPr>
              <w:t>Fiji</w:t>
            </w:r>
          </w:p>
          <w:p w14:paraId="3D6860DD" w14:textId="66D6F33F" w:rsidR="006E2FC4" w:rsidRPr="00EB5812" w:rsidRDefault="008D1383" w:rsidP="008D1383">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8D1383">
              <w:rPr>
                <w:i/>
                <w:iCs/>
                <w:color w:val="1D336D" w:themeColor="background2"/>
              </w:rPr>
              <w:t>Solomon Islands</w:t>
            </w:r>
          </w:p>
        </w:tc>
        <w:tc>
          <w:tcPr>
            <w:tcW w:w="1655" w:type="dxa"/>
            <w:shd w:val="clear" w:color="auto" w:fill="F2F2F2" w:themeFill="background1" w:themeFillShade="F2"/>
          </w:tcPr>
          <w:p w14:paraId="6858D80C" w14:textId="4C0128F2" w:rsidR="006E2FC4" w:rsidRPr="00EB5812" w:rsidRDefault="00974593">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974593">
              <w:rPr>
                <w:i/>
                <w:iCs/>
                <w:color w:val="1D336D" w:themeColor="background2"/>
              </w:rPr>
              <w:t>WWF Pacific</w:t>
            </w:r>
            <w:r>
              <w:rPr>
                <w:i/>
                <w:iCs/>
                <w:color w:val="1D336D" w:themeColor="background2"/>
              </w:rPr>
              <w:br/>
            </w:r>
            <w:r>
              <w:rPr>
                <w:i/>
                <w:iCs/>
                <w:color w:val="1D336D" w:themeColor="background2"/>
              </w:rPr>
              <w:br/>
            </w:r>
            <w:proofErr w:type="spellStart"/>
            <w:r w:rsidRPr="00974593">
              <w:rPr>
                <w:i/>
                <w:iCs/>
                <w:color w:val="1D336D" w:themeColor="background2"/>
              </w:rPr>
              <w:t>Matanataki</w:t>
            </w:r>
            <w:proofErr w:type="spellEnd"/>
          </w:p>
        </w:tc>
        <w:tc>
          <w:tcPr>
            <w:tcW w:w="5102" w:type="dxa"/>
            <w:shd w:val="clear" w:color="auto" w:fill="F2F2F2" w:themeFill="background1" w:themeFillShade="F2"/>
          </w:tcPr>
          <w:p w14:paraId="64F9D077" w14:textId="77777777" w:rsidR="00DD2FFD" w:rsidRPr="00DD2FFD" w:rsidRDefault="00DD2FFD" w:rsidP="00DD2FFD">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DD2FFD">
              <w:rPr>
                <w:i/>
                <w:iCs/>
                <w:color w:val="1D336D" w:themeColor="background2"/>
              </w:rPr>
              <w:t xml:space="preserve">Identifying and testing business models for supporting </w:t>
            </w:r>
            <w:proofErr w:type="spellStart"/>
            <w:r w:rsidRPr="00DD2FFD">
              <w:rPr>
                <w:i/>
                <w:iCs/>
                <w:color w:val="1D336D" w:themeColor="background2"/>
              </w:rPr>
              <w:t>NbS</w:t>
            </w:r>
            <w:proofErr w:type="spellEnd"/>
            <w:r w:rsidRPr="00DD2FFD">
              <w:rPr>
                <w:i/>
                <w:iCs/>
                <w:color w:val="1D336D" w:themeColor="background2"/>
              </w:rPr>
              <w:t xml:space="preserve"> to climate change in social, ecological, or financial contexts in which participation in carbon markets may not be viable.</w:t>
            </w:r>
          </w:p>
          <w:p w14:paraId="5EBF650E" w14:textId="77777777" w:rsidR="00DD2FFD" w:rsidRPr="00DD2FFD" w:rsidRDefault="00DD2FFD" w:rsidP="00DD2FFD">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DD2FFD">
              <w:rPr>
                <w:i/>
                <w:iCs/>
                <w:color w:val="1D336D" w:themeColor="background2"/>
              </w:rPr>
              <w:t>In Solomon Islands: sustainable management of sea- grapes to improve livelihoods and environmental restoration.</w:t>
            </w:r>
          </w:p>
          <w:p w14:paraId="3365356D" w14:textId="25E477C1" w:rsidR="006E2FC4" w:rsidRPr="00EB5812" w:rsidRDefault="00DD2FFD" w:rsidP="00DD2FFD">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DD2FFD">
              <w:rPr>
                <w:i/>
                <w:iCs/>
                <w:color w:val="1D336D" w:themeColor="background2"/>
              </w:rPr>
              <w:t>In Fiji: piloting a nature-positive enterprise that supports coastal mangrove management and restoration activities</w:t>
            </w:r>
            <w:r w:rsidR="00C544CE">
              <w:rPr>
                <w:i/>
                <w:iCs/>
                <w:color w:val="1D336D" w:themeColor="background2"/>
              </w:rPr>
              <w:t>.</w:t>
            </w:r>
          </w:p>
        </w:tc>
      </w:tr>
      <w:tr w:rsidR="006E2FC4" w14:paraId="38DC1B1C"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3" w:type="dxa"/>
          </w:tcPr>
          <w:p w14:paraId="67D62405" w14:textId="73C0A1AD" w:rsidR="006E2FC4" w:rsidRPr="00EB5812" w:rsidRDefault="00BF26D0">
            <w:pPr>
              <w:rPr>
                <w:b/>
                <w:bCs/>
                <w:color w:val="1D336D" w:themeColor="background2"/>
              </w:rPr>
            </w:pPr>
            <w:r w:rsidRPr="00BF26D0">
              <w:rPr>
                <w:b/>
                <w:bCs/>
                <w:color w:val="1D336D" w:themeColor="background2"/>
              </w:rPr>
              <w:lastRenderedPageBreak/>
              <w:t>Community-led coral reef restoration: Community, Corals and Chickens</w:t>
            </w:r>
          </w:p>
        </w:tc>
        <w:tc>
          <w:tcPr>
            <w:tcW w:w="1248" w:type="dxa"/>
            <w:shd w:val="clear" w:color="auto" w:fill="auto"/>
          </w:tcPr>
          <w:p w14:paraId="20933E89" w14:textId="77777777" w:rsidR="003237C5" w:rsidRDefault="003237C5" w:rsidP="003237C5">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237C5">
              <w:rPr>
                <w:i/>
                <w:iCs/>
                <w:color w:val="1D336D" w:themeColor="background2"/>
              </w:rPr>
              <w:t xml:space="preserve">Fiji </w:t>
            </w:r>
          </w:p>
          <w:p w14:paraId="36D620CA" w14:textId="5C96CF15" w:rsidR="003237C5" w:rsidRPr="003237C5" w:rsidRDefault="003237C5" w:rsidP="003237C5">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237C5">
              <w:rPr>
                <w:i/>
                <w:iCs/>
                <w:color w:val="1D336D" w:themeColor="background2"/>
              </w:rPr>
              <w:t>PNG</w:t>
            </w:r>
          </w:p>
          <w:p w14:paraId="1D30C975" w14:textId="4FB4A8BE" w:rsidR="006E2FC4" w:rsidRPr="00EB5812" w:rsidRDefault="003237C5" w:rsidP="003237C5">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237C5">
              <w:rPr>
                <w:i/>
                <w:iCs/>
                <w:color w:val="1D336D" w:themeColor="background2"/>
              </w:rPr>
              <w:t>Samoa</w:t>
            </w:r>
          </w:p>
        </w:tc>
        <w:tc>
          <w:tcPr>
            <w:tcW w:w="1655" w:type="dxa"/>
            <w:shd w:val="clear" w:color="auto" w:fill="auto"/>
          </w:tcPr>
          <w:p w14:paraId="4F185EAF" w14:textId="77777777" w:rsidR="002B03F1" w:rsidRPr="002B03F1" w:rsidRDefault="002B03F1" w:rsidP="002B03F1">
            <w:pPr>
              <w:cnfStyle w:val="000000100000" w:firstRow="0" w:lastRow="0" w:firstColumn="0" w:lastColumn="0" w:oddVBand="0" w:evenVBand="0" w:oddHBand="1" w:evenHBand="0" w:firstRowFirstColumn="0" w:firstRowLastColumn="0" w:lastRowFirstColumn="0" w:lastRowLastColumn="0"/>
              <w:rPr>
                <w:i/>
                <w:iCs/>
                <w:color w:val="1D336D" w:themeColor="background2"/>
              </w:rPr>
            </w:pPr>
            <w:proofErr w:type="spellStart"/>
            <w:r w:rsidRPr="002B03F1">
              <w:rPr>
                <w:i/>
                <w:iCs/>
                <w:color w:val="1D336D" w:themeColor="background2"/>
              </w:rPr>
              <w:t>Kyeema</w:t>
            </w:r>
            <w:proofErr w:type="spellEnd"/>
            <w:r w:rsidRPr="002B03F1">
              <w:rPr>
                <w:i/>
                <w:iCs/>
                <w:color w:val="1D336D" w:themeColor="background2"/>
              </w:rPr>
              <w:t xml:space="preserve"> Foundation</w:t>
            </w:r>
          </w:p>
          <w:p w14:paraId="73AD47B8" w14:textId="74F53584" w:rsidR="006E2FC4" w:rsidRPr="00EB5812" w:rsidRDefault="002B03F1" w:rsidP="002B03F1">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2B03F1">
              <w:rPr>
                <w:i/>
                <w:iCs/>
                <w:color w:val="1D336D" w:themeColor="background2"/>
              </w:rPr>
              <w:t>Corals 4 Conservation</w:t>
            </w:r>
          </w:p>
        </w:tc>
        <w:tc>
          <w:tcPr>
            <w:tcW w:w="5102" w:type="dxa"/>
            <w:shd w:val="clear" w:color="auto" w:fill="auto"/>
          </w:tcPr>
          <w:p w14:paraId="36BEF929" w14:textId="4552ABCB" w:rsidR="0065428C" w:rsidRPr="0065428C" w:rsidRDefault="0065428C" w:rsidP="0065428C">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65428C">
              <w:rPr>
                <w:i/>
                <w:iCs/>
                <w:color w:val="1D336D" w:themeColor="background2"/>
              </w:rPr>
              <w:t xml:space="preserve">Supporting young </w:t>
            </w:r>
            <w:r w:rsidR="006551F0">
              <w:rPr>
                <w:i/>
                <w:iCs/>
                <w:color w:val="1D336D" w:themeColor="background2"/>
              </w:rPr>
              <w:t>Indigenous</w:t>
            </w:r>
            <w:r w:rsidRPr="0065428C">
              <w:rPr>
                <w:i/>
                <w:iCs/>
                <w:color w:val="1D336D" w:themeColor="background2"/>
              </w:rPr>
              <w:t xml:space="preserve"> scientists and community leaders to promote locally led adaptation of coral reefs to climate change as a </w:t>
            </w:r>
            <w:proofErr w:type="spellStart"/>
            <w:r w:rsidRPr="0065428C">
              <w:rPr>
                <w:i/>
                <w:iCs/>
                <w:color w:val="1D336D" w:themeColor="background2"/>
              </w:rPr>
              <w:t>NbS</w:t>
            </w:r>
            <w:proofErr w:type="spellEnd"/>
            <w:r w:rsidRPr="0065428C">
              <w:rPr>
                <w:i/>
                <w:iCs/>
                <w:color w:val="1D336D" w:themeColor="background2"/>
              </w:rPr>
              <w:t>.</w:t>
            </w:r>
          </w:p>
          <w:p w14:paraId="59A56337" w14:textId="57695EC1" w:rsidR="006E2FC4" w:rsidRPr="00EB5812" w:rsidRDefault="0065428C" w:rsidP="0065428C">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65428C">
              <w:rPr>
                <w:i/>
                <w:iCs/>
                <w:color w:val="1D336D" w:themeColor="background2"/>
              </w:rPr>
              <w:t>Supporting communities to diversify their livelihoods away from reliance on marine resources by establishing village chicken farms.</w:t>
            </w:r>
          </w:p>
        </w:tc>
      </w:tr>
      <w:tr w:rsidR="00074787" w14:paraId="507D2BF7" w14:textId="77777777" w:rsidTr="006E7363">
        <w:tc>
          <w:tcPr>
            <w:cnfStyle w:val="001000000000" w:firstRow="0" w:lastRow="0" w:firstColumn="1" w:lastColumn="0" w:oddVBand="0" w:evenVBand="0" w:oddHBand="0" w:evenHBand="0" w:firstRowFirstColumn="0" w:firstRowLastColumn="0" w:lastRowFirstColumn="0" w:lastRowLastColumn="0"/>
            <w:tcW w:w="1633" w:type="dxa"/>
          </w:tcPr>
          <w:p w14:paraId="6F08CAC0" w14:textId="75DB9219" w:rsidR="006E2FC4" w:rsidRPr="00EB5812" w:rsidRDefault="002F6EDD">
            <w:pPr>
              <w:rPr>
                <w:b/>
                <w:bCs/>
                <w:color w:val="1D336D" w:themeColor="background2"/>
              </w:rPr>
            </w:pPr>
            <w:r w:rsidRPr="002F6EDD">
              <w:rPr>
                <w:b/>
                <w:bCs/>
                <w:color w:val="1D336D" w:themeColor="background2"/>
              </w:rPr>
              <w:t>Ni-Vanuatu Women Leading Solutions to Climate Change</w:t>
            </w:r>
          </w:p>
        </w:tc>
        <w:tc>
          <w:tcPr>
            <w:tcW w:w="1248" w:type="dxa"/>
            <w:shd w:val="clear" w:color="auto" w:fill="F2F2F2" w:themeFill="background1" w:themeFillShade="F2"/>
          </w:tcPr>
          <w:p w14:paraId="3F570FD3" w14:textId="67CEE0C4" w:rsidR="006E2FC4" w:rsidRPr="00EB5812" w:rsidRDefault="000E38F0">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0E38F0">
              <w:rPr>
                <w:i/>
                <w:iCs/>
                <w:color w:val="1D336D" w:themeColor="background2"/>
              </w:rPr>
              <w:t>Vanuatu</w:t>
            </w:r>
          </w:p>
        </w:tc>
        <w:tc>
          <w:tcPr>
            <w:tcW w:w="1655" w:type="dxa"/>
            <w:shd w:val="clear" w:color="auto" w:fill="F2F2F2" w:themeFill="background1" w:themeFillShade="F2"/>
          </w:tcPr>
          <w:p w14:paraId="57580FC1" w14:textId="77777777" w:rsidR="00EF162C" w:rsidRPr="00EF162C" w:rsidRDefault="00EF162C" w:rsidP="00EF162C">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EF162C">
              <w:rPr>
                <w:i/>
                <w:iCs/>
                <w:color w:val="1D336D" w:themeColor="background2"/>
              </w:rPr>
              <w:t>Action Aid Australia</w:t>
            </w:r>
          </w:p>
          <w:p w14:paraId="75E6ADE5" w14:textId="354D0956" w:rsidR="00EF162C" w:rsidRPr="00EF162C" w:rsidRDefault="00EF162C" w:rsidP="00EF162C">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EF162C">
              <w:rPr>
                <w:i/>
                <w:iCs/>
                <w:color w:val="1D336D" w:themeColor="background2"/>
              </w:rPr>
              <w:t>Action Aid Vanuatu</w:t>
            </w:r>
          </w:p>
          <w:p w14:paraId="0A06F709" w14:textId="2DAA1DF5" w:rsidR="006E2FC4" w:rsidRPr="00EB5812" w:rsidRDefault="00EF162C" w:rsidP="00EF162C">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EF162C">
              <w:rPr>
                <w:i/>
                <w:iCs/>
                <w:color w:val="1D336D" w:themeColor="background2"/>
              </w:rPr>
              <w:t xml:space="preserve">National Women’s Network (Women I Tok </w:t>
            </w:r>
            <w:proofErr w:type="spellStart"/>
            <w:r w:rsidRPr="00EF162C">
              <w:rPr>
                <w:i/>
                <w:iCs/>
                <w:color w:val="1D336D" w:themeColor="background2"/>
              </w:rPr>
              <w:t>Tok</w:t>
            </w:r>
            <w:proofErr w:type="spellEnd"/>
            <w:r w:rsidRPr="00EF162C">
              <w:rPr>
                <w:i/>
                <w:iCs/>
                <w:color w:val="1D336D" w:themeColor="background2"/>
              </w:rPr>
              <w:t xml:space="preserve"> </w:t>
            </w:r>
            <w:proofErr w:type="spellStart"/>
            <w:r w:rsidRPr="00EF162C">
              <w:rPr>
                <w:i/>
                <w:iCs/>
                <w:color w:val="1D336D" w:themeColor="background2"/>
              </w:rPr>
              <w:t>Tugeta</w:t>
            </w:r>
            <w:proofErr w:type="spellEnd"/>
            <w:r w:rsidRPr="00EF162C">
              <w:rPr>
                <w:i/>
                <w:iCs/>
                <w:color w:val="1D336D" w:themeColor="background2"/>
              </w:rPr>
              <w:t>)</w:t>
            </w:r>
          </w:p>
        </w:tc>
        <w:tc>
          <w:tcPr>
            <w:tcW w:w="5102" w:type="dxa"/>
            <w:shd w:val="clear" w:color="auto" w:fill="F2F2F2" w:themeFill="background1" w:themeFillShade="F2"/>
          </w:tcPr>
          <w:p w14:paraId="129D9253" w14:textId="77777777" w:rsidR="00FC3047" w:rsidRPr="00FC3047" w:rsidRDefault="00FC3047" w:rsidP="00FC3047">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FC3047">
              <w:rPr>
                <w:i/>
                <w:iCs/>
                <w:color w:val="1D336D" w:themeColor="background2"/>
              </w:rPr>
              <w:t>Empowering women to lead agroecology activities that improve soil integrity on upland farms and coconut/banana plantations in low-lying coastal areas.</w:t>
            </w:r>
          </w:p>
          <w:p w14:paraId="483FBE87" w14:textId="5699DD30" w:rsidR="006E2FC4" w:rsidRPr="00EB5812" w:rsidRDefault="00FC3047" w:rsidP="00FC3047">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FC3047">
              <w:rPr>
                <w:i/>
                <w:iCs/>
                <w:color w:val="1D336D" w:themeColor="background2"/>
              </w:rPr>
              <w:t>Training women and local government partners on ecologically resilient cropping practices, mixing native and crop seedlings, planting activities across vulnerable plot sites, and training for local and national land management bodies on climate resilience, sustainable land management, and disaster readiness</w:t>
            </w:r>
            <w:r w:rsidR="00C544CE">
              <w:rPr>
                <w:i/>
                <w:iCs/>
                <w:color w:val="1D336D" w:themeColor="background2"/>
              </w:rPr>
              <w:t>.</w:t>
            </w:r>
          </w:p>
        </w:tc>
      </w:tr>
      <w:tr w:rsidR="006E2FC4" w14:paraId="51E1D0CA"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3" w:type="dxa"/>
          </w:tcPr>
          <w:p w14:paraId="6D0C8449" w14:textId="1BC2D3FD" w:rsidR="006E2FC4" w:rsidRPr="00EB5812" w:rsidRDefault="00D71078">
            <w:pPr>
              <w:rPr>
                <w:b/>
                <w:bCs/>
                <w:color w:val="1D336D" w:themeColor="background2"/>
              </w:rPr>
            </w:pPr>
            <w:r w:rsidRPr="00D71078">
              <w:rPr>
                <w:b/>
                <w:bCs/>
                <w:color w:val="1D336D" w:themeColor="background2"/>
              </w:rPr>
              <w:t>Nature-based Solutions for Forests and People</w:t>
            </w:r>
          </w:p>
        </w:tc>
        <w:tc>
          <w:tcPr>
            <w:tcW w:w="1248" w:type="dxa"/>
            <w:shd w:val="clear" w:color="auto" w:fill="auto"/>
          </w:tcPr>
          <w:p w14:paraId="7AFB1F67" w14:textId="77777777" w:rsidR="004830D6" w:rsidRPr="004830D6" w:rsidRDefault="004830D6" w:rsidP="004830D6">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4830D6">
              <w:rPr>
                <w:i/>
                <w:iCs/>
                <w:color w:val="1D336D" w:themeColor="background2"/>
              </w:rPr>
              <w:t>PNG</w:t>
            </w:r>
          </w:p>
          <w:p w14:paraId="0EF09D92" w14:textId="77777777" w:rsidR="004830D6" w:rsidRPr="004830D6" w:rsidRDefault="004830D6" w:rsidP="004830D6">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4830D6">
              <w:rPr>
                <w:i/>
                <w:iCs/>
                <w:color w:val="1D336D" w:themeColor="background2"/>
              </w:rPr>
              <w:t>Vanuatu</w:t>
            </w:r>
          </w:p>
          <w:p w14:paraId="143BD165" w14:textId="3FD993ED" w:rsidR="006E2FC4" w:rsidRPr="00EB5812" w:rsidRDefault="004830D6" w:rsidP="004830D6">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4830D6">
              <w:rPr>
                <w:i/>
                <w:iCs/>
                <w:color w:val="1D336D" w:themeColor="background2"/>
              </w:rPr>
              <w:t>(expanding to Fiji in 2023)</w:t>
            </w:r>
          </w:p>
        </w:tc>
        <w:tc>
          <w:tcPr>
            <w:tcW w:w="1655" w:type="dxa"/>
            <w:shd w:val="clear" w:color="auto" w:fill="auto"/>
          </w:tcPr>
          <w:p w14:paraId="55DCC052" w14:textId="54449E1B" w:rsidR="006E2FC4" w:rsidRPr="00EB5812" w:rsidRDefault="00392DE1">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392DE1">
              <w:rPr>
                <w:i/>
                <w:iCs/>
                <w:color w:val="1D336D" w:themeColor="background2"/>
              </w:rPr>
              <w:t xml:space="preserve">Live and Learn </w:t>
            </w:r>
            <w:proofErr w:type="spellStart"/>
            <w:r w:rsidRPr="00392DE1">
              <w:rPr>
                <w:i/>
                <w:iCs/>
                <w:color w:val="1D336D" w:themeColor="background2"/>
              </w:rPr>
              <w:t>Nakau</w:t>
            </w:r>
            <w:proofErr w:type="spellEnd"/>
          </w:p>
        </w:tc>
        <w:tc>
          <w:tcPr>
            <w:tcW w:w="5102" w:type="dxa"/>
            <w:shd w:val="clear" w:color="auto" w:fill="auto"/>
          </w:tcPr>
          <w:p w14:paraId="5E475087" w14:textId="77777777" w:rsidR="00F074BE" w:rsidRPr="00F074BE" w:rsidRDefault="00F074BE" w:rsidP="00F074BE">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F074BE">
              <w:rPr>
                <w:i/>
                <w:iCs/>
                <w:color w:val="1D336D" w:themeColor="background2"/>
              </w:rPr>
              <w:t xml:space="preserve">Addressing gaps to enhance the potential of the voluntary carbon market (VCM) to finance </w:t>
            </w:r>
            <w:proofErr w:type="spellStart"/>
            <w:r w:rsidRPr="00F074BE">
              <w:rPr>
                <w:i/>
                <w:iCs/>
                <w:color w:val="1D336D" w:themeColor="background2"/>
              </w:rPr>
              <w:t>NbS</w:t>
            </w:r>
            <w:proofErr w:type="spellEnd"/>
            <w:r w:rsidRPr="00F074BE">
              <w:rPr>
                <w:i/>
                <w:iCs/>
                <w:color w:val="1D336D" w:themeColor="background2"/>
              </w:rPr>
              <w:t xml:space="preserve"> in the Pacific, including:</w:t>
            </w:r>
          </w:p>
          <w:p w14:paraId="70E93118" w14:textId="77777777" w:rsidR="00F074BE" w:rsidRPr="00F074BE" w:rsidRDefault="00F074BE" w:rsidP="00F074BE">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F074BE">
              <w:rPr>
                <w:i/>
                <w:iCs/>
                <w:color w:val="1D336D" w:themeColor="background2"/>
              </w:rPr>
              <w:t>Establishing examples that demonstrate the potential of VCM as a replacement economy for currently unsustainable activities.</w:t>
            </w:r>
          </w:p>
          <w:p w14:paraId="3D0D4EB2" w14:textId="4BBF91AA" w:rsidR="00F074BE" w:rsidRPr="00F074BE" w:rsidRDefault="00F074BE" w:rsidP="00F074BE">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F074BE">
              <w:rPr>
                <w:i/>
                <w:iCs/>
                <w:color w:val="1D336D" w:themeColor="background2"/>
              </w:rPr>
              <w:t xml:space="preserve">Design and testing of fit-for-purpose approaches to carbon financed </w:t>
            </w:r>
            <w:proofErr w:type="spellStart"/>
            <w:r w:rsidRPr="00F074BE">
              <w:rPr>
                <w:i/>
                <w:iCs/>
                <w:color w:val="1D336D" w:themeColor="background2"/>
              </w:rPr>
              <w:t>NbS</w:t>
            </w:r>
            <w:proofErr w:type="spellEnd"/>
            <w:r w:rsidRPr="00F074BE">
              <w:rPr>
                <w:i/>
                <w:iCs/>
                <w:color w:val="1D336D" w:themeColor="background2"/>
              </w:rPr>
              <w:t xml:space="preserve"> in the Pacific</w:t>
            </w:r>
            <w:r w:rsidR="00C544CE">
              <w:rPr>
                <w:i/>
                <w:iCs/>
                <w:color w:val="1D336D" w:themeColor="background2"/>
              </w:rPr>
              <w:t>.</w:t>
            </w:r>
          </w:p>
          <w:p w14:paraId="10CADF36" w14:textId="76A238EA" w:rsidR="006E2FC4" w:rsidRPr="00EB5812" w:rsidRDefault="00F074BE" w:rsidP="00F074BE">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F074BE">
              <w:rPr>
                <w:i/>
                <w:iCs/>
                <w:color w:val="1D336D" w:themeColor="background2"/>
              </w:rPr>
              <w:t>Building the capacity of governments, Civil Society Organisations, and private sector actors to participate in the sector</w:t>
            </w:r>
            <w:r w:rsidR="00C544CE">
              <w:rPr>
                <w:i/>
                <w:iCs/>
                <w:color w:val="1D336D" w:themeColor="background2"/>
              </w:rPr>
              <w:t>.</w:t>
            </w:r>
          </w:p>
        </w:tc>
      </w:tr>
      <w:tr w:rsidR="00E80B6D" w14:paraId="5972C9DB" w14:textId="77777777" w:rsidTr="006E7363">
        <w:tc>
          <w:tcPr>
            <w:cnfStyle w:val="001000000000" w:firstRow="0" w:lastRow="0" w:firstColumn="1" w:lastColumn="0" w:oddVBand="0" w:evenVBand="0" w:oddHBand="0" w:evenHBand="0" w:firstRowFirstColumn="0" w:firstRowLastColumn="0" w:lastRowFirstColumn="0" w:lastRowLastColumn="0"/>
            <w:tcW w:w="1633" w:type="dxa"/>
          </w:tcPr>
          <w:p w14:paraId="5F13BBBC" w14:textId="0A90E21C" w:rsidR="006E2FC4" w:rsidRPr="00EB5812" w:rsidRDefault="008941F6">
            <w:pPr>
              <w:rPr>
                <w:b/>
                <w:bCs/>
                <w:color w:val="1D336D" w:themeColor="background2"/>
              </w:rPr>
            </w:pPr>
            <w:proofErr w:type="spellStart"/>
            <w:r>
              <w:rPr>
                <w:b/>
                <w:color w:val="1D336C"/>
              </w:rPr>
              <w:t>CRxN</w:t>
            </w:r>
            <w:proofErr w:type="spellEnd"/>
            <w:r>
              <w:rPr>
                <w:b/>
                <w:color w:val="1D336C"/>
                <w:spacing w:val="-14"/>
              </w:rPr>
              <w:t xml:space="preserve"> </w:t>
            </w:r>
            <w:r>
              <w:rPr>
                <w:b/>
                <w:color w:val="1D336C"/>
              </w:rPr>
              <w:t xml:space="preserve">Mekong </w:t>
            </w:r>
            <w:r>
              <w:rPr>
                <w:b/>
                <w:color w:val="1D336C"/>
                <w:spacing w:val="-2"/>
              </w:rPr>
              <w:t>Expansion</w:t>
            </w:r>
          </w:p>
        </w:tc>
        <w:tc>
          <w:tcPr>
            <w:tcW w:w="1248" w:type="dxa"/>
            <w:shd w:val="clear" w:color="auto" w:fill="F2F2F2" w:themeFill="background1" w:themeFillShade="F2"/>
          </w:tcPr>
          <w:p w14:paraId="1315F9C9" w14:textId="13E3988E" w:rsidR="006E2FC4" w:rsidRPr="00EB5812" w:rsidRDefault="00FD543A">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Pr>
                <w:i/>
                <w:color w:val="1D336C"/>
                <w:spacing w:val="-2"/>
              </w:rPr>
              <w:t>Vietnam</w:t>
            </w:r>
          </w:p>
        </w:tc>
        <w:tc>
          <w:tcPr>
            <w:tcW w:w="1655" w:type="dxa"/>
            <w:shd w:val="clear" w:color="auto" w:fill="F2F2F2" w:themeFill="background1" w:themeFillShade="F2"/>
          </w:tcPr>
          <w:p w14:paraId="1D5FEC69" w14:textId="77777777" w:rsidR="00CD4987" w:rsidRPr="00CD4987" w:rsidRDefault="00CD4987" w:rsidP="00CD4987">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CD4987">
              <w:rPr>
                <w:i/>
                <w:iCs/>
                <w:color w:val="1D336D" w:themeColor="background2"/>
              </w:rPr>
              <w:t>WWF Vietnam</w:t>
            </w:r>
          </w:p>
          <w:p w14:paraId="4D1C495E" w14:textId="17F73D3A" w:rsidR="006E2FC4" w:rsidRPr="00EB5812" w:rsidRDefault="00CD4987" w:rsidP="00CD4987">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CD4987">
              <w:rPr>
                <w:i/>
                <w:iCs/>
                <w:color w:val="1D336D" w:themeColor="background2"/>
              </w:rPr>
              <w:t>Can Tho University</w:t>
            </w:r>
          </w:p>
        </w:tc>
        <w:tc>
          <w:tcPr>
            <w:tcW w:w="5102" w:type="dxa"/>
            <w:shd w:val="clear" w:color="auto" w:fill="F2F2F2" w:themeFill="background1" w:themeFillShade="F2"/>
          </w:tcPr>
          <w:p w14:paraId="51378193" w14:textId="437D3856" w:rsidR="006E2FC4" w:rsidRPr="00EB5812" w:rsidRDefault="00C4743C">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C4743C">
              <w:rPr>
                <w:i/>
                <w:iCs/>
                <w:color w:val="1D336D" w:themeColor="background2"/>
              </w:rPr>
              <w:t>Support improved freshwater agricultural practices. The project will implement adaptive flood-based livelihood strategies by re-connecting floodplains to the Mekong River, restoring the natural flooding cycle. Along with the climate and biodiversity benefits of the activities, this model also supports productive rice and fish farming.</w:t>
            </w:r>
          </w:p>
        </w:tc>
      </w:tr>
      <w:tr w:rsidR="00A703DD" w14:paraId="525A1F0D"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3" w:type="dxa"/>
          </w:tcPr>
          <w:p w14:paraId="23B6AE27" w14:textId="6F3B70E4" w:rsidR="002066F4" w:rsidRPr="00EB5812" w:rsidRDefault="002066F4" w:rsidP="002066F4">
            <w:pPr>
              <w:rPr>
                <w:b/>
                <w:bCs/>
                <w:color w:val="1D336D" w:themeColor="background2"/>
              </w:rPr>
            </w:pPr>
            <w:proofErr w:type="spellStart"/>
            <w:r w:rsidRPr="006659F4">
              <w:rPr>
                <w:b/>
                <w:bCs/>
                <w:color w:val="1D336D" w:themeColor="background2"/>
              </w:rPr>
              <w:t>CRxN</w:t>
            </w:r>
            <w:proofErr w:type="spellEnd"/>
            <w:r w:rsidRPr="006659F4">
              <w:rPr>
                <w:b/>
                <w:bCs/>
                <w:color w:val="1D336D" w:themeColor="background2"/>
              </w:rPr>
              <w:t xml:space="preserve"> Mekong Expansion</w:t>
            </w:r>
          </w:p>
        </w:tc>
        <w:tc>
          <w:tcPr>
            <w:tcW w:w="1248" w:type="dxa"/>
            <w:shd w:val="clear" w:color="auto" w:fill="auto"/>
          </w:tcPr>
          <w:p w14:paraId="3243CE9C" w14:textId="330A23BA" w:rsidR="002066F4" w:rsidRPr="00EB5812" w:rsidRDefault="002066F4" w:rsidP="002066F4">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B9536C">
              <w:rPr>
                <w:i/>
                <w:color w:val="1D336C"/>
                <w:spacing w:val="-2"/>
              </w:rPr>
              <w:t>Cambodia</w:t>
            </w:r>
          </w:p>
        </w:tc>
        <w:tc>
          <w:tcPr>
            <w:tcW w:w="1655" w:type="dxa"/>
            <w:shd w:val="clear" w:color="auto" w:fill="auto"/>
          </w:tcPr>
          <w:p w14:paraId="315AF01C" w14:textId="77777777" w:rsidR="002066F4" w:rsidRPr="00932453" w:rsidRDefault="002066F4" w:rsidP="002066F4">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932453">
              <w:rPr>
                <w:i/>
                <w:iCs/>
                <w:color w:val="1D336D" w:themeColor="background2"/>
              </w:rPr>
              <w:t>WWF</w:t>
            </w:r>
          </w:p>
          <w:p w14:paraId="6E59F23D" w14:textId="08BA2CBB" w:rsidR="002066F4" w:rsidRPr="00EB5812" w:rsidRDefault="002066F4" w:rsidP="002066F4">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932453">
              <w:rPr>
                <w:i/>
                <w:iCs/>
                <w:color w:val="1D336D" w:themeColor="background2"/>
              </w:rPr>
              <w:t>Cambodia CEPA IIRR</w:t>
            </w:r>
          </w:p>
        </w:tc>
        <w:tc>
          <w:tcPr>
            <w:tcW w:w="5102" w:type="dxa"/>
            <w:shd w:val="clear" w:color="auto" w:fill="auto"/>
          </w:tcPr>
          <w:p w14:paraId="0BAEF783" w14:textId="2AA1837A" w:rsidR="002066F4" w:rsidRPr="00EB5812" w:rsidRDefault="00C544CE" w:rsidP="002066F4">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Pr>
                <w:i/>
                <w:iCs/>
                <w:color w:val="1D336D" w:themeColor="background2"/>
              </w:rPr>
              <w:t>Support a</w:t>
            </w:r>
            <w:r w:rsidR="002066F4" w:rsidRPr="002066F4">
              <w:rPr>
                <w:i/>
                <w:iCs/>
                <w:color w:val="1D336D" w:themeColor="background2"/>
              </w:rPr>
              <w:t xml:space="preserve">lternative livelihood options and sustainable financing mechanisms that will reduce human pressure on natural resources and ecosystems. Activities include training communities on how to identify and stop illegal </w:t>
            </w:r>
            <w:r w:rsidR="002066F4" w:rsidRPr="002066F4">
              <w:rPr>
                <w:i/>
                <w:iCs/>
                <w:color w:val="1D336D" w:themeColor="background2"/>
              </w:rPr>
              <w:lastRenderedPageBreak/>
              <w:t>fishing, preventing riparian habitats from being converted to agricultural uses, and incentivising ecosystem protection through tourism livelihood development.</w:t>
            </w:r>
          </w:p>
        </w:tc>
      </w:tr>
      <w:tr w:rsidR="00E80B6D" w14:paraId="0AFB961C" w14:textId="77777777" w:rsidTr="006E7363">
        <w:tc>
          <w:tcPr>
            <w:cnfStyle w:val="001000000000" w:firstRow="0" w:lastRow="0" w:firstColumn="1" w:lastColumn="0" w:oddVBand="0" w:evenVBand="0" w:oddHBand="0" w:evenHBand="0" w:firstRowFirstColumn="0" w:firstRowLastColumn="0" w:lastRowFirstColumn="0" w:lastRowLastColumn="0"/>
            <w:tcW w:w="1633" w:type="dxa"/>
          </w:tcPr>
          <w:p w14:paraId="666613FB" w14:textId="6F10B00F" w:rsidR="006E2FC4" w:rsidRPr="00EB5812" w:rsidRDefault="00C00A00">
            <w:pPr>
              <w:rPr>
                <w:b/>
                <w:bCs/>
                <w:color w:val="1D336D" w:themeColor="background2"/>
              </w:rPr>
            </w:pPr>
            <w:proofErr w:type="spellStart"/>
            <w:r w:rsidRPr="00C00A00">
              <w:rPr>
                <w:b/>
                <w:bCs/>
                <w:color w:val="1D336D" w:themeColor="background2"/>
              </w:rPr>
              <w:lastRenderedPageBreak/>
              <w:t>CRxN</w:t>
            </w:r>
            <w:proofErr w:type="spellEnd"/>
            <w:r w:rsidRPr="00C00A00">
              <w:rPr>
                <w:b/>
                <w:bCs/>
                <w:color w:val="1D336D" w:themeColor="background2"/>
              </w:rPr>
              <w:t xml:space="preserve"> Mekong Expansion</w:t>
            </w:r>
          </w:p>
        </w:tc>
        <w:tc>
          <w:tcPr>
            <w:tcW w:w="1248" w:type="dxa"/>
            <w:shd w:val="clear" w:color="auto" w:fill="F2F2F2" w:themeFill="background1" w:themeFillShade="F2"/>
          </w:tcPr>
          <w:p w14:paraId="7519715A" w14:textId="0606B4C5" w:rsidR="006E2FC4" w:rsidRPr="00EB5812" w:rsidRDefault="003265E6">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3265E6">
              <w:rPr>
                <w:i/>
                <w:iCs/>
                <w:color w:val="1D336D" w:themeColor="background2"/>
              </w:rPr>
              <w:t>Laos</w:t>
            </w:r>
          </w:p>
        </w:tc>
        <w:tc>
          <w:tcPr>
            <w:tcW w:w="1655" w:type="dxa"/>
            <w:shd w:val="clear" w:color="auto" w:fill="F2F2F2" w:themeFill="background1" w:themeFillShade="F2"/>
          </w:tcPr>
          <w:p w14:paraId="6C1E7C7C" w14:textId="3C2D005C" w:rsidR="006E2FC4" w:rsidRPr="00EB5812" w:rsidRDefault="006278BB">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6278BB">
              <w:rPr>
                <w:i/>
                <w:iCs/>
                <w:color w:val="1D336D" w:themeColor="background2"/>
              </w:rPr>
              <w:t>WWF Laos</w:t>
            </w:r>
          </w:p>
        </w:tc>
        <w:tc>
          <w:tcPr>
            <w:tcW w:w="5102" w:type="dxa"/>
            <w:shd w:val="clear" w:color="auto" w:fill="F2F2F2" w:themeFill="background1" w:themeFillShade="F2"/>
          </w:tcPr>
          <w:p w14:paraId="689A8560" w14:textId="3C8CB5E1" w:rsidR="006E2FC4" w:rsidRPr="00EB5812" w:rsidRDefault="00B51745">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B51745">
              <w:rPr>
                <w:i/>
                <w:iCs/>
                <w:color w:val="1D336D" w:themeColor="background2"/>
              </w:rPr>
              <w:t>Working with six climate-vulnerable communities in the south of Laos on the promotion of sustainable fisheries and the creation of co-manage</w:t>
            </w:r>
            <w:r w:rsidR="00C544CE">
              <w:rPr>
                <w:i/>
                <w:iCs/>
                <w:color w:val="1D336D" w:themeColor="background2"/>
              </w:rPr>
              <w:t>d</w:t>
            </w:r>
            <w:r w:rsidRPr="00B51745">
              <w:rPr>
                <w:i/>
                <w:iCs/>
                <w:color w:val="1D336D" w:themeColor="background2"/>
              </w:rPr>
              <w:t xml:space="preserve"> Fish Conservation Zones and the surrounding forest habitat. Promoting ecosystem-based adaptation to climate change for sustainable livelihoods.</w:t>
            </w:r>
          </w:p>
        </w:tc>
      </w:tr>
      <w:tr w:rsidR="00A703DD" w14:paraId="28B63AD6"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3" w:type="dxa"/>
          </w:tcPr>
          <w:p w14:paraId="70BA68AA" w14:textId="0FBA872C" w:rsidR="006E2FC4" w:rsidRPr="00EB5812" w:rsidRDefault="007F3AB8">
            <w:pPr>
              <w:rPr>
                <w:b/>
                <w:bCs/>
                <w:color w:val="1D336D" w:themeColor="background2"/>
              </w:rPr>
            </w:pPr>
            <w:r w:rsidRPr="007F3AB8">
              <w:rPr>
                <w:b/>
                <w:bCs/>
                <w:color w:val="1D336D" w:themeColor="background2"/>
              </w:rPr>
              <w:t>Learning, Innovation and Knowledge Hub</w:t>
            </w:r>
          </w:p>
        </w:tc>
        <w:tc>
          <w:tcPr>
            <w:tcW w:w="1248" w:type="dxa"/>
            <w:shd w:val="clear" w:color="auto" w:fill="auto"/>
          </w:tcPr>
          <w:p w14:paraId="3A4E4050" w14:textId="76570EBB" w:rsidR="006E2FC4" w:rsidRPr="00EB5812" w:rsidRDefault="00D51117">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D51117">
              <w:rPr>
                <w:i/>
                <w:iCs/>
                <w:color w:val="1D336D" w:themeColor="background2"/>
              </w:rPr>
              <w:t>Regional</w:t>
            </w:r>
          </w:p>
        </w:tc>
        <w:tc>
          <w:tcPr>
            <w:tcW w:w="1655" w:type="dxa"/>
            <w:shd w:val="clear" w:color="auto" w:fill="auto"/>
          </w:tcPr>
          <w:p w14:paraId="67060EF5" w14:textId="0CF77A1E" w:rsidR="006E2FC4" w:rsidRPr="00EB5812" w:rsidRDefault="008C2D10">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8C2D10">
              <w:rPr>
                <w:i/>
                <w:iCs/>
                <w:color w:val="1D336D" w:themeColor="background2"/>
              </w:rPr>
              <w:t>Regional</w:t>
            </w:r>
            <w:r w:rsidRPr="008C2D10">
              <w:rPr>
                <w:i/>
                <w:iCs/>
                <w:color w:val="1D336D" w:themeColor="background2"/>
              </w:rPr>
              <w:tab/>
              <w:t>WWF</w:t>
            </w:r>
            <w:r w:rsidR="007541B2">
              <w:rPr>
                <w:i/>
                <w:iCs/>
                <w:color w:val="1D336D" w:themeColor="background2"/>
              </w:rPr>
              <w:t>-</w:t>
            </w:r>
            <w:r w:rsidRPr="008C2D10">
              <w:rPr>
                <w:i/>
                <w:iCs/>
                <w:color w:val="1D336D" w:themeColor="background2"/>
              </w:rPr>
              <w:t>Australia</w:t>
            </w:r>
          </w:p>
        </w:tc>
        <w:tc>
          <w:tcPr>
            <w:tcW w:w="5102" w:type="dxa"/>
            <w:shd w:val="clear" w:color="auto" w:fill="auto"/>
          </w:tcPr>
          <w:p w14:paraId="6E78BB4C" w14:textId="6C0A31C5" w:rsidR="006E2FC4" w:rsidRPr="00EB5812" w:rsidRDefault="00E80B6D">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E80B6D">
              <w:rPr>
                <w:i/>
                <w:iCs/>
                <w:color w:val="1D336D" w:themeColor="background2"/>
              </w:rPr>
              <w:t xml:space="preserve">Focuses on generating evidence and implementation insights through MEL, as well as through the </w:t>
            </w:r>
            <w:proofErr w:type="spellStart"/>
            <w:r w:rsidRPr="00E80B6D">
              <w:rPr>
                <w:i/>
                <w:iCs/>
                <w:color w:val="1D336D" w:themeColor="background2"/>
              </w:rPr>
              <w:t>CRxN</w:t>
            </w:r>
            <w:proofErr w:type="spellEnd"/>
            <w:r w:rsidRPr="00E80B6D">
              <w:rPr>
                <w:i/>
                <w:iCs/>
                <w:color w:val="1D336D" w:themeColor="background2"/>
              </w:rPr>
              <w:t xml:space="preserve"> learning agenda. </w:t>
            </w:r>
            <w:proofErr w:type="spellStart"/>
            <w:r w:rsidRPr="00E80B6D">
              <w:rPr>
                <w:i/>
                <w:iCs/>
                <w:color w:val="1D336D" w:themeColor="background2"/>
              </w:rPr>
              <w:t>CRxN</w:t>
            </w:r>
            <w:proofErr w:type="spellEnd"/>
            <w:r w:rsidRPr="00E80B6D">
              <w:rPr>
                <w:i/>
                <w:iCs/>
                <w:color w:val="1D336D" w:themeColor="background2"/>
              </w:rPr>
              <w:t xml:space="preserve"> learning activities are channelled through the ‘</w:t>
            </w:r>
            <w:proofErr w:type="spellStart"/>
            <w:r w:rsidRPr="00E80B6D">
              <w:rPr>
                <w:i/>
                <w:iCs/>
                <w:color w:val="1D336D" w:themeColor="background2"/>
              </w:rPr>
              <w:t>CRxN</w:t>
            </w:r>
            <w:proofErr w:type="spellEnd"/>
            <w:r w:rsidRPr="00E80B6D">
              <w:rPr>
                <w:i/>
                <w:iCs/>
                <w:color w:val="1D336D" w:themeColor="background2"/>
              </w:rPr>
              <w:t xml:space="preserve"> Indo Pacific Knowledge Hub’ and program outputs are published on the </w:t>
            </w:r>
            <w:proofErr w:type="spellStart"/>
            <w:r w:rsidRPr="00E80B6D">
              <w:rPr>
                <w:i/>
                <w:iCs/>
                <w:color w:val="1D336D" w:themeColor="background2"/>
              </w:rPr>
              <w:t>CRxN</w:t>
            </w:r>
            <w:proofErr w:type="spellEnd"/>
            <w:r w:rsidRPr="00E80B6D">
              <w:rPr>
                <w:i/>
                <w:iCs/>
                <w:color w:val="1D336D" w:themeColor="background2"/>
              </w:rPr>
              <w:t xml:space="preserve"> website.</w:t>
            </w:r>
          </w:p>
        </w:tc>
      </w:tr>
    </w:tbl>
    <w:p w14:paraId="56E6FEFC" w14:textId="252605DD" w:rsidR="00EA7FE2" w:rsidRPr="00EA7FE2" w:rsidRDefault="00EA7FE2" w:rsidP="00B814D2"/>
    <w:p w14:paraId="132DCD3A" w14:textId="6497709C" w:rsidR="00EA7FE2" w:rsidRDefault="00EA7FE2" w:rsidP="004C6451">
      <w:pPr>
        <w:pStyle w:val="Heading2"/>
      </w:pPr>
      <w:bookmarkStart w:id="39" w:name="_Toc164783055"/>
      <w:r w:rsidRPr="004C6451">
        <w:rPr>
          <w:color w:val="1D336D" w:themeColor="background2"/>
        </w:rPr>
        <w:t>Performance against intended outcomes</w:t>
      </w:r>
      <w:bookmarkEnd w:id="39"/>
    </w:p>
    <w:p w14:paraId="335CA537" w14:textId="63819CD1" w:rsidR="004F04A7" w:rsidRPr="004F04A7" w:rsidRDefault="004F04A7" w:rsidP="004F04A7">
      <w:pPr>
        <w:pStyle w:val="Heading3"/>
      </w:pPr>
      <w:proofErr w:type="spellStart"/>
      <w:r>
        <w:t>CRxN</w:t>
      </w:r>
      <w:proofErr w:type="spellEnd"/>
      <w:r>
        <w:t xml:space="preserve"> End of Program Outcomes</w:t>
      </w:r>
    </w:p>
    <w:p w14:paraId="73587B25" w14:textId="56172177" w:rsidR="00EA7FE2" w:rsidRPr="00EA7FE2" w:rsidRDefault="00EA7FE2" w:rsidP="00B814D2">
      <w:pPr>
        <w:pStyle w:val="ListParagraph"/>
        <w:numPr>
          <w:ilvl w:val="0"/>
          <w:numId w:val="39"/>
        </w:numPr>
      </w:pPr>
      <w:r w:rsidRPr="003E7C1D">
        <w:rPr>
          <w:b/>
          <w:color w:val="1D336D" w:themeColor="background2"/>
        </w:rPr>
        <w:t>EOPO 1:</w:t>
      </w:r>
      <w:r w:rsidRPr="003B59F7">
        <w:rPr>
          <w:color w:val="1D336D" w:themeColor="background2"/>
        </w:rPr>
        <w:t xml:space="preserve"> </w:t>
      </w:r>
      <w:r w:rsidRPr="00EA7FE2">
        <w:t xml:space="preserve">More Pacific and Southeast Asian communities are deploying </w:t>
      </w:r>
      <w:proofErr w:type="spellStart"/>
      <w:r w:rsidRPr="00EA7FE2">
        <w:t>NbS</w:t>
      </w:r>
      <w:proofErr w:type="spellEnd"/>
      <w:r w:rsidRPr="00EA7FE2">
        <w:t xml:space="preserve"> to protect and restore critical ecosystems and build community resilience.</w:t>
      </w:r>
      <w:r w:rsidR="003E7C1D">
        <w:br/>
      </w:r>
    </w:p>
    <w:p w14:paraId="5A38D8C6" w14:textId="135EBCC2" w:rsidR="00EA7FE2" w:rsidRPr="00EA7FE2" w:rsidRDefault="00EA7FE2" w:rsidP="00B814D2">
      <w:pPr>
        <w:pStyle w:val="ListParagraph"/>
        <w:numPr>
          <w:ilvl w:val="0"/>
          <w:numId w:val="39"/>
        </w:numPr>
      </w:pPr>
      <w:r w:rsidRPr="003E7C1D">
        <w:rPr>
          <w:b/>
          <w:color w:val="1D336D" w:themeColor="background2"/>
        </w:rPr>
        <w:t>EOPO 2:</w:t>
      </w:r>
      <w:r w:rsidRPr="003B59F7">
        <w:rPr>
          <w:color w:val="1D336D" w:themeColor="background2"/>
        </w:rPr>
        <w:t xml:space="preserve"> </w:t>
      </w:r>
      <w:r w:rsidRPr="00EA7FE2">
        <w:t xml:space="preserve">Progress towards new high integrity carbon markets linked to </w:t>
      </w:r>
      <w:proofErr w:type="spellStart"/>
      <w:r w:rsidRPr="00EA7FE2">
        <w:t>NbS</w:t>
      </w:r>
      <w:proofErr w:type="spellEnd"/>
      <w:r w:rsidRPr="00EA7FE2">
        <w:t xml:space="preserve"> investments.</w:t>
      </w:r>
      <w:r w:rsidR="003E7C1D">
        <w:br/>
      </w:r>
    </w:p>
    <w:p w14:paraId="3FF59A6B" w14:textId="2DB94A2B" w:rsidR="00EA7FE2" w:rsidRPr="00EA7FE2" w:rsidRDefault="00EA7FE2" w:rsidP="00B814D2">
      <w:pPr>
        <w:pStyle w:val="ListParagraph"/>
        <w:numPr>
          <w:ilvl w:val="0"/>
          <w:numId w:val="39"/>
        </w:numPr>
      </w:pPr>
      <w:r w:rsidRPr="003E7C1D">
        <w:rPr>
          <w:b/>
          <w:color w:val="1D336D" w:themeColor="background2"/>
        </w:rPr>
        <w:t>EOPO 3:</w:t>
      </w:r>
      <w:r w:rsidRPr="003B59F7">
        <w:rPr>
          <w:color w:val="1D336D" w:themeColor="background2"/>
        </w:rPr>
        <w:t xml:space="preserve"> </w:t>
      </w:r>
      <w:r w:rsidRPr="00EA7FE2">
        <w:t xml:space="preserve">Communities access new and/or diversified livelihood opportunities through </w:t>
      </w:r>
      <w:proofErr w:type="spellStart"/>
      <w:r w:rsidRPr="00EA7FE2">
        <w:t>NbS</w:t>
      </w:r>
      <w:proofErr w:type="spellEnd"/>
      <w:r w:rsidRPr="00EA7FE2">
        <w:t>.</w:t>
      </w:r>
      <w:r w:rsidR="003E7C1D">
        <w:br/>
      </w:r>
    </w:p>
    <w:p w14:paraId="2F9D3193" w14:textId="75103AB1" w:rsidR="00EA7FE2" w:rsidRPr="00EA7FE2" w:rsidRDefault="00EA7FE2" w:rsidP="00B814D2">
      <w:pPr>
        <w:pStyle w:val="ListParagraph"/>
        <w:numPr>
          <w:ilvl w:val="0"/>
          <w:numId w:val="39"/>
        </w:numPr>
      </w:pPr>
      <w:r w:rsidRPr="003E7C1D">
        <w:rPr>
          <w:b/>
          <w:color w:val="1D336D" w:themeColor="background2"/>
        </w:rPr>
        <w:t>EOPO 4:</w:t>
      </w:r>
      <w:r w:rsidRPr="003B59F7">
        <w:rPr>
          <w:color w:val="1D336D" w:themeColor="background2"/>
        </w:rPr>
        <w:t xml:space="preserve"> </w:t>
      </w:r>
      <w:r w:rsidRPr="00EA7FE2">
        <w:t xml:space="preserve">Increased engagement of governments, CSOs and private sector with </w:t>
      </w:r>
      <w:proofErr w:type="spellStart"/>
      <w:r w:rsidRPr="00EA7FE2">
        <w:t>NbS</w:t>
      </w:r>
      <w:proofErr w:type="spellEnd"/>
      <w:r w:rsidRPr="00EA7FE2">
        <w:t>.</w:t>
      </w:r>
      <w:r w:rsidR="003E7C1D">
        <w:br/>
      </w:r>
    </w:p>
    <w:p w14:paraId="1FE3532D" w14:textId="48CF5786" w:rsidR="00EA7FE2" w:rsidRPr="00EA7FE2" w:rsidRDefault="00EA7FE2" w:rsidP="00B814D2">
      <w:pPr>
        <w:pStyle w:val="ListParagraph"/>
        <w:numPr>
          <w:ilvl w:val="0"/>
          <w:numId w:val="39"/>
        </w:numPr>
      </w:pPr>
      <w:r w:rsidRPr="003E7C1D">
        <w:rPr>
          <w:b/>
          <w:color w:val="1D336D" w:themeColor="background2"/>
        </w:rPr>
        <w:t>EOPO 5:</w:t>
      </w:r>
      <w:r w:rsidRPr="003B59F7">
        <w:rPr>
          <w:color w:val="1D336D" w:themeColor="background2"/>
        </w:rPr>
        <w:t xml:space="preserve"> </w:t>
      </w:r>
      <w:r w:rsidRPr="00EA7FE2">
        <w:t xml:space="preserve">Women, youth, persons with disabilities and other potentially marginalised groups are benefitting from and more involved in decision-making related to </w:t>
      </w:r>
      <w:proofErr w:type="spellStart"/>
      <w:r w:rsidRPr="00EA7FE2">
        <w:t>NbS</w:t>
      </w:r>
      <w:proofErr w:type="spellEnd"/>
      <w:r w:rsidRPr="00EA7FE2">
        <w:t>.</w:t>
      </w:r>
    </w:p>
    <w:p w14:paraId="6EFAA76F" w14:textId="77777777" w:rsidR="00EA7FE2" w:rsidRPr="00293FB3" w:rsidRDefault="00EA7FE2" w:rsidP="00B7626E">
      <w:pPr>
        <w:pStyle w:val="Heading3"/>
      </w:pPr>
      <w:r w:rsidRPr="00293FB3">
        <w:t>Assessment of performance</w:t>
      </w:r>
    </w:p>
    <w:p w14:paraId="041EC926" w14:textId="31FF6F67" w:rsidR="00117771" w:rsidRPr="0007069D" w:rsidRDefault="00EA7FE2" w:rsidP="00117771">
      <w:r w:rsidRPr="003B59F7">
        <w:rPr>
          <w:b/>
          <w:color w:val="1D336D" w:themeColor="background2"/>
        </w:rPr>
        <w:t>All projects have a component focusing on protecting or restoring ecosystems</w:t>
      </w:r>
      <w:r w:rsidRPr="00293FB3">
        <w:t xml:space="preserve">. The investment has managed to initiate 10 projects across the Pacific Region and Southeast Asia. It is important to acknowledge the diversity of projects and the difficulty of drawing conclusions that speak to every project in every context. As a result of the evaluation's strong geographical focus on the Pacific, evidence is skewed towards this region. Given the Mekong region's unique political, economic, and environmental context, evidence could be balanced with further investigation of these projects. </w:t>
      </w:r>
      <w:r w:rsidR="00745ADE">
        <w:t>Additionally,</w:t>
      </w:r>
      <w:r w:rsidRPr="00293FB3">
        <w:t xml:space="preserve"> the impact of these activities is </w:t>
      </w:r>
      <w:r w:rsidR="00C86669">
        <w:t xml:space="preserve">currently </w:t>
      </w:r>
      <w:r w:rsidRPr="00293FB3">
        <w:t xml:space="preserve">challenging to </w:t>
      </w:r>
      <w:r w:rsidR="00C86669">
        <w:t>assess</w:t>
      </w:r>
      <w:r w:rsidR="00C86669" w:rsidRPr="00293FB3">
        <w:t xml:space="preserve"> </w:t>
      </w:r>
      <w:r w:rsidRPr="00293FB3">
        <w:t>due to the relatively short duration of the project implementation period</w:t>
      </w:r>
      <w:r w:rsidR="00C86669">
        <w:t>s</w:t>
      </w:r>
      <w:r w:rsidRPr="00293FB3">
        <w:t xml:space="preserve">. Many </w:t>
      </w:r>
      <w:r w:rsidRPr="00293FB3">
        <w:lastRenderedPageBreak/>
        <w:t>projects are still in the</w:t>
      </w:r>
      <w:r w:rsidR="00F86D31">
        <w:t>ir</w:t>
      </w:r>
      <w:r w:rsidRPr="00293FB3">
        <w:t xml:space="preserve"> pilot phase, and the true effect on ecosystems will only become evident</w:t>
      </w:r>
      <w:r w:rsidR="0018769B">
        <w:t xml:space="preserve"> over the medium term</w:t>
      </w:r>
      <w:r w:rsidRPr="00293FB3">
        <w:t xml:space="preserve">. </w:t>
      </w:r>
      <w:r w:rsidR="00585C17" w:rsidRPr="00585C17">
        <w:t xml:space="preserve">Nevertheless, </w:t>
      </w:r>
      <w:r w:rsidR="00D65BE2" w:rsidRPr="00D65BE2">
        <w:t xml:space="preserve">even in these early stages, good ecosystem protection or restoration components can be discerned </w:t>
      </w:r>
      <w:r w:rsidR="00D65BE2" w:rsidRPr="0007069D">
        <w:t xml:space="preserve">by </w:t>
      </w:r>
      <w:r w:rsidR="00272095" w:rsidRPr="0007069D">
        <w:t xml:space="preserve">including </w:t>
      </w:r>
      <w:r w:rsidR="00D65BE2" w:rsidRPr="0007069D">
        <w:t xml:space="preserve">a plan for </w:t>
      </w:r>
      <w:r w:rsidR="00272095" w:rsidRPr="0007069D">
        <w:t>each project’s</w:t>
      </w:r>
      <w:r w:rsidR="00D65BE2" w:rsidRPr="0007069D">
        <w:t xml:space="preserve"> contribution to nature (or biodiversity)</w:t>
      </w:r>
      <w:r w:rsidR="00585C17" w:rsidRPr="0007069D">
        <w:t xml:space="preserve"> and the establishment of a robust baseline measurement </w:t>
      </w:r>
      <w:r w:rsidR="00312B1C" w:rsidRPr="0007069D">
        <w:t>methodology. Given</w:t>
      </w:r>
      <w:r w:rsidRPr="0007069D">
        <w:t xml:space="preserve"> the pressing need for communities to adapt to the already severe consequences of climate change, careful assessment of the effectiveness and future impact projections of all projects' protection and restoration activities is warranted. Projecting and measuring the effect of ecosystem protection and restoration activities requires technical expertise. As a result, projects with access to experts have more advanced systems for projecting results, for planning their rollout, and for measuring their progress.</w:t>
      </w:r>
      <w:r w:rsidRPr="00EA7FE2">
        <w:t xml:space="preserve"> </w:t>
      </w:r>
    </w:p>
    <w:p w14:paraId="1F79FA4C" w14:textId="57AA65EA" w:rsidR="00EA7FE2" w:rsidRPr="00EA7FE2" w:rsidRDefault="00EA7FE2" w:rsidP="00B814D2">
      <w:r w:rsidRPr="00EA7FE2">
        <w:t xml:space="preserve">Opinions about the contribution to a </w:t>
      </w:r>
      <w:proofErr w:type="spellStart"/>
      <w:r w:rsidRPr="00EA7FE2">
        <w:t>NbS</w:t>
      </w:r>
      <w:proofErr w:type="spellEnd"/>
      <w:r w:rsidRPr="00EA7FE2">
        <w:t xml:space="preserve"> should make to nature or biodiversity, differ considerably. The exact minimum level of contribution required can best be defined at the strategic </w:t>
      </w:r>
      <w:r w:rsidR="00303D45" w:rsidRPr="00EA7FE2">
        <w:t>level,</w:t>
      </w:r>
      <w:r w:rsidRPr="00EA7FE2">
        <w:t xml:space="preserve"> but field </w:t>
      </w:r>
      <w:r>
        <w:t>observation</w:t>
      </w:r>
      <w:r w:rsidR="696DA93E">
        <w:t>s</w:t>
      </w:r>
      <w:r w:rsidRPr="00EA7FE2">
        <w:t xml:space="preserve"> </w:t>
      </w:r>
      <w:r w:rsidR="61B7CD00">
        <w:t>indicate that good projects</w:t>
      </w:r>
      <w:r w:rsidRPr="00EA7FE2">
        <w:t xml:space="preserve">: </w:t>
      </w:r>
    </w:p>
    <w:p w14:paraId="25840722" w14:textId="63700BE9" w:rsidR="00EA7FE2" w:rsidRPr="00EA7FE2" w:rsidRDefault="00EA7FE2" w:rsidP="003B59F7">
      <w:pPr>
        <w:pStyle w:val="ListParagraph"/>
        <w:numPr>
          <w:ilvl w:val="0"/>
          <w:numId w:val="40"/>
        </w:numPr>
        <w:ind w:left="360"/>
      </w:pPr>
      <w:r>
        <w:t>Go</w:t>
      </w:r>
      <w:r w:rsidRPr="00EA7FE2">
        <w:t xml:space="preserve"> beyond planting vegetation (classified as "green" interventions) to </w:t>
      </w:r>
      <w:r>
        <w:t>restor</w:t>
      </w:r>
      <w:r w:rsidR="184B274E">
        <w:t>ing</w:t>
      </w:r>
      <w:r w:rsidRPr="00EA7FE2">
        <w:t xml:space="preserve"> the "natural" eco-system. Planting trees on steep slopes or riverbanks, for example, can be a green climate-adaptation but only amount to nature restoration when the variety of trees planted restores the ecosystem that used to grow in that area. In addition, effective environmental safeguards are essential to ensure positive effects for ecosystems are not undone by other project interventions. </w:t>
      </w:r>
      <w:r w:rsidR="00FD75D9">
        <w:br/>
      </w:r>
    </w:p>
    <w:p w14:paraId="55126ECE" w14:textId="015BA4FE" w:rsidR="00EA7FE2" w:rsidRDefault="6911C618" w:rsidP="003B59F7">
      <w:pPr>
        <w:pStyle w:val="ListParagraph"/>
        <w:numPr>
          <w:ilvl w:val="0"/>
          <w:numId w:val="40"/>
        </w:numPr>
        <w:ind w:left="360"/>
      </w:pPr>
      <w:r>
        <w:t>P</w:t>
      </w:r>
      <w:r w:rsidR="00EA7FE2">
        <w:t>lan</w:t>
      </w:r>
      <w:r w:rsidR="00EA7FE2" w:rsidRPr="00EA7FE2">
        <w:t xml:space="preserve"> their restoration of nature and do not assume the result be a potential by-product. For example, climate-smart agriculture focuses on climate; planting fruit trees or introducing fishing exclusion zones focus on food-security, not biodiversity. Positive effects on biodiversity cannot be assumed. Achievement of measurable targets has to be planned and measured to be considered a contribution to nature. Similarly, the chain of effects must be explicit. For example, it is not sufficient to state that annual flooding of fields on riverbanks will automatically result in more aquatic biodiversity or the return of bird species. It is important to map the effects of interventions to their result through proven approaches and a plan to measure progress along the expected path of change. </w:t>
      </w:r>
    </w:p>
    <w:p w14:paraId="556BF3EA" w14:textId="77777777" w:rsidR="00FD75D9" w:rsidRPr="00EA7FE2" w:rsidRDefault="00FD75D9" w:rsidP="003B59F7">
      <w:pPr>
        <w:pStyle w:val="ListParagraph"/>
        <w:ind w:left="360"/>
      </w:pPr>
    </w:p>
    <w:p w14:paraId="6F859A56" w14:textId="5A97DA13" w:rsidR="00EA7FE2" w:rsidRPr="00EA7FE2" w:rsidRDefault="6F1229B4" w:rsidP="003B59F7">
      <w:pPr>
        <w:pStyle w:val="ListParagraph"/>
        <w:numPr>
          <w:ilvl w:val="0"/>
          <w:numId w:val="40"/>
        </w:numPr>
        <w:ind w:left="360"/>
      </w:pPr>
      <w:r>
        <w:t>P</w:t>
      </w:r>
      <w:r w:rsidR="00EA7FE2">
        <w:t>lan</w:t>
      </w:r>
      <w:r w:rsidR="00EA7FE2" w:rsidRPr="00EA7FE2">
        <w:t xml:space="preserve"> the scale of their protection, </w:t>
      </w:r>
      <w:r w:rsidR="00BC6EAA" w:rsidRPr="00EA7FE2">
        <w:t>maintenance</w:t>
      </w:r>
      <w:r w:rsidR="00EA7FE2" w:rsidRPr="00EA7FE2">
        <w:t xml:space="preserve">, or restoration of ecosystems against ecosystem requirements and external impacts like </w:t>
      </w:r>
      <w:r w:rsidR="00BC6EAA" w:rsidRPr="00EA7FE2">
        <w:t>climate</w:t>
      </w:r>
      <w:r w:rsidR="00EA7FE2" w:rsidRPr="00EA7FE2">
        <w:t xml:space="preserve"> change. For example, only mangroves of a particular size are sustainable and can provide ecosystem services. Where mangroves are under pressure from climate change (salination, erosion) the restoration should at least be at the speed of the degradation to keep the required ecosystem size. Similarly, the restoration of reefs is a slow process that needs to be introduced at a speed which will result in a sustainable ecosystem. </w:t>
      </w:r>
      <w:r w:rsidR="00C544CE">
        <w:t>It also must</w:t>
      </w:r>
      <w:r w:rsidR="00EA7FE2" w:rsidRPr="00EA7FE2">
        <w:t xml:space="preserve"> be proven that the introduction of new coral species does not have negative effects on the existing ecosystem.    </w:t>
      </w:r>
    </w:p>
    <w:p w14:paraId="48DDD246" w14:textId="3E321FD9" w:rsidR="006E1B59" w:rsidRPr="003B59F7" w:rsidRDefault="00EA7FE2" w:rsidP="00B814D2">
      <w:r w:rsidRPr="003B59F7">
        <w:rPr>
          <w:b/>
          <w:color w:val="1D336D" w:themeColor="background2"/>
        </w:rPr>
        <w:t xml:space="preserve">Some </w:t>
      </w:r>
      <w:proofErr w:type="spellStart"/>
      <w:r w:rsidRPr="003B59F7">
        <w:rPr>
          <w:b/>
          <w:color w:val="1D336D" w:themeColor="background2"/>
        </w:rPr>
        <w:t>CRxN</w:t>
      </w:r>
      <w:proofErr w:type="spellEnd"/>
      <w:r w:rsidRPr="003B59F7">
        <w:rPr>
          <w:b/>
          <w:color w:val="1D336D" w:themeColor="background2"/>
        </w:rPr>
        <w:t xml:space="preserve"> projects, including their sub-projects, are actively exploring access to high-integrity carbon markets</w:t>
      </w:r>
      <w:r w:rsidRPr="00DE4FA1">
        <w:t xml:space="preserve">. However, it is important to note that as of the time of this evaluation, there are no active carbon market projects under the </w:t>
      </w:r>
      <w:proofErr w:type="spellStart"/>
      <w:r w:rsidRPr="00DE4FA1">
        <w:t>CRxN</w:t>
      </w:r>
      <w:proofErr w:type="spellEnd"/>
      <w:r w:rsidRPr="00DE4FA1">
        <w:t xml:space="preserve"> investment. The stringent requirements of carbon credit certification bodies have potential to positively </w:t>
      </w:r>
      <w:r w:rsidR="00303D45" w:rsidRPr="00DE4FA1">
        <w:t>affect</w:t>
      </w:r>
      <w:r w:rsidRPr="00DE4FA1">
        <w:t xml:space="preserve"> the quality and measurement of </w:t>
      </w:r>
      <w:proofErr w:type="spellStart"/>
      <w:r w:rsidRPr="00DE4FA1">
        <w:t>NbS</w:t>
      </w:r>
      <w:proofErr w:type="spellEnd"/>
      <w:r w:rsidRPr="00DE4FA1">
        <w:t xml:space="preserve"> initiatives, requiring projects to deliver high quality activities and monitoring plans for climate, biodiversity and livelihood outcomes.</w:t>
      </w:r>
      <w:r w:rsidR="00293FB3" w:rsidRPr="00DE4FA1">
        <w:rPr>
          <w:rStyle w:val="FootnoteReference"/>
        </w:rPr>
        <w:footnoteReference w:id="21"/>
      </w:r>
      <w:r w:rsidRPr="00DE4FA1">
        <w:t xml:space="preserve">  </w:t>
      </w:r>
      <w:proofErr w:type="spellStart"/>
      <w:r w:rsidRPr="00DE4FA1">
        <w:t>CRxN</w:t>
      </w:r>
      <w:proofErr w:type="spellEnd"/>
      <w:r w:rsidRPr="00DE4FA1">
        <w:t xml:space="preserve"> has undertaken extensive research into carbon markets in the Pacific, including the publication of several relevant resources through the </w:t>
      </w:r>
      <w:proofErr w:type="spellStart"/>
      <w:r w:rsidRPr="00DE4FA1">
        <w:t>CRxN</w:t>
      </w:r>
      <w:proofErr w:type="spellEnd"/>
      <w:r w:rsidRPr="00DE4FA1">
        <w:t xml:space="preserve"> Indo-Pacific Knowledge Hub. One of the investment’s partner organisations </w:t>
      </w:r>
      <w:r w:rsidR="006F7EA7">
        <w:t>(</w:t>
      </w:r>
      <w:proofErr w:type="spellStart"/>
      <w:r w:rsidR="006F7EA7">
        <w:t>Nakau</w:t>
      </w:r>
      <w:proofErr w:type="spellEnd"/>
      <w:r w:rsidR="006F7EA7">
        <w:t xml:space="preserve">) </w:t>
      </w:r>
      <w:r w:rsidRPr="00DE4FA1">
        <w:t xml:space="preserve">has undertaken substantial trial and error approaches which have resulted in a feasible carbon market model that is relevant to the </w:t>
      </w:r>
      <w:r w:rsidR="00CF0271">
        <w:t>P</w:t>
      </w:r>
      <w:r w:rsidRPr="00DE4FA1">
        <w:t>acific context. The model has been substantiated by internationally recognised Offset Project Standards and is now able to be implemented across the region.</w:t>
      </w:r>
      <w:r w:rsidRPr="00EA7FE2">
        <w:t xml:space="preserve"> </w:t>
      </w:r>
    </w:p>
    <w:p w14:paraId="62C9B3DA" w14:textId="3EEA4082" w:rsidR="00EA7FE2" w:rsidRPr="00EA7FE2" w:rsidRDefault="00EA7FE2" w:rsidP="00B814D2">
      <w:r w:rsidRPr="003B59F7">
        <w:rPr>
          <w:b/>
          <w:color w:val="1D336D" w:themeColor="background2"/>
        </w:rPr>
        <w:t>Accessing carbon markets presents a notable challenge, particularly in the Pacific context</w:t>
      </w:r>
      <w:r w:rsidRPr="00EA7FE2">
        <w:t xml:space="preserve">. While Pacific communities are custodians of a “higher ratio of carbon sequestration potential per capita than any </w:t>
      </w:r>
      <w:r w:rsidRPr="00EA7FE2">
        <w:lastRenderedPageBreak/>
        <w:t>region of comparable size”,</w:t>
      </w:r>
      <w:r w:rsidR="005A443D">
        <w:rPr>
          <w:rStyle w:val="FootnoteReference"/>
        </w:rPr>
        <w:footnoteReference w:id="22"/>
      </w:r>
      <w:r w:rsidRPr="00EA7FE2">
        <w:t xml:space="preserve">  research conducted through the </w:t>
      </w:r>
      <w:proofErr w:type="spellStart"/>
      <w:r w:rsidRPr="00EA7FE2">
        <w:t>CRxN</w:t>
      </w:r>
      <w:proofErr w:type="spellEnd"/>
      <w:r w:rsidRPr="00EA7FE2">
        <w:t xml:space="preserve"> Knowledge Hub found that there are only 12 registered voluntary carbon credit projects across the Pacific. Voluntary carbon markets have been slow to take off in the Pacific due to a range of challenges. Variable and largely undeveloped regulatory arrangements at the country level pose significant hurdles. The prevalence of customary land tenure further complicates the establishment of carbon property rights and meeting the "permanency requirements" set by carbon credit certification bodies. Carbon projects can create distinct pressures on </w:t>
      </w:r>
      <w:r w:rsidR="006551F0">
        <w:t>Indigenous</w:t>
      </w:r>
      <w:r w:rsidRPr="00EA7FE2">
        <w:t xml:space="preserve"> communities, introducing external expectations, values, and constructs that can potentially conflict with local governance systems, cultural norms, and priorities. Carbon trading projects tend to incur high upfront costs, and it can take significant time until income is derived from the sale of carbon credits, often necessitating a reliance on donor funding to cover initial project development costs. Furthermore, demonstrating additionality, which involves proving that the project interventions have resulted in a greater amount of carbon storage compared to a scenario without project investment or effort, remains a challenge.</w:t>
      </w:r>
    </w:p>
    <w:p w14:paraId="6F05A967" w14:textId="77777777" w:rsidR="00EA7FE2" w:rsidRPr="00EA7FE2" w:rsidRDefault="00EA7FE2" w:rsidP="00B814D2">
      <w:r w:rsidRPr="003B59F7">
        <w:rPr>
          <w:b/>
          <w:color w:val="1D336D" w:themeColor="background2"/>
        </w:rPr>
        <w:t>The quality of technical knowledge and advisory services can vary greatly in relation to carbon markets, often resulting in widely variable outcomes for local governments and communities</w:t>
      </w:r>
      <w:r w:rsidRPr="00EA7FE2">
        <w:t>. Carbon credits are part of complex national and global systems, of which few specialists possess a comprehensive understanding. Notably, one of the investment partners provided questionable information to a national government in the region. As a result, that government is now considering regulatory options that may prevent them from capitalising on the carbon credits produced in their jurisdiction.</w:t>
      </w:r>
    </w:p>
    <w:p w14:paraId="4740D43F" w14:textId="1887EC2F" w:rsidR="00EA7FE2" w:rsidRPr="00EA7FE2" w:rsidRDefault="00EA7FE2" w:rsidP="00B814D2">
      <w:r w:rsidRPr="00EA7FE2">
        <w:t xml:space="preserve">Acknowledging that carbon credits may not always present a feasible option, particularly when criteria such as additionality or permanence cannot be met, several projects are exploring alternative financing mechanisms and income sources for </w:t>
      </w:r>
      <w:proofErr w:type="spellStart"/>
      <w:r w:rsidRPr="00EA7FE2">
        <w:t>NbS</w:t>
      </w:r>
      <w:proofErr w:type="spellEnd"/>
      <w:r w:rsidRPr="00EA7FE2">
        <w:t xml:space="preserve"> activities through market-based </w:t>
      </w:r>
      <w:r w:rsidR="0056693A" w:rsidRPr="00EA7FE2">
        <w:t>approaches. These</w:t>
      </w:r>
      <w:r w:rsidRPr="00EA7FE2">
        <w:t xml:space="preserve"> alternatives aim to determine whether the income generated through improved livelihoods can effectively contribute to enhanced ecosystem protection or restoration, thereby facilitating climate adaptation. Innovative and promising experiments involving community-owned businesses are being conducted to explore these avenues. Further testing and evaluation will determine whether such enterprises can generate a surplus and provide incentives for the preservation or restoration of ecosystems. For instance, the cultivation of sea grapes, which thrive in healthy mangrove ecosystems, can serve as a viable income source. Consequently, communities benefiting from sea grapes gain a strong incentive to safeguard the mangroves. However, it is important to note that not all projects within this investment exhibit a robust logic that effectively connects livelihoods with ecosystem protection or restoration, and ultimately, with community resilience and climate adaptation.</w:t>
      </w:r>
    </w:p>
    <w:p w14:paraId="76D9F068" w14:textId="793024AC" w:rsidR="00EA7FE2" w:rsidRPr="00EA7FE2" w:rsidRDefault="00EA7FE2" w:rsidP="00B814D2">
      <w:r w:rsidRPr="003B59F7">
        <w:rPr>
          <w:b/>
          <w:color w:val="1D336D" w:themeColor="background2"/>
        </w:rPr>
        <w:t>All projects supported by this investment incorporate livelihoods components; some projects need to refine the intricate interdependencies between livelihoods, ecosystems, and climate adaptation</w:t>
      </w:r>
      <w:r w:rsidRPr="00EA7FE2">
        <w:t>. For instance, one project focuses on enhancing livelihoods through the distribution of fruit trees, but further work is required to establish a stronger link between these efforts and ecosystem protection as well as climate adaptation. Similarly, another project concentrates on the restoration of mangroves or reefs, yet the improvement of livelihoods is not yet integrated into these activities.</w:t>
      </w:r>
    </w:p>
    <w:p w14:paraId="38C0F8E6" w14:textId="719F5681" w:rsidR="000A7653" w:rsidRDefault="00EA7FE2" w:rsidP="00B814D2">
      <w:r w:rsidRPr="000A7653">
        <w:t xml:space="preserve">Development projects that focus on livelihood enhancements, even without the specific </w:t>
      </w:r>
      <w:proofErr w:type="spellStart"/>
      <w:r w:rsidRPr="000A7653">
        <w:t>NbS</w:t>
      </w:r>
      <w:proofErr w:type="spellEnd"/>
      <w:r w:rsidRPr="000A7653">
        <w:t xml:space="preserve"> requirements related to ecosystems and climate, are inherently complex. They necessitate a profound understanding of social and economic circumstances, viable income opportunities, supply chains, and markets. </w:t>
      </w:r>
      <w:proofErr w:type="spellStart"/>
      <w:r w:rsidRPr="000A7653">
        <w:t>NbS</w:t>
      </w:r>
      <w:proofErr w:type="spellEnd"/>
      <w:r w:rsidRPr="000A7653">
        <w:t xml:space="preserve"> projects impose additional demands on the livelihood component as the income generated must demonstrate logical connections to both ecosystem protection or restoration and climate adaptation. Considering the short implementation period, it is understandable that some projects are still experimenting to improve the overall logic of their approach. Balancing the demands of a </w:t>
      </w:r>
      <w:proofErr w:type="spellStart"/>
      <w:r w:rsidRPr="000A7653">
        <w:t>NbS</w:t>
      </w:r>
      <w:proofErr w:type="spellEnd"/>
      <w:r w:rsidRPr="000A7653">
        <w:t xml:space="preserve"> project requires a level of expertise and experience that few organisations have in</w:t>
      </w:r>
      <w:r w:rsidR="007541B2" w:rsidRPr="000A7653">
        <w:t>-</w:t>
      </w:r>
      <w:r w:rsidRPr="000A7653">
        <w:t>house</w:t>
      </w:r>
      <w:r w:rsidR="53F17A5A" w:rsidRPr="000A7653">
        <w:t xml:space="preserve"> which confirms the need </w:t>
      </w:r>
      <w:r w:rsidR="0414310D" w:rsidRPr="000A7653">
        <w:t>for expertise at investment or strategic level</w:t>
      </w:r>
      <w:r w:rsidRPr="000A7653">
        <w:t xml:space="preserve">. </w:t>
      </w:r>
      <w:r w:rsidR="7E31CCCA" w:rsidRPr="000A7653">
        <w:t xml:space="preserve">  </w:t>
      </w:r>
    </w:p>
    <w:p w14:paraId="5078435F" w14:textId="77777777" w:rsidR="0094177F" w:rsidRDefault="00EA7FE2" w:rsidP="00B814D2">
      <w:r w:rsidRPr="003B59F7">
        <w:rPr>
          <w:b/>
          <w:color w:val="1D336D" w:themeColor="background2"/>
        </w:rPr>
        <w:lastRenderedPageBreak/>
        <w:t xml:space="preserve">All projects have achieved increased engagement among governments, CSOs and the private sector with regards to </w:t>
      </w:r>
      <w:proofErr w:type="spellStart"/>
      <w:r w:rsidRPr="003B59F7">
        <w:rPr>
          <w:b/>
          <w:color w:val="1D336D" w:themeColor="background2"/>
        </w:rPr>
        <w:t>NbS</w:t>
      </w:r>
      <w:proofErr w:type="spellEnd"/>
      <w:r w:rsidRPr="00EA7FE2">
        <w:t xml:space="preserve">. This heightened collaboration holds the potential for future replication or scaling of </w:t>
      </w:r>
      <w:proofErr w:type="spellStart"/>
      <w:r w:rsidRPr="00EA7FE2">
        <w:t>NbS</w:t>
      </w:r>
      <w:proofErr w:type="spellEnd"/>
      <w:r w:rsidRPr="00EA7FE2">
        <w:t xml:space="preserve"> initiatives. Most projects and sub-projects in the </w:t>
      </w:r>
      <w:proofErr w:type="spellStart"/>
      <w:r w:rsidRPr="00EA7FE2">
        <w:t>CRxN</w:t>
      </w:r>
      <w:proofErr w:type="spellEnd"/>
      <w:r w:rsidRPr="00EA7FE2">
        <w:t xml:space="preserve"> investment have engaged national or local governments. In some projects, government officials are providing training or operational support, with plans to hand over the project to the government at the end of the contract period.</w:t>
      </w:r>
      <w:r w:rsidR="4C27D3B7">
        <w:t xml:space="preserve"> </w:t>
      </w:r>
    </w:p>
    <w:p w14:paraId="7939CF4A" w14:textId="37ABAF7E" w:rsidR="00EA7FE2" w:rsidRPr="00EA7FE2" w:rsidRDefault="56DFF4C2" w:rsidP="00B814D2">
      <w:r>
        <w:t>Further engagement with governments is essential to</w:t>
      </w:r>
      <w:r w:rsidR="65064174">
        <w:t xml:space="preserve"> enhance their capacity to </w:t>
      </w:r>
      <w:r w:rsidR="1F26E19E">
        <w:t xml:space="preserve">handle the complex implementation requirements of </w:t>
      </w:r>
      <w:proofErr w:type="spellStart"/>
      <w:r w:rsidR="1F26E19E">
        <w:t>NbS</w:t>
      </w:r>
      <w:proofErr w:type="spellEnd"/>
      <w:r w:rsidR="00A07B67">
        <w:t>;</w:t>
      </w:r>
      <w:r w:rsidR="78432FD0">
        <w:t xml:space="preserve"> to attract additional competent staff</w:t>
      </w:r>
      <w:r w:rsidR="00A07B67">
        <w:t>;</w:t>
      </w:r>
      <w:r w:rsidR="78432FD0">
        <w:t xml:space="preserve"> to</w:t>
      </w:r>
      <w:r>
        <w:t xml:space="preserve"> </w:t>
      </w:r>
      <w:r w:rsidR="00EA7FE2" w:rsidRPr="00EA7FE2">
        <w:t xml:space="preserve">build community capacity to support </w:t>
      </w:r>
      <w:proofErr w:type="spellStart"/>
      <w:r w:rsidR="00EA7FE2" w:rsidRPr="00EA7FE2">
        <w:t>NbS</w:t>
      </w:r>
      <w:proofErr w:type="spellEnd"/>
      <w:r w:rsidR="00EA7FE2" w:rsidRPr="00EA7FE2">
        <w:t xml:space="preserve"> implementation</w:t>
      </w:r>
      <w:r w:rsidR="005518DA">
        <w:t>;</w:t>
      </w:r>
      <w:r w:rsidR="00EA7FE2" w:rsidRPr="00EA7FE2">
        <w:t xml:space="preserve"> </w:t>
      </w:r>
      <w:r w:rsidR="005518DA">
        <w:t xml:space="preserve">and </w:t>
      </w:r>
      <w:r w:rsidR="00EA7FE2" w:rsidRPr="00EA7FE2">
        <w:t xml:space="preserve">to create a conducive regulatory environment for </w:t>
      </w:r>
      <w:proofErr w:type="spellStart"/>
      <w:r w:rsidR="00EA7FE2" w:rsidRPr="00EA7FE2">
        <w:t>NbS</w:t>
      </w:r>
      <w:proofErr w:type="spellEnd"/>
      <w:r w:rsidR="00EA7FE2" w:rsidRPr="00EA7FE2">
        <w:t xml:space="preserve">. The work with CSOs and private sector differs between projects. Some projects are working on promising governance structures that aim to organise communities through CSOs or enterprises, with the hope of fostering long-term viability of the </w:t>
      </w:r>
      <w:proofErr w:type="spellStart"/>
      <w:r w:rsidR="00EA7FE2" w:rsidRPr="00EA7FE2">
        <w:t>NbS</w:t>
      </w:r>
      <w:proofErr w:type="spellEnd"/>
      <w:r w:rsidR="00EA7FE2" w:rsidRPr="00EA7FE2">
        <w:t>. These approaches need more time to be tested and optimised before their performance can be adequately evaluated.</w:t>
      </w:r>
    </w:p>
    <w:p w14:paraId="39D24105" w14:textId="2768F404" w:rsidR="00EA7FE2" w:rsidRPr="00EA7FE2" w:rsidRDefault="00EA7FE2" w:rsidP="00B814D2">
      <w:r w:rsidRPr="003B59F7">
        <w:rPr>
          <w:b/>
          <w:color w:val="1D336D" w:themeColor="background2"/>
        </w:rPr>
        <w:t xml:space="preserve">The decision to work with development NGOs to foster the uptake of </w:t>
      </w:r>
      <w:proofErr w:type="spellStart"/>
      <w:r w:rsidRPr="003B59F7">
        <w:rPr>
          <w:b/>
          <w:color w:val="1D336D" w:themeColor="background2"/>
        </w:rPr>
        <w:t>NbS</w:t>
      </w:r>
      <w:proofErr w:type="spellEnd"/>
      <w:r w:rsidRPr="003B59F7">
        <w:rPr>
          <w:b/>
          <w:color w:val="1D336D" w:themeColor="background2"/>
        </w:rPr>
        <w:t xml:space="preserve"> has posed challenges to achieving high quality </w:t>
      </w:r>
      <w:proofErr w:type="spellStart"/>
      <w:r w:rsidRPr="003B59F7">
        <w:rPr>
          <w:b/>
          <w:color w:val="1D336D" w:themeColor="background2"/>
        </w:rPr>
        <w:t>NbS</w:t>
      </w:r>
      <w:proofErr w:type="spellEnd"/>
      <w:r w:rsidRPr="00EA7FE2">
        <w:t>. The investment design focused on providing funding through partnerships with relevant NGOs and work</w:t>
      </w:r>
      <w:r w:rsidR="007541B2">
        <w:t>ing</w:t>
      </w:r>
      <w:r w:rsidRPr="00EA7FE2">
        <w:t xml:space="preserve"> with private sector actors and philanthropic foundations. </w:t>
      </w:r>
      <w:r w:rsidR="007E58D7">
        <w:t>S</w:t>
      </w:r>
      <w:r w:rsidRPr="00EA7FE2">
        <w:t xml:space="preserve">hort </w:t>
      </w:r>
      <w:r w:rsidR="00C906E3">
        <w:t>funding cycles</w:t>
      </w:r>
      <w:r w:rsidRPr="00EA7FE2">
        <w:t xml:space="preserve"> was one of the reasons to work with ANCP-accredited partners as it would avoid a long due-diligence process. </w:t>
      </w:r>
      <w:r w:rsidR="006A4A9E">
        <w:t xml:space="preserve">As </w:t>
      </w:r>
      <w:proofErr w:type="spellStart"/>
      <w:r w:rsidR="00547558">
        <w:t>NbS</w:t>
      </w:r>
      <w:proofErr w:type="spellEnd"/>
      <w:r w:rsidR="0053019A">
        <w:t xml:space="preserve"> initiat</w:t>
      </w:r>
      <w:r w:rsidR="005B3090">
        <w:t>ives are</w:t>
      </w:r>
      <w:r w:rsidR="00583CE3">
        <w:t xml:space="preserve"> relativ</w:t>
      </w:r>
      <w:r w:rsidR="0028504E">
        <w:t xml:space="preserve">ely new within </w:t>
      </w:r>
      <w:r w:rsidR="00D43105">
        <w:t>Australia’s development programming</w:t>
      </w:r>
      <w:r w:rsidR="00704E0B">
        <w:t>,</w:t>
      </w:r>
      <w:r w:rsidR="0009259C">
        <w:t xml:space="preserve"> t</w:t>
      </w:r>
      <w:r w:rsidRPr="00EA7FE2">
        <w:t xml:space="preserve">he number of ANCP-accredited partners with experience in </w:t>
      </w:r>
      <w:proofErr w:type="spellStart"/>
      <w:r w:rsidRPr="00EA7FE2">
        <w:t>NbS</w:t>
      </w:r>
      <w:proofErr w:type="spellEnd"/>
      <w:r w:rsidRPr="00EA7FE2">
        <w:t xml:space="preserve"> is limited. </w:t>
      </w:r>
      <w:r w:rsidR="00F16537">
        <w:t>DFAT’s</w:t>
      </w:r>
      <w:r w:rsidRPr="00EA7FE2">
        <w:t xml:space="preserve"> assumption that it is possible to develop the </w:t>
      </w:r>
      <w:proofErr w:type="spellStart"/>
      <w:r w:rsidR="00EB7BA6">
        <w:t>NbS</w:t>
      </w:r>
      <w:proofErr w:type="spellEnd"/>
      <w:r w:rsidR="00EB7BA6">
        <w:t xml:space="preserve"> </w:t>
      </w:r>
      <w:r w:rsidRPr="00EA7FE2">
        <w:t xml:space="preserve">expertise of traditional development NGOs through a very short project </w:t>
      </w:r>
      <w:r w:rsidR="00D1177A">
        <w:t>was</w:t>
      </w:r>
      <w:r w:rsidRPr="00EA7FE2">
        <w:t xml:space="preserve"> </w:t>
      </w:r>
      <w:r w:rsidR="00D1177A">
        <w:t xml:space="preserve">ambitious. </w:t>
      </w:r>
      <w:r w:rsidR="00CE6F25">
        <w:t xml:space="preserve">The design did not provide sufficient resources to deliver the necessary </w:t>
      </w:r>
      <w:r w:rsidRPr="00EA7FE2">
        <w:t xml:space="preserve">training, support systems and monitoring activities. </w:t>
      </w:r>
    </w:p>
    <w:p w14:paraId="52152F76" w14:textId="77777777" w:rsidR="00EA7FE2" w:rsidRPr="00EA7FE2" w:rsidRDefault="00EA7FE2" w:rsidP="00B814D2">
      <w:r w:rsidRPr="003B59F7">
        <w:rPr>
          <w:b/>
          <w:color w:val="1D336D" w:themeColor="background2"/>
        </w:rPr>
        <w:t>Some projects have identified transformative approaches to equality and inclusion while other projects are struggling to move beyond standard activities to involve women, youth, persons with disabilities and other potentially marginalised groups</w:t>
      </w:r>
      <w:r w:rsidRPr="00EA7FE2">
        <w:t xml:space="preserve">. One project is creating a network of women to address equality and include women with disabilities through </w:t>
      </w:r>
      <w:proofErr w:type="spellStart"/>
      <w:r w:rsidRPr="00EA7FE2">
        <w:t>NbS</w:t>
      </w:r>
      <w:proofErr w:type="spellEnd"/>
      <w:r w:rsidRPr="00EA7FE2">
        <w:t>. Another project is addressing the division of labour within the household to rebalance the workload between wife and husband. All projects are paying attention to ensure women are heard during consultations and that data is collected in a gender disaggregated manner, but additional analysis could identify transformative GEDSI approaches. The projects that have utilised GEDSI specialists have established more transformative interventions.</w:t>
      </w:r>
    </w:p>
    <w:p w14:paraId="11CAA91F" w14:textId="5BE6FEFB" w:rsidR="00EA7FE2" w:rsidRPr="008C77C6" w:rsidRDefault="00EA7FE2" w:rsidP="008C77C6">
      <w:pPr>
        <w:pStyle w:val="Heading2"/>
        <w:rPr>
          <w:color w:val="1D336D" w:themeColor="background2"/>
        </w:rPr>
      </w:pPr>
      <w:bookmarkStart w:id="40" w:name="_Toc164783056"/>
      <w:r w:rsidRPr="008C77C6">
        <w:rPr>
          <w:color w:val="1D336D" w:themeColor="background2"/>
        </w:rPr>
        <w:t>Is it a solution?</w:t>
      </w:r>
      <w:bookmarkEnd w:id="40"/>
    </w:p>
    <w:p w14:paraId="26C6C947" w14:textId="521288C2" w:rsidR="00EA7FE2" w:rsidRPr="00EA7FE2" w:rsidRDefault="00EA7FE2" w:rsidP="00B814D2">
      <w:r w:rsidRPr="00EA7FE2">
        <w:t xml:space="preserve">The main </w:t>
      </w:r>
      <w:r w:rsidR="008E2C5C">
        <w:t>goal</w:t>
      </w:r>
      <w:r w:rsidR="008E2C5C" w:rsidRPr="00EA7FE2">
        <w:t xml:space="preserve"> </w:t>
      </w:r>
      <w:r w:rsidRPr="00EA7FE2">
        <w:t xml:space="preserve">of a </w:t>
      </w:r>
      <w:proofErr w:type="spellStart"/>
      <w:r w:rsidRPr="00EA7FE2">
        <w:t>NbS</w:t>
      </w:r>
      <w:proofErr w:type="spellEnd"/>
      <w:r w:rsidRPr="00EA7FE2">
        <w:t xml:space="preserve"> must be</w:t>
      </w:r>
      <w:r w:rsidR="008E2C5C">
        <w:t xml:space="preserve"> to provide</w:t>
      </w:r>
      <w:r w:rsidRPr="00EA7FE2">
        <w:t xml:space="preserve"> a solution to a priority challenge faced by the target communities. This is essential to ensure that the communities are willing to commit to the </w:t>
      </w:r>
      <w:proofErr w:type="spellStart"/>
      <w:r w:rsidRPr="00EA7FE2">
        <w:t>NbS</w:t>
      </w:r>
      <w:proofErr w:type="spellEnd"/>
      <w:r w:rsidRPr="00EA7FE2">
        <w:t xml:space="preserve"> long term and to ensure that the </w:t>
      </w:r>
      <w:proofErr w:type="spellStart"/>
      <w:r w:rsidRPr="00EA7FE2">
        <w:t>NbS</w:t>
      </w:r>
      <w:proofErr w:type="spellEnd"/>
      <w:r w:rsidRPr="00EA7FE2">
        <w:t xml:space="preserve"> does not divert scarce community resources to activities that are not a community priority.</w:t>
      </w:r>
    </w:p>
    <w:p w14:paraId="3324796B" w14:textId="442A3148" w:rsidR="00EA7FE2" w:rsidRPr="00EA7FE2" w:rsidRDefault="00EA7FE2" w:rsidP="00B814D2">
      <w:r w:rsidRPr="00EA7FE2">
        <w:t>In stakeholder interviews, WWF</w:t>
      </w:r>
      <w:r w:rsidR="00537371">
        <w:t>’s view</w:t>
      </w:r>
      <w:r w:rsidRPr="00EA7FE2">
        <w:t xml:space="preserve"> </w:t>
      </w:r>
      <w:r w:rsidR="00537371">
        <w:t>was</w:t>
      </w:r>
      <w:r w:rsidR="00537371" w:rsidRPr="00EA7FE2">
        <w:t xml:space="preserve"> </w:t>
      </w:r>
      <w:r w:rsidRPr="00EA7FE2">
        <w:t>that all projects are "solutions" for communities because the selection process for projects ensures that "there is a service provided by an ecosystem that solves a climate problem and the actions to protect, restore, or sustainably manage that ecosystem is generating co-benefits for people and nature. The advantage of having that sort of framework is that it very quickly eliminates any sort of maladaptive solutions."</w:t>
      </w:r>
    </w:p>
    <w:p w14:paraId="2911B77E" w14:textId="5C1B7049" w:rsidR="00EA7FE2" w:rsidRPr="00EA7FE2" w:rsidRDefault="00EA7FE2" w:rsidP="00B814D2">
      <w:r w:rsidRPr="00EA7FE2">
        <w:t xml:space="preserve">It </w:t>
      </w:r>
      <w:r w:rsidR="007541B2">
        <w:t>wa</w:t>
      </w:r>
      <w:r w:rsidRPr="00EA7FE2">
        <w:t xml:space="preserve">s commonly observed that communities tend to prioritise their livelihoods, and this remains a fundamental component across all </w:t>
      </w:r>
      <w:proofErr w:type="spellStart"/>
      <w:r w:rsidRPr="00EA7FE2">
        <w:t>CRxN</w:t>
      </w:r>
      <w:proofErr w:type="spellEnd"/>
      <w:r w:rsidRPr="00EA7FE2">
        <w:t xml:space="preserve"> projects. Moreover, the impacts of climate change on livelihoods are so severe that most communities now regard climate change adaptation as a priority.</w:t>
      </w:r>
    </w:p>
    <w:p w14:paraId="658F8389" w14:textId="77777777" w:rsidR="00D42675" w:rsidRDefault="00D42675">
      <w:pPr>
        <w:spacing w:after="0" w:line="240" w:lineRule="auto"/>
        <w:rPr>
          <w:b/>
          <w:bCs/>
          <w:iCs/>
          <w:caps/>
          <w:color w:val="1D336D" w:themeColor="background2"/>
          <w:sz w:val="28"/>
          <w:szCs w:val="26"/>
        </w:rPr>
      </w:pPr>
      <w:r>
        <w:rPr>
          <w:color w:val="1D336D" w:themeColor="background2"/>
        </w:rPr>
        <w:br w:type="page"/>
      </w:r>
    </w:p>
    <w:p w14:paraId="27B91712" w14:textId="5BF51E12" w:rsidR="00EA7FE2" w:rsidRPr="008C77C6" w:rsidRDefault="00EA7FE2" w:rsidP="008C77C6">
      <w:pPr>
        <w:pStyle w:val="Heading2"/>
        <w:rPr>
          <w:color w:val="1D336D" w:themeColor="background2"/>
        </w:rPr>
      </w:pPr>
      <w:bookmarkStart w:id="41" w:name="_Toc164783057"/>
      <w:r w:rsidRPr="008C77C6">
        <w:rPr>
          <w:color w:val="1D336D" w:themeColor="background2"/>
        </w:rPr>
        <w:lastRenderedPageBreak/>
        <w:t>NBS pillars</w:t>
      </w:r>
      <w:bookmarkEnd w:id="41"/>
      <w:r w:rsidRPr="008C77C6">
        <w:rPr>
          <w:color w:val="1D336D" w:themeColor="background2"/>
        </w:rPr>
        <w:t xml:space="preserve"> </w:t>
      </w:r>
    </w:p>
    <w:p w14:paraId="02B6CD28" w14:textId="77777777" w:rsidR="00EA7FE2" w:rsidRPr="00EA7FE2" w:rsidRDefault="00EA7FE2" w:rsidP="008C77C6">
      <w:pPr>
        <w:pStyle w:val="Heading3"/>
      </w:pPr>
      <w:r w:rsidRPr="00EA7FE2">
        <w:t>Biodiversity</w:t>
      </w:r>
    </w:p>
    <w:p w14:paraId="10CF6846" w14:textId="77777777" w:rsidR="00C74A85" w:rsidRPr="003B59F7" w:rsidRDefault="00EA7FE2" w:rsidP="00B814D2">
      <w:pPr>
        <w:rPr>
          <w:b/>
          <w:color w:val="1D336D" w:themeColor="background2"/>
        </w:rPr>
      </w:pPr>
      <w:r w:rsidRPr="003B59F7">
        <w:rPr>
          <w:b/>
          <w:color w:val="1D336D" w:themeColor="background2"/>
        </w:rPr>
        <w:t xml:space="preserve">The anticipated impact on biodiversity lacks sufficient definition at both the strategic and investment levels, leading to a lack of specificity at the project level. </w:t>
      </w:r>
    </w:p>
    <w:p w14:paraId="39E9332D" w14:textId="0FE98EED" w:rsidR="00EA7FE2" w:rsidRPr="00EA7FE2" w:rsidRDefault="00EA7FE2" w:rsidP="00B814D2">
      <w:r w:rsidRPr="00EA7FE2">
        <w:t xml:space="preserve">As a result, </w:t>
      </w:r>
      <w:r w:rsidRPr="003B59F7">
        <w:rPr>
          <w:b/>
          <w:color w:val="1D336D" w:themeColor="background2"/>
        </w:rPr>
        <w:t xml:space="preserve">the approach to biodiversity differs widely between </w:t>
      </w:r>
      <w:proofErr w:type="spellStart"/>
      <w:r w:rsidRPr="003B59F7">
        <w:rPr>
          <w:b/>
          <w:color w:val="1D336D" w:themeColor="background2"/>
        </w:rPr>
        <w:t>CRxN</w:t>
      </w:r>
      <w:proofErr w:type="spellEnd"/>
      <w:r w:rsidRPr="003B59F7">
        <w:rPr>
          <w:b/>
          <w:color w:val="1D336D" w:themeColor="background2"/>
        </w:rPr>
        <w:t xml:space="preserve"> projects</w:t>
      </w:r>
      <w:r w:rsidRPr="00EA7FE2">
        <w:t xml:space="preserve">. The projects aiming to generate carbon credits perform best as they are required by the carbon credit certification body to measure and improve biodiversity in their target areas. Conversely, most other projects lack well-defined targets or interventions for biodiversity improvement. During stakeholder interviews, ecosystem restoration was frequently equated with improvements in biodiversity. However, as previously mentioned, some projects may have insufficient ecosystem protection and restoration measures to sustain the targeted ecosystems, let alone restore them. With additional guidance </w:t>
      </w:r>
      <w:r w:rsidR="007541B2">
        <w:t>at</w:t>
      </w:r>
      <w:r w:rsidR="007541B2" w:rsidRPr="00EA7FE2">
        <w:t xml:space="preserve"> </w:t>
      </w:r>
      <w:r w:rsidRPr="00EA7FE2">
        <w:t>the strategic and investment level, projects can clarify their contribution to biodiversity and credibly project their expected impact. A clear definition of the biodiversity component will also facilitate the selection of appropriate methods to measure progress.</w:t>
      </w:r>
    </w:p>
    <w:p w14:paraId="425D0F4E" w14:textId="77777777" w:rsidR="00EA7FE2" w:rsidRPr="00EA7FE2" w:rsidRDefault="00EA7FE2" w:rsidP="00C74A85">
      <w:pPr>
        <w:pStyle w:val="Heading3"/>
      </w:pPr>
      <w:r w:rsidRPr="00EA7FE2">
        <w:t>Climate change</w:t>
      </w:r>
    </w:p>
    <w:p w14:paraId="0720F888" w14:textId="77777777" w:rsidR="00EA7FE2" w:rsidRPr="003B59F7" w:rsidRDefault="00EA7FE2" w:rsidP="00B814D2">
      <w:pPr>
        <w:rPr>
          <w:b/>
          <w:color w:val="1D336D" w:themeColor="background2"/>
        </w:rPr>
      </w:pPr>
      <w:r w:rsidRPr="003B59F7">
        <w:rPr>
          <w:b/>
          <w:color w:val="1D336D" w:themeColor="background2"/>
        </w:rPr>
        <w:t>All projects in this investment have articulated objectives related to mitigation or adaptation. However, it is difficult to monitor whether sufficient progress is being made.</w:t>
      </w:r>
    </w:p>
    <w:p w14:paraId="16EB410A" w14:textId="49E5E6A5" w:rsidR="00EA7FE2" w:rsidRPr="00EA7FE2" w:rsidRDefault="00EA7FE2" w:rsidP="00B814D2">
      <w:r w:rsidRPr="003B59F7">
        <w:rPr>
          <w:b/>
          <w:color w:val="1D336D" w:themeColor="background2"/>
        </w:rPr>
        <w:t xml:space="preserve">Measuring progress on adaptation could clarify whether </w:t>
      </w:r>
      <w:proofErr w:type="spellStart"/>
      <w:r w:rsidRPr="003B59F7">
        <w:rPr>
          <w:b/>
          <w:color w:val="1D336D" w:themeColor="background2"/>
        </w:rPr>
        <w:t>NbS</w:t>
      </w:r>
      <w:proofErr w:type="spellEnd"/>
      <w:r w:rsidRPr="003B59F7">
        <w:rPr>
          <w:b/>
          <w:color w:val="1D336D" w:themeColor="background2"/>
        </w:rPr>
        <w:t xml:space="preserve"> can be effective in the target areas</w:t>
      </w:r>
      <w:r w:rsidRPr="003B59F7">
        <w:rPr>
          <w:color w:val="1D336D" w:themeColor="background2"/>
        </w:rPr>
        <w:t xml:space="preserve">. </w:t>
      </w:r>
      <w:r w:rsidRPr="00EA7FE2">
        <w:t xml:space="preserve">Most projects aim to contribute to climate adaptation by using ecosystems to safeguard communities against the adverse impacts of climate change. It is worth noting that climate change has already drastically transformed community livelihoods, social cohesion and even health. For instance, coastal waters are depleted of fish, persistent rain or drought periods have reduce yields from gardens, and alternative staple foods (such as rice) </w:t>
      </w:r>
      <w:r w:rsidR="007541B2">
        <w:t>have</w:t>
      </w:r>
      <w:r w:rsidR="007541B2" w:rsidRPr="00EA7FE2">
        <w:t xml:space="preserve"> </w:t>
      </w:r>
      <w:r w:rsidRPr="00EA7FE2">
        <w:t>led to an increase in non-communicable diseases.</w:t>
      </w:r>
    </w:p>
    <w:p w14:paraId="5A2AE8FC" w14:textId="6C6D0086" w:rsidR="00EA7FE2" w:rsidRPr="00EA7FE2" w:rsidRDefault="00EA7FE2" w:rsidP="00B814D2">
      <w:r w:rsidRPr="00EA7FE2">
        <w:t xml:space="preserve">Addressing these impacts necessitates comprehensive, coordinated </w:t>
      </w:r>
      <w:proofErr w:type="spellStart"/>
      <w:r w:rsidR="00CA3A24">
        <w:t>NbS</w:t>
      </w:r>
      <w:proofErr w:type="spellEnd"/>
      <w:r w:rsidR="00CA3A24">
        <w:t xml:space="preserve"> </w:t>
      </w:r>
      <w:r w:rsidRPr="00EA7FE2">
        <w:t xml:space="preserve">interventions on a large scale. In </w:t>
      </w:r>
      <w:r w:rsidR="00873B00">
        <w:t>some</w:t>
      </w:r>
      <w:r w:rsidR="00873B00" w:rsidRPr="00EA7FE2">
        <w:t xml:space="preserve"> </w:t>
      </w:r>
      <w:r w:rsidR="00E33D5D">
        <w:t>circumstances</w:t>
      </w:r>
      <w:r w:rsidRPr="00EA7FE2">
        <w:t>,</w:t>
      </w:r>
      <w:r w:rsidR="00E33D5D">
        <w:t xml:space="preserve"> </w:t>
      </w:r>
      <w:proofErr w:type="spellStart"/>
      <w:r w:rsidR="00E33D5D">
        <w:t>NbS</w:t>
      </w:r>
      <w:proofErr w:type="spellEnd"/>
      <w:r w:rsidR="00E33D5D">
        <w:t xml:space="preserve"> </w:t>
      </w:r>
      <w:r w:rsidRPr="00EA7FE2">
        <w:t xml:space="preserve"> interventions </w:t>
      </w:r>
      <w:r w:rsidR="00E33D5D">
        <w:t>may</w:t>
      </w:r>
      <w:r w:rsidR="00E33D5D" w:rsidRPr="00EA7FE2">
        <w:t xml:space="preserve"> </w:t>
      </w:r>
      <w:r w:rsidRPr="00EA7FE2">
        <w:t xml:space="preserve">only delay certain </w:t>
      </w:r>
      <w:r w:rsidR="00873B00">
        <w:t>climate change impacts</w:t>
      </w:r>
      <w:r w:rsidRPr="00EA7FE2">
        <w:t xml:space="preserve">. Ultimately, successful adaptation may necessitate more radical measures such as relocation or transitioning to entirely different sources of income. For example, one project acknowledged that its investment in mangrove conservation could postpone coastal erosion, but in the medium term, only costly grey infrastructure could protect only some of the affected coastal communities. These realities are challenging, and managing expectations requires communities to comprehend the specific contributions that </w:t>
      </w:r>
      <w:proofErr w:type="spellStart"/>
      <w:r w:rsidRPr="00EA7FE2">
        <w:t>NbS</w:t>
      </w:r>
      <w:proofErr w:type="spellEnd"/>
      <w:r w:rsidRPr="00EA7FE2">
        <w:t xml:space="preserve"> projects can provide.</w:t>
      </w:r>
    </w:p>
    <w:p w14:paraId="093553A6" w14:textId="77777777" w:rsidR="002B2DBD" w:rsidRDefault="00EA7FE2" w:rsidP="00B814D2">
      <w:r w:rsidRPr="003B59F7">
        <w:rPr>
          <w:b/>
          <w:color w:val="1D336D" w:themeColor="background2"/>
        </w:rPr>
        <w:t xml:space="preserve">Estimating future climate change impacts and the effect of </w:t>
      </w:r>
      <w:proofErr w:type="spellStart"/>
      <w:r w:rsidRPr="003B59F7">
        <w:rPr>
          <w:b/>
          <w:color w:val="1D336D" w:themeColor="background2"/>
        </w:rPr>
        <w:t>NbS</w:t>
      </w:r>
      <w:proofErr w:type="spellEnd"/>
      <w:r w:rsidRPr="003B59F7">
        <w:rPr>
          <w:b/>
          <w:color w:val="1D336D" w:themeColor="background2"/>
        </w:rPr>
        <w:t xml:space="preserve"> interventions requires advanced expertise and tested methodologies</w:t>
      </w:r>
      <w:r w:rsidRPr="00EA7FE2">
        <w:t xml:space="preserve">. Few projects have a stated methodology to measure community vulnerability to climate change. Similarly, few projects have projected the expected impacts of climate change and the power of </w:t>
      </w:r>
      <w:proofErr w:type="spellStart"/>
      <w:r w:rsidRPr="00EA7FE2">
        <w:t>NbS</w:t>
      </w:r>
      <w:proofErr w:type="spellEnd"/>
      <w:r w:rsidRPr="00EA7FE2">
        <w:t xml:space="preserve"> to mitigate these impacts. Ideally, a standard approach to measuring community vulnerability to climate change would have been defined at strategic or investment level.</w:t>
      </w:r>
      <w:r w:rsidR="002B2DBD">
        <w:t xml:space="preserve"> </w:t>
      </w:r>
      <w:r w:rsidRPr="00EA7FE2">
        <w:t>Nonetheless, even in the absence of a standardised approach, each project should possess a comprehensive understanding of the efficacy of its interventions.</w:t>
      </w:r>
    </w:p>
    <w:p w14:paraId="5800262C" w14:textId="69A5658A" w:rsidR="00EA7FE2" w:rsidRPr="00EA7FE2" w:rsidRDefault="00EA7FE2" w:rsidP="00B814D2">
      <w:r w:rsidRPr="003B59F7">
        <w:rPr>
          <w:b/>
          <w:color w:val="1D336D" w:themeColor="background2"/>
        </w:rPr>
        <w:t>The projects pursuing mitigation targets (as opposed to adaptation above) have projected their anticipated mitigation potential for the future and have established well defined measurement methodologies</w:t>
      </w:r>
      <w:r w:rsidRPr="00EA7FE2">
        <w:t>. Notably, projects focusing on generating carbon credits have exemplified a high level of rigor in their projections and methodologies. This rigor can be attributed, in part, to the existence of established measurement methods for carbon sequestration and, additionally, to the compliance criteria necessary for obtaining carbon credit certification.</w:t>
      </w:r>
    </w:p>
    <w:p w14:paraId="38BBAE32" w14:textId="77777777" w:rsidR="0094177F" w:rsidRDefault="0094177F">
      <w:pPr>
        <w:spacing w:after="0" w:line="240" w:lineRule="auto"/>
        <w:rPr>
          <w:b/>
          <w:iCs/>
          <w:color w:val="1D336D" w:themeColor="background2"/>
          <w:sz w:val="24"/>
          <w:szCs w:val="26"/>
        </w:rPr>
      </w:pPr>
      <w:r>
        <w:br w:type="page"/>
      </w:r>
    </w:p>
    <w:p w14:paraId="18C54AEA" w14:textId="5E533240" w:rsidR="00EA7FE2" w:rsidRPr="00EA7FE2" w:rsidRDefault="00EA7FE2" w:rsidP="002B2DBD">
      <w:pPr>
        <w:pStyle w:val="Heading3"/>
      </w:pPr>
      <w:r w:rsidRPr="00EA7FE2">
        <w:lastRenderedPageBreak/>
        <w:t>Livelihoods</w:t>
      </w:r>
    </w:p>
    <w:p w14:paraId="0C6998E5" w14:textId="77777777" w:rsidR="00923BAE" w:rsidRPr="00C215E4" w:rsidRDefault="00EA7FE2" w:rsidP="00B814D2">
      <w:pPr>
        <w:rPr>
          <w:b/>
          <w:color w:val="1D336D" w:themeColor="background2"/>
        </w:rPr>
      </w:pPr>
      <w:r w:rsidRPr="00C215E4">
        <w:rPr>
          <w:b/>
          <w:color w:val="1D336D" w:themeColor="background2"/>
        </w:rPr>
        <w:t xml:space="preserve">There is a strong focus on livelihoods in all </w:t>
      </w:r>
      <w:proofErr w:type="spellStart"/>
      <w:r w:rsidRPr="00C215E4">
        <w:rPr>
          <w:b/>
          <w:color w:val="1D336D" w:themeColor="background2"/>
        </w:rPr>
        <w:t>CRxN</w:t>
      </w:r>
      <w:proofErr w:type="spellEnd"/>
      <w:r w:rsidRPr="00C215E4">
        <w:rPr>
          <w:b/>
          <w:color w:val="1D336D" w:themeColor="background2"/>
        </w:rPr>
        <w:t xml:space="preserve"> projects. However, not all projects have achieved measurable improvements in livelihoods, highlighting the complexities involved in this endeavour. </w:t>
      </w:r>
    </w:p>
    <w:p w14:paraId="63D7C02F" w14:textId="0FDF0266" w:rsidR="00EA7FE2" w:rsidRPr="00923BAE" w:rsidRDefault="00923BAE" w:rsidP="00B814D2">
      <w:pPr>
        <w:rPr>
          <w:b/>
          <w:bCs/>
        </w:rPr>
      </w:pPr>
      <w:r w:rsidRPr="00C215E4">
        <w:rPr>
          <w:b/>
          <w:color w:val="1D336D" w:themeColor="background2"/>
        </w:rPr>
        <w:t>S</w:t>
      </w:r>
      <w:r w:rsidR="00EA7FE2" w:rsidRPr="00C215E4">
        <w:rPr>
          <w:b/>
          <w:color w:val="1D336D" w:themeColor="background2"/>
        </w:rPr>
        <w:t>ome projects have encountered difficulties in establishing a clear and logical connection between income generation and the incentives for ecosystem conservation or restoration.</w:t>
      </w:r>
      <w:r w:rsidR="00EA7FE2" w:rsidRPr="00C215E4">
        <w:rPr>
          <w:color w:val="1D336D" w:themeColor="background2"/>
        </w:rPr>
        <w:t xml:space="preserve"> </w:t>
      </w:r>
      <w:r w:rsidR="00EA7FE2" w:rsidRPr="00EA7FE2">
        <w:t>The contribution to community livelihoods understandably varies widely between projects. This variance can be attributed, in part, to the specific objectives of each project. For instance, a project that assists communities whose food security is under pressure due to climate change will naturally focus more on livelihoods than a project that assists communities to slow down erosion due to sea level rise. Beyond the project objective, the approach to livelihood interventions reflects the overall ambition and capacity of the implementing agency. Some development NGOs continue to provide their signature approach to livelihood improvement, albeit combined with ecosystem restoration activities. Other projects are systematically exploring a range of livelihood options to find the right fit for their target community and the logic of their intervention.</w:t>
      </w:r>
    </w:p>
    <w:p w14:paraId="66F4A85C" w14:textId="56402917" w:rsidR="00EA7FE2" w:rsidRPr="00EA7FE2" w:rsidRDefault="00EA7FE2" w:rsidP="00B814D2">
      <w:r w:rsidRPr="00C215E4">
        <w:rPr>
          <w:b/>
          <w:color w:val="1D336D" w:themeColor="background2"/>
        </w:rPr>
        <w:t>Ultimately, the size of the livelihood contribution is less important than its role to create incentives for the continuation of the nature-supported climate adaptation measures</w:t>
      </w:r>
      <w:r w:rsidRPr="00C215E4">
        <w:rPr>
          <w:color w:val="1D336D" w:themeColor="background2"/>
        </w:rPr>
        <w:t xml:space="preserve">. </w:t>
      </w:r>
      <w:r w:rsidRPr="00EA7FE2">
        <w:t>Few projects have undertaken measurements to assess the impact of their interventions on livelihoods and community wellbeing, or the influence of livelihood improvements on the continuity of ecosystem protection or restoration efforts. Again, support for a standardised measurement methodology at the strategic or investment level could have supported activities in this area.</w:t>
      </w:r>
    </w:p>
    <w:p w14:paraId="52EBB0BB" w14:textId="53C66C54" w:rsidR="00EA7FE2" w:rsidRPr="00EA7FE2" w:rsidRDefault="00EA7FE2" w:rsidP="00B814D2">
      <w:r w:rsidRPr="00C215E4">
        <w:rPr>
          <w:b/>
          <w:color w:val="1D336D" w:themeColor="background2"/>
        </w:rPr>
        <w:t xml:space="preserve">Improving livelihoods for subsistence communities in remote areas requires time and expertise in the best of circumstances. </w:t>
      </w:r>
      <w:proofErr w:type="spellStart"/>
      <w:r w:rsidRPr="00C215E4">
        <w:rPr>
          <w:b/>
          <w:color w:val="1D336D" w:themeColor="background2"/>
        </w:rPr>
        <w:t>NbS</w:t>
      </w:r>
      <w:proofErr w:type="spellEnd"/>
      <w:r w:rsidRPr="00C215E4">
        <w:rPr>
          <w:b/>
          <w:color w:val="1D336D" w:themeColor="background2"/>
        </w:rPr>
        <w:t xml:space="preserve"> requirements and climate change pressures only make it more demanding</w:t>
      </w:r>
      <w:r w:rsidRPr="00EA7FE2">
        <w:t>. The options for livelihood improvements in remote subsistence communities are limited due to low capacity, inadequate infrastructure, costly transportation of inputs, limited market access, and often obstructive operating environments (e.g., lack of government support).</w:t>
      </w:r>
      <w:r w:rsidR="0012199B">
        <w:t xml:space="preserve"> </w:t>
      </w:r>
      <w:r w:rsidRPr="00EA7FE2">
        <w:t xml:space="preserve">The inclusion of </w:t>
      </w:r>
      <w:proofErr w:type="spellStart"/>
      <w:r w:rsidRPr="00EA7FE2">
        <w:t>NbS</w:t>
      </w:r>
      <w:proofErr w:type="spellEnd"/>
      <w:r w:rsidRPr="00EA7FE2">
        <w:t xml:space="preserve"> introduces additional complexity to the decision-making process, as the rationale linking climate adaptation, ecosystem restoration/conservation, and tangible improvements in quality of life must guide the long-term sustainability of </w:t>
      </w:r>
      <w:proofErr w:type="spellStart"/>
      <w:r w:rsidRPr="00EA7FE2">
        <w:t>NbS</w:t>
      </w:r>
      <w:proofErr w:type="spellEnd"/>
      <w:r w:rsidRPr="00EA7FE2">
        <w:t xml:space="preserve"> initiatives, ensuring that livelihood interventions do not have adverse impacts on the climate or the environment. Moreover, the substantial constraints on livelihood options stem from the impacts of climate change such as </w:t>
      </w:r>
      <w:r w:rsidR="006551F0">
        <w:t>sea level</w:t>
      </w:r>
      <w:r w:rsidRPr="00EA7FE2">
        <w:t xml:space="preserve"> rise, erosion, fish depletion, changed rain patterns, and more. It is surprising that under these challenging circumstances, only few projects have done an expert analysis of options and limitations for livelihoods improvements.</w:t>
      </w:r>
    </w:p>
    <w:p w14:paraId="38E8C36D" w14:textId="74A3C5E6" w:rsidR="00F0535E" w:rsidRDefault="00EA7FE2" w:rsidP="00F0535E">
      <w:r w:rsidRPr="00C215E4">
        <w:rPr>
          <w:b/>
          <w:color w:val="1D336D" w:themeColor="background2"/>
        </w:rPr>
        <w:t>The more promising projects were established as pilot initiatives with the aim of testing and refining approaches</w:t>
      </w:r>
      <w:r w:rsidRPr="00EA7FE2">
        <w:t xml:space="preserve">. Continuous trials and improvements are essential to maximise the impact of interventions and to align the various incentives. However, it should be noted that not all projects were set up as </w:t>
      </w:r>
      <w:r w:rsidR="00B91C9F">
        <w:t>pilot initiatives.</w:t>
      </w:r>
    </w:p>
    <w:p w14:paraId="4304AA13" w14:textId="6343BE4F" w:rsidR="00EA7FE2" w:rsidRPr="00F0535E" w:rsidRDefault="00EA7FE2" w:rsidP="00F0535E">
      <w:pPr>
        <w:pStyle w:val="Heading2"/>
        <w:rPr>
          <w:color w:val="1D336D" w:themeColor="background2"/>
        </w:rPr>
      </w:pPr>
      <w:bookmarkStart w:id="42" w:name="_Toc164783058"/>
      <w:r w:rsidRPr="00F0535E">
        <w:rPr>
          <w:color w:val="1D336D" w:themeColor="background2"/>
        </w:rPr>
        <w:t>Relevant scale</w:t>
      </w:r>
      <w:bookmarkEnd w:id="42"/>
      <w:r w:rsidRPr="00F0535E">
        <w:rPr>
          <w:color w:val="1D336D" w:themeColor="background2"/>
        </w:rPr>
        <w:t xml:space="preserve"> </w:t>
      </w:r>
    </w:p>
    <w:p w14:paraId="24FD66F5" w14:textId="77777777" w:rsidR="00EA7FE2" w:rsidRPr="00C215E4" w:rsidRDefault="00EA7FE2" w:rsidP="00B814D2">
      <w:pPr>
        <w:rPr>
          <w:b/>
          <w:color w:val="1D336D" w:themeColor="background2"/>
        </w:rPr>
      </w:pPr>
      <w:r w:rsidRPr="00C215E4">
        <w:rPr>
          <w:b/>
          <w:color w:val="1D336D" w:themeColor="background2"/>
        </w:rPr>
        <w:t>While all projects are currently in the pilot phase, not all projects are actively using this period to assess their viability and develop plans for a wider project rollout.</w:t>
      </w:r>
    </w:p>
    <w:p w14:paraId="2863867E" w14:textId="088A401A" w:rsidR="00EA7FE2" w:rsidRPr="00EA7FE2" w:rsidRDefault="00EA7FE2" w:rsidP="00B814D2">
      <w:r w:rsidRPr="00C215E4">
        <w:rPr>
          <w:b/>
          <w:color w:val="1D336D" w:themeColor="background2"/>
        </w:rPr>
        <w:t>Using competitive proposal selection processes has presented challenges in providing investment-level expertise for project designs</w:t>
      </w:r>
      <w:r w:rsidRPr="00EA7FE2">
        <w:t xml:space="preserve">. To be selected projects do their utmost to come across as feasible and with high chances of success. They will try to minimise the remaining challenges and the investment-level expertise might overlook the support a project might need to reach its fullest potential. In turn, this has made it more challenging to identify specific components that warrant further testing and to pinpoint areas where the </w:t>
      </w:r>
      <w:r w:rsidR="00025F60" w:rsidRPr="00EA7FE2">
        <w:t>implementing</w:t>
      </w:r>
      <w:r w:rsidRPr="00EA7FE2">
        <w:t xml:space="preserve"> agency lacks readily available expertise. In some cases, this may have even created </w:t>
      </w:r>
      <w:r w:rsidRPr="00EA7FE2">
        <w:lastRenderedPageBreak/>
        <w:t>barriers for implementing agencies to seek expertise from the investment level. As a result, projects may not have sought the necessary expertise to adequately consider the scale or scope required to effectively address indicators related to biodiversity, conservation, or climate change.</w:t>
      </w:r>
    </w:p>
    <w:p w14:paraId="0D2B602D" w14:textId="56B77809" w:rsidR="00EA7FE2" w:rsidRPr="00EA7FE2" w:rsidRDefault="00EA7FE2" w:rsidP="00B814D2">
      <w:r w:rsidRPr="00EA7FE2">
        <w:t xml:space="preserve">The short implementation timeframes were not explicitly defined as pilot phases. While it can be effective to adopt a phased funding approach that encompasses piloting, rollout, and implementation, with each phase having specific performance criteria and stop-go processes, it is crucial for all parties involved to have a clear understanding of the purpose of each funding phase. In the context of pilot projects focused on proving an approach to </w:t>
      </w:r>
      <w:proofErr w:type="spellStart"/>
      <w:r w:rsidRPr="00EA7FE2">
        <w:t>NbS</w:t>
      </w:r>
      <w:proofErr w:type="spellEnd"/>
      <w:r w:rsidRPr="00EA7FE2">
        <w:t xml:space="preserve">, the design should prioritise the testing of various alternatives on a limited scale, gradually refining the </w:t>
      </w:r>
      <w:proofErr w:type="spellStart"/>
      <w:r w:rsidRPr="00EA7FE2">
        <w:t>NbS</w:t>
      </w:r>
      <w:proofErr w:type="spellEnd"/>
      <w:r w:rsidRPr="00EA7FE2">
        <w:t xml:space="preserve"> concept until it is ready for wider implementation across the relevant area, such as a watershed, ridge to reef, or even at the national level. Although the ultimate impacts of the project will only be achieved when it is rolled out, it is essential that during the pilot phase, targets for the three </w:t>
      </w:r>
      <w:proofErr w:type="spellStart"/>
      <w:r w:rsidRPr="00EA7FE2">
        <w:t>NbS</w:t>
      </w:r>
      <w:proofErr w:type="spellEnd"/>
      <w:r w:rsidRPr="00EA7FE2">
        <w:t xml:space="preserve"> components (</w:t>
      </w:r>
      <w:r w:rsidR="005B0BC3">
        <w:t>biodiversity, livelihoods</w:t>
      </w:r>
      <w:r w:rsidRPr="00EA7FE2">
        <w:t xml:space="preserve"> and climate) are established, along with the methodologies and baselines for their measurement. The ad-hoc funding arrangements prevented robust longer-term planning by the partners, WWF, and DFAT, and as a result the concept of piloting was not applied by all projects in the investment. Some projects assumed that deploying </w:t>
      </w:r>
      <w:proofErr w:type="spellStart"/>
      <w:r w:rsidRPr="00EA7FE2">
        <w:t>NbS</w:t>
      </w:r>
      <w:proofErr w:type="spellEnd"/>
      <w:r w:rsidRPr="00EA7FE2">
        <w:t xml:space="preserve"> alone would suffice, without adequately preparing for the integration, measurement, and planning of all components, including ecological outcomes. Other projects consider the conclusion of the current short implementation period as the end of the project.  </w:t>
      </w:r>
    </w:p>
    <w:p w14:paraId="54154E00" w14:textId="77777777" w:rsidR="00EA7FE2" w:rsidRPr="00025F60" w:rsidRDefault="00EA7FE2" w:rsidP="00025F60">
      <w:pPr>
        <w:pStyle w:val="Heading2"/>
        <w:rPr>
          <w:color w:val="1D336D" w:themeColor="background2"/>
        </w:rPr>
      </w:pPr>
      <w:bookmarkStart w:id="43" w:name="_Toc164783059"/>
      <w:r w:rsidRPr="00025F60">
        <w:rPr>
          <w:color w:val="1D336D" w:themeColor="background2"/>
        </w:rPr>
        <w:t>Governance</w:t>
      </w:r>
      <w:bookmarkEnd w:id="43"/>
      <w:r w:rsidRPr="00025F60">
        <w:rPr>
          <w:color w:val="1D336D" w:themeColor="background2"/>
        </w:rPr>
        <w:t xml:space="preserve"> </w:t>
      </w:r>
    </w:p>
    <w:p w14:paraId="4B607A1E" w14:textId="60FF39C0" w:rsidR="00EA7FE2" w:rsidRPr="00EA7FE2" w:rsidRDefault="00EA7FE2" w:rsidP="00B814D2">
      <w:r w:rsidRPr="00EA7FE2">
        <w:t>This section will address three levels of governance relevant for this investment.</w:t>
      </w:r>
    </w:p>
    <w:p w14:paraId="4F39B261" w14:textId="77777777" w:rsidR="00EA7FE2" w:rsidRPr="00EA7FE2" w:rsidRDefault="00EA7FE2" w:rsidP="00025F60">
      <w:pPr>
        <w:pStyle w:val="Heading3"/>
      </w:pPr>
      <w:r w:rsidRPr="00EA7FE2">
        <w:t>Investment governance</w:t>
      </w:r>
    </w:p>
    <w:p w14:paraId="737D1923" w14:textId="77777777" w:rsidR="00EA7FE2" w:rsidRPr="00EA7FE2" w:rsidRDefault="00EA7FE2" w:rsidP="00B814D2">
      <w:r w:rsidRPr="00C215E4">
        <w:rPr>
          <w:b/>
          <w:color w:val="1D336D" w:themeColor="background2"/>
        </w:rPr>
        <w:t>At the investment level, governance structures were not optimal to provide a guiding framework and technical support for the projects</w:t>
      </w:r>
      <w:r w:rsidRPr="00EA7FE2">
        <w:t>. The presence of oversight structures, a guiding framework, appropriate project selection, contracting modalities, technical support, and harmonised progress monitoring all play a crucial role in enhancing both the efficiency and effectiveness of operations at the investment level.</w:t>
      </w:r>
    </w:p>
    <w:p w14:paraId="213A551E" w14:textId="72552D4E" w:rsidR="00EA7FE2" w:rsidRPr="00EA7FE2" w:rsidRDefault="00EA7FE2" w:rsidP="00B814D2">
      <w:r w:rsidRPr="00C215E4">
        <w:rPr>
          <w:b/>
          <w:color w:val="1D336D" w:themeColor="background2"/>
        </w:rPr>
        <w:t>The oversight and knowledge networks proposed in the investment design were not fully implemented</w:t>
      </w:r>
      <w:r w:rsidRPr="00EA7FE2">
        <w:t xml:space="preserve">. The investment design had intended to establish oversight and governance arrangements that were commensurate with the scale of the investment, with knowledge networks potentially involving posts, OTP, DISR, DAWE, and PM&amp;C. </w:t>
      </w:r>
      <w:r w:rsidR="0094177F">
        <w:t>T</w:t>
      </w:r>
      <w:r w:rsidRPr="00EA7FE2">
        <w:t xml:space="preserve">he design proposed active advocacy efforts to promote </w:t>
      </w:r>
      <w:proofErr w:type="spellStart"/>
      <w:r w:rsidR="0094177F">
        <w:t>NbS</w:t>
      </w:r>
      <w:proofErr w:type="spellEnd"/>
      <w:r w:rsidR="0094177F">
        <w:t xml:space="preserve"> concepts</w:t>
      </w:r>
      <w:r w:rsidRPr="00EA7FE2">
        <w:t>, foster the enabling policy frameworks that underpin their growth, and develop an outreach policy dialogue plan. These arrangements were intended to be established with the support of DFAT. However,</w:t>
      </w:r>
      <w:r w:rsidR="00C243FD">
        <w:t xml:space="preserve"> </w:t>
      </w:r>
      <w:r w:rsidRPr="00EA7FE2">
        <w:t>the COVID-19 pandemic presented obstacles to establishing and operationalising these structures.</w:t>
      </w:r>
    </w:p>
    <w:p w14:paraId="55E02E0C" w14:textId="352F4107" w:rsidR="00EA7FE2" w:rsidRPr="007A32DD" w:rsidRDefault="00EA7FE2" w:rsidP="00B814D2">
      <w:r w:rsidRPr="007A32DD">
        <w:rPr>
          <w:b/>
          <w:color w:val="1D336D" w:themeColor="background2"/>
        </w:rPr>
        <w:t xml:space="preserve">The selection of projects was informed by </w:t>
      </w:r>
      <w:r w:rsidR="28010942" w:rsidRPr="007A32DD">
        <w:rPr>
          <w:b/>
          <w:bCs/>
          <w:color w:val="1D336D" w:themeColor="background2"/>
        </w:rPr>
        <w:t>WWF</w:t>
      </w:r>
      <w:r w:rsidR="00542D90" w:rsidRPr="007A32DD">
        <w:rPr>
          <w:b/>
          <w:bCs/>
          <w:color w:val="1D336D" w:themeColor="background2"/>
        </w:rPr>
        <w:t>’s</w:t>
      </w:r>
      <w:r w:rsidR="28010942" w:rsidRPr="007A32DD">
        <w:rPr>
          <w:b/>
          <w:bCs/>
          <w:color w:val="1D336D" w:themeColor="background2"/>
        </w:rPr>
        <w:t xml:space="preserve"> </w:t>
      </w:r>
      <w:r w:rsidR="00A91037" w:rsidRPr="007A32DD">
        <w:rPr>
          <w:b/>
          <w:bCs/>
          <w:color w:val="1D336D" w:themeColor="background2"/>
        </w:rPr>
        <w:t xml:space="preserve">own </w:t>
      </w:r>
      <w:r w:rsidRPr="007A32DD">
        <w:rPr>
          <w:b/>
          <w:color w:val="1D336D" w:themeColor="background2"/>
        </w:rPr>
        <w:t>definition</w:t>
      </w:r>
      <w:r w:rsidR="00A91037" w:rsidRPr="007A32DD">
        <w:rPr>
          <w:b/>
          <w:color w:val="1D336D" w:themeColor="background2"/>
        </w:rPr>
        <w:t xml:space="preserve"> </w:t>
      </w:r>
      <w:r w:rsidR="00542D90" w:rsidRPr="007A32DD">
        <w:rPr>
          <w:b/>
          <w:color w:val="1D336D" w:themeColor="background2"/>
        </w:rPr>
        <w:t xml:space="preserve">of </w:t>
      </w:r>
      <w:proofErr w:type="spellStart"/>
      <w:r w:rsidR="00542D90" w:rsidRPr="007A32DD">
        <w:rPr>
          <w:b/>
          <w:color w:val="1D336D" w:themeColor="background2"/>
        </w:rPr>
        <w:t>NbS</w:t>
      </w:r>
      <w:proofErr w:type="spellEnd"/>
      <w:r w:rsidR="00A91037" w:rsidRPr="007A32DD">
        <w:rPr>
          <w:b/>
          <w:color w:val="1D336D" w:themeColor="background2"/>
        </w:rPr>
        <w:t>.</w:t>
      </w:r>
      <w:r w:rsidR="00A91037" w:rsidRPr="007A32DD">
        <w:rPr>
          <w:rStyle w:val="FootnoteReference"/>
          <w:b/>
          <w:color w:val="1D336D" w:themeColor="background2"/>
        </w:rPr>
        <w:footnoteReference w:id="23"/>
      </w:r>
      <w:r w:rsidRPr="007A32DD">
        <w:rPr>
          <w:b/>
          <w:color w:val="1D336D" w:themeColor="background2"/>
        </w:rPr>
        <w:t xml:space="preserve"> </w:t>
      </w:r>
      <w:r w:rsidR="00A91037" w:rsidRPr="007A32DD">
        <w:rPr>
          <w:b/>
          <w:color w:val="1D336D" w:themeColor="background2"/>
        </w:rPr>
        <w:t xml:space="preserve">However, </w:t>
      </w:r>
      <w:r w:rsidRPr="007A32DD">
        <w:rPr>
          <w:b/>
          <w:color w:val="1D336D" w:themeColor="background2"/>
        </w:rPr>
        <w:t xml:space="preserve"> further guidance is required for projects to effectively operationalise this definition</w:t>
      </w:r>
      <w:r w:rsidRPr="007A32DD">
        <w:t xml:space="preserve">. A key responsibility of the investment level governance is to provide support to projects through the provision of guidance, frameworks, and technical expertise. The definition and investment </w:t>
      </w:r>
      <w:r w:rsidRPr="004D6094">
        <w:t xml:space="preserve">outcomes mention ecosystem conservation </w:t>
      </w:r>
      <w:r w:rsidR="00BB6414" w:rsidRPr="007A32DD">
        <w:t>and</w:t>
      </w:r>
      <w:r w:rsidRPr="007A32DD">
        <w:t>/</w:t>
      </w:r>
      <w:r w:rsidR="00BB6414" w:rsidRPr="007A32DD">
        <w:t>or</w:t>
      </w:r>
      <w:r w:rsidRPr="007A32DD">
        <w:t xml:space="preserve"> </w:t>
      </w:r>
      <w:r w:rsidRPr="004D6094">
        <w:t>restoration; measurable, positive climate adaptation and/or mitigation benefits; human development and biodiversity co- benefits; managing climate risks to nature that can undermine their long-term effectiveness; building community resilience; and the establishment of diversified livelihood opportunities. A detailed definition of these concepts including a measurement methodology could have provided essential guidance to the projects. Regular measurement of all projects using similar methods could generate lessons to improve effectiveness and efficiency.</w:t>
      </w:r>
    </w:p>
    <w:p w14:paraId="7D18DCE7" w14:textId="52F9BD3E" w:rsidR="00EA7FE2" w:rsidRPr="00EA7FE2" w:rsidRDefault="00EA7FE2" w:rsidP="00B814D2">
      <w:r w:rsidRPr="003346D7">
        <w:rPr>
          <w:b/>
          <w:color w:val="1D336D" w:themeColor="background2"/>
        </w:rPr>
        <w:lastRenderedPageBreak/>
        <w:t>Expanding existing successful activities appears to be more effective than identifying new initiatives through a competitive mechanism such as the Challenge Fund</w:t>
      </w:r>
      <w:r w:rsidRPr="00EA7FE2">
        <w:t xml:space="preserve">. The governance rules for project selection allowed two channels: ongoing projects demonstrating promise in </w:t>
      </w:r>
      <w:proofErr w:type="spellStart"/>
      <w:r w:rsidRPr="00EA7FE2">
        <w:t>NbS</w:t>
      </w:r>
      <w:proofErr w:type="spellEnd"/>
      <w:r w:rsidRPr="00EA7FE2">
        <w:t xml:space="preserve">, as well as new projects selected through a competitive proposal process. At this early stage it seems that improving existing projects is a more effective way of building a </w:t>
      </w:r>
      <w:proofErr w:type="spellStart"/>
      <w:r w:rsidRPr="00EA7FE2">
        <w:t>NbS</w:t>
      </w:r>
      <w:proofErr w:type="spellEnd"/>
      <w:r w:rsidRPr="00EA7FE2">
        <w:t xml:space="preserve"> portfolio. This investment provides a valuable opportunity to test whether competition is an effective driver of innovation in capacity scarce operating environments.</w:t>
      </w:r>
      <w:r w:rsidR="00FF330E">
        <w:t xml:space="preserve"> </w:t>
      </w:r>
      <w:r w:rsidRPr="00EA7FE2">
        <w:t>Additionally, it is worthwhile to explore whether the competitive selection process has posed challenges for implementing agencies in acknowledging the need for further testing and expert input in their pilot</w:t>
      </w:r>
      <w:r w:rsidR="004D3B75">
        <w:t xml:space="preserve"> a</w:t>
      </w:r>
      <w:r w:rsidRPr="00EA7FE2">
        <w:t>pproaches.</w:t>
      </w:r>
    </w:p>
    <w:p w14:paraId="3DDF83D4" w14:textId="7876C418" w:rsidR="00EA7FE2" w:rsidRPr="00EA7FE2" w:rsidRDefault="00EA7FE2" w:rsidP="00B814D2">
      <w:r w:rsidRPr="003346D7">
        <w:rPr>
          <w:b/>
          <w:color w:val="1D336D" w:themeColor="background2"/>
        </w:rPr>
        <w:t>The focus on ANCP-accredited Australian NGOs has effectively mitigated fiduciary risks, although it may have inadvertently contributed to several layers of sub-contracting, resulting in weaker communication lines</w:t>
      </w:r>
      <w:r w:rsidRPr="00EA7FE2">
        <w:t xml:space="preserve">. Most accredited Australian NGOs have limited experience with </w:t>
      </w:r>
      <w:proofErr w:type="spellStart"/>
      <w:r w:rsidRPr="00EA7FE2">
        <w:t>NbS</w:t>
      </w:r>
      <w:proofErr w:type="spellEnd"/>
      <w:r w:rsidRPr="00EA7FE2">
        <w:t xml:space="preserve"> and therefore sought to partner with NGOs or CSOs that have a credible track</w:t>
      </w:r>
      <w:r w:rsidR="007541B2">
        <w:t xml:space="preserve"> </w:t>
      </w:r>
      <w:r w:rsidRPr="00EA7FE2">
        <w:t xml:space="preserve">record in ecosystem conservation and restoration. Consequently, lengthy chains of contracting have emerged, wherein Australian NGOs typically subcontract their affiliated sister NGO in the target country, which in turn engages a local CSO or NGO responsible for on-the-ground implementation. The presence of these multi-layered communication channels, involving actors with limited </w:t>
      </w:r>
      <w:proofErr w:type="spellStart"/>
      <w:r w:rsidRPr="00EA7FE2">
        <w:t>NbS</w:t>
      </w:r>
      <w:proofErr w:type="spellEnd"/>
      <w:r w:rsidRPr="00EA7FE2">
        <w:t xml:space="preserve"> expertise, has posed challenges in developing a comprehensive understanding of project progress and requirements at the investment level. Similarly, it has proven problematic in delivering appropriate responses in terms of technical expertise or diplomatic support from DFAT (desk and post).</w:t>
      </w:r>
    </w:p>
    <w:p w14:paraId="42D123DF" w14:textId="5F024805" w:rsidR="00EA7FE2" w:rsidRPr="00EA7FE2" w:rsidRDefault="00EA7FE2" w:rsidP="0073735F">
      <w:r w:rsidRPr="00CE55F4">
        <w:rPr>
          <w:b/>
          <w:color w:val="1D336D" w:themeColor="background2"/>
        </w:rPr>
        <w:t xml:space="preserve">The technical support function is essential and there is a real need for additional </w:t>
      </w:r>
      <w:r w:rsidR="002F16FF" w:rsidRPr="00CE55F4">
        <w:rPr>
          <w:b/>
          <w:color w:val="1D336D" w:themeColor="background2"/>
        </w:rPr>
        <w:t xml:space="preserve">expert </w:t>
      </w:r>
      <w:r w:rsidRPr="00CE55F4">
        <w:rPr>
          <w:b/>
          <w:color w:val="1D336D" w:themeColor="background2"/>
        </w:rPr>
        <w:t>inputs</w:t>
      </w:r>
      <w:r w:rsidRPr="00CE55F4">
        <w:t xml:space="preserve">. One of the criteria </w:t>
      </w:r>
      <w:r w:rsidR="007A32DD" w:rsidRPr="00CE55F4">
        <w:t>supporting</w:t>
      </w:r>
      <w:r w:rsidRPr="00CE55F4">
        <w:t xml:space="preserve"> the selection of WWF</w:t>
      </w:r>
      <w:r w:rsidR="007541B2" w:rsidRPr="00CE55F4">
        <w:t>-</w:t>
      </w:r>
      <w:r w:rsidRPr="00CE55F4">
        <w:t xml:space="preserve">Australia as the investment management agency was </w:t>
      </w:r>
      <w:r w:rsidR="00270FFE" w:rsidRPr="00CE55F4">
        <w:t>their</w:t>
      </w:r>
      <w:r w:rsidRPr="00CE55F4">
        <w:t xml:space="preserve"> ready access to global expertise</w:t>
      </w:r>
      <w:r w:rsidRPr="00016B88">
        <w:t>.</w:t>
      </w:r>
      <w:r w:rsidRPr="00EA7FE2">
        <w:t xml:space="preserve"> </w:t>
      </w:r>
      <w:r w:rsidR="003B71B1" w:rsidRPr="00CE55F4">
        <w:t>While some projects have drawn on this technical expertise during their pilot phase, other stakeholders have indicated that high quality technical expertise was challenging to find, and that it would be useful to have additional support to identify this expertise.</w:t>
      </w:r>
    </w:p>
    <w:p w14:paraId="6C5A0344" w14:textId="77777777" w:rsidR="00EA7FE2" w:rsidRPr="00EA7FE2" w:rsidRDefault="00EA7FE2" w:rsidP="00B814D2">
      <w:r w:rsidRPr="00C215E4">
        <w:rPr>
          <w:b/>
          <w:color w:val="1D336D" w:themeColor="background2"/>
        </w:rPr>
        <w:t>The inclusion of the Knowledge Hub in the design resulted in the sharing of experience and expertise as well as some commendable learning products</w:t>
      </w:r>
      <w:r w:rsidRPr="00EA7FE2">
        <w:t>. However, the knowledge generated through the Hub was not always translated back to practical actions at the project level. For example, despite the informative reports on carbon credits and markets, several projects struggled to understand whether their projects could generate income from carbon credits. The format of the new knowledge products (e.g. Blue Food Systems) may facilitate this translation to successful implementation.</w:t>
      </w:r>
    </w:p>
    <w:p w14:paraId="543C3F10" w14:textId="77777777" w:rsidR="00EA7FE2" w:rsidRPr="00EA7FE2" w:rsidRDefault="00EA7FE2" w:rsidP="00BE7D53">
      <w:pPr>
        <w:pStyle w:val="Heading3"/>
      </w:pPr>
      <w:r w:rsidRPr="00EA7FE2">
        <w:t>Project governance</w:t>
      </w:r>
    </w:p>
    <w:p w14:paraId="264C304A" w14:textId="278C4CFE" w:rsidR="00EA7FE2" w:rsidRPr="00EA7FE2" w:rsidRDefault="00EA7FE2" w:rsidP="00B814D2">
      <w:r w:rsidRPr="00C215E4">
        <w:rPr>
          <w:b/>
          <w:color w:val="1D336D" w:themeColor="background2"/>
        </w:rPr>
        <w:t>Localisation agenda is shifting the ownership and control over governance structures to local decision-makers</w:t>
      </w:r>
      <w:r w:rsidRPr="00EA7FE2">
        <w:t xml:space="preserve">. All projects demonstrate an understanding of the importance of shifting the focus, control, and implementation of aid programs from external entities to </w:t>
      </w:r>
      <w:r w:rsidR="00303D45" w:rsidRPr="00EA7FE2">
        <w:t>locally owned</w:t>
      </w:r>
      <w:r w:rsidRPr="00EA7FE2">
        <w:t xml:space="preserve"> and led actors, communities, and institutions. Not all projects have shifted control to the same extent. Some projects are only shifting responsibility for implementation to a local iteration of the Australian NGO that was contract</w:t>
      </w:r>
      <w:r w:rsidR="007541B2">
        <w:t>ed</w:t>
      </w:r>
      <w:r w:rsidRPr="00EA7FE2">
        <w:t xml:space="preserve"> under this investment. At the other end, there are organisations established and governed by the affected community itself.</w:t>
      </w:r>
    </w:p>
    <w:p w14:paraId="67A7E741" w14:textId="77777777" w:rsidR="0094177F" w:rsidRDefault="0094177F">
      <w:pPr>
        <w:spacing w:after="0" w:line="240" w:lineRule="auto"/>
        <w:rPr>
          <w:b/>
          <w:iCs/>
          <w:color w:val="1D336D" w:themeColor="background2"/>
          <w:sz w:val="24"/>
          <w:szCs w:val="26"/>
        </w:rPr>
      </w:pPr>
      <w:r>
        <w:br w:type="page"/>
      </w:r>
    </w:p>
    <w:p w14:paraId="53E55ACD" w14:textId="40B12A13" w:rsidR="00EA7FE2" w:rsidRPr="00EA7FE2" w:rsidRDefault="00EA7FE2" w:rsidP="00BE7D53">
      <w:pPr>
        <w:pStyle w:val="Heading3"/>
      </w:pPr>
      <w:r w:rsidRPr="00EA7FE2">
        <w:lastRenderedPageBreak/>
        <w:t xml:space="preserve">Long-term </w:t>
      </w:r>
      <w:proofErr w:type="spellStart"/>
      <w:r w:rsidRPr="00EA7FE2">
        <w:t>NbS</w:t>
      </w:r>
      <w:proofErr w:type="spellEnd"/>
      <w:r w:rsidRPr="00EA7FE2">
        <w:t xml:space="preserve"> governance</w:t>
      </w:r>
    </w:p>
    <w:p w14:paraId="6C857E1C" w14:textId="4C50472C" w:rsidR="00EA7FE2" w:rsidRPr="00EA7FE2" w:rsidRDefault="00EA7FE2" w:rsidP="00B814D2">
      <w:r w:rsidRPr="003346D7">
        <w:rPr>
          <w:b/>
          <w:color w:val="1D336D" w:themeColor="background2"/>
        </w:rPr>
        <w:t xml:space="preserve">The investment is generating some very interesting and promising trials for the long-term governance of </w:t>
      </w:r>
      <w:proofErr w:type="spellStart"/>
      <w:r w:rsidRPr="003346D7">
        <w:rPr>
          <w:b/>
          <w:color w:val="1D336D" w:themeColor="background2"/>
        </w:rPr>
        <w:t>NbS</w:t>
      </w:r>
      <w:proofErr w:type="spellEnd"/>
      <w:r w:rsidRPr="003346D7">
        <w:rPr>
          <w:b/>
          <w:color w:val="1D336D" w:themeColor="background2"/>
        </w:rPr>
        <w:t xml:space="preserve"> projects</w:t>
      </w:r>
      <w:r w:rsidRPr="00EA7FE2">
        <w:t xml:space="preserve">. In the longer term, </w:t>
      </w:r>
      <w:proofErr w:type="spellStart"/>
      <w:r w:rsidRPr="00EA7FE2">
        <w:t>NbS</w:t>
      </w:r>
      <w:proofErr w:type="spellEnd"/>
      <w:r w:rsidRPr="00EA7FE2">
        <w:t xml:space="preserve"> projects operate through independent governance structures with fair representation of all stakeholders that continue to operate after the donor funding has ended. The current </w:t>
      </w:r>
      <w:proofErr w:type="spellStart"/>
      <w:r w:rsidRPr="00EA7FE2">
        <w:t>CRxN</w:t>
      </w:r>
      <w:proofErr w:type="spellEnd"/>
      <w:r w:rsidRPr="00EA7FE2">
        <w:t xml:space="preserve"> projects are testing a range of options, all of which require additional evaluation</w:t>
      </w:r>
      <w:r w:rsidR="00BE7D53">
        <w:t xml:space="preserve"> </w:t>
      </w:r>
      <w:r w:rsidRPr="00EA7FE2">
        <w:t>and necessitate medium-term capacity strengthening. This includes bolstering the ability to monitor safeguards, implementing grievance mechanisms, and establishing systems to facilitate negotiations and compromises among stakeholders.</w:t>
      </w:r>
    </w:p>
    <w:p w14:paraId="5843D6A8" w14:textId="74068FA4" w:rsidR="00EA7FE2" w:rsidRPr="00EA7FE2" w:rsidRDefault="00EA7FE2" w:rsidP="00B814D2">
      <w:r w:rsidRPr="003346D7">
        <w:rPr>
          <w:b/>
          <w:color w:val="1D336D" w:themeColor="background2"/>
        </w:rPr>
        <w:t>The investment is currently exploring a range of long-term governance structures that involve national government departments, private sector stakeholders, CSOs, and the possibility of maintaining existing governance structures</w:t>
      </w:r>
      <w:r w:rsidRPr="003346D7">
        <w:rPr>
          <w:color w:val="1D336D" w:themeColor="background2"/>
        </w:rPr>
        <w:t>.</w:t>
      </w:r>
      <w:r w:rsidRPr="00EA7FE2">
        <w:t xml:space="preserve"> </w:t>
      </w:r>
      <w:r w:rsidR="0094177F" w:rsidRPr="00EA7FE2">
        <w:t xml:space="preserve">All of these approaches present potentially viable options for the long-term governance of </w:t>
      </w:r>
      <w:proofErr w:type="spellStart"/>
      <w:r w:rsidR="0094177F" w:rsidRPr="00EA7FE2">
        <w:t>NbS</w:t>
      </w:r>
      <w:proofErr w:type="spellEnd"/>
      <w:r w:rsidR="0094177F" w:rsidRPr="00EA7FE2">
        <w:t xml:space="preserve"> initiatives. Further testing and assessment of these structures can yield valuable insights that contribute to the potential scale-up and future implementation of </w:t>
      </w:r>
      <w:proofErr w:type="spellStart"/>
      <w:r w:rsidR="0094177F" w:rsidRPr="00EA7FE2">
        <w:t>NbS</w:t>
      </w:r>
      <w:proofErr w:type="spellEnd"/>
      <w:r w:rsidR="0094177F" w:rsidRPr="00EA7FE2">
        <w:t xml:space="preserve"> projects.</w:t>
      </w:r>
    </w:p>
    <w:p w14:paraId="3D8EC6D2" w14:textId="77777777" w:rsidR="00EA7FE2" w:rsidRPr="00EA7FE2" w:rsidRDefault="00EA7FE2" w:rsidP="00B814D2">
      <w:r w:rsidRPr="00EA7FE2">
        <w:t xml:space="preserve">Some projects are operating in close collaboration with government departments that have expressed an interest and have the capacity to take on the rollout of the </w:t>
      </w:r>
      <w:proofErr w:type="spellStart"/>
      <w:r w:rsidRPr="00EA7FE2">
        <w:t>NbS</w:t>
      </w:r>
      <w:proofErr w:type="spellEnd"/>
      <w:r w:rsidRPr="00EA7FE2">
        <w:t xml:space="preserve"> approach. Conversely, it is important to note instances where the government is expected to assume responsibility for the initiative but lacks both the interest and the capacity to do so.</w:t>
      </w:r>
    </w:p>
    <w:p w14:paraId="296E2D53" w14:textId="77777777" w:rsidR="00EA7FE2" w:rsidRPr="00EA7FE2" w:rsidRDefault="00EA7FE2" w:rsidP="00B814D2">
      <w:r w:rsidRPr="00EA7FE2">
        <w:t xml:space="preserve">Community owned enterprises are also being tested as the long-term vehicle to implement </w:t>
      </w:r>
      <w:proofErr w:type="spellStart"/>
      <w:r w:rsidRPr="00EA7FE2">
        <w:t>NbS</w:t>
      </w:r>
      <w:proofErr w:type="spellEnd"/>
      <w:r w:rsidRPr="00EA7FE2">
        <w:t xml:space="preserve"> initiatives. Additionally, several projects are establishing CSO structures at the community level, incorporating equitable decision-making mechanisms, and establishing linkages with regional frameworks that can facilitate fund allocation and/or coordinate activities with government departments.</w:t>
      </w:r>
    </w:p>
    <w:p w14:paraId="0B4592FE" w14:textId="478D3BDB" w:rsidR="00EA7FE2" w:rsidRDefault="6E17EF65" w:rsidP="2E3E1B72">
      <w:r>
        <w:t>Some projects do not need additional governance structures, given that the current implementing agency is locally embedded, has a long-term commitment to the target communities, and will remain on the ground for the foreseeable future.</w:t>
      </w:r>
    </w:p>
    <w:p w14:paraId="72CEA15A" w14:textId="77777777" w:rsidR="00EA7FE2" w:rsidRPr="003F3333" w:rsidRDefault="00EA7FE2" w:rsidP="003F3333">
      <w:pPr>
        <w:pStyle w:val="Heading2"/>
        <w:rPr>
          <w:color w:val="1D336D" w:themeColor="background2"/>
        </w:rPr>
      </w:pPr>
      <w:bookmarkStart w:id="44" w:name="_Toc164783060"/>
      <w:r w:rsidRPr="003F3333">
        <w:rPr>
          <w:color w:val="1D336D" w:themeColor="background2"/>
        </w:rPr>
        <w:t>Gender equality, disability and social inclusion</w:t>
      </w:r>
      <w:bookmarkEnd w:id="44"/>
      <w:r w:rsidRPr="003F3333">
        <w:rPr>
          <w:color w:val="1D336D" w:themeColor="background2"/>
        </w:rPr>
        <w:t xml:space="preserve"> </w:t>
      </w:r>
    </w:p>
    <w:p w14:paraId="7C10DE05" w14:textId="45B640CD" w:rsidR="00EA7FE2" w:rsidRPr="00EA7FE2" w:rsidRDefault="00EA7FE2" w:rsidP="00B814D2">
      <w:r w:rsidRPr="003346D7">
        <w:rPr>
          <w:b/>
          <w:color w:val="1D336D" w:themeColor="background2"/>
        </w:rPr>
        <w:t>GEDSI is addressed but there is room to achieve more transformative outcomes</w:t>
      </w:r>
      <w:r w:rsidRPr="003346D7">
        <w:rPr>
          <w:color w:val="1D336D" w:themeColor="background2"/>
        </w:rPr>
        <w:t xml:space="preserve">. </w:t>
      </w:r>
      <w:r w:rsidRPr="00EA7FE2">
        <w:t>Most projects understand the importance of GEDSI and have ensured that women, youth, people with a disability are properly represented during consultations and decision making and have opportunities to participate in the implementation of the project.</w:t>
      </w:r>
    </w:p>
    <w:p w14:paraId="2E226E69" w14:textId="0C66F0D1" w:rsidR="00EA7FE2" w:rsidRPr="00EA7FE2" w:rsidRDefault="00EA7FE2" w:rsidP="00B814D2">
      <w:r w:rsidRPr="00424BFB">
        <w:rPr>
          <w:b/>
          <w:color w:val="1D336D" w:themeColor="background2"/>
        </w:rPr>
        <w:t>Projects that engaged GEDSI specialists have integrated activities to address underlying issues of structural equity and exclusion</w:t>
      </w:r>
      <w:r w:rsidRPr="00EA7FE2">
        <w:t xml:space="preserve">. The inclusion of GEDSI expertise within </w:t>
      </w:r>
      <w:proofErr w:type="spellStart"/>
      <w:r w:rsidRPr="00EA7FE2">
        <w:t>NbS</w:t>
      </w:r>
      <w:proofErr w:type="spellEnd"/>
      <w:r w:rsidRPr="00EA7FE2">
        <w:t xml:space="preserve"> initiatives holds particular significance due to the heightened vulnerability of women, persons with disabilities, and marginalised groups, who are frequently more reliant on their natural surroundings and disproportionately affected by the impacts of climate change. Given the inherent complexity involved in designing and effectively implementing </w:t>
      </w:r>
      <w:proofErr w:type="spellStart"/>
      <w:r w:rsidRPr="00EA7FE2">
        <w:t>NbS</w:t>
      </w:r>
      <w:proofErr w:type="spellEnd"/>
      <w:r w:rsidRPr="00EA7FE2">
        <w:t xml:space="preserve"> initiatives, GEDSI inputs should be provided concurrently with expertise in biodiversity, climate adaptation, and livelihoods to ensure a fully integrated program and avoid a tokenistic GEDSI add-on.</w:t>
      </w:r>
    </w:p>
    <w:p w14:paraId="79F29113" w14:textId="2F4E7B77" w:rsidR="00EA7FE2" w:rsidRPr="00EA7FE2" w:rsidRDefault="00EA7FE2" w:rsidP="00B814D2">
      <w:proofErr w:type="spellStart"/>
      <w:r w:rsidRPr="00424BFB">
        <w:rPr>
          <w:b/>
          <w:color w:val="1D336D" w:themeColor="background2"/>
        </w:rPr>
        <w:t>CRxN</w:t>
      </w:r>
      <w:proofErr w:type="spellEnd"/>
      <w:r w:rsidRPr="00424BFB">
        <w:rPr>
          <w:b/>
          <w:color w:val="1D336D" w:themeColor="background2"/>
        </w:rPr>
        <w:t xml:space="preserve"> includes some promising interventions that could be scaled up during a potential </w:t>
      </w:r>
      <w:proofErr w:type="spellStart"/>
      <w:r w:rsidRPr="00424BFB">
        <w:rPr>
          <w:b/>
          <w:color w:val="1D336D" w:themeColor="background2"/>
        </w:rPr>
        <w:t>NbS</w:t>
      </w:r>
      <w:proofErr w:type="spellEnd"/>
      <w:r w:rsidRPr="00424BFB">
        <w:rPr>
          <w:b/>
          <w:color w:val="1D336D" w:themeColor="background2"/>
        </w:rPr>
        <w:t xml:space="preserve"> rollout</w:t>
      </w:r>
      <w:r w:rsidRPr="00424BFB">
        <w:rPr>
          <w:color w:val="1D336D" w:themeColor="background2"/>
        </w:rPr>
        <w:t xml:space="preserve">. </w:t>
      </w:r>
      <w:r w:rsidRPr="00EA7FE2">
        <w:t xml:space="preserve">For instance, some projects have tested the introduction of by-laws </w:t>
      </w:r>
      <w:r w:rsidR="06942523">
        <w:t>to protect mangroves and community forests</w:t>
      </w:r>
      <w:r w:rsidR="271AC737">
        <w:t xml:space="preserve">. </w:t>
      </w:r>
      <w:r w:rsidR="6597B1A8">
        <w:t>The same system of</w:t>
      </w:r>
      <w:r w:rsidR="06942523">
        <w:t xml:space="preserve"> by-laws </w:t>
      </w:r>
      <w:r w:rsidR="271DB9E1">
        <w:t xml:space="preserve">has also been used </w:t>
      </w:r>
      <w:r>
        <w:t>t</w:t>
      </w:r>
      <w:r w:rsidR="278EA165">
        <w:t>o</w:t>
      </w:r>
      <w:r w:rsidR="4C4A2C79">
        <w:t xml:space="preserve"> </w:t>
      </w:r>
      <w:r w:rsidR="6EDCF622">
        <w:t>establish</w:t>
      </w:r>
      <w:r w:rsidRPr="00EA7FE2">
        <w:t xml:space="preserve"> rules to </w:t>
      </w:r>
      <w:r w:rsidR="5B8794C4">
        <w:t>prevent</w:t>
      </w:r>
      <w:r w:rsidR="5362575A">
        <w:t xml:space="preserve"> </w:t>
      </w:r>
      <w:r>
        <w:t>violence</w:t>
      </w:r>
      <w:r w:rsidRPr="00EA7FE2">
        <w:t xml:space="preserve"> against women and other expected behaviours that will improve GEDSI outcomes</w:t>
      </w:r>
      <w:r w:rsidR="1D9BCA85">
        <w:t xml:space="preserve"> throughout </w:t>
      </w:r>
      <w:proofErr w:type="spellStart"/>
      <w:r w:rsidR="1D9BCA85">
        <w:t>NbS</w:t>
      </w:r>
      <w:proofErr w:type="spellEnd"/>
      <w:r w:rsidR="1D9BCA85">
        <w:t xml:space="preserve"> interventions</w:t>
      </w:r>
      <w:r>
        <w:t>.</w:t>
      </w:r>
      <w:r w:rsidRPr="00EA7FE2">
        <w:t xml:space="preserve"> Other projects are addressing gendered workloads and women's participation in decision making at the household level by facilitating discussions and agreements between wife and husband. Another project is </w:t>
      </w:r>
      <w:r w:rsidR="507460BD">
        <w:t xml:space="preserve">challenging social norms </w:t>
      </w:r>
      <w:r w:rsidRPr="00EA7FE2">
        <w:t>that do not provide equal rights to men and women (e.g. speaking rights in community meetings or the right to be elected as village leader</w:t>
      </w:r>
      <w:r>
        <w:t>)</w:t>
      </w:r>
      <w:r w:rsidR="3A0B2CDC">
        <w:t>.</w:t>
      </w:r>
    </w:p>
    <w:p w14:paraId="0271044F" w14:textId="70E34F62" w:rsidR="00EA7FE2" w:rsidRPr="006E563F" w:rsidRDefault="006551F0" w:rsidP="006E563F">
      <w:pPr>
        <w:pStyle w:val="Heading2"/>
        <w:rPr>
          <w:color w:val="1D336D" w:themeColor="background2"/>
        </w:rPr>
      </w:pPr>
      <w:bookmarkStart w:id="45" w:name="_Toc164783061"/>
      <w:r>
        <w:rPr>
          <w:color w:val="1D336D" w:themeColor="background2"/>
        </w:rPr>
        <w:lastRenderedPageBreak/>
        <w:t>Indigenous</w:t>
      </w:r>
      <w:r w:rsidR="00EA7FE2" w:rsidRPr="006E563F">
        <w:rPr>
          <w:color w:val="1D336D" w:themeColor="background2"/>
        </w:rPr>
        <w:t xml:space="preserve"> Participation</w:t>
      </w:r>
      <w:bookmarkEnd w:id="45"/>
      <w:r w:rsidR="00EA7FE2" w:rsidRPr="006E563F">
        <w:rPr>
          <w:color w:val="1D336D" w:themeColor="background2"/>
        </w:rPr>
        <w:t xml:space="preserve"> </w:t>
      </w:r>
    </w:p>
    <w:p w14:paraId="3364C13C" w14:textId="1FFCF316" w:rsidR="0094177F" w:rsidRPr="00EA7FE2" w:rsidRDefault="00EA7FE2" w:rsidP="00B814D2">
      <w:r w:rsidRPr="003346D7">
        <w:rPr>
          <w:b/>
          <w:color w:val="1D336D" w:themeColor="background2"/>
        </w:rPr>
        <w:t xml:space="preserve">Most projects are meaningfully engaging with </w:t>
      </w:r>
      <w:r w:rsidR="006551F0">
        <w:rPr>
          <w:b/>
          <w:color w:val="1D336D" w:themeColor="background2"/>
        </w:rPr>
        <w:t>Indigenous</w:t>
      </w:r>
      <w:r w:rsidRPr="003346D7">
        <w:rPr>
          <w:b/>
          <w:color w:val="1D336D" w:themeColor="background2"/>
        </w:rPr>
        <w:t xml:space="preserve"> Communities and are building on Traditional Knowledge</w:t>
      </w:r>
      <w:r w:rsidRPr="00EA7FE2">
        <w:t xml:space="preserve">. Some projects are managed by local </w:t>
      </w:r>
      <w:r w:rsidR="006551F0">
        <w:t>Indigenous</w:t>
      </w:r>
      <w:r w:rsidRPr="00EA7FE2">
        <w:t xml:space="preserve"> communities and therefore, localised Traditional Knowledge and </w:t>
      </w:r>
      <w:r w:rsidR="006551F0">
        <w:t>Indigenous</w:t>
      </w:r>
      <w:r w:rsidRPr="00EA7FE2">
        <w:t xml:space="preserve"> ways of being (including protocols and governance structures) are embedded into project activities in a culturally sensitive manner. At the very minimum, all projects are working closely with </w:t>
      </w:r>
      <w:r w:rsidR="006551F0">
        <w:t>Indigenous</w:t>
      </w:r>
      <w:r w:rsidRPr="00EA7FE2">
        <w:t xml:space="preserve"> communities as their buy-in is recognised as essential to the success of the </w:t>
      </w:r>
      <w:proofErr w:type="spellStart"/>
      <w:r w:rsidRPr="00EA7FE2">
        <w:t>NbS</w:t>
      </w:r>
      <w:proofErr w:type="spellEnd"/>
      <w:r w:rsidRPr="00EA7FE2">
        <w:t>.</w:t>
      </w:r>
    </w:p>
    <w:p w14:paraId="6EF02D19" w14:textId="0BE6814B" w:rsidR="00EA7FE2" w:rsidRPr="00EA7FE2" w:rsidRDefault="00EA7FE2" w:rsidP="00B814D2">
      <w:r w:rsidRPr="003346D7">
        <w:rPr>
          <w:b/>
          <w:color w:val="1D336D" w:themeColor="background2"/>
        </w:rPr>
        <w:t xml:space="preserve">The investment facilitates the transfer of </w:t>
      </w:r>
      <w:r w:rsidR="006551F0">
        <w:rPr>
          <w:b/>
          <w:color w:val="1D336D" w:themeColor="background2"/>
        </w:rPr>
        <w:t>Indigenous</w:t>
      </w:r>
      <w:r w:rsidRPr="003346D7">
        <w:rPr>
          <w:b/>
          <w:color w:val="1D336D" w:themeColor="background2"/>
        </w:rPr>
        <w:t xml:space="preserve"> Knowledge through exchanges between First Nation</w:t>
      </w:r>
      <w:r w:rsidR="008E2C5C">
        <w:rPr>
          <w:b/>
          <w:color w:val="1D336D" w:themeColor="background2"/>
        </w:rPr>
        <w:t>s</w:t>
      </w:r>
      <w:r w:rsidRPr="003346D7">
        <w:rPr>
          <w:b/>
          <w:color w:val="1D336D" w:themeColor="background2"/>
        </w:rPr>
        <w:t xml:space="preserve"> communities in Australia and communities and government stakeholders in Timor-Leste</w:t>
      </w:r>
      <w:r w:rsidRPr="00EA7FE2">
        <w:t>. Notably, two Traditional Knowledge exchange trips have taken place, involving First Nations Australians visiting Timor-Leste, as well as representatives from the Government of Timor-Leste (</w:t>
      </w:r>
      <w:proofErr w:type="spellStart"/>
      <w:r w:rsidRPr="00EA7FE2">
        <w:t>GoTL</w:t>
      </w:r>
      <w:proofErr w:type="spellEnd"/>
      <w:r w:rsidRPr="00EA7FE2">
        <w:t>) and potential carbon farmers visiting Australia to explore strategies for supporting carbon market development. The project intends to facilitate future cross-cultural dialogues, allowing target communities to exchange experiences and knowledge with First Nations Australians specifically concerning carbon sequestration.</w:t>
      </w:r>
    </w:p>
    <w:p w14:paraId="669670D7" w14:textId="606444F9" w:rsidR="00EA7FE2" w:rsidRPr="00B82A5B" w:rsidRDefault="00EA7FE2" w:rsidP="00B814D2">
      <w:r w:rsidRPr="003346D7">
        <w:rPr>
          <w:b/>
          <w:color w:val="1D336D" w:themeColor="background2"/>
        </w:rPr>
        <w:t xml:space="preserve">The investment’s Nature-based Solutions for Forests and People project is demonstrating an exemplary commitment to </w:t>
      </w:r>
      <w:r w:rsidR="006551F0">
        <w:rPr>
          <w:b/>
          <w:color w:val="1D336D" w:themeColor="background2"/>
        </w:rPr>
        <w:t>Indigenous</w:t>
      </w:r>
      <w:r w:rsidRPr="003346D7">
        <w:rPr>
          <w:b/>
          <w:color w:val="1D336D" w:themeColor="background2"/>
        </w:rPr>
        <w:t xml:space="preserve"> communities and customary landowners</w:t>
      </w:r>
      <w:r w:rsidRPr="003346D7">
        <w:rPr>
          <w:color w:val="1D336D" w:themeColor="background2"/>
        </w:rPr>
        <w:t xml:space="preserve">. </w:t>
      </w:r>
      <w:r w:rsidRPr="00B82A5B">
        <w:t>This commitment is demonstrated through various means, including a benefit sharing approach that guarantees a minimum of 60% of carbon revenues are received by communities</w:t>
      </w:r>
      <w:r w:rsidR="2D7CF172">
        <w:t>, with the remain</w:t>
      </w:r>
      <w:r w:rsidR="36244224">
        <w:t>ing 40%</w:t>
      </w:r>
      <w:r w:rsidR="2D7CF172">
        <w:t xml:space="preserve"> covering </w:t>
      </w:r>
      <w:r w:rsidR="36035020">
        <w:t>the cost of implementation and verification of carbon credits</w:t>
      </w:r>
      <w:r w:rsidRPr="00B82A5B">
        <w:t xml:space="preserve">. The project also prioritises robust Free, Prior and Informed Consent (FPIC) processes; the integration of </w:t>
      </w:r>
      <w:r w:rsidR="006551F0">
        <w:t>Indigenous</w:t>
      </w:r>
      <w:r w:rsidRPr="00B82A5B">
        <w:t xml:space="preserve"> Knowledge and customary practices throughout project development (particularly concerning customary tabu areas in Land Use Planning and the establishment of Protected Area governance structures); and not proceeding in areas where land rights disputes have been identified as part of site screening processes.</w:t>
      </w:r>
    </w:p>
    <w:p w14:paraId="3473D534" w14:textId="77777777" w:rsidR="00EA7FE2" w:rsidRPr="00B82A5B" w:rsidRDefault="00EA7FE2" w:rsidP="0089377E">
      <w:pPr>
        <w:pStyle w:val="Heading2"/>
        <w:rPr>
          <w:color w:val="1D336D" w:themeColor="background2"/>
        </w:rPr>
      </w:pPr>
      <w:bookmarkStart w:id="46" w:name="_Toc164783062"/>
      <w:r w:rsidRPr="00B82A5B">
        <w:rPr>
          <w:color w:val="1D336D" w:themeColor="background2"/>
        </w:rPr>
        <w:t>Safeguards</w:t>
      </w:r>
      <w:bookmarkEnd w:id="46"/>
      <w:r w:rsidRPr="00B82A5B">
        <w:rPr>
          <w:color w:val="1D336D" w:themeColor="background2"/>
        </w:rPr>
        <w:t xml:space="preserve"> </w:t>
      </w:r>
    </w:p>
    <w:p w14:paraId="5AC6F159" w14:textId="1C194890" w:rsidR="00EA7FE2" w:rsidRDefault="00EA7FE2" w:rsidP="00B814D2">
      <w:r w:rsidRPr="00B82A5B">
        <w:t xml:space="preserve">Most projects have the contractual safeguards for child protection in place but additional support from the investment level is required to ensure that all projects also apply environmental, climate, GEDSI, and </w:t>
      </w:r>
      <w:r w:rsidR="006551F0">
        <w:t>Indigenous</w:t>
      </w:r>
      <w:r w:rsidRPr="00B82A5B">
        <w:t xml:space="preserve"> safeguards. Even when these safeguards are applied, the administrative processes to properly collect and record decisions might not be in place. These safeguard mechanisms need to be passed on from the project level to the long-term governance structures that will be managing the </w:t>
      </w:r>
      <w:proofErr w:type="spellStart"/>
      <w:r w:rsidRPr="00B82A5B">
        <w:t>NbS</w:t>
      </w:r>
      <w:proofErr w:type="spellEnd"/>
      <w:r w:rsidRPr="00B82A5B">
        <w:t xml:space="preserve"> when project funding has ended.</w:t>
      </w:r>
    </w:p>
    <w:p w14:paraId="5B7C9A79" w14:textId="77777777" w:rsidR="00D42675" w:rsidRDefault="00D42675">
      <w:pPr>
        <w:spacing w:after="0" w:line="240" w:lineRule="auto"/>
        <w:rPr>
          <w:b/>
          <w:iCs/>
          <w:color w:val="1D336D" w:themeColor="background2"/>
          <w:sz w:val="22"/>
          <w:szCs w:val="18"/>
        </w:rPr>
      </w:pPr>
      <w:r>
        <w:rPr>
          <w:color w:val="1D336D" w:themeColor="background2"/>
        </w:rPr>
        <w:br w:type="page"/>
      </w:r>
    </w:p>
    <w:p w14:paraId="0EB65DDB" w14:textId="42DF1DF2" w:rsidR="0089377E" w:rsidRPr="00533D35" w:rsidRDefault="0089377E" w:rsidP="0089377E">
      <w:pPr>
        <w:pStyle w:val="Caption"/>
        <w:keepNext/>
        <w:rPr>
          <w:color w:val="1D336D" w:themeColor="background2"/>
        </w:rPr>
      </w:pPr>
      <w:r w:rsidRPr="00533D35">
        <w:rPr>
          <w:color w:val="1D336D" w:themeColor="background2"/>
        </w:rPr>
        <w:lastRenderedPageBreak/>
        <w:t xml:space="preserve">Table </w:t>
      </w:r>
      <w:r w:rsidRPr="00533D35">
        <w:rPr>
          <w:color w:val="1D336D" w:themeColor="background2"/>
        </w:rPr>
        <w:fldChar w:fldCharType="begin"/>
      </w:r>
      <w:r w:rsidRPr="00533D35">
        <w:rPr>
          <w:color w:val="1D336D" w:themeColor="background2"/>
        </w:rPr>
        <w:instrText xml:space="preserve"> SEQ Table \* ARABIC </w:instrText>
      </w:r>
      <w:r w:rsidRPr="00533D35">
        <w:rPr>
          <w:color w:val="1D336D" w:themeColor="background2"/>
        </w:rPr>
        <w:fldChar w:fldCharType="separate"/>
      </w:r>
      <w:r w:rsidR="003103FE">
        <w:rPr>
          <w:noProof/>
          <w:color w:val="1D336D" w:themeColor="background2"/>
        </w:rPr>
        <w:t>9</w:t>
      </w:r>
      <w:r w:rsidRPr="00533D35">
        <w:rPr>
          <w:color w:val="1D336D" w:themeColor="background2"/>
        </w:rPr>
        <w:fldChar w:fldCharType="end"/>
      </w:r>
      <w:r w:rsidRPr="00533D35">
        <w:rPr>
          <w:color w:val="1D336D" w:themeColor="background2"/>
        </w:rPr>
        <w:t>: Key investment findings (</w:t>
      </w:r>
      <w:proofErr w:type="spellStart"/>
      <w:r w:rsidRPr="00533D35">
        <w:rPr>
          <w:color w:val="1D336D" w:themeColor="background2"/>
        </w:rPr>
        <w:t>CRxN</w:t>
      </w:r>
      <w:proofErr w:type="spellEnd"/>
      <w:r w:rsidRPr="00533D35">
        <w:rPr>
          <w:color w:val="1D336D" w:themeColor="background2"/>
        </w:rPr>
        <w:t>)</w:t>
      </w:r>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89377E" w:rsidRPr="00AC51BB" w14:paraId="63A8F148" w14:textId="77777777" w:rsidTr="006E73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4C9FBBF" w14:textId="77777777" w:rsidR="0089377E" w:rsidRPr="00AC51BB" w:rsidRDefault="0089377E">
            <w:pPr>
              <w:jc w:val="center"/>
              <w:rPr>
                <w:b/>
                <w:bCs/>
                <w:color w:val="1D336D" w:themeColor="background2"/>
              </w:rPr>
            </w:pPr>
            <w:r w:rsidRPr="00AC51BB">
              <w:rPr>
                <w:b/>
                <w:bCs/>
                <w:color w:val="1D336D" w:themeColor="background2"/>
              </w:rPr>
              <w:t>#</w:t>
            </w:r>
          </w:p>
        </w:tc>
        <w:tc>
          <w:tcPr>
            <w:tcW w:w="8924" w:type="dxa"/>
            <w:shd w:val="clear" w:color="auto" w:fill="F2F2F2" w:themeFill="background1" w:themeFillShade="F2"/>
          </w:tcPr>
          <w:p w14:paraId="73CB91E5" w14:textId="77777777" w:rsidR="0089377E" w:rsidRPr="00AC51BB" w:rsidRDefault="0089377E">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sidRPr="00AC51BB">
              <w:rPr>
                <w:b/>
                <w:bCs/>
                <w:color w:val="1D336D" w:themeColor="background2"/>
              </w:rPr>
              <w:t>Finding</w:t>
            </w:r>
          </w:p>
        </w:tc>
      </w:tr>
      <w:tr w:rsidR="0089377E" w:rsidRPr="0053529A" w14:paraId="4B5FE7E2"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74D4816" w14:textId="77777777" w:rsidR="0089377E" w:rsidRPr="0053529A" w:rsidRDefault="0089377E">
            <w:pPr>
              <w:jc w:val="center"/>
              <w:rPr>
                <w:b/>
                <w:bCs/>
                <w:color w:val="1D336D" w:themeColor="background2"/>
              </w:rPr>
            </w:pPr>
            <w:r>
              <w:rPr>
                <w:b/>
                <w:bCs/>
                <w:color w:val="1D336D" w:themeColor="background2"/>
              </w:rPr>
              <w:t>19</w:t>
            </w:r>
          </w:p>
        </w:tc>
        <w:tc>
          <w:tcPr>
            <w:tcW w:w="8924" w:type="dxa"/>
            <w:shd w:val="clear" w:color="auto" w:fill="auto"/>
          </w:tcPr>
          <w:p w14:paraId="6AD36894" w14:textId="636AC87E" w:rsidR="0089377E" w:rsidRPr="0053529A" w:rsidRDefault="00D90814">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73E6867D">
              <w:rPr>
                <w:b/>
                <w:bCs/>
                <w:i/>
                <w:iCs/>
                <w:color w:val="1D336D" w:themeColor="background2"/>
              </w:rPr>
              <w:t>Projects with access to technical expertise have more advanced systems for projecting results and measuring progress</w:t>
            </w:r>
            <w:r w:rsidRPr="73E6867D">
              <w:rPr>
                <w:i/>
                <w:iCs/>
                <w:color w:val="1D336D" w:themeColor="background2"/>
              </w:rPr>
              <w:t xml:space="preserve">. Many projects under </w:t>
            </w:r>
            <w:proofErr w:type="spellStart"/>
            <w:r w:rsidRPr="73E6867D">
              <w:rPr>
                <w:i/>
                <w:iCs/>
                <w:color w:val="1D336D" w:themeColor="background2"/>
              </w:rPr>
              <w:t>CRxN</w:t>
            </w:r>
            <w:proofErr w:type="spellEnd"/>
            <w:r w:rsidRPr="73E6867D">
              <w:rPr>
                <w:i/>
                <w:iCs/>
                <w:color w:val="1D336D" w:themeColor="background2"/>
              </w:rPr>
              <w:t xml:space="preserve"> are still in the pilot phase, so it is too early to measure their impact on ecosystems or climate. Some projects have </w:t>
            </w:r>
            <w:r>
              <w:rPr>
                <w:i/>
                <w:iCs/>
                <w:color w:val="1D336D" w:themeColor="background2"/>
              </w:rPr>
              <w:t>drawn on technical expertise during their</w:t>
            </w:r>
            <w:r w:rsidRPr="73E6867D">
              <w:rPr>
                <w:i/>
                <w:iCs/>
                <w:color w:val="1D336D" w:themeColor="background2"/>
              </w:rPr>
              <w:t xml:space="preserve"> pilot phase to define their biodiversity and climate targets, test their interventions, choose measurement methods, and establish a baseline.</w:t>
            </w:r>
            <w:r>
              <w:rPr>
                <w:i/>
                <w:iCs/>
                <w:color w:val="1D336D" w:themeColor="background2"/>
              </w:rPr>
              <w:t xml:space="preserve"> Other project stakeholders have indicated that high quality technical expertise was challenging to find, and that it would be useful to have</w:t>
            </w:r>
            <w:r w:rsidRPr="73E6867D">
              <w:rPr>
                <w:i/>
                <w:iCs/>
                <w:color w:val="1D336D" w:themeColor="background2"/>
              </w:rPr>
              <w:t xml:space="preserve"> </w:t>
            </w:r>
            <w:r>
              <w:rPr>
                <w:i/>
                <w:iCs/>
                <w:color w:val="1D336D" w:themeColor="background2"/>
              </w:rPr>
              <w:t>additional support to identify this expertise.</w:t>
            </w:r>
          </w:p>
        </w:tc>
      </w:tr>
      <w:tr w:rsidR="0089377E" w:rsidRPr="0053529A" w14:paraId="24DA4D37"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394F9528" w14:textId="77777777" w:rsidR="0089377E" w:rsidRPr="0053529A" w:rsidRDefault="0089377E">
            <w:pPr>
              <w:jc w:val="center"/>
              <w:rPr>
                <w:b/>
                <w:bCs/>
                <w:color w:val="1D336D" w:themeColor="background2"/>
              </w:rPr>
            </w:pPr>
            <w:r>
              <w:rPr>
                <w:b/>
                <w:bCs/>
                <w:color w:val="1D336D" w:themeColor="background2"/>
              </w:rPr>
              <w:t>20</w:t>
            </w:r>
          </w:p>
        </w:tc>
        <w:tc>
          <w:tcPr>
            <w:tcW w:w="8924" w:type="dxa"/>
            <w:shd w:val="clear" w:color="auto" w:fill="auto"/>
          </w:tcPr>
          <w:p w14:paraId="3D19E105" w14:textId="166350A0" w:rsidR="0089377E" w:rsidRPr="0053529A" w:rsidRDefault="006F45D1">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1D336D" w:themeColor="background2"/>
                <w:szCs w:val="20"/>
                <w:lang w:val="en-GB"/>
              </w:rPr>
            </w:pPr>
            <w:r w:rsidRPr="00194D28">
              <w:rPr>
                <w:b/>
                <w:bCs/>
                <w:i/>
                <w:iCs/>
                <w:color w:val="1D336D" w:themeColor="background2"/>
              </w:rPr>
              <w:t xml:space="preserve">The </w:t>
            </w:r>
            <w:r w:rsidRPr="00924C11">
              <w:rPr>
                <w:b/>
                <w:bCs/>
                <w:i/>
                <w:iCs/>
                <w:color w:val="1D336D" w:themeColor="background2"/>
              </w:rPr>
              <w:t>connection between livelihoods, ecosystem protection, and climate adaptation has already been established in some projects</w:t>
            </w:r>
            <w:r w:rsidRPr="00924C11">
              <w:rPr>
                <w:i/>
                <w:iCs/>
                <w:color w:val="1D336D" w:themeColor="background2"/>
              </w:rPr>
              <w:t xml:space="preserve">. While all projects under the investment include a livelihoods component, only the more advanced projects have managed </w:t>
            </w:r>
            <w:r w:rsidRPr="00194D28">
              <w:rPr>
                <w:i/>
                <w:iCs/>
                <w:color w:val="1D336D" w:themeColor="background2"/>
              </w:rPr>
              <w:t>to refine</w:t>
            </w:r>
            <w:r>
              <w:rPr>
                <w:i/>
                <w:iCs/>
                <w:color w:val="1D336D" w:themeColor="background2"/>
              </w:rPr>
              <w:t xml:space="preserve"> </w:t>
            </w:r>
            <w:r w:rsidRPr="00194D28">
              <w:rPr>
                <w:i/>
                <w:iCs/>
                <w:color w:val="1D336D" w:themeColor="background2"/>
              </w:rPr>
              <w:t xml:space="preserve">the </w:t>
            </w:r>
            <w:r w:rsidRPr="00924C11">
              <w:rPr>
                <w:i/>
                <w:iCs/>
                <w:color w:val="1D336D" w:themeColor="background2"/>
              </w:rPr>
              <w:t xml:space="preserve">interconnections between livelihoods, ecosystems, and climate adaptation. Since testing and refining </w:t>
            </w:r>
            <w:proofErr w:type="spellStart"/>
            <w:r w:rsidRPr="00924C11">
              <w:rPr>
                <w:i/>
                <w:iCs/>
                <w:color w:val="1D336D" w:themeColor="background2"/>
              </w:rPr>
              <w:t>NbS</w:t>
            </w:r>
            <w:proofErr w:type="spellEnd"/>
            <w:r w:rsidRPr="00924C11">
              <w:rPr>
                <w:i/>
                <w:iCs/>
                <w:color w:val="1D336D" w:themeColor="background2"/>
              </w:rPr>
              <w:t xml:space="preserve"> takes time and expertise, it is more effective to scale and replicate approaches with a proven logic.</w:t>
            </w:r>
          </w:p>
        </w:tc>
      </w:tr>
      <w:tr w:rsidR="0089377E" w:rsidRPr="0053529A" w14:paraId="4F0CB355"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5D10CFF" w14:textId="77777777" w:rsidR="0089377E" w:rsidRPr="0053529A" w:rsidRDefault="0089377E">
            <w:pPr>
              <w:jc w:val="center"/>
              <w:rPr>
                <w:b/>
                <w:bCs/>
                <w:color w:val="1D336D" w:themeColor="background2"/>
              </w:rPr>
            </w:pPr>
            <w:r>
              <w:rPr>
                <w:b/>
                <w:bCs/>
                <w:color w:val="1D336D" w:themeColor="background2"/>
              </w:rPr>
              <w:t>21</w:t>
            </w:r>
          </w:p>
        </w:tc>
        <w:tc>
          <w:tcPr>
            <w:tcW w:w="8924" w:type="dxa"/>
            <w:shd w:val="clear" w:color="auto" w:fill="auto"/>
          </w:tcPr>
          <w:p w14:paraId="1FEC808F" w14:textId="7BB01AC4" w:rsidR="0089377E" w:rsidRPr="0053529A" w:rsidRDefault="0089377E">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CB17C7">
              <w:rPr>
                <w:b/>
                <w:bCs/>
                <w:i/>
                <w:iCs/>
                <w:color w:val="1D336D" w:themeColor="background2"/>
              </w:rPr>
              <w:t>Projects with embedded GEDSI expertise tend to have more transformative interventions</w:t>
            </w:r>
            <w:r w:rsidRPr="00CB17C7">
              <w:rPr>
                <w:i/>
                <w:iCs/>
                <w:color w:val="1D336D" w:themeColor="background2"/>
              </w:rPr>
              <w:t xml:space="preserve">. </w:t>
            </w:r>
            <w:r w:rsidR="00353A21" w:rsidRPr="00EE274F">
              <w:rPr>
                <w:i/>
                <w:iCs/>
                <w:color w:val="1D336D" w:themeColor="background2"/>
              </w:rPr>
              <w:t>Some projects have implemented transformative approaches to promote equality and inclusion, while others have yet to move beyond standard participation activities.</w:t>
            </w:r>
            <w:r w:rsidRPr="00CB17C7">
              <w:rPr>
                <w:i/>
                <w:iCs/>
                <w:color w:val="1D336D" w:themeColor="background2"/>
              </w:rPr>
              <w:t xml:space="preserve"> While all projects are paying attention to women's participation and collecting gender-disaggregated data, additional analysis is needed to identify transformative GEDSI activities. </w:t>
            </w:r>
          </w:p>
        </w:tc>
      </w:tr>
      <w:tr w:rsidR="00A55C35" w:rsidRPr="0053529A" w14:paraId="04EDA563"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71A80DA3" w14:textId="161A0719" w:rsidR="00A55C35" w:rsidRDefault="00A55C35">
            <w:pPr>
              <w:jc w:val="center"/>
              <w:rPr>
                <w:b/>
                <w:bCs/>
                <w:color w:val="1D336D" w:themeColor="background2"/>
              </w:rPr>
            </w:pPr>
            <w:r>
              <w:rPr>
                <w:b/>
                <w:bCs/>
                <w:color w:val="1D336D" w:themeColor="background2"/>
              </w:rPr>
              <w:t>22</w:t>
            </w:r>
          </w:p>
        </w:tc>
        <w:tc>
          <w:tcPr>
            <w:tcW w:w="8924" w:type="dxa"/>
            <w:shd w:val="clear" w:color="auto" w:fill="auto"/>
          </w:tcPr>
          <w:p w14:paraId="572015B5" w14:textId="046F1678" w:rsidR="00A55C35" w:rsidRPr="00CB17C7" w:rsidRDefault="00A55C35">
            <w:pPr>
              <w:cnfStyle w:val="000000000000" w:firstRow="0" w:lastRow="0" w:firstColumn="0" w:lastColumn="0" w:oddVBand="0" w:evenVBand="0" w:oddHBand="0" w:evenHBand="0" w:firstRowFirstColumn="0" w:firstRowLastColumn="0" w:lastRowFirstColumn="0" w:lastRowLastColumn="0"/>
              <w:rPr>
                <w:b/>
                <w:bCs/>
                <w:i/>
                <w:iCs/>
                <w:color w:val="1D336D" w:themeColor="background2"/>
              </w:rPr>
            </w:pPr>
            <w:r w:rsidRPr="00A55C35">
              <w:rPr>
                <w:b/>
                <w:bCs/>
                <w:i/>
                <w:iCs/>
                <w:color w:val="1D336D" w:themeColor="background2"/>
              </w:rPr>
              <w:t xml:space="preserve">Stringent carbon credit certification requirements can positively affect the quality and measurement of </w:t>
            </w:r>
            <w:proofErr w:type="spellStart"/>
            <w:r w:rsidRPr="00A55C35">
              <w:rPr>
                <w:b/>
                <w:bCs/>
                <w:i/>
                <w:iCs/>
                <w:color w:val="1D336D" w:themeColor="background2"/>
              </w:rPr>
              <w:t>NbS</w:t>
            </w:r>
            <w:proofErr w:type="spellEnd"/>
            <w:r w:rsidRPr="00A55C35">
              <w:rPr>
                <w:b/>
                <w:bCs/>
                <w:i/>
                <w:iCs/>
                <w:color w:val="1D336D" w:themeColor="background2"/>
              </w:rPr>
              <w:t xml:space="preserve"> initiatives</w:t>
            </w:r>
            <w:r w:rsidRPr="00EE274F">
              <w:rPr>
                <w:i/>
                <w:iCs/>
                <w:color w:val="1D336D" w:themeColor="background2"/>
              </w:rPr>
              <w:t xml:space="preserve">. Requirements include high-quality activities and monitoring plans for climate, biodiversity and livelihood outcomes. </w:t>
            </w:r>
            <w:proofErr w:type="spellStart"/>
            <w:r w:rsidRPr="00EE274F">
              <w:rPr>
                <w:i/>
                <w:iCs/>
                <w:color w:val="1D336D" w:themeColor="background2"/>
              </w:rPr>
              <w:t>CRxN</w:t>
            </w:r>
            <w:proofErr w:type="spellEnd"/>
            <w:r w:rsidRPr="00EE274F">
              <w:rPr>
                <w:i/>
                <w:iCs/>
                <w:color w:val="1D336D" w:themeColor="background2"/>
              </w:rPr>
              <w:t xml:space="preserve"> has undertaken extensive research into carbon markets in the Pacific, including the publication of several relevant resources through the </w:t>
            </w:r>
            <w:proofErr w:type="spellStart"/>
            <w:r w:rsidRPr="00EE274F">
              <w:rPr>
                <w:i/>
                <w:iCs/>
                <w:color w:val="1D336D" w:themeColor="background2"/>
              </w:rPr>
              <w:t>CRxN</w:t>
            </w:r>
            <w:proofErr w:type="spellEnd"/>
            <w:r w:rsidRPr="00EE274F">
              <w:rPr>
                <w:i/>
                <w:iCs/>
                <w:color w:val="1D336D" w:themeColor="background2"/>
              </w:rPr>
              <w:t xml:space="preserve"> Indo-Pacific Knowledge Hub. One of the investment’s partner organisations has also undertaken substantial trial and error approaches which have resulted in a feasible carbon market model relevant to the Pacific context.</w:t>
            </w:r>
          </w:p>
        </w:tc>
      </w:tr>
    </w:tbl>
    <w:p w14:paraId="286FD7A2" w14:textId="77777777" w:rsidR="00D42675" w:rsidRDefault="00D42675">
      <w:pPr>
        <w:spacing w:after="0" w:line="240" w:lineRule="auto"/>
        <w:rPr>
          <w:bCs/>
          <w:iCs/>
          <w:caps/>
          <w:color w:val="1D336D" w:themeColor="background2"/>
          <w:sz w:val="32"/>
          <w:szCs w:val="28"/>
        </w:rPr>
      </w:pPr>
      <w:r>
        <w:br w:type="page"/>
      </w:r>
    </w:p>
    <w:p w14:paraId="3DBBF089" w14:textId="2DD6E730" w:rsidR="00EA7FE2" w:rsidRPr="00EA7FE2" w:rsidRDefault="00EA7FE2" w:rsidP="00B82A5B">
      <w:pPr>
        <w:pStyle w:val="Heading1"/>
      </w:pPr>
      <w:bookmarkStart w:id="47" w:name="_Toc164783063"/>
      <w:r w:rsidRPr="00EA7FE2">
        <w:lastRenderedPageBreak/>
        <w:t>PACIFIC REGIONAL BLUE CARBON INITIATIVE</w:t>
      </w:r>
      <w:bookmarkEnd w:id="47"/>
      <w:r w:rsidRPr="00EA7FE2">
        <w:tab/>
      </w:r>
    </w:p>
    <w:p w14:paraId="6E077D3A" w14:textId="77777777" w:rsidR="00EA7FE2" w:rsidRPr="003437B8" w:rsidRDefault="00EA7FE2" w:rsidP="003437B8">
      <w:pPr>
        <w:pStyle w:val="Heading2"/>
        <w:rPr>
          <w:color w:val="1D336D" w:themeColor="background2"/>
        </w:rPr>
      </w:pPr>
      <w:bookmarkStart w:id="48" w:name="_Toc164783064"/>
      <w:r w:rsidRPr="003437B8">
        <w:rPr>
          <w:color w:val="1D336D" w:themeColor="background2"/>
        </w:rPr>
        <w:t>Overview</w:t>
      </w:r>
      <w:bookmarkEnd w:id="48"/>
    </w:p>
    <w:p w14:paraId="305C0286" w14:textId="1014AE51" w:rsidR="00EA7FE2" w:rsidRPr="00EA7FE2" w:rsidRDefault="00EA7FE2" w:rsidP="00B814D2">
      <w:r w:rsidRPr="00EA7FE2">
        <w:t>The Pacific Regional Blue Carbon Initiative is an AUD6 million investment through which DFAT provides funding (2018 – 2023) to the Australian Department for Climate Change, Energy, the Environment and Water (DCCEEW), Conservation International, the Climate Finance Lab, and the Commonwealth Scientific and Industrial Research Organisation (CSIRO)</w:t>
      </w:r>
      <w:r w:rsidR="008E2C5C">
        <w:t>. It focuses</w:t>
      </w:r>
      <w:r w:rsidRPr="00EA7FE2">
        <w:t xml:space="preserve"> on increasing links between ocean</w:t>
      </w:r>
      <w:r w:rsidR="008E2C5C">
        <w:t xml:space="preserve"> conservation</w:t>
      </w:r>
      <w:r w:rsidRPr="00EA7FE2">
        <w:t xml:space="preserve"> and climate change through blue carbon initiatives.</w:t>
      </w:r>
    </w:p>
    <w:p w14:paraId="54D98A3F" w14:textId="77777777" w:rsidR="00EA7FE2" w:rsidRPr="00EA7FE2" w:rsidRDefault="00EA7FE2" w:rsidP="00B814D2">
      <w:r w:rsidRPr="00EA7FE2">
        <w:t>The investment has two pillars:</w:t>
      </w:r>
    </w:p>
    <w:p w14:paraId="38997C3D" w14:textId="77777777" w:rsidR="00EA7FE2" w:rsidRPr="00EA7FE2" w:rsidRDefault="00EA7FE2" w:rsidP="00B814D2">
      <w:r w:rsidRPr="003346D7">
        <w:rPr>
          <w:b/>
          <w:color w:val="1D336D" w:themeColor="background2"/>
        </w:rPr>
        <w:t>Pillar 1 - grow the knowledge base:</w:t>
      </w:r>
      <w:r w:rsidRPr="003346D7">
        <w:rPr>
          <w:color w:val="1D336D" w:themeColor="background2"/>
        </w:rPr>
        <w:t xml:space="preserve"> </w:t>
      </w:r>
      <w:r w:rsidRPr="00EA7FE2">
        <w:t>led by DCCEEW, Pillar 1 provides support directly to Regional Governments and through relevant international forums to promote consistency between international standards, common practices in voluntary carbon markets, and national policy frameworks and greenhouse gas accounts. It also provides high-quality scientific and technical expertise to national and regional stakeholders implementing blue carbon activities.</w:t>
      </w:r>
    </w:p>
    <w:p w14:paraId="733FF278" w14:textId="77777777" w:rsidR="00EA7FE2" w:rsidRPr="00EA7FE2" w:rsidRDefault="00EA7FE2" w:rsidP="00B814D2">
      <w:r w:rsidRPr="003346D7">
        <w:rPr>
          <w:b/>
          <w:color w:val="1D336D" w:themeColor="background2"/>
        </w:rPr>
        <w:t>Pillar 2 - stimulating investment in blue carbon:</w:t>
      </w:r>
      <w:r w:rsidRPr="003346D7">
        <w:rPr>
          <w:color w:val="1D336D" w:themeColor="background2"/>
        </w:rPr>
        <w:t xml:space="preserve"> </w:t>
      </w:r>
      <w:r w:rsidRPr="00EA7FE2">
        <w:t xml:space="preserve">led by DFAT, Pillar 2 is implemented by Conservation International and the Climate Policy Lab. It is facilitating private sector and international financing institutions to support blue carbon projects in the Pacific. This requires the demonstration of carbon offset methodologies in a pilot </w:t>
      </w:r>
      <w:proofErr w:type="spellStart"/>
      <w:r w:rsidRPr="00EA7FE2">
        <w:t>NbS</w:t>
      </w:r>
      <w:proofErr w:type="spellEnd"/>
      <w:r w:rsidRPr="00EA7FE2">
        <w:t xml:space="preserve"> project and its viability in recognised carbon crediting schemes.</w:t>
      </w:r>
    </w:p>
    <w:p w14:paraId="7745DC47" w14:textId="0C5CCCD8" w:rsidR="00EA7FE2" w:rsidRPr="006A7BE1" w:rsidRDefault="00EA7FE2" w:rsidP="006A7BE1">
      <w:pPr>
        <w:pStyle w:val="Heading2"/>
        <w:rPr>
          <w:color w:val="1D336D" w:themeColor="background2"/>
        </w:rPr>
      </w:pPr>
      <w:bookmarkStart w:id="49" w:name="_Toc164783065"/>
      <w:r w:rsidRPr="006A7BE1">
        <w:rPr>
          <w:color w:val="1D336D" w:themeColor="background2"/>
        </w:rPr>
        <w:t>Performance against intended outcomes</w:t>
      </w:r>
      <w:bookmarkEnd w:id="49"/>
      <w:r w:rsidRPr="006A7BE1">
        <w:rPr>
          <w:color w:val="1D336D" w:themeColor="background2"/>
        </w:rPr>
        <w:t xml:space="preserve">  </w:t>
      </w:r>
    </w:p>
    <w:p w14:paraId="4E208534" w14:textId="77777777" w:rsidR="00EA7FE2" w:rsidRPr="00EA7FE2" w:rsidRDefault="00EA7FE2" w:rsidP="006A7BE1">
      <w:pPr>
        <w:pStyle w:val="Heading3"/>
      </w:pPr>
      <w:r w:rsidRPr="00EA7FE2">
        <w:t>Pacific Blue Carbon End of Program Outcomes</w:t>
      </w:r>
    </w:p>
    <w:p w14:paraId="1A5D2EB5" w14:textId="081B01D8" w:rsidR="00EA7FE2" w:rsidRPr="00EA7FE2" w:rsidRDefault="00EA7FE2" w:rsidP="006A7BE1">
      <w:pPr>
        <w:pStyle w:val="ListParagraph"/>
        <w:numPr>
          <w:ilvl w:val="0"/>
          <w:numId w:val="41"/>
        </w:numPr>
      </w:pPr>
      <w:r w:rsidRPr="006A7BE1">
        <w:rPr>
          <w:b/>
          <w:color w:val="1D336D" w:themeColor="background2"/>
        </w:rPr>
        <w:t>EOPO 1:</w:t>
      </w:r>
      <w:r w:rsidRPr="00EA7FE2">
        <w:t xml:space="preserve"> Catalyse the participation of Pacific Island governments and stakeholders in blue carbon ecosystem management as part of their efforts to address climate change.</w:t>
      </w:r>
      <w:r w:rsidR="006A7BE1">
        <w:br/>
      </w:r>
    </w:p>
    <w:p w14:paraId="330CA1F3" w14:textId="68F61281" w:rsidR="00EA7FE2" w:rsidRPr="00EA7FE2" w:rsidRDefault="00EA7FE2" w:rsidP="006A7BE1">
      <w:pPr>
        <w:pStyle w:val="ListParagraph"/>
        <w:numPr>
          <w:ilvl w:val="0"/>
          <w:numId w:val="41"/>
        </w:numPr>
      </w:pPr>
      <w:r w:rsidRPr="006A7BE1">
        <w:rPr>
          <w:b/>
          <w:color w:val="1D336D" w:themeColor="background2"/>
        </w:rPr>
        <w:t>EOPO 2:</w:t>
      </w:r>
      <w:r w:rsidRPr="003346D7">
        <w:rPr>
          <w:color w:val="1D336D" w:themeColor="background2"/>
        </w:rPr>
        <w:t xml:space="preserve"> </w:t>
      </w:r>
      <w:r w:rsidRPr="00EA7FE2">
        <w:t>Contribute towards an enabling environment for future trading by Australia and the private sector in blue carbon credits.</w:t>
      </w:r>
      <w:r w:rsidR="006A7BE1">
        <w:br/>
      </w:r>
    </w:p>
    <w:p w14:paraId="523574D0" w14:textId="140FFF7C" w:rsidR="00EA7FE2" w:rsidRPr="00EA7FE2" w:rsidRDefault="00EA7FE2" w:rsidP="00B814D2">
      <w:pPr>
        <w:pStyle w:val="ListParagraph"/>
        <w:numPr>
          <w:ilvl w:val="0"/>
          <w:numId w:val="41"/>
        </w:numPr>
      </w:pPr>
      <w:r w:rsidRPr="006A7BE1">
        <w:rPr>
          <w:b/>
          <w:color w:val="1D336D" w:themeColor="background2"/>
        </w:rPr>
        <w:t>EOPO 3:</w:t>
      </w:r>
      <w:r w:rsidRPr="003346D7">
        <w:rPr>
          <w:color w:val="1D336D" w:themeColor="background2"/>
        </w:rPr>
        <w:t xml:space="preserve"> </w:t>
      </w:r>
      <w:r w:rsidRPr="00EA7FE2">
        <w:t>Leverage international public and private finance for blue carbon ecosystem protection and restoration in the Pacific.</w:t>
      </w:r>
    </w:p>
    <w:p w14:paraId="67CF298D" w14:textId="77777777" w:rsidR="00EA7FE2" w:rsidRPr="00EA7FE2" w:rsidRDefault="00EA7FE2" w:rsidP="00525495">
      <w:pPr>
        <w:pStyle w:val="Heading3"/>
      </w:pPr>
      <w:r w:rsidRPr="00EA7FE2">
        <w:t>Assessment of performance</w:t>
      </w:r>
    </w:p>
    <w:p w14:paraId="1179E5D6" w14:textId="77777777" w:rsidR="00EA7FE2" w:rsidRPr="00EA7FE2" w:rsidRDefault="00EA7FE2" w:rsidP="00B814D2">
      <w:r w:rsidRPr="00EA7FE2">
        <w:t>The information made available to the evaluation team pertained mainly to the efforts undertaken by Conservation International, encompassing a diverse array of activities. The project is making progress against all EOPOs albeit with some delays.</w:t>
      </w:r>
    </w:p>
    <w:p w14:paraId="10CE61AC" w14:textId="0630F6F5" w:rsidR="00EA7FE2" w:rsidRPr="00EA7FE2" w:rsidRDefault="00EA7FE2" w:rsidP="00B814D2">
      <w:r w:rsidRPr="00EA7FE2">
        <w:t xml:space="preserve">The COVID pandemic made coordination of activities difficult, and some activities were delayed. The multi- track approach of the Pacific Regional Blue Carbon Initiative is combining the pilot </w:t>
      </w:r>
      <w:proofErr w:type="spellStart"/>
      <w:r w:rsidRPr="00EA7FE2">
        <w:t>NbS</w:t>
      </w:r>
      <w:proofErr w:type="spellEnd"/>
      <w:r w:rsidRPr="00EA7FE2">
        <w:t xml:space="preserve"> with activities to</w:t>
      </w:r>
      <w:r w:rsidR="009C229E">
        <w:t xml:space="preserve"> </w:t>
      </w:r>
      <w:r w:rsidRPr="00EA7FE2">
        <w:t>improve the operating environment. This combination of activities caused some coordination challenges but nevertheless received positive reactions from the Government of Fiji (</w:t>
      </w:r>
      <w:proofErr w:type="spellStart"/>
      <w:r w:rsidRPr="00EA7FE2">
        <w:t>GoF</w:t>
      </w:r>
      <w:proofErr w:type="spellEnd"/>
      <w:r w:rsidRPr="00EA7FE2">
        <w:t xml:space="preserve">) as well as from the key implementing partners. </w:t>
      </w:r>
    </w:p>
    <w:p w14:paraId="5885B6CF" w14:textId="77777777" w:rsidR="00EA7FE2" w:rsidRPr="00EA7FE2" w:rsidRDefault="00EA7FE2" w:rsidP="00B814D2">
      <w:r w:rsidRPr="003346D7">
        <w:rPr>
          <w:b/>
          <w:color w:val="1D336D" w:themeColor="background2"/>
        </w:rPr>
        <w:t xml:space="preserve">The investment’s progress in Fiji has developed a relationship of trust with </w:t>
      </w:r>
      <w:proofErr w:type="spellStart"/>
      <w:r w:rsidRPr="003346D7">
        <w:rPr>
          <w:b/>
          <w:color w:val="1D336D" w:themeColor="background2"/>
        </w:rPr>
        <w:t>GoF</w:t>
      </w:r>
      <w:proofErr w:type="spellEnd"/>
      <w:r w:rsidRPr="003346D7">
        <w:rPr>
          <w:b/>
          <w:color w:val="1D336D" w:themeColor="background2"/>
        </w:rPr>
        <w:t xml:space="preserve"> and is aligned with and supported by </w:t>
      </w:r>
      <w:proofErr w:type="spellStart"/>
      <w:r w:rsidRPr="003346D7">
        <w:rPr>
          <w:b/>
          <w:color w:val="1D336D" w:themeColor="background2"/>
        </w:rPr>
        <w:t>GoF</w:t>
      </w:r>
      <w:proofErr w:type="spellEnd"/>
      <w:r w:rsidRPr="003346D7">
        <w:rPr>
          <w:b/>
          <w:color w:val="1D336D" w:themeColor="background2"/>
        </w:rPr>
        <w:t xml:space="preserve"> priorities</w:t>
      </w:r>
      <w:r w:rsidRPr="00EA7FE2">
        <w:t xml:space="preserve">. </w:t>
      </w:r>
      <w:proofErr w:type="spellStart"/>
      <w:r w:rsidRPr="00EA7FE2">
        <w:t>GoF</w:t>
      </w:r>
      <w:proofErr w:type="spellEnd"/>
      <w:r w:rsidRPr="00EA7FE2">
        <w:t xml:space="preserve"> regularly requests key Pacific Blue Carbon stakeholders for policy advice and for the testing of approaches and methodologies. </w:t>
      </w:r>
    </w:p>
    <w:p w14:paraId="1CC30D4D" w14:textId="77777777" w:rsidR="00EA7FE2" w:rsidRPr="00EA7FE2" w:rsidRDefault="00EA7FE2" w:rsidP="00B814D2">
      <w:r w:rsidRPr="003346D7">
        <w:rPr>
          <w:b/>
          <w:color w:val="1D336D" w:themeColor="background2"/>
        </w:rPr>
        <w:lastRenderedPageBreak/>
        <w:t xml:space="preserve">The project has provided policy recommendations to </w:t>
      </w:r>
      <w:proofErr w:type="spellStart"/>
      <w:r w:rsidRPr="003346D7">
        <w:rPr>
          <w:b/>
          <w:color w:val="1D336D" w:themeColor="background2"/>
        </w:rPr>
        <w:t>GoF</w:t>
      </w:r>
      <w:proofErr w:type="spellEnd"/>
      <w:r w:rsidRPr="003346D7">
        <w:rPr>
          <w:b/>
          <w:color w:val="1D336D" w:themeColor="background2"/>
        </w:rPr>
        <w:t>, offering comprehensive support for decision-making and policy development concerning blue carbon</w:t>
      </w:r>
      <w:r w:rsidRPr="00EA7FE2">
        <w:t>. This support has included several key documents, including the production of a Drivers of Deforestation Report for Mangroves, an Assessment of Carbon Financing Options, Benefit Sharing Recommendation, and Carbon Trading Policy Framework advice. The reports generated by the project are establishing a strong foundation for future considerations and policy options related to blue carbon.</w:t>
      </w:r>
    </w:p>
    <w:p w14:paraId="01E1FE3F" w14:textId="77777777" w:rsidR="00EA7FE2" w:rsidRPr="00EA7FE2" w:rsidRDefault="00EA7FE2" w:rsidP="00B814D2">
      <w:r w:rsidRPr="003346D7">
        <w:rPr>
          <w:b/>
          <w:color w:val="1D336D" w:themeColor="background2"/>
        </w:rPr>
        <w:t>An ongoing blue carbon mitigation and adaptation pilot project showcases the feasibility of certified blue carbon credits</w:t>
      </w:r>
      <w:r w:rsidRPr="00EA7FE2">
        <w:t xml:space="preserve">. A pilot project has been set up and is being registered with Plan Vivo, a recognised carbon credit certification body. Discussions are underway with the </w:t>
      </w:r>
      <w:proofErr w:type="spellStart"/>
      <w:r w:rsidRPr="00EA7FE2">
        <w:t>GoF</w:t>
      </w:r>
      <w:proofErr w:type="spellEnd"/>
      <w:r w:rsidRPr="00EA7FE2">
        <w:t xml:space="preserve"> regarding the project information note, and extensive testing has been conducted on various aspects of the restoration process, including propagation methods, nurseries, planting techniques, required labour, potential involvement of youth, women, and individuals with disabilities, debris removal, seedling density, and more.</w:t>
      </w:r>
    </w:p>
    <w:p w14:paraId="55E35E00" w14:textId="77777777" w:rsidR="00EA7FE2" w:rsidRPr="00EA7FE2" w:rsidRDefault="00EA7FE2" w:rsidP="00B814D2">
      <w:r w:rsidRPr="003346D7">
        <w:rPr>
          <w:b/>
          <w:color w:val="1D336D" w:themeColor="background2"/>
        </w:rPr>
        <w:t>Significant enhancements have been achieved in the management and restoration of additional mangrove areas</w:t>
      </w:r>
      <w:r w:rsidRPr="00EA7FE2">
        <w:t>. Beyond the ongoing carbon credit test site, restoration efforts are being actively evaluated in multiple locations within the provinces of Ra and Ba. A comprehensive restoration approach has been devised, accompanied by the establishment of nurseries to facilitate the process.</w:t>
      </w:r>
    </w:p>
    <w:p w14:paraId="0E99F8CD" w14:textId="77777777" w:rsidR="00EA7FE2" w:rsidRPr="00EA7FE2" w:rsidRDefault="00EA7FE2" w:rsidP="00B814D2">
      <w:r w:rsidRPr="003346D7">
        <w:rPr>
          <w:b/>
          <w:color w:val="1D336D" w:themeColor="background2"/>
        </w:rPr>
        <w:t>Extensive consultations have been conducted across 30 communities to ensure mangrove use and management is sustainable</w:t>
      </w:r>
      <w:r w:rsidRPr="00EA7FE2">
        <w:t>. Additionally, a survey encompassing the livelihoods of coastal communities has been undertaken to identify potential avenues for improving livelihoods in conjunction with the implementation of management plans.</w:t>
      </w:r>
    </w:p>
    <w:p w14:paraId="43EA8FF0" w14:textId="77777777" w:rsidR="00EA7FE2" w:rsidRPr="00EA7FE2" w:rsidRDefault="00EA7FE2" w:rsidP="00B814D2">
      <w:r w:rsidRPr="003346D7">
        <w:rPr>
          <w:b/>
          <w:color w:val="1D336D" w:themeColor="background2"/>
        </w:rPr>
        <w:t>Efforts have commenced to identify financing opportunities for mangrove restoration at the national level</w:t>
      </w:r>
      <w:r w:rsidRPr="00EA7FE2">
        <w:t>. This process holds promise for securing the necessary resources to support the restoration initiatives effectively.</w:t>
      </w:r>
    </w:p>
    <w:p w14:paraId="18A0BE43" w14:textId="32D10CCA" w:rsidR="00EA7FE2" w:rsidRPr="00EA7FE2" w:rsidRDefault="00EA7FE2" w:rsidP="00B814D2">
      <w:r w:rsidRPr="003346D7">
        <w:rPr>
          <w:b/>
          <w:color w:val="1D336D" w:themeColor="background2"/>
        </w:rPr>
        <w:t xml:space="preserve">The investment is implemented in close collaboration with relevant </w:t>
      </w:r>
      <w:proofErr w:type="spellStart"/>
      <w:r w:rsidRPr="003346D7">
        <w:rPr>
          <w:b/>
          <w:color w:val="1D336D" w:themeColor="background2"/>
        </w:rPr>
        <w:t>GoF</w:t>
      </w:r>
      <w:proofErr w:type="spellEnd"/>
      <w:r w:rsidRPr="003346D7">
        <w:rPr>
          <w:b/>
          <w:color w:val="1D336D" w:themeColor="background2"/>
        </w:rPr>
        <w:t xml:space="preserve"> Ministries, including the identification of opportunities for expanding </w:t>
      </w:r>
      <w:proofErr w:type="spellStart"/>
      <w:r w:rsidRPr="003346D7">
        <w:rPr>
          <w:b/>
          <w:color w:val="1D336D" w:themeColor="background2"/>
        </w:rPr>
        <w:t>NbS</w:t>
      </w:r>
      <w:proofErr w:type="spellEnd"/>
      <w:r w:rsidRPr="003346D7">
        <w:rPr>
          <w:b/>
          <w:color w:val="1D336D" w:themeColor="background2"/>
        </w:rPr>
        <w:t xml:space="preserve"> that adhere to stringent criteria</w:t>
      </w:r>
      <w:r w:rsidRPr="00EA7FE2">
        <w:t xml:space="preserve">. Additionally, initiatives are underway to facilitate knowledge exchange and transfer between </w:t>
      </w:r>
      <w:r w:rsidR="006551F0">
        <w:t>Indigenous</w:t>
      </w:r>
      <w:r w:rsidRPr="00EA7FE2">
        <w:t xml:space="preserve"> </w:t>
      </w:r>
      <w:r w:rsidR="008E2C5C">
        <w:t>c</w:t>
      </w:r>
      <w:r w:rsidRPr="00EA7FE2">
        <w:t xml:space="preserve">ommunities in Australia and Fiji, fostering valuable cross-cultural learning experiences. Furthermore, dedicated research is being conducted to explore methodologies for effectively monitoring the resilience benefits derived from these </w:t>
      </w:r>
      <w:proofErr w:type="spellStart"/>
      <w:r w:rsidRPr="00EA7FE2">
        <w:t>NbS</w:t>
      </w:r>
      <w:proofErr w:type="spellEnd"/>
      <w:r w:rsidRPr="00EA7FE2">
        <w:t xml:space="preserve"> projects. The aim is to develop robust monitoring frameworks that can accurately assess and track the resilience-enhancing outcomes of these initiatives.</w:t>
      </w:r>
    </w:p>
    <w:p w14:paraId="69AFBC2C" w14:textId="77777777" w:rsidR="00EA7FE2" w:rsidRPr="002C4AB9" w:rsidRDefault="00EA7FE2" w:rsidP="002C4AB9">
      <w:pPr>
        <w:pStyle w:val="Heading2"/>
        <w:rPr>
          <w:color w:val="1D336D" w:themeColor="background2"/>
        </w:rPr>
      </w:pPr>
      <w:bookmarkStart w:id="50" w:name="_Toc164783066"/>
      <w:r w:rsidRPr="002C4AB9">
        <w:rPr>
          <w:color w:val="1D336D" w:themeColor="background2"/>
        </w:rPr>
        <w:t>Is it a solution?</w:t>
      </w:r>
      <w:bookmarkEnd w:id="50"/>
      <w:r w:rsidRPr="002C4AB9">
        <w:rPr>
          <w:color w:val="1D336D" w:themeColor="background2"/>
        </w:rPr>
        <w:t xml:space="preserve"> </w:t>
      </w:r>
    </w:p>
    <w:p w14:paraId="15D2C7CB" w14:textId="55A776C8" w:rsidR="00EA7FE2" w:rsidRPr="00EA7FE2" w:rsidRDefault="00EA7FE2" w:rsidP="00B814D2">
      <w:r w:rsidRPr="00EA7FE2">
        <w:t xml:space="preserve">The main </w:t>
      </w:r>
      <w:r w:rsidR="008E2C5C">
        <w:t>goal</w:t>
      </w:r>
      <w:r w:rsidR="008E2C5C" w:rsidRPr="00EA7FE2">
        <w:t xml:space="preserve"> </w:t>
      </w:r>
      <w:r w:rsidRPr="00EA7FE2">
        <w:t xml:space="preserve">of a </w:t>
      </w:r>
      <w:proofErr w:type="spellStart"/>
      <w:r w:rsidRPr="00EA7FE2">
        <w:t>NbS</w:t>
      </w:r>
      <w:proofErr w:type="spellEnd"/>
      <w:r w:rsidRPr="00EA7FE2">
        <w:t xml:space="preserve"> must be</w:t>
      </w:r>
      <w:r w:rsidR="008E2C5C">
        <w:t xml:space="preserve"> to provide</w:t>
      </w:r>
      <w:r w:rsidRPr="00EA7FE2">
        <w:t xml:space="preserve"> a solution to a priority challenge faced by the target communities. This is essential to ensure that the communities are willing to commit to the </w:t>
      </w:r>
      <w:proofErr w:type="spellStart"/>
      <w:r w:rsidRPr="00EA7FE2">
        <w:t>NbS</w:t>
      </w:r>
      <w:proofErr w:type="spellEnd"/>
      <w:r w:rsidRPr="00EA7FE2">
        <w:t xml:space="preserve"> long term and to ensure that the </w:t>
      </w:r>
      <w:proofErr w:type="spellStart"/>
      <w:r w:rsidRPr="00EA7FE2">
        <w:t>NbS</w:t>
      </w:r>
      <w:proofErr w:type="spellEnd"/>
      <w:r w:rsidRPr="00EA7FE2">
        <w:t xml:space="preserve"> does not divert scarce community resources to activities that are not a community priority.</w:t>
      </w:r>
    </w:p>
    <w:p w14:paraId="52476820" w14:textId="40FA63D9" w:rsidR="00EA7FE2" w:rsidRPr="00EA7FE2" w:rsidRDefault="00EA7FE2" w:rsidP="00B814D2">
      <w:r w:rsidRPr="003346D7">
        <w:rPr>
          <w:b/>
          <w:color w:val="1D336D" w:themeColor="background2"/>
        </w:rPr>
        <w:t xml:space="preserve">The </w:t>
      </w:r>
      <w:proofErr w:type="spellStart"/>
      <w:r w:rsidRPr="003346D7">
        <w:rPr>
          <w:b/>
          <w:color w:val="1D336D" w:themeColor="background2"/>
        </w:rPr>
        <w:t>NbS</w:t>
      </w:r>
      <w:proofErr w:type="spellEnd"/>
      <w:r w:rsidRPr="003346D7">
        <w:rPr>
          <w:b/>
          <w:color w:val="1D336D" w:themeColor="background2"/>
        </w:rPr>
        <w:t xml:space="preserve"> pilot (which is only a small component of this investment) is "a solution"</w:t>
      </w:r>
      <w:r w:rsidRPr="00EA7FE2">
        <w:t xml:space="preserve">. This initiative directly responds to the communities' pressing need for sustainable livelihoods by undertaking the restoration of the mangrove area. Notably, a significant proportion of the community (approximately 90%) engage in subsistence fishing alongside agricultural activities. Their livelihoods are intricately linked to the mangroves, relying on its resources for sustenance and </w:t>
      </w:r>
      <w:r w:rsidR="006551F0">
        <w:t>wellbeing</w:t>
      </w:r>
      <w:r w:rsidRPr="00EA7FE2">
        <w:t xml:space="preserve">. The </w:t>
      </w:r>
      <w:proofErr w:type="spellStart"/>
      <w:r w:rsidRPr="00EA7FE2">
        <w:t>NbS</w:t>
      </w:r>
      <w:proofErr w:type="spellEnd"/>
      <w:r w:rsidRPr="00EA7FE2">
        <w:t xml:space="preserve"> project, therefore, holds great potential in supporting and enhancing the livelihoods of these community members by restoring the mangrove ecosystem.</w:t>
      </w:r>
    </w:p>
    <w:p w14:paraId="4F3D264A" w14:textId="77777777" w:rsidR="00D42675" w:rsidRDefault="00D42675">
      <w:pPr>
        <w:spacing w:after="0" w:line="240" w:lineRule="auto"/>
        <w:rPr>
          <w:b/>
          <w:color w:val="1D336D" w:themeColor="background2"/>
        </w:rPr>
      </w:pPr>
      <w:r>
        <w:rPr>
          <w:b/>
          <w:color w:val="1D336D" w:themeColor="background2"/>
        </w:rPr>
        <w:br w:type="page"/>
      </w:r>
    </w:p>
    <w:p w14:paraId="3C09D665" w14:textId="131607FD" w:rsidR="00EA7FE2" w:rsidRPr="00EA7FE2" w:rsidRDefault="00EA7FE2" w:rsidP="00B814D2">
      <w:r w:rsidRPr="003346D7">
        <w:rPr>
          <w:b/>
          <w:color w:val="1D336D" w:themeColor="background2"/>
        </w:rPr>
        <w:lastRenderedPageBreak/>
        <w:t xml:space="preserve">The wide range of activities under this investment, in addition to the </w:t>
      </w:r>
      <w:proofErr w:type="spellStart"/>
      <w:r w:rsidRPr="003346D7">
        <w:rPr>
          <w:b/>
          <w:color w:val="1D336D" w:themeColor="background2"/>
        </w:rPr>
        <w:t>NbS</w:t>
      </w:r>
      <w:proofErr w:type="spellEnd"/>
      <w:r w:rsidRPr="003346D7">
        <w:rPr>
          <w:b/>
          <w:color w:val="1D336D" w:themeColor="background2"/>
        </w:rPr>
        <w:t xml:space="preserve"> pilot are all relevant to the potential national rollout of the </w:t>
      </w:r>
      <w:proofErr w:type="spellStart"/>
      <w:r w:rsidRPr="003346D7">
        <w:rPr>
          <w:b/>
          <w:color w:val="1D336D" w:themeColor="background2"/>
        </w:rPr>
        <w:t>NbS</w:t>
      </w:r>
      <w:proofErr w:type="spellEnd"/>
      <w:r w:rsidRPr="003346D7">
        <w:rPr>
          <w:b/>
          <w:color w:val="1D336D" w:themeColor="background2"/>
        </w:rPr>
        <w:t xml:space="preserve"> approach</w:t>
      </w:r>
      <w:r w:rsidRPr="00EA7FE2">
        <w:t xml:space="preserve">. The </w:t>
      </w:r>
      <w:proofErr w:type="spellStart"/>
      <w:r w:rsidRPr="00EA7FE2">
        <w:t>NbS</w:t>
      </w:r>
      <w:proofErr w:type="spellEnd"/>
      <w:r w:rsidRPr="00EA7FE2">
        <w:t xml:space="preserve"> pilot is only a small part of the range of activities under this investment. The investment is addressing issues of scaling, national and international policy, as well as scientific gaps. This investment demonstrates that </w:t>
      </w:r>
      <w:proofErr w:type="spellStart"/>
      <w:r w:rsidRPr="00EA7FE2">
        <w:t>NbS</w:t>
      </w:r>
      <w:proofErr w:type="spellEnd"/>
      <w:r w:rsidRPr="00EA7FE2">
        <w:t xml:space="preserve"> are new to all stakeholders and that various challenges still need to be addressed.</w:t>
      </w:r>
    </w:p>
    <w:p w14:paraId="6072B37C" w14:textId="77777777" w:rsidR="00EA7FE2" w:rsidRPr="00EA7FE2" w:rsidRDefault="00EA7FE2" w:rsidP="00B814D2">
      <w:r w:rsidRPr="003346D7">
        <w:rPr>
          <w:b/>
          <w:color w:val="1D336D" w:themeColor="background2"/>
        </w:rPr>
        <w:t>The investment (by design and by adaptability) has identified challenges in the operating context</w:t>
      </w:r>
      <w:r w:rsidRPr="00EA7FE2">
        <w:t xml:space="preserve">. Necessary actions have been taken at the pilot stage to ensure a scalable rollout capable of delivering the intended impact of a </w:t>
      </w:r>
      <w:proofErr w:type="spellStart"/>
      <w:r w:rsidRPr="00EA7FE2">
        <w:t>NbS</w:t>
      </w:r>
      <w:proofErr w:type="spellEnd"/>
      <w:r w:rsidRPr="00EA7FE2">
        <w:t xml:space="preserve"> approach. While it is anticipated that other </w:t>
      </w:r>
      <w:proofErr w:type="spellStart"/>
      <w:r w:rsidRPr="00EA7FE2">
        <w:t>NbS</w:t>
      </w:r>
      <w:proofErr w:type="spellEnd"/>
      <w:r w:rsidRPr="00EA7FE2">
        <w:t xml:space="preserve"> initiatives may face similar challenges in their respective operating environments, this investment benefits from an exceptional range of expertise that may not be readily available in other projects.</w:t>
      </w:r>
    </w:p>
    <w:p w14:paraId="2B5C913C" w14:textId="77777777" w:rsidR="00EA7FE2" w:rsidRPr="00B10675" w:rsidRDefault="00EA7FE2" w:rsidP="00B10675">
      <w:pPr>
        <w:pStyle w:val="Heading2"/>
        <w:rPr>
          <w:color w:val="1D336D" w:themeColor="background2"/>
        </w:rPr>
      </w:pPr>
      <w:bookmarkStart w:id="51" w:name="_Toc164783067"/>
      <w:r w:rsidRPr="00B10675">
        <w:rPr>
          <w:color w:val="1D336D" w:themeColor="background2"/>
        </w:rPr>
        <w:t>NBS PILLARS</w:t>
      </w:r>
      <w:bookmarkEnd w:id="51"/>
    </w:p>
    <w:p w14:paraId="193C87EF" w14:textId="77777777" w:rsidR="00EA7FE2" w:rsidRPr="00EA7FE2" w:rsidRDefault="00EA7FE2" w:rsidP="00B10675">
      <w:pPr>
        <w:pStyle w:val="Heading3"/>
      </w:pPr>
      <w:r w:rsidRPr="00EA7FE2">
        <w:t>Biodiversity</w:t>
      </w:r>
    </w:p>
    <w:p w14:paraId="2237886B" w14:textId="4D5453D5" w:rsidR="002C14F6" w:rsidRPr="003346D7" w:rsidRDefault="00EA7FE2" w:rsidP="00B814D2">
      <w:r w:rsidRPr="003346D7">
        <w:rPr>
          <w:b/>
          <w:color w:val="1D336D" w:themeColor="background2"/>
        </w:rPr>
        <w:t>Pacific Blue Carbon is focused on addressing biodiversity concerns by undertaking the restoration of mangroves and other marine ecosystems</w:t>
      </w:r>
      <w:r w:rsidRPr="00EA7FE2">
        <w:t>. It is essential to note that the desired biodiversity outcomes can only be achieved when the activities are extended to encompass the entirety of the mangrove area and implemented in conjunction with complementary initiatives.</w:t>
      </w:r>
    </w:p>
    <w:p w14:paraId="6CFC3B0B" w14:textId="6897CA44" w:rsidR="00EA7FE2" w:rsidRPr="00EA7FE2" w:rsidRDefault="00EA7FE2" w:rsidP="00B814D2">
      <w:r w:rsidRPr="003346D7">
        <w:rPr>
          <w:b/>
          <w:color w:val="1D336D" w:themeColor="background2"/>
        </w:rPr>
        <w:t>Mangroves play a crucial role in providing habitat for a wide array of plant and animal species</w:t>
      </w:r>
      <w:r w:rsidRPr="00EA7FE2">
        <w:t>. These ecosystems contribute significantly to the overall biodiversity of coastal regions, supporting diverse communities of marine and terrestrial organisms. By recognising the importance of mangrove ecosystems and taking targeted actions to restore them, this investment contributes directly to the preservation and enhancement of biodiversity within these coastal areas.</w:t>
      </w:r>
    </w:p>
    <w:p w14:paraId="2371F3B5" w14:textId="77777777" w:rsidR="00EA7FE2" w:rsidRPr="00EA7FE2" w:rsidRDefault="00EA7FE2" w:rsidP="00B814D2">
      <w:r w:rsidRPr="003346D7">
        <w:rPr>
          <w:b/>
          <w:color w:val="1D336D" w:themeColor="background2"/>
        </w:rPr>
        <w:t>Biodiversity impacts will be measured at the pilot site</w:t>
      </w:r>
      <w:r w:rsidRPr="00EA7FE2">
        <w:t>. The investment is submitting a project proposal to the carbon credit certification body Plan Vivo. One of the requirements for registration is an assessment of the biodiversity in the project site. Further measurements will be required for the detailed project proposal and at verification points in the future.</w:t>
      </w:r>
    </w:p>
    <w:p w14:paraId="659F3102" w14:textId="4C1E0023" w:rsidR="00EA7FE2" w:rsidRPr="00EA7FE2" w:rsidRDefault="00EA7FE2" w:rsidP="00B814D2">
      <w:r w:rsidRPr="003346D7">
        <w:rPr>
          <w:b/>
          <w:color w:val="1D336D" w:themeColor="background2"/>
        </w:rPr>
        <w:t xml:space="preserve">Biodiversity is also measured at a larger scale in preparation of a </w:t>
      </w:r>
      <w:r w:rsidR="008E2C5C">
        <w:rPr>
          <w:b/>
          <w:color w:val="1D336D" w:themeColor="background2"/>
        </w:rPr>
        <w:t>n</w:t>
      </w:r>
      <w:r w:rsidRPr="003346D7">
        <w:rPr>
          <w:b/>
          <w:color w:val="1D336D" w:themeColor="background2"/>
        </w:rPr>
        <w:t>ational rollout</w:t>
      </w:r>
      <w:r w:rsidRPr="00EA7FE2">
        <w:t>. A national wetlands assessment has been carried out to evaluate the present state of wetland use by communities in Fiji. This assessment highlights the social, economic, and ecological importance of the sites at national and international levels. The assessment also includes a preliminary biodiversity baseline.</w:t>
      </w:r>
    </w:p>
    <w:p w14:paraId="2727F3CB" w14:textId="77777777" w:rsidR="00EA7FE2" w:rsidRPr="00EA7FE2" w:rsidRDefault="00EA7FE2" w:rsidP="00B10675">
      <w:pPr>
        <w:pStyle w:val="Heading3"/>
      </w:pPr>
      <w:r w:rsidRPr="00EA7FE2">
        <w:t xml:space="preserve">Climate </w:t>
      </w:r>
    </w:p>
    <w:p w14:paraId="42C072F6" w14:textId="77777777" w:rsidR="00EA7FE2" w:rsidRPr="00C721F6" w:rsidRDefault="00EA7FE2" w:rsidP="00B814D2">
      <w:r w:rsidRPr="00C721F6">
        <w:t>The investment has both climate change mitigation and adaptation objectives.</w:t>
      </w:r>
    </w:p>
    <w:p w14:paraId="6C071464" w14:textId="42A125B3" w:rsidR="00EA7FE2" w:rsidRPr="00EA7FE2" w:rsidRDefault="00EA7FE2" w:rsidP="00B814D2">
      <w:r w:rsidRPr="003346D7">
        <w:rPr>
          <w:b/>
          <w:color w:val="1D336D" w:themeColor="background2"/>
        </w:rPr>
        <w:t>Mitigation will be achieved through the restoration of mangrove areas and later possibly seagrass meadows and other marine ecosystems</w:t>
      </w:r>
      <w:r w:rsidRPr="003346D7">
        <w:rPr>
          <w:color w:val="1D336D" w:themeColor="background2"/>
        </w:rPr>
        <w:t xml:space="preserve">. </w:t>
      </w:r>
      <w:r w:rsidRPr="00EA7FE2">
        <w:t xml:space="preserve">To enable the latter, the science of carbon sequestration by marine ecosystems is being progressed through the investment. The viability of mitigation through restored mangroves is being assessed through the </w:t>
      </w:r>
      <w:proofErr w:type="spellStart"/>
      <w:r w:rsidRPr="00EA7FE2">
        <w:t>NbS</w:t>
      </w:r>
      <w:proofErr w:type="spellEnd"/>
      <w:r w:rsidRPr="00EA7FE2">
        <w:t xml:space="preserve"> pilot. The first test phase of the project is small in scale (8 </w:t>
      </w:r>
      <w:r w:rsidR="0094177F">
        <w:t>hectares</w:t>
      </w:r>
      <w:r w:rsidRPr="00EA7FE2">
        <w:t>), but it will set the methodology for more extensive restoration efforts in this project site and elsewhere in Fiji.</w:t>
      </w:r>
    </w:p>
    <w:p w14:paraId="66A6360A" w14:textId="77777777" w:rsidR="00EA7FE2" w:rsidRPr="00EA7FE2" w:rsidRDefault="00EA7FE2" w:rsidP="00B814D2">
      <w:r w:rsidRPr="003346D7">
        <w:rPr>
          <w:b/>
          <w:color w:val="1D336D" w:themeColor="background2"/>
        </w:rPr>
        <w:t>The adaptation component of the investment largely focuses on reducing the vulnerability of coastal communities to the adverse impacts of climate change</w:t>
      </w:r>
      <w:r w:rsidRPr="00EA7FE2">
        <w:t>. The mangroves at the pilot site suffered damage during a cyclone event in 2016, yet they played a vital role in safeguarding the adjacent communities. By rehabilitating these mangroves, their protective capacity will be restored, thereby enhancing the resilience of the communities.</w:t>
      </w:r>
    </w:p>
    <w:p w14:paraId="4FCDD361" w14:textId="4F3064EF" w:rsidR="00EA7FE2" w:rsidRPr="00EA7FE2" w:rsidRDefault="00EA7FE2" w:rsidP="00B814D2">
      <w:r w:rsidRPr="00EA7FE2">
        <w:lastRenderedPageBreak/>
        <w:t xml:space="preserve">Beyond providing protection against natural disasters like cyclones, the mangroves also serve as a natural defence against </w:t>
      </w:r>
      <w:r w:rsidR="006551F0">
        <w:t>sea level</w:t>
      </w:r>
      <w:r w:rsidRPr="00EA7FE2">
        <w:t xml:space="preserve"> rise by facilitating sediment deposition and preventing coastal erosion. Their intricate root systems enable them to absorb water, reducing the risk of flooding. Additionally, the restoration of mangroves will contribute to the overall resilience of the communities as these ecosystems offer diverse sources of food and livelihood opportunities.</w:t>
      </w:r>
    </w:p>
    <w:p w14:paraId="263302D0" w14:textId="77777777" w:rsidR="00EA7FE2" w:rsidRPr="00EA7FE2" w:rsidRDefault="00EA7FE2" w:rsidP="00B814D2">
      <w:r w:rsidRPr="00EA7FE2">
        <w:t>It is important to note that at the time of this evaluation, the investment has not yet quantified the climate change vulnerability of the communities surrounding the pilot site. This is due to the ongoing deliberation on determining an appropriate methodology for measurement. Nevertheless, the investment recognises the significance of assessing vulnerability and is actively working towards establishing a suitable approach for this purpose.</w:t>
      </w:r>
    </w:p>
    <w:p w14:paraId="0DFF9F7C" w14:textId="77777777" w:rsidR="00EA7FE2" w:rsidRPr="00EA7FE2" w:rsidRDefault="00EA7FE2" w:rsidP="00B10675">
      <w:pPr>
        <w:pStyle w:val="Heading3"/>
      </w:pPr>
      <w:r w:rsidRPr="00EA7FE2">
        <w:t>Livelihoods</w:t>
      </w:r>
    </w:p>
    <w:p w14:paraId="22961B2F" w14:textId="77777777" w:rsidR="00EA7FE2" w:rsidRPr="00EA7FE2" w:rsidRDefault="00EA7FE2" w:rsidP="00B814D2">
      <w:r w:rsidRPr="003346D7">
        <w:rPr>
          <w:b/>
          <w:color w:val="1D336D" w:themeColor="background2"/>
        </w:rPr>
        <w:t>The investment will make a considerable contribution to the livelihoods of the coastal communities once the pilot is rolled out at the national level</w:t>
      </w:r>
      <w:r w:rsidRPr="00EA7FE2">
        <w:t>. Mangroves serve as critical nurseries for many fish and shellfish species that are part of the regular diet of coastal communities. The health of mangrove ecosystems is essential for supporting fisheries.</w:t>
      </w:r>
    </w:p>
    <w:p w14:paraId="739DAA52" w14:textId="77777777" w:rsidR="00EA7FE2" w:rsidRPr="00EA7FE2" w:rsidRDefault="00EA7FE2" w:rsidP="00B814D2">
      <w:r w:rsidRPr="003346D7">
        <w:rPr>
          <w:b/>
          <w:color w:val="1D336D" w:themeColor="background2"/>
        </w:rPr>
        <w:t>A social survey was conducted across 33 communities located in three provinces</w:t>
      </w:r>
      <w:r w:rsidRPr="00EA7FE2">
        <w:t>. The primary objective of this survey was to evaluate the status of livelihoods within communities that are reliant on mangrove resources. These coastal communities predominantly comprise subsistence farmers and fishers whose livelihoods greatly rely on the resources offered by the mangroves. By conducting this survey, valuable insights were gained into the specific needs and challenges faced by these communities, enabling informed decision-making and facilitating targeted interventions to support livelihoods.</w:t>
      </w:r>
    </w:p>
    <w:p w14:paraId="34DB9FBF" w14:textId="4D74259B" w:rsidR="00EA7FE2" w:rsidRPr="00EA7FE2" w:rsidRDefault="00EA7FE2" w:rsidP="00B814D2">
      <w:r w:rsidRPr="003346D7">
        <w:rPr>
          <w:b/>
          <w:color w:val="1D336D" w:themeColor="background2"/>
        </w:rPr>
        <w:t>A detailed livelihoods baseline was established in the two communities participating in the pilot project</w:t>
      </w:r>
      <w:r w:rsidRPr="00EA7FE2">
        <w:t>. These communities are expected to receive several benefits from the project. Firstly, community members will have the opportunity to earn salaries through their involvement in restoration activities.</w:t>
      </w:r>
      <w:r w:rsidR="00C464BD">
        <w:t xml:space="preserve"> </w:t>
      </w:r>
      <w:r w:rsidRPr="00EA7FE2">
        <w:t>Secondly, the project will lead to the clearing of trees felled by the cyclone, resulting in stockpiles of firewood that can serve as a valuable resource for the communities.</w:t>
      </w:r>
    </w:p>
    <w:p w14:paraId="548BC743" w14:textId="6FC35BB5" w:rsidR="00EA7FE2" w:rsidRPr="00EA7FE2" w:rsidRDefault="00EA7FE2" w:rsidP="00B814D2">
      <w:r w:rsidRPr="003346D7">
        <w:rPr>
          <w:b/>
          <w:color w:val="1D336D" w:themeColor="background2"/>
        </w:rPr>
        <w:t>Medium-term restoration efforts will contribute to the revival of essential subsistence resources</w:t>
      </w:r>
      <w:r w:rsidRPr="003346D7">
        <w:rPr>
          <w:color w:val="1D336D" w:themeColor="background2"/>
        </w:rPr>
        <w:t xml:space="preserve"> </w:t>
      </w:r>
      <w:r w:rsidRPr="00EA7FE2">
        <w:t>such as mud crabs, oysters, mud lobsters, prawns, shrimps, and fish. This restoration will provide significant support to the communities in terms of sustaining their subsistence needs and improving their overall livelihoods.</w:t>
      </w:r>
    </w:p>
    <w:p w14:paraId="65D8924A" w14:textId="77777777" w:rsidR="00EA7FE2" w:rsidRPr="00C464BD" w:rsidRDefault="00EA7FE2" w:rsidP="00C464BD">
      <w:pPr>
        <w:pStyle w:val="Heading2"/>
        <w:rPr>
          <w:color w:val="1D336D" w:themeColor="background2"/>
        </w:rPr>
      </w:pPr>
      <w:bookmarkStart w:id="52" w:name="_Toc164783068"/>
      <w:r w:rsidRPr="00C464BD">
        <w:rPr>
          <w:color w:val="1D336D" w:themeColor="background2"/>
        </w:rPr>
        <w:t>Relevant scale</w:t>
      </w:r>
      <w:bookmarkEnd w:id="52"/>
      <w:r w:rsidRPr="00C464BD">
        <w:rPr>
          <w:color w:val="1D336D" w:themeColor="background2"/>
        </w:rPr>
        <w:t xml:space="preserve"> </w:t>
      </w:r>
    </w:p>
    <w:p w14:paraId="4A4C517F" w14:textId="713A8184" w:rsidR="00EA7FE2" w:rsidRPr="00EA7FE2" w:rsidRDefault="00EA7FE2" w:rsidP="00B814D2">
      <w:r w:rsidRPr="003346D7">
        <w:rPr>
          <w:b/>
          <w:color w:val="1D336D" w:themeColor="background2"/>
        </w:rPr>
        <w:t>The scale of restoration is dependent on the size of the current mangrove areas and the extent to which these areas are damaged or degraded</w:t>
      </w:r>
      <w:r w:rsidRPr="00EA7FE2">
        <w:t xml:space="preserve">. There is currently no information available on the location and state of Fiji's mangrove areas. The investment is conducting a comprehensive assessment of the distribution and status of mangrove forests in </w:t>
      </w:r>
      <w:proofErr w:type="spellStart"/>
      <w:r w:rsidRPr="00EA7FE2">
        <w:t>Navitilevu</w:t>
      </w:r>
      <w:proofErr w:type="spellEnd"/>
      <w:r w:rsidRPr="00EA7FE2">
        <w:t xml:space="preserve"> Bay and </w:t>
      </w:r>
      <w:proofErr w:type="spellStart"/>
      <w:r w:rsidRPr="00EA7FE2">
        <w:t>Yanuca</w:t>
      </w:r>
      <w:proofErr w:type="spellEnd"/>
      <w:r w:rsidRPr="00EA7FE2">
        <w:t xml:space="preserve"> Island. This will inform the potential of restoration activities and allow for priority site selection for future mangrove restoration based on ecological, social and economic factors.</w:t>
      </w:r>
    </w:p>
    <w:p w14:paraId="3FD0E1E8" w14:textId="1C816EA0" w:rsidR="00EA7FE2" w:rsidRPr="00EA7FE2" w:rsidRDefault="00EA7FE2" w:rsidP="00B814D2">
      <w:r w:rsidRPr="003346D7">
        <w:rPr>
          <w:b/>
          <w:color w:val="1D336D" w:themeColor="background2"/>
        </w:rPr>
        <w:t>The required scale of the project is contingent upon meeting the minimum size necessary to make a meaningful contribution to biodiversity targets</w:t>
      </w:r>
      <w:r w:rsidRPr="00EA7FE2">
        <w:t>. Further research and analysis are warranted to better understand the biodiversity value of the mangroves and the coastal areas surrounding them, including the interrelationships between mangroves and the broader marine and terrestrial ecosystems that influence them.</w:t>
      </w:r>
    </w:p>
    <w:p w14:paraId="4B7746D0" w14:textId="77777777" w:rsidR="00EA7FE2" w:rsidRPr="00EA7FE2" w:rsidRDefault="00EA7FE2" w:rsidP="00B814D2">
      <w:r w:rsidRPr="003346D7">
        <w:rPr>
          <w:b/>
          <w:color w:val="1D336D" w:themeColor="background2"/>
        </w:rPr>
        <w:lastRenderedPageBreak/>
        <w:t>The scale of the project’s impact is dependent on the number of carbon credits that can be generated at the project site</w:t>
      </w:r>
      <w:r w:rsidRPr="00EA7FE2">
        <w:t>. Currently, the pilot site spans only 8 hectares, which is unable to yield a significant impact on biodiversity conservation and climate change mitigation. However, the pilot site serves as a valuable platform for understanding the restoration costs involved and assessing the feasibility of covering these costs through the generation of carbon credits.</w:t>
      </w:r>
    </w:p>
    <w:p w14:paraId="39E488FB" w14:textId="77777777" w:rsidR="00EA7FE2" w:rsidRPr="00EA7FE2" w:rsidRDefault="00EA7FE2" w:rsidP="00B814D2">
      <w:r w:rsidRPr="00EA7FE2">
        <w:t>Obtaining certification for carbon credits entails rigorous processes, including on-site reviews and comprehensive evaluations of project documentation. These certification processes can be costly. However, the larger the project site, the lower the cost of certification per carbon credit. Therefore, by expanding the project site to a larger area, the cost of certification per carbon credit can be lowered. This, in turn, allows for more resources to be allocated towards the actual restoration work and community benefit sharing.</w:t>
      </w:r>
    </w:p>
    <w:p w14:paraId="0F67E2D9" w14:textId="4F5E0AAD" w:rsidR="00EA7FE2" w:rsidRPr="00EA7FE2" w:rsidRDefault="00EA7FE2" w:rsidP="00B814D2">
      <w:r w:rsidRPr="003346D7">
        <w:rPr>
          <w:b/>
          <w:color w:val="1D336D" w:themeColor="background2"/>
        </w:rPr>
        <w:t>Further calculations are necessary to assess whether the current pilot site can be restored with the income generated from carbon credits</w:t>
      </w:r>
      <w:r w:rsidRPr="00EA7FE2">
        <w:t>. The pilot site can be expanded to include 60 hectares of mangroves and 50 hectares of degraded terrestrial forest. While this expanded area is still relatively small, it may be viable depending on the total carbon sequestration capacity of the mangroves and the overall restoration costs associated with the project.</w:t>
      </w:r>
    </w:p>
    <w:p w14:paraId="1F765442" w14:textId="77777777" w:rsidR="00EA7FE2" w:rsidRPr="000309E7" w:rsidRDefault="00EA7FE2" w:rsidP="000309E7">
      <w:pPr>
        <w:pStyle w:val="Heading2"/>
        <w:rPr>
          <w:color w:val="1D336D" w:themeColor="background2"/>
        </w:rPr>
      </w:pPr>
      <w:bookmarkStart w:id="53" w:name="_Toc164783069"/>
      <w:r w:rsidRPr="000309E7">
        <w:rPr>
          <w:color w:val="1D336D" w:themeColor="background2"/>
        </w:rPr>
        <w:t>Governance</w:t>
      </w:r>
      <w:bookmarkEnd w:id="53"/>
      <w:r w:rsidRPr="000309E7">
        <w:rPr>
          <w:color w:val="1D336D" w:themeColor="background2"/>
        </w:rPr>
        <w:t xml:space="preserve"> </w:t>
      </w:r>
    </w:p>
    <w:p w14:paraId="0B974110" w14:textId="6064F09C" w:rsidR="00EA7FE2" w:rsidRPr="00EA7FE2" w:rsidRDefault="00EA7FE2" w:rsidP="00B814D2">
      <w:r w:rsidRPr="00EA7FE2">
        <w:t>This section will address two levels of governance relevant for this investment.</w:t>
      </w:r>
    </w:p>
    <w:p w14:paraId="44A7B46A" w14:textId="77777777" w:rsidR="00EA7FE2" w:rsidRPr="00EA7FE2" w:rsidRDefault="00EA7FE2" w:rsidP="000309E7">
      <w:pPr>
        <w:pStyle w:val="Heading3"/>
      </w:pPr>
      <w:r w:rsidRPr="00EA7FE2">
        <w:t>Investment governance</w:t>
      </w:r>
    </w:p>
    <w:p w14:paraId="70C129C9" w14:textId="77777777" w:rsidR="00EA7FE2" w:rsidRPr="00EA7FE2" w:rsidRDefault="00EA7FE2" w:rsidP="00B814D2">
      <w:r w:rsidRPr="00EA7FE2">
        <w:t>The investment governance aspect encompasses the structures responsible for managing the investment as well as the implementing agencies involved.</w:t>
      </w:r>
    </w:p>
    <w:p w14:paraId="3D6CF7B6" w14:textId="77777777" w:rsidR="00EA7FE2" w:rsidRPr="00EA7FE2" w:rsidRDefault="00EA7FE2" w:rsidP="00B814D2">
      <w:r w:rsidRPr="003346D7">
        <w:rPr>
          <w:b/>
          <w:color w:val="1D336D" w:themeColor="background2"/>
        </w:rPr>
        <w:t>The two pillars of the investment were not adequately integrated through an effective governance structure</w:t>
      </w:r>
      <w:r w:rsidRPr="00EA7FE2">
        <w:t>. Consequently, the coordination between the implementing agencies fell short, leading to insufficient collaboration and cooperation. This lack of coordination resulted in certain tasks either being left unassigned or incomplete by the responsible agency, necessitating the intervention of an alternative agency without the necessary funding allocation.</w:t>
      </w:r>
    </w:p>
    <w:p w14:paraId="1867C5FB" w14:textId="77777777" w:rsidR="00EA7FE2" w:rsidRPr="00EA7FE2" w:rsidRDefault="00EA7FE2" w:rsidP="00B814D2">
      <w:r w:rsidRPr="003346D7">
        <w:rPr>
          <w:b/>
          <w:color w:val="1D336D" w:themeColor="background2"/>
        </w:rPr>
        <w:t>Weak coordination among the implementing agencies led to sub-optimal outcomes in certain activities</w:t>
      </w:r>
      <w:r w:rsidRPr="00EA7FE2">
        <w:t>. For instance, carbon measurement tests were conducted in locations that did not possess the ideal combination of environmental factors, compromising the accuracy and reliability of the results obtained. Additionally, the priorities for adjustments of national and international policies were not well aligned, resulting in competing efforts to address policy frameworks.</w:t>
      </w:r>
    </w:p>
    <w:p w14:paraId="6022DEE3" w14:textId="77777777" w:rsidR="00EA7FE2" w:rsidRPr="00EA7FE2" w:rsidRDefault="00EA7FE2" w:rsidP="000309E7">
      <w:pPr>
        <w:pStyle w:val="Heading3"/>
      </w:pPr>
      <w:r w:rsidRPr="00EA7FE2">
        <w:t>Restoration governance</w:t>
      </w:r>
    </w:p>
    <w:p w14:paraId="34CD86DA" w14:textId="77777777" w:rsidR="00EA7FE2" w:rsidRPr="00EA7FE2" w:rsidRDefault="00EA7FE2" w:rsidP="00B814D2">
      <w:r w:rsidRPr="00EA7FE2">
        <w:t>This section of the report considers the governance structures that need to be established for the long-term management of mangrove restoration, which is anticipated to span at least 30 years.</w:t>
      </w:r>
    </w:p>
    <w:p w14:paraId="05619C0A" w14:textId="3AEE3A5C" w:rsidR="00EA7FE2" w:rsidRPr="00EA7FE2" w:rsidRDefault="00EA7FE2" w:rsidP="00B814D2">
      <w:r w:rsidRPr="003346D7">
        <w:rPr>
          <w:b/>
          <w:color w:val="1D336D" w:themeColor="background2"/>
        </w:rPr>
        <w:t xml:space="preserve">The </w:t>
      </w:r>
      <w:proofErr w:type="spellStart"/>
      <w:r w:rsidRPr="003346D7">
        <w:rPr>
          <w:b/>
          <w:color w:val="1D336D" w:themeColor="background2"/>
        </w:rPr>
        <w:t>GoF</w:t>
      </w:r>
      <w:proofErr w:type="spellEnd"/>
      <w:r w:rsidRPr="003346D7">
        <w:rPr>
          <w:b/>
          <w:color w:val="1D336D" w:themeColor="background2"/>
        </w:rPr>
        <w:t xml:space="preserve"> is planning to lead the national rollout of the mangrove restoration efforts</w:t>
      </w:r>
      <w:r w:rsidRPr="00EA7FE2">
        <w:t xml:space="preserve">. While close collaboration with relevant ministries is underway, the specific management approach and required governance structures are yet to be determined. The close collaboration with </w:t>
      </w:r>
      <w:proofErr w:type="spellStart"/>
      <w:r w:rsidRPr="00EA7FE2">
        <w:t>GoF</w:t>
      </w:r>
      <w:proofErr w:type="spellEnd"/>
      <w:r w:rsidRPr="00EA7FE2">
        <w:t xml:space="preserve"> ensures that the resulting rollout has national ownership and will be fully "localised".</w:t>
      </w:r>
    </w:p>
    <w:p w14:paraId="0CABD91E" w14:textId="77777777" w:rsidR="00EA7FE2" w:rsidRPr="00EA7FE2" w:rsidRDefault="00EA7FE2" w:rsidP="00B814D2">
      <w:r w:rsidRPr="003346D7">
        <w:rPr>
          <w:b/>
          <w:color w:val="1D336D" w:themeColor="background2"/>
        </w:rPr>
        <w:t>The design of the governance structure will, in part, be influenced by the nature of the restoration activities and the mechanisms for sharing the benefits</w:t>
      </w:r>
      <w:r w:rsidRPr="00EA7FE2">
        <w:t>. A benefit sharing manual is currently being developed based on the National REDD+ benefit sharing protocol. The manual will inform ongoing discussions on effective governance structures.</w:t>
      </w:r>
    </w:p>
    <w:p w14:paraId="37B51131" w14:textId="77777777" w:rsidR="00EA7FE2" w:rsidRPr="00EA7FE2" w:rsidRDefault="00EA7FE2" w:rsidP="00B814D2">
      <w:r w:rsidRPr="003346D7">
        <w:rPr>
          <w:b/>
          <w:color w:val="1D336D" w:themeColor="background2"/>
        </w:rPr>
        <w:lastRenderedPageBreak/>
        <w:t>The pilot project is currently testing the necessary governance structures for managing restoration activities at the community level</w:t>
      </w:r>
      <w:r w:rsidRPr="00EA7FE2">
        <w:t>. Currently, a community-level restoration team operates within the village, responsible for implementing daily restoration tasks and measurements. However, further testing and formalisation of the current systems are required to ensure their viability and effectiveness.</w:t>
      </w:r>
    </w:p>
    <w:p w14:paraId="38614E9B" w14:textId="77777777" w:rsidR="00EA7FE2" w:rsidRPr="00FE2B00" w:rsidRDefault="00EA7FE2" w:rsidP="00FE2B00">
      <w:pPr>
        <w:pStyle w:val="Heading2"/>
        <w:rPr>
          <w:color w:val="1D336D" w:themeColor="background2"/>
        </w:rPr>
      </w:pPr>
      <w:bookmarkStart w:id="54" w:name="_Toc164783070"/>
      <w:r w:rsidRPr="00FE2B00">
        <w:rPr>
          <w:color w:val="1D336D" w:themeColor="background2"/>
        </w:rPr>
        <w:t>Gender equality, disability, and social inclusion</w:t>
      </w:r>
      <w:bookmarkEnd w:id="54"/>
      <w:r w:rsidRPr="00FE2B00">
        <w:rPr>
          <w:color w:val="1D336D" w:themeColor="background2"/>
        </w:rPr>
        <w:t xml:space="preserve"> </w:t>
      </w:r>
    </w:p>
    <w:p w14:paraId="081166EE" w14:textId="77777777" w:rsidR="00EA7FE2" w:rsidRPr="00EA7FE2" w:rsidRDefault="00EA7FE2" w:rsidP="00B814D2">
      <w:r w:rsidRPr="00EA7FE2">
        <w:t>Efforts to address Gender Equality, Disability, and Social Inclusion (GEDSI) have been appropriately incorporated into the project; however, the achievement of transformative outcomes in this regard is yet to be realised.</w:t>
      </w:r>
    </w:p>
    <w:p w14:paraId="1EA66B0A" w14:textId="3DC45B7A" w:rsidR="00EA7FE2" w:rsidRPr="00EA7FE2" w:rsidRDefault="00EA7FE2" w:rsidP="00B814D2">
      <w:r w:rsidRPr="003346D7">
        <w:rPr>
          <w:b/>
          <w:color w:val="1D336D" w:themeColor="background2"/>
        </w:rPr>
        <w:t>Standard GEDSI measures are implemented across the investment</w:t>
      </w:r>
      <w:r w:rsidRPr="00250D7A">
        <w:t xml:space="preserve">. Gender and inclusion considerations are integrated into social assessments and research activities, such as the </w:t>
      </w:r>
      <w:r w:rsidR="00250D7A" w:rsidRPr="00250D7A">
        <w:t xml:space="preserve">investment’s </w:t>
      </w:r>
      <w:r w:rsidRPr="00250D7A">
        <w:t>study on Drivers for Deforestation of Mangroves. This integration takes place both as a thematic area, ensuring that gender and inclusion issues are adequately addressed, and as a methodology, ensuring that all groups are consulted and in a way that allows them to effectively provide input. Community engagement is facilitated through gender-disaggregated workshops, enabling the participation of women, youth, and individuals with disabilities. The division of restoration tasks is designed to align with the available capacity of these groups, and work schedules are established in a manner that accommodates existing cultural and family</w:t>
      </w:r>
      <w:r w:rsidR="00442F52">
        <w:t xml:space="preserve"> </w:t>
      </w:r>
      <w:r w:rsidRPr="00EA7FE2">
        <w:t>commitments. This inclusive engagement approach extends to various project activities, including site monitoring, risk assessments, management planning, restoration activities, and livelihoods planning.</w:t>
      </w:r>
    </w:p>
    <w:p w14:paraId="71652969" w14:textId="4B0F6C7D" w:rsidR="00EA7FE2" w:rsidRPr="00EA7FE2" w:rsidRDefault="00EA7FE2" w:rsidP="00B814D2">
      <w:r w:rsidRPr="003346D7">
        <w:rPr>
          <w:b/>
          <w:color w:val="1D336D" w:themeColor="background2"/>
        </w:rPr>
        <w:t>While GEDSI activities have been implemented, there is scope for achieving greater impact</w:t>
      </w:r>
      <w:r w:rsidRPr="00EA7FE2">
        <w:t>. The development of a national mangrove restoration program presents an opportunity to advance transformative GEDSI targets. A gender mainstreaming plan has been developed and expanded in consultation with DFAT. However, this plan has yet to be translated into pilot activities that can inform transformative GEDSI interventions once the program is rolled out.</w:t>
      </w:r>
    </w:p>
    <w:p w14:paraId="50F2859F" w14:textId="4E543192" w:rsidR="00EA7FE2" w:rsidRPr="00442F52" w:rsidRDefault="006551F0" w:rsidP="00442F52">
      <w:pPr>
        <w:pStyle w:val="Heading2"/>
        <w:rPr>
          <w:color w:val="1D336D" w:themeColor="background2"/>
        </w:rPr>
      </w:pPr>
      <w:bookmarkStart w:id="55" w:name="_Toc164783071"/>
      <w:r>
        <w:rPr>
          <w:color w:val="1D336D" w:themeColor="background2"/>
        </w:rPr>
        <w:t>Indigenous</w:t>
      </w:r>
      <w:r w:rsidR="00EA7FE2" w:rsidRPr="00442F52">
        <w:rPr>
          <w:color w:val="1D336D" w:themeColor="background2"/>
        </w:rPr>
        <w:t xml:space="preserve"> Participation</w:t>
      </w:r>
      <w:bookmarkEnd w:id="55"/>
      <w:r w:rsidR="00EA7FE2" w:rsidRPr="00442F52">
        <w:rPr>
          <w:color w:val="1D336D" w:themeColor="background2"/>
        </w:rPr>
        <w:t xml:space="preserve"> </w:t>
      </w:r>
    </w:p>
    <w:p w14:paraId="02FD14EF" w14:textId="132FE27B" w:rsidR="00EA7FE2" w:rsidRPr="00EA7FE2" w:rsidRDefault="00EA7FE2" w:rsidP="00B814D2">
      <w:r w:rsidRPr="003346D7">
        <w:rPr>
          <w:b/>
          <w:color w:val="1D336D" w:themeColor="background2"/>
        </w:rPr>
        <w:t xml:space="preserve">Conservation International recognises the crucial role of </w:t>
      </w:r>
      <w:r w:rsidR="006551F0">
        <w:rPr>
          <w:b/>
          <w:color w:val="1D336D" w:themeColor="background2"/>
        </w:rPr>
        <w:t>Indigenous</w:t>
      </w:r>
      <w:r w:rsidRPr="003346D7">
        <w:rPr>
          <w:b/>
          <w:color w:val="1D336D" w:themeColor="background2"/>
        </w:rPr>
        <w:t xml:space="preserve"> Peoples in the Pacific Blue Carbon Program and actively engages and consults with local communities</w:t>
      </w:r>
      <w:r w:rsidRPr="00EA7FE2">
        <w:t xml:space="preserve">. </w:t>
      </w:r>
      <w:r w:rsidR="006551F0">
        <w:t>Indigenous</w:t>
      </w:r>
      <w:r w:rsidRPr="00EA7FE2">
        <w:t xml:space="preserve"> communities are empowered to lead the work, and their perspectives are sought in decision-making processes. The program emphasises a co-design approach, ensuring that </w:t>
      </w:r>
      <w:r w:rsidR="006551F0">
        <w:t>Indigenous</w:t>
      </w:r>
      <w:r w:rsidRPr="00EA7FE2">
        <w:t xml:space="preserve"> voices are fully integrated and considered in establishing future governance structures. This approach aims to ensure that </w:t>
      </w:r>
      <w:r w:rsidR="006551F0">
        <w:t>Indigenous</w:t>
      </w:r>
      <w:r w:rsidRPr="00EA7FE2">
        <w:t xml:space="preserve"> participation is meaningful and respected throughout the program.</w:t>
      </w:r>
    </w:p>
    <w:p w14:paraId="196E2A17" w14:textId="2F1032F2" w:rsidR="00EA7FE2" w:rsidRPr="00EA7FE2" w:rsidRDefault="00EA7FE2" w:rsidP="00B814D2">
      <w:r w:rsidRPr="003346D7">
        <w:rPr>
          <w:b/>
          <w:color w:val="1D336D" w:themeColor="background2"/>
        </w:rPr>
        <w:t>The pilot project successfully integrates Traditional Knowledge into its activities</w:t>
      </w:r>
      <w:r w:rsidRPr="00EA7FE2">
        <w:t xml:space="preserve">. Local community members have actively contributed their relevant Traditional Knowledge, which has been included in project activities such as the comparative testing of mangrove seedling propagation methods. This inclusive approach not only acknowledges the value of Traditional Knowledge but also prioritises its adoption as the preferred method moving forward. By incorporating </w:t>
      </w:r>
      <w:r w:rsidR="006551F0">
        <w:t>Indigenous</w:t>
      </w:r>
      <w:r w:rsidRPr="00EA7FE2">
        <w:t xml:space="preserve"> knowledge systems, the program enhances its effectiveness and sustainability.</w:t>
      </w:r>
    </w:p>
    <w:p w14:paraId="32517ACA" w14:textId="5C9EE776" w:rsidR="00EA7FE2" w:rsidRPr="00EA7FE2" w:rsidRDefault="00EA7FE2" w:rsidP="00B814D2">
      <w:r w:rsidRPr="003346D7">
        <w:rPr>
          <w:b/>
          <w:color w:val="1D336D" w:themeColor="background2"/>
        </w:rPr>
        <w:t xml:space="preserve">The investment facilitates the transfer of </w:t>
      </w:r>
      <w:r w:rsidR="006551F0">
        <w:rPr>
          <w:b/>
          <w:color w:val="1D336D" w:themeColor="background2"/>
        </w:rPr>
        <w:t>Indigenous</w:t>
      </w:r>
      <w:r w:rsidRPr="003346D7">
        <w:rPr>
          <w:b/>
          <w:color w:val="1D336D" w:themeColor="background2"/>
        </w:rPr>
        <w:t xml:space="preserve"> Knowledge through an exchange program between First Nation</w:t>
      </w:r>
      <w:r w:rsidR="008E2C5C">
        <w:rPr>
          <w:b/>
          <w:color w:val="1D336D" w:themeColor="background2"/>
        </w:rPr>
        <w:t>s</w:t>
      </w:r>
      <w:r w:rsidRPr="003346D7">
        <w:rPr>
          <w:b/>
          <w:color w:val="1D336D" w:themeColor="background2"/>
        </w:rPr>
        <w:t xml:space="preserve"> communities in Australia and Fijian communities</w:t>
      </w:r>
      <w:r w:rsidRPr="00EA7FE2">
        <w:t xml:space="preserve">. The investment aims to promote learning and collaboration among </w:t>
      </w:r>
      <w:r w:rsidR="006551F0">
        <w:t>Indigenous</w:t>
      </w:r>
      <w:r w:rsidRPr="00EA7FE2">
        <w:t xml:space="preserve"> communities, guided by the objectives and learning outcomes identified by the communities themselves and the Ministry of </w:t>
      </w:r>
      <w:proofErr w:type="spellStart"/>
      <w:r w:rsidRPr="00EA7FE2">
        <w:t>iTaukei</w:t>
      </w:r>
      <w:proofErr w:type="spellEnd"/>
      <w:r w:rsidRPr="00EA7FE2">
        <w:t xml:space="preserve"> Affairs' Village Development Plans. By fostering partnerships and exchanges, the investment supports the sharing and preservation of </w:t>
      </w:r>
      <w:r w:rsidR="006551F0">
        <w:t>Indigenous</w:t>
      </w:r>
      <w:r w:rsidRPr="00EA7FE2">
        <w:t xml:space="preserve"> knowledge, contributing to the long-term success of the program.</w:t>
      </w:r>
    </w:p>
    <w:p w14:paraId="7AE06754" w14:textId="67EE1E28" w:rsidR="00EA7FE2" w:rsidRPr="00EA7FE2" w:rsidRDefault="00EA7FE2" w:rsidP="00B814D2">
      <w:r w:rsidRPr="003346D7">
        <w:rPr>
          <w:b/>
          <w:color w:val="1D336D" w:themeColor="background2"/>
        </w:rPr>
        <w:lastRenderedPageBreak/>
        <w:t xml:space="preserve">The investment adheres to the principles of free, prior, and informed consent (FPIC) as outlined in the United Nations Declaration on the Rights of </w:t>
      </w:r>
      <w:r w:rsidR="006551F0">
        <w:rPr>
          <w:b/>
          <w:color w:val="1D336D" w:themeColor="background2"/>
        </w:rPr>
        <w:t>Indigenous</w:t>
      </w:r>
      <w:r w:rsidRPr="003346D7">
        <w:rPr>
          <w:b/>
          <w:color w:val="1D336D" w:themeColor="background2"/>
        </w:rPr>
        <w:t xml:space="preserve"> Peoples (UNDRIP)</w:t>
      </w:r>
      <w:r w:rsidRPr="00E4539A">
        <w:t>.</w:t>
      </w:r>
      <w:r w:rsidR="007C28D4" w:rsidRPr="00E4539A">
        <w:rPr>
          <w:rStyle w:val="FootnoteReference"/>
        </w:rPr>
        <w:footnoteReference w:id="24"/>
      </w:r>
      <w:r w:rsidRPr="00E4539A">
        <w:t xml:space="preserve"> The program ensures that </w:t>
      </w:r>
      <w:r w:rsidR="006551F0">
        <w:t>Indigenous</w:t>
      </w:r>
      <w:r w:rsidRPr="00E4539A">
        <w:t xml:space="preserve"> Peoples and local communities with statutory or customary rights have the opportunity to negotiate the conditions of the project and participate through their own representatives. Additionally, the program recognises the importance of gender inclusion and aims to involve </w:t>
      </w:r>
      <w:r w:rsidR="006551F0">
        <w:t>Indigenous</w:t>
      </w:r>
      <w:r w:rsidRPr="00E4539A">
        <w:t xml:space="preserve"> women and girls at all stages, including the FPIC process, to avoid marginalisation and promote their effective and equal participation.</w:t>
      </w:r>
    </w:p>
    <w:p w14:paraId="0DE8FA74" w14:textId="77777777" w:rsidR="00EA7FE2" w:rsidRPr="003C15F4" w:rsidRDefault="00EA7FE2" w:rsidP="003C15F4">
      <w:pPr>
        <w:pStyle w:val="Heading2"/>
        <w:rPr>
          <w:color w:val="1D336D" w:themeColor="background2"/>
        </w:rPr>
      </w:pPr>
      <w:bookmarkStart w:id="56" w:name="_Toc164783072"/>
      <w:r w:rsidRPr="003C15F4">
        <w:rPr>
          <w:color w:val="1D336D" w:themeColor="background2"/>
        </w:rPr>
        <w:t>Safeguards</w:t>
      </w:r>
      <w:bookmarkEnd w:id="56"/>
    </w:p>
    <w:p w14:paraId="3DDCEE36" w14:textId="77777777" w:rsidR="00EA7FE2" w:rsidRPr="00EA7FE2" w:rsidRDefault="00EA7FE2" w:rsidP="00B814D2">
      <w:r w:rsidRPr="00EA7FE2">
        <w:t>While social and environmental safeguards appear to be implemented, there is a need for further formalisation and systematisation of these measures.</w:t>
      </w:r>
    </w:p>
    <w:p w14:paraId="5FAB5EB0" w14:textId="77777777" w:rsidR="00EA7FE2" w:rsidRPr="00EA7FE2" w:rsidRDefault="00EA7FE2" w:rsidP="00B814D2">
      <w:r w:rsidRPr="003346D7">
        <w:rPr>
          <w:b/>
          <w:color w:val="1D336D" w:themeColor="background2"/>
        </w:rPr>
        <w:t>Throughout the implementation of activities, several safeguards have been utilised to ensure the protection of social and environmental elements</w:t>
      </w:r>
      <w:r w:rsidRPr="00EA7FE2">
        <w:t>. For instance, when conducting surveys or engaging in community consultations, social safeguards are employed to secure free, prior, and informed consent, while upholding rights-based conservation principles.</w:t>
      </w:r>
    </w:p>
    <w:p w14:paraId="4C5C744E" w14:textId="308F60A7" w:rsidR="00EA7FE2" w:rsidRPr="005A5727" w:rsidRDefault="00EA7FE2" w:rsidP="00B814D2">
      <w:r w:rsidRPr="003346D7">
        <w:rPr>
          <w:b/>
          <w:color w:val="1D336D" w:themeColor="background2"/>
        </w:rPr>
        <w:t>Environmental safeguards appear to be in place, and project implementation demonstrates a well- established awareness of potential risks</w:t>
      </w:r>
      <w:r w:rsidRPr="005A5727">
        <w:t>. For instance, in the exploration of beekeeping as a potential source of income, local bees have been utilised to mitigate the impacts of introduced species. Additionally, the potential risks to other pollinators have been assessed, demonstrating a proactive approach to safeguarding local ecosystems.</w:t>
      </w:r>
    </w:p>
    <w:p w14:paraId="11E6C388" w14:textId="77777777" w:rsidR="00EA7FE2" w:rsidRPr="00EA7FE2" w:rsidRDefault="00EA7FE2" w:rsidP="00B814D2">
      <w:r w:rsidRPr="003346D7">
        <w:rPr>
          <w:b/>
          <w:color w:val="1D336D" w:themeColor="background2"/>
        </w:rPr>
        <w:t>To enhance the effectiveness of safeguard systems, a more systematic approach is required</w:t>
      </w:r>
      <w:r w:rsidRPr="003346D7">
        <w:rPr>
          <w:color w:val="1D336D" w:themeColor="background2"/>
        </w:rPr>
        <w:t xml:space="preserve">. </w:t>
      </w:r>
      <w:r w:rsidRPr="005A5727">
        <w:t>Currently, there is a lack of records documenting safeguard implementation, including clear policies, stakeholder information, complaint mechanisms, monitoring checklists, and documentation of processes, assessments, and actions taken. To strengthen the safeguard framework, it is crucial to establish clear policies and guidelines, provide relevant information to stakeholders, establish effective complaint mechanisms, and develop comprehensive monitoring checklists. Documentation of processes, assessments, and actions taken should also be prioritised to ensure transparency and accountability.</w:t>
      </w:r>
    </w:p>
    <w:p w14:paraId="4797D3B2" w14:textId="77777777" w:rsidR="00D42675" w:rsidRDefault="00D42675">
      <w:pPr>
        <w:spacing w:after="0" w:line="240" w:lineRule="auto"/>
        <w:rPr>
          <w:b/>
          <w:iCs/>
          <w:color w:val="1D336D" w:themeColor="background2"/>
          <w:sz w:val="22"/>
          <w:szCs w:val="18"/>
        </w:rPr>
      </w:pPr>
      <w:r>
        <w:rPr>
          <w:color w:val="1D336D" w:themeColor="background2"/>
        </w:rPr>
        <w:br w:type="page"/>
      </w:r>
    </w:p>
    <w:p w14:paraId="2E68D4EF" w14:textId="63FCAEB2" w:rsidR="00551B64" w:rsidRPr="00551B64" w:rsidRDefault="00551B64" w:rsidP="00551B64">
      <w:pPr>
        <w:pStyle w:val="Caption"/>
        <w:keepNext/>
        <w:rPr>
          <w:color w:val="1D336D" w:themeColor="background2"/>
        </w:rPr>
      </w:pPr>
      <w:r w:rsidRPr="00551B64">
        <w:rPr>
          <w:color w:val="1D336D" w:themeColor="background2"/>
        </w:rPr>
        <w:lastRenderedPageBreak/>
        <w:t xml:space="preserve">Table </w:t>
      </w:r>
      <w:r w:rsidRPr="00551B64">
        <w:rPr>
          <w:color w:val="1D336D" w:themeColor="background2"/>
        </w:rPr>
        <w:fldChar w:fldCharType="begin"/>
      </w:r>
      <w:r w:rsidRPr="00551B64">
        <w:rPr>
          <w:color w:val="1D336D" w:themeColor="background2"/>
        </w:rPr>
        <w:instrText xml:space="preserve"> SEQ Table \* ARABIC </w:instrText>
      </w:r>
      <w:r w:rsidRPr="00551B64">
        <w:rPr>
          <w:color w:val="1D336D" w:themeColor="background2"/>
        </w:rPr>
        <w:fldChar w:fldCharType="separate"/>
      </w:r>
      <w:r w:rsidR="003103FE">
        <w:rPr>
          <w:noProof/>
          <w:color w:val="1D336D" w:themeColor="background2"/>
        </w:rPr>
        <w:t>10</w:t>
      </w:r>
      <w:r w:rsidRPr="00551B64">
        <w:rPr>
          <w:color w:val="1D336D" w:themeColor="background2"/>
        </w:rPr>
        <w:fldChar w:fldCharType="end"/>
      </w:r>
      <w:r w:rsidRPr="00551B64">
        <w:rPr>
          <w:color w:val="1D336D" w:themeColor="background2"/>
        </w:rPr>
        <w:t>: Key investment findings (Pacific Blue Carbon)</w:t>
      </w:r>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8C6FEB" w:rsidRPr="00AC51BB" w14:paraId="76CE8E03" w14:textId="77777777" w:rsidTr="006E73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15F1C9E" w14:textId="77777777" w:rsidR="008C6FEB" w:rsidRPr="00AC51BB" w:rsidRDefault="008C6FEB">
            <w:pPr>
              <w:jc w:val="center"/>
              <w:rPr>
                <w:b/>
                <w:bCs/>
                <w:color w:val="1D336D" w:themeColor="background2"/>
              </w:rPr>
            </w:pPr>
            <w:r w:rsidRPr="00AC51BB">
              <w:rPr>
                <w:b/>
                <w:bCs/>
                <w:color w:val="1D336D" w:themeColor="background2"/>
              </w:rPr>
              <w:t>#</w:t>
            </w:r>
          </w:p>
        </w:tc>
        <w:tc>
          <w:tcPr>
            <w:tcW w:w="8924" w:type="dxa"/>
            <w:shd w:val="clear" w:color="auto" w:fill="F2F2F2" w:themeFill="background1" w:themeFillShade="F2"/>
          </w:tcPr>
          <w:p w14:paraId="18D9CE5D" w14:textId="77777777" w:rsidR="008C6FEB" w:rsidRPr="00AC51BB" w:rsidRDefault="008C6FEB">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sidRPr="00AC51BB">
              <w:rPr>
                <w:b/>
                <w:bCs/>
                <w:color w:val="1D336D" w:themeColor="background2"/>
              </w:rPr>
              <w:t>Finding</w:t>
            </w:r>
          </w:p>
        </w:tc>
      </w:tr>
      <w:tr w:rsidR="008C6FEB" w:rsidRPr="002E2558" w14:paraId="7E2411A6"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F24C29F" w14:textId="1B38F7E9" w:rsidR="008C6FEB" w:rsidRDefault="008C6FEB">
            <w:pPr>
              <w:jc w:val="center"/>
              <w:rPr>
                <w:b/>
                <w:bCs/>
                <w:color w:val="1D336D" w:themeColor="background2"/>
              </w:rPr>
            </w:pPr>
            <w:r>
              <w:rPr>
                <w:b/>
                <w:bCs/>
                <w:color w:val="1D336D" w:themeColor="background2"/>
              </w:rPr>
              <w:t>2</w:t>
            </w:r>
            <w:r w:rsidR="00A55C35">
              <w:rPr>
                <w:b/>
                <w:bCs/>
                <w:color w:val="1D336D" w:themeColor="background2"/>
              </w:rPr>
              <w:t>3</w:t>
            </w:r>
          </w:p>
        </w:tc>
        <w:tc>
          <w:tcPr>
            <w:tcW w:w="8924" w:type="dxa"/>
            <w:shd w:val="clear" w:color="auto" w:fill="auto"/>
          </w:tcPr>
          <w:p w14:paraId="204B2701" w14:textId="77777777" w:rsidR="008C6FEB" w:rsidRPr="002E2558" w:rsidRDefault="008C6FEB">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2E2558">
              <w:rPr>
                <w:b/>
                <w:bCs/>
                <w:i/>
                <w:iCs/>
                <w:color w:val="1D336D" w:themeColor="background2"/>
              </w:rPr>
              <w:t xml:space="preserve">The project has provided comprehensive policy recommendations to the Government of Fiji </w:t>
            </w:r>
            <w:r w:rsidRPr="002E2558">
              <w:rPr>
                <w:i/>
                <w:iCs/>
                <w:color w:val="1D336D" w:themeColor="background2"/>
              </w:rPr>
              <w:t>(</w:t>
            </w:r>
            <w:proofErr w:type="spellStart"/>
            <w:r w:rsidRPr="002E2558">
              <w:rPr>
                <w:i/>
                <w:iCs/>
                <w:color w:val="1D336D" w:themeColor="background2"/>
              </w:rPr>
              <w:t>GoF</w:t>
            </w:r>
            <w:proofErr w:type="spellEnd"/>
            <w:r w:rsidRPr="002E2558">
              <w:rPr>
                <w:i/>
                <w:iCs/>
                <w:color w:val="1D336D" w:themeColor="background2"/>
              </w:rPr>
              <w:t xml:space="preserve">), including reports on drivers of deforestation, carbon financing options, benefit sharing, and carbon trading policies. The inputs enable the </w:t>
            </w:r>
            <w:proofErr w:type="spellStart"/>
            <w:r w:rsidRPr="002E2558">
              <w:rPr>
                <w:i/>
                <w:iCs/>
                <w:color w:val="1D336D" w:themeColor="background2"/>
              </w:rPr>
              <w:t>GoF</w:t>
            </w:r>
            <w:proofErr w:type="spellEnd"/>
            <w:r w:rsidRPr="002E2558">
              <w:rPr>
                <w:i/>
                <w:iCs/>
                <w:color w:val="1D336D" w:themeColor="background2"/>
              </w:rPr>
              <w:t xml:space="preserve"> to design and commit to the rollout at national level. The contributions could have been even greater if the investment governance would have facilitated effective coordination between the investment partners.</w:t>
            </w:r>
          </w:p>
        </w:tc>
      </w:tr>
      <w:tr w:rsidR="008C6FEB" w:rsidRPr="002E2558" w14:paraId="35DABE58"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48C607AA" w14:textId="738B61A9" w:rsidR="008C6FEB" w:rsidRDefault="008C6FEB">
            <w:pPr>
              <w:jc w:val="center"/>
              <w:rPr>
                <w:b/>
                <w:bCs/>
                <w:color w:val="1D336D" w:themeColor="background2"/>
              </w:rPr>
            </w:pPr>
            <w:r>
              <w:rPr>
                <w:b/>
                <w:bCs/>
                <w:color w:val="1D336D" w:themeColor="background2"/>
              </w:rPr>
              <w:t>2</w:t>
            </w:r>
            <w:r w:rsidR="00A55C35">
              <w:rPr>
                <w:b/>
                <w:bCs/>
                <w:color w:val="1D336D" w:themeColor="background2"/>
              </w:rPr>
              <w:t>4</w:t>
            </w:r>
          </w:p>
        </w:tc>
        <w:tc>
          <w:tcPr>
            <w:tcW w:w="8924" w:type="dxa"/>
            <w:shd w:val="clear" w:color="auto" w:fill="auto"/>
          </w:tcPr>
          <w:p w14:paraId="7020D00F" w14:textId="77777777" w:rsidR="008C6FEB" w:rsidRPr="002E2558" w:rsidRDefault="008C6FEB">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2E2558">
              <w:rPr>
                <w:b/>
                <w:bCs/>
                <w:i/>
                <w:iCs/>
                <w:color w:val="1D336D" w:themeColor="background2"/>
              </w:rPr>
              <w:t>An ongoing pilot project demonstrates the feasibility of certified blue carbon credits</w:t>
            </w:r>
            <w:r w:rsidRPr="002E2558">
              <w:rPr>
                <w:i/>
                <w:iCs/>
                <w:color w:val="1D336D" w:themeColor="background2"/>
              </w:rPr>
              <w:t xml:space="preserve">. Extensive testing and evaluation of various aspects of the restoration process have been conducted, including involvement of youth, women, and individuals with disabilities, debris removal, and nursery establishment. Discussions with the </w:t>
            </w:r>
            <w:proofErr w:type="spellStart"/>
            <w:r w:rsidRPr="002E2558">
              <w:rPr>
                <w:i/>
                <w:iCs/>
                <w:color w:val="1D336D" w:themeColor="background2"/>
              </w:rPr>
              <w:t>GoF</w:t>
            </w:r>
            <w:proofErr w:type="spellEnd"/>
            <w:r w:rsidRPr="002E2558">
              <w:rPr>
                <w:i/>
                <w:iCs/>
                <w:color w:val="1D336D" w:themeColor="background2"/>
              </w:rPr>
              <w:t xml:space="preserve"> are underway, and the project is being registered with a recognised carbon credit certification body. A well-documented overview of the approach could be valuable for other </w:t>
            </w:r>
            <w:proofErr w:type="spellStart"/>
            <w:r w:rsidRPr="002E2558">
              <w:rPr>
                <w:i/>
                <w:iCs/>
                <w:color w:val="1D336D" w:themeColor="background2"/>
              </w:rPr>
              <w:t>NbS</w:t>
            </w:r>
            <w:proofErr w:type="spellEnd"/>
            <w:r w:rsidRPr="002E2558">
              <w:rPr>
                <w:i/>
                <w:iCs/>
                <w:color w:val="1D336D" w:themeColor="background2"/>
              </w:rPr>
              <w:t xml:space="preserve"> investments.</w:t>
            </w:r>
          </w:p>
        </w:tc>
      </w:tr>
      <w:tr w:rsidR="008C6FEB" w:rsidRPr="002E2558" w14:paraId="56766306"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3C50937" w14:textId="452E7D31" w:rsidR="008C6FEB" w:rsidRDefault="008C6FEB">
            <w:pPr>
              <w:jc w:val="center"/>
              <w:rPr>
                <w:b/>
                <w:bCs/>
                <w:color w:val="1D336D" w:themeColor="background2"/>
              </w:rPr>
            </w:pPr>
            <w:r>
              <w:rPr>
                <w:b/>
                <w:bCs/>
                <w:color w:val="1D336D" w:themeColor="background2"/>
              </w:rPr>
              <w:t>2</w:t>
            </w:r>
            <w:r w:rsidR="00A55C35">
              <w:rPr>
                <w:b/>
                <w:bCs/>
                <w:color w:val="1D336D" w:themeColor="background2"/>
              </w:rPr>
              <w:t>5</w:t>
            </w:r>
          </w:p>
        </w:tc>
        <w:tc>
          <w:tcPr>
            <w:tcW w:w="8924" w:type="dxa"/>
            <w:shd w:val="clear" w:color="auto" w:fill="auto"/>
          </w:tcPr>
          <w:p w14:paraId="58FF5540" w14:textId="77777777" w:rsidR="008C6FEB" w:rsidRPr="002E2558" w:rsidRDefault="008C6FEB">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2E2558">
              <w:rPr>
                <w:b/>
                <w:bCs/>
                <w:i/>
                <w:iCs/>
                <w:color w:val="1D336D" w:themeColor="background2"/>
              </w:rPr>
              <w:t>Significant progress has been made in managing and restoring additional mangrove areas beyond the carbon credit pilot site</w:t>
            </w:r>
            <w:r w:rsidRPr="002E2558">
              <w:rPr>
                <w:i/>
                <w:iCs/>
                <w:color w:val="1D336D" w:themeColor="background2"/>
              </w:rPr>
              <w:t xml:space="preserve">. A comprehensive restoration approach has been implemented, with the establishment of nurseries to facilitate the process. Extensive consultations with communities and surveys on livelihoods have been conducted to ensure sustainable mangrove use and identify opportunities for livelihood improvement. The combination of </w:t>
            </w:r>
            <w:proofErr w:type="spellStart"/>
            <w:r w:rsidRPr="002E2558">
              <w:rPr>
                <w:i/>
                <w:iCs/>
                <w:color w:val="1D336D" w:themeColor="background2"/>
              </w:rPr>
              <w:t>NbS</w:t>
            </w:r>
            <w:proofErr w:type="spellEnd"/>
            <w:r w:rsidRPr="002E2558">
              <w:rPr>
                <w:i/>
                <w:iCs/>
                <w:color w:val="1D336D" w:themeColor="background2"/>
              </w:rPr>
              <w:t xml:space="preserve"> piloting with policy and science support is useful as a learning opportunity for other </w:t>
            </w:r>
            <w:proofErr w:type="spellStart"/>
            <w:r w:rsidRPr="002E2558">
              <w:rPr>
                <w:i/>
                <w:iCs/>
                <w:color w:val="1D336D" w:themeColor="background2"/>
              </w:rPr>
              <w:t>NbS</w:t>
            </w:r>
            <w:proofErr w:type="spellEnd"/>
            <w:r w:rsidRPr="002E2558">
              <w:rPr>
                <w:i/>
                <w:iCs/>
                <w:color w:val="1D336D" w:themeColor="background2"/>
              </w:rPr>
              <w:t xml:space="preserve"> investments.</w:t>
            </w:r>
          </w:p>
        </w:tc>
      </w:tr>
    </w:tbl>
    <w:p w14:paraId="59D5C064" w14:textId="77777777" w:rsidR="003B04F5" w:rsidRDefault="003B04F5">
      <w:pPr>
        <w:spacing w:after="0" w:line="240" w:lineRule="auto"/>
      </w:pPr>
      <w:r>
        <w:br w:type="page"/>
      </w:r>
    </w:p>
    <w:p w14:paraId="57BAA6FD" w14:textId="1EFB1ED8" w:rsidR="00EA7FE2" w:rsidRPr="00EA7FE2" w:rsidRDefault="00EA7FE2" w:rsidP="00F5185C">
      <w:pPr>
        <w:pStyle w:val="Heading1"/>
      </w:pPr>
      <w:bookmarkStart w:id="57" w:name="_Toc164783073"/>
      <w:r w:rsidRPr="00EA7FE2">
        <w:lastRenderedPageBreak/>
        <w:t>THE CORAL REEF INNOVATION PROJECT</w:t>
      </w:r>
      <w:bookmarkEnd w:id="57"/>
      <w:r w:rsidRPr="00EA7FE2">
        <w:tab/>
      </w:r>
    </w:p>
    <w:p w14:paraId="2EA51D97" w14:textId="77777777" w:rsidR="00EA7FE2" w:rsidRPr="00F5185C" w:rsidRDefault="00EA7FE2" w:rsidP="00F5185C">
      <w:pPr>
        <w:pStyle w:val="Heading2"/>
        <w:rPr>
          <w:color w:val="1D336D" w:themeColor="background2"/>
        </w:rPr>
      </w:pPr>
      <w:bookmarkStart w:id="58" w:name="_Toc164783074"/>
      <w:r w:rsidRPr="00F5185C">
        <w:rPr>
          <w:color w:val="1D336D" w:themeColor="background2"/>
        </w:rPr>
        <w:t>Overview</w:t>
      </w:r>
      <w:bookmarkEnd w:id="58"/>
      <w:r w:rsidRPr="00F5185C">
        <w:rPr>
          <w:color w:val="1D336D" w:themeColor="background2"/>
        </w:rPr>
        <w:t xml:space="preserve"> </w:t>
      </w:r>
    </w:p>
    <w:p w14:paraId="0F6CEFFE" w14:textId="77777777" w:rsidR="00EA7FE2" w:rsidRPr="00EA7FE2" w:rsidRDefault="00EA7FE2" w:rsidP="00B814D2">
      <w:r w:rsidRPr="00EA7FE2">
        <w:t xml:space="preserve">The Coral Reef Innovation Project (CRIP), also referred to as </w:t>
      </w:r>
      <w:proofErr w:type="spellStart"/>
      <w:r w:rsidRPr="00EA7FE2">
        <w:t>ReefCloud</w:t>
      </w:r>
      <w:proofErr w:type="spellEnd"/>
      <w:r w:rsidRPr="00EA7FE2">
        <w:t xml:space="preserve">, represents a $6.6 million investment spanning three years (2023 – 2025). Its primary objective is to pilot the </w:t>
      </w:r>
      <w:proofErr w:type="spellStart"/>
      <w:r w:rsidRPr="00EA7FE2">
        <w:t>ReefCloud</w:t>
      </w:r>
      <w:proofErr w:type="spellEnd"/>
      <w:r w:rsidRPr="00EA7FE2">
        <w:t xml:space="preserve"> platform, an innovative and integrated coral reef monitoring tool, in two Pacific Island countries: Palau and Fiji. Developed by the Australian Institute of Marine Science (AIMS), the </w:t>
      </w:r>
      <w:proofErr w:type="spellStart"/>
      <w:r w:rsidRPr="00EA7FE2">
        <w:t>ReefCloud</w:t>
      </w:r>
      <w:proofErr w:type="spellEnd"/>
      <w:r w:rsidRPr="00EA7FE2">
        <w:t xml:space="preserve"> platform serves as an end-to-end solution for consolidating existing coral reef monitoring information into a centralised and integrated tool. This tool facilitates the assessment of global coral reef conditions and monitors changes over time, thereby enabling the evaluation of management effectiveness.</w:t>
      </w:r>
    </w:p>
    <w:p w14:paraId="613F9759" w14:textId="77777777" w:rsidR="00EA7FE2" w:rsidRPr="00EA7FE2" w:rsidRDefault="00EA7FE2" w:rsidP="00B814D2">
      <w:r w:rsidRPr="00EA7FE2">
        <w:t xml:space="preserve">The overarching goal of the Coral Reef Innovation Project is to promote integrated coral reef monitoring in the Pacific region. By doing so, it aims to facilitate well-informed management decisions that not only enhance the resilience of coral reefs but also support the development of sustainable livelihoods. Through the implementation of the </w:t>
      </w:r>
      <w:proofErr w:type="spellStart"/>
      <w:r w:rsidRPr="00EA7FE2">
        <w:t>ReefCloud</w:t>
      </w:r>
      <w:proofErr w:type="spellEnd"/>
      <w:r w:rsidRPr="00EA7FE2">
        <w:t xml:space="preserve"> platform, the project seeks to establish a robust foundation for effective coral reef management, combining scientific data with practical decision-making tools.</w:t>
      </w:r>
    </w:p>
    <w:p w14:paraId="0FBE9EFD" w14:textId="5EABBFB7" w:rsidR="00137CD2" w:rsidRPr="00137CD2" w:rsidRDefault="00EA7FE2" w:rsidP="00137CD2">
      <w:pPr>
        <w:pStyle w:val="Heading2"/>
        <w:rPr>
          <w:color w:val="1D336D" w:themeColor="background2"/>
        </w:rPr>
      </w:pPr>
      <w:bookmarkStart w:id="59" w:name="_Toc164783075"/>
      <w:r w:rsidRPr="00137CD2">
        <w:rPr>
          <w:color w:val="1D336D" w:themeColor="background2"/>
        </w:rPr>
        <w:t>Performance against intended outcomes</w:t>
      </w:r>
      <w:bookmarkEnd w:id="59"/>
      <w:r w:rsidRPr="00137CD2">
        <w:rPr>
          <w:color w:val="1D336D" w:themeColor="background2"/>
        </w:rPr>
        <w:t xml:space="preserve"> </w:t>
      </w:r>
    </w:p>
    <w:p w14:paraId="07EC5C67" w14:textId="7977A4EB" w:rsidR="00EA7FE2" w:rsidRPr="00EA7FE2" w:rsidRDefault="00EA7FE2" w:rsidP="00CF2936">
      <w:pPr>
        <w:pStyle w:val="Heading3"/>
      </w:pPr>
      <w:proofErr w:type="spellStart"/>
      <w:r w:rsidRPr="00EA7FE2">
        <w:t>ReefCloud</w:t>
      </w:r>
      <w:proofErr w:type="spellEnd"/>
      <w:r w:rsidRPr="00EA7FE2">
        <w:t xml:space="preserve"> End of Program Outcomes</w:t>
      </w:r>
    </w:p>
    <w:p w14:paraId="7FEAC23A" w14:textId="32AA4AA6" w:rsidR="00EA7FE2" w:rsidRPr="00EA7FE2" w:rsidRDefault="00EA7FE2" w:rsidP="007E373C">
      <w:pPr>
        <w:pStyle w:val="ListParagraph"/>
        <w:numPr>
          <w:ilvl w:val="0"/>
          <w:numId w:val="42"/>
        </w:numPr>
      </w:pPr>
      <w:r w:rsidRPr="007E373C">
        <w:rPr>
          <w:b/>
          <w:color w:val="1D336D" w:themeColor="background2"/>
        </w:rPr>
        <w:t>EOPO 1:</w:t>
      </w:r>
      <w:r w:rsidRPr="003346D7">
        <w:rPr>
          <w:color w:val="1D336D" w:themeColor="background2"/>
        </w:rPr>
        <w:t xml:space="preserve"> </w:t>
      </w:r>
      <w:r w:rsidRPr="00EA7FE2">
        <w:t>On ground action: Pacific developing nations contribute to co-develop and pilot on-ground an effective coral reef monitoring platform.</w:t>
      </w:r>
      <w:r w:rsidR="007E373C">
        <w:br/>
      </w:r>
    </w:p>
    <w:p w14:paraId="29E1C18F" w14:textId="384FE109" w:rsidR="00EA7FE2" w:rsidRPr="00EA7FE2" w:rsidRDefault="00EA7FE2" w:rsidP="007E373C">
      <w:pPr>
        <w:pStyle w:val="ListParagraph"/>
        <w:numPr>
          <w:ilvl w:val="0"/>
          <w:numId w:val="42"/>
        </w:numPr>
      </w:pPr>
      <w:r w:rsidRPr="007E373C">
        <w:rPr>
          <w:b/>
          <w:color w:val="1D336D" w:themeColor="background2"/>
        </w:rPr>
        <w:t>EOPO 2:</w:t>
      </w:r>
      <w:r w:rsidRPr="003346D7">
        <w:rPr>
          <w:color w:val="1D336D" w:themeColor="background2"/>
        </w:rPr>
        <w:t xml:space="preserve"> </w:t>
      </w:r>
      <w:r w:rsidRPr="00EA7FE2">
        <w:t>Empowering people: Pacific coral reef scientists and managers are empowered to use integrated monitoring systems to report on the status of coral reefs.</w:t>
      </w:r>
      <w:r w:rsidR="007E373C">
        <w:br/>
      </w:r>
    </w:p>
    <w:p w14:paraId="176E0782" w14:textId="1CDE0DD6" w:rsidR="00EA7FE2" w:rsidRPr="00EA7FE2" w:rsidRDefault="00EA7FE2" w:rsidP="00B814D2">
      <w:pPr>
        <w:pStyle w:val="ListParagraph"/>
        <w:numPr>
          <w:ilvl w:val="0"/>
          <w:numId w:val="42"/>
        </w:numPr>
      </w:pPr>
      <w:r w:rsidRPr="007E373C">
        <w:rPr>
          <w:b/>
          <w:color w:val="1D336D" w:themeColor="background2"/>
        </w:rPr>
        <w:t>EOPO 3:</w:t>
      </w:r>
      <w:r w:rsidRPr="003346D7">
        <w:rPr>
          <w:color w:val="1D336D" w:themeColor="background2"/>
        </w:rPr>
        <w:t xml:space="preserve"> </w:t>
      </w:r>
      <w:r w:rsidRPr="00EA7FE2">
        <w:t>Fostering collaboration: collaboration among Pacific stakeholders is fostered towards applying and scaling the integrated coral reef monitoring platform to a regional and global context.</w:t>
      </w:r>
    </w:p>
    <w:p w14:paraId="7322D187" w14:textId="77777777" w:rsidR="00EA7FE2" w:rsidRPr="00EA7FE2" w:rsidRDefault="00EA7FE2" w:rsidP="00CF2936">
      <w:pPr>
        <w:pStyle w:val="Heading3"/>
      </w:pPr>
      <w:r w:rsidRPr="00EA7FE2">
        <w:t>Assessment of performance</w:t>
      </w:r>
    </w:p>
    <w:p w14:paraId="19CD16F1" w14:textId="77777777" w:rsidR="00EA7FE2" w:rsidRPr="00EA7FE2" w:rsidRDefault="00EA7FE2" w:rsidP="00B814D2">
      <w:r w:rsidRPr="00EA7FE2">
        <w:t xml:space="preserve">The evaluation team only had the opportunity to interview the investment managers (from AIMS) and complete a document review. Consequently, the assessment of </w:t>
      </w:r>
      <w:proofErr w:type="spellStart"/>
      <w:r w:rsidRPr="00EA7FE2">
        <w:t>ReefCloud’s</w:t>
      </w:r>
      <w:proofErr w:type="spellEnd"/>
      <w:r w:rsidRPr="00EA7FE2">
        <w:t xml:space="preserve"> EOPO performance relies on a restricted amount of evidence available.</w:t>
      </w:r>
    </w:p>
    <w:p w14:paraId="6BF5C86E" w14:textId="77777777" w:rsidR="00EA7FE2" w:rsidRPr="00EA7FE2" w:rsidRDefault="00EA7FE2" w:rsidP="00B814D2">
      <w:r w:rsidRPr="003346D7">
        <w:rPr>
          <w:b/>
          <w:color w:val="1D336D" w:themeColor="background2"/>
        </w:rPr>
        <w:t xml:space="preserve">Local partners in the two focal countries are actively contributing to the development and implementation of </w:t>
      </w:r>
      <w:proofErr w:type="spellStart"/>
      <w:r w:rsidRPr="003346D7">
        <w:rPr>
          <w:b/>
          <w:color w:val="1D336D" w:themeColor="background2"/>
        </w:rPr>
        <w:t>ReefCloud</w:t>
      </w:r>
      <w:proofErr w:type="spellEnd"/>
      <w:r w:rsidRPr="003346D7">
        <w:rPr>
          <w:b/>
          <w:color w:val="1D336D" w:themeColor="background2"/>
        </w:rPr>
        <w:t>, and the platform has successfully achieved its technical objective of serving as an efficient coral reef monitoring tool</w:t>
      </w:r>
      <w:r w:rsidRPr="00EA7FE2">
        <w:t>. This innovative platform has the capability to assess photographs of reefs and provide detailed analysis, including the identification of coral species and information on reef health.</w:t>
      </w:r>
    </w:p>
    <w:p w14:paraId="4F171C98" w14:textId="77777777" w:rsidR="00EA7FE2" w:rsidRPr="00EA7FE2" w:rsidRDefault="00EA7FE2" w:rsidP="00B814D2">
      <w:r w:rsidRPr="003346D7">
        <w:rPr>
          <w:b/>
          <w:color w:val="1D336D" w:themeColor="background2"/>
        </w:rPr>
        <w:t xml:space="preserve">AIMS has received highly positive feedback regarding the technical capabilities of </w:t>
      </w:r>
      <w:proofErr w:type="spellStart"/>
      <w:r w:rsidRPr="003346D7">
        <w:rPr>
          <w:b/>
          <w:color w:val="1D336D" w:themeColor="background2"/>
        </w:rPr>
        <w:t>ReefCloud</w:t>
      </w:r>
      <w:proofErr w:type="spellEnd"/>
      <w:r w:rsidRPr="003346D7">
        <w:rPr>
          <w:color w:val="1D336D" w:themeColor="background2"/>
        </w:rPr>
        <w:t xml:space="preserve">. </w:t>
      </w:r>
      <w:r w:rsidRPr="00EA7FE2">
        <w:t xml:space="preserve">Evaluation surveys indicate that platform users are satisfied with its technical functionality, as well as the responsiveness of AIMS software developers in meeting user requirements. It is worth noting that the quality of the artificial intelligence tool used by </w:t>
      </w:r>
      <w:proofErr w:type="spellStart"/>
      <w:r w:rsidRPr="00EA7FE2">
        <w:t>ReefCloud</w:t>
      </w:r>
      <w:proofErr w:type="spellEnd"/>
      <w:r w:rsidRPr="00EA7FE2">
        <w:t xml:space="preserve"> will continue to improve as the database expands with additional information.</w:t>
      </w:r>
    </w:p>
    <w:p w14:paraId="18AFA56C" w14:textId="77777777" w:rsidR="0094177F" w:rsidRDefault="0094177F">
      <w:pPr>
        <w:spacing w:after="0" w:line="240" w:lineRule="auto"/>
        <w:rPr>
          <w:b/>
          <w:color w:val="1D336D" w:themeColor="background2"/>
        </w:rPr>
      </w:pPr>
      <w:r>
        <w:rPr>
          <w:b/>
          <w:color w:val="1D336D" w:themeColor="background2"/>
        </w:rPr>
        <w:br w:type="page"/>
      </w:r>
    </w:p>
    <w:p w14:paraId="44B0DE24" w14:textId="2DCFD1C8" w:rsidR="00EA7FE2" w:rsidRPr="00EA7FE2" w:rsidRDefault="00EA7FE2" w:rsidP="00B814D2">
      <w:r w:rsidRPr="003346D7">
        <w:rPr>
          <w:b/>
          <w:color w:val="1D336D" w:themeColor="background2"/>
        </w:rPr>
        <w:lastRenderedPageBreak/>
        <w:t>The level of contribution to the platform is contingent upon contextual conditions, such as ownership and rights to use photographs for other purposes</w:t>
      </w:r>
      <w:r w:rsidRPr="00EA7FE2">
        <w:t>. To address these concerns, AIMS is proactively developing user-specific agreements to ensure that contributors feel comfortable sharing their data on the platform. These agreements aim to establish clear guidelines and protocols, fostering trust and confidence among users.</w:t>
      </w:r>
    </w:p>
    <w:p w14:paraId="5046ECA2" w14:textId="77777777" w:rsidR="00EA7FE2" w:rsidRPr="00EA7FE2" w:rsidRDefault="00EA7FE2" w:rsidP="00B814D2">
      <w:r w:rsidRPr="003346D7">
        <w:rPr>
          <w:b/>
          <w:color w:val="1D336D" w:themeColor="background2"/>
        </w:rPr>
        <w:t>A significant challenge is expanding the scope of the platform beyond data entry and analysis to inform national policy</w:t>
      </w:r>
      <w:r w:rsidRPr="00EA7FE2">
        <w:t xml:space="preserve">. AIMS is actively working towards expanding their approach beyond status reports and towards collecting information on management practices. This shift aims to provide valuable insights into effective reef management strategies and identify areas that require improvement. This transition is still a work in progress, as it necessitates moving beyond rapid analyses of the reefs themselves and establishing links between reef health and policies addressing coastal development, climate change, land-based sediments, nutrient runoff, pollution, overfishing, and other related factors. Achieving this connection requires not only technical solutions but also the integration of data from </w:t>
      </w:r>
      <w:proofErr w:type="spellStart"/>
      <w:r w:rsidRPr="00EA7FE2">
        <w:t>ReefCloud</w:t>
      </w:r>
      <w:proofErr w:type="spellEnd"/>
      <w:r w:rsidRPr="00EA7FE2">
        <w:t xml:space="preserve">, which serves as a vital ingredient in determining the reef's status. Expertise is essential in interpreting the data within its contextual framework and identifying the policies and interventions that are most likely having a significant positive impact on the reef. </w:t>
      </w:r>
      <w:proofErr w:type="spellStart"/>
      <w:r w:rsidRPr="00EA7FE2">
        <w:t>ReefCloud</w:t>
      </w:r>
      <w:proofErr w:type="spellEnd"/>
      <w:r w:rsidRPr="00EA7FE2">
        <w:t xml:space="preserve"> already plays a role in this process by freeing up experts' time, allowing them to focus on management analysis instead of dedicating their efforts solely to analysing images of coral reefs. This contributes to a more efficient utilisation of expert resources and enables a more comprehensive understanding of reef conditions.</w:t>
      </w:r>
    </w:p>
    <w:p w14:paraId="22FC41CD" w14:textId="5A7584C6" w:rsidR="00EA7FE2" w:rsidRPr="00EA7FE2" w:rsidRDefault="00EA7FE2" w:rsidP="00B814D2">
      <w:r w:rsidRPr="003346D7">
        <w:rPr>
          <w:b/>
          <w:color w:val="1D336D" w:themeColor="background2"/>
        </w:rPr>
        <w:t>The COVID-19 pandemic has hampered collaboration efforts among Pacific stakeholders</w:t>
      </w:r>
      <w:r w:rsidRPr="00EA7FE2">
        <w:t xml:space="preserve">. Despite these difficulties, the </w:t>
      </w:r>
      <w:proofErr w:type="spellStart"/>
      <w:r w:rsidRPr="00EA7FE2">
        <w:t>ReefCloud</w:t>
      </w:r>
      <w:proofErr w:type="spellEnd"/>
      <w:r w:rsidRPr="00EA7FE2">
        <w:t xml:space="preserve"> team at AIMS has successfully cultivated robust partnerships with their counterparts in Palau and Fiji. An evaluation conducted in September 2022 highlighted that the strength of these relationships "can be attributed to the strong interpersonal skills of the project team." However, the team acknowledges that further efforts are required to deepen these relationships and establish stronger connections among scientists, contributors, and managers within the respective countries and across the Pacific region.</w:t>
      </w:r>
    </w:p>
    <w:p w14:paraId="42750D25" w14:textId="77777777" w:rsidR="00EA7FE2" w:rsidRPr="007C326F" w:rsidRDefault="00EA7FE2" w:rsidP="007C326F">
      <w:pPr>
        <w:pStyle w:val="Heading2"/>
        <w:rPr>
          <w:color w:val="1D336D" w:themeColor="background2"/>
        </w:rPr>
      </w:pPr>
      <w:bookmarkStart w:id="60" w:name="_Toc164783076"/>
      <w:r w:rsidRPr="007C326F">
        <w:rPr>
          <w:color w:val="1D336D" w:themeColor="background2"/>
        </w:rPr>
        <w:t>Is it a solution?</w:t>
      </w:r>
      <w:bookmarkEnd w:id="60"/>
      <w:r w:rsidRPr="007C326F">
        <w:rPr>
          <w:color w:val="1D336D" w:themeColor="background2"/>
        </w:rPr>
        <w:t xml:space="preserve"> </w:t>
      </w:r>
    </w:p>
    <w:p w14:paraId="1F861CB6" w14:textId="0CA6D7ED" w:rsidR="00EA7FE2" w:rsidRPr="00EA7FE2" w:rsidRDefault="00EA7FE2" w:rsidP="00B814D2">
      <w:r w:rsidRPr="00EA7FE2">
        <w:t xml:space="preserve">The main </w:t>
      </w:r>
      <w:r w:rsidR="008E2C5C">
        <w:t>goal</w:t>
      </w:r>
      <w:r w:rsidR="008E2C5C" w:rsidRPr="00EA7FE2">
        <w:t xml:space="preserve"> </w:t>
      </w:r>
      <w:r w:rsidRPr="00EA7FE2">
        <w:t xml:space="preserve">of a </w:t>
      </w:r>
      <w:proofErr w:type="spellStart"/>
      <w:r w:rsidRPr="00EA7FE2">
        <w:t>NbS</w:t>
      </w:r>
      <w:proofErr w:type="spellEnd"/>
      <w:r w:rsidRPr="00EA7FE2">
        <w:t xml:space="preserve"> must be</w:t>
      </w:r>
      <w:r w:rsidR="008E2C5C">
        <w:t xml:space="preserve"> to provide</w:t>
      </w:r>
      <w:r w:rsidRPr="00EA7FE2">
        <w:t xml:space="preserve"> a solution to a priority challenge faced by the target communities. This is essential to ensure that the communities are willing to commit to the </w:t>
      </w:r>
      <w:proofErr w:type="spellStart"/>
      <w:r w:rsidRPr="00EA7FE2">
        <w:t>NbS</w:t>
      </w:r>
      <w:proofErr w:type="spellEnd"/>
      <w:r w:rsidRPr="00EA7FE2">
        <w:t xml:space="preserve"> long term and to ensure that the </w:t>
      </w:r>
      <w:proofErr w:type="spellStart"/>
      <w:r w:rsidRPr="00EA7FE2">
        <w:t>NbS</w:t>
      </w:r>
      <w:proofErr w:type="spellEnd"/>
      <w:r w:rsidRPr="00EA7FE2">
        <w:t xml:space="preserve"> does not divert scarce community resources to activities that are not a community priority.</w:t>
      </w:r>
    </w:p>
    <w:p w14:paraId="7708248A" w14:textId="77777777" w:rsidR="00EA7FE2" w:rsidRPr="00EA7FE2" w:rsidRDefault="00EA7FE2" w:rsidP="00B814D2">
      <w:r w:rsidRPr="003346D7">
        <w:rPr>
          <w:b/>
          <w:color w:val="1D336D" w:themeColor="background2"/>
        </w:rPr>
        <w:t xml:space="preserve">The Coral Reef Innovation Project and its </w:t>
      </w:r>
      <w:proofErr w:type="spellStart"/>
      <w:r w:rsidRPr="003346D7">
        <w:rPr>
          <w:b/>
          <w:color w:val="1D336D" w:themeColor="background2"/>
        </w:rPr>
        <w:t>ReefCloud</w:t>
      </w:r>
      <w:proofErr w:type="spellEnd"/>
      <w:r w:rsidRPr="003346D7">
        <w:rPr>
          <w:b/>
          <w:color w:val="1D336D" w:themeColor="background2"/>
        </w:rPr>
        <w:t xml:space="preserve"> platform, developed by AIMS, are not "a solution" to a community priority</w:t>
      </w:r>
      <w:r w:rsidRPr="00EA7FE2">
        <w:t xml:space="preserve">. Instead, they are regarded as tools that facilitate the implementation of </w:t>
      </w:r>
      <w:proofErr w:type="spellStart"/>
      <w:r w:rsidRPr="00EA7FE2">
        <w:t>NbS</w:t>
      </w:r>
      <w:proofErr w:type="spellEnd"/>
      <w:r w:rsidRPr="00EA7FE2">
        <w:t xml:space="preserve">. </w:t>
      </w:r>
      <w:proofErr w:type="spellStart"/>
      <w:r w:rsidRPr="00EA7FE2">
        <w:t>ReefCloud</w:t>
      </w:r>
      <w:proofErr w:type="spellEnd"/>
      <w:r w:rsidRPr="00EA7FE2">
        <w:t xml:space="preserve"> primarily focuses on facilitating the documentation of the coral reef's current state and how this information enhances informed management decisions based on evidence.</w:t>
      </w:r>
    </w:p>
    <w:p w14:paraId="0E6ECBB4" w14:textId="77B662D4" w:rsidR="00EA7FE2" w:rsidRPr="00EA7FE2" w:rsidRDefault="00EA7FE2" w:rsidP="00B814D2">
      <w:r w:rsidRPr="003346D7">
        <w:rPr>
          <w:b/>
          <w:color w:val="1D336D" w:themeColor="background2"/>
        </w:rPr>
        <w:t xml:space="preserve">To qualify as "a solution", </w:t>
      </w:r>
      <w:proofErr w:type="spellStart"/>
      <w:r w:rsidRPr="003346D7">
        <w:rPr>
          <w:b/>
          <w:color w:val="1D336D" w:themeColor="background2"/>
        </w:rPr>
        <w:t>ReefCloud</w:t>
      </w:r>
      <w:proofErr w:type="spellEnd"/>
      <w:r w:rsidRPr="003346D7">
        <w:rPr>
          <w:b/>
          <w:color w:val="1D336D" w:themeColor="background2"/>
        </w:rPr>
        <w:t xml:space="preserve"> would have to work with </w:t>
      </w:r>
      <w:r w:rsidR="008E2C5C">
        <w:rPr>
          <w:b/>
          <w:color w:val="1D336D" w:themeColor="background2"/>
        </w:rPr>
        <w:t>c</w:t>
      </w:r>
      <w:r w:rsidRPr="003346D7">
        <w:rPr>
          <w:b/>
          <w:color w:val="1D336D" w:themeColor="background2"/>
        </w:rPr>
        <w:t>ommunities that have identified reef management as their priority</w:t>
      </w:r>
      <w:r w:rsidRPr="00EA7FE2">
        <w:t xml:space="preserve">. </w:t>
      </w:r>
      <w:proofErr w:type="spellStart"/>
      <w:r w:rsidRPr="00EA7FE2">
        <w:t>ReefCloud's</w:t>
      </w:r>
      <w:proofErr w:type="spellEnd"/>
      <w:r w:rsidRPr="00EA7FE2">
        <w:t xml:space="preserve"> contribution lies in assessing the priority actions required, identifying the areas where these actions are needed, and subsequently evaluating the impact of those actions. Under the Coral Reef Innovation Project, AIMS is not directly working with communities in the Pacific to implement the proposed reef conservation actions. Therefore, while </w:t>
      </w:r>
      <w:proofErr w:type="spellStart"/>
      <w:r w:rsidRPr="00EA7FE2">
        <w:t>ReefCloud</w:t>
      </w:r>
      <w:proofErr w:type="spellEnd"/>
      <w:r w:rsidRPr="00EA7FE2">
        <w:t xml:space="preserve"> could be a valuable part of a </w:t>
      </w:r>
      <w:proofErr w:type="spellStart"/>
      <w:r w:rsidRPr="00EA7FE2">
        <w:t>NbS</w:t>
      </w:r>
      <w:proofErr w:type="spellEnd"/>
      <w:r w:rsidRPr="00EA7FE2">
        <w:t xml:space="preserve">, the investment’s current actions are not enough to be considered a </w:t>
      </w:r>
      <w:proofErr w:type="spellStart"/>
      <w:r w:rsidRPr="00EA7FE2">
        <w:t>NbS</w:t>
      </w:r>
      <w:proofErr w:type="spellEnd"/>
      <w:r w:rsidRPr="00EA7FE2">
        <w:t>.</w:t>
      </w:r>
    </w:p>
    <w:p w14:paraId="55A64D34" w14:textId="528D7095" w:rsidR="003B04F5" w:rsidRPr="00CD0DF3" w:rsidRDefault="00EA7FE2" w:rsidP="0094177F">
      <w:r w:rsidRPr="00EA7FE2">
        <w:t xml:space="preserve">Engaging with communities and addressing their unique requirements necessitates expertise and resources </w:t>
      </w:r>
      <w:r w:rsidRPr="00CD0DF3">
        <w:t xml:space="preserve">that extend beyond the primary focus and core capabilities of the Coral Reef Innovation Project. Undertaking </w:t>
      </w:r>
      <w:r w:rsidRPr="00F05A05">
        <w:t>such activities would divert valuable resources away from meeting the needs of the current users of</w:t>
      </w:r>
      <w:r w:rsidRPr="00CD0DF3">
        <w:t xml:space="preserve"> </w:t>
      </w:r>
      <w:proofErr w:type="spellStart"/>
      <w:r w:rsidRPr="00CD0DF3">
        <w:t>ReefCloud</w:t>
      </w:r>
      <w:proofErr w:type="spellEnd"/>
      <w:r w:rsidRPr="00CD0DF3">
        <w:t xml:space="preserve"> and may not align with AIMS' areas of strength.</w:t>
      </w:r>
      <w:r w:rsidR="003B04F5" w:rsidRPr="00CD0DF3">
        <w:br w:type="page"/>
      </w:r>
    </w:p>
    <w:p w14:paraId="74BCB738" w14:textId="77777777" w:rsidR="00EA7FE2" w:rsidRPr="00F05A05" w:rsidRDefault="00EA7FE2" w:rsidP="007C326F">
      <w:pPr>
        <w:pStyle w:val="Heading2"/>
        <w:rPr>
          <w:color w:val="1D336D" w:themeColor="background2"/>
        </w:rPr>
      </w:pPr>
      <w:bookmarkStart w:id="61" w:name="_Toc164783077"/>
      <w:r w:rsidRPr="00F05A05">
        <w:rPr>
          <w:color w:val="1D336D" w:themeColor="background2"/>
        </w:rPr>
        <w:lastRenderedPageBreak/>
        <w:t>NBS Pillars</w:t>
      </w:r>
      <w:bookmarkEnd w:id="61"/>
      <w:r w:rsidRPr="00F05A05">
        <w:rPr>
          <w:color w:val="1D336D" w:themeColor="background2"/>
        </w:rPr>
        <w:t xml:space="preserve"> </w:t>
      </w:r>
    </w:p>
    <w:p w14:paraId="5B96DEBB" w14:textId="77777777" w:rsidR="00937E92" w:rsidRDefault="00171920" w:rsidP="00B814D2">
      <w:r w:rsidRPr="00171920">
        <w:t xml:space="preserve">As </w:t>
      </w:r>
      <w:proofErr w:type="spellStart"/>
      <w:r w:rsidRPr="00171920">
        <w:t>ReefCloud</w:t>
      </w:r>
      <w:proofErr w:type="spellEnd"/>
      <w:r w:rsidRPr="00171920">
        <w:t xml:space="preserve"> has not met the initial criteria of being a definitive 'solution,' the evaluation does not consider the investment as a </w:t>
      </w:r>
      <w:proofErr w:type="spellStart"/>
      <w:r w:rsidRPr="00171920">
        <w:t>NbS</w:t>
      </w:r>
      <w:proofErr w:type="spellEnd"/>
      <w:r w:rsidRPr="00171920">
        <w:t xml:space="preserve">. However, the evaluation team has continued to assess the investment against the remaining criteria outlined in this report, aiming to maintain consistency and potentially extract valuable insights for future </w:t>
      </w:r>
      <w:proofErr w:type="spellStart"/>
      <w:r w:rsidRPr="00171920">
        <w:t>NbS</w:t>
      </w:r>
      <w:proofErr w:type="spellEnd"/>
      <w:r w:rsidRPr="00171920">
        <w:t xml:space="preserve"> initiatives centred on reef restoration or conservation.</w:t>
      </w:r>
    </w:p>
    <w:p w14:paraId="648E4C22" w14:textId="77777777" w:rsidR="00CD0DF3" w:rsidRDefault="004C0534" w:rsidP="00F05A05">
      <w:r w:rsidRPr="00F05A05">
        <w:rPr>
          <w:b/>
          <w:bCs/>
          <w:color w:val="1D336D" w:themeColor="background2"/>
        </w:rPr>
        <w:t xml:space="preserve">It should be noted that </w:t>
      </w:r>
      <w:r w:rsidR="00D52558" w:rsidRPr="00F05A05">
        <w:rPr>
          <w:b/>
          <w:bCs/>
          <w:color w:val="1D336D" w:themeColor="background2"/>
        </w:rPr>
        <w:t xml:space="preserve">the investment’s </w:t>
      </w:r>
      <w:r w:rsidRPr="00F05A05">
        <w:rPr>
          <w:b/>
          <w:bCs/>
          <w:color w:val="1D336D" w:themeColor="background2"/>
        </w:rPr>
        <w:t xml:space="preserve">contributions towards the three pillars of </w:t>
      </w:r>
      <w:proofErr w:type="spellStart"/>
      <w:r w:rsidRPr="00F05A05">
        <w:rPr>
          <w:b/>
          <w:bCs/>
          <w:color w:val="1D336D" w:themeColor="background2"/>
        </w:rPr>
        <w:t>NbS</w:t>
      </w:r>
      <w:proofErr w:type="spellEnd"/>
      <w:r w:rsidRPr="00F05A05">
        <w:rPr>
          <w:b/>
          <w:bCs/>
          <w:color w:val="1D336D" w:themeColor="background2"/>
        </w:rPr>
        <w:t xml:space="preserve"> are indirect</w:t>
      </w:r>
      <w:r w:rsidRPr="004C0534">
        <w:t xml:space="preserve">. As a result, the outcomes delivered by </w:t>
      </w:r>
      <w:proofErr w:type="spellStart"/>
      <w:r w:rsidRPr="004C0534">
        <w:t>ReefCloud</w:t>
      </w:r>
      <w:proofErr w:type="spellEnd"/>
      <w:r w:rsidRPr="004C0534">
        <w:t xml:space="preserve"> represent only one step in the chain of events necessary to deliver a </w:t>
      </w:r>
      <w:proofErr w:type="spellStart"/>
      <w:r w:rsidRPr="004C0534">
        <w:t>NbS</w:t>
      </w:r>
      <w:proofErr w:type="spellEnd"/>
      <w:r w:rsidRPr="004C0534">
        <w:t xml:space="preserve">. Therefore, the </w:t>
      </w:r>
      <w:r>
        <w:t>following</w:t>
      </w:r>
      <w:r w:rsidRPr="004C0534">
        <w:t xml:space="preserve"> </w:t>
      </w:r>
      <w:r w:rsidR="001B318D">
        <w:t xml:space="preserve">assessment of </w:t>
      </w:r>
      <w:proofErr w:type="spellStart"/>
      <w:r w:rsidR="001B318D">
        <w:t>ReefCloud</w:t>
      </w:r>
      <w:proofErr w:type="spellEnd"/>
      <w:r w:rsidR="00372DC3">
        <w:t xml:space="preserve"> has been made under the assumption</w:t>
      </w:r>
      <w:r w:rsidRPr="004C0534">
        <w:t xml:space="preserve"> that the investment's contribution to reef monitoring has a consequential effect on reef conservation, </w:t>
      </w:r>
      <w:r w:rsidR="00372DC3">
        <w:t>and</w:t>
      </w:r>
      <w:r w:rsidRPr="004C0534">
        <w:t xml:space="preserve"> subsequently leads to the provision of ecosystem services.</w:t>
      </w:r>
      <w:r>
        <w:t xml:space="preserve"> </w:t>
      </w:r>
    </w:p>
    <w:p w14:paraId="3B3ABA1C" w14:textId="78FC2DAD" w:rsidR="00EA7FE2" w:rsidRPr="00EA7FE2" w:rsidRDefault="00EA7FE2" w:rsidP="007C326F">
      <w:pPr>
        <w:pStyle w:val="Heading3"/>
      </w:pPr>
      <w:r w:rsidRPr="00EA7FE2">
        <w:t>Biodiversity</w:t>
      </w:r>
    </w:p>
    <w:p w14:paraId="570291DF" w14:textId="7448A6E6" w:rsidR="00EA7FE2" w:rsidRPr="00EA7FE2" w:rsidRDefault="00EA7FE2" w:rsidP="00B814D2">
      <w:r w:rsidRPr="00E4539A">
        <w:t>The investment contributes to the conservation of coral reefs through better management. Recognised as biodiversity hotspots for oceanic life, coral reefs encompass some of the most diverse ecosystems worldwide. They serve as crucial habitats and breeding grounds for a wide array of fish, invertebrates, plants, and algae. While covering only 0.5% of the seafloor, coral reefs support more than 30% of all marine life, surpassing other marine environments in species density per unit area.</w:t>
      </w:r>
      <w:r w:rsidR="00D970C7" w:rsidRPr="00E4539A">
        <w:rPr>
          <w:rStyle w:val="FootnoteReference"/>
        </w:rPr>
        <w:footnoteReference w:id="25"/>
      </w:r>
      <w:r w:rsidRPr="00E4539A">
        <w:t xml:space="preserve"> Each individual reef holds</w:t>
      </w:r>
      <w:r w:rsidRPr="00EA7FE2">
        <w:t xml:space="preserve"> significance as it contributes to the genetic diversity within species. The isolated and specialised nature of </w:t>
      </w:r>
      <w:r w:rsidRPr="009C1046">
        <w:t>certain reef ecosystems facilitates the evolution of unique genetic traits among specific populations.</w:t>
      </w:r>
      <w:r w:rsidR="00916375" w:rsidRPr="009C1046">
        <w:rPr>
          <w:rStyle w:val="FootnoteReference"/>
        </w:rPr>
        <w:footnoteReference w:id="26"/>
      </w:r>
      <w:r w:rsidRPr="009C1046">
        <w:t xml:space="preserve"> As explained below, coral reefs are under threat and require active management to be conserved.</w:t>
      </w:r>
    </w:p>
    <w:p w14:paraId="487EA31C" w14:textId="3D1F1B23" w:rsidR="00EA7FE2" w:rsidRPr="00EA7FE2" w:rsidRDefault="00EA7FE2" w:rsidP="00916375">
      <w:pPr>
        <w:pStyle w:val="Heading3"/>
      </w:pPr>
      <w:r w:rsidRPr="00EA7FE2">
        <w:t xml:space="preserve">Climate </w:t>
      </w:r>
    </w:p>
    <w:p w14:paraId="3D444110" w14:textId="368212B4" w:rsidR="00EA7FE2" w:rsidRPr="00EA7FE2" w:rsidRDefault="00EA7FE2" w:rsidP="00B814D2">
      <w:r w:rsidRPr="003346D7">
        <w:rPr>
          <w:b/>
          <w:color w:val="1D336D" w:themeColor="background2"/>
        </w:rPr>
        <w:t>The Coral Reef Innovation Project carries a significant climate change adaptation objective</w:t>
      </w:r>
      <w:r w:rsidRPr="003346D7">
        <w:rPr>
          <w:color w:val="1D336D" w:themeColor="background2"/>
        </w:rPr>
        <w:t xml:space="preserve">. </w:t>
      </w:r>
      <w:r w:rsidRPr="00EA7FE2">
        <w:t xml:space="preserve">By conserving coral reefs through improved management practices, communities can continue to benefit from the protection these ecosystems offer. Climate change is threatening coral reefs. Management interventions are a climate change adaptation strategy to ensure coral reefs continue to play a pivotal role in supporting subsistence fishing, making them essential for the livelihoods and food security of local communities. With management adaptations, These vibrant ecosystems can continue to provide a rich and diverse habitat for a wide range of fish species, sustaining the availability of marine resources that are vital for sustenance and economic </w:t>
      </w:r>
      <w:r w:rsidR="006551F0">
        <w:t>wellbeing</w:t>
      </w:r>
      <w:r w:rsidRPr="00EA7FE2">
        <w:t>.</w:t>
      </w:r>
    </w:p>
    <w:p w14:paraId="7E80DF1F" w14:textId="77777777" w:rsidR="00EA7FE2" w:rsidRPr="00EA7FE2" w:rsidRDefault="00EA7FE2" w:rsidP="00B814D2">
      <w:r w:rsidRPr="003346D7">
        <w:rPr>
          <w:b/>
          <w:color w:val="1D336D" w:themeColor="background2"/>
        </w:rPr>
        <w:t>Preserving coral reefs enhances the resilience of communities in the face of climate-related challenges</w:t>
      </w:r>
      <w:r w:rsidRPr="00EA7FE2">
        <w:t>. Healthy coral reefs serve as natural barriers, effectively mitigating the energy of incoming waves and providing vital protection to coastlines against storms and erosion. Their presence helps safeguard coastal communities, reducing the impact of extreme weather events and dissipating storm surge energy.</w:t>
      </w:r>
    </w:p>
    <w:p w14:paraId="30FCA013" w14:textId="6818A902" w:rsidR="00EA7FE2" w:rsidRPr="00EA7FE2" w:rsidRDefault="00EA7FE2" w:rsidP="00B814D2">
      <w:r w:rsidRPr="003346D7">
        <w:rPr>
          <w:b/>
          <w:color w:val="1D336D" w:themeColor="background2"/>
        </w:rPr>
        <w:t>The impacts of climate change pose a direct and significant threat to the long-term health and sustainability of coral reefs and associated ecosystems in the Pacific region</w:t>
      </w:r>
      <w:r w:rsidRPr="00EA7FE2">
        <w:t>. Presently, nearly 50 percent of reefs in the Pacific are classified as threatened, with approximately 20 percent facing high or very high levels of threat.</w:t>
      </w:r>
      <w:r w:rsidR="0060110A">
        <w:rPr>
          <w:rStyle w:val="FootnoteReference"/>
        </w:rPr>
        <w:footnoteReference w:id="27"/>
      </w:r>
      <w:r w:rsidRPr="00EA7FE2">
        <w:t xml:space="preserve"> On a global scale, 19 percent of the world’s coral reefs have already been lost, with a further 35 percent considered seriously threatened.</w:t>
      </w:r>
      <w:r w:rsidR="000C22AF">
        <w:rPr>
          <w:rStyle w:val="FootnoteReference"/>
        </w:rPr>
        <w:footnoteReference w:id="28"/>
      </w:r>
    </w:p>
    <w:p w14:paraId="6695BD76" w14:textId="77777777" w:rsidR="00EA7FE2" w:rsidRPr="00EA7FE2" w:rsidRDefault="00EA7FE2" w:rsidP="000C22AF">
      <w:pPr>
        <w:pStyle w:val="Heading3"/>
      </w:pPr>
      <w:r w:rsidRPr="00EA7FE2">
        <w:lastRenderedPageBreak/>
        <w:t>Livelihoods</w:t>
      </w:r>
    </w:p>
    <w:p w14:paraId="5929CC15" w14:textId="508A1112" w:rsidR="007935DE" w:rsidRPr="00EA7FE2" w:rsidRDefault="00EA7FE2" w:rsidP="00B814D2">
      <w:r w:rsidRPr="003346D7">
        <w:rPr>
          <w:b/>
          <w:color w:val="1D336D" w:themeColor="background2"/>
        </w:rPr>
        <w:t>Preserving reefs makes a vital contribution to community livelihoods</w:t>
      </w:r>
      <w:r w:rsidRPr="00EA7FE2">
        <w:t>. Many coastal communities in the Indo-Pacific rely heavily on subsistence fishing as a means of livelihood. Fish stocks in coastal areas are dependent on healthy reefs. At least 7.5 million people in the Pacific islands live in coastal areas within 30 km of a coral reef, representing about 50 percent of the total population.</w:t>
      </w:r>
      <w:r w:rsidR="00374F94">
        <w:rPr>
          <w:rStyle w:val="FootnoteReference"/>
        </w:rPr>
        <w:footnoteReference w:id="29"/>
      </w:r>
      <w:r w:rsidRPr="00EA7FE2">
        <w:t xml:space="preserve"> For many citizens of the Pacific, healthy coral reefs and related marine ecosystems are essential to supporting local subsistence fisheries, export fisheries and tourism. Importantly, in the Pacific it has been recognised that an estimated 70-80 percent of the catch from inshore fisheries (such as reefs) is used for subsistence purposes and is largely caught by women as an important source of food security for their families and communities.</w:t>
      </w:r>
      <w:r w:rsidR="00390F56">
        <w:rPr>
          <w:rStyle w:val="FootnoteReference"/>
        </w:rPr>
        <w:footnoteReference w:id="30"/>
      </w:r>
    </w:p>
    <w:p w14:paraId="19B1D11C" w14:textId="063B65EA" w:rsidR="00EA7FE2" w:rsidRPr="004F04A7" w:rsidRDefault="004F04A7" w:rsidP="004F04A7">
      <w:pPr>
        <w:pStyle w:val="Heading2"/>
        <w:rPr>
          <w:color w:val="1D336D" w:themeColor="background2"/>
        </w:rPr>
      </w:pPr>
      <w:bookmarkStart w:id="62" w:name="_Toc164783078"/>
      <w:r w:rsidRPr="004F04A7">
        <w:rPr>
          <w:color w:val="1D336D" w:themeColor="background2"/>
        </w:rPr>
        <w:t>Relevant scale</w:t>
      </w:r>
      <w:bookmarkEnd w:id="62"/>
    </w:p>
    <w:p w14:paraId="55AFCFB9" w14:textId="37FC17FC" w:rsidR="00EA7FE2" w:rsidRPr="00EA7FE2" w:rsidRDefault="003B656A" w:rsidP="00B814D2">
      <w:r w:rsidRPr="00D63980">
        <w:t xml:space="preserve">The evaluation has highlighted that currently, the investment of </w:t>
      </w:r>
      <w:proofErr w:type="spellStart"/>
      <w:r w:rsidRPr="00D63980">
        <w:t>ReefCloud</w:t>
      </w:r>
      <w:proofErr w:type="spellEnd"/>
      <w:r w:rsidRPr="00D63980">
        <w:t xml:space="preserve"> is not effectively engaging with communities. However, it should be noted that the potential opportunity lies in the relevant scale, which pertains to the depth of engagement rather than the size. This involves establishing connections with communities and/or organisations involved in the implementation of reef management activities</w:t>
      </w:r>
      <w:r w:rsidR="00EA7FE2" w:rsidRPr="00D63980">
        <w:t xml:space="preserve">. Based on the recent additions of reefs in the Maldives and collaborations with Samoa, Vietnam, the Philippines, and Brunei, </w:t>
      </w:r>
      <w:proofErr w:type="spellStart"/>
      <w:r w:rsidR="00EA7FE2" w:rsidRPr="00D63980">
        <w:t>ReefCloud</w:t>
      </w:r>
      <w:proofErr w:type="spellEnd"/>
      <w:r w:rsidR="00EA7FE2" w:rsidRPr="00D63980">
        <w:t xml:space="preserve"> has proven that the investment’s current approach is scalable. As the scale of </w:t>
      </w:r>
      <w:proofErr w:type="spellStart"/>
      <w:r w:rsidR="00EA7FE2" w:rsidRPr="00D63980">
        <w:t>ReefCloud</w:t>
      </w:r>
      <w:proofErr w:type="spellEnd"/>
      <w:r w:rsidR="00EA7FE2" w:rsidRPr="00D63980">
        <w:t xml:space="preserve"> expands, its potential impact is expected to multiply, yielding enhanced benefits throughout the duration of the investment. However, to have a direct impact on all three pillars of </w:t>
      </w:r>
      <w:proofErr w:type="spellStart"/>
      <w:r w:rsidR="00EA7FE2" w:rsidRPr="00D63980">
        <w:t>NbS</w:t>
      </w:r>
      <w:proofErr w:type="spellEnd"/>
      <w:r w:rsidR="00EA7FE2" w:rsidRPr="00D63980">
        <w:t xml:space="preserve"> (biodiversity, livelihoods and climate) the primary challenge lies in establishing meaningful linkages between </w:t>
      </w:r>
      <w:proofErr w:type="spellStart"/>
      <w:r w:rsidR="00EA7FE2" w:rsidRPr="00D63980">
        <w:t>ReefCloud</w:t>
      </w:r>
      <w:proofErr w:type="spellEnd"/>
      <w:r w:rsidR="00EA7FE2" w:rsidRPr="00D63980">
        <w:t xml:space="preserve"> and on-ground projects that engage with communities and possess the capacity to influence management decisions on a significant scale. It is through these connections that the collective efforts can lead to the establishment of healthier coral reefs which provide benefits for each of the </w:t>
      </w:r>
      <w:proofErr w:type="spellStart"/>
      <w:r w:rsidR="00EA7FE2" w:rsidRPr="00D63980">
        <w:t>NbS</w:t>
      </w:r>
      <w:proofErr w:type="spellEnd"/>
      <w:r w:rsidR="00EA7FE2" w:rsidRPr="00D63980">
        <w:t xml:space="preserve"> pillars. Without the collaboration with on the ground reef managers and communities, the impact of the investment remains indirect.</w:t>
      </w:r>
    </w:p>
    <w:p w14:paraId="2A71B3AF" w14:textId="6E584943" w:rsidR="00EA7FE2" w:rsidRPr="00390F56" w:rsidRDefault="00EA7FE2" w:rsidP="00390F56">
      <w:pPr>
        <w:pStyle w:val="Heading2"/>
        <w:rPr>
          <w:color w:val="1D336D" w:themeColor="background2"/>
        </w:rPr>
      </w:pPr>
      <w:bookmarkStart w:id="63" w:name="_Toc164783079"/>
      <w:r w:rsidRPr="00390F56">
        <w:rPr>
          <w:color w:val="1D336D" w:themeColor="background2"/>
        </w:rPr>
        <w:t>Governance</w:t>
      </w:r>
      <w:bookmarkEnd w:id="63"/>
      <w:r w:rsidRPr="00390F56">
        <w:rPr>
          <w:color w:val="1D336D" w:themeColor="background2"/>
        </w:rPr>
        <w:t xml:space="preserve"> </w:t>
      </w:r>
    </w:p>
    <w:p w14:paraId="159BB10C" w14:textId="251DCB59" w:rsidR="00EA7FE2" w:rsidRPr="00EA7FE2" w:rsidRDefault="00EA7FE2" w:rsidP="00B814D2">
      <w:r w:rsidRPr="003346D7">
        <w:rPr>
          <w:b/>
          <w:color w:val="1D336D" w:themeColor="background2"/>
        </w:rPr>
        <w:t xml:space="preserve">AIMS is currently managing </w:t>
      </w:r>
      <w:proofErr w:type="spellStart"/>
      <w:r w:rsidRPr="003346D7">
        <w:rPr>
          <w:b/>
          <w:color w:val="1D336D" w:themeColor="background2"/>
        </w:rPr>
        <w:t>ReefCloud</w:t>
      </w:r>
      <w:proofErr w:type="spellEnd"/>
      <w:r w:rsidRPr="003346D7">
        <w:rPr>
          <w:b/>
          <w:color w:val="1D336D" w:themeColor="background2"/>
        </w:rPr>
        <w:t xml:space="preserve"> and intends to maintain this responsibility moving forward, thereby ensuring the platform's long-term sustainability</w:t>
      </w:r>
      <w:r w:rsidRPr="00EA7FE2">
        <w:t xml:space="preserve">. An independent evaluation has indicated that external users view AIMS' management of </w:t>
      </w:r>
      <w:proofErr w:type="spellStart"/>
      <w:r w:rsidRPr="00EA7FE2">
        <w:t>ReefCloud</w:t>
      </w:r>
      <w:proofErr w:type="spellEnd"/>
      <w:r w:rsidRPr="00EA7FE2">
        <w:t xml:space="preserve"> as "lending a sense of legitimacy and stability".</w:t>
      </w:r>
    </w:p>
    <w:p w14:paraId="10E3CD4A" w14:textId="5D822C0E" w:rsidR="00EA7FE2" w:rsidRPr="00EA7FE2" w:rsidRDefault="00EA7FE2" w:rsidP="00B814D2">
      <w:r w:rsidRPr="00EA7FE2">
        <w:t xml:space="preserve">Users are not formally included in </w:t>
      </w:r>
      <w:proofErr w:type="spellStart"/>
      <w:r w:rsidRPr="00EA7FE2">
        <w:t>ReefCloud</w:t>
      </w:r>
      <w:proofErr w:type="spellEnd"/>
      <w:r w:rsidRPr="00EA7FE2">
        <w:t xml:space="preserve"> management structures, but AIMS is building good </w:t>
      </w:r>
      <w:r w:rsidRPr="00AA1B2D">
        <w:t xml:space="preserve">relationships with users by being responsive to user needs in terms of functionality of the platform as well as in terms of strategic direction. </w:t>
      </w:r>
      <w:proofErr w:type="spellStart"/>
      <w:r w:rsidRPr="00AA1B2D">
        <w:t>ReefCloud</w:t>
      </w:r>
      <w:proofErr w:type="spellEnd"/>
      <w:r w:rsidRPr="00AA1B2D">
        <w:t xml:space="preserve"> is working with government agencies at national and local levels, with academics, </w:t>
      </w:r>
      <w:r w:rsidR="3111F154" w:rsidRPr="00AA1B2D">
        <w:t xml:space="preserve">and </w:t>
      </w:r>
      <w:r w:rsidRPr="00AA1B2D">
        <w:t>with tourism operators</w:t>
      </w:r>
      <w:r w:rsidRPr="00EA7FE2">
        <w:t xml:space="preserve">, </w:t>
      </w:r>
      <w:r w:rsidR="00AA1B2D">
        <w:t>all of whom are</w:t>
      </w:r>
      <w:r w:rsidRPr="00EA7FE2">
        <w:t xml:space="preserve"> users of the platform. The </w:t>
      </w:r>
      <w:proofErr w:type="spellStart"/>
      <w:r w:rsidRPr="00EA7FE2">
        <w:t>ReefCloud</w:t>
      </w:r>
      <w:proofErr w:type="spellEnd"/>
      <w:r w:rsidRPr="00EA7FE2">
        <w:t xml:space="preserve"> team is trying to ensure that demands of all these groups are considered when they develop long-term directions for </w:t>
      </w:r>
      <w:proofErr w:type="spellStart"/>
      <w:r w:rsidRPr="00EA7FE2">
        <w:t>ReefCloud</w:t>
      </w:r>
      <w:proofErr w:type="spellEnd"/>
      <w:r w:rsidRPr="00EA7FE2">
        <w:t>. At this stage, there are no plans to develop governance structures that involve the users.</w:t>
      </w:r>
    </w:p>
    <w:p w14:paraId="0E473EA4" w14:textId="77777777" w:rsidR="00EA7FE2" w:rsidRPr="00390F56" w:rsidRDefault="00EA7FE2" w:rsidP="00390F56">
      <w:pPr>
        <w:pStyle w:val="Heading2"/>
        <w:rPr>
          <w:color w:val="1D336D" w:themeColor="background2"/>
        </w:rPr>
      </w:pPr>
      <w:bookmarkStart w:id="64" w:name="_Toc164783080"/>
      <w:r w:rsidRPr="00390F56">
        <w:rPr>
          <w:color w:val="1D336D" w:themeColor="background2"/>
        </w:rPr>
        <w:t>Gender equality, disability, and social inclusion</w:t>
      </w:r>
      <w:bookmarkEnd w:id="64"/>
      <w:r w:rsidRPr="00390F56">
        <w:rPr>
          <w:color w:val="1D336D" w:themeColor="background2"/>
        </w:rPr>
        <w:t xml:space="preserve"> </w:t>
      </w:r>
    </w:p>
    <w:p w14:paraId="12FE2E44" w14:textId="0730200E" w:rsidR="003B5306" w:rsidRDefault="00EA7FE2" w:rsidP="003B5306">
      <w:r w:rsidRPr="003346D7">
        <w:rPr>
          <w:b/>
          <w:color w:val="1D336D" w:themeColor="background2"/>
        </w:rPr>
        <w:t>GEDSI is addressed through knowledge and capacity building as well as through the collaboration component of the project</w:t>
      </w:r>
      <w:r w:rsidRPr="00EA7FE2">
        <w:t>. The aim is to enhance women's voices in decision making, leadership and peace building through proactively identifying women to participate in capacity-building and knowledge-sharing workshops.</w:t>
      </w:r>
      <w:r w:rsidR="003B5306">
        <w:br w:type="page"/>
      </w:r>
    </w:p>
    <w:p w14:paraId="12D34D00" w14:textId="20AF640F" w:rsidR="00EA7FE2" w:rsidRPr="00EA7FE2" w:rsidRDefault="00EA7FE2" w:rsidP="00B814D2">
      <w:r w:rsidRPr="00EA7FE2">
        <w:lastRenderedPageBreak/>
        <w:t>AIMS has introduced several actions and policies to deliver on its GEDSI targets.</w:t>
      </w:r>
    </w:p>
    <w:p w14:paraId="4F3DAF9F" w14:textId="3E2A4D56" w:rsidR="00EA7FE2" w:rsidRPr="00EA7FE2" w:rsidRDefault="00EA7FE2" w:rsidP="00390F56">
      <w:pPr>
        <w:pStyle w:val="ListParagraph"/>
        <w:numPr>
          <w:ilvl w:val="0"/>
          <w:numId w:val="43"/>
        </w:numPr>
      </w:pPr>
      <w:r w:rsidRPr="00EA7FE2">
        <w:t>The team built its internal knowledge base on GEDSI through consultations with gender and disability forums.</w:t>
      </w:r>
      <w:r w:rsidR="001C15C4">
        <w:br/>
      </w:r>
    </w:p>
    <w:p w14:paraId="0C875090" w14:textId="65D87279" w:rsidR="00EA7FE2" w:rsidRPr="00EA7FE2" w:rsidRDefault="00EA7FE2" w:rsidP="00390F56">
      <w:pPr>
        <w:pStyle w:val="ListParagraph"/>
        <w:numPr>
          <w:ilvl w:val="0"/>
          <w:numId w:val="43"/>
        </w:numPr>
      </w:pPr>
      <w:r w:rsidRPr="00EA7FE2">
        <w:t>The project has integrated external expertise on gender equality and social inclusion into the project management team to ensure ongoing review and advisory support in addressing GEDSI in project implementation and design.</w:t>
      </w:r>
      <w:r w:rsidR="006D3029">
        <w:t xml:space="preserve"> </w:t>
      </w:r>
      <w:r w:rsidR="00462E4B">
        <w:t xml:space="preserve">Specific </w:t>
      </w:r>
      <w:r w:rsidR="002A3A94">
        <w:t>information on</w:t>
      </w:r>
      <w:r w:rsidR="00462E4B">
        <w:t xml:space="preserve"> </w:t>
      </w:r>
      <w:r w:rsidR="00306236">
        <w:t xml:space="preserve">what </w:t>
      </w:r>
      <w:r w:rsidR="00BB1A60">
        <w:t xml:space="preserve">this resourcing has achieved was not </w:t>
      </w:r>
      <w:r w:rsidR="00462E4B">
        <w:t>made available to the evaluation team.</w:t>
      </w:r>
      <w:r w:rsidR="00306236">
        <w:t xml:space="preserve"> </w:t>
      </w:r>
      <w:r w:rsidR="001C15C4">
        <w:br/>
      </w:r>
    </w:p>
    <w:p w14:paraId="7C34127F" w14:textId="2C47EC0D" w:rsidR="00EA7FE2" w:rsidRPr="00EA7FE2" w:rsidRDefault="00EA7FE2" w:rsidP="00390F56">
      <w:pPr>
        <w:pStyle w:val="ListParagraph"/>
        <w:numPr>
          <w:ilvl w:val="0"/>
          <w:numId w:val="43"/>
        </w:numPr>
      </w:pPr>
      <w:r w:rsidRPr="00EA7FE2">
        <w:t xml:space="preserve">Women's participation in the </w:t>
      </w:r>
      <w:proofErr w:type="spellStart"/>
      <w:r w:rsidRPr="00EA7FE2">
        <w:t>ReefCloud</w:t>
      </w:r>
      <w:proofErr w:type="spellEnd"/>
      <w:r w:rsidRPr="00EA7FE2">
        <w:t xml:space="preserve"> Summit was facilitated by engaging a professional facilitator</w:t>
      </w:r>
      <w:r w:rsidR="00390F56">
        <w:t xml:space="preserve"> </w:t>
      </w:r>
      <w:r w:rsidRPr="00EA7FE2">
        <w:t>with experience in gender and social inclusion, and an understanding of how gender and social</w:t>
      </w:r>
      <w:r w:rsidR="001C15C4">
        <w:t xml:space="preserve"> </w:t>
      </w:r>
      <w:r w:rsidRPr="00EA7FE2">
        <w:t>identities can influence power dynamics in group forums.</w:t>
      </w:r>
      <w:r w:rsidR="001C15C4">
        <w:br/>
      </w:r>
    </w:p>
    <w:p w14:paraId="19D13419" w14:textId="78768F86" w:rsidR="00EA7FE2" w:rsidRPr="00EA7FE2" w:rsidRDefault="00EA7FE2" w:rsidP="00390F56">
      <w:pPr>
        <w:pStyle w:val="ListParagraph"/>
        <w:numPr>
          <w:ilvl w:val="0"/>
          <w:numId w:val="43"/>
        </w:numPr>
      </w:pPr>
      <w:r w:rsidRPr="00EA7FE2">
        <w:t xml:space="preserve">Internationally recognised guidelines are used to design the accessibility of the </w:t>
      </w:r>
      <w:proofErr w:type="spellStart"/>
      <w:r w:rsidRPr="00EA7FE2">
        <w:t>ReefCloud</w:t>
      </w:r>
      <w:proofErr w:type="spellEnd"/>
      <w:r w:rsidR="00390F56">
        <w:t xml:space="preserve"> </w:t>
      </w:r>
      <w:r w:rsidRPr="00EA7FE2">
        <w:t>platform.</w:t>
      </w:r>
      <w:r w:rsidR="00A9314A">
        <w:rPr>
          <w:rStyle w:val="FootnoteReference"/>
        </w:rPr>
        <w:footnoteReference w:id="31"/>
      </w:r>
      <w:r w:rsidR="001C15C4">
        <w:br/>
      </w:r>
    </w:p>
    <w:p w14:paraId="09C86699" w14:textId="250DC47B" w:rsidR="00EA7FE2" w:rsidRPr="00EA7FE2" w:rsidRDefault="00EA7FE2" w:rsidP="00390F56">
      <w:pPr>
        <w:pStyle w:val="ListParagraph"/>
        <w:numPr>
          <w:ilvl w:val="0"/>
          <w:numId w:val="43"/>
        </w:numPr>
      </w:pPr>
      <w:r w:rsidRPr="00EA7FE2">
        <w:t>AIMS has joined the Science in Australia Gender Equity (SAGE) program and is developing and implementing a comprehensive diversity and equity strategy for staff.</w:t>
      </w:r>
    </w:p>
    <w:p w14:paraId="7A959AC0" w14:textId="3BAD26C0" w:rsidR="00EA7FE2" w:rsidRPr="00A9314A" w:rsidRDefault="006551F0" w:rsidP="00A9314A">
      <w:pPr>
        <w:pStyle w:val="Heading2"/>
        <w:rPr>
          <w:color w:val="1D336D" w:themeColor="background2"/>
        </w:rPr>
      </w:pPr>
      <w:bookmarkStart w:id="65" w:name="_Toc164783081"/>
      <w:r>
        <w:rPr>
          <w:color w:val="1D336D" w:themeColor="background2"/>
        </w:rPr>
        <w:t>Indigenous</w:t>
      </w:r>
      <w:r w:rsidR="00EA7FE2" w:rsidRPr="00A9314A">
        <w:rPr>
          <w:color w:val="1D336D" w:themeColor="background2"/>
        </w:rPr>
        <w:t xml:space="preserve"> participation</w:t>
      </w:r>
      <w:bookmarkEnd w:id="65"/>
      <w:r w:rsidR="00EA7FE2" w:rsidRPr="00A9314A">
        <w:rPr>
          <w:color w:val="1D336D" w:themeColor="background2"/>
        </w:rPr>
        <w:t xml:space="preserve"> </w:t>
      </w:r>
    </w:p>
    <w:p w14:paraId="585EAFC9" w14:textId="7274F9A1" w:rsidR="00EA7FE2" w:rsidRPr="00190F8F" w:rsidRDefault="00EA7FE2" w:rsidP="00B814D2">
      <w:r w:rsidRPr="00190F8F">
        <w:t xml:space="preserve">The investment is committed to ensuring </w:t>
      </w:r>
      <w:r w:rsidR="006551F0">
        <w:t>Indigenous</w:t>
      </w:r>
      <w:r w:rsidRPr="00190F8F">
        <w:t xml:space="preserve"> participation in the </w:t>
      </w:r>
      <w:proofErr w:type="spellStart"/>
      <w:r w:rsidRPr="00190F8F">
        <w:t>ReefCloud</w:t>
      </w:r>
      <w:proofErr w:type="spellEnd"/>
      <w:r w:rsidRPr="00190F8F">
        <w:t xml:space="preserve"> program by recognising </w:t>
      </w:r>
      <w:r w:rsidR="006551F0">
        <w:t>Indigenous</w:t>
      </w:r>
      <w:r w:rsidRPr="00190F8F">
        <w:t xml:space="preserve"> knowledge, respecting data privacy and sovereignty, and actively engaging and collaborating with </w:t>
      </w:r>
      <w:r w:rsidR="006551F0">
        <w:t>Indigenous</w:t>
      </w:r>
      <w:r w:rsidRPr="00190F8F">
        <w:t xml:space="preserve"> communities. Through these efforts, the </w:t>
      </w:r>
      <w:proofErr w:type="spellStart"/>
      <w:r w:rsidRPr="00190F8F">
        <w:t>ReefCloud</w:t>
      </w:r>
      <w:proofErr w:type="spellEnd"/>
      <w:r w:rsidRPr="00190F8F">
        <w:t xml:space="preserve"> team aims to create inclusive and culturally appropriate partnerships that contribute to sustainable reef management practices.</w:t>
      </w:r>
    </w:p>
    <w:p w14:paraId="21CC5C8F" w14:textId="2BC72BFA" w:rsidR="00EA7FE2" w:rsidRPr="00190F8F" w:rsidRDefault="00EA7FE2" w:rsidP="00B814D2">
      <w:r w:rsidRPr="003346D7">
        <w:rPr>
          <w:b/>
          <w:color w:val="1D336D" w:themeColor="background2"/>
        </w:rPr>
        <w:t xml:space="preserve">AIMS recognise the value of local </w:t>
      </w:r>
      <w:r w:rsidR="006551F0">
        <w:rPr>
          <w:b/>
          <w:color w:val="1D336D" w:themeColor="background2"/>
        </w:rPr>
        <w:t>Indigenous</w:t>
      </w:r>
      <w:r w:rsidRPr="003346D7">
        <w:rPr>
          <w:b/>
          <w:color w:val="1D336D" w:themeColor="background2"/>
        </w:rPr>
        <w:t xml:space="preserve"> knowledge and the importance of uplifting </w:t>
      </w:r>
      <w:r w:rsidR="006551F0">
        <w:rPr>
          <w:b/>
          <w:color w:val="1D336D" w:themeColor="background2"/>
        </w:rPr>
        <w:t>Indigenous</w:t>
      </w:r>
      <w:r w:rsidRPr="003346D7">
        <w:rPr>
          <w:b/>
          <w:color w:val="1D336D" w:themeColor="background2"/>
        </w:rPr>
        <w:t xml:space="preserve"> Peoples and First Nations</w:t>
      </w:r>
      <w:r w:rsidRPr="00190F8F">
        <w:t xml:space="preserve">. The </w:t>
      </w:r>
      <w:proofErr w:type="spellStart"/>
      <w:r w:rsidRPr="00190F8F">
        <w:t>ReefCloud</w:t>
      </w:r>
      <w:proofErr w:type="spellEnd"/>
      <w:r w:rsidRPr="00190F8F">
        <w:t xml:space="preserve"> program is guided by the principles outlined in the "</w:t>
      </w:r>
      <w:bookmarkStart w:id="66" w:name="_Hlk159324710"/>
      <w:r w:rsidRPr="00190F8F">
        <w:t xml:space="preserve">Aha Honua: Coastal </w:t>
      </w:r>
      <w:r w:rsidR="006551F0">
        <w:t>Indigenous</w:t>
      </w:r>
      <w:r w:rsidRPr="00190F8F">
        <w:t xml:space="preserve"> People’s Declaration</w:t>
      </w:r>
      <w:bookmarkEnd w:id="66"/>
      <w:r w:rsidRPr="00190F8F">
        <w:t>," which emphasises the formal recognition of Traditional Knowledge and the mutual learning and respect for different ways of knowing.</w:t>
      </w:r>
      <w:r w:rsidR="00190F8F" w:rsidRPr="00190F8F">
        <w:rPr>
          <w:rStyle w:val="FootnoteReference"/>
        </w:rPr>
        <w:footnoteReference w:id="32"/>
      </w:r>
      <w:r w:rsidRPr="00190F8F">
        <w:t xml:space="preserve"> AIMS acknowledges that </w:t>
      </w:r>
      <w:r w:rsidR="006551F0">
        <w:t>Indigenous</w:t>
      </w:r>
      <w:r w:rsidRPr="00190F8F">
        <w:t xml:space="preserve"> Peoples possess unique insights into reef management and aims to incorporate their perspectives and expertise into the program's long-term vision.</w:t>
      </w:r>
    </w:p>
    <w:p w14:paraId="38079EA9" w14:textId="2699B616" w:rsidR="00EA7FE2" w:rsidRPr="00190F8F" w:rsidRDefault="00EA7FE2" w:rsidP="00B814D2">
      <w:r w:rsidRPr="003346D7">
        <w:rPr>
          <w:b/>
          <w:color w:val="1D336D" w:themeColor="background2"/>
        </w:rPr>
        <w:t xml:space="preserve">AIMS acknowledges the sensitivity of certain data and respects the concerns expressed by partners, Traditional Owners, and </w:t>
      </w:r>
      <w:r w:rsidR="006551F0">
        <w:rPr>
          <w:b/>
          <w:color w:val="1D336D" w:themeColor="background2"/>
        </w:rPr>
        <w:t>Indigenous</w:t>
      </w:r>
      <w:r w:rsidRPr="003346D7">
        <w:rPr>
          <w:b/>
          <w:color w:val="1D336D" w:themeColor="background2"/>
        </w:rPr>
        <w:t xml:space="preserve"> communities regarding data sharing</w:t>
      </w:r>
      <w:r w:rsidRPr="00190F8F">
        <w:t xml:space="preserve">. Partners have indicated hesitation in openly sharing sensitive or confidential datasets, and </w:t>
      </w:r>
      <w:r w:rsidR="006551F0">
        <w:t>Indigenous</w:t>
      </w:r>
      <w:r w:rsidRPr="00190F8F">
        <w:t xml:space="preserve"> communities desire data sovereignty. </w:t>
      </w:r>
      <w:r w:rsidR="006551F0">
        <w:t>Indigenous</w:t>
      </w:r>
      <w:r w:rsidRPr="00190F8F">
        <w:t xml:space="preserve"> communities have expressed their desire for case-by-case decision-making regarding data sharing, highlighting the importance of respecting their autonomy and preferences.</w:t>
      </w:r>
    </w:p>
    <w:p w14:paraId="175E8287" w14:textId="6EFC687F" w:rsidR="00EA7FE2" w:rsidRPr="00190F8F" w:rsidRDefault="00EA7FE2" w:rsidP="00B814D2">
      <w:r w:rsidRPr="003346D7">
        <w:rPr>
          <w:b/>
          <w:color w:val="1D336D" w:themeColor="background2"/>
        </w:rPr>
        <w:t xml:space="preserve">The investment actively explores the feasibility of </w:t>
      </w:r>
      <w:r w:rsidR="006551F0">
        <w:rPr>
          <w:b/>
          <w:color w:val="1D336D" w:themeColor="background2"/>
        </w:rPr>
        <w:t>Indigenous</w:t>
      </w:r>
      <w:r w:rsidRPr="003346D7">
        <w:rPr>
          <w:b/>
          <w:color w:val="1D336D" w:themeColor="background2"/>
        </w:rPr>
        <w:t xml:space="preserve"> engagement in coral reef monitoring in the Pacific, extending the project strategy to include Traditional Owner and </w:t>
      </w:r>
      <w:r w:rsidR="006551F0">
        <w:rPr>
          <w:b/>
          <w:color w:val="1D336D" w:themeColor="background2"/>
        </w:rPr>
        <w:t>Indigenous</w:t>
      </w:r>
      <w:r w:rsidRPr="003346D7">
        <w:rPr>
          <w:b/>
          <w:color w:val="1D336D" w:themeColor="background2"/>
        </w:rPr>
        <w:t xml:space="preserve"> coral reef managers</w:t>
      </w:r>
      <w:r w:rsidRPr="00190F8F">
        <w:t xml:space="preserve">. The program seeks to collaborate with </w:t>
      </w:r>
      <w:r w:rsidR="006551F0">
        <w:t>Indigenous</w:t>
      </w:r>
      <w:r w:rsidRPr="00190F8F">
        <w:t xml:space="preserve"> communities, understand their information needs for decision-making, and incorporate their perspectives into research design. A specific role has been established to act as a bridge between AIMS scientists and Traditional Owners, seeking the consent of Traditional Owners for research on Country and encouraging the active involvement of community.</w:t>
      </w:r>
    </w:p>
    <w:p w14:paraId="27C28C22" w14:textId="77777777" w:rsidR="0094177F" w:rsidRDefault="0094177F">
      <w:pPr>
        <w:spacing w:after="0" w:line="240" w:lineRule="auto"/>
        <w:rPr>
          <w:b/>
          <w:bCs/>
          <w:iCs/>
          <w:caps/>
          <w:color w:val="1D336D" w:themeColor="background2"/>
          <w:sz w:val="28"/>
          <w:szCs w:val="26"/>
        </w:rPr>
      </w:pPr>
      <w:r>
        <w:rPr>
          <w:color w:val="1D336D" w:themeColor="background2"/>
        </w:rPr>
        <w:br w:type="page"/>
      </w:r>
    </w:p>
    <w:p w14:paraId="1FC23350" w14:textId="58D2BDA7" w:rsidR="00EA7FE2" w:rsidRPr="00190F8F" w:rsidRDefault="00EA7FE2" w:rsidP="00BC22B6">
      <w:pPr>
        <w:pStyle w:val="Heading2"/>
        <w:rPr>
          <w:color w:val="1D336D" w:themeColor="background2"/>
        </w:rPr>
      </w:pPr>
      <w:bookmarkStart w:id="67" w:name="_Toc164783082"/>
      <w:r w:rsidRPr="00190F8F">
        <w:rPr>
          <w:color w:val="1D336D" w:themeColor="background2"/>
        </w:rPr>
        <w:lastRenderedPageBreak/>
        <w:t>Safeguards</w:t>
      </w:r>
      <w:bookmarkEnd w:id="67"/>
      <w:r w:rsidRPr="00190F8F">
        <w:rPr>
          <w:color w:val="1D336D" w:themeColor="background2"/>
        </w:rPr>
        <w:t xml:space="preserve"> </w:t>
      </w:r>
    </w:p>
    <w:p w14:paraId="7837355D" w14:textId="77777777" w:rsidR="00EA7FE2" w:rsidRPr="00EA7FE2" w:rsidRDefault="00EA7FE2" w:rsidP="00B814D2">
      <w:r w:rsidRPr="00190F8F">
        <w:t>Safeguards related to Child Protection are included in the risk matrix of the Investment. However, it is unclear whether other safeguards were put in place and whether the necessary management systems and reporting channels have been established.</w:t>
      </w:r>
    </w:p>
    <w:p w14:paraId="79071E8D" w14:textId="77777777" w:rsidR="00EA7FE2" w:rsidRPr="00EA7FE2" w:rsidRDefault="00EA7FE2" w:rsidP="00B814D2">
      <w:r w:rsidRPr="00EA7FE2">
        <w:t>The prevention of sexual exploitation, abuse, and harassment (PSEAH) in relation to cyber interactions was identified as a priority. Channels are now available to report any PSEAH concerns to the investment staff.</w:t>
      </w:r>
    </w:p>
    <w:p w14:paraId="7A09219F" w14:textId="67407CB3" w:rsidR="009F7617" w:rsidRPr="00533D35" w:rsidRDefault="009F7617" w:rsidP="009F7617">
      <w:pPr>
        <w:pStyle w:val="Caption"/>
        <w:keepNext/>
        <w:rPr>
          <w:color w:val="1D336D" w:themeColor="background2"/>
        </w:rPr>
      </w:pPr>
      <w:r w:rsidRPr="00533D35">
        <w:rPr>
          <w:color w:val="1D336D" w:themeColor="background2"/>
        </w:rPr>
        <w:t xml:space="preserve">Table </w:t>
      </w:r>
      <w:r w:rsidRPr="00533D35">
        <w:rPr>
          <w:color w:val="1D336D" w:themeColor="background2"/>
        </w:rPr>
        <w:fldChar w:fldCharType="begin"/>
      </w:r>
      <w:r w:rsidRPr="00533D35">
        <w:rPr>
          <w:color w:val="1D336D" w:themeColor="background2"/>
        </w:rPr>
        <w:instrText xml:space="preserve"> SEQ Table \* ARABIC </w:instrText>
      </w:r>
      <w:r w:rsidRPr="00533D35">
        <w:rPr>
          <w:color w:val="1D336D" w:themeColor="background2"/>
        </w:rPr>
        <w:fldChar w:fldCharType="separate"/>
      </w:r>
      <w:r w:rsidR="003103FE">
        <w:rPr>
          <w:noProof/>
          <w:color w:val="1D336D" w:themeColor="background2"/>
        </w:rPr>
        <w:t>11</w:t>
      </w:r>
      <w:r w:rsidRPr="00533D35">
        <w:rPr>
          <w:color w:val="1D336D" w:themeColor="background2"/>
        </w:rPr>
        <w:fldChar w:fldCharType="end"/>
      </w:r>
      <w:r w:rsidRPr="00533D35">
        <w:rPr>
          <w:color w:val="1D336D" w:themeColor="background2"/>
        </w:rPr>
        <w:t>: Key investment findings (CRIP)</w:t>
      </w:r>
    </w:p>
    <w:tbl>
      <w:tblPr>
        <w:tblStyle w:val="TablePlain"/>
        <w:tblW w:w="0" w:type="auto"/>
        <w:tblBorders>
          <w:top w:val="none" w:sz="0" w:space="0" w:color="auto"/>
          <w:bottom w:val="single" w:sz="4" w:space="0" w:color="1D336D"/>
          <w:insideH w:val="single" w:sz="4" w:space="0" w:color="1D336D"/>
        </w:tblBorders>
        <w:tblLook w:val="04A0" w:firstRow="1" w:lastRow="0" w:firstColumn="1" w:lastColumn="0" w:noHBand="0" w:noVBand="1"/>
      </w:tblPr>
      <w:tblGrid>
        <w:gridCol w:w="704"/>
        <w:gridCol w:w="8924"/>
      </w:tblGrid>
      <w:tr w:rsidR="009F7617" w:rsidRPr="00AC51BB" w14:paraId="1D8679DF" w14:textId="77777777" w:rsidTr="006E73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8172F4E" w14:textId="77777777" w:rsidR="009F7617" w:rsidRPr="00AC51BB" w:rsidRDefault="009F7617">
            <w:pPr>
              <w:jc w:val="center"/>
              <w:rPr>
                <w:b/>
                <w:bCs/>
                <w:color w:val="1D336D" w:themeColor="background2"/>
              </w:rPr>
            </w:pPr>
            <w:r w:rsidRPr="00AC51BB">
              <w:rPr>
                <w:b/>
                <w:bCs/>
                <w:color w:val="1D336D" w:themeColor="background2"/>
              </w:rPr>
              <w:t>#</w:t>
            </w:r>
          </w:p>
        </w:tc>
        <w:tc>
          <w:tcPr>
            <w:tcW w:w="8924" w:type="dxa"/>
            <w:shd w:val="clear" w:color="auto" w:fill="F2F2F2" w:themeFill="background1" w:themeFillShade="F2"/>
          </w:tcPr>
          <w:p w14:paraId="7C7E8A24" w14:textId="77777777" w:rsidR="009F7617" w:rsidRPr="00AC51BB" w:rsidRDefault="009F7617">
            <w:pPr>
              <w:cnfStyle w:val="100000000000" w:firstRow="1" w:lastRow="0" w:firstColumn="0" w:lastColumn="0" w:oddVBand="0" w:evenVBand="0" w:oddHBand="0" w:evenHBand="0" w:firstRowFirstColumn="0" w:firstRowLastColumn="0" w:lastRowFirstColumn="0" w:lastRowLastColumn="0"/>
              <w:rPr>
                <w:b/>
                <w:bCs/>
                <w:color w:val="1D336D" w:themeColor="background2"/>
              </w:rPr>
            </w:pPr>
            <w:r w:rsidRPr="00AC51BB">
              <w:rPr>
                <w:b/>
                <w:bCs/>
                <w:color w:val="1D336D" w:themeColor="background2"/>
              </w:rPr>
              <w:t>Finding</w:t>
            </w:r>
          </w:p>
        </w:tc>
      </w:tr>
      <w:tr w:rsidR="009F7617" w:rsidRPr="005C07B4" w14:paraId="4C07E6E0"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9BD5A18" w14:textId="3BEE8E5A" w:rsidR="009F7617" w:rsidRDefault="009F7617">
            <w:pPr>
              <w:jc w:val="center"/>
              <w:rPr>
                <w:b/>
                <w:bCs/>
                <w:color w:val="1D336D" w:themeColor="background2"/>
              </w:rPr>
            </w:pPr>
            <w:r>
              <w:rPr>
                <w:b/>
                <w:bCs/>
                <w:color w:val="1D336D" w:themeColor="background2"/>
              </w:rPr>
              <w:t>2</w:t>
            </w:r>
            <w:r w:rsidR="007C778E">
              <w:rPr>
                <w:b/>
                <w:bCs/>
                <w:color w:val="1D336D" w:themeColor="background2"/>
              </w:rPr>
              <w:t>6</w:t>
            </w:r>
          </w:p>
        </w:tc>
        <w:tc>
          <w:tcPr>
            <w:tcW w:w="8924" w:type="dxa"/>
            <w:shd w:val="clear" w:color="auto" w:fill="auto"/>
          </w:tcPr>
          <w:p w14:paraId="50363E7B" w14:textId="77777777" w:rsidR="009F7617" w:rsidRPr="005C07B4" w:rsidRDefault="009F7617">
            <w:pPr>
              <w:cnfStyle w:val="000000100000" w:firstRow="0" w:lastRow="0" w:firstColumn="0" w:lastColumn="0" w:oddVBand="0" w:evenVBand="0" w:oddHBand="1" w:evenHBand="0" w:firstRowFirstColumn="0" w:firstRowLastColumn="0" w:lastRowFirstColumn="0" w:lastRowLastColumn="0"/>
              <w:rPr>
                <w:i/>
                <w:iCs/>
                <w:color w:val="1D336D" w:themeColor="background2"/>
              </w:rPr>
            </w:pPr>
            <w:proofErr w:type="spellStart"/>
            <w:r w:rsidRPr="005C07B4">
              <w:rPr>
                <w:b/>
                <w:bCs/>
                <w:i/>
                <w:iCs/>
                <w:color w:val="1D336D" w:themeColor="background2"/>
              </w:rPr>
              <w:t>ReefCloud</w:t>
            </w:r>
            <w:proofErr w:type="spellEnd"/>
            <w:r w:rsidRPr="005C07B4">
              <w:rPr>
                <w:b/>
                <w:bCs/>
                <w:i/>
                <w:iCs/>
                <w:color w:val="1D336D" w:themeColor="background2"/>
              </w:rPr>
              <w:t xml:space="preserve"> has achieved its objective to become an efficient coral reef monitoring tool</w:t>
            </w:r>
            <w:r w:rsidRPr="005C07B4">
              <w:rPr>
                <w:i/>
                <w:iCs/>
                <w:color w:val="1D336D" w:themeColor="background2"/>
              </w:rPr>
              <w:t>. Users are satisfied with the platform's technical capabilities, and the quality of the artificial intelligence tool is expected to improve as the database expands.</w:t>
            </w:r>
          </w:p>
        </w:tc>
      </w:tr>
      <w:tr w:rsidR="009F7617" w:rsidRPr="005C07B4" w14:paraId="1C00C61E" w14:textId="77777777" w:rsidTr="006E7363">
        <w:tc>
          <w:tcPr>
            <w:cnfStyle w:val="001000000000" w:firstRow="0" w:lastRow="0" w:firstColumn="1" w:lastColumn="0" w:oddVBand="0" w:evenVBand="0" w:oddHBand="0" w:evenHBand="0" w:firstRowFirstColumn="0" w:firstRowLastColumn="0" w:lastRowFirstColumn="0" w:lastRowLastColumn="0"/>
            <w:tcW w:w="704" w:type="dxa"/>
          </w:tcPr>
          <w:p w14:paraId="6630F252" w14:textId="49D7DB86" w:rsidR="009F7617" w:rsidRDefault="009F7617">
            <w:pPr>
              <w:jc w:val="center"/>
              <w:rPr>
                <w:b/>
                <w:bCs/>
                <w:color w:val="1D336D" w:themeColor="background2"/>
              </w:rPr>
            </w:pPr>
            <w:r>
              <w:rPr>
                <w:b/>
                <w:bCs/>
                <w:color w:val="1D336D" w:themeColor="background2"/>
              </w:rPr>
              <w:t>2</w:t>
            </w:r>
            <w:r w:rsidR="007C778E">
              <w:rPr>
                <w:b/>
                <w:bCs/>
                <w:color w:val="1D336D" w:themeColor="background2"/>
              </w:rPr>
              <w:t>7</w:t>
            </w:r>
          </w:p>
        </w:tc>
        <w:tc>
          <w:tcPr>
            <w:tcW w:w="8924" w:type="dxa"/>
            <w:shd w:val="clear" w:color="auto" w:fill="auto"/>
          </w:tcPr>
          <w:p w14:paraId="7ECD108C" w14:textId="1831CDE2" w:rsidR="009F7617" w:rsidRPr="005C07B4" w:rsidRDefault="009F7617">
            <w:pPr>
              <w:cnfStyle w:val="000000000000" w:firstRow="0" w:lastRow="0" w:firstColumn="0" w:lastColumn="0" w:oddVBand="0" w:evenVBand="0" w:oddHBand="0" w:evenHBand="0" w:firstRowFirstColumn="0" w:firstRowLastColumn="0" w:lastRowFirstColumn="0" w:lastRowLastColumn="0"/>
              <w:rPr>
                <w:i/>
                <w:iCs/>
                <w:color w:val="1D336D" w:themeColor="background2"/>
              </w:rPr>
            </w:pPr>
            <w:r w:rsidRPr="005C07B4">
              <w:rPr>
                <w:b/>
                <w:bCs/>
                <w:i/>
                <w:iCs/>
                <w:color w:val="1D336D" w:themeColor="background2"/>
              </w:rPr>
              <w:t xml:space="preserve">AIMS continues to develop the </w:t>
            </w:r>
            <w:proofErr w:type="spellStart"/>
            <w:r w:rsidRPr="005C07B4">
              <w:rPr>
                <w:b/>
                <w:bCs/>
                <w:i/>
                <w:iCs/>
                <w:color w:val="1D336D" w:themeColor="background2"/>
              </w:rPr>
              <w:t>ReefCloud</w:t>
            </w:r>
            <w:proofErr w:type="spellEnd"/>
            <w:r w:rsidRPr="005C07B4">
              <w:rPr>
                <w:b/>
                <w:bCs/>
                <w:i/>
                <w:iCs/>
                <w:color w:val="1D336D" w:themeColor="background2"/>
              </w:rPr>
              <w:t xml:space="preserve"> tool to increase effectiveness</w:t>
            </w:r>
            <w:r w:rsidRPr="005C07B4">
              <w:rPr>
                <w:i/>
                <w:iCs/>
                <w:color w:val="1D336D" w:themeColor="background2"/>
              </w:rPr>
              <w:t xml:space="preserve">. AIMS is addressing concerns about </w:t>
            </w:r>
            <w:r w:rsidR="00A03894">
              <w:rPr>
                <w:i/>
                <w:iCs/>
                <w:color w:val="1D336D" w:themeColor="background2"/>
              </w:rPr>
              <w:t>dat</w:t>
            </w:r>
            <w:r w:rsidR="00D47E8D">
              <w:rPr>
                <w:i/>
                <w:iCs/>
                <w:color w:val="1D336D" w:themeColor="background2"/>
              </w:rPr>
              <w:t xml:space="preserve">a </w:t>
            </w:r>
            <w:r w:rsidRPr="005C07B4">
              <w:rPr>
                <w:i/>
                <w:iCs/>
                <w:color w:val="1D336D" w:themeColor="background2"/>
              </w:rPr>
              <w:t xml:space="preserve">ownership and usage. In addition, it is expanding the platform's scope beyond data analysis to inform national policy. Efforts are underway to integrate data from </w:t>
            </w:r>
            <w:proofErr w:type="spellStart"/>
            <w:r w:rsidRPr="005C07B4">
              <w:rPr>
                <w:i/>
                <w:iCs/>
                <w:color w:val="1D336D" w:themeColor="background2"/>
              </w:rPr>
              <w:t>ReefCloud</w:t>
            </w:r>
            <w:proofErr w:type="spellEnd"/>
            <w:r w:rsidRPr="005C07B4">
              <w:rPr>
                <w:i/>
                <w:iCs/>
                <w:color w:val="1D336D" w:themeColor="background2"/>
              </w:rPr>
              <w:t xml:space="preserve"> with contextual information to identify impactful policies and interventions for reef management.</w:t>
            </w:r>
          </w:p>
        </w:tc>
      </w:tr>
      <w:tr w:rsidR="009F7617" w:rsidRPr="005C07B4" w14:paraId="339F6F6C" w14:textId="77777777" w:rsidTr="006E73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4BD3F18" w14:textId="790D92CC" w:rsidR="009F7617" w:rsidRDefault="009F7617">
            <w:pPr>
              <w:jc w:val="center"/>
              <w:rPr>
                <w:b/>
                <w:bCs/>
                <w:color w:val="1D336D" w:themeColor="background2"/>
              </w:rPr>
            </w:pPr>
            <w:r>
              <w:rPr>
                <w:b/>
                <w:bCs/>
                <w:color w:val="1D336D" w:themeColor="background2"/>
              </w:rPr>
              <w:t>2</w:t>
            </w:r>
            <w:r w:rsidR="007C778E">
              <w:rPr>
                <w:b/>
                <w:bCs/>
                <w:color w:val="1D336D" w:themeColor="background2"/>
              </w:rPr>
              <w:t>8</w:t>
            </w:r>
          </w:p>
        </w:tc>
        <w:tc>
          <w:tcPr>
            <w:tcW w:w="8924" w:type="dxa"/>
            <w:shd w:val="clear" w:color="auto" w:fill="auto"/>
          </w:tcPr>
          <w:p w14:paraId="4B2A5F86" w14:textId="31812927" w:rsidR="009F7617" w:rsidRPr="005C07B4" w:rsidRDefault="0068004F">
            <w:pPr>
              <w:cnfStyle w:val="000000100000" w:firstRow="0" w:lastRow="0" w:firstColumn="0" w:lastColumn="0" w:oddVBand="0" w:evenVBand="0" w:oddHBand="1" w:evenHBand="0" w:firstRowFirstColumn="0" w:firstRowLastColumn="0" w:lastRowFirstColumn="0" w:lastRowLastColumn="0"/>
              <w:rPr>
                <w:i/>
                <w:iCs/>
                <w:color w:val="1D336D" w:themeColor="background2"/>
              </w:rPr>
            </w:pPr>
            <w:r w:rsidRPr="005C07B4">
              <w:rPr>
                <w:b/>
                <w:bCs/>
                <w:i/>
                <w:iCs/>
                <w:color w:val="1D336D" w:themeColor="background2"/>
              </w:rPr>
              <w:t xml:space="preserve">While the </w:t>
            </w:r>
            <w:proofErr w:type="spellStart"/>
            <w:r w:rsidRPr="005C07B4">
              <w:rPr>
                <w:b/>
                <w:bCs/>
                <w:i/>
                <w:iCs/>
                <w:color w:val="1D336D" w:themeColor="background2"/>
              </w:rPr>
              <w:t>ReefCloud</w:t>
            </w:r>
            <w:proofErr w:type="spellEnd"/>
            <w:r w:rsidRPr="005C07B4">
              <w:rPr>
                <w:b/>
                <w:bCs/>
                <w:i/>
                <w:iCs/>
                <w:color w:val="1D336D" w:themeColor="background2"/>
              </w:rPr>
              <w:t xml:space="preserve"> Investment is well managed and delivering high quality outputs, it does not meet the </w:t>
            </w:r>
            <w:proofErr w:type="spellStart"/>
            <w:r w:rsidRPr="005C07B4">
              <w:rPr>
                <w:b/>
                <w:bCs/>
                <w:i/>
                <w:iCs/>
                <w:color w:val="1D336D" w:themeColor="background2"/>
              </w:rPr>
              <w:t>NbS</w:t>
            </w:r>
            <w:proofErr w:type="spellEnd"/>
            <w:r w:rsidRPr="005C07B4">
              <w:rPr>
                <w:b/>
                <w:bCs/>
                <w:i/>
                <w:iCs/>
                <w:color w:val="1D336D" w:themeColor="background2"/>
              </w:rPr>
              <w:t xml:space="preserve"> criteria proposed by the evaluation team</w:t>
            </w:r>
            <w:r w:rsidRPr="005C07B4">
              <w:rPr>
                <w:i/>
                <w:iCs/>
                <w:color w:val="1D336D" w:themeColor="background2"/>
              </w:rPr>
              <w:t xml:space="preserve">. Whilst it can be argued that </w:t>
            </w:r>
            <w:proofErr w:type="spellStart"/>
            <w:r w:rsidRPr="005C07B4">
              <w:rPr>
                <w:i/>
                <w:iCs/>
                <w:color w:val="1D336D" w:themeColor="background2"/>
              </w:rPr>
              <w:t>ReefCloud</w:t>
            </w:r>
            <w:proofErr w:type="spellEnd"/>
            <w:r w:rsidRPr="005C07B4">
              <w:rPr>
                <w:i/>
                <w:iCs/>
                <w:color w:val="1D336D" w:themeColor="background2"/>
              </w:rPr>
              <w:t xml:space="preserve"> </w:t>
            </w:r>
            <w:r w:rsidRPr="73E6867D">
              <w:rPr>
                <w:i/>
                <w:iCs/>
                <w:color w:val="1D336D" w:themeColor="background2"/>
              </w:rPr>
              <w:t>combines</w:t>
            </w:r>
            <w:r w:rsidRPr="005C07B4">
              <w:rPr>
                <w:i/>
                <w:iCs/>
                <w:color w:val="1D336D" w:themeColor="background2"/>
              </w:rPr>
              <w:t xml:space="preserve"> all three of the </w:t>
            </w:r>
            <w:proofErr w:type="spellStart"/>
            <w:r w:rsidRPr="005C07B4">
              <w:rPr>
                <w:i/>
                <w:iCs/>
                <w:color w:val="1D336D" w:themeColor="background2"/>
              </w:rPr>
              <w:t>NbS</w:t>
            </w:r>
            <w:proofErr w:type="spellEnd"/>
            <w:r w:rsidRPr="005C07B4">
              <w:rPr>
                <w:i/>
                <w:iCs/>
                <w:color w:val="1D336D" w:themeColor="background2"/>
              </w:rPr>
              <w:t xml:space="preserve"> pillars (biodiversity, livelihoods and climate), it is not "a solution" (i.e., the project is not resolving a priority challenge faced by the target communities).</w:t>
            </w:r>
            <w:r w:rsidRPr="73E6867D">
              <w:rPr>
                <w:i/>
                <w:iCs/>
                <w:color w:val="1D336D" w:themeColor="background2"/>
              </w:rPr>
              <w:t xml:space="preserve"> Nevertheless, the evaluation has assessed </w:t>
            </w:r>
            <w:proofErr w:type="spellStart"/>
            <w:r w:rsidRPr="73E6867D">
              <w:rPr>
                <w:i/>
                <w:iCs/>
                <w:color w:val="1D336D" w:themeColor="background2"/>
              </w:rPr>
              <w:t>ReefCloud</w:t>
            </w:r>
            <w:proofErr w:type="spellEnd"/>
            <w:r w:rsidRPr="73E6867D">
              <w:rPr>
                <w:i/>
                <w:iCs/>
                <w:color w:val="1D336D" w:themeColor="background2"/>
              </w:rPr>
              <w:t xml:space="preserve"> against all </w:t>
            </w:r>
            <w:proofErr w:type="spellStart"/>
            <w:r w:rsidRPr="73E6867D">
              <w:rPr>
                <w:i/>
                <w:iCs/>
                <w:color w:val="1D336D" w:themeColor="background2"/>
              </w:rPr>
              <w:t>NbS</w:t>
            </w:r>
            <w:proofErr w:type="spellEnd"/>
            <w:r w:rsidRPr="73E6867D">
              <w:rPr>
                <w:i/>
                <w:iCs/>
                <w:color w:val="1D336D" w:themeColor="background2"/>
              </w:rPr>
              <w:t xml:space="preserve"> criteria for consistency and to identify lessons for future </w:t>
            </w:r>
            <w:proofErr w:type="spellStart"/>
            <w:r w:rsidRPr="73E6867D">
              <w:rPr>
                <w:i/>
                <w:iCs/>
                <w:color w:val="1D336D" w:themeColor="background2"/>
              </w:rPr>
              <w:t>NbS</w:t>
            </w:r>
            <w:proofErr w:type="spellEnd"/>
            <w:r w:rsidRPr="73E6867D">
              <w:rPr>
                <w:i/>
                <w:iCs/>
                <w:color w:val="1D336D" w:themeColor="background2"/>
              </w:rPr>
              <w:t xml:space="preserve"> projects focusing on reef restoration or conservation.</w:t>
            </w:r>
          </w:p>
        </w:tc>
      </w:tr>
    </w:tbl>
    <w:p w14:paraId="07540221" w14:textId="77777777" w:rsidR="009F7617" w:rsidRDefault="009F7617" w:rsidP="00B814D2"/>
    <w:p w14:paraId="36B9CC64" w14:textId="4588A8D0" w:rsidR="009F7617" w:rsidRDefault="00190F8F" w:rsidP="00190F8F">
      <w:pPr>
        <w:pStyle w:val="ChapterHeading"/>
      </w:pPr>
      <w:bookmarkStart w:id="68" w:name="_Toc164783083"/>
      <w:r>
        <w:lastRenderedPageBreak/>
        <w:t>Recommendations</w:t>
      </w:r>
      <w:bookmarkEnd w:id="68"/>
      <w:r>
        <w:t xml:space="preserve"> </w:t>
      </w:r>
    </w:p>
    <w:p w14:paraId="62DC878D" w14:textId="476DB32C" w:rsidR="00EA7FE2" w:rsidRPr="00EA7FE2" w:rsidRDefault="00EA7FE2" w:rsidP="00190F8F">
      <w:pPr>
        <w:pStyle w:val="Heading1"/>
      </w:pPr>
      <w:bookmarkStart w:id="69" w:name="_Toc164783084"/>
      <w:r w:rsidRPr="00EA7FE2">
        <w:t>Strategic level</w:t>
      </w:r>
      <w:bookmarkEnd w:id="69"/>
      <w:r w:rsidRPr="00EA7FE2">
        <w:t xml:space="preserve"> </w:t>
      </w:r>
    </w:p>
    <w:p w14:paraId="414918DE" w14:textId="005FF93F" w:rsidR="00EA7FE2" w:rsidRPr="00EA7FE2" w:rsidRDefault="00EA7FE2" w:rsidP="00190F8F">
      <w:pPr>
        <w:pStyle w:val="Heading3"/>
      </w:pPr>
      <w:r w:rsidRPr="00EA7FE2">
        <w:t xml:space="preserve">Agree on the ambitions for </w:t>
      </w:r>
      <w:proofErr w:type="spellStart"/>
      <w:r w:rsidRPr="00EA7FE2">
        <w:t>N</w:t>
      </w:r>
      <w:r w:rsidR="008E2C5C">
        <w:t>b</w:t>
      </w:r>
      <w:r w:rsidRPr="00EA7FE2">
        <w:t>S</w:t>
      </w:r>
      <w:proofErr w:type="spellEnd"/>
      <w:r w:rsidRPr="00EA7FE2">
        <w:t xml:space="preserve"> at the strategic level </w:t>
      </w:r>
    </w:p>
    <w:p w14:paraId="2C4BE506" w14:textId="3AEE808C" w:rsidR="00EA7FE2" w:rsidRPr="00EA7FE2" w:rsidRDefault="00EA7FE2" w:rsidP="00B814D2">
      <w:r w:rsidRPr="003346D7">
        <w:rPr>
          <w:b/>
          <w:color w:val="1D336D" w:themeColor="background2"/>
        </w:rPr>
        <w:t xml:space="preserve">Recommendation 1: An ambitious definition for </w:t>
      </w:r>
      <w:proofErr w:type="spellStart"/>
      <w:r w:rsidRPr="003346D7">
        <w:rPr>
          <w:b/>
          <w:color w:val="1D336D" w:themeColor="background2"/>
        </w:rPr>
        <w:t>NbS</w:t>
      </w:r>
      <w:proofErr w:type="spellEnd"/>
      <w:r w:rsidRPr="003346D7">
        <w:rPr>
          <w:b/>
          <w:color w:val="1D336D" w:themeColor="background2"/>
        </w:rPr>
        <w:t xml:space="preserve"> should be established to ensure that future investments result in a coherent approach to </w:t>
      </w:r>
      <w:proofErr w:type="spellStart"/>
      <w:r w:rsidRPr="003346D7">
        <w:rPr>
          <w:b/>
          <w:color w:val="1D336D" w:themeColor="background2"/>
        </w:rPr>
        <w:t>NbS</w:t>
      </w:r>
      <w:proofErr w:type="spellEnd"/>
      <w:r w:rsidRPr="003346D7">
        <w:rPr>
          <w:color w:val="1D336D" w:themeColor="background2"/>
        </w:rPr>
        <w:t xml:space="preserve">. </w:t>
      </w:r>
      <w:r w:rsidRPr="00BD6387">
        <w:t xml:space="preserve">This definition can inform a discrete strategy for development interventions in the </w:t>
      </w:r>
      <w:proofErr w:type="spellStart"/>
      <w:r w:rsidRPr="00BD6387">
        <w:t>NbS</w:t>
      </w:r>
      <w:proofErr w:type="spellEnd"/>
      <w:r w:rsidRPr="00BD6387">
        <w:t xml:space="preserve"> sector. The definition should encompass the three core components of </w:t>
      </w:r>
      <w:proofErr w:type="spellStart"/>
      <w:r w:rsidRPr="00BD6387">
        <w:t>NbS</w:t>
      </w:r>
      <w:proofErr w:type="spellEnd"/>
      <w:r w:rsidRPr="00BD6387">
        <w:t xml:space="preserve">, namely the promotion of wellbeing for affected communities, climate change adaptation and/or mitigation, and biodiversity enhancement and/or conservation. In addition to these foundational dimensions, DFAT should develop criteria for addressing community identified needs, the minimum viable scale, governance arrangements, and financing mechanisms. The criteria presented in this evaluation report should be considered as a minimum set of requirements. It is advisable to build upon existing frameworks such as the IUCN Global Standards for </w:t>
      </w:r>
      <w:proofErr w:type="spellStart"/>
      <w:r w:rsidRPr="00BD6387">
        <w:t>NbS</w:t>
      </w:r>
      <w:proofErr w:type="spellEnd"/>
      <w:r w:rsidRPr="00BD6387">
        <w:t>.</w:t>
      </w:r>
      <w:r w:rsidR="008B35A5" w:rsidRPr="00BD6387">
        <w:rPr>
          <w:rStyle w:val="FootnoteReference"/>
        </w:rPr>
        <w:footnoteReference w:id="33"/>
      </w:r>
      <w:r w:rsidRPr="00BD6387">
        <w:t xml:space="preserve"> DFAT’s definition of </w:t>
      </w:r>
      <w:proofErr w:type="spellStart"/>
      <w:r w:rsidRPr="00BD6387">
        <w:t>NbS</w:t>
      </w:r>
      <w:proofErr w:type="spellEnd"/>
      <w:r w:rsidRPr="00BD6387">
        <w:t xml:space="preserve"> may need to be further refined and contextualised in alignment with Australia's International Development Policy and the specific priorities of the Australian Government.</w:t>
      </w:r>
    </w:p>
    <w:p w14:paraId="769DF1FD" w14:textId="77777777" w:rsidR="00EA7FE2" w:rsidRPr="00EA7FE2" w:rsidRDefault="00EA7FE2" w:rsidP="00B814D2">
      <w:r w:rsidRPr="003346D7">
        <w:rPr>
          <w:b/>
          <w:color w:val="1D336D" w:themeColor="background2"/>
        </w:rPr>
        <w:t xml:space="preserve">Recommendation 2: To operationalise the </w:t>
      </w:r>
      <w:proofErr w:type="spellStart"/>
      <w:r w:rsidRPr="003346D7">
        <w:rPr>
          <w:b/>
          <w:color w:val="1D336D" w:themeColor="background2"/>
        </w:rPr>
        <w:t>NbS</w:t>
      </w:r>
      <w:proofErr w:type="spellEnd"/>
      <w:r w:rsidRPr="003346D7">
        <w:rPr>
          <w:b/>
          <w:color w:val="1D336D" w:themeColor="background2"/>
        </w:rPr>
        <w:t xml:space="preserve"> definition, all </w:t>
      </w:r>
      <w:proofErr w:type="spellStart"/>
      <w:r w:rsidRPr="003346D7">
        <w:rPr>
          <w:b/>
          <w:color w:val="1D336D" w:themeColor="background2"/>
        </w:rPr>
        <w:t>NbS</w:t>
      </w:r>
      <w:proofErr w:type="spellEnd"/>
      <w:r w:rsidRPr="003346D7">
        <w:rPr>
          <w:b/>
          <w:color w:val="1D336D" w:themeColor="background2"/>
        </w:rPr>
        <w:t xml:space="preserve"> terminology, operational criteria, and minimum performance targets should be comprehensively defined</w:t>
      </w:r>
      <w:r w:rsidRPr="003346D7">
        <w:rPr>
          <w:color w:val="1D336D" w:themeColor="background2"/>
        </w:rPr>
        <w:t xml:space="preserve">. </w:t>
      </w:r>
      <w:r w:rsidRPr="00EA7FE2">
        <w:t>Room to interpret the definition should be reduced by defining the terms in the definition, e.g. biodiversity or climate resilience. The operationalisation of the definition should include success factors like coherence (e.g. obstacles and opportunities in the operating environment) and internal project logic (e.g. better livelihoods are dependent on ecosystem restoration that also provides climate resilience.) The definition should inform operational procedures like selection criteria, progress measurement and minimum performance expectations.</w:t>
      </w:r>
    </w:p>
    <w:p w14:paraId="24597CCF" w14:textId="77777777" w:rsidR="00EA7FE2" w:rsidRPr="00EA7FE2" w:rsidRDefault="00EA7FE2" w:rsidP="00B814D2">
      <w:r w:rsidRPr="003346D7">
        <w:rPr>
          <w:b/>
          <w:color w:val="1D336D" w:themeColor="background2"/>
        </w:rPr>
        <w:t>Recommendation 3: The investment ambition should be clearly defined at the proposal and stop-go stages</w:t>
      </w:r>
      <w:r w:rsidRPr="00EA7FE2">
        <w:t xml:space="preserve">. The ambition should be broadly defined, requiring investments or projects to demonstrate their ability to meet the defined criteria and performance targets. This includes predicting measurable impacts on each of the established criteria within the definition and demonstrating a comprehensive understanding of the operating context, including climate change impacts, biodiversity threats, and regulatory frameworks. The investment ambition should provide clarity regarding long-term financial requirements and strategies, as well as long-term governance structures. It should also include credible timelines for each phase of the project, such as design, pilot, rollout, and implementation. Additionally, each phase should have a testing and learning agenda in place. Funding allocation should be conditional on successfully achieving the targets set for each phase, both at the investment and project levels. These stop-go points, and in particular the pilot phase, serve to ensure a fail-fast approach, allowing resources to be reallocated towards the scaling up and replication of approaches that have proven to be effective. </w:t>
      </w:r>
    </w:p>
    <w:p w14:paraId="1815DB75" w14:textId="77777777" w:rsidR="00EA7FE2" w:rsidRPr="00EA7FE2" w:rsidRDefault="00EA7FE2" w:rsidP="008B35A5">
      <w:pPr>
        <w:pStyle w:val="Heading3"/>
      </w:pPr>
      <w:r w:rsidRPr="00EA7FE2">
        <w:t xml:space="preserve">Complete performance standards for all </w:t>
      </w:r>
      <w:proofErr w:type="spellStart"/>
      <w:r w:rsidRPr="00EA7FE2">
        <w:t>NbS</w:t>
      </w:r>
      <w:proofErr w:type="spellEnd"/>
    </w:p>
    <w:p w14:paraId="1990CB35" w14:textId="77777777" w:rsidR="00EA7FE2" w:rsidRPr="00EA7FE2" w:rsidRDefault="00EA7FE2" w:rsidP="00B814D2">
      <w:r w:rsidRPr="003346D7">
        <w:rPr>
          <w:b/>
          <w:color w:val="1D336D" w:themeColor="background2"/>
        </w:rPr>
        <w:t>Recommendation 4: Establishment of a portfolio level guidance framework that includes baselines, trends, and targets</w:t>
      </w:r>
      <w:r w:rsidRPr="00EA7FE2">
        <w:t xml:space="preserve">. While the definition of </w:t>
      </w:r>
      <w:proofErr w:type="spellStart"/>
      <w:r w:rsidRPr="00EA7FE2">
        <w:t>NbS</w:t>
      </w:r>
      <w:proofErr w:type="spellEnd"/>
      <w:r w:rsidRPr="00EA7FE2">
        <w:t xml:space="preserve"> includes qualification standards that outline the necessary characteristics for an initiative to be classified as </w:t>
      </w:r>
      <w:proofErr w:type="spellStart"/>
      <w:r w:rsidRPr="00EA7FE2">
        <w:t>NbS</w:t>
      </w:r>
      <w:proofErr w:type="spellEnd"/>
      <w:r w:rsidRPr="00EA7FE2">
        <w:t xml:space="preserve">, the guidance framework should focus on criteria that can be aggregated from project to investment to portfolio levels. To ensure consistency and comparability, a standardised methodology should be employed for measuring performance. Progress should be assessed by comparing it against a baseline or trendline. For example, ecosystem conservation efforts can be measured relative to the trend of ecosystem loss resulting from climate change. This approach allows for a </w:t>
      </w:r>
      <w:r w:rsidRPr="00EA7FE2">
        <w:lastRenderedPageBreak/>
        <w:t xml:space="preserve">comprehensive evaluation of the effectiveness of </w:t>
      </w:r>
      <w:proofErr w:type="spellStart"/>
      <w:r w:rsidRPr="00EA7FE2">
        <w:t>NbS</w:t>
      </w:r>
      <w:proofErr w:type="spellEnd"/>
      <w:r w:rsidRPr="00EA7FE2">
        <w:t xml:space="preserve"> initiatives and provides a means to track progress over time. Performance measurements should also take into account the project phase. The outcomes expected might change considerably between the standard implementation phases as defined in the previous recommendation, i.e. design, pilot, rollout, implementation. </w:t>
      </w:r>
    </w:p>
    <w:p w14:paraId="7358BD0A" w14:textId="229AB073" w:rsidR="00EA7FE2" w:rsidRPr="00EA7FE2" w:rsidRDefault="00EA7FE2" w:rsidP="00B814D2">
      <w:r w:rsidRPr="003346D7">
        <w:rPr>
          <w:b/>
          <w:color w:val="1D336D" w:themeColor="background2"/>
        </w:rPr>
        <w:t>Recommendation 5: Collaboratively establish progress and trend measurement methods through consultations with positive outlier projects</w:t>
      </w:r>
      <w:r w:rsidRPr="00EA7FE2">
        <w:t xml:space="preserve">. The ongoing pilots provide an opportunity to establish a guidance framework, drawing on the experience gained from existing projects and investments. By leveraging this experience, the guidance framework can be informed by practical insights and lessons learned. To ensure the effectiveness and practicality of the measurement methods, it is important to consider past successes and learn from what has proven to work well. </w:t>
      </w:r>
    </w:p>
    <w:p w14:paraId="2E592192" w14:textId="77777777" w:rsidR="00EA7FE2" w:rsidRPr="00EA7FE2" w:rsidRDefault="00EA7FE2" w:rsidP="00DF7FCE">
      <w:pPr>
        <w:pStyle w:val="Heading3"/>
      </w:pPr>
      <w:r w:rsidRPr="00EA7FE2">
        <w:t xml:space="preserve">Establish a technical support facility available to all </w:t>
      </w:r>
      <w:proofErr w:type="spellStart"/>
      <w:r w:rsidRPr="00EA7FE2">
        <w:t>NbS</w:t>
      </w:r>
      <w:proofErr w:type="spellEnd"/>
      <w:r w:rsidRPr="00EA7FE2">
        <w:t xml:space="preserve"> investments </w:t>
      </w:r>
    </w:p>
    <w:p w14:paraId="2C69981C" w14:textId="6AA1518A" w:rsidR="00EA7FE2" w:rsidRPr="00EA7FE2" w:rsidRDefault="00EA7FE2" w:rsidP="00B814D2">
      <w:r w:rsidRPr="003346D7">
        <w:rPr>
          <w:b/>
          <w:color w:val="1D336D" w:themeColor="background2"/>
        </w:rPr>
        <w:t xml:space="preserve">Recommendation 6: Establish a facility to provide technical support to all </w:t>
      </w:r>
      <w:proofErr w:type="spellStart"/>
      <w:r w:rsidRPr="003346D7">
        <w:rPr>
          <w:b/>
          <w:color w:val="1D336D" w:themeColor="background2"/>
        </w:rPr>
        <w:t>NbS</w:t>
      </w:r>
      <w:proofErr w:type="spellEnd"/>
      <w:r w:rsidRPr="003346D7">
        <w:rPr>
          <w:b/>
          <w:color w:val="1D336D" w:themeColor="background2"/>
        </w:rPr>
        <w:t xml:space="preserve"> investments</w:t>
      </w:r>
      <w:r w:rsidRPr="00EA7FE2">
        <w:t xml:space="preserve">. The most effective modality for this facility will depend on the planned investment in </w:t>
      </w:r>
      <w:proofErr w:type="spellStart"/>
      <w:r w:rsidRPr="00EA7FE2">
        <w:t>NbS</w:t>
      </w:r>
      <w:proofErr w:type="spellEnd"/>
      <w:r w:rsidRPr="00EA7FE2">
        <w:t xml:space="preserve"> by DFAT, as well as potential synergies with other climate or nature-positive programming initiatives. Because </w:t>
      </w:r>
      <w:proofErr w:type="spellStart"/>
      <w:r w:rsidRPr="00EA7FE2">
        <w:t>NbS</w:t>
      </w:r>
      <w:proofErr w:type="spellEnd"/>
      <w:r w:rsidRPr="00EA7FE2">
        <w:t xml:space="preserve"> are driven by and address community needs, they can be adapted to diverse development sectors (for instance, livelihoods, health, or education, amongst others). Noting this, the evaluation recommends that sectoral managers are provided targeted technical supports to aid them in the design, piloting, rollout, and implementation </w:t>
      </w:r>
      <w:r w:rsidR="005B09DF" w:rsidRPr="00EA7FE2">
        <w:t>of their</w:t>
      </w:r>
      <w:r w:rsidRPr="00EA7FE2">
        <w:t xml:space="preserve"> </w:t>
      </w:r>
      <w:proofErr w:type="spellStart"/>
      <w:r w:rsidRPr="00EA7FE2">
        <w:t>NbS</w:t>
      </w:r>
      <w:proofErr w:type="spellEnd"/>
      <w:r w:rsidRPr="00EA7FE2">
        <w:t xml:space="preserve"> initiatives. </w:t>
      </w:r>
      <w:proofErr w:type="spellStart"/>
      <w:r w:rsidRPr="00EA7FE2">
        <w:t>NbS</w:t>
      </w:r>
      <w:proofErr w:type="spellEnd"/>
      <w:r w:rsidRPr="00EA7FE2">
        <w:t xml:space="preserve"> evaluation criteria and reporting should likewise be integrated into sectoral investment monitoring approaches, overseen by sectoral managers, with the support and input of </w:t>
      </w:r>
      <w:proofErr w:type="spellStart"/>
      <w:r w:rsidRPr="00EA7FE2">
        <w:t>NbS</w:t>
      </w:r>
      <w:proofErr w:type="spellEnd"/>
      <w:r w:rsidRPr="00EA7FE2">
        <w:t xml:space="preserve"> experts from the facility. </w:t>
      </w:r>
    </w:p>
    <w:p w14:paraId="32D6A7E5" w14:textId="29F10D8E" w:rsidR="00EA7FE2" w:rsidRPr="00EA7FE2" w:rsidRDefault="00EA7FE2" w:rsidP="00B814D2">
      <w:r w:rsidRPr="003346D7">
        <w:rPr>
          <w:b/>
          <w:color w:val="1D336D" w:themeColor="background2"/>
        </w:rPr>
        <w:t xml:space="preserve">Recommendation 7: Cross-cutting specialists provide their input at the design stage in collaboration with </w:t>
      </w:r>
      <w:proofErr w:type="spellStart"/>
      <w:r w:rsidRPr="003346D7">
        <w:rPr>
          <w:b/>
          <w:color w:val="1D336D" w:themeColor="background2"/>
        </w:rPr>
        <w:t>NbS</w:t>
      </w:r>
      <w:proofErr w:type="spellEnd"/>
      <w:r w:rsidRPr="003346D7">
        <w:rPr>
          <w:b/>
          <w:color w:val="1D336D" w:themeColor="background2"/>
        </w:rPr>
        <w:t xml:space="preserve"> experts to achieve an integrated approach</w:t>
      </w:r>
      <w:r w:rsidRPr="00EA7FE2">
        <w:t xml:space="preserve">. </w:t>
      </w:r>
      <w:proofErr w:type="spellStart"/>
      <w:r w:rsidRPr="00EA7FE2">
        <w:t>NbS</w:t>
      </w:r>
      <w:proofErr w:type="spellEnd"/>
      <w:r w:rsidRPr="00EA7FE2">
        <w:t xml:space="preserve"> presents significant opportunities for transformative impacts on cross-cutting issues such as GEDSI, localisation, and </w:t>
      </w:r>
      <w:r w:rsidR="006551F0">
        <w:t>Indigenous</w:t>
      </w:r>
      <w:r w:rsidRPr="00EA7FE2">
        <w:t xml:space="preserve"> engagement.</w:t>
      </w:r>
      <w:r w:rsidR="00DF7FCE">
        <w:t xml:space="preserve"> </w:t>
      </w:r>
      <w:r w:rsidRPr="00EA7FE2">
        <w:t xml:space="preserve">Additionally, they require robust systems for safeguards and risk management. Investments and projects that have leveraged specific expertise on cross-cutting issues have demonstrated better performance. In addition to making expertise on cross-cutting issues available, the timing of these inputs is crucial. Given the inherent complexity and interdependencies involved, it is important to design and operationalise cross-cutting issues as integral components of the broader dimensions of </w:t>
      </w:r>
      <w:proofErr w:type="spellStart"/>
      <w:r w:rsidRPr="00EA7FE2">
        <w:t>NbS</w:t>
      </w:r>
      <w:proofErr w:type="spellEnd"/>
      <w:r w:rsidRPr="00EA7FE2">
        <w:t>. Failing to do so may relegate cross-cutting issues to being mere add-ons in project design, potentially limiting their maximum effectiveness.</w:t>
      </w:r>
    </w:p>
    <w:p w14:paraId="6FF3C505" w14:textId="77777777" w:rsidR="00EA7FE2" w:rsidRPr="00EA7FE2" w:rsidRDefault="00EA7FE2" w:rsidP="00B814D2">
      <w:r w:rsidRPr="003346D7">
        <w:rPr>
          <w:b/>
          <w:color w:val="1D336D" w:themeColor="background2"/>
        </w:rPr>
        <w:t xml:space="preserve">Recommendation 8: Establish separate funding for expert services to incentivise their utilisation within </w:t>
      </w:r>
      <w:proofErr w:type="spellStart"/>
      <w:r w:rsidRPr="003346D7">
        <w:rPr>
          <w:b/>
          <w:color w:val="1D336D" w:themeColor="background2"/>
        </w:rPr>
        <w:t>NbS</w:t>
      </w:r>
      <w:proofErr w:type="spellEnd"/>
      <w:r w:rsidRPr="003346D7">
        <w:rPr>
          <w:b/>
          <w:color w:val="1D336D" w:themeColor="background2"/>
        </w:rPr>
        <w:t xml:space="preserve"> initiatives</w:t>
      </w:r>
      <w:r w:rsidRPr="00EA7FE2">
        <w:t xml:space="preserve">. Expertise is mostly needed when challenges to </w:t>
      </w:r>
      <w:proofErr w:type="spellStart"/>
      <w:r w:rsidRPr="00EA7FE2">
        <w:t>NbS</w:t>
      </w:r>
      <w:proofErr w:type="spellEnd"/>
      <w:r w:rsidRPr="00EA7FE2">
        <w:t xml:space="preserve"> implementation arise. Expertise is particularly crucial when unforeseen challenges arise during </w:t>
      </w:r>
      <w:proofErr w:type="spellStart"/>
      <w:r w:rsidRPr="00EA7FE2">
        <w:t>NbS</w:t>
      </w:r>
      <w:proofErr w:type="spellEnd"/>
      <w:r w:rsidRPr="00EA7FE2">
        <w:t xml:space="preserve"> implementation. These unexpected expenses are often not accounted for in the budgets of investments and projects. The availability of funds can hinder the timely engagement of expertise during these critical moments. Therefore, the effective utilisation of expertise is more likely when it is funded through a dedicated budget line.</w:t>
      </w:r>
    </w:p>
    <w:p w14:paraId="75DA3FEF" w14:textId="77777777" w:rsidR="00EA7FE2" w:rsidRPr="00EA7FE2" w:rsidRDefault="00EA7FE2" w:rsidP="009331DB">
      <w:pPr>
        <w:pStyle w:val="Heading3"/>
      </w:pPr>
      <w:r w:rsidRPr="00EA7FE2">
        <w:t xml:space="preserve">Complementary interventions to the operating context </w:t>
      </w:r>
    </w:p>
    <w:p w14:paraId="50D39C0C" w14:textId="77777777" w:rsidR="00EA7FE2" w:rsidRPr="00EA7FE2" w:rsidRDefault="00EA7FE2" w:rsidP="00B814D2">
      <w:r w:rsidRPr="003346D7">
        <w:rPr>
          <w:b/>
          <w:color w:val="1D336D" w:themeColor="background2"/>
        </w:rPr>
        <w:t xml:space="preserve">Recommendation 9: Integrate regular implementation activities with interventions aimed at improving the operating environment of </w:t>
      </w:r>
      <w:proofErr w:type="spellStart"/>
      <w:r w:rsidRPr="003346D7">
        <w:rPr>
          <w:b/>
          <w:color w:val="1D336D" w:themeColor="background2"/>
        </w:rPr>
        <w:t>NbS</w:t>
      </w:r>
      <w:proofErr w:type="spellEnd"/>
      <w:r w:rsidRPr="003346D7">
        <w:rPr>
          <w:b/>
          <w:color w:val="1D336D" w:themeColor="background2"/>
        </w:rPr>
        <w:t xml:space="preserve"> initiatives</w:t>
      </w:r>
      <w:r w:rsidRPr="00EA7FE2">
        <w:t>. By proactively identifying challenges within the operating context, necessary actions to address or mitigate these challenges can be incorporated into project proposals and budgets.</w:t>
      </w:r>
    </w:p>
    <w:p w14:paraId="7B0219B8" w14:textId="77777777" w:rsidR="0094177F" w:rsidRDefault="0094177F">
      <w:pPr>
        <w:spacing w:after="0" w:line="240" w:lineRule="auto"/>
        <w:rPr>
          <w:b/>
          <w:color w:val="1D336D" w:themeColor="background2"/>
        </w:rPr>
      </w:pPr>
      <w:r>
        <w:rPr>
          <w:b/>
          <w:color w:val="1D336D" w:themeColor="background2"/>
        </w:rPr>
        <w:br w:type="page"/>
      </w:r>
    </w:p>
    <w:p w14:paraId="61166BAC" w14:textId="11440F0D" w:rsidR="00EA7FE2" w:rsidRPr="00EA7FE2" w:rsidRDefault="00EA7FE2" w:rsidP="00B814D2">
      <w:r w:rsidRPr="003346D7">
        <w:rPr>
          <w:b/>
          <w:color w:val="1D336D" w:themeColor="background2"/>
        </w:rPr>
        <w:lastRenderedPageBreak/>
        <w:t xml:space="preserve">Recommendation 10: Prioritise manageable interventions that address the context of </w:t>
      </w:r>
      <w:proofErr w:type="spellStart"/>
      <w:r w:rsidRPr="003346D7">
        <w:rPr>
          <w:b/>
          <w:color w:val="1D336D" w:themeColor="background2"/>
        </w:rPr>
        <w:t>NbS</w:t>
      </w:r>
      <w:proofErr w:type="spellEnd"/>
      <w:r w:rsidRPr="003346D7">
        <w:rPr>
          <w:b/>
          <w:color w:val="1D336D" w:themeColor="background2"/>
        </w:rPr>
        <w:t xml:space="preserve"> initiatives</w:t>
      </w:r>
      <w:r w:rsidRPr="003346D7">
        <w:rPr>
          <w:color w:val="1D336D" w:themeColor="background2"/>
        </w:rPr>
        <w:t xml:space="preserve">. </w:t>
      </w:r>
      <w:r w:rsidRPr="00EA7FE2">
        <w:t xml:space="preserve">As </w:t>
      </w:r>
      <w:proofErr w:type="spellStart"/>
      <w:r w:rsidRPr="00EA7FE2">
        <w:t>NbS</w:t>
      </w:r>
      <w:proofErr w:type="spellEnd"/>
      <w:r w:rsidRPr="00EA7FE2">
        <w:t xml:space="preserve"> is a relatively new field, there are various challenges that need to be addressed, ranging from scientific issues to governance structures and regulatory frameworks. Therefore, it is important for </w:t>
      </w:r>
      <w:proofErr w:type="spellStart"/>
      <w:r w:rsidRPr="00EA7FE2">
        <w:t>NbS</w:t>
      </w:r>
      <w:proofErr w:type="spellEnd"/>
      <w:r w:rsidRPr="00EA7FE2">
        <w:t xml:space="preserve"> projects to allocate their resources judiciously and avoid spreading them too thin across the multitude of context-related challenges that may arise. In this context, resources should not be spent on challenges that are excessively large or overly complex, as these may exceed the capacity and scope of the </w:t>
      </w:r>
      <w:proofErr w:type="spellStart"/>
      <w:r w:rsidRPr="00EA7FE2">
        <w:t>NbS</w:t>
      </w:r>
      <w:proofErr w:type="spellEnd"/>
      <w:r w:rsidRPr="00EA7FE2">
        <w:t xml:space="preserve"> initiative.</w:t>
      </w:r>
    </w:p>
    <w:p w14:paraId="541DF8CB" w14:textId="0EEEAEE9" w:rsidR="00EA7FE2" w:rsidRPr="00EA7FE2" w:rsidRDefault="00EA7FE2" w:rsidP="009331DB">
      <w:pPr>
        <w:pStyle w:val="Heading1"/>
      </w:pPr>
      <w:bookmarkStart w:id="70" w:name="_Toc164783085"/>
      <w:r w:rsidRPr="00EA7FE2">
        <w:t>Investment level</w:t>
      </w:r>
      <w:bookmarkEnd w:id="70"/>
      <w:r w:rsidRPr="00EA7FE2">
        <w:t xml:space="preserve"> </w:t>
      </w:r>
    </w:p>
    <w:p w14:paraId="1CDE5E69" w14:textId="0CC6103F" w:rsidR="00EA7FE2" w:rsidRPr="009331DB" w:rsidRDefault="00646D24" w:rsidP="009331DB">
      <w:pPr>
        <w:pStyle w:val="Heading2"/>
        <w:rPr>
          <w:color w:val="1D336D" w:themeColor="background2"/>
        </w:rPr>
      </w:pPr>
      <w:bookmarkStart w:id="71" w:name="_Toc164783086"/>
      <w:r>
        <w:rPr>
          <w:color w:val="1D336D" w:themeColor="background2"/>
        </w:rPr>
        <w:t>Climate Resilient By Nature (CR</w:t>
      </w:r>
      <w:r w:rsidR="00983D62" w:rsidRPr="00983D62">
        <w:rPr>
          <w:color w:val="1D336D" w:themeColor="background2"/>
          <w:sz w:val="18"/>
          <w:szCs w:val="18"/>
        </w:rPr>
        <w:t>x</w:t>
      </w:r>
      <w:r>
        <w:rPr>
          <w:color w:val="1D336D" w:themeColor="background2"/>
        </w:rPr>
        <w:t>N)</w:t>
      </w:r>
      <w:bookmarkEnd w:id="71"/>
    </w:p>
    <w:p w14:paraId="19D8B3BE" w14:textId="77777777" w:rsidR="00EA7FE2" w:rsidRPr="00EA7FE2" w:rsidRDefault="00EA7FE2" w:rsidP="00093B4D">
      <w:pPr>
        <w:pStyle w:val="Heading3"/>
      </w:pPr>
      <w:r w:rsidRPr="00EA7FE2">
        <w:t>Recommendations</w:t>
      </w:r>
    </w:p>
    <w:p w14:paraId="29745272" w14:textId="77777777" w:rsidR="00EA7FE2" w:rsidRPr="00EA7FE2" w:rsidRDefault="00EA7FE2" w:rsidP="00B814D2">
      <w:r w:rsidRPr="003346D7">
        <w:rPr>
          <w:b/>
          <w:color w:val="1D336D" w:themeColor="background2"/>
        </w:rPr>
        <w:t>Recommendation 11: Prioritise investment in improving and replicating successful approaches to date</w:t>
      </w:r>
      <w:r w:rsidRPr="00EA7FE2">
        <w:t xml:space="preserve">. Conduct a comprehensive review of all projects and sub-projects utilising criteria derived from an ambitious </w:t>
      </w:r>
      <w:proofErr w:type="spellStart"/>
      <w:r w:rsidRPr="00EA7FE2">
        <w:t>NbS</w:t>
      </w:r>
      <w:proofErr w:type="spellEnd"/>
      <w:r w:rsidRPr="00EA7FE2">
        <w:t xml:space="preserve"> definition. Projects that already meet these criteria should be regarded as valuable learning opportunities and provided with support to enhance their scalability and long-term sustainability. For projects that do not currently meet the criteria but demonstrate the potential to do so, targeted support and expertise should be offered to improve their approach. This support should be accompanied by a clear test and learning agenda, implemented during an extended pilot period. Projects that are unlikely to meet the defined criteria should be phased out, ensuring that resources are efficiently allocated to initiatives with higher potential for achieving desired outcomes.</w:t>
      </w:r>
    </w:p>
    <w:p w14:paraId="6E8BB1C2" w14:textId="77777777" w:rsidR="00EA7FE2" w:rsidRPr="00EA7FE2" w:rsidRDefault="00EA7FE2" w:rsidP="00B814D2">
      <w:r w:rsidRPr="003346D7">
        <w:rPr>
          <w:b/>
          <w:color w:val="1D336D" w:themeColor="background2"/>
        </w:rPr>
        <w:t>Recommendation 12: Proactively increase the provision of guidance and expertise</w:t>
      </w:r>
      <w:r w:rsidRPr="00EA7FE2">
        <w:t xml:space="preserve">. Conducting a project-by-project assessment, as mentioned in Recommendation 11, will help identify areas for improvement in each project. The investment should then facilitate expert inputs to assist in designing and implementing these improvements. The support provided should be practical and tailored to the specific needs of each project. If multiple projects encounter similar challenges, the investment should offer practical guidance, frameworks, or tools that can enhance the quality and effectiveness of all projects. To drive progress, the investment should establish ambitious criteria and targets for </w:t>
      </w:r>
      <w:proofErr w:type="spellStart"/>
      <w:r w:rsidRPr="00EA7FE2">
        <w:t>NbS</w:t>
      </w:r>
      <w:proofErr w:type="spellEnd"/>
      <w:r w:rsidRPr="00EA7FE2">
        <w:t xml:space="preserve"> as setting higher standards has demonstrated a positive correlation with improved project quality.</w:t>
      </w:r>
    </w:p>
    <w:p w14:paraId="002F5139" w14:textId="6E9C1965" w:rsidR="00EA7FE2" w:rsidRPr="00EA7FE2" w:rsidRDefault="00EA7FE2" w:rsidP="00B814D2">
      <w:r w:rsidRPr="00C97215">
        <w:rPr>
          <w:b/>
          <w:color w:val="1D336D" w:themeColor="background2"/>
        </w:rPr>
        <w:t>Recommendation 13: Enhance the investment’s MEL function with a specific focus on project support</w:t>
      </w:r>
      <w:r w:rsidRPr="00C97215">
        <w:t xml:space="preserve">. The MEL function should involve a comprehensive assessment of on-the-ground progress conducted by diverse experts who collaborate to establish an integrated approach, ensuring that projects meet all </w:t>
      </w:r>
      <w:proofErr w:type="spellStart"/>
      <w:r w:rsidRPr="00C97215">
        <w:t>NbS</w:t>
      </w:r>
      <w:proofErr w:type="spellEnd"/>
      <w:r w:rsidRPr="00C97215">
        <w:t xml:space="preserve"> criteria, including cross-cutting issues. Regular project level assessments and engagement focused on improvement, will strengthen learning and improve reporting. </w:t>
      </w:r>
      <w:r w:rsidR="006C1F2C" w:rsidRPr="00C97215">
        <w:t>I</w:t>
      </w:r>
      <w:r w:rsidR="0049597B" w:rsidRPr="00C97215">
        <w:t xml:space="preserve">f </w:t>
      </w:r>
      <w:r w:rsidRPr="00C97215">
        <w:t xml:space="preserve">a dedicated support facility </w:t>
      </w:r>
      <w:r w:rsidR="0049597B" w:rsidRPr="00C97215">
        <w:t xml:space="preserve">is not available at a </w:t>
      </w:r>
      <w:r w:rsidR="006C1F2C" w:rsidRPr="00C97215">
        <w:t xml:space="preserve">portfolio level, </w:t>
      </w:r>
      <w:r w:rsidRPr="00C97215">
        <w:t>the investment should provide the necessary technical support to fulfill these functions.</w:t>
      </w:r>
    </w:p>
    <w:p w14:paraId="3E487508" w14:textId="10A420D5" w:rsidR="00EA7FE2" w:rsidRPr="00093B4D" w:rsidRDefault="00646D24" w:rsidP="00093B4D">
      <w:pPr>
        <w:pStyle w:val="Heading2"/>
        <w:rPr>
          <w:color w:val="1D336D" w:themeColor="background2"/>
        </w:rPr>
      </w:pPr>
      <w:bookmarkStart w:id="72" w:name="_Toc164783087"/>
      <w:r>
        <w:rPr>
          <w:color w:val="1D336D" w:themeColor="background2"/>
        </w:rPr>
        <w:t>Pacific Blue Carbon Program</w:t>
      </w:r>
      <w:bookmarkEnd w:id="72"/>
    </w:p>
    <w:p w14:paraId="7CBE971C" w14:textId="77777777" w:rsidR="00EA7FE2" w:rsidRPr="00EA7FE2" w:rsidRDefault="00EA7FE2" w:rsidP="00093B4D">
      <w:pPr>
        <w:pStyle w:val="Heading3"/>
      </w:pPr>
      <w:r w:rsidRPr="00EA7FE2">
        <w:t>Recommendations</w:t>
      </w:r>
    </w:p>
    <w:p w14:paraId="36B7F9E5" w14:textId="77777777" w:rsidR="00EA7FE2" w:rsidRPr="00EA7FE2" w:rsidRDefault="00EA7FE2" w:rsidP="00B814D2">
      <w:r w:rsidRPr="003346D7">
        <w:rPr>
          <w:b/>
          <w:color w:val="1D336D" w:themeColor="background2"/>
        </w:rPr>
        <w:t>Recommendation 14: Document the different phases of implementation as a case study</w:t>
      </w:r>
      <w:r w:rsidRPr="00EA7FE2">
        <w:t>. The various aspects of project conceptualisation, government engagement, pilot design, assessment of the operating context, and site selection could all provide valuable lessons for other investments and projects. This experience could also be used at the portfolio level to develop guidelines and quality criteria.</w:t>
      </w:r>
    </w:p>
    <w:p w14:paraId="0064E0DD" w14:textId="77777777" w:rsidR="0094177F" w:rsidRDefault="0094177F">
      <w:pPr>
        <w:spacing w:after="0" w:line="240" w:lineRule="auto"/>
        <w:rPr>
          <w:b/>
          <w:color w:val="1D336D" w:themeColor="background2"/>
        </w:rPr>
      </w:pPr>
      <w:r>
        <w:rPr>
          <w:b/>
          <w:color w:val="1D336D" w:themeColor="background2"/>
        </w:rPr>
        <w:br w:type="page"/>
      </w:r>
    </w:p>
    <w:p w14:paraId="4AFA8F3F" w14:textId="7DA6BB1A" w:rsidR="00EA7FE2" w:rsidRPr="00EA7FE2" w:rsidRDefault="00EA7FE2" w:rsidP="00B814D2">
      <w:r w:rsidRPr="003346D7">
        <w:rPr>
          <w:b/>
          <w:color w:val="1D336D" w:themeColor="background2"/>
        </w:rPr>
        <w:lastRenderedPageBreak/>
        <w:t>Recommendation 15: Foster collaboration with other investments and projects</w:t>
      </w:r>
      <w:r w:rsidRPr="00EA7FE2">
        <w:t xml:space="preserve">. One of the key challenges faced by all investments and projects is the development and testing of approaches to measuring key dimensions of </w:t>
      </w:r>
      <w:proofErr w:type="spellStart"/>
      <w:r w:rsidRPr="00EA7FE2">
        <w:t>NbS</w:t>
      </w:r>
      <w:proofErr w:type="spellEnd"/>
      <w:r w:rsidRPr="00EA7FE2">
        <w:t xml:space="preserve">, such as biodiversity, climate vulnerability and community resilience. Collaboration allows for the pooling of resources and the development of shared methodologies, ensuring consistency and comparability in measuring key </w:t>
      </w:r>
      <w:proofErr w:type="spellStart"/>
      <w:r w:rsidRPr="00EA7FE2">
        <w:t>NbS</w:t>
      </w:r>
      <w:proofErr w:type="spellEnd"/>
      <w:r w:rsidRPr="00EA7FE2">
        <w:t xml:space="preserve"> dimensions.</w:t>
      </w:r>
    </w:p>
    <w:p w14:paraId="48DD7171" w14:textId="0BBEE102" w:rsidR="00EA7FE2" w:rsidRPr="00EA7FE2" w:rsidRDefault="00EA7FE2" w:rsidP="00B814D2">
      <w:r w:rsidRPr="003346D7">
        <w:rPr>
          <w:b/>
          <w:color w:val="1D336D" w:themeColor="background2"/>
        </w:rPr>
        <w:t>Recommendation 16: Revision of the investment’s governance structure to enhance the integration of different components</w:t>
      </w:r>
      <w:r w:rsidRPr="00EA7FE2">
        <w:t>. A key aspect of this revision should involve designating a single organisation as responsible for the overall outcomes of the investment. This designated entity should possess adequate influence to ensure that all partners contribute effectively towards achieving the desired investment outcomes.</w:t>
      </w:r>
    </w:p>
    <w:p w14:paraId="7255E64C" w14:textId="0E19D067" w:rsidR="00EA7FE2" w:rsidRPr="00EA7FE2" w:rsidRDefault="00EA7FE2" w:rsidP="00B814D2">
      <w:r w:rsidRPr="003346D7">
        <w:rPr>
          <w:b/>
          <w:color w:val="1D336D" w:themeColor="background2"/>
        </w:rPr>
        <w:t>Recommendation 17: Collaborate with the Government of Fiji (</w:t>
      </w:r>
      <w:proofErr w:type="spellStart"/>
      <w:r w:rsidRPr="003346D7">
        <w:rPr>
          <w:b/>
          <w:color w:val="1D336D" w:themeColor="background2"/>
        </w:rPr>
        <w:t>GoF</w:t>
      </w:r>
      <w:proofErr w:type="spellEnd"/>
      <w:r w:rsidRPr="003346D7">
        <w:rPr>
          <w:b/>
          <w:color w:val="1D336D" w:themeColor="background2"/>
        </w:rPr>
        <w:t xml:space="preserve">) to develop a preliminary plan for the nationwide rollout of </w:t>
      </w:r>
      <w:proofErr w:type="spellStart"/>
      <w:r w:rsidRPr="003346D7">
        <w:rPr>
          <w:b/>
          <w:color w:val="1D336D" w:themeColor="background2"/>
        </w:rPr>
        <w:t>NbS</w:t>
      </w:r>
      <w:proofErr w:type="spellEnd"/>
      <w:r w:rsidRPr="003346D7">
        <w:rPr>
          <w:b/>
          <w:color w:val="1D336D" w:themeColor="background2"/>
        </w:rPr>
        <w:t>, particularly focusing on blue carbon initiatives</w:t>
      </w:r>
      <w:r w:rsidRPr="00EA7FE2">
        <w:t xml:space="preserve">. The </w:t>
      </w:r>
      <w:proofErr w:type="spellStart"/>
      <w:r w:rsidRPr="00EA7FE2">
        <w:t>GoF</w:t>
      </w:r>
      <w:proofErr w:type="spellEnd"/>
      <w:r w:rsidRPr="00EA7FE2">
        <w:t xml:space="preserve"> has expressed its commitment to leading the rollout efforts at the national level, making it essential for the investment to engage in joint planning with government. The development of the rollout plan should include further testing and design activities. This includes identifying the necessary scale for a sustainable blue carbon </w:t>
      </w:r>
      <w:proofErr w:type="spellStart"/>
      <w:r w:rsidRPr="00EA7FE2">
        <w:t>NbS</w:t>
      </w:r>
      <w:proofErr w:type="spellEnd"/>
      <w:r w:rsidRPr="00EA7FE2">
        <w:t xml:space="preserve"> in Fiji, projecting the expected outcomes for the three key </w:t>
      </w:r>
      <w:proofErr w:type="spellStart"/>
      <w:r w:rsidRPr="00EA7FE2">
        <w:t>NbS</w:t>
      </w:r>
      <w:proofErr w:type="spellEnd"/>
      <w:r w:rsidRPr="00EA7FE2">
        <w:t xml:space="preserve"> </w:t>
      </w:r>
      <w:r w:rsidR="00DC74AF" w:rsidRPr="00EA7FE2">
        <w:t>pillars,</w:t>
      </w:r>
      <w:r w:rsidRPr="00EA7FE2">
        <w:t xml:space="preserve"> and estimating the required resources and inputs. It is important to work closely with the </w:t>
      </w:r>
      <w:proofErr w:type="spellStart"/>
      <w:r w:rsidRPr="00EA7FE2">
        <w:t>GoF</w:t>
      </w:r>
      <w:proofErr w:type="spellEnd"/>
      <w:r w:rsidRPr="00EA7FE2">
        <w:t xml:space="preserve"> to secure their commitments regarding implementation approaches, capacity building, and the establishment of governance structures to support the rollout. Exploring potential funding streams to finance the rollout should be a key aspect of the planning process to ensure the availability of the required resources.</w:t>
      </w:r>
    </w:p>
    <w:p w14:paraId="29D5518A" w14:textId="0F5CC089" w:rsidR="00EA7FE2" w:rsidRPr="00D179C9" w:rsidRDefault="00646D24" w:rsidP="00D179C9">
      <w:pPr>
        <w:pStyle w:val="Heading2"/>
        <w:rPr>
          <w:color w:val="1D336D" w:themeColor="background2"/>
        </w:rPr>
      </w:pPr>
      <w:bookmarkStart w:id="73" w:name="_Toc164783088"/>
      <w:r>
        <w:rPr>
          <w:color w:val="1D336D" w:themeColor="background2"/>
        </w:rPr>
        <w:t>The Coral Reef Innovation Project</w:t>
      </w:r>
      <w:bookmarkEnd w:id="73"/>
    </w:p>
    <w:p w14:paraId="77A5F5DE" w14:textId="77777777" w:rsidR="00EA7FE2" w:rsidRPr="00EA7FE2" w:rsidRDefault="00EA7FE2" w:rsidP="00D179C9">
      <w:pPr>
        <w:pStyle w:val="Heading3"/>
      </w:pPr>
      <w:r w:rsidRPr="00EA7FE2">
        <w:t>Recommendations</w:t>
      </w:r>
    </w:p>
    <w:p w14:paraId="1B11B038" w14:textId="5A428B98" w:rsidR="00EA7FE2" w:rsidRPr="00EA7FE2" w:rsidRDefault="00EA7FE2" w:rsidP="00B814D2">
      <w:r w:rsidRPr="003346D7">
        <w:rPr>
          <w:b/>
          <w:color w:val="1D336D" w:themeColor="background2"/>
        </w:rPr>
        <w:t xml:space="preserve">Recommendation 18: Establish collaborative partnerships with </w:t>
      </w:r>
      <w:proofErr w:type="spellStart"/>
      <w:r w:rsidRPr="003346D7">
        <w:rPr>
          <w:b/>
          <w:color w:val="1D336D" w:themeColor="background2"/>
        </w:rPr>
        <w:t>NbS</w:t>
      </w:r>
      <w:proofErr w:type="spellEnd"/>
      <w:r w:rsidRPr="003346D7">
        <w:rPr>
          <w:b/>
          <w:color w:val="1D336D" w:themeColor="background2"/>
        </w:rPr>
        <w:t xml:space="preserve"> projects that are focused on reef restoration, particularly if the investment intends to secure ongoing funding from the </w:t>
      </w:r>
      <w:proofErr w:type="spellStart"/>
      <w:r w:rsidRPr="003346D7">
        <w:rPr>
          <w:b/>
          <w:color w:val="1D336D" w:themeColor="background2"/>
        </w:rPr>
        <w:t>NbS</w:t>
      </w:r>
      <w:proofErr w:type="spellEnd"/>
      <w:r w:rsidRPr="003346D7">
        <w:rPr>
          <w:b/>
          <w:color w:val="1D336D" w:themeColor="background2"/>
        </w:rPr>
        <w:t xml:space="preserve"> funding envelop</w:t>
      </w:r>
      <w:r w:rsidRPr="00EA7FE2">
        <w:t xml:space="preserve">. The monitoring capacity of the investment's tools and resources can provide valuable support to communities engaged in reef conservation and restoration as part of their </w:t>
      </w:r>
      <w:proofErr w:type="spellStart"/>
      <w:r w:rsidRPr="00EA7FE2">
        <w:t>NbS</w:t>
      </w:r>
      <w:proofErr w:type="spellEnd"/>
      <w:r w:rsidRPr="00EA7FE2">
        <w:t xml:space="preserve"> efforts. Forming a partnership with these projects is crucial to substantiate the justification for funding from the </w:t>
      </w:r>
      <w:proofErr w:type="spellStart"/>
      <w:r w:rsidRPr="00EA7FE2">
        <w:t>NbS</w:t>
      </w:r>
      <w:proofErr w:type="spellEnd"/>
      <w:r w:rsidRPr="00EA7FE2">
        <w:t xml:space="preserve"> envelope. Without such a partnership, it would be difficult to justify future funding from the </w:t>
      </w:r>
      <w:proofErr w:type="spellStart"/>
      <w:r w:rsidRPr="00EA7FE2">
        <w:t>NbS</w:t>
      </w:r>
      <w:proofErr w:type="spellEnd"/>
      <w:r w:rsidRPr="00EA7FE2">
        <w:t xml:space="preserve"> funding envelop.</w:t>
      </w:r>
    </w:p>
    <w:p w14:paraId="10A20EA4" w14:textId="1A9C1B99" w:rsidR="00EA7FE2" w:rsidRPr="00EA7FE2" w:rsidRDefault="00EA7FE2" w:rsidP="00A2329F">
      <w:pPr>
        <w:pStyle w:val="ChapterHeading"/>
      </w:pPr>
      <w:r w:rsidRPr="00EA7FE2">
        <w:lastRenderedPageBreak/>
        <w:t xml:space="preserve"> </w:t>
      </w:r>
      <w:bookmarkStart w:id="74" w:name="_Toc164783089"/>
      <w:r w:rsidR="00A2329F">
        <w:t>Annexes</w:t>
      </w:r>
      <w:bookmarkEnd w:id="74"/>
    </w:p>
    <w:p w14:paraId="27885ECF" w14:textId="77777777" w:rsidR="00EA7FE2" w:rsidRPr="00EA7FE2" w:rsidRDefault="00EA7FE2" w:rsidP="00A2329F">
      <w:pPr>
        <w:pStyle w:val="Heading1"/>
      </w:pPr>
      <w:bookmarkStart w:id="75" w:name="_Toc164783090"/>
      <w:r w:rsidRPr="00EA7FE2">
        <w:t>Annex 1: Key evaluation questions</w:t>
      </w:r>
      <w:bookmarkEnd w:id="75"/>
      <w:r w:rsidRPr="00EA7FE2">
        <w:t xml:space="preserve"> </w:t>
      </w:r>
      <w:r w:rsidRPr="00EA7FE2">
        <w:tab/>
      </w:r>
    </w:p>
    <w:p w14:paraId="542EBDB9" w14:textId="77777777" w:rsidR="00EA7FE2" w:rsidRPr="00EA7FE2" w:rsidRDefault="00EA7FE2" w:rsidP="00B814D2">
      <w:r w:rsidRPr="00EA7FE2">
        <w:t>This evaluation was guided by the following key evaluation questions (KEQs):</w:t>
      </w:r>
    </w:p>
    <w:p w14:paraId="4C936F48" w14:textId="1430D198" w:rsidR="00193AED" w:rsidRPr="003346D7" w:rsidRDefault="00EA7FE2" w:rsidP="00193AED">
      <w:pPr>
        <w:pStyle w:val="ListParagraph"/>
        <w:numPr>
          <w:ilvl w:val="0"/>
          <w:numId w:val="44"/>
        </w:numPr>
        <w:rPr>
          <w:b/>
          <w:color w:val="1D336D" w:themeColor="background2"/>
        </w:rPr>
      </w:pPr>
      <w:r w:rsidRPr="00D726F1">
        <w:rPr>
          <w:b/>
          <w:color w:val="1D336D" w:themeColor="background2"/>
        </w:rPr>
        <w:t>Are the investments achieving their intended outcomes?</w:t>
      </w:r>
      <w:r w:rsidR="00193AED" w:rsidRPr="003346D7">
        <w:rPr>
          <w:b/>
          <w:color w:val="1D336D" w:themeColor="background2"/>
        </w:rPr>
        <w:br/>
      </w:r>
    </w:p>
    <w:p w14:paraId="51D9023F" w14:textId="77777777" w:rsidR="00193AED" w:rsidRDefault="00EA7FE2" w:rsidP="00E91A4A">
      <w:pPr>
        <w:pStyle w:val="ListParagraph"/>
        <w:numPr>
          <w:ilvl w:val="1"/>
          <w:numId w:val="44"/>
        </w:numPr>
      </w:pPr>
      <w:r w:rsidRPr="00EA7FE2">
        <w:t>To what extent are the investments delivering against their End of Program Outcomes?</w:t>
      </w:r>
    </w:p>
    <w:p w14:paraId="4AA86313" w14:textId="77777777" w:rsidR="00193AED" w:rsidRDefault="00EA7FE2" w:rsidP="00B814D2">
      <w:pPr>
        <w:pStyle w:val="ListParagraph"/>
        <w:numPr>
          <w:ilvl w:val="1"/>
          <w:numId w:val="44"/>
        </w:numPr>
      </w:pPr>
      <w:r w:rsidRPr="00EA7FE2">
        <w:t>Are the investments making a difference to climate change resilience, biodiversity protection and livelihoods (noting these criteria are not explicit in all EOPOs)?</w:t>
      </w:r>
    </w:p>
    <w:p w14:paraId="368885A1" w14:textId="19EEA34B" w:rsidR="00EA7FE2" w:rsidRPr="00EA7FE2" w:rsidRDefault="00EA7FE2" w:rsidP="00B814D2">
      <w:pPr>
        <w:pStyle w:val="ListParagraph"/>
        <w:numPr>
          <w:ilvl w:val="1"/>
          <w:numId w:val="44"/>
        </w:numPr>
      </w:pPr>
      <w:r w:rsidRPr="00EA7FE2">
        <w:t>What are the positive and negative, intended and unintended, consequences associated with the investments?</w:t>
      </w:r>
      <w:r w:rsidR="00D726F1">
        <w:br/>
      </w:r>
    </w:p>
    <w:p w14:paraId="53E34A37" w14:textId="79F8A8CF" w:rsidR="00D726F1" w:rsidRPr="00D726F1" w:rsidRDefault="00EA7FE2" w:rsidP="00B814D2">
      <w:pPr>
        <w:pStyle w:val="ListParagraph"/>
        <w:numPr>
          <w:ilvl w:val="0"/>
          <w:numId w:val="44"/>
        </w:numPr>
        <w:rPr>
          <w:b/>
          <w:bCs/>
        </w:rPr>
      </w:pPr>
      <w:r w:rsidRPr="00D726F1">
        <w:rPr>
          <w:b/>
          <w:color w:val="1D336D" w:themeColor="background2"/>
        </w:rPr>
        <w:t>Are the investments positively influencing Partner Governments in their approaches to climate adaptation and resilience?</w:t>
      </w:r>
      <w:r w:rsidR="00D726F1" w:rsidRPr="00D726F1">
        <w:rPr>
          <w:b/>
          <w:bCs/>
        </w:rPr>
        <w:br/>
      </w:r>
    </w:p>
    <w:p w14:paraId="7D61310A" w14:textId="77777777" w:rsidR="00D726F1" w:rsidRDefault="00EA7FE2" w:rsidP="00B814D2">
      <w:pPr>
        <w:pStyle w:val="ListParagraph"/>
        <w:numPr>
          <w:ilvl w:val="1"/>
          <w:numId w:val="44"/>
        </w:numPr>
      </w:pPr>
      <w:r w:rsidRPr="00EA7FE2">
        <w:t>To what extent are these projects implemented in partnership with local governments?</w:t>
      </w:r>
    </w:p>
    <w:p w14:paraId="7E60B578" w14:textId="77777777" w:rsidR="00D726F1" w:rsidRDefault="00EA7FE2" w:rsidP="00B814D2">
      <w:pPr>
        <w:pStyle w:val="ListParagraph"/>
        <w:numPr>
          <w:ilvl w:val="1"/>
          <w:numId w:val="44"/>
        </w:numPr>
      </w:pPr>
      <w:r w:rsidRPr="00EA7FE2">
        <w:t>To what extent are the projects being embedded at the community and institutional levels, and working towards local ownership?</w:t>
      </w:r>
    </w:p>
    <w:p w14:paraId="51C41A13" w14:textId="4E79C5A7" w:rsidR="00D726F1" w:rsidRDefault="00EA7FE2" w:rsidP="00B814D2">
      <w:pPr>
        <w:pStyle w:val="ListParagraph"/>
        <w:numPr>
          <w:ilvl w:val="1"/>
          <w:numId w:val="44"/>
        </w:numPr>
      </w:pPr>
      <w:r w:rsidRPr="00EA7FE2">
        <w:t xml:space="preserve">To what extent do the investments achieve uplift or engagement of </w:t>
      </w:r>
      <w:r w:rsidR="006551F0">
        <w:t>Indigenous</w:t>
      </w:r>
      <w:r w:rsidRPr="00EA7FE2">
        <w:t xml:space="preserve"> Peoples and First Nations? Are GEDSI perspectives and those from other vulnerable groups taken into account adequately?</w:t>
      </w:r>
    </w:p>
    <w:p w14:paraId="3E5C9702" w14:textId="77777777" w:rsidR="00D726F1" w:rsidRDefault="00EA7FE2" w:rsidP="00B814D2">
      <w:pPr>
        <w:pStyle w:val="ListParagraph"/>
        <w:numPr>
          <w:ilvl w:val="1"/>
          <w:numId w:val="44"/>
        </w:numPr>
      </w:pPr>
      <w:r w:rsidRPr="00EA7FE2">
        <w:t>To what extent do the investments align with national and subnational government priorities?</w:t>
      </w:r>
    </w:p>
    <w:p w14:paraId="17327DF8" w14:textId="79ABBA5D" w:rsidR="00EA7FE2" w:rsidRPr="00EA7FE2" w:rsidRDefault="00EA7FE2" w:rsidP="00B814D2">
      <w:pPr>
        <w:pStyle w:val="ListParagraph"/>
        <w:numPr>
          <w:ilvl w:val="1"/>
          <w:numId w:val="44"/>
        </w:numPr>
      </w:pPr>
      <w:r w:rsidRPr="00EA7FE2">
        <w:t>Are the investments considered valuable for Posts and their development relationships with partner governments?</w:t>
      </w:r>
      <w:r w:rsidR="00D726F1">
        <w:br/>
      </w:r>
    </w:p>
    <w:p w14:paraId="0717509D" w14:textId="12E5F2C2" w:rsidR="00EA7FE2" w:rsidRPr="00C65638" w:rsidRDefault="00EA7FE2" w:rsidP="00D726F1">
      <w:pPr>
        <w:pStyle w:val="ListParagraph"/>
        <w:numPr>
          <w:ilvl w:val="0"/>
          <w:numId w:val="44"/>
        </w:numPr>
        <w:rPr>
          <w:b/>
          <w:bCs/>
        </w:rPr>
      </w:pPr>
      <w:r w:rsidRPr="00C65638">
        <w:rPr>
          <w:b/>
          <w:color w:val="1D336D" w:themeColor="background2"/>
        </w:rPr>
        <w:t>Are the investments sustainable, replicable</w:t>
      </w:r>
      <w:r w:rsidR="003346D7" w:rsidRPr="003346D7">
        <w:rPr>
          <w:b/>
          <w:color w:val="1D336D" w:themeColor="background2"/>
        </w:rPr>
        <w:t>,</w:t>
      </w:r>
      <w:r w:rsidRPr="00C65638">
        <w:rPr>
          <w:b/>
          <w:color w:val="1D336D" w:themeColor="background2"/>
        </w:rPr>
        <w:t xml:space="preserve"> and scalable?</w:t>
      </w:r>
      <w:r w:rsidR="00C65638" w:rsidRPr="00C65638">
        <w:rPr>
          <w:b/>
          <w:bCs/>
        </w:rPr>
        <w:br/>
      </w:r>
    </w:p>
    <w:p w14:paraId="147EF933" w14:textId="77777777" w:rsidR="00C65638" w:rsidRDefault="00EA7FE2" w:rsidP="00B814D2">
      <w:pPr>
        <w:pStyle w:val="ListParagraph"/>
        <w:numPr>
          <w:ilvl w:val="1"/>
          <w:numId w:val="44"/>
        </w:numPr>
      </w:pPr>
      <w:r w:rsidRPr="00EA7FE2">
        <w:t>How are communities achieving new and/or diversified livelihood opportunities through nature-based solutions?</w:t>
      </w:r>
    </w:p>
    <w:p w14:paraId="1A7C0A87" w14:textId="77777777" w:rsidR="00C65638" w:rsidRDefault="00EA7FE2" w:rsidP="00B814D2">
      <w:pPr>
        <w:pStyle w:val="ListParagraph"/>
        <w:numPr>
          <w:ilvl w:val="1"/>
          <w:numId w:val="44"/>
        </w:numPr>
      </w:pPr>
      <w:r w:rsidRPr="00EA7FE2">
        <w:t>Are the nature-based solutions enabling communities to access climate finance and participate in high integrity carbon markets?</w:t>
      </w:r>
    </w:p>
    <w:p w14:paraId="054D7699" w14:textId="77777777" w:rsidR="00C65638" w:rsidRDefault="00EA7FE2" w:rsidP="00B814D2">
      <w:pPr>
        <w:pStyle w:val="ListParagraph"/>
        <w:numPr>
          <w:ilvl w:val="1"/>
          <w:numId w:val="44"/>
        </w:numPr>
      </w:pPr>
      <w:r w:rsidRPr="00EA7FE2">
        <w:t>To what extent is long-term ecological protection and/or restoration being achieved through approaches to support sustainable livelihoods?</w:t>
      </w:r>
    </w:p>
    <w:p w14:paraId="4BB1D2D6" w14:textId="77777777" w:rsidR="00C65638" w:rsidRDefault="00EA7FE2" w:rsidP="00B814D2">
      <w:pPr>
        <w:pStyle w:val="ListParagraph"/>
        <w:numPr>
          <w:ilvl w:val="1"/>
          <w:numId w:val="44"/>
        </w:numPr>
      </w:pPr>
      <w:r w:rsidRPr="00EA7FE2">
        <w:t>To what extent are local knowledges being drawn on and applied in project implementation?</w:t>
      </w:r>
    </w:p>
    <w:p w14:paraId="12D48928" w14:textId="7642385A" w:rsidR="00EA7FE2" w:rsidRPr="00EA7FE2" w:rsidRDefault="00EA7FE2" w:rsidP="00B814D2">
      <w:pPr>
        <w:pStyle w:val="ListParagraph"/>
        <w:numPr>
          <w:ilvl w:val="1"/>
          <w:numId w:val="44"/>
        </w:numPr>
      </w:pPr>
      <w:r w:rsidRPr="00EA7FE2">
        <w:t>Which, if any, investments represent greatest potential for delivering against Australia’s climate, biodiversity, and development objectives?</w:t>
      </w:r>
      <w:r w:rsidR="001E1958">
        <w:br/>
      </w:r>
    </w:p>
    <w:p w14:paraId="7E9E7F05" w14:textId="51AD1E5C" w:rsidR="00EA7FE2" w:rsidRPr="001E1958" w:rsidRDefault="00EA7FE2" w:rsidP="001E1958">
      <w:pPr>
        <w:pStyle w:val="ListParagraph"/>
        <w:numPr>
          <w:ilvl w:val="0"/>
          <w:numId w:val="44"/>
        </w:numPr>
        <w:rPr>
          <w:b/>
          <w:bCs/>
        </w:rPr>
      </w:pPr>
      <w:r w:rsidRPr="001E1958">
        <w:rPr>
          <w:b/>
          <w:color w:val="1D336D" w:themeColor="background2"/>
        </w:rPr>
        <w:t>What lessons can be carried forward for future programming?</w:t>
      </w:r>
      <w:r w:rsidR="001E1958" w:rsidRPr="001E1958">
        <w:rPr>
          <w:b/>
          <w:bCs/>
        </w:rPr>
        <w:br/>
      </w:r>
    </w:p>
    <w:p w14:paraId="0473DB28" w14:textId="77777777" w:rsidR="001E1958" w:rsidRDefault="00EA7FE2" w:rsidP="00B814D2">
      <w:pPr>
        <w:pStyle w:val="ListParagraph"/>
        <w:numPr>
          <w:ilvl w:val="1"/>
          <w:numId w:val="44"/>
        </w:numPr>
      </w:pPr>
      <w:r w:rsidRPr="00EA7FE2">
        <w:t>Do the most successful projects share characteristics that can be used as selection criteria for future programs?</w:t>
      </w:r>
    </w:p>
    <w:p w14:paraId="3EB65215" w14:textId="77777777" w:rsidR="001E1958" w:rsidRDefault="00EA7FE2" w:rsidP="00B814D2">
      <w:pPr>
        <w:pStyle w:val="ListParagraph"/>
        <w:numPr>
          <w:ilvl w:val="1"/>
          <w:numId w:val="44"/>
        </w:numPr>
      </w:pPr>
      <w:r w:rsidRPr="00EA7FE2">
        <w:t xml:space="preserve">To what extent can </w:t>
      </w:r>
      <w:proofErr w:type="spellStart"/>
      <w:r w:rsidRPr="00EA7FE2">
        <w:t>NbS</w:t>
      </w:r>
      <w:proofErr w:type="spellEnd"/>
      <w:r w:rsidRPr="00EA7FE2">
        <w:t xml:space="preserve"> be integrated in existing programs?</w:t>
      </w:r>
    </w:p>
    <w:p w14:paraId="37864679" w14:textId="77777777" w:rsidR="001E1958" w:rsidRDefault="00EA7FE2" w:rsidP="00B814D2">
      <w:pPr>
        <w:pStyle w:val="ListParagraph"/>
        <w:numPr>
          <w:ilvl w:val="1"/>
          <w:numId w:val="44"/>
        </w:numPr>
      </w:pPr>
      <w:r w:rsidRPr="00EA7FE2">
        <w:t xml:space="preserve">To what extent can </w:t>
      </w:r>
      <w:proofErr w:type="spellStart"/>
      <w:r w:rsidRPr="00EA7FE2">
        <w:t>NbS</w:t>
      </w:r>
      <w:proofErr w:type="spellEnd"/>
      <w:r w:rsidRPr="00EA7FE2">
        <w:t xml:space="preserve"> be used to integrate biodiversity and/or climate change into existing programming?</w:t>
      </w:r>
    </w:p>
    <w:p w14:paraId="7FFCD21F" w14:textId="77777777" w:rsidR="00376F35" w:rsidRDefault="00EA7FE2" w:rsidP="00376F35">
      <w:pPr>
        <w:pStyle w:val="ListParagraph"/>
        <w:numPr>
          <w:ilvl w:val="1"/>
          <w:numId w:val="44"/>
        </w:numPr>
      </w:pPr>
      <w:r w:rsidRPr="00EA7FE2">
        <w:t>How can programs be designed to facilitate blended finance and access to carbon markets?</w:t>
      </w:r>
    </w:p>
    <w:p w14:paraId="2BFEC6B9" w14:textId="77777777" w:rsidR="00376F35" w:rsidRDefault="00376F35">
      <w:pPr>
        <w:spacing w:after="0" w:line="240" w:lineRule="auto"/>
      </w:pPr>
      <w:r>
        <w:br w:type="page"/>
      </w:r>
    </w:p>
    <w:p w14:paraId="30ABC472" w14:textId="2BBDD0C4" w:rsidR="00EA7FE2" w:rsidRPr="00EA7FE2" w:rsidRDefault="00EA7FE2" w:rsidP="00376F35">
      <w:pPr>
        <w:pStyle w:val="Heading1"/>
      </w:pPr>
      <w:bookmarkStart w:id="76" w:name="_Toc164783091"/>
      <w:r w:rsidRPr="00EA7FE2">
        <w:lastRenderedPageBreak/>
        <w:t>Annex 2: Methodology</w:t>
      </w:r>
      <w:bookmarkEnd w:id="76"/>
      <w:r w:rsidRPr="00EA7FE2">
        <w:t xml:space="preserve"> </w:t>
      </w:r>
      <w:r w:rsidRPr="00EA7FE2">
        <w:tab/>
      </w:r>
    </w:p>
    <w:p w14:paraId="27A29611" w14:textId="77777777" w:rsidR="00EA7FE2" w:rsidRPr="00EA7FE2" w:rsidRDefault="00EA7FE2" w:rsidP="00B814D2">
      <w:r w:rsidRPr="00EA7FE2">
        <w:t>The evaluation used a mixed methods approach, combining a document and literature review, stakeholder interviews, and Pacific Research Methodologies. Field visits to Fiji, Solomon Islands, and Timor-Leste were undertaken and included a minimum of one project site per investment. Findings, conclusions and recommendations are evidence based and have been triangulated where possible. Research was largely qualitative, using quantitative secondary data where available and relevant, in particular looking at results achieved and at data disaggregated by sex, age, ability and group reached.</w:t>
      </w:r>
    </w:p>
    <w:p w14:paraId="2363C140" w14:textId="77777777" w:rsidR="00EA7FE2" w:rsidRPr="00EA7FE2" w:rsidRDefault="00EA7FE2" w:rsidP="00144427">
      <w:pPr>
        <w:pStyle w:val="Heading3"/>
      </w:pPr>
      <w:r w:rsidRPr="00EA7FE2">
        <w:t>Document review</w:t>
      </w:r>
    </w:p>
    <w:p w14:paraId="44F97B22" w14:textId="77777777" w:rsidR="00EA7FE2" w:rsidRPr="00EA7FE2" w:rsidRDefault="00EA7FE2" w:rsidP="00B814D2">
      <w:r w:rsidRPr="00EA7FE2">
        <w:t xml:space="preserve">The document review included analysis of DFAT policy and strategy documents, program documents including the design documents of each of the three investments, data gathered under the investment’s monitoring and evaluation (M&amp;E) systems, and investment monitoring reports (IMRs). The evaluation also reviewed recent publications on </w:t>
      </w:r>
      <w:proofErr w:type="spellStart"/>
      <w:r w:rsidRPr="00EA7FE2">
        <w:t>NbS</w:t>
      </w:r>
      <w:proofErr w:type="spellEnd"/>
      <w:r w:rsidRPr="00EA7FE2">
        <w:t xml:space="preserve"> globally and other grey literature including reports published by government, regional and multilateral institutions, academic articles, and documents concerning other development programs as relevant. The team prioritised the review of material given the limited time available. Prioritisation was considered according to the following principles:</w:t>
      </w:r>
    </w:p>
    <w:p w14:paraId="7DC5392A" w14:textId="555721FE" w:rsidR="00144427" w:rsidRDefault="00EA7FE2" w:rsidP="00B814D2">
      <w:pPr>
        <w:pStyle w:val="ListParagraph"/>
        <w:numPr>
          <w:ilvl w:val="0"/>
          <w:numId w:val="45"/>
        </w:numPr>
      </w:pPr>
      <w:r w:rsidRPr="00144427">
        <w:rPr>
          <w:b/>
          <w:color w:val="1D336D" w:themeColor="background2"/>
        </w:rPr>
        <w:t>Relevance</w:t>
      </w:r>
      <w:r w:rsidRPr="00666CB7">
        <w:rPr>
          <w:color w:val="1D336D" w:themeColor="background2"/>
        </w:rPr>
        <w:t xml:space="preserve"> </w:t>
      </w:r>
      <w:r w:rsidRPr="00EA7FE2">
        <w:t>– documents, or sections therein, which clearly relate to the key evaluation questions outlined below will receive priority attention.</w:t>
      </w:r>
      <w:r w:rsidR="00827182">
        <w:br/>
      </w:r>
    </w:p>
    <w:p w14:paraId="1498B6C1" w14:textId="00BA7470" w:rsidR="00EA7FE2" w:rsidRPr="00EA7FE2" w:rsidRDefault="00EA7FE2" w:rsidP="00B814D2">
      <w:pPr>
        <w:pStyle w:val="ListParagraph"/>
        <w:numPr>
          <w:ilvl w:val="0"/>
          <w:numId w:val="45"/>
        </w:numPr>
      </w:pPr>
      <w:r w:rsidRPr="00827182">
        <w:rPr>
          <w:b/>
          <w:color w:val="1D336D" w:themeColor="background2"/>
        </w:rPr>
        <w:t>Credibility and objectivity</w:t>
      </w:r>
      <w:r w:rsidRPr="00666CB7">
        <w:rPr>
          <w:color w:val="1D336D" w:themeColor="background2"/>
        </w:rPr>
        <w:t xml:space="preserve"> </w:t>
      </w:r>
      <w:r w:rsidRPr="00EA7FE2">
        <w:t>–</w:t>
      </w:r>
      <w:r w:rsidR="00827182">
        <w:t xml:space="preserve"> </w:t>
      </w:r>
      <w:r w:rsidRPr="00EA7FE2">
        <w:t>within the selection of documents identified for review the team ensured that a range of sources and perspectives were captured, and information was triangulated where possible.</w:t>
      </w:r>
    </w:p>
    <w:p w14:paraId="41A7B81F" w14:textId="77777777" w:rsidR="00EA7FE2" w:rsidRPr="00EA7FE2" w:rsidRDefault="00EA7FE2" w:rsidP="00827182">
      <w:pPr>
        <w:pStyle w:val="Heading3"/>
      </w:pPr>
      <w:r w:rsidRPr="00EA7FE2">
        <w:t>Key informant interviews</w:t>
      </w:r>
    </w:p>
    <w:p w14:paraId="5A4F44F8" w14:textId="77777777" w:rsidR="00EA7FE2" w:rsidRPr="00EA7FE2" w:rsidRDefault="00EA7FE2" w:rsidP="00B814D2">
      <w:r w:rsidRPr="00EA7FE2">
        <w:t>Semi-structured interviews were conducted with DFAT staff in Canberra and relevant Posts, partner government representatives, implementing partners, and local stakeholders. Interview guides were used to loosely guide discussions. Interviews were prioritised in a similar manner to that outlined above. The approach of using the same or similar questions with each of these partners allowed the evaluation team to reliably identify consistent themes or perspectives in the responses of different partners.</w:t>
      </w:r>
    </w:p>
    <w:p w14:paraId="2E15B16A" w14:textId="77777777" w:rsidR="00EA7FE2" w:rsidRPr="00EA7FE2" w:rsidRDefault="00EA7FE2" w:rsidP="00B814D2">
      <w:r w:rsidRPr="00EA7FE2">
        <w:t>The questionnaires provided consistency but were not rigid. The semi-structured interviews allowed a level of flexibility that enabled the interviewer to explore emerging themes or unexpected areas of interest as they arose during the interview. Questionnaires were reviewed after preliminary interviews had taken place, allowing emergent issues to be further explored across the remainder of consultations. Where relevant, completed interviews were succeeded with follow-up questions to ensure emerging themes were adequately addressed. Interviews were completed virtually, except during the field visits where face to face meetings were possible. When engaging with local communities Pacific Research Methods were utilised (see below).</w:t>
      </w:r>
    </w:p>
    <w:p w14:paraId="635A49A0" w14:textId="1BA20A34" w:rsidR="00EA7FE2" w:rsidRPr="00EA7FE2" w:rsidRDefault="00EA7FE2" w:rsidP="00B814D2">
      <w:r w:rsidRPr="00EA7FE2">
        <w:t>Prior to the commencement of interviews, the team outlined the purpose of the evaluation, how the information will be used, and steps that will be taken to maintain confidentiality of responses (such as non- attribution of quotations). It was explained to interviewees that the team abides by DFAT’s Ethical Research and Evaluation Guidance Note, and the Australasian Evaluation Society (AES) code of ethics. Informants were made aware that the evaluation’s final report and DFAT’s management response will be published on the DFAT website.</w:t>
      </w:r>
    </w:p>
    <w:p w14:paraId="133EE448" w14:textId="77777777" w:rsidR="00EA7FE2" w:rsidRPr="00EA7FE2" w:rsidRDefault="00EA7FE2" w:rsidP="00827182">
      <w:pPr>
        <w:pStyle w:val="Heading3"/>
      </w:pPr>
      <w:r w:rsidRPr="00EA7FE2">
        <w:lastRenderedPageBreak/>
        <w:t>Field visits</w:t>
      </w:r>
    </w:p>
    <w:p w14:paraId="14F390E8" w14:textId="61C8625A" w:rsidR="00EA7FE2" w:rsidRPr="00EA7FE2" w:rsidRDefault="00EA7FE2" w:rsidP="00B814D2">
      <w:r w:rsidRPr="00EA7FE2">
        <w:t xml:space="preserve">The evaluation team (accompanied by DFAT staff from CSD) spent 19 days conducting field visits to meet with key DFAT staff at post and in-country program partners, and to conduct site visits to each of the three investment sites. Site visits to at least one in-country project per investment were undertaken to conduct interviews, verify information, and gauge community perceptions. The field visit itinerary was developed in partnership with DFAT and program managers, and included travel to Fiji, Solomon Islands, and Timor- </w:t>
      </w:r>
      <w:proofErr w:type="spellStart"/>
      <w:r w:rsidRPr="00EA7FE2">
        <w:t>Leste</w:t>
      </w:r>
      <w:proofErr w:type="spellEnd"/>
      <w:r w:rsidRPr="00EA7FE2">
        <w:t>. Site selection included prioritisation of First Nations and GEDSI engagement, size, innovation, scalability, effectiveness, and logistical efficiency. The team was accompanied by the Evaluation Manager and other key DFAT staff, as required. An indicative itinerary of field work activities can be found in Annex Four.</w:t>
      </w:r>
    </w:p>
    <w:p w14:paraId="5F0AD8D7" w14:textId="77777777" w:rsidR="00EA7FE2" w:rsidRPr="00EA7FE2" w:rsidRDefault="00EA7FE2" w:rsidP="00827182">
      <w:pPr>
        <w:pStyle w:val="Heading3"/>
      </w:pPr>
      <w:r w:rsidRPr="00EA7FE2">
        <w:t>Pacific research methodologies</w:t>
      </w:r>
    </w:p>
    <w:p w14:paraId="3E2D91AA" w14:textId="77777777" w:rsidR="00EA7FE2" w:rsidRPr="00EA7FE2" w:rsidRDefault="00EA7FE2" w:rsidP="00B814D2">
      <w:r w:rsidRPr="00EA7FE2">
        <w:t xml:space="preserve">Where appropriate, the evaluation utilised Pacific Research Methodologies (such as </w:t>
      </w:r>
      <w:proofErr w:type="spellStart"/>
      <w:r w:rsidRPr="00EA7FE2">
        <w:t>Talanoa</w:t>
      </w:r>
      <w:proofErr w:type="spellEnd"/>
      <w:r w:rsidRPr="00EA7FE2">
        <w:t xml:space="preserve"> and Tok </w:t>
      </w:r>
      <w:proofErr w:type="spellStart"/>
      <w:r w:rsidRPr="00EA7FE2">
        <w:t>Stori</w:t>
      </w:r>
      <w:proofErr w:type="spellEnd"/>
      <w:r w:rsidRPr="00EA7FE2">
        <w:t xml:space="preserve">) to ensure consultations were contextually and culturally sensitive. This approach provided an important perspective on the appropriateness of the investments provided, capturing unanticipated impacts, and providing insight on the extent to which </w:t>
      </w:r>
      <w:proofErr w:type="spellStart"/>
      <w:r w:rsidRPr="00EA7FE2">
        <w:t>NbS</w:t>
      </w:r>
      <w:proofErr w:type="spellEnd"/>
      <w:r w:rsidRPr="00EA7FE2">
        <w:t xml:space="preserve"> approaches have affected local communities.</w:t>
      </w:r>
    </w:p>
    <w:p w14:paraId="7539ED43" w14:textId="77777777" w:rsidR="00EA7FE2" w:rsidRPr="00EA7FE2" w:rsidRDefault="00EA7FE2" w:rsidP="00B814D2">
      <w:r w:rsidRPr="00EA7FE2">
        <w:t xml:space="preserve">The </w:t>
      </w:r>
      <w:proofErr w:type="spellStart"/>
      <w:r w:rsidRPr="00EA7FE2">
        <w:t>Talanoa</w:t>
      </w:r>
      <w:proofErr w:type="spellEnd"/>
      <w:r w:rsidRPr="00EA7FE2">
        <w:t xml:space="preserve"> facilitator captured key messages by actively listening to participants, extracting common themes and narratives, and synthesising them into concise and meaningful statements that reflect the collective insights and experiences shared through the discussion.</w:t>
      </w:r>
    </w:p>
    <w:p w14:paraId="4A50209F" w14:textId="77777777" w:rsidR="00EA7FE2" w:rsidRPr="00EA7FE2" w:rsidRDefault="00EA7FE2" w:rsidP="00B814D2">
      <w:r w:rsidRPr="00EA7FE2">
        <w:t xml:space="preserve">Where a group </w:t>
      </w:r>
      <w:proofErr w:type="spellStart"/>
      <w:r w:rsidRPr="00EA7FE2">
        <w:t>Talanoa</w:t>
      </w:r>
      <w:proofErr w:type="spellEnd"/>
      <w:r w:rsidRPr="00EA7FE2">
        <w:t xml:space="preserve"> proved unviable, a series of individual interviews were conducted with local stakeholders to elicit local perspectives, understandings, and experiences.</w:t>
      </w:r>
    </w:p>
    <w:p w14:paraId="7F004235" w14:textId="77777777" w:rsidR="00EA7FE2" w:rsidRPr="00EA7FE2" w:rsidRDefault="00EA7FE2" w:rsidP="00827182">
      <w:pPr>
        <w:pStyle w:val="Heading3"/>
      </w:pPr>
      <w:r w:rsidRPr="00EA7FE2">
        <w:t>Triangulation, rigour of evidence and quality assurance</w:t>
      </w:r>
    </w:p>
    <w:p w14:paraId="47F8F246" w14:textId="77777777" w:rsidR="00EA7FE2" w:rsidRPr="00EA7FE2" w:rsidRDefault="00EA7FE2" w:rsidP="00B814D2">
      <w:r w:rsidRPr="00EA7FE2">
        <w:t>Evidence was triangulated as much as possible to maximise rigour. This means in practice that emerging themes from interviews were tested in subsequent interviews, document review and/or engagement with communities. Major findings emerging from the document review were concluded through multiple sources, as well as being tested in interviews.</w:t>
      </w:r>
    </w:p>
    <w:p w14:paraId="34734D8F" w14:textId="77777777" w:rsidR="00EA7FE2" w:rsidRPr="00EA7FE2" w:rsidRDefault="00EA7FE2" w:rsidP="00827182">
      <w:pPr>
        <w:pStyle w:val="Heading3"/>
      </w:pPr>
      <w:r w:rsidRPr="00EA7FE2">
        <w:t>Data analysis and synthesis</w:t>
      </w:r>
    </w:p>
    <w:p w14:paraId="46733087" w14:textId="77777777" w:rsidR="00EA7FE2" w:rsidRPr="00EA7FE2" w:rsidRDefault="00EA7FE2" w:rsidP="00B814D2">
      <w:r w:rsidRPr="00EA7FE2">
        <w:t>Quantitative and qualitative data was compiled and cleaned to enable analysis. Qualitative data and analysis provided the bulk of the information for this evaluation. Quantitative data was sourced through existing documentation at the project and investment level. Qualitative data was analysed using an interview matrix, allowing a comparison of stakeholder responses to the same question and identifying trends and outlier opinions.</w:t>
      </w:r>
    </w:p>
    <w:p w14:paraId="4C19931E" w14:textId="77777777" w:rsidR="00EA7FE2" w:rsidRPr="00EA7FE2" w:rsidRDefault="00EA7FE2" w:rsidP="00827182">
      <w:pPr>
        <w:pStyle w:val="Heading3"/>
      </w:pPr>
      <w:r w:rsidRPr="00EA7FE2">
        <w:t>Sampling</w:t>
      </w:r>
    </w:p>
    <w:p w14:paraId="6DF404F4" w14:textId="37A0C962" w:rsidR="00D82DB5" w:rsidRDefault="00EA7FE2" w:rsidP="00725622">
      <w:r w:rsidRPr="00EA7FE2">
        <w:t>A purposive sampling strategy was utilised to select relevant projects under each investment included in the evaluation, and to select the key contacts who were most knowledgeable regarding the identified projects. Only selected projects were reviewed in depth to maximise the value of information gathered against the time and opportunity cost associated with each interview. The sample was selected in collaboration with DFAT staff and partners who have thorough knowledge of the portfolio of projects.</w:t>
      </w:r>
      <w:r w:rsidR="00D82DB5">
        <w:br w:type="page"/>
      </w:r>
    </w:p>
    <w:p w14:paraId="7E139A74" w14:textId="43354710" w:rsidR="00EA7FE2" w:rsidRDefault="00EA7FE2" w:rsidP="00D82DB5">
      <w:pPr>
        <w:pStyle w:val="Heading1"/>
      </w:pPr>
      <w:bookmarkStart w:id="77" w:name="_Toc164783092"/>
      <w:r w:rsidRPr="00EA7FE2">
        <w:lastRenderedPageBreak/>
        <w:t>Annex 3: Respondents interviewed</w:t>
      </w:r>
      <w:bookmarkEnd w:id="77"/>
    </w:p>
    <w:p w14:paraId="458064FC" w14:textId="068E2CF5" w:rsidR="00983D62" w:rsidRPr="00983D62" w:rsidRDefault="00983D62" w:rsidP="00983D62">
      <w:pPr>
        <w:pStyle w:val="Heading2"/>
        <w:rPr>
          <w:color w:val="1D336D" w:themeColor="background2"/>
          <w:sz w:val="24"/>
          <w:szCs w:val="24"/>
        </w:rPr>
      </w:pPr>
      <w:bookmarkStart w:id="78" w:name="_Toc164783093"/>
      <w:r>
        <w:rPr>
          <w:caps w:val="0"/>
          <w:color w:val="1D336D" w:themeColor="background2"/>
          <w:sz w:val="24"/>
          <w:szCs w:val="24"/>
        </w:rPr>
        <w:t>Strategic level</w:t>
      </w:r>
      <w:bookmarkEnd w:id="78"/>
    </w:p>
    <w:tbl>
      <w:tblPr>
        <w:tblW w:w="0" w:type="auto"/>
        <w:jc w:val="center"/>
        <w:tblBorders>
          <w:bottom w:val="single" w:sz="4" w:space="0" w:color="1D336D"/>
          <w:insideH w:val="single" w:sz="4" w:space="0" w:color="1D336D"/>
        </w:tblBorders>
        <w:tblLayout w:type="fixed"/>
        <w:tblCellMar>
          <w:left w:w="0" w:type="dxa"/>
          <w:right w:w="0" w:type="dxa"/>
        </w:tblCellMar>
        <w:tblLook w:val="01E0" w:firstRow="1" w:lastRow="1" w:firstColumn="1" w:lastColumn="1" w:noHBand="0" w:noVBand="0"/>
      </w:tblPr>
      <w:tblGrid>
        <w:gridCol w:w="2127"/>
        <w:gridCol w:w="4252"/>
        <w:gridCol w:w="2126"/>
        <w:gridCol w:w="1116"/>
      </w:tblGrid>
      <w:tr w:rsidR="00531D18" w14:paraId="73603127" w14:textId="77777777" w:rsidTr="00983D62">
        <w:trPr>
          <w:trHeight w:val="887"/>
          <w:jc w:val="center"/>
        </w:trPr>
        <w:tc>
          <w:tcPr>
            <w:tcW w:w="2127" w:type="dxa"/>
            <w:shd w:val="clear" w:color="auto" w:fill="1D336D" w:themeFill="background2"/>
          </w:tcPr>
          <w:p w14:paraId="61E631FB" w14:textId="77777777" w:rsidR="00762B6A" w:rsidRPr="00983D62" w:rsidRDefault="00762B6A">
            <w:pPr>
              <w:pStyle w:val="TableParagraph"/>
              <w:spacing w:before="134"/>
              <w:rPr>
                <w:b/>
                <w:color w:val="FFFFFF" w:themeColor="background1"/>
                <w:sz w:val="20"/>
              </w:rPr>
            </w:pPr>
            <w:proofErr w:type="spellStart"/>
            <w:r w:rsidRPr="00983D62">
              <w:rPr>
                <w:b/>
                <w:color w:val="FFFFFF" w:themeColor="background1"/>
                <w:spacing w:val="-2"/>
                <w:sz w:val="20"/>
              </w:rPr>
              <w:t>Organisation</w:t>
            </w:r>
            <w:proofErr w:type="spellEnd"/>
          </w:p>
        </w:tc>
        <w:tc>
          <w:tcPr>
            <w:tcW w:w="4252" w:type="dxa"/>
            <w:shd w:val="clear" w:color="auto" w:fill="1D336D" w:themeFill="background2"/>
          </w:tcPr>
          <w:p w14:paraId="57184A77" w14:textId="77777777" w:rsidR="00762B6A" w:rsidRPr="00983D62" w:rsidRDefault="00762B6A">
            <w:pPr>
              <w:pStyle w:val="TableParagraph"/>
              <w:spacing w:before="134"/>
              <w:ind w:left="83"/>
              <w:rPr>
                <w:b/>
                <w:color w:val="FFFFFF" w:themeColor="background1"/>
                <w:sz w:val="20"/>
              </w:rPr>
            </w:pPr>
            <w:r w:rsidRPr="00983D62">
              <w:rPr>
                <w:b/>
                <w:color w:val="FFFFFF" w:themeColor="background1"/>
                <w:spacing w:val="-2"/>
                <w:sz w:val="20"/>
              </w:rPr>
              <w:t>Project</w:t>
            </w:r>
          </w:p>
        </w:tc>
        <w:tc>
          <w:tcPr>
            <w:tcW w:w="2126" w:type="dxa"/>
            <w:shd w:val="clear" w:color="auto" w:fill="1D336D" w:themeFill="background2"/>
          </w:tcPr>
          <w:p w14:paraId="59EDA0BA" w14:textId="77777777" w:rsidR="00762B6A" w:rsidRPr="00983D62" w:rsidRDefault="00762B6A">
            <w:pPr>
              <w:pStyle w:val="TableParagraph"/>
              <w:spacing w:before="131" w:line="292" w:lineRule="auto"/>
              <w:ind w:left="191" w:right="112"/>
              <w:rPr>
                <w:b/>
                <w:color w:val="FFFFFF" w:themeColor="background1"/>
                <w:sz w:val="20"/>
              </w:rPr>
            </w:pPr>
            <w:r w:rsidRPr="00983D62">
              <w:rPr>
                <w:b/>
                <w:color w:val="FFFFFF" w:themeColor="background1"/>
                <w:sz w:val="20"/>
              </w:rPr>
              <w:t>Country/Region</w:t>
            </w:r>
            <w:r w:rsidRPr="00983D62">
              <w:rPr>
                <w:b/>
                <w:color w:val="FFFFFF" w:themeColor="background1"/>
                <w:spacing w:val="-14"/>
                <w:sz w:val="20"/>
              </w:rPr>
              <w:t xml:space="preserve"> </w:t>
            </w:r>
            <w:r w:rsidRPr="00983D62">
              <w:rPr>
                <w:b/>
                <w:color w:val="FFFFFF" w:themeColor="background1"/>
                <w:sz w:val="20"/>
              </w:rPr>
              <w:t xml:space="preserve">of </w:t>
            </w:r>
            <w:r w:rsidRPr="00983D62">
              <w:rPr>
                <w:b/>
                <w:color w:val="FFFFFF" w:themeColor="background1"/>
                <w:spacing w:val="-2"/>
                <w:sz w:val="20"/>
              </w:rPr>
              <w:t>implementation</w:t>
            </w:r>
          </w:p>
        </w:tc>
        <w:tc>
          <w:tcPr>
            <w:tcW w:w="1116" w:type="dxa"/>
            <w:shd w:val="clear" w:color="auto" w:fill="1D336D" w:themeFill="background2"/>
          </w:tcPr>
          <w:p w14:paraId="0C3BF62F" w14:textId="77777777" w:rsidR="00762B6A" w:rsidRPr="00983D62" w:rsidRDefault="00762B6A">
            <w:pPr>
              <w:pStyle w:val="TableParagraph"/>
              <w:spacing w:before="134"/>
              <w:ind w:left="122"/>
              <w:rPr>
                <w:b/>
                <w:color w:val="FFFFFF" w:themeColor="background1"/>
                <w:sz w:val="20"/>
              </w:rPr>
            </w:pPr>
            <w:r w:rsidRPr="00983D62">
              <w:rPr>
                <w:b/>
                <w:color w:val="FFFFFF" w:themeColor="background1"/>
                <w:spacing w:val="-2"/>
                <w:sz w:val="20"/>
              </w:rPr>
              <w:t>Gender</w:t>
            </w:r>
          </w:p>
        </w:tc>
      </w:tr>
      <w:tr w:rsidR="00531D18" w14:paraId="3F5F0CBC" w14:textId="77777777" w:rsidTr="006E7363">
        <w:trPr>
          <w:trHeight w:val="1233"/>
          <w:jc w:val="center"/>
        </w:trPr>
        <w:tc>
          <w:tcPr>
            <w:tcW w:w="2127" w:type="dxa"/>
            <w:shd w:val="clear" w:color="auto" w:fill="F1F1F1"/>
          </w:tcPr>
          <w:p w14:paraId="5C8FF9FC" w14:textId="77777777" w:rsidR="00762B6A" w:rsidRDefault="00762B6A">
            <w:pPr>
              <w:pStyle w:val="TableParagraph"/>
              <w:spacing w:before="134" w:line="292" w:lineRule="auto"/>
              <w:ind w:right="444"/>
              <w:rPr>
                <w:sz w:val="20"/>
              </w:rPr>
            </w:pPr>
            <w:r>
              <w:rPr>
                <w:color w:val="1D336C"/>
                <w:sz w:val="20"/>
              </w:rPr>
              <w:t>DFAT - Climate Diplomacy and Development</w:t>
            </w:r>
            <w:r>
              <w:rPr>
                <w:color w:val="1D336C"/>
                <w:spacing w:val="-14"/>
                <w:sz w:val="20"/>
              </w:rPr>
              <w:t xml:space="preserve"> </w:t>
            </w:r>
            <w:r>
              <w:rPr>
                <w:color w:val="1D336C"/>
                <w:sz w:val="20"/>
              </w:rPr>
              <w:t xml:space="preserve">Finance </w:t>
            </w:r>
            <w:r>
              <w:rPr>
                <w:color w:val="1D336C"/>
                <w:spacing w:val="-2"/>
                <w:sz w:val="20"/>
              </w:rPr>
              <w:t>Division</w:t>
            </w:r>
          </w:p>
        </w:tc>
        <w:tc>
          <w:tcPr>
            <w:tcW w:w="4252" w:type="dxa"/>
            <w:shd w:val="clear" w:color="auto" w:fill="F2F2F2" w:themeFill="background1" w:themeFillShade="F2"/>
          </w:tcPr>
          <w:p w14:paraId="1A761D2E" w14:textId="77777777" w:rsidR="00762B6A" w:rsidRDefault="00762B6A">
            <w:pPr>
              <w:pStyle w:val="TableParagraph"/>
              <w:ind w:left="83"/>
              <w:rPr>
                <w:i/>
                <w:sz w:val="20"/>
              </w:rPr>
            </w:pPr>
            <w:proofErr w:type="spellStart"/>
            <w:r>
              <w:rPr>
                <w:i/>
                <w:color w:val="1D336C"/>
                <w:sz w:val="20"/>
              </w:rPr>
              <w:t>NbS</w:t>
            </w:r>
            <w:proofErr w:type="spellEnd"/>
            <w:r>
              <w:rPr>
                <w:i/>
                <w:color w:val="1D336C"/>
                <w:spacing w:val="-4"/>
                <w:sz w:val="20"/>
              </w:rPr>
              <w:t xml:space="preserve"> </w:t>
            </w:r>
            <w:r>
              <w:rPr>
                <w:i/>
                <w:color w:val="1D336C"/>
                <w:spacing w:val="-2"/>
                <w:sz w:val="20"/>
              </w:rPr>
              <w:t>Portfolio</w:t>
            </w:r>
          </w:p>
        </w:tc>
        <w:tc>
          <w:tcPr>
            <w:tcW w:w="2126" w:type="dxa"/>
            <w:shd w:val="clear" w:color="auto" w:fill="F2F2F2" w:themeFill="background1" w:themeFillShade="F2"/>
          </w:tcPr>
          <w:p w14:paraId="404A1F04" w14:textId="77777777" w:rsidR="00762B6A" w:rsidRDefault="00762B6A">
            <w:pPr>
              <w:pStyle w:val="TableParagraph"/>
              <w:ind w:left="191"/>
              <w:rPr>
                <w:i/>
                <w:sz w:val="20"/>
              </w:rPr>
            </w:pPr>
            <w:r>
              <w:rPr>
                <w:i/>
                <w:color w:val="1D336C"/>
                <w:spacing w:val="-2"/>
                <w:sz w:val="20"/>
              </w:rPr>
              <w:t>Indo-Pacific</w:t>
            </w:r>
          </w:p>
        </w:tc>
        <w:tc>
          <w:tcPr>
            <w:tcW w:w="1116" w:type="dxa"/>
            <w:shd w:val="clear" w:color="auto" w:fill="F2F2F2" w:themeFill="background1" w:themeFillShade="F2"/>
          </w:tcPr>
          <w:p w14:paraId="7694A3DB" w14:textId="77777777" w:rsidR="00762B6A" w:rsidRDefault="00762B6A">
            <w:pPr>
              <w:pStyle w:val="TableParagraph"/>
              <w:ind w:left="122"/>
              <w:rPr>
                <w:i/>
                <w:sz w:val="20"/>
              </w:rPr>
            </w:pPr>
            <w:r>
              <w:rPr>
                <w:i/>
                <w:color w:val="1D336C"/>
                <w:spacing w:val="-10"/>
                <w:sz w:val="20"/>
              </w:rPr>
              <w:t>F</w:t>
            </w:r>
          </w:p>
        </w:tc>
      </w:tr>
      <w:tr w:rsidR="00531D18" w14:paraId="477EFF72" w14:textId="77777777" w:rsidTr="006E7363">
        <w:trPr>
          <w:trHeight w:val="1265"/>
          <w:jc w:val="center"/>
        </w:trPr>
        <w:tc>
          <w:tcPr>
            <w:tcW w:w="2127" w:type="dxa"/>
            <w:shd w:val="clear" w:color="auto" w:fill="F1F1F1"/>
          </w:tcPr>
          <w:p w14:paraId="3C784BA8" w14:textId="77777777" w:rsidR="00762B6A" w:rsidRDefault="00762B6A">
            <w:pPr>
              <w:pStyle w:val="TableParagraph"/>
              <w:spacing w:line="292" w:lineRule="auto"/>
              <w:ind w:right="444"/>
              <w:rPr>
                <w:sz w:val="20"/>
              </w:rPr>
            </w:pPr>
            <w:r>
              <w:rPr>
                <w:color w:val="1D336C"/>
                <w:sz w:val="20"/>
              </w:rPr>
              <w:t>DFAT - Climate Diplomacy and Development</w:t>
            </w:r>
            <w:r>
              <w:rPr>
                <w:color w:val="1D336C"/>
                <w:spacing w:val="-14"/>
                <w:sz w:val="20"/>
              </w:rPr>
              <w:t xml:space="preserve"> </w:t>
            </w:r>
            <w:r>
              <w:rPr>
                <w:color w:val="1D336C"/>
                <w:sz w:val="20"/>
              </w:rPr>
              <w:t xml:space="preserve">Finance </w:t>
            </w:r>
            <w:r>
              <w:rPr>
                <w:color w:val="1D336C"/>
                <w:spacing w:val="-2"/>
                <w:sz w:val="20"/>
              </w:rPr>
              <w:t>Division</w:t>
            </w:r>
          </w:p>
        </w:tc>
        <w:tc>
          <w:tcPr>
            <w:tcW w:w="4252" w:type="dxa"/>
            <w:shd w:val="clear" w:color="auto" w:fill="auto"/>
          </w:tcPr>
          <w:p w14:paraId="6DFB512F" w14:textId="77777777" w:rsidR="00762B6A" w:rsidRDefault="00762B6A">
            <w:pPr>
              <w:pStyle w:val="TableParagraph"/>
              <w:ind w:left="83"/>
              <w:rPr>
                <w:i/>
                <w:sz w:val="20"/>
              </w:rPr>
            </w:pPr>
            <w:proofErr w:type="spellStart"/>
            <w:r>
              <w:rPr>
                <w:i/>
                <w:color w:val="1D336C"/>
                <w:sz w:val="20"/>
              </w:rPr>
              <w:t>NbS</w:t>
            </w:r>
            <w:proofErr w:type="spellEnd"/>
            <w:r>
              <w:rPr>
                <w:i/>
                <w:color w:val="1D336C"/>
                <w:spacing w:val="-4"/>
                <w:sz w:val="20"/>
              </w:rPr>
              <w:t xml:space="preserve"> </w:t>
            </w:r>
            <w:r>
              <w:rPr>
                <w:i/>
                <w:color w:val="1D336C"/>
                <w:spacing w:val="-2"/>
                <w:sz w:val="20"/>
              </w:rPr>
              <w:t>Portfolio</w:t>
            </w:r>
          </w:p>
        </w:tc>
        <w:tc>
          <w:tcPr>
            <w:tcW w:w="2126" w:type="dxa"/>
            <w:shd w:val="clear" w:color="auto" w:fill="auto"/>
          </w:tcPr>
          <w:p w14:paraId="5D665A27" w14:textId="77777777" w:rsidR="00762B6A" w:rsidRDefault="00762B6A">
            <w:pPr>
              <w:pStyle w:val="TableParagraph"/>
              <w:ind w:left="191"/>
              <w:rPr>
                <w:i/>
                <w:sz w:val="20"/>
              </w:rPr>
            </w:pPr>
            <w:r>
              <w:rPr>
                <w:i/>
                <w:color w:val="1D336C"/>
                <w:spacing w:val="-2"/>
                <w:sz w:val="20"/>
              </w:rPr>
              <w:t>Indo-Pacific</w:t>
            </w:r>
          </w:p>
        </w:tc>
        <w:tc>
          <w:tcPr>
            <w:tcW w:w="1116" w:type="dxa"/>
            <w:shd w:val="clear" w:color="auto" w:fill="auto"/>
          </w:tcPr>
          <w:p w14:paraId="3A9D8188" w14:textId="77777777" w:rsidR="00762B6A" w:rsidRDefault="00762B6A">
            <w:pPr>
              <w:pStyle w:val="TableParagraph"/>
              <w:ind w:left="122"/>
              <w:rPr>
                <w:i/>
                <w:sz w:val="20"/>
              </w:rPr>
            </w:pPr>
            <w:r>
              <w:rPr>
                <w:i/>
                <w:color w:val="1D336C"/>
                <w:spacing w:val="-10"/>
                <w:sz w:val="20"/>
              </w:rPr>
              <w:t>F</w:t>
            </w:r>
          </w:p>
        </w:tc>
      </w:tr>
      <w:tr w:rsidR="00531D18" w14:paraId="1DF9FD15" w14:textId="77777777" w:rsidTr="006E7363">
        <w:trPr>
          <w:trHeight w:val="687"/>
          <w:jc w:val="center"/>
        </w:trPr>
        <w:tc>
          <w:tcPr>
            <w:tcW w:w="2127" w:type="dxa"/>
            <w:shd w:val="clear" w:color="auto" w:fill="F1F1F1"/>
          </w:tcPr>
          <w:p w14:paraId="6E1A855D" w14:textId="77777777" w:rsidR="00762B6A" w:rsidRDefault="00762B6A">
            <w:pPr>
              <w:pStyle w:val="TableParagraph"/>
              <w:spacing w:before="134" w:line="292" w:lineRule="auto"/>
              <w:rPr>
                <w:sz w:val="20"/>
              </w:rPr>
            </w:pPr>
            <w:r>
              <w:rPr>
                <w:color w:val="1D336C"/>
                <w:sz w:val="20"/>
              </w:rPr>
              <w:t>DFAT</w:t>
            </w:r>
            <w:r>
              <w:rPr>
                <w:color w:val="1D336C"/>
                <w:spacing w:val="-14"/>
                <w:sz w:val="20"/>
              </w:rPr>
              <w:t xml:space="preserve"> </w:t>
            </w:r>
            <w:r>
              <w:rPr>
                <w:color w:val="1D336C"/>
                <w:sz w:val="20"/>
              </w:rPr>
              <w:t>-</w:t>
            </w:r>
            <w:r>
              <w:rPr>
                <w:color w:val="1D336C"/>
                <w:spacing w:val="-14"/>
                <w:sz w:val="20"/>
              </w:rPr>
              <w:t xml:space="preserve"> </w:t>
            </w:r>
            <w:r>
              <w:rPr>
                <w:color w:val="1D336C"/>
                <w:sz w:val="20"/>
              </w:rPr>
              <w:t>Blended</w:t>
            </w:r>
            <w:r>
              <w:rPr>
                <w:color w:val="1D336C"/>
                <w:spacing w:val="-13"/>
                <w:sz w:val="20"/>
              </w:rPr>
              <w:t xml:space="preserve"> </w:t>
            </w:r>
            <w:r>
              <w:rPr>
                <w:color w:val="1D336C"/>
                <w:sz w:val="20"/>
              </w:rPr>
              <w:t xml:space="preserve">Finance </w:t>
            </w:r>
            <w:r>
              <w:rPr>
                <w:color w:val="1D336C"/>
                <w:spacing w:val="-2"/>
                <w:sz w:val="20"/>
              </w:rPr>
              <w:t>Division</w:t>
            </w:r>
          </w:p>
        </w:tc>
        <w:tc>
          <w:tcPr>
            <w:tcW w:w="4252" w:type="dxa"/>
            <w:shd w:val="clear" w:color="auto" w:fill="F2F2F2" w:themeFill="background1" w:themeFillShade="F2"/>
          </w:tcPr>
          <w:p w14:paraId="0A7B2F88" w14:textId="77777777" w:rsidR="00762B6A" w:rsidRDefault="00762B6A">
            <w:pPr>
              <w:pStyle w:val="TableParagraph"/>
              <w:spacing w:before="134"/>
              <w:ind w:left="83"/>
              <w:rPr>
                <w:i/>
                <w:sz w:val="20"/>
              </w:rPr>
            </w:pPr>
            <w:proofErr w:type="spellStart"/>
            <w:r>
              <w:rPr>
                <w:i/>
                <w:color w:val="1D336C"/>
                <w:sz w:val="20"/>
              </w:rPr>
              <w:t>NbS</w:t>
            </w:r>
            <w:proofErr w:type="spellEnd"/>
            <w:r>
              <w:rPr>
                <w:i/>
                <w:color w:val="1D336C"/>
                <w:spacing w:val="-4"/>
                <w:sz w:val="20"/>
              </w:rPr>
              <w:t xml:space="preserve"> </w:t>
            </w:r>
            <w:r>
              <w:rPr>
                <w:i/>
                <w:color w:val="1D336C"/>
                <w:spacing w:val="-2"/>
                <w:sz w:val="20"/>
              </w:rPr>
              <w:t>Portfolio</w:t>
            </w:r>
          </w:p>
        </w:tc>
        <w:tc>
          <w:tcPr>
            <w:tcW w:w="2126" w:type="dxa"/>
            <w:shd w:val="clear" w:color="auto" w:fill="F2F2F2" w:themeFill="background1" w:themeFillShade="F2"/>
          </w:tcPr>
          <w:p w14:paraId="32DB39DE" w14:textId="77777777" w:rsidR="00762B6A" w:rsidRDefault="00762B6A">
            <w:pPr>
              <w:pStyle w:val="TableParagraph"/>
              <w:spacing w:before="134"/>
              <w:ind w:left="191"/>
              <w:rPr>
                <w:i/>
                <w:sz w:val="20"/>
              </w:rPr>
            </w:pPr>
            <w:r>
              <w:rPr>
                <w:i/>
                <w:color w:val="1D336C"/>
                <w:spacing w:val="-2"/>
                <w:sz w:val="20"/>
              </w:rPr>
              <w:t>Indo-Pacific</w:t>
            </w:r>
          </w:p>
        </w:tc>
        <w:tc>
          <w:tcPr>
            <w:tcW w:w="1116" w:type="dxa"/>
            <w:shd w:val="clear" w:color="auto" w:fill="F2F2F2" w:themeFill="background1" w:themeFillShade="F2"/>
          </w:tcPr>
          <w:p w14:paraId="1F47BBBD" w14:textId="77777777" w:rsidR="00762B6A" w:rsidRDefault="00762B6A">
            <w:pPr>
              <w:pStyle w:val="TableParagraph"/>
              <w:spacing w:before="134"/>
              <w:ind w:left="122"/>
              <w:rPr>
                <w:i/>
                <w:sz w:val="20"/>
              </w:rPr>
            </w:pPr>
            <w:r>
              <w:rPr>
                <w:i/>
                <w:color w:val="1D336C"/>
                <w:spacing w:val="-10"/>
                <w:sz w:val="20"/>
              </w:rPr>
              <w:t>M</w:t>
            </w:r>
          </w:p>
        </w:tc>
      </w:tr>
      <w:tr w:rsidR="00531D18" w14:paraId="28EB4E7E" w14:textId="77777777" w:rsidTr="006E7363">
        <w:trPr>
          <w:trHeight w:val="981"/>
          <w:jc w:val="center"/>
        </w:trPr>
        <w:tc>
          <w:tcPr>
            <w:tcW w:w="2127" w:type="dxa"/>
            <w:shd w:val="clear" w:color="auto" w:fill="F1F1F1"/>
          </w:tcPr>
          <w:p w14:paraId="1A6EC3AE" w14:textId="77777777" w:rsidR="00762B6A" w:rsidRDefault="00762B6A">
            <w:pPr>
              <w:pStyle w:val="TableParagraph"/>
              <w:spacing w:before="134" w:line="292" w:lineRule="auto"/>
              <w:rPr>
                <w:sz w:val="20"/>
              </w:rPr>
            </w:pPr>
            <w:r>
              <w:rPr>
                <w:color w:val="1D336C"/>
                <w:sz w:val="20"/>
              </w:rPr>
              <w:t>DFAT - Pacific Climate Negotiations</w:t>
            </w:r>
            <w:r>
              <w:rPr>
                <w:color w:val="1D336C"/>
                <w:spacing w:val="-14"/>
                <w:sz w:val="20"/>
              </w:rPr>
              <w:t xml:space="preserve"> </w:t>
            </w:r>
            <w:r>
              <w:rPr>
                <w:color w:val="1D336C"/>
                <w:sz w:val="20"/>
              </w:rPr>
              <w:t>and</w:t>
            </w:r>
            <w:r>
              <w:rPr>
                <w:color w:val="1D336C"/>
                <w:spacing w:val="-14"/>
                <w:sz w:val="20"/>
              </w:rPr>
              <w:t xml:space="preserve"> </w:t>
            </w:r>
            <w:r>
              <w:rPr>
                <w:color w:val="1D336C"/>
                <w:sz w:val="20"/>
              </w:rPr>
              <w:t xml:space="preserve">Oceans </w:t>
            </w:r>
            <w:r>
              <w:rPr>
                <w:color w:val="1D336C"/>
                <w:spacing w:val="-2"/>
                <w:sz w:val="20"/>
              </w:rPr>
              <w:t>Section</w:t>
            </w:r>
          </w:p>
        </w:tc>
        <w:tc>
          <w:tcPr>
            <w:tcW w:w="4252" w:type="dxa"/>
            <w:shd w:val="clear" w:color="auto" w:fill="auto"/>
          </w:tcPr>
          <w:p w14:paraId="2655B4C4" w14:textId="77777777" w:rsidR="00762B6A" w:rsidRDefault="00762B6A">
            <w:pPr>
              <w:pStyle w:val="TableParagraph"/>
              <w:spacing w:before="134"/>
              <w:ind w:left="83"/>
              <w:rPr>
                <w:i/>
                <w:sz w:val="20"/>
              </w:rPr>
            </w:pPr>
            <w:proofErr w:type="spellStart"/>
            <w:r>
              <w:rPr>
                <w:i/>
                <w:color w:val="1D336C"/>
                <w:sz w:val="20"/>
              </w:rPr>
              <w:t>NbS</w:t>
            </w:r>
            <w:proofErr w:type="spellEnd"/>
            <w:r>
              <w:rPr>
                <w:i/>
                <w:color w:val="1D336C"/>
                <w:spacing w:val="-4"/>
                <w:sz w:val="20"/>
              </w:rPr>
              <w:t xml:space="preserve"> </w:t>
            </w:r>
            <w:r>
              <w:rPr>
                <w:i/>
                <w:color w:val="1D336C"/>
                <w:spacing w:val="-2"/>
                <w:sz w:val="20"/>
              </w:rPr>
              <w:t>Portfolio</w:t>
            </w:r>
          </w:p>
        </w:tc>
        <w:tc>
          <w:tcPr>
            <w:tcW w:w="2126" w:type="dxa"/>
            <w:shd w:val="clear" w:color="auto" w:fill="auto"/>
          </w:tcPr>
          <w:p w14:paraId="410492C7" w14:textId="77777777" w:rsidR="00762B6A" w:rsidRDefault="00762B6A">
            <w:pPr>
              <w:pStyle w:val="TableParagraph"/>
              <w:spacing w:before="134"/>
              <w:ind w:left="191"/>
              <w:rPr>
                <w:i/>
                <w:sz w:val="20"/>
              </w:rPr>
            </w:pPr>
            <w:r>
              <w:rPr>
                <w:i/>
                <w:color w:val="1D336C"/>
                <w:spacing w:val="-2"/>
                <w:sz w:val="20"/>
              </w:rPr>
              <w:t>Pacific</w:t>
            </w:r>
          </w:p>
        </w:tc>
        <w:tc>
          <w:tcPr>
            <w:tcW w:w="1116" w:type="dxa"/>
            <w:shd w:val="clear" w:color="auto" w:fill="auto"/>
          </w:tcPr>
          <w:p w14:paraId="677FB262" w14:textId="77777777" w:rsidR="00762B6A" w:rsidRDefault="00762B6A">
            <w:pPr>
              <w:pStyle w:val="TableParagraph"/>
              <w:spacing w:before="134"/>
              <w:ind w:left="122"/>
              <w:rPr>
                <w:i/>
                <w:sz w:val="20"/>
              </w:rPr>
            </w:pPr>
            <w:r>
              <w:rPr>
                <w:i/>
                <w:color w:val="1D336C"/>
                <w:spacing w:val="-10"/>
                <w:sz w:val="20"/>
              </w:rPr>
              <w:t>M</w:t>
            </w:r>
          </w:p>
        </w:tc>
      </w:tr>
    </w:tbl>
    <w:p w14:paraId="527F63DA" w14:textId="0CA3E53E" w:rsidR="00983D62" w:rsidRPr="00983D62" w:rsidRDefault="00983D62" w:rsidP="00983D62">
      <w:pPr>
        <w:pStyle w:val="Heading2"/>
        <w:rPr>
          <w:color w:val="1D336D" w:themeColor="background2"/>
          <w:sz w:val="24"/>
          <w:szCs w:val="24"/>
        </w:rPr>
      </w:pPr>
      <w:bookmarkStart w:id="79" w:name="_Toc164783094"/>
      <w:r>
        <w:rPr>
          <w:caps w:val="0"/>
          <w:color w:val="1D336D" w:themeColor="background2"/>
          <w:sz w:val="24"/>
          <w:szCs w:val="24"/>
        </w:rPr>
        <w:t>Pacific Blue Carbon Program</w:t>
      </w:r>
      <w:bookmarkEnd w:id="79"/>
    </w:p>
    <w:tbl>
      <w:tblPr>
        <w:tblW w:w="0" w:type="auto"/>
        <w:jc w:val="center"/>
        <w:tblBorders>
          <w:bottom w:val="single" w:sz="4" w:space="0" w:color="1D336D"/>
          <w:insideH w:val="single" w:sz="4" w:space="0" w:color="1D336D"/>
        </w:tblBorders>
        <w:tblLayout w:type="fixed"/>
        <w:tblCellMar>
          <w:left w:w="0" w:type="dxa"/>
          <w:right w:w="0" w:type="dxa"/>
        </w:tblCellMar>
        <w:tblLook w:val="01E0" w:firstRow="1" w:lastRow="1" w:firstColumn="1" w:lastColumn="1" w:noHBand="0" w:noVBand="0"/>
      </w:tblPr>
      <w:tblGrid>
        <w:gridCol w:w="2127"/>
        <w:gridCol w:w="4252"/>
        <w:gridCol w:w="2126"/>
        <w:gridCol w:w="1116"/>
      </w:tblGrid>
      <w:tr w:rsidR="00983D62" w14:paraId="74B61DEA" w14:textId="77777777" w:rsidTr="00983D62">
        <w:trPr>
          <w:trHeight w:val="676"/>
          <w:jc w:val="center"/>
        </w:trPr>
        <w:tc>
          <w:tcPr>
            <w:tcW w:w="2127" w:type="dxa"/>
            <w:shd w:val="clear" w:color="auto" w:fill="1D336D" w:themeFill="background2"/>
          </w:tcPr>
          <w:p w14:paraId="3BB59E02" w14:textId="164C2C71" w:rsidR="00983D62" w:rsidRDefault="00983D62" w:rsidP="00983D62">
            <w:pPr>
              <w:pStyle w:val="TableParagraph"/>
              <w:spacing w:before="134" w:line="292" w:lineRule="auto"/>
              <w:ind w:right="444"/>
              <w:rPr>
                <w:sz w:val="20"/>
              </w:rPr>
            </w:pPr>
            <w:proofErr w:type="spellStart"/>
            <w:r w:rsidRPr="00983D62">
              <w:rPr>
                <w:b/>
                <w:color w:val="FFFFFF" w:themeColor="background1"/>
                <w:spacing w:val="-2"/>
                <w:sz w:val="20"/>
              </w:rPr>
              <w:t>Organisation</w:t>
            </w:r>
            <w:proofErr w:type="spellEnd"/>
          </w:p>
        </w:tc>
        <w:tc>
          <w:tcPr>
            <w:tcW w:w="4252" w:type="dxa"/>
            <w:shd w:val="clear" w:color="auto" w:fill="1D336D" w:themeFill="background2"/>
          </w:tcPr>
          <w:p w14:paraId="417B7929" w14:textId="6CC877E3" w:rsidR="00983D62" w:rsidRDefault="00983D62" w:rsidP="00983D62">
            <w:pPr>
              <w:pStyle w:val="TableParagraph"/>
              <w:spacing w:before="134" w:line="292" w:lineRule="auto"/>
              <w:ind w:left="83" w:right="17"/>
              <w:rPr>
                <w:i/>
                <w:sz w:val="20"/>
              </w:rPr>
            </w:pPr>
            <w:r w:rsidRPr="00983D62">
              <w:rPr>
                <w:b/>
                <w:color w:val="FFFFFF" w:themeColor="background1"/>
                <w:spacing w:val="-2"/>
                <w:sz w:val="20"/>
              </w:rPr>
              <w:t>Project</w:t>
            </w:r>
          </w:p>
        </w:tc>
        <w:tc>
          <w:tcPr>
            <w:tcW w:w="2126" w:type="dxa"/>
            <w:shd w:val="clear" w:color="auto" w:fill="1D336D" w:themeFill="background2"/>
          </w:tcPr>
          <w:p w14:paraId="38E3E9D8" w14:textId="23F75B22" w:rsidR="00983D62" w:rsidRDefault="00983D62" w:rsidP="00983D62">
            <w:pPr>
              <w:pStyle w:val="TableParagraph"/>
              <w:spacing w:before="134"/>
              <w:ind w:left="191"/>
              <w:rPr>
                <w:i/>
                <w:sz w:val="20"/>
              </w:rPr>
            </w:pPr>
            <w:r w:rsidRPr="00983D62">
              <w:rPr>
                <w:b/>
                <w:color w:val="FFFFFF" w:themeColor="background1"/>
                <w:sz w:val="20"/>
              </w:rPr>
              <w:t>Country/Region</w:t>
            </w:r>
            <w:r w:rsidRPr="00983D62">
              <w:rPr>
                <w:b/>
                <w:color w:val="FFFFFF" w:themeColor="background1"/>
                <w:spacing w:val="-14"/>
                <w:sz w:val="20"/>
              </w:rPr>
              <w:t xml:space="preserve"> </w:t>
            </w:r>
            <w:r w:rsidRPr="00983D62">
              <w:rPr>
                <w:b/>
                <w:color w:val="FFFFFF" w:themeColor="background1"/>
                <w:sz w:val="20"/>
              </w:rPr>
              <w:t xml:space="preserve">of </w:t>
            </w:r>
            <w:r w:rsidRPr="00983D62">
              <w:rPr>
                <w:b/>
                <w:color w:val="FFFFFF" w:themeColor="background1"/>
                <w:spacing w:val="-2"/>
                <w:sz w:val="20"/>
              </w:rPr>
              <w:t>implementation</w:t>
            </w:r>
          </w:p>
        </w:tc>
        <w:tc>
          <w:tcPr>
            <w:tcW w:w="1116" w:type="dxa"/>
            <w:shd w:val="clear" w:color="auto" w:fill="1D336D" w:themeFill="background2"/>
          </w:tcPr>
          <w:p w14:paraId="1A8ED60B" w14:textId="558F6429" w:rsidR="00983D62" w:rsidRDefault="00983D62" w:rsidP="00983D62">
            <w:pPr>
              <w:pStyle w:val="TableParagraph"/>
              <w:spacing w:before="134"/>
              <w:ind w:left="122"/>
              <w:rPr>
                <w:i/>
                <w:sz w:val="20"/>
              </w:rPr>
            </w:pPr>
            <w:r w:rsidRPr="00983D62">
              <w:rPr>
                <w:b/>
                <w:color w:val="FFFFFF" w:themeColor="background1"/>
                <w:spacing w:val="-2"/>
                <w:sz w:val="20"/>
              </w:rPr>
              <w:t>Gender</w:t>
            </w:r>
          </w:p>
        </w:tc>
      </w:tr>
      <w:tr w:rsidR="00983D62" w14:paraId="22C505FB" w14:textId="77777777" w:rsidTr="006E7363">
        <w:trPr>
          <w:trHeight w:val="1170"/>
          <w:jc w:val="center"/>
        </w:trPr>
        <w:tc>
          <w:tcPr>
            <w:tcW w:w="2127" w:type="dxa"/>
            <w:shd w:val="clear" w:color="auto" w:fill="F1F1F1"/>
          </w:tcPr>
          <w:p w14:paraId="09A68383" w14:textId="77777777" w:rsidR="00983D62" w:rsidRDefault="00983D62" w:rsidP="00983D62">
            <w:pPr>
              <w:pStyle w:val="TableParagraph"/>
              <w:spacing w:line="292" w:lineRule="auto"/>
              <w:ind w:right="394"/>
              <w:jc w:val="both"/>
              <w:rPr>
                <w:sz w:val="20"/>
              </w:rPr>
            </w:pPr>
            <w:r>
              <w:rPr>
                <w:color w:val="1D336C"/>
                <w:sz w:val="20"/>
              </w:rPr>
              <w:t>Department</w:t>
            </w:r>
            <w:r>
              <w:rPr>
                <w:color w:val="1D336C"/>
                <w:spacing w:val="-14"/>
                <w:sz w:val="20"/>
              </w:rPr>
              <w:t xml:space="preserve"> </w:t>
            </w:r>
            <w:r>
              <w:rPr>
                <w:color w:val="1D336C"/>
                <w:sz w:val="20"/>
              </w:rPr>
              <w:t>of</w:t>
            </w:r>
            <w:r>
              <w:rPr>
                <w:color w:val="1D336C"/>
                <w:spacing w:val="-14"/>
                <w:sz w:val="20"/>
              </w:rPr>
              <w:t xml:space="preserve"> </w:t>
            </w:r>
            <w:r>
              <w:rPr>
                <w:color w:val="1D336C"/>
                <w:sz w:val="20"/>
              </w:rPr>
              <w:t>Climate Change,</w:t>
            </w:r>
            <w:r>
              <w:rPr>
                <w:color w:val="1D336C"/>
                <w:spacing w:val="-14"/>
                <w:sz w:val="20"/>
              </w:rPr>
              <w:t xml:space="preserve"> </w:t>
            </w:r>
            <w:r>
              <w:rPr>
                <w:color w:val="1D336C"/>
                <w:sz w:val="20"/>
              </w:rPr>
              <w:t>Environment, Energy and Water</w:t>
            </w:r>
          </w:p>
        </w:tc>
        <w:tc>
          <w:tcPr>
            <w:tcW w:w="4252" w:type="dxa"/>
          </w:tcPr>
          <w:p w14:paraId="540FE279" w14:textId="77777777" w:rsidR="00983D62" w:rsidRDefault="00983D62" w:rsidP="00983D62">
            <w:pPr>
              <w:pStyle w:val="TableParagraph"/>
              <w:spacing w:line="292" w:lineRule="auto"/>
              <w:ind w:left="83" w:right="17"/>
              <w:rPr>
                <w:i/>
                <w:sz w:val="20"/>
              </w:rPr>
            </w:pPr>
            <w:r>
              <w:rPr>
                <w:i/>
                <w:color w:val="1D336C"/>
                <w:sz w:val="20"/>
              </w:rPr>
              <w:t>Blue Carbon Pilot Project in Fiji: Adaptation</w:t>
            </w:r>
            <w:r>
              <w:rPr>
                <w:i/>
                <w:color w:val="1D336C"/>
                <w:spacing w:val="-14"/>
                <w:sz w:val="20"/>
              </w:rPr>
              <w:t xml:space="preserve"> </w:t>
            </w:r>
            <w:r>
              <w:rPr>
                <w:i/>
                <w:color w:val="1D336C"/>
                <w:sz w:val="20"/>
              </w:rPr>
              <w:t>and</w:t>
            </w:r>
            <w:r>
              <w:rPr>
                <w:i/>
                <w:color w:val="1D336C"/>
                <w:spacing w:val="-14"/>
                <w:sz w:val="20"/>
              </w:rPr>
              <w:t xml:space="preserve"> </w:t>
            </w:r>
            <w:r>
              <w:rPr>
                <w:i/>
                <w:color w:val="1D336C"/>
                <w:sz w:val="20"/>
              </w:rPr>
              <w:t>Mitigation</w:t>
            </w:r>
            <w:r>
              <w:rPr>
                <w:i/>
                <w:color w:val="1D336C"/>
                <w:spacing w:val="-14"/>
                <w:sz w:val="20"/>
              </w:rPr>
              <w:t xml:space="preserve"> </w:t>
            </w:r>
            <w:r>
              <w:rPr>
                <w:i/>
                <w:color w:val="1D336C"/>
                <w:sz w:val="20"/>
              </w:rPr>
              <w:t>Outcomes for Resilient Island Communities</w:t>
            </w:r>
          </w:p>
        </w:tc>
        <w:tc>
          <w:tcPr>
            <w:tcW w:w="2126" w:type="dxa"/>
          </w:tcPr>
          <w:p w14:paraId="00702A68" w14:textId="77777777" w:rsidR="00983D62" w:rsidRDefault="00983D62" w:rsidP="00983D62">
            <w:pPr>
              <w:pStyle w:val="TableParagraph"/>
              <w:ind w:left="191"/>
              <w:rPr>
                <w:i/>
                <w:sz w:val="20"/>
              </w:rPr>
            </w:pPr>
            <w:r>
              <w:rPr>
                <w:i/>
                <w:color w:val="1D336C"/>
                <w:spacing w:val="-2"/>
                <w:sz w:val="20"/>
              </w:rPr>
              <w:t>Pacific</w:t>
            </w:r>
          </w:p>
        </w:tc>
        <w:tc>
          <w:tcPr>
            <w:tcW w:w="1116" w:type="dxa"/>
          </w:tcPr>
          <w:p w14:paraId="6A178137" w14:textId="77777777" w:rsidR="00983D62" w:rsidRDefault="00983D62" w:rsidP="00983D62">
            <w:pPr>
              <w:pStyle w:val="TableParagraph"/>
              <w:ind w:left="122"/>
              <w:rPr>
                <w:i/>
                <w:sz w:val="20"/>
              </w:rPr>
            </w:pPr>
            <w:r>
              <w:rPr>
                <w:i/>
                <w:color w:val="1D336C"/>
                <w:spacing w:val="-10"/>
                <w:sz w:val="20"/>
              </w:rPr>
              <w:t>F</w:t>
            </w:r>
          </w:p>
        </w:tc>
      </w:tr>
      <w:tr w:rsidR="00983D62" w14:paraId="121CAE37" w14:textId="77777777" w:rsidTr="006E7363">
        <w:trPr>
          <w:trHeight w:val="987"/>
          <w:jc w:val="center"/>
        </w:trPr>
        <w:tc>
          <w:tcPr>
            <w:tcW w:w="2127" w:type="dxa"/>
            <w:shd w:val="clear" w:color="auto" w:fill="F1F1F1"/>
          </w:tcPr>
          <w:p w14:paraId="7B833BCE" w14:textId="77777777" w:rsidR="00983D62" w:rsidRDefault="00983D62" w:rsidP="00983D62">
            <w:pPr>
              <w:pStyle w:val="TableParagraph"/>
              <w:spacing w:before="134" w:line="292" w:lineRule="auto"/>
              <w:ind w:right="722"/>
              <w:rPr>
                <w:sz w:val="20"/>
              </w:rPr>
            </w:pPr>
            <w:r>
              <w:rPr>
                <w:color w:val="1D336C"/>
                <w:spacing w:val="-2"/>
                <w:sz w:val="20"/>
              </w:rPr>
              <w:t xml:space="preserve">Conservation </w:t>
            </w:r>
            <w:r>
              <w:rPr>
                <w:color w:val="1D336C"/>
                <w:sz w:val="20"/>
              </w:rPr>
              <w:t>International</w:t>
            </w:r>
            <w:r>
              <w:rPr>
                <w:color w:val="1D336C"/>
                <w:spacing w:val="-14"/>
                <w:sz w:val="20"/>
              </w:rPr>
              <w:t xml:space="preserve"> </w:t>
            </w:r>
            <w:r>
              <w:rPr>
                <w:color w:val="1D336C"/>
                <w:sz w:val="20"/>
              </w:rPr>
              <w:t>Team</w:t>
            </w:r>
          </w:p>
        </w:tc>
        <w:tc>
          <w:tcPr>
            <w:tcW w:w="4252" w:type="dxa"/>
            <w:shd w:val="clear" w:color="auto" w:fill="F1F1F1"/>
          </w:tcPr>
          <w:p w14:paraId="749A54EE" w14:textId="77777777" w:rsidR="00983D62" w:rsidRDefault="00983D62" w:rsidP="00983D62">
            <w:pPr>
              <w:pStyle w:val="TableParagraph"/>
              <w:spacing w:before="134" w:line="292" w:lineRule="auto"/>
              <w:ind w:left="83" w:right="17"/>
              <w:rPr>
                <w:i/>
                <w:sz w:val="20"/>
              </w:rPr>
            </w:pPr>
            <w:r>
              <w:rPr>
                <w:i/>
                <w:color w:val="1D336C"/>
                <w:sz w:val="20"/>
              </w:rPr>
              <w:t>Blue Carbon Pilot Project in Fiji: Adaptation</w:t>
            </w:r>
            <w:r>
              <w:rPr>
                <w:i/>
                <w:color w:val="1D336C"/>
                <w:spacing w:val="-14"/>
                <w:sz w:val="20"/>
              </w:rPr>
              <w:t xml:space="preserve"> </w:t>
            </w:r>
            <w:r>
              <w:rPr>
                <w:i/>
                <w:color w:val="1D336C"/>
                <w:sz w:val="20"/>
              </w:rPr>
              <w:t>and</w:t>
            </w:r>
            <w:r>
              <w:rPr>
                <w:i/>
                <w:color w:val="1D336C"/>
                <w:spacing w:val="-14"/>
                <w:sz w:val="20"/>
              </w:rPr>
              <w:t xml:space="preserve"> </w:t>
            </w:r>
            <w:r>
              <w:rPr>
                <w:i/>
                <w:color w:val="1D336C"/>
                <w:sz w:val="20"/>
              </w:rPr>
              <w:t>Mitigation</w:t>
            </w:r>
            <w:r>
              <w:rPr>
                <w:i/>
                <w:color w:val="1D336C"/>
                <w:spacing w:val="-14"/>
                <w:sz w:val="20"/>
              </w:rPr>
              <w:t xml:space="preserve"> </w:t>
            </w:r>
            <w:r>
              <w:rPr>
                <w:i/>
                <w:color w:val="1D336C"/>
                <w:sz w:val="20"/>
              </w:rPr>
              <w:t>Outcomes for Resilient Island Communities</w:t>
            </w:r>
          </w:p>
        </w:tc>
        <w:tc>
          <w:tcPr>
            <w:tcW w:w="2126" w:type="dxa"/>
            <w:shd w:val="clear" w:color="auto" w:fill="F1F1F1"/>
          </w:tcPr>
          <w:p w14:paraId="5FB91B7B" w14:textId="77777777" w:rsidR="00983D62" w:rsidRDefault="00983D62" w:rsidP="00983D62">
            <w:pPr>
              <w:pStyle w:val="TableParagraph"/>
              <w:ind w:left="191"/>
              <w:rPr>
                <w:i/>
                <w:sz w:val="20"/>
              </w:rPr>
            </w:pPr>
            <w:r>
              <w:rPr>
                <w:i/>
                <w:color w:val="1D336C"/>
                <w:spacing w:val="-4"/>
                <w:sz w:val="20"/>
              </w:rPr>
              <w:t>Fiji</w:t>
            </w:r>
          </w:p>
        </w:tc>
        <w:tc>
          <w:tcPr>
            <w:tcW w:w="1116" w:type="dxa"/>
            <w:shd w:val="clear" w:color="auto" w:fill="F1F1F1"/>
          </w:tcPr>
          <w:p w14:paraId="5B60229C" w14:textId="77777777" w:rsidR="00983D62" w:rsidRDefault="00983D62" w:rsidP="00983D62">
            <w:pPr>
              <w:pStyle w:val="TableParagraph"/>
              <w:ind w:left="122"/>
              <w:rPr>
                <w:i/>
                <w:sz w:val="20"/>
              </w:rPr>
            </w:pPr>
            <w:r>
              <w:rPr>
                <w:i/>
                <w:color w:val="1D336C"/>
                <w:sz w:val="20"/>
              </w:rPr>
              <w:t>1</w:t>
            </w:r>
            <w:r>
              <w:rPr>
                <w:i/>
                <w:color w:val="1D336C"/>
                <w:spacing w:val="-2"/>
                <w:sz w:val="20"/>
              </w:rPr>
              <w:t xml:space="preserve"> </w:t>
            </w:r>
            <w:r>
              <w:rPr>
                <w:i/>
                <w:color w:val="1D336C"/>
                <w:sz w:val="20"/>
              </w:rPr>
              <w:t>F</w:t>
            </w:r>
            <w:r>
              <w:rPr>
                <w:i/>
                <w:color w:val="1D336C"/>
                <w:spacing w:val="-2"/>
                <w:sz w:val="20"/>
              </w:rPr>
              <w:t xml:space="preserve"> </w:t>
            </w:r>
            <w:r>
              <w:rPr>
                <w:i/>
                <w:color w:val="1D336C"/>
                <w:sz w:val="20"/>
              </w:rPr>
              <w:t>/</w:t>
            </w:r>
            <w:r>
              <w:rPr>
                <w:i/>
                <w:color w:val="1D336C"/>
                <w:spacing w:val="-2"/>
                <w:sz w:val="20"/>
              </w:rPr>
              <w:t xml:space="preserve"> </w:t>
            </w:r>
            <w:r>
              <w:rPr>
                <w:i/>
                <w:color w:val="1D336C"/>
                <w:spacing w:val="-5"/>
                <w:sz w:val="20"/>
              </w:rPr>
              <w:t>5M</w:t>
            </w:r>
          </w:p>
        </w:tc>
      </w:tr>
      <w:tr w:rsidR="00983D62" w14:paraId="53EF4B57" w14:textId="77777777" w:rsidTr="006E7363">
        <w:trPr>
          <w:trHeight w:val="689"/>
          <w:jc w:val="center"/>
        </w:trPr>
        <w:tc>
          <w:tcPr>
            <w:tcW w:w="2127" w:type="dxa"/>
            <w:shd w:val="clear" w:color="auto" w:fill="F1F1F1"/>
          </w:tcPr>
          <w:p w14:paraId="71542AE6" w14:textId="77777777" w:rsidR="00983D62" w:rsidRDefault="00983D62" w:rsidP="00983D62">
            <w:pPr>
              <w:pStyle w:val="TableParagraph"/>
              <w:spacing w:before="134"/>
              <w:rPr>
                <w:sz w:val="20"/>
              </w:rPr>
            </w:pPr>
            <w:r>
              <w:rPr>
                <w:color w:val="1D336C"/>
                <w:sz w:val="20"/>
              </w:rPr>
              <w:t>Community</w:t>
            </w:r>
            <w:r>
              <w:rPr>
                <w:color w:val="1D336C"/>
                <w:spacing w:val="-7"/>
                <w:sz w:val="20"/>
              </w:rPr>
              <w:t xml:space="preserve"> </w:t>
            </w:r>
            <w:r>
              <w:rPr>
                <w:color w:val="1D336C"/>
                <w:sz w:val="20"/>
              </w:rPr>
              <w:t>of</w:t>
            </w:r>
            <w:r>
              <w:rPr>
                <w:color w:val="1D336C"/>
                <w:spacing w:val="-5"/>
                <w:sz w:val="20"/>
              </w:rPr>
              <w:t xml:space="preserve"> </w:t>
            </w:r>
            <w:proofErr w:type="spellStart"/>
            <w:r>
              <w:rPr>
                <w:color w:val="1D336C"/>
                <w:spacing w:val="-2"/>
                <w:sz w:val="20"/>
              </w:rPr>
              <w:t>Barotu</w:t>
            </w:r>
            <w:proofErr w:type="spellEnd"/>
          </w:p>
        </w:tc>
        <w:tc>
          <w:tcPr>
            <w:tcW w:w="4252" w:type="dxa"/>
          </w:tcPr>
          <w:p w14:paraId="44FEBF3A" w14:textId="03DEC2BA" w:rsidR="00983D62" w:rsidRPr="0052234E" w:rsidRDefault="00983D62" w:rsidP="00983D62">
            <w:pPr>
              <w:pStyle w:val="TableParagraph"/>
              <w:spacing w:before="134" w:line="292" w:lineRule="auto"/>
              <w:ind w:left="83" w:right="17"/>
              <w:rPr>
                <w:i/>
                <w:color w:val="1D336C"/>
                <w:sz w:val="20"/>
              </w:rPr>
            </w:pPr>
            <w:r>
              <w:rPr>
                <w:i/>
                <w:color w:val="1D336C"/>
                <w:sz w:val="20"/>
              </w:rPr>
              <w:t>Blue Carbon Pilot Project in Fiji: Adaptation</w:t>
            </w:r>
            <w:r>
              <w:rPr>
                <w:i/>
                <w:color w:val="1D336C"/>
                <w:spacing w:val="-14"/>
                <w:sz w:val="20"/>
              </w:rPr>
              <w:t xml:space="preserve"> </w:t>
            </w:r>
            <w:r>
              <w:rPr>
                <w:i/>
                <w:color w:val="1D336C"/>
                <w:sz w:val="20"/>
              </w:rPr>
              <w:t>and</w:t>
            </w:r>
            <w:r>
              <w:rPr>
                <w:i/>
                <w:color w:val="1D336C"/>
                <w:spacing w:val="-14"/>
                <w:sz w:val="20"/>
              </w:rPr>
              <w:t xml:space="preserve"> </w:t>
            </w:r>
            <w:r>
              <w:rPr>
                <w:i/>
                <w:color w:val="1D336C"/>
                <w:sz w:val="20"/>
              </w:rPr>
              <w:t>Mitigation</w:t>
            </w:r>
            <w:r>
              <w:rPr>
                <w:i/>
                <w:color w:val="1D336C"/>
                <w:spacing w:val="-14"/>
                <w:sz w:val="20"/>
              </w:rPr>
              <w:t xml:space="preserve"> </w:t>
            </w:r>
            <w:r>
              <w:rPr>
                <w:i/>
                <w:color w:val="1D336C"/>
                <w:sz w:val="20"/>
              </w:rPr>
              <w:t>Outcomes for Resilient Island Communities</w:t>
            </w:r>
          </w:p>
        </w:tc>
        <w:tc>
          <w:tcPr>
            <w:tcW w:w="2126" w:type="dxa"/>
          </w:tcPr>
          <w:p w14:paraId="7BFAEFB4" w14:textId="77777777" w:rsidR="00983D62" w:rsidRDefault="00983D62" w:rsidP="00983D62">
            <w:pPr>
              <w:pStyle w:val="TableParagraph"/>
              <w:spacing w:before="134"/>
              <w:ind w:left="191"/>
              <w:rPr>
                <w:i/>
                <w:sz w:val="20"/>
              </w:rPr>
            </w:pPr>
            <w:r>
              <w:rPr>
                <w:i/>
                <w:color w:val="1D336C"/>
                <w:spacing w:val="-4"/>
                <w:sz w:val="20"/>
              </w:rPr>
              <w:t>Fiji</w:t>
            </w:r>
          </w:p>
        </w:tc>
        <w:tc>
          <w:tcPr>
            <w:tcW w:w="1116" w:type="dxa"/>
          </w:tcPr>
          <w:p w14:paraId="64CAD236" w14:textId="77777777" w:rsidR="00983D62" w:rsidRDefault="00983D62" w:rsidP="00983D62">
            <w:pPr>
              <w:pStyle w:val="TableParagraph"/>
              <w:spacing w:before="134"/>
              <w:ind w:left="122"/>
              <w:rPr>
                <w:i/>
                <w:sz w:val="20"/>
              </w:rPr>
            </w:pPr>
            <w:r>
              <w:rPr>
                <w:i/>
                <w:color w:val="1D336C"/>
                <w:sz w:val="20"/>
              </w:rPr>
              <w:t>9F</w:t>
            </w:r>
            <w:r>
              <w:rPr>
                <w:i/>
                <w:color w:val="1D336C"/>
                <w:spacing w:val="-3"/>
                <w:sz w:val="20"/>
              </w:rPr>
              <w:t xml:space="preserve"> </w:t>
            </w:r>
            <w:r>
              <w:rPr>
                <w:i/>
                <w:color w:val="1D336C"/>
                <w:sz w:val="20"/>
              </w:rPr>
              <w:t>/</w:t>
            </w:r>
            <w:r>
              <w:rPr>
                <w:i/>
                <w:color w:val="1D336C"/>
                <w:spacing w:val="-2"/>
                <w:sz w:val="20"/>
              </w:rPr>
              <w:t xml:space="preserve"> </w:t>
            </w:r>
            <w:r>
              <w:rPr>
                <w:i/>
                <w:color w:val="1D336C"/>
                <w:spacing w:val="-5"/>
                <w:sz w:val="20"/>
              </w:rPr>
              <w:t>12M</w:t>
            </w:r>
          </w:p>
        </w:tc>
      </w:tr>
    </w:tbl>
    <w:p w14:paraId="341AEA87" w14:textId="265B4F07" w:rsidR="00983D62" w:rsidRPr="00983D62" w:rsidRDefault="00983D62" w:rsidP="00983D62">
      <w:pPr>
        <w:pStyle w:val="Heading2"/>
        <w:rPr>
          <w:color w:val="1D336D" w:themeColor="background2"/>
          <w:sz w:val="24"/>
          <w:szCs w:val="24"/>
        </w:rPr>
      </w:pPr>
      <w:bookmarkStart w:id="80" w:name="_Toc164783095"/>
      <w:r>
        <w:rPr>
          <w:caps w:val="0"/>
          <w:color w:val="1D336D" w:themeColor="background2"/>
          <w:sz w:val="24"/>
          <w:szCs w:val="24"/>
        </w:rPr>
        <w:t>Coral Reef Innovation Project</w:t>
      </w:r>
      <w:bookmarkEnd w:id="80"/>
    </w:p>
    <w:tbl>
      <w:tblPr>
        <w:tblW w:w="0" w:type="auto"/>
        <w:jc w:val="center"/>
        <w:tblBorders>
          <w:bottom w:val="single" w:sz="4" w:space="0" w:color="1D336D"/>
          <w:insideH w:val="single" w:sz="4" w:space="0" w:color="1D336D"/>
        </w:tblBorders>
        <w:tblLayout w:type="fixed"/>
        <w:tblCellMar>
          <w:left w:w="0" w:type="dxa"/>
          <w:right w:w="0" w:type="dxa"/>
        </w:tblCellMar>
        <w:tblLook w:val="01E0" w:firstRow="1" w:lastRow="1" w:firstColumn="1" w:lastColumn="1" w:noHBand="0" w:noVBand="0"/>
      </w:tblPr>
      <w:tblGrid>
        <w:gridCol w:w="2127"/>
        <w:gridCol w:w="4252"/>
        <w:gridCol w:w="2126"/>
        <w:gridCol w:w="1116"/>
      </w:tblGrid>
      <w:tr w:rsidR="00983D62" w14:paraId="0CE498B1" w14:textId="77777777" w:rsidTr="00983D62">
        <w:trPr>
          <w:trHeight w:val="732"/>
          <w:tblHeader/>
          <w:jc w:val="center"/>
        </w:trPr>
        <w:tc>
          <w:tcPr>
            <w:tcW w:w="2127" w:type="dxa"/>
            <w:shd w:val="clear" w:color="auto" w:fill="1D336D" w:themeFill="background2"/>
          </w:tcPr>
          <w:p w14:paraId="680C0845" w14:textId="5199D4AE" w:rsidR="00983D62" w:rsidRDefault="00983D62" w:rsidP="00983D62">
            <w:pPr>
              <w:pStyle w:val="TableParagraph"/>
              <w:spacing w:before="134"/>
              <w:rPr>
                <w:color w:val="1D336C"/>
                <w:sz w:val="20"/>
              </w:rPr>
            </w:pPr>
            <w:proofErr w:type="spellStart"/>
            <w:r w:rsidRPr="00983D62">
              <w:rPr>
                <w:b/>
                <w:color w:val="FFFFFF" w:themeColor="background1"/>
                <w:spacing w:val="-2"/>
                <w:sz w:val="20"/>
              </w:rPr>
              <w:t>Organisation</w:t>
            </w:r>
            <w:proofErr w:type="spellEnd"/>
          </w:p>
        </w:tc>
        <w:tc>
          <w:tcPr>
            <w:tcW w:w="4252" w:type="dxa"/>
            <w:shd w:val="clear" w:color="auto" w:fill="1D336D" w:themeFill="background2"/>
          </w:tcPr>
          <w:p w14:paraId="30A630BC" w14:textId="0DD1DB3A" w:rsidR="00983D62" w:rsidRDefault="00983D62" w:rsidP="00983D62">
            <w:pPr>
              <w:pStyle w:val="TableParagraph"/>
              <w:spacing w:before="134" w:line="292" w:lineRule="auto"/>
              <w:ind w:left="83" w:right="17"/>
              <w:rPr>
                <w:i/>
                <w:color w:val="1D336C"/>
                <w:sz w:val="20"/>
              </w:rPr>
            </w:pPr>
            <w:r w:rsidRPr="00983D62">
              <w:rPr>
                <w:b/>
                <w:color w:val="FFFFFF" w:themeColor="background1"/>
                <w:spacing w:val="-2"/>
                <w:sz w:val="20"/>
              </w:rPr>
              <w:t>Project</w:t>
            </w:r>
          </w:p>
        </w:tc>
        <w:tc>
          <w:tcPr>
            <w:tcW w:w="2126" w:type="dxa"/>
            <w:shd w:val="clear" w:color="auto" w:fill="1D336D" w:themeFill="background2"/>
          </w:tcPr>
          <w:p w14:paraId="72A864D3" w14:textId="4D134971" w:rsidR="00983D62" w:rsidRDefault="00983D62" w:rsidP="00983D62">
            <w:pPr>
              <w:pStyle w:val="TableParagraph"/>
              <w:spacing w:before="134"/>
              <w:ind w:left="191"/>
              <w:rPr>
                <w:i/>
                <w:color w:val="1D336C"/>
                <w:spacing w:val="-4"/>
                <w:sz w:val="20"/>
              </w:rPr>
            </w:pPr>
            <w:r w:rsidRPr="00983D62">
              <w:rPr>
                <w:b/>
                <w:color w:val="FFFFFF" w:themeColor="background1"/>
                <w:sz w:val="20"/>
              </w:rPr>
              <w:t>Country/Region</w:t>
            </w:r>
            <w:r w:rsidRPr="00983D62">
              <w:rPr>
                <w:b/>
                <w:color w:val="FFFFFF" w:themeColor="background1"/>
                <w:spacing w:val="-14"/>
                <w:sz w:val="20"/>
              </w:rPr>
              <w:t xml:space="preserve"> </w:t>
            </w:r>
            <w:r w:rsidRPr="00983D62">
              <w:rPr>
                <w:b/>
                <w:color w:val="FFFFFF" w:themeColor="background1"/>
                <w:sz w:val="20"/>
              </w:rPr>
              <w:t xml:space="preserve">of </w:t>
            </w:r>
            <w:r w:rsidRPr="00983D62">
              <w:rPr>
                <w:b/>
                <w:color w:val="FFFFFF" w:themeColor="background1"/>
                <w:spacing w:val="-2"/>
                <w:sz w:val="20"/>
              </w:rPr>
              <w:t>implementation</w:t>
            </w:r>
          </w:p>
        </w:tc>
        <w:tc>
          <w:tcPr>
            <w:tcW w:w="1116" w:type="dxa"/>
            <w:shd w:val="clear" w:color="auto" w:fill="1D336D" w:themeFill="background2"/>
          </w:tcPr>
          <w:p w14:paraId="4130EC43" w14:textId="1C3ACD27" w:rsidR="00983D62" w:rsidRDefault="00983D62" w:rsidP="00983D62">
            <w:pPr>
              <w:pStyle w:val="TableParagraph"/>
              <w:spacing w:before="134"/>
              <w:ind w:left="122"/>
              <w:rPr>
                <w:i/>
                <w:color w:val="1D336C"/>
                <w:sz w:val="20"/>
              </w:rPr>
            </w:pPr>
            <w:r w:rsidRPr="00983D62">
              <w:rPr>
                <w:b/>
                <w:color w:val="FFFFFF" w:themeColor="background1"/>
                <w:spacing w:val="-2"/>
                <w:sz w:val="20"/>
              </w:rPr>
              <w:t>Gender</w:t>
            </w:r>
          </w:p>
        </w:tc>
      </w:tr>
      <w:tr w:rsidR="00983D62" w14:paraId="77F7E4F2" w14:textId="77777777" w:rsidTr="006E7363">
        <w:trPr>
          <w:trHeight w:val="700"/>
          <w:jc w:val="center"/>
        </w:trPr>
        <w:tc>
          <w:tcPr>
            <w:tcW w:w="2127" w:type="dxa"/>
            <w:shd w:val="clear" w:color="auto" w:fill="F1F1F1"/>
          </w:tcPr>
          <w:p w14:paraId="38C26351" w14:textId="6A458B8F" w:rsidR="00983D62" w:rsidRDefault="00983D62" w:rsidP="00983D62">
            <w:pPr>
              <w:pStyle w:val="TableParagraph"/>
              <w:spacing w:before="134"/>
              <w:rPr>
                <w:color w:val="1D336C"/>
                <w:sz w:val="20"/>
              </w:rPr>
            </w:pPr>
            <w:r>
              <w:rPr>
                <w:color w:val="1D336C"/>
                <w:sz w:val="20"/>
              </w:rPr>
              <w:t>Australian Institute of Marine</w:t>
            </w:r>
            <w:r>
              <w:rPr>
                <w:color w:val="1D336C"/>
                <w:spacing w:val="-14"/>
                <w:sz w:val="20"/>
              </w:rPr>
              <w:t xml:space="preserve"> </w:t>
            </w:r>
            <w:r>
              <w:rPr>
                <w:color w:val="1D336C"/>
                <w:sz w:val="20"/>
              </w:rPr>
              <w:t>Science</w:t>
            </w:r>
            <w:r>
              <w:rPr>
                <w:color w:val="1D336C"/>
                <w:spacing w:val="-14"/>
                <w:sz w:val="20"/>
              </w:rPr>
              <w:t xml:space="preserve"> </w:t>
            </w:r>
            <w:r>
              <w:rPr>
                <w:color w:val="1D336C"/>
                <w:sz w:val="20"/>
              </w:rPr>
              <w:t>(AIMS)</w:t>
            </w:r>
          </w:p>
        </w:tc>
        <w:tc>
          <w:tcPr>
            <w:tcW w:w="4252" w:type="dxa"/>
          </w:tcPr>
          <w:p w14:paraId="1468E9ED" w14:textId="0907D8C6" w:rsidR="00983D62" w:rsidRDefault="00983D62" w:rsidP="00983D62">
            <w:pPr>
              <w:pStyle w:val="TableParagraph"/>
              <w:spacing w:before="134" w:line="292" w:lineRule="auto"/>
              <w:ind w:left="83" w:right="17"/>
              <w:rPr>
                <w:i/>
                <w:color w:val="1D336C"/>
                <w:sz w:val="20"/>
              </w:rPr>
            </w:pPr>
            <w:proofErr w:type="spellStart"/>
            <w:r>
              <w:rPr>
                <w:i/>
                <w:color w:val="1D336C"/>
                <w:spacing w:val="-2"/>
                <w:sz w:val="20"/>
              </w:rPr>
              <w:t>ReefCloud</w:t>
            </w:r>
            <w:proofErr w:type="spellEnd"/>
          </w:p>
        </w:tc>
        <w:tc>
          <w:tcPr>
            <w:tcW w:w="2126" w:type="dxa"/>
          </w:tcPr>
          <w:p w14:paraId="17E2F83A" w14:textId="0D13E605" w:rsidR="00983D62" w:rsidRDefault="00983D62" w:rsidP="00983D62">
            <w:pPr>
              <w:pStyle w:val="TableParagraph"/>
              <w:spacing w:before="134"/>
              <w:ind w:left="191"/>
              <w:rPr>
                <w:i/>
                <w:color w:val="1D336C"/>
                <w:spacing w:val="-4"/>
                <w:sz w:val="20"/>
              </w:rPr>
            </w:pPr>
            <w:r>
              <w:rPr>
                <w:i/>
                <w:color w:val="1D336C"/>
                <w:spacing w:val="-2"/>
                <w:sz w:val="20"/>
              </w:rPr>
              <w:t>Pacific</w:t>
            </w:r>
          </w:p>
        </w:tc>
        <w:tc>
          <w:tcPr>
            <w:tcW w:w="1116" w:type="dxa"/>
          </w:tcPr>
          <w:p w14:paraId="7959755A" w14:textId="4F6C093C" w:rsidR="00983D62" w:rsidRDefault="00983D62" w:rsidP="00983D62">
            <w:pPr>
              <w:pStyle w:val="TableParagraph"/>
              <w:spacing w:before="134"/>
              <w:ind w:left="122"/>
              <w:rPr>
                <w:i/>
                <w:color w:val="1D336C"/>
                <w:sz w:val="20"/>
              </w:rPr>
            </w:pPr>
            <w:r>
              <w:rPr>
                <w:i/>
                <w:color w:val="1D336C"/>
                <w:spacing w:val="-10"/>
                <w:sz w:val="20"/>
              </w:rPr>
              <w:t>F</w:t>
            </w:r>
          </w:p>
        </w:tc>
      </w:tr>
      <w:tr w:rsidR="00983D62" w14:paraId="568A4BEC" w14:textId="77777777" w:rsidTr="006E7363">
        <w:trPr>
          <w:trHeight w:val="702"/>
          <w:jc w:val="center"/>
        </w:trPr>
        <w:tc>
          <w:tcPr>
            <w:tcW w:w="2127" w:type="dxa"/>
            <w:shd w:val="clear" w:color="auto" w:fill="F1F1F1"/>
          </w:tcPr>
          <w:p w14:paraId="7C16FD70" w14:textId="7EAB1E35" w:rsidR="00983D62" w:rsidRDefault="00983D62" w:rsidP="00983D62">
            <w:pPr>
              <w:pStyle w:val="TableParagraph"/>
              <w:spacing w:before="134"/>
              <w:rPr>
                <w:color w:val="1D336C"/>
                <w:sz w:val="20"/>
              </w:rPr>
            </w:pPr>
            <w:r>
              <w:rPr>
                <w:color w:val="1D336C"/>
                <w:sz w:val="20"/>
              </w:rPr>
              <w:t>Australian Institute of Marine</w:t>
            </w:r>
            <w:r>
              <w:rPr>
                <w:color w:val="1D336C"/>
                <w:spacing w:val="-14"/>
                <w:sz w:val="20"/>
              </w:rPr>
              <w:t xml:space="preserve"> </w:t>
            </w:r>
            <w:r>
              <w:rPr>
                <w:color w:val="1D336C"/>
                <w:sz w:val="20"/>
              </w:rPr>
              <w:t>Science</w:t>
            </w:r>
            <w:r>
              <w:rPr>
                <w:color w:val="1D336C"/>
                <w:spacing w:val="-14"/>
                <w:sz w:val="20"/>
              </w:rPr>
              <w:t xml:space="preserve"> </w:t>
            </w:r>
            <w:r>
              <w:rPr>
                <w:color w:val="1D336C"/>
                <w:sz w:val="20"/>
              </w:rPr>
              <w:t>(AIMS)</w:t>
            </w:r>
          </w:p>
        </w:tc>
        <w:tc>
          <w:tcPr>
            <w:tcW w:w="4252" w:type="dxa"/>
            <w:shd w:val="clear" w:color="auto" w:fill="F2F2F2" w:themeFill="background1" w:themeFillShade="F2"/>
          </w:tcPr>
          <w:p w14:paraId="1905B6B0" w14:textId="05B2C82D" w:rsidR="00983D62" w:rsidRDefault="00983D62" w:rsidP="00983D62">
            <w:pPr>
              <w:pStyle w:val="TableParagraph"/>
              <w:spacing w:before="134" w:line="292" w:lineRule="auto"/>
              <w:ind w:left="83" w:right="17"/>
              <w:rPr>
                <w:i/>
                <w:color w:val="1D336C"/>
                <w:sz w:val="20"/>
              </w:rPr>
            </w:pPr>
            <w:proofErr w:type="spellStart"/>
            <w:r>
              <w:rPr>
                <w:i/>
                <w:color w:val="1D336C"/>
                <w:spacing w:val="-2"/>
                <w:sz w:val="20"/>
              </w:rPr>
              <w:t>ReefCloud</w:t>
            </w:r>
            <w:proofErr w:type="spellEnd"/>
          </w:p>
        </w:tc>
        <w:tc>
          <w:tcPr>
            <w:tcW w:w="2126" w:type="dxa"/>
            <w:shd w:val="clear" w:color="auto" w:fill="F2F2F2" w:themeFill="background1" w:themeFillShade="F2"/>
          </w:tcPr>
          <w:p w14:paraId="0B3E414D" w14:textId="36B60FA2" w:rsidR="00983D62" w:rsidRDefault="00983D62" w:rsidP="00983D62">
            <w:pPr>
              <w:pStyle w:val="TableParagraph"/>
              <w:spacing w:before="134"/>
              <w:ind w:left="191"/>
              <w:rPr>
                <w:i/>
                <w:color w:val="1D336C"/>
                <w:spacing w:val="-4"/>
                <w:sz w:val="20"/>
              </w:rPr>
            </w:pPr>
            <w:r>
              <w:rPr>
                <w:i/>
                <w:color w:val="1D336C"/>
                <w:spacing w:val="-2"/>
                <w:sz w:val="20"/>
              </w:rPr>
              <w:t>Pacific</w:t>
            </w:r>
          </w:p>
        </w:tc>
        <w:tc>
          <w:tcPr>
            <w:tcW w:w="1116" w:type="dxa"/>
            <w:shd w:val="clear" w:color="auto" w:fill="F2F2F2" w:themeFill="background1" w:themeFillShade="F2"/>
          </w:tcPr>
          <w:p w14:paraId="6E5BE5C3" w14:textId="018296EB" w:rsidR="00983D62" w:rsidRDefault="00983D62" w:rsidP="00983D62">
            <w:pPr>
              <w:pStyle w:val="TableParagraph"/>
              <w:spacing w:before="134"/>
              <w:ind w:left="122"/>
              <w:rPr>
                <w:i/>
                <w:color w:val="1D336C"/>
                <w:sz w:val="20"/>
              </w:rPr>
            </w:pPr>
            <w:r>
              <w:rPr>
                <w:i/>
                <w:color w:val="1D336C"/>
                <w:spacing w:val="-10"/>
                <w:sz w:val="20"/>
              </w:rPr>
              <w:t>M</w:t>
            </w:r>
          </w:p>
        </w:tc>
      </w:tr>
      <w:tr w:rsidR="00983D62" w14:paraId="3D4C6180" w14:textId="77777777" w:rsidTr="006E7363">
        <w:trPr>
          <w:trHeight w:val="713"/>
          <w:jc w:val="center"/>
        </w:trPr>
        <w:tc>
          <w:tcPr>
            <w:tcW w:w="2127" w:type="dxa"/>
            <w:shd w:val="clear" w:color="auto" w:fill="F1F1F1"/>
          </w:tcPr>
          <w:p w14:paraId="6E8EBC6C" w14:textId="09E4596A" w:rsidR="00983D62" w:rsidRDefault="00983D62" w:rsidP="00983D62">
            <w:pPr>
              <w:pStyle w:val="TableParagraph"/>
              <w:spacing w:before="134"/>
              <w:rPr>
                <w:color w:val="1D336C"/>
                <w:sz w:val="20"/>
              </w:rPr>
            </w:pPr>
            <w:r>
              <w:rPr>
                <w:color w:val="1D336C"/>
                <w:sz w:val="20"/>
              </w:rPr>
              <w:lastRenderedPageBreak/>
              <w:t>Australian Institute of Marine</w:t>
            </w:r>
            <w:r>
              <w:rPr>
                <w:color w:val="1D336C"/>
                <w:spacing w:val="-14"/>
                <w:sz w:val="20"/>
              </w:rPr>
              <w:t xml:space="preserve"> </w:t>
            </w:r>
            <w:r>
              <w:rPr>
                <w:color w:val="1D336C"/>
                <w:sz w:val="20"/>
              </w:rPr>
              <w:t>Science</w:t>
            </w:r>
            <w:r>
              <w:rPr>
                <w:color w:val="1D336C"/>
                <w:spacing w:val="-14"/>
                <w:sz w:val="20"/>
              </w:rPr>
              <w:t xml:space="preserve"> </w:t>
            </w:r>
            <w:r>
              <w:rPr>
                <w:color w:val="1D336C"/>
                <w:sz w:val="20"/>
              </w:rPr>
              <w:t>(AIMS)</w:t>
            </w:r>
          </w:p>
        </w:tc>
        <w:tc>
          <w:tcPr>
            <w:tcW w:w="4252" w:type="dxa"/>
          </w:tcPr>
          <w:p w14:paraId="74DF5EF6" w14:textId="1846F926" w:rsidR="00983D62" w:rsidRDefault="00983D62" w:rsidP="00983D62">
            <w:pPr>
              <w:pStyle w:val="TableParagraph"/>
              <w:spacing w:before="134" w:line="292" w:lineRule="auto"/>
              <w:ind w:left="83" w:right="17"/>
              <w:rPr>
                <w:i/>
                <w:color w:val="1D336C"/>
                <w:sz w:val="20"/>
              </w:rPr>
            </w:pPr>
            <w:proofErr w:type="spellStart"/>
            <w:r>
              <w:rPr>
                <w:i/>
                <w:color w:val="1D336C"/>
                <w:spacing w:val="-2"/>
                <w:sz w:val="20"/>
              </w:rPr>
              <w:t>ReefCloud</w:t>
            </w:r>
            <w:proofErr w:type="spellEnd"/>
          </w:p>
        </w:tc>
        <w:tc>
          <w:tcPr>
            <w:tcW w:w="2126" w:type="dxa"/>
          </w:tcPr>
          <w:p w14:paraId="384AFA94" w14:textId="75D0EA46" w:rsidR="00983D62" w:rsidRDefault="00983D62" w:rsidP="00983D62">
            <w:pPr>
              <w:pStyle w:val="TableParagraph"/>
              <w:spacing w:before="134"/>
              <w:ind w:left="191"/>
              <w:rPr>
                <w:i/>
                <w:color w:val="1D336C"/>
                <w:spacing w:val="-4"/>
                <w:sz w:val="20"/>
              </w:rPr>
            </w:pPr>
            <w:r>
              <w:rPr>
                <w:i/>
                <w:color w:val="1D336C"/>
                <w:spacing w:val="-2"/>
                <w:sz w:val="20"/>
              </w:rPr>
              <w:t>Pacific</w:t>
            </w:r>
          </w:p>
        </w:tc>
        <w:tc>
          <w:tcPr>
            <w:tcW w:w="1116" w:type="dxa"/>
          </w:tcPr>
          <w:p w14:paraId="2F7BD94E" w14:textId="6AB88237" w:rsidR="00983D62" w:rsidRDefault="00983D62" w:rsidP="00983D62">
            <w:pPr>
              <w:pStyle w:val="TableParagraph"/>
              <w:spacing w:before="134"/>
              <w:ind w:left="122"/>
              <w:rPr>
                <w:i/>
                <w:color w:val="1D336C"/>
                <w:sz w:val="20"/>
              </w:rPr>
            </w:pPr>
            <w:r>
              <w:rPr>
                <w:i/>
                <w:color w:val="1D336C"/>
                <w:spacing w:val="-10"/>
                <w:sz w:val="20"/>
              </w:rPr>
              <w:t>F</w:t>
            </w:r>
          </w:p>
        </w:tc>
      </w:tr>
    </w:tbl>
    <w:p w14:paraId="4108829D" w14:textId="0BC90ECA" w:rsidR="00983D62" w:rsidRPr="00983D62" w:rsidRDefault="00983D62" w:rsidP="00983D62">
      <w:pPr>
        <w:pStyle w:val="Heading2"/>
        <w:rPr>
          <w:color w:val="1D336D" w:themeColor="background2"/>
          <w:sz w:val="24"/>
          <w:szCs w:val="24"/>
        </w:rPr>
      </w:pPr>
      <w:bookmarkStart w:id="81" w:name="_Toc164783096"/>
      <w:r>
        <w:rPr>
          <w:caps w:val="0"/>
          <w:color w:val="1D336D" w:themeColor="background2"/>
          <w:sz w:val="24"/>
          <w:szCs w:val="24"/>
        </w:rPr>
        <w:t>Climate Resilient by Nature (</w:t>
      </w:r>
      <w:proofErr w:type="spellStart"/>
      <w:r>
        <w:rPr>
          <w:caps w:val="0"/>
          <w:color w:val="1D336D" w:themeColor="background2"/>
          <w:sz w:val="24"/>
          <w:szCs w:val="24"/>
        </w:rPr>
        <w:t>CRxN</w:t>
      </w:r>
      <w:proofErr w:type="spellEnd"/>
      <w:r>
        <w:rPr>
          <w:caps w:val="0"/>
          <w:color w:val="1D336D" w:themeColor="background2"/>
          <w:sz w:val="24"/>
          <w:szCs w:val="24"/>
        </w:rPr>
        <w:t>)</w:t>
      </w:r>
      <w:bookmarkEnd w:id="81"/>
    </w:p>
    <w:tbl>
      <w:tblPr>
        <w:tblW w:w="0" w:type="auto"/>
        <w:jc w:val="center"/>
        <w:tblBorders>
          <w:bottom w:val="single" w:sz="4" w:space="0" w:color="1D336D"/>
          <w:insideH w:val="single" w:sz="4" w:space="0" w:color="1D336D"/>
        </w:tblBorders>
        <w:tblLayout w:type="fixed"/>
        <w:tblCellMar>
          <w:left w:w="0" w:type="dxa"/>
          <w:right w:w="0" w:type="dxa"/>
        </w:tblCellMar>
        <w:tblLook w:val="01E0" w:firstRow="1" w:lastRow="1" w:firstColumn="1" w:lastColumn="1" w:noHBand="0" w:noVBand="0"/>
      </w:tblPr>
      <w:tblGrid>
        <w:gridCol w:w="2127"/>
        <w:gridCol w:w="4252"/>
        <w:gridCol w:w="2126"/>
        <w:gridCol w:w="1116"/>
      </w:tblGrid>
      <w:tr w:rsidR="00983D62" w:rsidRPr="00983D62" w14:paraId="5A843C60" w14:textId="77777777" w:rsidTr="00983D62">
        <w:trPr>
          <w:trHeight w:val="421"/>
          <w:tblHeader/>
          <w:jc w:val="center"/>
        </w:trPr>
        <w:tc>
          <w:tcPr>
            <w:tcW w:w="2127" w:type="dxa"/>
            <w:shd w:val="clear" w:color="auto" w:fill="1D336D" w:themeFill="background2"/>
          </w:tcPr>
          <w:p w14:paraId="6B81286D" w14:textId="2CAEAE8E" w:rsidR="00983D62" w:rsidRPr="00983D62" w:rsidRDefault="00983D62" w:rsidP="00983D62">
            <w:pPr>
              <w:pStyle w:val="TableParagraph"/>
              <w:spacing w:before="134"/>
              <w:rPr>
                <w:color w:val="FFFFFF" w:themeColor="background1"/>
                <w:sz w:val="20"/>
              </w:rPr>
            </w:pPr>
            <w:proofErr w:type="spellStart"/>
            <w:r w:rsidRPr="00983D62">
              <w:rPr>
                <w:b/>
                <w:color w:val="FFFFFF" w:themeColor="background1"/>
                <w:spacing w:val="-2"/>
                <w:sz w:val="20"/>
              </w:rPr>
              <w:t>Organisation</w:t>
            </w:r>
            <w:proofErr w:type="spellEnd"/>
          </w:p>
        </w:tc>
        <w:tc>
          <w:tcPr>
            <w:tcW w:w="4252" w:type="dxa"/>
            <w:shd w:val="clear" w:color="auto" w:fill="1D336D" w:themeFill="background2"/>
          </w:tcPr>
          <w:p w14:paraId="54F8CFB6" w14:textId="61B2E88C" w:rsidR="00983D62" w:rsidRPr="00983D62" w:rsidRDefault="00983D62" w:rsidP="00983D62">
            <w:pPr>
              <w:pStyle w:val="TableParagraph"/>
              <w:spacing w:before="134" w:line="292" w:lineRule="auto"/>
              <w:ind w:left="83" w:right="17"/>
              <w:rPr>
                <w:i/>
                <w:color w:val="FFFFFF" w:themeColor="background1"/>
                <w:spacing w:val="-2"/>
                <w:sz w:val="20"/>
              </w:rPr>
            </w:pPr>
            <w:r w:rsidRPr="00983D62">
              <w:rPr>
                <w:b/>
                <w:color w:val="FFFFFF" w:themeColor="background1"/>
                <w:spacing w:val="-2"/>
                <w:sz w:val="20"/>
              </w:rPr>
              <w:t>Project</w:t>
            </w:r>
          </w:p>
        </w:tc>
        <w:tc>
          <w:tcPr>
            <w:tcW w:w="2126" w:type="dxa"/>
            <w:shd w:val="clear" w:color="auto" w:fill="1D336D" w:themeFill="background2"/>
          </w:tcPr>
          <w:p w14:paraId="68456B88" w14:textId="632D5CB5" w:rsidR="00983D62" w:rsidRPr="00983D62" w:rsidRDefault="00983D62" w:rsidP="00983D62">
            <w:pPr>
              <w:pStyle w:val="TableParagraph"/>
              <w:spacing w:before="134"/>
              <w:ind w:left="191"/>
              <w:rPr>
                <w:i/>
                <w:color w:val="FFFFFF" w:themeColor="background1"/>
                <w:spacing w:val="-2"/>
                <w:sz w:val="20"/>
              </w:rPr>
            </w:pPr>
            <w:r w:rsidRPr="00983D62">
              <w:rPr>
                <w:b/>
                <w:color w:val="FFFFFF" w:themeColor="background1"/>
                <w:sz w:val="20"/>
              </w:rPr>
              <w:t>Country/Region</w:t>
            </w:r>
            <w:r w:rsidRPr="00983D62">
              <w:rPr>
                <w:b/>
                <w:color w:val="FFFFFF" w:themeColor="background1"/>
                <w:spacing w:val="-14"/>
                <w:sz w:val="20"/>
              </w:rPr>
              <w:t xml:space="preserve"> </w:t>
            </w:r>
            <w:r w:rsidRPr="00983D62">
              <w:rPr>
                <w:b/>
                <w:color w:val="FFFFFF" w:themeColor="background1"/>
                <w:sz w:val="20"/>
              </w:rPr>
              <w:t xml:space="preserve">of </w:t>
            </w:r>
            <w:r w:rsidRPr="00983D62">
              <w:rPr>
                <w:b/>
                <w:color w:val="FFFFFF" w:themeColor="background1"/>
                <w:spacing w:val="-2"/>
                <w:sz w:val="20"/>
              </w:rPr>
              <w:t>implementation</w:t>
            </w:r>
          </w:p>
        </w:tc>
        <w:tc>
          <w:tcPr>
            <w:tcW w:w="1116" w:type="dxa"/>
            <w:shd w:val="clear" w:color="auto" w:fill="1D336D" w:themeFill="background2"/>
          </w:tcPr>
          <w:p w14:paraId="4A3B2842" w14:textId="6BC8949B" w:rsidR="00983D62" w:rsidRPr="00983D62" w:rsidRDefault="00983D62" w:rsidP="00983D62">
            <w:pPr>
              <w:pStyle w:val="TableParagraph"/>
              <w:spacing w:before="134"/>
              <w:ind w:left="122"/>
              <w:rPr>
                <w:i/>
                <w:color w:val="FFFFFF" w:themeColor="background1"/>
                <w:spacing w:val="-2"/>
                <w:sz w:val="20"/>
              </w:rPr>
            </w:pPr>
            <w:r w:rsidRPr="00983D62">
              <w:rPr>
                <w:b/>
                <w:color w:val="FFFFFF" w:themeColor="background1"/>
                <w:spacing w:val="-2"/>
                <w:sz w:val="20"/>
              </w:rPr>
              <w:t>Gender</w:t>
            </w:r>
          </w:p>
        </w:tc>
      </w:tr>
      <w:tr w:rsidR="00983D62" w14:paraId="2FD4E506" w14:textId="77777777" w:rsidTr="006E7363">
        <w:trPr>
          <w:trHeight w:val="413"/>
          <w:jc w:val="center"/>
        </w:trPr>
        <w:tc>
          <w:tcPr>
            <w:tcW w:w="2127" w:type="dxa"/>
            <w:shd w:val="clear" w:color="auto" w:fill="F1F1F1"/>
          </w:tcPr>
          <w:p w14:paraId="1E0D04E5" w14:textId="53D36CBD" w:rsidR="00983D62" w:rsidRDefault="00983D62" w:rsidP="00983D62">
            <w:pPr>
              <w:pStyle w:val="TableParagraph"/>
              <w:spacing w:before="134"/>
              <w:rPr>
                <w:color w:val="1D336C"/>
                <w:sz w:val="20"/>
              </w:rPr>
            </w:pPr>
            <w:r w:rsidRPr="00C36379">
              <w:rPr>
                <w:color w:val="1D336C"/>
                <w:sz w:val="20"/>
              </w:rPr>
              <w:t>DFAT post-Thailand</w:t>
            </w:r>
          </w:p>
        </w:tc>
        <w:tc>
          <w:tcPr>
            <w:tcW w:w="4252" w:type="dxa"/>
          </w:tcPr>
          <w:p w14:paraId="74818CBF" w14:textId="70FF681F" w:rsidR="00983D62" w:rsidRPr="00C36379" w:rsidRDefault="00983D62" w:rsidP="00983D62">
            <w:pPr>
              <w:pStyle w:val="TableParagraph"/>
              <w:spacing w:before="134" w:line="292" w:lineRule="auto"/>
              <w:ind w:left="83" w:right="17"/>
              <w:rPr>
                <w:i/>
                <w:color w:val="1D336C"/>
                <w:spacing w:val="-2"/>
                <w:sz w:val="20"/>
              </w:rPr>
            </w:pPr>
            <w:proofErr w:type="spellStart"/>
            <w:r w:rsidRPr="00C36379">
              <w:rPr>
                <w:i/>
                <w:color w:val="1D336C"/>
                <w:spacing w:val="-2"/>
                <w:sz w:val="20"/>
              </w:rPr>
              <w:t>CRxN</w:t>
            </w:r>
            <w:proofErr w:type="spellEnd"/>
            <w:r w:rsidRPr="00C36379">
              <w:rPr>
                <w:i/>
                <w:color w:val="1D336C"/>
                <w:spacing w:val="-2"/>
                <w:sz w:val="20"/>
              </w:rPr>
              <w:t xml:space="preserve"> Mekong Expansion</w:t>
            </w:r>
          </w:p>
        </w:tc>
        <w:tc>
          <w:tcPr>
            <w:tcW w:w="2126" w:type="dxa"/>
          </w:tcPr>
          <w:p w14:paraId="29016723" w14:textId="114A68D2" w:rsidR="00983D62" w:rsidRPr="00C36379" w:rsidRDefault="00983D62" w:rsidP="00983D62">
            <w:pPr>
              <w:pStyle w:val="TableParagraph"/>
              <w:spacing w:before="134"/>
              <w:ind w:left="191"/>
              <w:rPr>
                <w:i/>
                <w:color w:val="1D336C"/>
                <w:spacing w:val="-2"/>
                <w:sz w:val="20"/>
              </w:rPr>
            </w:pPr>
            <w:r w:rsidRPr="00C36379">
              <w:rPr>
                <w:i/>
                <w:color w:val="1D336C"/>
                <w:spacing w:val="-2"/>
                <w:sz w:val="20"/>
              </w:rPr>
              <w:t>Mekong</w:t>
            </w:r>
          </w:p>
        </w:tc>
        <w:tc>
          <w:tcPr>
            <w:tcW w:w="1116" w:type="dxa"/>
          </w:tcPr>
          <w:p w14:paraId="35DE64FC" w14:textId="6EA407FE" w:rsidR="00983D62" w:rsidRPr="00C36379" w:rsidRDefault="00983D62" w:rsidP="00983D62">
            <w:pPr>
              <w:pStyle w:val="TableParagraph"/>
              <w:spacing w:before="134"/>
              <w:ind w:left="122"/>
              <w:rPr>
                <w:i/>
                <w:color w:val="1D336C"/>
                <w:spacing w:val="-2"/>
                <w:sz w:val="20"/>
              </w:rPr>
            </w:pPr>
            <w:r w:rsidRPr="00C36379">
              <w:rPr>
                <w:i/>
                <w:color w:val="1D336C"/>
                <w:spacing w:val="-2"/>
                <w:sz w:val="20"/>
              </w:rPr>
              <w:t>F</w:t>
            </w:r>
          </w:p>
        </w:tc>
      </w:tr>
      <w:tr w:rsidR="00983D62" w14:paraId="2C6CB1BA" w14:textId="77777777" w:rsidTr="006E7363">
        <w:trPr>
          <w:trHeight w:val="432"/>
          <w:jc w:val="center"/>
        </w:trPr>
        <w:tc>
          <w:tcPr>
            <w:tcW w:w="2127" w:type="dxa"/>
            <w:shd w:val="clear" w:color="auto" w:fill="F1F1F1"/>
          </w:tcPr>
          <w:p w14:paraId="7714BF56" w14:textId="25D394F5" w:rsidR="00983D62" w:rsidRDefault="00983D62" w:rsidP="00983D62">
            <w:pPr>
              <w:pStyle w:val="TableParagraph"/>
              <w:spacing w:before="134"/>
              <w:rPr>
                <w:color w:val="1D336C"/>
                <w:sz w:val="20"/>
              </w:rPr>
            </w:pPr>
            <w:r w:rsidRPr="00C36379">
              <w:rPr>
                <w:color w:val="1D336C"/>
                <w:sz w:val="20"/>
              </w:rPr>
              <w:t>DFAT post-Laos</w:t>
            </w:r>
          </w:p>
        </w:tc>
        <w:tc>
          <w:tcPr>
            <w:tcW w:w="4252" w:type="dxa"/>
            <w:shd w:val="clear" w:color="auto" w:fill="F2F2F2" w:themeFill="background1" w:themeFillShade="F2"/>
          </w:tcPr>
          <w:p w14:paraId="71FD36EE" w14:textId="4106543E" w:rsidR="00983D62" w:rsidRPr="00C36379" w:rsidRDefault="00983D62" w:rsidP="00983D62">
            <w:pPr>
              <w:pStyle w:val="TableParagraph"/>
              <w:spacing w:before="134" w:line="292" w:lineRule="auto"/>
              <w:ind w:left="83" w:right="17"/>
              <w:rPr>
                <w:i/>
                <w:color w:val="1D336C"/>
                <w:spacing w:val="-2"/>
                <w:sz w:val="20"/>
              </w:rPr>
            </w:pPr>
            <w:proofErr w:type="spellStart"/>
            <w:r w:rsidRPr="00C36379">
              <w:rPr>
                <w:i/>
                <w:color w:val="1D336C"/>
                <w:spacing w:val="-2"/>
                <w:sz w:val="20"/>
              </w:rPr>
              <w:t>CRxN</w:t>
            </w:r>
            <w:proofErr w:type="spellEnd"/>
            <w:r w:rsidRPr="00C36379">
              <w:rPr>
                <w:i/>
                <w:color w:val="1D336C"/>
                <w:spacing w:val="-2"/>
                <w:sz w:val="20"/>
              </w:rPr>
              <w:t xml:space="preserve"> Mekong Expansion (Laos)</w:t>
            </w:r>
          </w:p>
        </w:tc>
        <w:tc>
          <w:tcPr>
            <w:tcW w:w="2126" w:type="dxa"/>
            <w:shd w:val="clear" w:color="auto" w:fill="F2F2F2" w:themeFill="background1" w:themeFillShade="F2"/>
          </w:tcPr>
          <w:p w14:paraId="1A314FDC" w14:textId="2ADAB52D" w:rsidR="00983D62" w:rsidRPr="00C36379" w:rsidRDefault="00983D62" w:rsidP="00983D62">
            <w:pPr>
              <w:pStyle w:val="TableParagraph"/>
              <w:spacing w:before="134"/>
              <w:ind w:left="191"/>
              <w:rPr>
                <w:i/>
                <w:color w:val="1D336C"/>
                <w:spacing w:val="-2"/>
                <w:sz w:val="20"/>
              </w:rPr>
            </w:pPr>
            <w:r w:rsidRPr="00C36379">
              <w:rPr>
                <w:i/>
                <w:color w:val="1D336C"/>
                <w:spacing w:val="-2"/>
                <w:sz w:val="20"/>
              </w:rPr>
              <w:t>Laos</w:t>
            </w:r>
          </w:p>
        </w:tc>
        <w:tc>
          <w:tcPr>
            <w:tcW w:w="1116" w:type="dxa"/>
            <w:shd w:val="clear" w:color="auto" w:fill="F2F2F2" w:themeFill="background1" w:themeFillShade="F2"/>
          </w:tcPr>
          <w:p w14:paraId="70D16716" w14:textId="23655358" w:rsidR="00983D62" w:rsidRPr="00C36379" w:rsidRDefault="00983D62" w:rsidP="00983D62">
            <w:pPr>
              <w:pStyle w:val="TableParagraph"/>
              <w:spacing w:before="134"/>
              <w:ind w:left="122"/>
              <w:rPr>
                <w:i/>
                <w:color w:val="1D336C"/>
                <w:spacing w:val="-2"/>
                <w:sz w:val="20"/>
              </w:rPr>
            </w:pPr>
            <w:r w:rsidRPr="00C36379">
              <w:rPr>
                <w:i/>
                <w:color w:val="1D336C"/>
                <w:spacing w:val="-2"/>
                <w:sz w:val="20"/>
              </w:rPr>
              <w:t>F</w:t>
            </w:r>
          </w:p>
        </w:tc>
      </w:tr>
      <w:tr w:rsidR="00983D62" w14:paraId="729EE0DC" w14:textId="77777777" w:rsidTr="006E7363">
        <w:trPr>
          <w:trHeight w:val="552"/>
          <w:jc w:val="center"/>
        </w:trPr>
        <w:tc>
          <w:tcPr>
            <w:tcW w:w="2127" w:type="dxa"/>
            <w:shd w:val="clear" w:color="auto" w:fill="F1F1F1"/>
          </w:tcPr>
          <w:p w14:paraId="60EAF46D" w14:textId="013B2233" w:rsidR="00983D62" w:rsidRDefault="00983D62" w:rsidP="00983D62">
            <w:pPr>
              <w:pStyle w:val="TableParagraph"/>
              <w:spacing w:before="134"/>
              <w:rPr>
                <w:color w:val="1D336C"/>
                <w:sz w:val="20"/>
              </w:rPr>
            </w:pPr>
            <w:r w:rsidRPr="00C36379">
              <w:rPr>
                <w:color w:val="1D336C"/>
                <w:sz w:val="20"/>
              </w:rPr>
              <w:t>Live &amp; Learn Pacific Network</w:t>
            </w:r>
          </w:p>
        </w:tc>
        <w:tc>
          <w:tcPr>
            <w:tcW w:w="4252" w:type="dxa"/>
          </w:tcPr>
          <w:p w14:paraId="30AFDADB" w14:textId="549BC017"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Nature-based Solutions for Forests and People</w:t>
            </w:r>
          </w:p>
        </w:tc>
        <w:tc>
          <w:tcPr>
            <w:tcW w:w="2126" w:type="dxa"/>
          </w:tcPr>
          <w:p w14:paraId="656BD48E" w14:textId="762509B8" w:rsidR="00983D62" w:rsidRPr="00C36379" w:rsidRDefault="00983D62" w:rsidP="00983D62">
            <w:pPr>
              <w:pStyle w:val="TableParagraph"/>
              <w:spacing w:before="134"/>
              <w:ind w:left="191"/>
              <w:rPr>
                <w:i/>
                <w:color w:val="1D336C"/>
                <w:spacing w:val="-2"/>
                <w:sz w:val="20"/>
              </w:rPr>
            </w:pPr>
            <w:r w:rsidRPr="00C36379">
              <w:rPr>
                <w:i/>
                <w:color w:val="1D336C"/>
                <w:spacing w:val="-2"/>
                <w:sz w:val="20"/>
              </w:rPr>
              <w:t>PNG, Vanuatu, Fiji</w:t>
            </w:r>
          </w:p>
        </w:tc>
        <w:tc>
          <w:tcPr>
            <w:tcW w:w="1116" w:type="dxa"/>
          </w:tcPr>
          <w:p w14:paraId="74C632FC" w14:textId="05F2DB92" w:rsidR="00983D62" w:rsidRPr="00C36379" w:rsidRDefault="00983D62" w:rsidP="00983D62">
            <w:pPr>
              <w:pStyle w:val="TableParagraph"/>
              <w:spacing w:before="134"/>
              <w:ind w:left="122"/>
              <w:rPr>
                <w:i/>
                <w:color w:val="1D336C"/>
                <w:spacing w:val="-2"/>
                <w:sz w:val="20"/>
              </w:rPr>
            </w:pPr>
            <w:r w:rsidRPr="00C36379">
              <w:rPr>
                <w:i/>
                <w:color w:val="1D336C"/>
                <w:spacing w:val="-2"/>
                <w:sz w:val="20"/>
              </w:rPr>
              <w:t>M</w:t>
            </w:r>
          </w:p>
        </w:tc>
      </w:tr>
      <w:tr w:rsidR="00983D62" w14:paraId="6ECF436B" w14:textId="77777777" w:rsidTr="006E7363">
        <w:trPr>
          <w:trHeight w:val="376"/>
          <w:jc w:val="center"/>
        </w:trPr>
        <w:tc>
          <w:tcPr>
            <w:tcW w:w="2127" w:type="dxa"/>
            <w:shd w:val="clear" w:color="auto" w:fill="F1F1F1"/>
          </w:tcPr>
          <w:p w14:paraId="542546BD" w14:textId="664DDE14" w:rsidR="00983D62" w:rsidRDefault="00983D62" w:rsidP="00983D62">
            <w:pPr>
              <w:pStyle w:val="TableParagraph"/>
              <w:spacing w:before="134"/>
              <w:rPr>
                <w:color w:val="1D336C"/>
                <w:sz w:val="20"/>
              </w:rPr>
            </w:pPr>
            <w:r w:rsidRPr="00C36379">
              <w:rPr>
                <w:color w:val="1D336C"/>
                <w:sz w:val="20"/>
              </w:rPr>
              <w:t>WWF</w:t>
            </w:r>
            <w:r>
              <w:rPr>
                <w:color w:val="1D336C"/>
                <w:sz w:val="20"/>
              </w:rPr>
              <w:t>-</w:t>
            </w:r>
            <w:r w:rsidRPr="00C36379">
              <w:rPr>
                <w:color w:val="1D336C"/>
                <w:sz w:val="20"/>
              </w:rPr>
              <w:t>Australia</w:t>
            </w:r>
          </w:p>
        </w:tc>
        <w:tc>
          <w:tcPr>
            <w:tcW w:w="4252" w:type="dxa"/>
            <w:shd w:val="clear" w:color="auto" w:fill="F2F2F2" w:themeFill="background1" w:themeFillShade="F2"/>
          </w:tcPr>
          <w:p w14:paraId="3517B360" w14:textId="76E83AE5"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Program level</w:t>
            </w:r>
          </w:p>
        </w:tc>
        <w:tc>
          <w:tcPr>
            <w:tcW w:w="2126" w:type="dxa"/>
            <w:shd w:val="clear" w:color="auto" w:fill="F2F2F2" w:themeFill="background1" w:themeFillShade="F2"/>
          </w:tcPr>
          <w:p w14:paraId="6949473C" w14:textId="46286125" w:rsidR="00983D62" w:rsidRPr="00C36379" w:rsidRDefault="00983D62" w:rsidP="00983D62">
            <w:pPr>
              <w:pStyle w:val="TableParagraph"/>
              <w:spacing w:before="134"/>
              <w:ind w:left="191"/>
              <w:rPr>
                <w:i/>
                <w:color w:val="1D336C"/>
                <w:spacing w:val="-2"/>
                <w:sz w:val="20"/>
              </w:rPr>
            </w:pPr>
            <w:r w:rsidRPr="00C36379">
              <w:rPr>
                <w:i/>
                <w:color w:val="1D336C"/>
                <w:spacing w:val="-2"/>
                <w:sz w:val="20"/>
              </w:rPr>
              <w:t>Indo-Pacific</w:t>
            </w:r>
          </w:p>
        </w:tc>
        <w:tc>
          <w:tcPr>
            <w:tcW w:w="1116" w:type="dxa"/>
            <w:shd w:val="clear" w:color="auto" w:fill="F2F2F2" w:themeFill="background1" w:themeFillShade="F2"/>
          </w:tcPr>
          <w:p w14:paraId="3B3EAF13" w14:textId="1623AF52" w:rsidR="00983D62" w:rsidRPr="00C36379" w:rsidRDefault="00983D62" w:rsidP="00983D62">
            <w:pPr>
              <w:pStyle w:val="TableParagraph"/>
              <w:spacing w:before="134"/>
              <w:ind w:left="122"/>
              <w:rPr>
                <w:i/>
                <w:color w:val="1D336C"/>
                <w:spacing w:val="-2"/>
                <w:sz w:val="20"/>
              </w:rPr>
            </w:pPr>
            <w:r w:rsidRPr="00C36379">
              <w:rPr>
                <w:i/>
                <w:color w:val="1D336C"/>
                <w:spacing w:val="-2"/>
                <w:sz w:val="20"/>
              </w:rPr>
              <w:t>M</w:t>
            </w:r>
          </w:p>
        </w:tc>
      </w:tr>
      <w:tr w:rsidR="00983D62" w14:paraId="0E854416" w14:textId="77777777" w:rsidTr="006E7363">
        <w:trPr>
          <w:trHeight w:val="368"/>
          <w:jc w:val="center"/>
        </w:trPr>
        <w:tc>
          <w:tcPr>
            <w:tcW w:w="2127" w:type="dxa"/>
            <w:shd w:val="clear" w:color="auto" w:fill="F1F1F1"/>
          </w:tcPr>
          <w:p w14:paraId="205A3FB5" w14:textId="5283EE0D" w:rsidR="00983D62" w:rsidRDefault="00983D62" w:rsidP="00983D62">
            <w:pPr>
              <w:pStyle w:val="TableParagraph"/>
              <w:spacing w:before="134"/>
              <w:rPr>
                <w:color w:val="1D336C"/>
                <w:sz w:val="20"/>
              </w:rPr>
            </w:pPr>
            <w:r w:rsidRPr="00C36379">
              <w:rPr>
                <w:color w:val="1D336C"/>
                <w:sz w:val="20"/>
              </w:rPr>
              <w:t>WWF</w:t>
            </w:r>
            <w:r>
              <w:rPr>
                <w:color w:val="1D336C"/>
                <w:sz w:val="20"/>
              </w:rPr>
              <w:t>-</w:t>
            </w:r>
            <w:r w:rsidRPr="00C36379">
              <w:rPr>
                <w:color w:val="1D336C"/>
                <w:sz w:val="20"/>
              </w:rPr>
              <w:t>Australia</w:t>
            </w:r>
          </w:p>
        </w:tc>
        <w:tc>
          <w:tcPr>
            <w:tcW w:w="4252" w:type="dxa"/>
          </w:tcPr>
          <w:p w14:paraId="414AC285" w14:textId="76321861"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Program level</w:t>
            </w:r>
          </w:p>
        </w:tc>
        <w:tc>
          <w:tcPr>
            <w:tcW w:w="2126" w:type="dxa"/>
          </w:tcPr>
          <w:p w14:paraId="6C1531E5" w14:textId="7ADE2A5C" w:rsidR="00983D62" w:rsidRPr="00C36379" w:rsidRDefault="00983D62" w:rsidP="00983D62">
            <w:pPr>
              <w:pStyle w:val="TableParagraph"/>
              <w:spacing w:before="134"/>
              <w:ind w:left="191"/>
              <w:rPr>
                <w:i/>
                <w:color w:val="1D336C"/>
                <w:spacing w:val="-2"/>
                <w:sz w:val="20"/>
              </w:rPr>
            </w:pPr>
            <w:r w:rsidRPr="00C36379">
              <w:rPr>
                <w:i/>
                <w:color w:val="1D336C"/>
                <w:spacing w:val="-2"/>
                <w:sz w:val="20"/>
              </w:rPr>
              <w:t>Indo-Pacific</w:t>
            </w:r>
          </w:p>
        </w:tc>
        <w:tc>
          <w:tcPr>
            <w:tcW w:w="1116" w:type="dxa"/>
          </w:tcPr>
          <w:p w14:paraId="04280645" w14:textId="380C05A1" w:rsidR="00983D62" w:rsidRPr="00C36379" w:rsidRDefault="00983D62" w:rsidP="00983D62">
            <w:pPr>
              <w:pStyle w:val="TableParagraph"/>
              <w:spacing w:before="134"/>
              <w:ind w:left="122"/>
              <w:rPr>
                <w:i/>
                <w:color w:val="1D336C"/>
                <w:spacing w:val="-2"/>
                <w:sz w:val="20"/>
              </w:rPr>
            </w:pPr>
            <w:r w:rsidRPr="00C36379">
              <w:rPr>
                <w:i/>
                <w:color w:val="1D336C"/>
                <w:spacing w:val="-2"/>
                <w:sz w:val="20"/>
              </w:rPr>
              <w:t>F</w:t>
            </w:r>
          </w:p>
        </w:tc>
      </w:tr>
      <w:tr w:rsidR="00983D62" w14:paraId="6B35A147" w14:textId="77777777" w:rsidTr="006E7363">
        <w:trPr>
          <w:trHeight w:val="388"/>
          <w:jc w:val="center"/>
        </w:trPr>
        <w:tc>
          <w:tcPr>
            <w:tcW w:w="2127" w:type="dxa"/>
            <w:shd w:val="clear" w:color="auto" w:fill="F1F1F1"/>
          </w:tcPr>
          <w:p w14:paraId="2991AA41" w14:textId="73E5A909" w:rsidR="00983D62" w:rsidRDefault="00983D62" w:rsidP="00983D62">
            <w:pPr>
              <w:pStyle w:val="TableParagraph"/>
              <w:spacing w:before="134"/>
              <w:rPr>
                <w:color w:val="1D336C"/>
                <w:sz w:val="20"/>
              </w:rPr>
            </w:pPr>
            <w:r w:rsidRPr="00C36379">
              <w:rPr>
                <w:color w:val="1D336C"/>
                <w:sz w:val="20"/>
              </w:rPr>
              <w:t>WWF</w:t>
            </w:r>
            <w:r>
              <w:rPr>
                <w:color w:val="1D336C"/>
                <w:sz w:val="20"/>
              </w:rPr>
              <w:t>-</w:t>
            </w:r>
            <w:r w:rsidRPr="00C36379">
              <w:rPr>
                <w:color w:val="1D336C"/>
                <w:sz w:val="20"/>
              </w:rPr>
              <w:t>Australia</w:t>
            </w:r>
          </w:p>
        </w:tc>
        <w:tc>
          <w:tcPr>
            <w:tcW w:w="4252" w:type="dxa"/>
            <w:shd w:val="clear" w:color="auto" w:fill="F2F2F2" w:themeFill="background1" w:themeFillShade="F2"/>
          </w:tcPr>
          <w:p w14:paraId="543D442C" w14:textId="1240961F"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Program level</w:t>
            </w:r>
          </w:p>
        </w:tc>
        <w:tc>
          <w:tcPr>
            <w:tcW w:w="2126" w:type="dxa"/>
            <w:shd w:val="clear" w:color="auto" w:fill="F2F2F2" w:themeFill="background1" w:themeFillShade="F2"/>
          </w:tcPr>
          <w:p w14:paraId="4D6D2D8A" w14:textId="52CBCF65" w:rsidR="00983D62" w:rsidRPr="00C36379" w:rsidRDefault="00983D62" w:rsidP="00983D62">
            <w:pPr>
              <w:pStyle w:val="TableParagraph"/>
              <w:spacing w:before="134"/>
              <w:ind w:left="191"/>
              <w:rPr>
                <w:i/>
                <w:color w:val="1D336C"/>
                <w:spacing w:val="-2"/>
                <w:sz w:val="20"/>
              </w:rPr>
            </w:pPr>
            <w:r w:rsidRPr="00C36379">
              <w:rPr>
                <w:i/>
                <w:color w:val="1D336C"/>
                <w:spacing w:val="-2"/>
                <w:sz w:val="20"/>
              </w:rPr>
              <w:t>Indo-Pacific</w:t>
            </w:r>
          </w:p>
        </w:tc>
        <w:tc>
          <w:tcPr>
            <w:tcW w:w="1116" w:type="dxa"/>
            <w:shd w:val="clear" w:color="auto" w:fill="F2F2F2" w:themeFill="background1" w:themeFillShade="F2"/>
          </w:tcPr>
          <w:p w14:paraId="7078F400" w14:textId="6FE02F01" w:rsidR="00983D62" w:rsidRPr="00C36379" w:rsidRDefault="00983D62" w:rsidP="00983D62">
            <w:pPr>
              <w:pStyle w:val="TableParagraph"/>
              <w:spacing w:before="134"/>
              <w:ind w:left="122"/>
              <w:rPr>
                <w:i/>
                <w:color w:val="1D336C"/>
                <w:spacing w:val="-2"/>
                <w:sz w:val="20"/>
              </w:rPr>
            </w:pPr>
            <w:r w:rsidRPr="00C36379">
              <w:rPr>
                <w:i/>
                <w:color w:val="1D336C"/>
                <w:spacing w:val="-2"/>
                <w:sz w:val="20"/>
              </w:rPr>
              <w:t>F</w:t>
            </w:r>
          </w:p>
        </w:tc>
      </w:tr>
      <w:tr w:rsidR="00983D62" w14:paraId="4DAB47FF" w14:textId="77777777" w:rsidTr="006E7363">
        <w:trPr>
          <w:trHeight w:val="664"/>
          <w:jc w:val="center"/>
        </w:trPr>
        <w:tc>
          <w:tcPr>
            <w:tcW w:w="2127" w:type="dxa"/>
            <w:shd w:val="clear" w:color="auto" w:fill="F1F1F1"/>
          </w:tcPr>
          <w:p w14:paraId="0379159C" w14:textId="067826FD" w:rsidR="00983D62" w:rsidRDefault="00983D62" w:rsidP="00983D62">
            <w:pPr>
              <w:pStyle w:val="TableParagraph"/>
              <w:spacing w:before="134"/>
              <w:rPr>
                <w:color w:val="1D336C"/>
                <w:sz w:val="20"/>
              </w:rPr>
            </w:pPr>
            <w:r w:rsidRPr="00C36379">
              <w:rPr>
                <w:color w:val="1D336C"/>
                <w:sz w:val="20"/>
              </w:rPr>
              <w:t>Action Aid</w:t>
            </w:r>
          </w:p>
        </w:tc>
        <w:tc>
          <w:tcPr>
            <w:tcW w:w="4252" w:type="dxa"/>
          </w:tcPr>
          <w:p w14:paraId="573EBC0A" w14:textId="4A7C617F"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Ni-Vanuatu Women Leading Solutions to Climate Change</w:t>
            </w:r>
          </w:p>
        </w:tc>
        <w:tc>
          <w:tcPr>
            <w:tcW w:w="2126" w:type="dxa"/>
          </w:tcPr>
          <w:p w14:paraId="1CC0B895" w14:textId="20B517B6" w:rsidR="00983D62" w:rsidRPr="00C36379" w:rsidRDefault="00983D62" w:rsidP="00983D62">
            <w:pPr>
              <w:pStyle w:val="TableParagraph"/>
              <w:spacing w:before="134"/>
              <w:ind w:left="191"/>
              <w:rPr>
                <w:i/>
                <w:color w:val="1D336C"/>
                <w:spacing w:val="-2"/>
                <w:sz w:val="20"/>
              </w:rPr>
            </w:pPr>
            <w:r w:rsidRPr="00C36379">
              <w:rPr>
                <w:i/>
                <w:color w:val="1D336C"/>
                <w:spacing w:val="-2"/>
                <w:sz w:val="20"/>
              </w:rPr>
              <w:t>Vanuatu</w:t>
            </w:r>
          </w:p>
        </w:tc>
        <w:tc>
          <w:tcPr>
            <w:tcW w:w="1116" w:type="dxa"/>
          </w:tcPr>
          <w:p w14:paraId="2875E3A7" w14:textId="5E5B5B09" w:rsidR="00983D62" w:rsidRPr="00C36379" w:rsidRDefault="00983D62" w:rsidP="00983D62">
            <w:pPr>
              <w:pStyle w:val="TableParagraph"/>
              <w:spacing w:before="134"/>
              <w:ind w:left="122"/>
              <w:rPr>
                <w:i/>
                <w:color w:val="1D336C"/>
                <w:spacing w:val="-2"/>
                <w:sz w:val="20"/>
              </w:rPr>
            </w:pPr>
            <w:r w:rsidRPr="00C36379">
              <w:rPr>
                <w:i/>
                <w:color w:val="1D336C"/>
                <w:spacing w:val="-2"/>
                <w:sz w:val="20"/>
              </w:rPr>
              <w:t>F</w:t>
            </w:r>
          </w:p>
        </w:tc>
      </w:tr>
      <w:tr w:rsidR="00983D62" w14:paraId="0AEE3699" w14:textId="77777777" w:rsidTr="006E7363">
        <w:trPr>
          <w:trHeight w:val="660"/>
          <w:jc w:val="center"/>
        </w:trPr>
        <w:tc>
          <w:tcPr>
            <w:tcW w:w="2127" w:type="dxa"/>
            <w:shd w:val="clear" w:color="auto" w:fill="F1F1F1"/>
          </w:tcPr>
          <w:p w14:paraId="3EF5E2AB" w14:textId="71C051C4" w:rsidR="00983D62" w:rsidRDefault="00983D62" w:rsidP="00983D62">
            <w:pPr>
              <w:pStyle w:val="TableParagraph"/>
              <w:spacing w:before="134"/>
              <w:rPr>
                <w:color w:val="1D336C"/>
                <w:sz w:val="20"/>
              </w:rPr>
            </w:pPr>
            <w:r w:rsidRPr="00C36379">
              <w:rPr>
                <w:color w:val="1D336C"/>
                <w:sz w:val="20"/>
              </w:rPr>
              <w:t>Action Aid</w:t>
            </w:r>
          </w:p>
        </w:tc>
        <w:tc>
          <w:tcPr>
            <w:tcW w:w="4252" w:type="dxa"/>
            <w:shd w:val="clear" w:color="auto" w:fill="F2F2F2" w:themeFill="background1" w:themeFillShade="F2"/>
          </w:tcPr>
          <w:p w14:paraId="7A059C93" w14:textId="7A0DC2D0"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Ni-Vanuatu Women Leading Solutions to Climate Change</w:t>
            </w:r>
          </w:p>
        </w:tc>
        <w:tc>
          <w:tcPr>
            <w:tcW w:w="2126" w:type="dxa"/>
            <w:shd w:val="clear" w:color="auto" w:fill="F2F2F2" w:themeFill="background1" w:themeFillShade="F2"/>
          </w:tcPr>
          <w:p w14:paraId="4454A72B" w14:textId="7CF79414" w:rsidR="00983D62" w:rsidRPr="00C36379" w:rsidRDefault="00983D62" w:rsidP="00983D62">
            <w:pPr>
              <w:pStyle w:val="TableParagraph"/>
              <w:spacing w:before="134"/>
              <w:ind w:left="191"/>
              <w:rPr>
                <w:i/>
                <w:color w:val="1D336C"/>
                <w:spacing w:val="-2"/>
                <w:sz w:val="20"/>
              </w:rPr>
            </w:pPr>
            <w:r w:rsidRPr="00C36379">
              <w:rPr>
                <w:i/>
                <w:color w:val="1D336C"/>
                <w:spacing w:val="-2"/>
                <w:sz w:val="20"/>
              </w:rPr>
              <w:t>Vanuatu</w:t>
            </w:r>
          </w:p>
        </w:tc>
        <w:tc>
          <w:tcPr>
            <w:tcW w:w="1116" w:type="dxa"/>
            <w:shd w:val="clear" w:color="auto" w:fill="F2F2F2" w:themeFill="background1" w:themeFillShade="F2"/>
          </w:tcPr>
          <w:p w14:paraId="7E9DE885" w14:textId="40F8C079" w:rsidR="00983D62" w:rsidRPr="00C36379" w:rsidRDefault="00983D62" w:rsidP="00983D62">
            <w:pPr>
              <w:pStyle w:val="TableParagraph"/>
              <w:spacing w:before="134"/>
              <w:ind w:left="122"/>
              <w:rPr>
                <w:i/>
                <w:color w:val="1D336C"/>
                <w:spacing w:val="-2"/>
                <w:sz w:val="20"/>
              </w:rPr>
            </w:pPr>
            <w:r w:rsidRPr="00C36379">
              <w:rPr>
                <w:i/>
                <w:color w:val="1D336C"/>
                <w:spacing w:val="-2"/>
                <w:sz w:val="20"/>
              </w:rPr>
              <w:t>F</w:t>
            </w:r>
          </w:p>
        </w:tc>
      </w:tr>
      <w:tr w:rsidR="00983D62" w14:paraId="59B2F5F2" w14:textId="77777777" w:rsidTr="006E7363">
        <w:trPr>
          <w:trHeight w:val="655"/>
          <w:jc w:val="center"/>
        </w:trPr>
        <w:tc>
          <w:tcPr>
            <w:tcW w:w="2127" w:type="dxa"/>
            <w:shd w:val="clear" w:color="auto" w:fill="F1F1F1"/>
          </w:tcPr>
          <w:p w14:paraId="1D1E3646" w14:textId="21FCA984" w:rsidR="00983D62" w:rsidRDefault="00983D62" w:rsidP="00983D62">
            <w:pPr>
              <w:pStyle w:val="TableParagraph"/>
              <w:spacing w:before="134"/>
              <w:rPr>
                <w:color w:val="1D336C"/>
                <w:sz w:val="20"/>
              </w:rPr>
            </w:pPr>
            <w:r w:rsidRPr="00C36379">
              <w:rPr>
                <w:color w:val="1D336C"/>
                <w:sz w:val="20"/>
              </w:rPr>
              <w:t>Action Aid</w:t>
            </w:r>
          </w:p>
        </w:tc>
        <w:tc>
          <w:tcPr>
            <w:tcW w:w="4252" w:type="dxa"/>
          </w:tcPr>
          <w:p w14:paraId="2B14D4C0" w14:textId="74FFF255"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Ni-Vanuatu Women Leading Solutions to Climate Change</w:t>
            </w:r>
          </w:p>
        </w:tc>
        <w:tc>
          <w:tcPr>
            <w:tcW w:w="2126" w:type="dxa"/>
          </w:tcPr>
          <w:p w14:paraId="5932A1DD" w14:textId="1A00AEBA" w:rsidR="00983D62" w:rsidRPr="00C36379" w:rsidRDefault="00983D62" w:rsidP="00983D62">
            <w:pPr>
              <w:pStyle w:val="TableParagraph"/>
              <w:spacing w:before="134"/>
              <w:ind w:left="191"/>
              <w:rPr>
                <w:i/>
                <w:color w:val="1D336C"/>
                <w:spacing w:val="-2"/>
                <w:sz w:val="20"/>
              </w:rPr>
            </w:pPr>
            <w:r w:rsidRPr="00C36379">
              <w:rPr>
                <w:i/>
                <w:color w:val="1D336C"/>
                <w:spacing w:val="-2"/>
                <w:sz w:val="20"/>
              </w:rPr>
              <w:t>Vanuatu</w:t>
            </w:r>
          </w:p>
        </w:tc>
        <w:tc>
          <w:tcPr>
            <w:tcW w:w="1116" w:type="dxa"/>
          </w:tcPr>
          <w:p w14:paraId="06788C81" w14:textId="273BD530" w:rsidR="00983D62" w:rsidRPr="00C36379" w:rsidRDefault="00983D62" w:rsidP="00983D62">
            <w:pPr>
              <w:pStyle w:val="TableParagraph"/>
              <w:spacing w:before="134"/>
              <w:ind w:left="122"/>
              <w:rPr>
                <w:i/>
                <w:color w:val="1D336C"/>
                <w:spacing w:val="-2"/>
                <w:sz w:val="20"/>
              </w:rPr>
            </w:pPr>
            <w:r w:rsidRPr="00C36379">
              <w:rPr>
                <w:i/>
                <w:color w:val="1D336C"/>
                <w:spacing w:val="-2"/>
                <w:sz w:val="20"/>
              </w:rPr>
              <w:t>F</w:t>
            </w:r>
          </w:p>
        </w:tc>
      </w:tr>
      <w:tr w:rsidR="00983D62" w14:paraId="07AAA891" w14:textId="77777777" w:rsidTr="006E7363">
        <w:trPr>
          <w:trHeight w:val="680"/>
          <w:jc w:val="center"/>
        </w:trPr>
        <w:tc>
          <w:tcPr>
            <w:tcW w:w="2127" w:type="dxa"/>
            <w:shd w:val="clear" w:color="auto" w:fill="F1F1F1"/>
          </w:tcPr>
          <w:p w14:paraId="419230E3" w14:textId="3D6E4E15" w:rsidR="00983D62" w:rsidRDefault="00983D62" w:rsidP="00983D62">
            <w:pPr>
              <w:pStyle w:val="TableParagraph"/>
              <w:spacing w:before="134"/>
              <w:rPr>
                <w:color w:val="1D336C"/>
                <w:sz w:val="20"/>
              </w:rPr>
            </w:pPr>
            <w:proofErr w:type="spellStart"/>
            <w:r w:rsidRPr="00C36379">
              <w:rPr>
                <w:color w:val="1D336C"/>
                <w:sz w:val="20"/>
              </w:rPr>
              <w:t>Matanataki</w:t>
            </w:r>
            <w:proofErr w:type="spellEnd"/>
          </w:p>
        </w:tc>
        <w:tc>
          <w:tcPr>
            <w:tcW w:w="4252" w:type="dxa"/>
            <w:shd w:val="clear" w:color="auto" w:fill="F2F2F2" w:themeFill="background1" w:themeFillShade="F2"/>
          </w:tcPr>
          <w:p w14:paraId="206A447E" w14:textId="4BB64595"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Nature-Positive Business for Climate Critical Ecosystems</w:t>
            </w:r>
          </w:p>
        </w:tc>
        <w:tc>
          <w:tcPr>
            <w:tcW w:w="2126" w:type="dxa"/>
            <w:shd w:val="clear" w:color="auto" w:fill="F2F2F2" w:themeFill="background1" w:themeFillShade="F2"/>
          </w:tcPr>
          <w:p w14:paraId="27D248F4" w14:textId="2A9849AF" w:rsidR="00983D62" w:rsidRPr="00C36379" w:rsidRDefault="00983D62" w:rsidP="00983D62">
            <w:pPr>
              <w:pStyle w:val="TableParagraph"/>
              <w:spacing w:before="134"/>
              <w:ind w:left="191"/>
              <w:rPr>
                <w:i/>
                <w:color w:val="1D336C"/>
                <w:spacing w:val="-2"/>
                <w:sz w:val="20"/>
              </w:rPr>
            </w:pPr>
            <w:r w:rsidRPr="00C36379">
              <w:rPr>
                <w:i/>
                <w:color w:val="1D336C"/>
                <w:spacing w:val="-2"/>
                <w:sz w:val="20"/>
              </w:rPr>
              <w:t>Fiji, Solomon Islands</w:t>
            </w:r>
          </w:p>
        </w:tc>
        <w:tc>
          <w:tcPr>
            <w:tcW w:w="1116" w:type="dxa"/>
            <w:shd w:val="clear" w:color="auto" w:fill="F2F2F2" w:themeFill="background1" w:themeFillShade="F2"/>
          </w:tcPr>
          <w:p w14:paraId="49456E70" w14:textId="2F4F8F46" w:rsidR="00983D62" w:rsidRPr="00C36379" w:rsidRDefault="00983D62" w:rsidP="00983D62">
            <w:pPr>
              <w:pStyle w:val="TableParagraph"/>
              <w:spacing w:before="134"/>
              <w:ind w:left="122"/>
              <w:rPr>
                <w:i/>
                <w:color w:val="1D336C"/>
                <w:spacing w:val="-2"/>
                <w:sz w:val="20"/>
              </w:rPr>
            </w:pPr>
            <w:r w:rsidRPr="00C36379">
              <w:rPr>
                <w:i/>
                <w:color w:val="1D336C"/>
                <w:spacing w:val="-2"/>
                <w:sz w:val="20"/>
              </w:rPr>
              <w:t>F</w:t>
            </w:r>
          </w:p>
        </w:tc>
      </w:tr>
      <w:tr w:rsidR="00983D62" w14:paraId="3691FBB5" w14:textId="77777777" w:rsidTr="006E7363">
        <w:trPr>
          <w:trHeight w:val="534"/>
          <w:jc w:val="center"/>
        </w:trPr>
        <w:tc>
          <w:tcPr>
            <w:tcW w:w="2127" w:type="dxa"/>
            <w:shd w:val="clear" w:color="auto" w:fill="F1F1F1"/>
          </w:tcPr>
          <w:p w14:paraId="3911690A" w14:textId="1A383BF6" w:rsidR="00983D62" w:rsidRDefault="00983D62" w:rsidP="00983D62">
            <w:pPr>
              <w:pStyle w:val="TableParagraph"/>
              <w:spacing w:before="134"/>
              <w:rPr>
                <w:color w:val="1D336C"/>
                <w:sz w:val="20"/>
              </w:rPr>
            </w:pPr>
            <w:proofErr w:type="spellStart"/>
            <w:r w:rsidRPr="00C36379">
              <w:rPr>
                <w:color w:val="1D336C"/>
                <w:sz w:val="20"/>
              </w:rPr>
              <w:t>Matanataki</w:t>
            </w:r>
            <w:proofErr w:type="spellEnd"/>
          </w:p>
        </w:tc>
        <w:tc>
          <w:tcPr>
            <w:tcW w:w="4252" w:type="dxa"/>
          </w:tcPr>
          <w:p w14:paraId="6BF77E78" w14:textId="7A610370"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Nature-Positive Business for Climate Critical Ecosystems</w:t>
            </w:r>
          </w:p>
        </w:tc>
        <w:tc>
          <w:tcPr>
            <w:tcW w:w="2126" w:type="dxa"/>
          </w:tcPr>
          <w:p w14:paraId="10BBB9A2" w14:textId="76CDCCEE" w:rsidR="00983D62" w:rsidRPr="00C36379" w:rsidRDefault="00983D62" w:rsidP="00983D62">
            <w:pPr>
              <w:pStyle w:val="TableParagraph"/>
              <w:spacing w:before="134"/>
              <w:ind w:left="191"/>
              <w:rPr>
                <w:i/>
                <w:color w:val="1D336C"/>
                <w:spacing w:val="-2"/>
                <w:sz w:val="20"/>
              </w:rPr>
            </w:pPr>
            <w:r w:rsidRPr="00C36379">
              <w:rPr>
                <w:i/>
                <w:color w:val="1D336C"/>
                <w:spacing w:val="-2"/>
                <w:sz w:val="20"/>
              </w:rPr>
              <w:t>Fiji, Solomon Islands</w:t>
            </w:r>
          </w:p>
        </w:tc>
        <w:tc>
          <w:tcPr>
            <w:tcW w:w="1116" w:type="dxa"/>
          </w:tcPr>
          <w:p w14:paraId="0CCD2F08" w14:textId="503BC05E" w:rsidR="00983D62" w:rsidRPr="00C36379" w:rsidRDefault="00983D62" w:rsidP="00983D62">
            <w:pPr>
              <w:pStyle w:val="TableParagraph"/>
              <w:spacing w:before="134"/>
              <w:ind w:left="122"/>
              <w:rPr>
                <w:i/>
                <w:color w:val="1D336C"/>
                <w:spacing w:val="-2"/>
                <w:sz w:val="20"/>
              </w:rPr>
            </w:pPr>
            <w:r w:rsidRPr="00C36379">
              <w:rPr>
                <w:i/>
                <w:color w:val="1D336C"/>
                <w:spacing w:val="-2"/>
                <w:sz w:val="20"/>
              </w:rPr>
              <w:t>M</w:t>
            </w:r>
          </w:p>
        </w:tc>
      </w:tr>
      <w:tr w:rsidR="00983D62" w14:paraId="3CA1E6FB" w14:textId="77777777" w:rsidTr="006E7363">
        <w:trPr>
          <w:trHeight w:val="686"/>
          <w:jc w:val="center"/>
        </w:trPr>
        <w:tc>
          <w:tcPr>
            <w:tcW w:w="2127" w:type="dxa"/>
            <w:shd w:val="clear" w:color="auto" w:fill="F1F1F1"/>
          </w:tcPr>
          <w:p w14:paraId="19721244" w14:textId="67007B55" w:rsidR="00983D62" w:rsidRDefault="00983D62" w:rsidP="00983D62">
            <w:pPr>
              <w:pStyle w:val="TableParagraph"/>
              <w:spacing w:before="134"/>
              <w:rPr>
                <w:color w:val="1D336C"/>
                <w:sz w:val="20"/>
              </w:rPr>
            </w:pPr>
            <w:proofErr w:type="spellStart"/>
            <w:r w:rsidRPr="00C36379">
              <w:rPr>
                <w:color w:val="1D336C"/>
                <w:sz w:val="20"/>
              </w:rPr>
              <w:t>Matanataki</w:t>
            </w:r>
            <w:proofErr w:type="spellEnd"/>
          </w:p>
        </w:tc>
        <w:tc>
          <w:tcPr>
            <w:tcW w:w="4252" w:type="dxa"/>
            <w:shd w:val="clear" w:color="auto" w:fill="F2F2F2" w:themeFill="background1" w:themeFillShade="F2"/>
          </w:tcPr>
          <w:p w14:paraId="4833876E" w14:textId="1888510A"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Nature-Positive Business for Climate Critical Ecosystems</w:t>
            </w:r>
          </w:p>
        </w:tc>
        <w:tc>
          <w:tcPr>
            <w:tcW w:w="2126" w:type="dxa"/>
            <w:shd w:val="clear" w:color="auto" w:fill="F2F2F2" w:themeFill="background1" w:themeFillShade="F2"/>
          </w:tcPr>
          <w:p w14:paraId="7BDF60CC" w14:textId="409998FE" w:rsidR="00983D62" w:rsidRPr="00C36379" w:rsidRDefault="00983D62" w:rsidP="00983D62">
            <w:pPr>
              <w:pStyle w:val="TableParagraph"/>
              <w:spacing w:before="134"/>
              <w:ind w:left="191"/>
              <w:rPr>
                <w:i/>
                <w:color w:val="1D336C"/>
                <w:spacing w:val="-2"/>
                <w:sz w:val="20"/>
              </w:rPr>
            </w:pPr>
            <w:r w:rsidRPr="00C36379">
              <w:rPr>
                <w:i/>
                <w:color w:val="1D336C"/>
                <w:spacing w:val="-2"/>
                <w:sz w:val="20"/>
              </w:rPr>
              <w:t>Fiji, Solomon Islands</w:t>
            </w:r>
          </w:p>
        </w:tc>
        <w:tc>
          <w:tcPr>
            <w:tcW w:w="1116" w:type="dxa"/>
            <w:shd w:val="clear" w:color="auto" w:fill="F2F2F2" w:themeFill="background1" w:themeFillShade="F2"/>
          </w:tcPr>
          <w:p w14:paraId="43916A25" w14:textId="5F8F1021" w:rsidR="00983D62" w:rsidRPr="00C36379" w:rsidRDefault="00983D62" w:rsidP="00983D62">
            <w:pPr>
              <w:pStyle w:val="TableParagraph"/>
              <w:spacing w:before="134"/>
              <w:ind w:left="122"/>
              <w:rPr>
                <w:i/>
                <w:color w:val="1D336C"/>
                <w:spacing w:val="-2"/>
                <w:sz w:val="20"/>
              </w:rPr>
            </w:pPr>
            <w:r w:rsidRPr="00C36379">
              <w:rPr>
                <w:i/>
                <w:color w:val="1D336C"/>
                <w:spacing w:val="-2"/>
                <w:sz w:val="20"/>
              </w:rPr>
              <w:t>M</w:t>
            </w:r>
          </w:p>
        </w:tc>
      </w:tr>
      <w:tr w:rsidR="00983D62" w14:paraId="3E6EE71C" w14:textId="77777777" w:rsidTr="006E7363">
        <w:trPr>
          <w:trHeight w:val="539"/>
          <w:jc w:val="center"/>
        </w:trPr>
        <w:tc>
          <w:tcPr>
            <w:tcW w:w="2127" w:type="dxa"/>
            <w:shd w:val="clear" w:color="auto" w:fill="F1F1F1"/>
          </w:tcPr>
          <w:p w14:paraId="2A270759" w14:textId="0E6AA340" w:rsidR="00983D62" w:rsidRDefault="00983D62" w:rsidP="00983D62">
            <w:pPr>
              <w:pStyle w:val="TableParagraph"/>
              <w:spacing w:before="134"/>
              <w:rPr>
                <w:color w:val="1D336C"/>
                <w:sz w:val="20"/>
              </w:rPr>
            </w:pPr>
            <w:proofErr w:type="spellStart"/>
            <w:r w:rsidRPr="00C36379">
              <w:rPr>
                <w:color w:val="1D336C"/>
                <w:sz w:val="20"/>
              </w:rPr>
              <w:t>Kyeema</w:t>
            </w:r>
            <w:proofErr w:type="spellEnd"/>
            <w:r w:rsidRPr="00C36379">
              <w:rPr>
                <w:color w:val="1D336C"/>
                <w:sz w:val="20"/>
              </w:rPr>
              <w:t xml:space="preserve"> Foundation</w:t>
            </w:r>
          </w:p>
        </w:tc>
        <w:tc>
          <w:tcPr>
            <w:tcW w:w="4252" w:type="dxa"/>
          </w:tcPr>
          <w:p w14:paraId="3651A4D8" w14:textId="2C0578E3"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Community-led coral reef restoration: Community, Corals, and Chickens</w:t>
            </w:r>
          </w:p>
        </w:tc>
        <w:tc>
          <w:tcPr>
            <w:tcW w:w="2126" w:type="dxa"/>
          </w:tcPr>
          <w:p w14:paraId="752DBF31" w14:textId="68FB5D80" w:rsidR="00983D62" w:rsidRPr="00C36379" w:rsidRDefault="00983D62" w:rsidP="00983D62">
            <w:pPr>
              <w:pStyle w:val="TableParagraph"/>
              <w:spacing w:before="134"/>
              <w:ind w:left="191"/>
              <w:rPr>
                <w:i/>
                <w:color w:val="1D336C"/>
                <w:spacing w:val="-2"/>
                <w:sz w:val="20"/>
              </w:rPr>
            </w:pPr>
            <w:r w:rsidRPr="00C36379">
              <w:rPr>
                <w:i/>
                <w:color w:val="1D336C"/>
                <w:spacing w:val="-2"/>
                <w:sz w:val="20"/>
              </w:rPr>
              <w:t>Fiji, PNG, Samoa</w:t>
            </w:r>
          </w:p>
        </w:tc>
        <w:tc>
          <w:tcPr>
            <w:tcW w:w="1116" w:type="dxa"/>
          </w:tcPr>
          <w:p w14:paraId="770CBB00" w14:textId="0E3EEAD1" w:rsidR="00983D62" w:rsidRPr="00C36379" w:rsidRDefault="00983D62" w:rsidP="00983D62">
            <w:pPr>
              <w:pStyle w:val="TableParagraph"/>
              <w:spacing w:before="134"/>
              <w:ind w:left="122"/>
              <w:rPr>
                <w:i/>
                <w:color w:val="1D336C"/>
                <w:spacing w:val="-2"/>
                <w:sz w:val="20"/>
              </w:rPr>
            </w:pPr>
            <w:r w:rsidRPr="00C36379">
              <w:rPr>
                <w:i/>
                <w:color w:val="1D336C"/>
                <w:spacing w:val="-2"/>
                <w:sz w:val="20"/>
              </w:rPr>
              <w:t>F</w:t>
            </w:r>
          </w:p>
        </w:tc>
      </w:tr>
      <w:tr w:rsidR="00983D62" w14:paraId="668E359E" w14:textId="77777777" w:rsidTr="006E7363">
        <w:trPr>
          <w:trHeight w:val="564"/>
          <w:jc w:val="center"/>
        </w:trPr>
        <w:tc>
          <w:tcPr>
            <w:tcW w:w="2127" w:type="dxa"/>
            <w:shd w:val="clear" w:color="auto" w:fill="F1F1F1"/>
          </w:tcPr>
          <w:p w14:paraId="3FA4FD9B" w14:textId="1EC31C4F" w:rsidR="00983D62" w:rsidRDefault="00983D62" w:rsidP="00983D62">
            <w:pPr>
              <w:pStyle w:val="TableParagraph"/>
              <w:spacing w:before="134"/>
              <w:rPr>
                <w:color w:val="1D336C"/>
                <w:sz w:val="20"/>
              </w:rPr>
            </w:pPr>
            <w:proofErr w:type="spellStart"/>
            <w:r w:rsidRPr="00C36379">
              <w:rPr>
                <w:color w:val="1D336C"/>
                <w:sz w:val="20"/>
              </w:rPr>
              <w:t>Kyeema</w:t>
            </w:r>
            <w:proofErr w:type="spellEnd"/>
            <w:r w:rsidRPr="00C36379">
              <w:rPr>
                <w:color w:val="1D336C"/>
                <w:sz w:val="20"/>
              </w:rPr>
              <w:t xml:space="preserve"> Foundation</w:t>
            </w:r>
          </w:p>
        </w:tc>
        <w:tc>
          <w:tcPr>
            <w:tcW w:w="4252" w:type="dxa"/>
            <w:shd w:val="clear" w:color="auto" w:fill="F2F2F2" w:themeFill="background1" w:themeFillShade="F2"/>
          </w:tcPr>
          <w:p w14:paraId="37A1F462" w14:textId="3E21C802"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Community-led coral reef restoration: Community, Corals, and Chickens</w:t>
            </w:r>
          </w:p>
        </w:tc>
        <w:tc>
          <w:tcPr>
            <w:tcW w:w="2126" w:type="dxa"/>
            <w:shd w:val="clear" w:color="auto" w:fill="F2F2F2" w:themeFill="background1" w:themeFillShade="F2"/>
          </w:tcPr>
          <w:p w14:paraId="5B291B9B" w14:textId="3102CF3E" w:rsidR="00983D62" w:rsidRPr="00C36379" w:rsidRDefault="00983D62" w:rsidP="00983D62">
            <w:pPr>
              <w:pStyle w:val="TableParagraph"/>
              <w:spacing w:before="134"/>
              <w:ind w:left="191"/>
              <w:rPr>
                <w:i/>
                <w:color w:val="1D336C"/>
                <w:spacing w:val="-2"/>
                <w:sz w:val="20"/>
              </w:rPr>
            </w:pPr>
            <w:r w:rsidRPr="00C36379">
              <w:rPr>
                <w:i/>
                <w:color w:val="1D336C"/>
                <w:spacing w:val="-2"/>
                <w:sz w:val="20"/>
              </w:rPr>
              <w:t>Fiji, PNG, Samoa</w:t>
            </w:r>
          </w:p>
        </w:tc>
        <w:tc>
          <w:tcPr>
            <w:tcW w:w="1116" w:type="dxa"/>
            <w:shd w:val="clear" w:color="auto" w:fill="F2F2F2" w:themeFill="background1" w:themeFillShade="F2"/>
          </w:tcPr>
          <w:p w14:paraId="5314F880" w14:textId="53D5412F" w:rsidR="00983D62" w:rsidRPr="00C36379" w:rsidRDefault="00983D62" w:rsidP="00983D62">
            <w:pPr>
              <w:pStyle w:val="TableParagraph"/>
              <w:spacing w:before="134"/>
              <w:ind w:left="122"/>
              <w:rPr>
                <w:i/>
                <w:color w:val="1D336C"/>
                <w:spacing w:val="-2"/>
                <w:sz w:val="20"/>
              </w:rPr>
            </w:pPr>
            <w:r w:rsidRPr="00C36379">
              <w:rPr>
                <w:i/>
                <w:color w:val="1D336C"/>
                <w:spacing w:val="-2"/>
                <w:sz w:val="20"/>
              </w:rPr>
              <w:t>F</w:t>
            </w:r>
          </w:p>
        </w:tc>
      </w:tr>
      <w:tr w:rsidR="00983D62" w14:paraId="008D4CBE" w14:textId="77777777" w:rsidTr="006E7363">
        <w:trPr>
          <w:trHeight w:val="702"/>
          <w:jc w:val="center"/>
        </w:trPr>
        <w:tc>
          <w:tcPr>
            <w:tcW w:w="2127" w:type="dxa"/>
            <w:shd w:val="clear" w:color="auto" w:fill="F1F1F1"/>
          </w:tcPr>
          <w:p w14:paraId="78ABD68C" w14:textId="373282BD" w:rsidR="00983D62" w:rsidRDefault="00983D62" w:rsidP="00983D62">
            <w:pPr>
              <w:pStyle w:val="TableParagraph"/>
              <w:spacing w:before="134"/>
              <w:rPr>
                <w:color w:val="1D336C"/>
                <w:sz w:val="20"/>
              </w:rPr>
            </w:pPr>
            <w:proofErr w:type="spellStart"/>
            <w:r w:rsidRPr="00C36379">
              <w:rPr>
                <w:color w:val="1D336C"/>
                <w:sz w:val="20"/>
              </w:rPr>
              <w:t>Kyeema</w:t>
            </w:r>
            <w:proofErr w:type="spellEnd"/>
            <w:r w:rsidRPr="00C36379">
              <w:rPr>
                <w:color w:val="1D336C"/>
                <w:sz w:val="20"/>
              </w:rPr>
              <w:t xml:space="preserve"> Foundation</w:t>
            </w:r>
          </w:p>
        </w:tc>
        <w:tc>
          <w:tcPr>
            <w:tcW w:w="4252" w:type="dxa"/>
          </w:tcPr>
          <w:p w14:paraId="7352A521" w14:textId="27CE5E42"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Community-led coral reef restoration: Community, Corals, and Chickens</w:t>
            </w:r>
          </w:p>
        </w:tc>
        <w:tc>
          <w:tcPr>
            <w:tcW w:w="2126" w:type="dxa"/>
          </w:tcPr>
          <w:p w14:paraId="4495CEF6" w14:textId="3302DC66" w:rsidR="00983D62" w:rsidRPr="00C36379" w:rsidRDefault="00983D62" w:rsidP="00983D62">
            <w:pPr>
              <w:pStyle w:val="TableParagraph"/>
              <w:spacing w:before="134"/>
              <w:ind w:left="191"/>
              <w:rPr>
                <w:i/>
                <w:color w:val="1D336C"/>
                <w:spacing w:val="-2"/>
                <w:sz w:val="20"/>
              </w:rPr>
            </w:pPr>
            <w:r w:rsidRPr="00C36379">
              <w:rPr>
                <w:i/>
                <w:color w:val="1D336C"/>
                <w:spacing w:val="-2"/>
                <w:sz w:val="20"/>
              </w:rPr>
              <w:t>Fiji, PNG, Samoa</w:t>
            </w:r>
          </w:p>
        </w:tc>
        <w:tc>
          <w:tcPr>
            <w:tcW w:w="1116" w:type="dxa"/>
          </w:tcPr>
          <w:p w14:paraId="42318377" w14:textId="0FCE0767" w:rsidR="00983D62" w:rsidRPr="00C36379" w:rsidRDefault="00983D62" w:rsidP="00983D62">
            <w:pPr>
              <w:pStyle w:val="TableParagraph"/>
              <w:spacing w:before="134"/>
              <w:ind w:left="122"/>
              <w:rPr>
                <w:i/>
                <w:color w:val="1D336C"/>
                <w:spacing w:val="-2"/>
                <w:sz w:val="20"/>
              </w:rPr>
            </w:pPr>
            <w:r w:rsidRPr="00C36379">
              <w:rPr>
                <w:i/>
                <w:color w:val="1D336C"/>
                <w:spacing w:val="-2"/>
                <w:sz w:val="20"/>
              </w:rPr>
              <w:t>F</w:t>
            </w:r>
          </w:p>
        </w:tc>
      </w:tr>
      <w:tr w:rsidR="00983D62" w14:paraId="657997B0" w14:textId="77777777" w:rsidTr="006E7363">
        <w:trPr>
          <w:trHeight w:val="698"/>
          <w:jc w:val="center"/>
        </w:trPr>
        <w:tc>
          <w:tcPr>
            <w:tcW w:w="2127" w:type="dxa"/>
            <w:shd w:val="clear" w:color="auto" w:fill="F1F1F1"/>
          </w:tcPr>
          <w:p w14:paraId="47C5C6B3" w14:textId="6DFEC5CB" w:rsidR="00983D62" w:rsidRDefault="00983D62" w:rsidP="00983D62">
            <w:pPr>
              <w:pStyle w:val="TableParagraph"/>
              <w:spacing w:before="134"/>
              <w:rPr>
                <w:color w:val="1D336C"/>
                <w:sz w:val="20"/>
              </w:rPr>
            </w:pPr>
            <w:r w:rsidRPr="00C36379">
              <w:rPr>
                <w:color w:val="1D336C"/>
                <w:sz w:val="20"/>
              </w:rPr>
              <w:t>Aboriginal Carbon Foundation</w:t>
            </w:r>
          </w:p>
        </w:tc>
        <w:tc>
          <w:tcPr>
            <w:tcW w:w="4252" w:type="dxa"/>
            <w:shd w:val="clear" w:color="auto" w:fill="F2F2F2" w:themeFill="background1" w:themeFillShade="F2"/>
          </w:tcPr>
          <w:p w14:paraId="0964AB48" w14:textId="5CD5BB19"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Transforming Rural Lives through Adaptation and Carbon Capture (TRACC) Project</w:t>
            </w:r>
          </w:p>
        </w:tc>
        <w:tc>
          <w:tcPr>
            <w:tcW w:w="2126" w:type="dxa"/>
            <w:shd w:val="clear" w:color="auto" w:fill="F2F2F2" w:themeFill="background1" w:themeFillShade="F2"/>
          </w:tcPr>
          <w:p w14:paraId="760B9775" w14:textId="59C619DF" w:rsidR="00983D62" w:rsidRPr="00C36379" w:rsidRDefault="00983D62" w:rsidP="00983D62">
            <w:pPr>
              <w:pStyle w:val="TableParagraph"/>
              <w:spacing w:before="134"/>
              <w:ind w:left="191"/>
              <w:rPr>
                <w:i/>
                <w:color w:val="1D336C"/>
                <w:spacing w:val="-2"/>
                <w:sz w:val="20"/>
              </w:rPr>
            </w:pPr>
            <w:r w:rsidRPr="00C36379">
              <w:rPr>
                <w:i/>
                <w:color w:val="1D336C"/>
                <w:spacing w:val="-2"/>
                <w:sz w:val="20"/>
              </w:rPr>
              <w:t>Timor-Leste</w:t>
            </w:r>
          </w:p>
        </w:tc>
        <w:tc>
          <w:tcPr>
            <w:tcW w:w="1116" w:type="dxa"/>
            <w:shd w:val="clear" w:color="auto" w:fill="F2F2F2" w:themeFill="background1" w:themeFillShade="F2"/>
          </w:tcPr>
          <w:p w14:paraId="35BE6D73" w14:textId="1FDB59A1" w:rsidR="00983D62" w:rsidRPr="00C36379" w:rsidRDefault="00983D62" w:rsidP="00983D62">
            <w:pPr>
              <w:pStyle w:val="TableParagraph"/>
              <w:spacing w:before="134"/>
              <w:ind w:left="122"/>
              <w:rPr>
                <w:i/>
                <w:color w:val="1D336C"/>
                <w:spacing w:val="-2"/>
                <w:sz w:val="20"/>
              </w:rPr>
            </w:pPr>
            <w:r w:rsidRPr="00C36379">
              <w:rPr>
                <w:i/>
                <w:color w:val="1D336C"/>
                <w:spacing w:val="-2"/>
                <w:sz w:val="20"/>
              </w:rPr>
              <w:t>F</w:t>
            </w:r>
          </w:p>
        </w:tc>
      </w:tr>
      <w:tr w:rsidR="00983D62" w14:paraId="6E66ABE8" w14:textId="77777777" w:rsidTr="006E7363">
        <w:trPr>
          <w:trHeight w:val="657"/>
          <w:jc w:val="center"/>
        </w:trPr>
        <w:tc>
          <w:tcPr>
            <w:tcW w:w="2127" w:type="dxa"/>
            <w:shd w:val="clear" w:color="auto" w:fill="F1F1F1"/>
          </w:tcPr>
          <w:p w14:paraId="04BD1CA6" w14:textId="3D0A3241" w:rsidR="00983D62" w:rsidRDefault="00983D62" w:rsidP="00983D62">
            <w:pPr>
              <w:pStyle w:val="TableParagraph"/>
              <w:spacing w:before="134"/>
              <w:rPr>
                <w:color w:val="1D336C"/>
                <w:sz w:val="20"/>
              </w:rPr>
            </w:pPr>
            <w:r w:rsidRPr="00C36379">
              <w:rPr>
                <w:color w:val="1D336C"/>
                <w:sz w:val="20"/>
              </w:rPr>
              <w:t>Aboriginal Carbon Foundation</w:t>
            </w:r>
          </w:p>
        </w:tc>
        <w:tc>
          <w:tcPr>
            <w:tcW w:w="4252" w:type="dxa"/>
          </w:tcPr>
          <w:p w14:paraId="6600BA62" w14:textId="30569278"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Transforming Rural Lives through Adaptation and Carbon Capture (TRACC) Project</w:t>
            </w:r>
          </w:p>
        </w:tc>
        <w:tc>
          <w:tcPr>
            <w:tcW w:w="2126" w:type="dxa"/>
          </w:tcPr>
          <w:p w14:paraId="44FB36A4" w14:textId="10715C41" w:rsidR="00983D62" w:rsidRPr="00C36379" w:rsidRDefault="00983D62" w:rsidP="00983D62">
            <w:pPr>
              <w:pStyle w:val="TableParagraph"/>
              <w:spacing w:before="134"/>
              <w:ind w:left="191"/>
              <w:rPr>
                <w:i/>
                <w:color w:val="1D336C"/>
                <w:spacing w:val="-2"/>
                <w:sz w:val="20"/>
              </w:rPr>
            </w:pPr>
            <w:r w:rsidRPr="00C36379">
              <w:rPr>
                <w:i/>
                <w:color w:val="1D336C"/>
                <w:spacing w:val="-2"/>
                <w:sz w:val="20"/>
              </w:rPr>
              <w:t>Timor-Leste</w:t>
            </w:r>
          </w:p>
        </w:tc>
        <w:tc>
          <w:tcPr>
            <w:tcW w:w="1116" w:type="dxa"/>
          </w:tcPr>
          <w:p w14:paraId="746C00C6" w14:textId="67ECD991" w:rsidR="00983D62" w:rsidRPr="00C36379" w:rsidRDefault="00983D62" w:rsidP="00983D62">
            <w:pPr>
              <w:pStyle w:val="TableParagraph"/>
              <w:spacing w:before="134"/>
              <w:ind w:left="122"/>
              <w:rPr>
                <w:i/>
                <w:color w:val="1D336C"/>
                <w:spacing w:val="-2"/>
                <w:sz w:val="20"/>
              </w:rPr>
            </w:pPr>
            <w:r w:rsidRPr="00C36379">
              <w:rPr>
                <w:i/>
                <w:color w:val="1D336C"/>
                <w:spacing w:val="-2"/>
                <w:sz w:val="20"/>
              </w:rPr>
              <w:t>M</w:t>
            </w:r>
          </w:p>
        </w:tc>
      </w:tr>
      <w:tr w:rsidR="00983D62" w14:paraId="2B8AB9D6" w14:textId="77777777" w:rsidTr="006E7363">
        <w:trPr>
          <w:trHeight w:val="560"/>
          <w:jc w:val="center"/>
        </w:trPr>
        <w:tc>
          <w:tcPr>
            <w:tcW w:w="2127" w:type="dxa"/>
            <w:shd w:val="clear" w:color="auto" w:fill="F1F1F1"/>
          </w:tcPr>
          <w:p w14:paraId="6FFAE495" w14:textId="0463731C" w:rsidR="00983D62" w:rsidRDefault="00983D62" w:rsidP="00983D62">
            <w:pPr>
              <w:pStyle w:val="TableParagraph"/>
              <w:spacing w:before="134"/>
              <w:rPr>
                <w:color w:val="1D336C"/>
                <w:sz w:val="20"/>
              </w:rPr>
            </w:pPr>
            <w:proofErr w:type="spellStart"/>
            <w:r w:rsidRPr="00C36379">
              <w:rPr>
                <w:color w:val="1D336C"/>
                <w:sz w:val="20"/>
              </w:rPr>
              <w:t>Nakau</w:t>
            </w:r>
            <w:proofErr w:type="spellEnd"/>
          </w:p>
        </w:tc>
        <w:tc>
          <w:tcPr>
            <w:tcW w:w="4252" w:type="dxa"/>
            <w:shd w:val="clear" w:color="auto" w:fill="F2F2F2" w:themeFill="background1" w:themeFillShade="F2"/>
          </w:tcPr>
          <w:p w14:paraId="072013E1" w14:textId="7643AE11"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Nature-based Solutions for Forests and People</w:t>
            </w:r>
          </w:p>
        </w:tc>
        <w:tc>
          <w:tcPr>
            <w:tcW w:w="2126" w:type="dxa"/>
            <w:shd w:val="clear" w:color="auto" w:fill="F2F2F2" w:themeFill="background1" w:themeFillShade="F2"/>
          </w:tcPr>
          <w:p w14:paraId="74A75A01" w14:textId="1D79CB86" w:rsidR="00983D62" w:rsidRPr="00C36379" w:rsidRDefault="00983D62" w:rsidP="00983D62">
            <w:pPr>
              <w:pStyle w:val="TableParagraph"/>
              <w:spacing w:before="134"/>
              <w:ind w:left="191"/>
              <w:rPr>
                <w:i/>
                <w:color w:val="1D336C"/>
                <w:spacing w:val="-2"/>
                <w:sz w:val="20"/>
              </w:rPr>
            </w:pPr>
            <w:r w:rsidRPr="00C36379">
              <w:rPr>
                <w:i/>
                <w:color w:val="1D336C"/>
                <w:spacing w:val="-2"/>
                <w:sz w:val="20"/>
              </w:rPr>
              <w:t>Fiji, PNG, Vanuatu</w:t>
            </w:r>
          </w:p>
        </w:tc>
        <w:tc>
          <w:tcPr>
            <w:tcW w:w="1116" w:type="dxa"/>
            <w:shd w:val="clear" w:color="auto" w:fill="F2F2F2" w:themeFill="background1" w:themeFillShade="F2"/>
          </w:tcPr>
          <w:p w14:paraId="5334CC34" w14:textId="64818535" w:rsidR="00983D62" w:rsidRPr="00C36379" w:rsidRDefault="00983D62" w:rsidP="00983D62">
            <w:pPr>
              <w:pStyle w:val="TableParagraph"/>
              <w:spacing w:before="134"/>
              <w:ind w:left="122"/>
              <w:rPr>
                <w:i/>
                <w:color w:val="1D336C"/>
                <w:spacing w:val="-2"/>
                <w:sz w:val="20"/>
              </w:rPr>
            </w:pPr>
            <w:r w:rsidRPr="00C36379">
              <w:rPr>
                <w:i/>
                <w:color w:val="1D336C"/>
                <w:spacing w:val="-2"/>
                <w:sz w:val="20"/>
              </w:rPr>
              <w:t>M</w:t>
            </w:r>
          </w:p>
        </w:tc>
      </w:tr>
      <w:tr w:rsidR="00983D62" w14:paraId="07B3AABD" w14:textId="77777777" w:rsidTr="006E7363">
        <w:trPr>
          <w:trHeight w:val="702"/>
          <w:jc w:val="center"/>
        </w:trPr>
        <w:tc>
          <w:tcPr>
            <w:tcW w:w="2127" w:type="dxa"/>
            <w:shd w:val="clear" w:color="auto" w:fill="F1F1F1"/>
          </w:tcPr>
          <w:p w14:paraId="04082382" w14:textId="57E01E90" w:rsidR="00983D62" w:rsidRDefault="00983D62" w:rsidP="00983D62">
            <w:pPr>
              <w:pStyle w:val="TableParagraph"/>
              <w:spacing w:before="134"/>
              <w:rPr>
                <w:color w:val="1D336C"/>
                <w:sz w:val="20"/>
              </w:rPr>
            </w:pPr>
            <w:proofErr w:type="spellStart"/>
            <w:r w:rsidRPr="00C36379">
              <w:rPr>
                <w:color w:val="1D336C"/>
                <w:sz w:val="20"/>
              </w:rPr>
              <w:lastRenderedPageBreak/>
              <w:t>Nakau</w:t>
            </w:r>
            <w:proofErr w:type="spellEnd"/>
          </w:p>
        </w:tc>
        <w:tc>
          <w:tcPr>
            <w:tcW w:w="4252" w:type="dxa"/>
          </w:tcPr>
          <w:p w14:paraId="4746E0C2" w14:textId="4C01721F"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Nature-based Solutions for Forests and People</w:t>
            </w:r>
          </w:p>
        </w:tc>
        <w:tc>
          <w:tcPr>
            <w:tcW w:w="2126" w:type="dxa"/>
          </w:tcPr>
          <w:p w14:paraId="0529449A" w14:textId="6E83FA1B" w:rsidR="00983D62" w:rsidRPr="00C36379" w:rsidRDefault="00983D62" w:rsidP="00983D62">
            <w:pPr>
              <w:pStyle w:val="TableParagraph"/>
              <w:spacing w:before="134"/>
              <w:ind w:left="191"/>
              <w:rPr>
                <w:i/>
                <w:color w:val="1D336C"/>
                <w:spacing w:val="-2"/>
                <w:sz w:val="20"/>
              </w:rPr>
            </w:pPr>
            <w:r w:rsidRPr="00C36379">
              <w:rPr>
                <w:i/>
                <w:color w:val="1D336C"/>
                <w:spacing w:val="-2"/>
                <w:sz w:val="20"/>
              </w:rPr>
              <w:t>Fiji, PNG, Vanuatu</w:t>
            </w:r>
          </w:p>
        </w:tc>
        <w:tc>
          <w:tcPr>
            <w:tcW w:w="1116" w:type="dxa"/>
          </w:tcPr>
          <w:p w14:paraId="1B397E6C" w14:textId="581EDEC2" w:rsidR="00983D62" w:rsidRPr="00C36379" w:rsidRDefault="00983D62" w:rsidP="00983D62">
            <w:pPr>
              <w:pStyle w:val="TableParagraph"/>
              <w:spacing w:before="134"/>
              <w:ind w:left="122"/>
              <w:rPr>
                <w:i/>
                <w:color w:val="1D336C"/>
                <w:spacing w:val="-2"/>
                <w:sz w:val="20"/>
              </w:rPr>
            </w:pPr>
            <w:r w:rsidRPr="00C36379">
              <w:rPr>
                <w:i/>
                <w:color w:val="1D336C"/>
                <w:spacing w:val="-2"/>
                <w:sz w:val="20"/>
              </w:rPr>
              <w:t>M</w:t>
            </w:r>
          </w:p>
        </w:tc>
      </w:tr>
      <w:tr w:rsidR="00983D62" w14:paraId="7311DBF8" w14:textId="77777777" w:rsidTr="006E7363">
        <w:trPr>
          <w:trHeight w:val="571"/>
          <w:jc w:val="center"/>
        </w:trPr>
        <w:tc>
          <w:tcPr>
            <w:tcW w:w="2127" w:type="dxa"/>
            <w:shd w:val="clear" w:color="auto" w:fill="F1F1F1"/>
          </w:tcPr>
          <w:p w14:paraId="12A9BC4D" w14:textId="3354A98B" w:rsidR="00983D62" w:rsidRDefault="00983D62" w:rsidP="00983D62">
            <w:pPr>
              <w:pStyle w:val="TableParagraph"/>
              <w:spacing w:before="134"/>
              <w:rPr>
                <w:color w:val="1D336C"/>
                <w:sz w:val="20"/>
              </w:rPr>
            </w:pPr>
            <w:r w:rsidRPr="00C36379">
              <w:rPr>
                <w:color w:val="1D336C"/>
                <w:sz w:val="20"/>
              </w:rPr>
              <w:t>World Vision Team</w:t>
            </w:r>
          </w:p>
        </w:tc>
        <w:tc>
          <w:tcPr>
            <w:tcW w:w="4252" w:type="dxa"/>
            <w:shd w:val="clear" w:color="auto" w:fill="F2F2F2" w:themeFill="background1" w:themeFillShade="F2"/>
          </w:tcPr>
          <w:p w14:paraId="14A98CD3" w14:textId="51F91701"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Farmer Managed Natural Regeneration (FMNR) of mangroves and tropical forests</w:t>
            </w:r>
          </w:p>
        </w:tc>
        <w:tc>
          <w:tcPr>
            <w:tcW w:w="2126" w:type="dxa"/>
            <w:shd w:val="clear" w:color="auto" w:fill="F2F2F2" w:themeFill="background1" w:themeFillShade="F2"/>
          </w:tcPr>
          <w:p w14:paraId="478C2CA1" w14:textId="5BF47593" w:rsidR="00983D62" w:rsidRPr="00C36379" w:rsidRDefault="00983D62" w:rsidP="00983D62">
            <w:pPr>
              <w:pStyle w:val="TableParagraph"/>
              <w:spacing w:before="134"/>
              <w:ind w:left="191"/>
              <w:rPr>
                <w:i/>
                <w:color w:val="1D336C"/>
                <w:spacing w:val="-2"/>
                <w:sz w:val="20"/>
              </w:rPr>
            </w:pPr>
            <w:r w:rsidRPr="00C36379">
              <w:rPr>
                <w:i/>
                <w:color w:val="1D336C"/>
                <w:spacing w:val="-2"/>
                <w:sz w:val="20"/>
              </w:rPr>
              <w:t>Solomon Islands</w:t>
            </w:r>
          </w:p>
        </w:tc>
        <w:tc>
          <w:tcPr>
            <w:tcW w:w="1116" w:type="dxa"/>
            <w:shd w:val="clear" w:color="auto" w:fill="F2F2F2" w:themeFill="background1" w:themeFillShade="F2"/>
          </w:tcPr>
          <w:p w14:paraId="6798FC3F" w14:textId="4C4F7E0A" w:rsidR="00983D62" w:rsidRPr="00C36379" w:rsidRDefault="00983D62" w:rsidP="00983D62">
            <w:pPr>
              <w:pStyle w:val="TableParagraph"/>
              <w:spacing w:before="134"/>
              <w:ind w:left="122"/>
              <w:rPr>
                <w:i/>
                <w:color w:val="1D336C"/>
                <w:spacing w:val="-2"/>
                <w:sz w:val="20"/>
              </w:rPr>
            </w:pPr>
            <w:r w:rsidRPr="00C36379">
              <w:rPr>
                <w:i/>
                <w:color w:val="1D336C"/>
                <w:spacing w:val="-2"/>
                <w:sz w:val="20"/>
              </w:rPr>
              <w:t>1F / 3M</w:t>
            </w:r>
          </w:p>
        </w:tc>
      </w:tr>
      <w:tr w:rsidR="00983D62" w14:paraId="76F2A2A6" w14:textId="77777777" w:rsidTr="006E7363">
        <w:trPr>
          <w:trHeight w:val="855"/>
          <w:jc w:val="center"/>
        </w:trPr>
        <w:tc>
          <w:tcPr>
            <w:tcW w:w="2127" w:type="dxa"/>
            <w:shd w:val="clear" w:color="auto" w:fill="F1F1F1"/>
          </w:tcPr>
          <w:p w14:paraId="0F30A631" w14:textId="20A32638" w:rsidR="00983D62" w:rsidRDefault="00983D62" w:rsidP="00983D62">
            <w:pPr>
              <w:pStyle w:val="TableParagraph"/>
              <w:spacing w:before="134"/>
              <w:rPr>
                <w:color w:val="1D336C"/>
                <w:sz w:val="20"/>
              </w:rPr>
            </w:pPr>
            <w:r w:rsidRPr="00C36379">
              <w:rPr>
                <w:color w:val="1D336C"/>
                <w:sz w:val="20"/>
              </w:rPr>
              <w:t xml:space="preserve">World Vision Community of </w:t>
            </w:r>
            <w:proofErr w:type="spellStart"/>
            <w:r w:rsidRPr="00C36379">
              <w:rPr>
                <w:color w:val="1D336C"/>
                <w:sz w:val="20"/>
              </w:rPr>
              <w:t>Sulagwahu</w:t>
            </w:r>
            <w:proofErr w:type="spellEnd"/>
          </w:p>
        </w:tc>
        <w:tc>
          <w:tcPr>
            <w:tcW w:w="4252" w:type="dxa"/>
          </w:tcPr>
          <w:p w14:paraId="58646B42" w14:textId="2DFDEAFE"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Farmer Managed Natural Regeneration (FMNR) of mangroves and tropical forests</w:t>
            </w:r>
          </w:p>
        </w:tc>
        <w:tc>
          <w:tcPr>
            <w:tcW w:w="2126" w:type="dxa"/>
          </w:tcPr>
          <w:p w14:paraId="1F73AB6E" w14:textId="012CD20B" w:rsidR="00983D62" w:rsidRPr="00C36379" w:rsidRDefault="00983D62" w:rsidP="00983D62">
            <w:pPr>
              <w:pStyle w:val="TableParagraph"/>
              <w:spacing w:before="134"/>
              <w:ind w:left="191"/>
              <w:rPr>
                <w:i/>
                <w:color w:val="1D336C"/>
                <w:spacing w:val="-2"/>
                <w:sz w:val="20"/>
              </w:rPr>
            </w:pPr>
            <w:r w:rsidRPr="00C36379">
              <w:rPr>
                <w:i/>
                <w:color w:val="1D336C"/>
                <w:spacing w:val="-2"/>
                <w:sz w:val="20"/>
              </w:rPr>
              <w:t>Solomon Islands</w:t>
            </w:r>
          </w:p>
        </w:tc>
        <w:tc>
          <w:tcPr>
            <w:tcW w:w="1116" w:type="dxa"/>
          </w:tcPr>
          <w:p w14:paraId="33845661" w14:textId="2F829337" w:rsidR="00983D62" w:rsidRPr="00C36379" w:rsidRDefault="00983D62" w:rsidP="00983D62">
            <w:pPr>
              <w:pStyle w:val="TableParagraph"/>
              <w:spacing w:before="134"/>
              <w:ind w:left="122"/>
              <w:rPr>
                <w:i/>
                <w:color w:val="1D336C"/>
                <w:spacing w:val="-2"/>
                <w:sz w:val="20"/>
              </w:rPr>
            </w:pPr>
            <w:r w:rsidRPr="00C36379">
              <w:rPr>
                <w:i/>
                <w:color w:val="1D336C"/>
                <w:spacing w:val="-2"/>
                <w:sz w:val="20"/>
              </w:rPr>
              <w:t>8F / 15M</w:t>
            </w:r>
          </w:p>
        </w:tc>
      </w:tr>
      <w:tr w:rsidR="00983D62" w14:paraId="2D935180" w14:textId="77777777" w:rsidTr="006E7363">
        <w:trPr>
          <w:trHeight w:val="696"/>
          <w:jc w:val="center"/>
        </w:trPr>
        <w:tc>
          <w:tcPr>
            <w:tcW w:w="2127" w:type="dxa"/>
            <w:shd w:val="clear" w:color="auto" w:fill="F1F1F1"/>
          </w:tcPr>
          <w:p w14:paraId="5556AB38" w14:textId="3F5666B2" w:rsidR="00983D62" w:rsidRDefault="00983D62" w:rsidP="00983D62">
            <w:pPr>
              <w:pStyle w:val="TableParagraph"/>
              <w:spacing w:before="134"/>
              <w:rPr>
                <w:color w:val="1D336C"/>
                <w:sz w:val="20"/>
              </w:rPr>
            </w:pPr>
            <w:r w:rsidRPr="00C36379">
              <w:rPr>
                <w:color w:val="1D336C"/>
                <w:sz w:val="20"/>
              </w:rPr>
              <w:t xml:space="preserve">World Vision Community of </w:t>
            </w:r>
            <w:proofErr w:type="spellStart"/>
            <w:r w:rsidRPr="00C36379">
              <w:rPr>
                <w:color w:val="1D336C"/>
                <w:sz w:val="20"/>
              </w:rPr>
              <w:t>A'ama</w:t>
            </w:r>
            <w:proofErr w:type="spellEnd"/>
          </w:p>
        </w:tc>
        <w:tc>
          <w:tcPr>
            <w:tcW w:w="4252" w:type="dxa"/>
            <w:shd w:val="clear" w:color="auto" w:fill="F2F2F2" w:themeFill="background1" w:themeFillShade="F2"/>
          </w:tcPr>
          <w:p w14:paraId="78F3795A" w14:textId="70AE851A"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Farmer Managed Natural Regeneration (FMNR) of mangroves and tropical forests</w:t>
            </w:r>
          </w:p>
        </w:tc>
        <w:tc>
          <w:tcPr>
            <w:tcW w:w="2126" w:type="dxa"/>
            <w:shd w:val="clear" w:color="auto" w:fill="F2F2F2" w:themeFill="background1" w:themeFillShade="F2"/>
          </w:tcPr>
          <w:p w14:paraId="2F83751F" w14:textId="72353512" w:rsidR="00983D62" w:rsidRPr="00C36379" w:rsidRDefault="00983D62" w:rsidP="00983D62">
            <w:pPr>
              <w:pStyle w:val="TableParagraph"/>
              <w:spacing w:before="134"/>
              <w:ind w:left="191"/>
              <w:rPr>
                <w:i/>
                <w:color w:val="1D336C"/>
                <w:spacing w:val="-2"/>
                <w:sz w:val="20"/>
              </w:rPr>
            </w:pPr>
            <w:r w:rsidRPr="00C36379">
              <w:rPr>
                <w:i/>
                <w:color w:val="1D336C"/>
                <w:spacing w:val="-2"/>
                <w:sz w:val="20"/>
              </w:rPr>
              <w:t>Solomon Islands</w:t>
            </w:r>
          </w:p>
        </w:tc>
        <w:tc>
          <w:tcPr>
            <w:tcW w:w="1116" w:type="dxa"/>
            <w:shd w:val="clear" w:color="auto" w:fill="F2F2F2" w:themeFill="background1" w:themeFillShade="F2"/>
          </w:tcPr>
          <w:p w14:paraId="6130F0D0" w14:textId="7E41F2D7" w:rsidR="00983D62" w:rsidRPr="00C36379" w:rsidRDefault="00983D62" w:rsidP="00983D62">
            <w:pPr>
              <w:pStyle w:val="TableParagraph"/>
              <w:spacing w:before="134"/>
              <w:ind w:left="122"/>
              <w:rPr>
                <w:i/>
                <w:color w:val="1D336C"/>
                <w:spacing w:val="-2"/>
                <w:sz w:val="20"/>
              </w:rPr>
            </w:pPr>
            <w:r w:rsidRPr="00C36379">
              <w:rPr>
                <w:i/>
                <w:color w:val="1D336C"/>
                <w:spacing w:val="-2"/>
                <w:sz w:val="20"/>
              </w:rPr>
              <w:t>17F / 28M</w:t>
            </w:r>
          </w:p>
        </w:tc>
      </w:tr>
      <w:tr w:rsidR="00983D62" w14:paraId="2AAA0B47" w14:textId="77777777" w:rsidTr="006E7363">
        <w:trPr>
          <w:trHeight w:val="691"/>
          <w:jc w:val="center"/>
        </w:trPr>
        <w:tc>
          <w:tcPr>
            <w:tcW w:w="2127" w:type="dxa"/>
            <w:shd w:val="clear" w:color="auto" w:fill="F1F1F1"/>
          </w:tcPr>
          <w:p w14:paraId="07AA7199" w14:textId="430E1352" w:rsidR="00983D62" w:rsidRDefault="00983D62" w:rsidP="00983D62">
            <w:pPr>
              <w:pStyle w:val="TableParagraph"/>
              <w:spacing w:before="134"/>
              <w:rPr>
                <w:color w:val="1D336C"/>
                <w:sz w:val="20"/>
              </w:rPr>
            </w:pPr>
            <w:r w:rsidRPr="00C36379">
              <w:rPr>
                <w:color w:val="1D336C"/>
                <w:sz w:val="20"/>
              </w:rPr>
              <w:t xml:space="preserve">World Vision Community of </w:t>
            </w:r>
            <w:proofErr w:type="spellStart"/>
            <w:r w:rsidRPr="00C36379">
              <w:rPr>
                <w:color w:val="1D336C"/>
                <w:sz w:val="20"/>
              </w:rPr>
              <w:t>Kwene</w:t>
            </w:r>
            <w:proofErr w:type="spellEnd"/>
          </w:p>
        </w:tc>
        <w:tc>
          <w:tcPr>
            <w:tcW w:w="4252" w:type="dxa"/>
          </w:tcPr>
          <w:p w14:paraId="30D4A2BF" w14:textId="0E081C51"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Farmer Managed Natural Regeneration (FMNR) of mangroves and tropical forests</w:t>
            </w:r>
          </w:p>
        </w:tc>
        <w:tc>
          <w:tcPr>
            <w:tcW w:w="2126" w:type="dxa"/>
          </w:tcPr>
          <w:p w14:paraId="68743AA6" w14:textId="6832F5A3" w:rsidR="00983D62" w:rsidRPr="00C36379" w:rsidRDefault="00983D62" w:rsidP="00983D62">
            <w:pPr>
              <w:pStyle w:val="TableParagraph"/>
              <w:spacing w:before="134"/>
              <w:ind w:left="191"/>
              <w:rPr>
                <w:i/>
                <w:color w:val="1D336C"/>
                <w:spacing w:val="-2"/>
                <w:sz w:val="20"/>
              </w:rPr>
            </w:pPr>
            <w:r w:rsidRPr="00C36379">
              <w:rPr>
                <w:i/>
                <w:color w:val="1D336C"/>
                <w:spacing w:val="-2"/>
                <w:sz w:val="20"/>
              </w:rPr>
              <w:t>Solomon Islands</w:t>
            </w:r>
          </w:p>
        </w:tc>
        <w:tc>
          <w:tcPr>
            <w:tcW w:w="1116" w:type="dxa"/>
          </w:tcPr>
          <w:p w14:paraId="4DFAD429" w14:textId="0606607C" w:rsidR="00983D62" w:rsidRPr="00C36379" w:rsidRDefault="00983D62" w:rsidP="00983D62">
            <w:pPr>
              <w:pStyle w:val="TableParagraph"/>
              <w:spacing w:before="134"/>
              <w:ind w:left="122"/>
              <w:rPr>
                <w:i/>
                <w:color w:val="1D336C"/>
                <w:spacing w:val="-2"/>
                <w:sz w:val="20"/>
              </w:rPr>
            </w:pPr>
            <w:r w:rsidRPr="00C36379">
              <w:rPr>
                <w:i/>
                <w:color w:val="1D336C"/>
                <w:spacing w:val="-2"/>
                <w:sz w:val="20"/>
              </w:rPr>
              <w:t>7F / 9M</w:t>
            </w:r>
          </w:p>
        </w:tc>
      </w:tr>
      <w:tr w:rsidR="00983D62" w14:paraId="0C145864" w14:textId="77777777" w:rsidTr="006E7363">
        <w:trPr>
          <w:trHeight w:val="844"/>
          <w:jc w:val="center"/>
        </w:trPr>
        <w:tc>
          <w:tcPr>
            <w:tcW w:w="2127" w:type="dxa"/>
            <w:shd w:val="clear" w:color="auto" w:fill="F1F1F1"/>
          </w:tcPr>
          <w:p w14:paraId="587F6939" w14:textId="3DB02899" w:rsidR="00983D62" w:rsidRDefault="00983D62" w:rsidP="00983D62">
            <w:pPr>
              <w:pStyle w:val="TableParagraph"/>
              <w:spacing w:before="134"/>
              <w:rPr>
                <w:color w:val="1D336C"/>
                <w:sz w:val="20"/>
              </w:rPr>
            </w:pPr>
            <w:r w:rsidRPr="00C36379">
              <w:rPr>
                <w:color w:val="1D336C"/>
                <w:sz w:val="20"/>
              </w:rPr>
              <w:t xml:space="preserve">World Vision Community of </w:t>
            </w:r>
            <w:proofErr w:type="spellStart"/>
            <w:r w:rsidRPr="00C36379">
              <w:rPr>
                <w:color w:val="1D336C"/>
                <w:sz w:val="20"/>
              </w:rPr>
              <w:t>Manakwai</w:t>
            </w:r>
            <w:proofErr w:type="spellEnd"/>
          </w:p>
        </w:tc>
        <w:tc>
          <w:tcPr>
            <w:tcW w:w="4252" w:type="dxa"/>
            <w:shd w:val="clear" w:color="auto" w:fill="F2F2F2" w:themeFill="background1" w:themeFillShade="F2"/>
          </w:tcPr>
          <w:p w14:paraId="2AF4A605" w14:textId="2A124E39"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Farmer Managed Natural Regeneration (FMNR) of mangroves and tropical forests</w:t>
            </w:r>
          </w:p>
        </w:tc>
        <w:tc>
          <w:tcPr>
            <w:tcW w:w="2126" w:type="dxa"/>
            <w:shd w:val="clear" w:color="auto" w:fill="F2F2F2" w:themeFill="background1" w:themeFillShade="F2"/>
          </w:tcPr>
          <w:p w14:paraId="0691E064" w14:textId="1B4FB5FA" w:rsidR="00983D62" w:rsidRPr="00C36379" w:rsidRDefault="00983D62" w:rsidP="00983D62">
            <w:pPr>
              <w:pStyle w:val="TableParagraph"/>
              <w:spacing w:before="134"/>
              <w:ind w:left="191"/>
              <w:rPr>
                <w:i/>
                <w:color w:val="1D336C"/>
                <w:spacing w:val="-2"/>
                <w:sz w:val="20"/>
              </w:rPr>
            </w:pPr>
            <w:r w:rsidRPr="00C36379">
              <w:rPr>
                <w:i/>
                <w:color w:val="1D336C"/>
                <w:spacing w:val="-2"/>
                <w:sz w:val="20"/>
              </w:rPr>
              <w:t>Solomon Islands</w:t>
            </w:r>
          </w:p>
        </w:tc>
        <w:tc>
          <w:tcPr>
            <w:tcW w:w="1116" w:type="dxa"/>
            <w:shd w:val="clear" w:color="auto" w:fill="F2F2F2" w:themeFill="background1" w:themeFillShade="F2"/>
          </w:tcPr>
          <w:p w14:paraId="255A1640" w14:textId="5C05066B" w:rsidR="00983D62" w:rsidRPr="00C36379" w:rsidRDefault="00983D62" w:rsidP="00983D62">
            <w:pPr>
              <w:pStyle w:val="TableParagraph"/>
              <w:spacing w:before="134"/>
              <w:ind w:left="122"/>
              <w:rPr>
                <w:i/>
                <w:color w:val="1D336C"/>
                <w:spacing w:val="-2"/>
                <w:sz w:val="20"/>
              </w:rPr>
            </w:pPr>
            <w:r w:rsidRPr="00C36379">
              <w:rPr>
                <w:i/>
                <w:color w:val="1D336C"/>
                <w:spacing w:val="-2"/>
                <w:sz w:val="20"/>
              </w:rPr>
              <w:t>7F / 12M</w:t>
            </w:r>
          </w:p>
        </w:tc>
      </w:tr>
      <w:tr w:rsidR="00983D62" w14:paraId="357480A6" w14:textId="77777777" w:rsidTr="006E7363">
        <w:trPr>
          <w:trHeight w:val="997"/>
          <w:jc w:val="center"/>
        </w:trPr>
        <w:tc>
          <w:tcPr>
            <w:tcW w:w="2127" w:type="dxa"/>
            <w:shd w:val="clear" w:color="auto" w:fill="F1F1F1"/>
          </w:tcPr>
          <w:p w14:paraId="038F9E38" w14:textId="38ACF938" w:rsidR="00983D62" w:rsidRDefault="00983D62" w:rsidP="00983D62">
            <w:pPr>
              <w:pStyle w:val="TableParagraph"/>
              <w:spacing w:before="134"/>
              <w:rPr>
                <w:color w:val="1D336C"/>
                <w:sz w:val="20"/>
              </w:rPr>
            </w:pPr>
            <w:r w:rsidRPr="00C36379">
              <w:rPr>
                <w:color w:val="1D336C"/>
                <w:sz w:val="20"/>
              </w:rPr>
              <w:t>Save The Children Team</w:t>
            </w:r>
          </w:p>
        </w:tc>
        <w:tc>
          <w:tcPr>
            <w:tcW w:w="4252" w:type="dxa"/>
          </w:tcPr>
          <w:p w14:paraId="37B56C10" w14:textId="5EE1A3F9"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Sustainable Community Climate Resilience through Nature-based Solutions in Papua New Guinea and Solomon Islands</w:t>
            </w:r>
          </w:p>
        </w:tc>
        <w:tc>
          <w:tcPr>
            <w:tcW w:w="2126" w:type="dxa"/>
          </w:tcPr>
          <w:p w14:paraId="45FF719C" w14:textId="115C5E01" w:rsidR="00983D62" w:rsidRPr="00C36379" w:rsidRDefault="00983D62" w:rsidP="00983D62">
            <w:pPr>
              <w:pStyle w:val="TableParagraph"/>
              <w:spacing w:before="134"/>
              <w:ind w:left="191"/>
              <w:rPr>
                <w:i/>
                <w:color w:val="1D336C"/>
                <w:spacing w:val="-2"/>
                <w:sz w:val="20"/>
              </w:rPr>
            </w:pPr>
            <w:r w:rsidRPr="00C36379">
              <w:rPr>
                <w:i/>
                <w:color w:val="1D336C"/>
                <w:spacing w:val="-2"/>
                <w:sz w:val="20"/>
              </w:rPr>
              <w:t>Solomon Islands</w:t>
            </w:r>
          </w:p>
        </w:tc>
        <w:tc>
          <w:tcPr>
            <w:tcW w:w="1116" w:type="dxa"/>
          </w:tcPr>
          <w:p w14:paraId="73B658AB" w14:textId="1F8EF7F9" w:rsidR="00983D62" w:rsidRPr="00C36379" w:rsidRDefault="00983D62" w:rsidP="00983D62">
            <w:pPr>
              <w:pStyle w:val="TableParagraph"/>
              <w:spacing w:before="134"/>
              <w:ind w:left="122"/>
              <w:rPr>
                <w:i/>
                <w:color w:val="1D336C"/>
                <w:spacing w:val="-2"/>
                <w:sz w:val="20"/>
              </w:rPr>
            </w:pPr>
            <w:r w:rsidRPr="00C36379">
              <w:rPr>
                <w:i/>
                <w:color w:val="1D336C"/>
                <w:spacing w:val="-2"/>
                <w:sz w:val="20"/>
              </w:rPr>
              <w:t>1F / 4M</w:t>
            </w:r>
          </w:p>
        </w:tc>
      </w:tr>
      <w:tr w:rsidR="00983D62" w14:paraId="3DFA2EC7" w14:textId="77777777" w:rsidTr="006E7363">
        <w:trPr>
          <w:trHeight w:val="969"/>
          <w:jc w:val="center"/>
        </w:trPr>
        <w:tc>
          <w:tcPr>
            <w:tcW w:w="2127" w:type="dxa"/>
            <w:shd w:val="clear" w:color="auto" w:fill="F1F1F1"/>
          </w:tcPr>
          <w:p w14:paraId="517822C4" w14:textId="4ACBDA5B" w:rsidR="00983D62" w:rsidRDefault="00983D62" w:rsidP="00983D62">
            <w:pPr>
              <w:pStyle w:val="TableParagraph"/>
              <w:spacing w:before="134"/>
              <w:rPr>
                <w:color w:val="1D336C"/>
                <w:sz w:val="20"/>
              </w:rPr>
            </w:pPr>
            <w:r w:rsidRPr="00C36379">
              <w:rPr>
                <w:color w:val="1D336C"/>
                <w:sz w:val="20"/>
              </w:rPr>
              <w:t>Save The Children Community of One Para</w:t>
            </w:r>
          </w:p>
        </w:tc>
        <w:tc>
          <w:tcPr>
            <w:tcW w:w="4252" w:type="dxa"/>
            <w:shd w:val="clear" w:color="auto" w:fill="F2F2F2" w:themeFill="background1" w:themeFillShade="F2"/>
          </w:tcPr>
          <w:p w14:paraId="08DA9777" w14:textId="0984B92B"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Sustainable Community Climate Resilience through Nature-based Solutions in Papua New Guinea and Solomon Islands</w:t>
            </w:r>
          </w:p>
        </w:tc>
        <w:tc>
          <w:tcPr>
            <w:tcW w:w="2126" w:type="dxa"/>
            <w:shd w:val="clear" w:color="auto" w:fill="F2F2F2" w:themeFill="background1" w:themeFillShade="F2"/>
          </w:tcPr>
          <w:p w14:paraId="44F1770A" w14:textId="43C04D82" w:rsidR="00983D62" w:rsidRPr="00C36379" w:rsidRDefault="00983D62" w:rsidP="00983D62">
            <w:pPr>
              <w:pStyle w:val="TableParagraph"/>
              <w:spacing w:before="134"/>
              <w:ind w:left="191"/>
              <w:rPr>
                <w:i/>
                <w:color w:val="1D336C"/>
                <w:spacing w:val="-2"/>
                <w:sz w:val="20"/>
              </w:rPr>
            </w:pPr>
            <w:r w:rsidRPr="00C36379">
              <w:rPr>
                <w:i/>
                <w:color w:val="1D336C"/>
                <w:spacing w:val="-2"/>
                <w:sz w:val="20"/>
              </w:rPr>
              <w:t>Solomon Islands</w:t>
            </w:r>
          </w:p>
        </w:tc>
        <w:tc>
          <w:tcPr>
            <w:tcW w:w="1116" w:type="dxa"/>
            <w:shd w:val="clear" w:color="auto" w:fill="F2F2F2" w:themeFill="background1" w:themeFillShade="F2"/>
          </w:tcPr>
          <w:p w14:paraId="7E70870E" w14:textId="436A587B" w:rsidR="00983D62" w:rsidRPr="00C36379" w:rsidRDefault="00983D62" w:rsidP="00983D62">
            <w:pPr>
              <w:pStyle w:val="TableParagraph"/>
              <w:spacing w:before="134"/>
              <w:ind w:left="122"/>
              <w:rPr>
                <w:i/>
                <w:color w:val="1D336C"/>
                <w:spacing w:val="-2"/>
                <w:sz w:val="20"/>
              </w:rPr>
            </w:pPr>
            <w:r w:rsidRPr="00C36379">
              <w:rPr>
                <w:i/>
                <w:color w:val="1D336C"/>
                <w:spacing w:val="-2"/>
                <w:sz w:val="20"/>
              </w:rPr>
              <w:t>4M</w:t>
            </w:r>
          </w:p>
        </w:tc>
      </w:tr>
      <w:tr w:rsidR="00983D62" w14:paraId="037233A8" w14:textId="77777777" w:rsidTr="006E7363">
        <w:trPr>
          <w:trHeight w:val="984"/>
          <w:jc w:val="center"/>
        </w:trPr>
        <w:tc>
          <w:tcPr>
            <w:tcW w:w="2127" w:type="dxa"/>
            <w:shd w:val="clear" w:color="auto" w:fill="F1F1F1"/>
          </w:tcPr>
          <w:p w14:paraId="41E16A86" w14:textId="61D141DF" w:rsidR="00983D62" w:rsidRDefault="00983D62" w:rsidP="00983D62">
            <w:pPr>
              <w:pStyle w:val="TableParagraph"/>
              <w:spacing w:before="134"/>
              <w:rPr>
                <w:color w:val="1D336C"/>
                <w:sz w:val="20"/>
              </w:rPr>
            </w:pPr>
            <w:r w:rsidRPr="00C36379">
              <w:rPr>
                <w:color w:val="1D336C"/>
                <w:sz w:val="20"/>
              </w:rPr>
              <w:t xml:space="preserve">Save The Children Community of </w:t>
            </w:r>
            <w:proofErr w:type="spellStart"/>
            <w:r w:rsidRPr="00C36379">
              <w:rPr>
                <w:color w:val="1D336C"/>
                <w:sz w:val="20"/>
              </w:rPr>
              <w:t>Aruaru</w:t>
            </w:r>
            <w:proofErr w:type="spellEnd"/>
            <w:r w:rsidRPr="00C36379">
              <w:rPr>
                <w:color w:val="1D336C"/>
                <w:sz w:val="20"/>
              </w:rPr>
              <w:t xml:space="preserve">- </w:t>
            </w:r>
            <w:proofErr w:type="spellStart"/>
            <w:r w:rsidRPr="00C36379">
              <w:rPr>
                <w:color w:val="1D336C"/>
                <w:sz w:val="20"/>
              </w:rPr>
              <w:t>Hauhari</w:t>
            </w:r>
            <w:proofErr w:type="spellEnd"/>
          </w:p>
        </w:tc>
        <w:tc>
          <w:tcPr>
            <w:tcW w:w="4252" w:type="dxa"/>
          </w:tcPr>
          <w:p w14:paraId="7FC07589" w14:textId="33D8E406"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Sustainable Community Climate Resilience through Nature-based Solutions in Papua New Guinea and Solomon Islands</w:t>
            </w:r>
          </w:p>
        </w:tc>
        <w:tc>
          <w:tcPr>
            <w:tcW w:w="2126" w:type="dxa"/>
          </w:tcPr>
          <w:p w14:paraId="156A0754" w14:textId="22B0961E" w:rsidR="00983D62" w:rsidRPr="00C36379" w:rsidRDefault="00983D62" w:rsidP="00983D62">
            <w:pPr>
              <w:pStyle w:val="TableParagraph"/>
              <w:spacing w:before="134"/>
              <w:ind w:left="191"/>
              <w:rPr>
                <w:i/>
                <w:color w:val="1D336C"/>
                <w:spacing w:val="-2"/>
                <w:sz w:val="20"/>
              </w:rPr>
            </w:pPr>
            <w:r w:rsidRPr="00C36379">
              <w:rPr>
                <w:i/>
                <w:color w:val="1D336C"/>
                <w:spacing w:val="-2"/>
                <w:sz w:val="20"/>
              </w:rPr>
              <w:t>Solomon Islands</w:t>
            </w:r>
          </w:p>
        </w:tc>
        <w:tc>
          <w:tcPr>
            <w:tcW w:w="1116" w:type="dxa"/>
          </w:tcPr>
          <w:p w14:paraId="1FA7CD0D" w14:textId="6B7BD1DD" w:rsidR="00983D62" w:rsidRPr="00C36379" w:rsidRDefault="00983D62" w:rsidP="00983D62">
            <w:pPr>
              <w:pStyle w:val="TableParagraph"/>
              <w:spacing w:before="134"/>
              <w:ind w:left="122"/>
              <w:rPr>
                <w:i/>
                <w:color w:val="1D336C"/>
                <w:spacing w:val="-2"/>
                <w:sz w:val="20"/>
              </w:rPr>
            </w:pPr>
            <w:r w:rsidRPr="00C36379">
              <w:rPr>
                <w:i/>
                <w:color w:val="1D336C"/>
                <w:spacing w:val="-2"/>
                <w:sz w:val="20"/>
              </w:rPr>
              <w:t>6F /12M</w:t>
            </w:r>
          </w:p>
        </w:tc>
      </w:tr>
      <w:tr w:rsidR="00983D62" w14:paraId="39A3A4AE" w14:textId="77777777" w:rsidTr="006E7363">
        <w:trPr>
          <w:trHeight w:val="557"/>
          <w:jc w:val="center"/>
        </w:trPr>
        <w:tc>
          <w:tcPr>
            <w:tcW w:w="2127" w:type="dxa"/>
            <w:shd w:val="clear" w:color="auto" w:fill="F1F1F1"/>
          </w:tcPr>
          <w:p w14:paraId="4F3475E5" w14:textId="082F0ABE" w:rsidR="00983D62" w:rsidRDefault="00983D62" w:rsidP="00983D62">
            <w:pPr>
              <w:pStyle w:val="TableParagraph"/>
              <w:spacing w:before="134"/>
              <w:rPr>
                <w:color w:val="1D336C"/>
                <w:sz w:val="20"/>
              </w:rPr>
            </w:pPr>
            <w:r w:rsidRPr="00C36379">
              <w:rPr>
                <w:color w:val="1D336C"/>
                <w:sz w:val="20"/>
              </w:rPr>
              <w:t>WWF Pacific Team</w:t>
            </w:r>
          </w:p>
        </w:tc>
        <w:tc>
          <w:tcPr>
            <w:tcW w:w="4252" w:type="dxa"/>
            <w:shd w:val="clear" w:color="auto" w:fill="F2F2F2" w:themeFill="background1" w:themeFillShade="F2"/>
          </w:tcPr>
          <w:p w14:paraId="2A9B9F12" w14:textId="0FBBCD74"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Nature-Positive Business for Climate Critical Ecosystems (NPBCCE)</w:t>
            </w:r>
          </w:p>
        </w:tc>
        <w:tc>
          <w:tcPr>
            <w:tcW w:w="2126" w:type="dxa"/>
            <w:shd w:val="clear" w:color="auto" w:fill="F2F2F2" w:themeFill="background1" w:themeFillShade="F2"/>
          </w:tcPr>
          <w:p w14:paraId="2F3236F4" w14:textId="32C597FC" w:rsidR="00983D62" w:rsidRPr="00C36379" w:rsidRDefault="00983D62" w:rsidP="00983D62">
            <w:pPr>
              <w:pStyle w:val="TableParagraph"/>
              <w:spacing w:before="134"/>
              <w:ind w:left="191"/>
              <w:rPr>
                <w:i/>
                <w:color w:val="1D336C"/>
                <w:spacing w:val="-2"/>
                <w:sz w:val="20"/>
              </w:rPr>
            </w:pPr>
            <w:r w:rsidRPr="00C36379">
              <w:rPr>
                <w:i/>
                <w:color w:val="1D336C"/>
                <w:spacing w:val="-2"/>
                <w:sz w:val="20"/>
              </w:rPr>
              <w:t>Fiji</w:t>
            </w:r>
          </w:p>
        </w:tc>
        <w:tc>
          <w:tcPr>
            <w:tcW w:w="1116" w:type="dxa"/>
            <w:shd w:val="clear" w:color="auto" w:fill="F2F2F2" w:themeFill="background1" w:themeFillShade="F2"/>
          </w:tcPr>
          <w:p w14:paraId="3472F812" w14:textId="616464E7" w:rsidR="00983D62" w:rsidRPr="00C36379" w:rsidRDefault="00983D62" w:rsidP="00983D62">
            <w:pPr>
              <w:pStyle w:val="TableParagraph"/>
              <w:spacing w:before="134"/>
              <w:ind w:left="122"/>
              <w:rPr>
                <w:i/>
                <w:color w:val="1D336C"/>
                <w:spacing w:val="-2"/>
                <w:sz w:val="20"/>
              </w:rPr>
            </w:pPr>
            <w:r w:rsidRPr="00C36379">
              <w:rPr>
                <w:i/>
                <w:color w:val="1D336C"/>
                <w:spacing w:val="-2"/>
                <w:sz w:val="20"/>
              </w:rPr>
              <w:t>4F / 2M</w:t>
            </w:r>
          </w:p>
        </w:tc>
      </w:tr>
      <w:tr w:rsidR="00983D62" w14:paraId="0BE185F1" w14:textId="77777777" w:rsidTr="006E7363">
        <w:trPr>
          <w:trHeight w:val="696"/>
          <w:jc w:val="center"/>
        </w:trPr>
        <w:tc>
          <w:tcPr>
            <w:tcW w:w="2127" w:type="dxa"/>
            <w:shd w:val="clear" w:color="auto" w:fill="F1F1F1"/>
          </w:tcPr>
          <w:p w14:paraId="19FD6335" w14:textId="637FE142" w:rsidR="00983D62" w:rsidRDefault="00983D62" w:rsidP="00983D62">
            <w:pPr>
              <w:pStyle w:val="TableParagraph"/>
              <w:spacing w:before="134"/>
              <w:rPr>
                <w:color w:val="1D336C"/>
                <w:sz w:val="20"/>
              </w:rPr>
            </w:pPr>
            <w:r w:rsidRPr="00C36379">
              <w:rPr>
                <w:color w:val="1D336C"/>
                <w:sz w:val="20"/>
              </w:rPr>
              <w:t>CRS / Caritas Team</w:t>
            </w:r>
          </w:p>
        </w:tc>
        <w:tc>
          <w:tcPr>
            <w:tcW w:w="4252" w:type="dxa"/>
          </w:tcPr>
          <w:p w14:paraId="28D398A9" w14:textId="4EE46A3F"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Transforming Rural Lives through Adaptation and Carbon Capture (TRACC) Project</w:t>
            </w:r>
          </w:p>
        </w:tc>
        <w:tc>
          <w:tcPr>
            <w:tcW w:w="2126" w:type="dxa"/>
          </w:tcPr>
          <w:p w14:paraId="58944BE8" w14:textId="3F4878D1" w:rsidR="00983D62" w:rsidRPr="00C36379" w:rsidRDefault="00983D62" w:rsidP="00983D62">
            <w:pPr>
              <w:pStyle w:val="TableParagraph"/>
              <w:spacing w:before="134"/>
              <w:ind w:left="191"/>
              <w:rPr>
                <w:i/>
                <w:color w:val="1D336C"/>
                <w:spacing w:val="-2"/>
                <w:sz w:val="20"/>
              </w:rPr>
            </w:pPr>
            <w:r w:rsidRPr="00C36379">
              <w:rPr>
                <w:i/>
                <w:color w:val="1D336C"/>
                <w:spacing w:val="-2"/>
                <w:sz w:val="20"/>
              </w:rPr>
              <w:t>Timor-Leste</w:t>
            </w:r>
          </w:p>
        </w:tc>
        <w:tc>
          <w:tcPr>
            <w:tcW w:w="1116" w:type="dxa"/>
          </w:tcPr>
          <w:p w14:paraId="4C30EC2E" w14:textId="5A4FB095" w:rsidR="00983D62" w:rsidRPr="00C36379" w:rsidRDefault="00983D62" w:rsidP="00983D62">
            <w:pPr>
              <w:pStyle w:val="TableParagraph"/>
              <w:spacing w:before="134"/>
              <w:ind w:left="122"/>
              <w:rPr>
                <w:i/>
                <w:color w:val="1D336C"/>
                <w:spacing w:val="-2"/>
                <w:sz w:val="20"/>
              </w:rPr>
            </w:pPr>
            <w:r w:rsidRPr="00C36379">
              <w:rPr>
                <w:i/>
                <w:color w:val="1D336C"/>
                <w:spacing w:val="-2"/>
                <w:sz w:val="20"/>
              </w:rPr>
              <w:t>2F / 1M</w:t>
            </w:r>
          </w:p>
        </w:tc>
      </w:tr>
      <w:tr w:rsidR="00983D62" w14:paraId="08A7AF53" w14:textId="77777777" w:rsidTr="006E7363">
        <w:trPr>
          <w:trHeight w:val="692"/>
          <w:jc w:val="center"/>
        </w:trPr>
        <w:tc>
          <w:tcPr>
            <w:tcW w:w="2127" w:type="dxa"/>
            <w:shd w:val="clear" w:color="auto" w:fill="F1F1F1"/>
          </w:tcPr>
          <w:p w14:paraId="65DC313C" w14:textId="3E3628FC" w:rsidR="00983D62" w:rsidRDefault="00983D62" w:rsidP="00983D62">
            <w:pPr>
              <w:pStyle w:val="TableParagraph"/>
              <w:spacing w:before="134"/>
              <w:rPr>
                <w:color w:val="1D336C"/>
                <w:sz w:val="20"/>
              </w:rPr>
            </w:pPr>
            <w:r w:rsidRPr="00C36379">
              <w:rPr>
                <w:color w:val="1D336C"/>
                <w:sz w:val="20"/>
              </w:rPr>
              <w:t xml:space="preserve">CRS / Caritas Community of </w:t>
            </w:r>
            <w:proofErr w:type="spellStart"/>
            <w:r w:rsidRPr="00C36379">
              <w:rPr>
                <w:color w:val="1D336C"/>
                <w:sz w:val="20"/>
              </w:rPr>
              <w:t>Bibileo</w:t>
            </w:r>
            <w:proofErr w:type="spellEnd"/>
          </w:p>
        </w:tc>
        <w:tc>
          <w:tcPr>
            <w:tcW w:w="4252" w:type="dxa"/>
            <w:shd w:val="clear" w:color="auto" w:fill="F2F2F2" w:themeFill="background1" w:themeFillShade="F2"/>
          </w:tcPr>
          <w:p w14:paraId="4B59BDF6" w14:textId="6AAD2615"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Transforming Rural Lives through Adaptation and Carbon Capture (TRACC) Project</w:t>
            </w:r>
          </w:p>
        </w:tc>
        <w:tc>
          <w:tcPr>
            <w:tcW w:w="2126" w:type="dxa"/>
            <w:shd w:val="clear" w:color="auto" w:fill="F2F2F2" w:themeFill="background1" w:themeFillShade="F2"/>
          </w:tcPr>
          <w:p w14:paraId="4CD9672D" w14:textId="28E8FA86" w:rsidR="00983D62" w:rsidRPr="00C36379" w:rsidRDefault="00983D62" w:rsidP="00983D62">
            <w:pPr>
              <w:pStyle w:val="TableParagraph"/>
              <w:spacing w:before="134"/>
              <w:ind w:left="191"/>
              <w:rPr>
                <w:i/>
                <w:color w:val="1D336C"/>
                <w:spacing w:val="-2"/>
                <w:sz w:val="20"/>
              </w:rPr>
            </w:pPr>
            <w:r w:rsidRPr="00C36379">
              <w:rPr>
                <w:i/>
                <w:color w:val="1D336C"/>
                <w:spacing w:val="-2"/>
                <w:sz w:val="20"/>
              </w:rPr>
              <w:t>Timor-Leste</w:t>
            </w:r>
          </w:p>
        </w:tc>
        <w:tc>
          <w:tcPr>
            <w:tcW w:w="1116" w:type="dxa"/>
            <w:shd w:val="clear" w:color="auto" w:fill="F2F2F2" w:themeFill="background1" w:themeFillShade="F2"/>
          </w:tcPr>
          <w:p w14:paraId="4B57F6E6" w14:textId="0CDF9F41" w:rsidR="00983D62" w:rsidRPr="00C36379" w:rsidRDefault="00983D62" w:rsidP="00983D62">
            <w:pPr>
              <w:pStyle w:val="TableParagraph"/>
              <w:spacing w:before="134"/>
              <w:ind w:left="122"/>
              <w:rPr>
                <w:i/>
                <w:color w:val="1D336C"/>
                <w:spacing w:val="-2"/>
                <w:sz w:val="20"/>
              </w:rPr>
            </w:pPr>
            <w:r w:rsidRPr="00C36379">
              <w:rPr>
                <w:i/>
                <w:color w:val="1D336C"/>
                <w:spacing w:val="-2"/>
                <w:sz w:val="20"/>
              </w:rPr>
              <w:t>7F / 11M</w:t>
            </w:r>
          </w:p>
        </w:tc>
      </w:tr>
      <w:tr w:rsidR="00983D62" w14:paraId="18A73E9B" w14:textId="77777777" w:rsidTr="006E7363">
        <w:trPr>
          <w:trHeight w:val="716"/>
          <w:jc w:val="center"/>
        </w:trPr>
        <w:tc>
          <w:tcPr>
            <w:tcW w:w="2127" w:type="dxa"/>
            <w:shd w:val="clear" w:color="auto" w:fill="F1F1F1"/>
          </w:tcPr>
          <w:p w14:paraId="23FDA77F" w14:textId="79ED3968" w:rsidR="00983D62" w:rsidRDefault="00983D62" w:rsidP="00983D62">
            <w:pPr>
              <w:pStyle w:val="TableParagraph"/>
              <w:spacing w:before="134"/>
              <w:rPr>
                <w:color w:val="1D336C"/>
                <w:sz w:val="20"/>
              </w:rPr>
            </w:pPr>
            <w:r w:rsidRPr="00C36379">
              <w:rPr>
                <w:color w:val="1D336C"/>
                <w:sz w:val="20"/>
              </w:rPr>
              <w:t xml:space="preserve">CRS / Caritas Community of </w:t>
            </w:r>
            <w:proofErr w:type="spellStart"/>
            <w:r w:rsidRPr="00C36379">
              <w:rPr>
                <w:color w:val="1D336C"/>
                <w:sz w:val="20"/>
              </w:rPr>
              <w:t>Uaguia</w:t>
            </w:r>
            <w:proofErr w:type="spellEnd"/>
          </w:p>
        </w:tc>
        <w:tc>
          <w:tcPr>
            <w:tcW w:w="4252" w:type="dxa"/>
          </w:tcPr>
          <w:p w14:paraId="550F6A48" w14:textId="133621EC"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Transforming Rural Lives through Adaptation and Carbon Capture (TRACC) Project</w:t>
            </w:r>
          </w:p>
        </w:tc>
        <w:tc>
          <w:tcPr>
            <w:tcW w:w="2126" w:type="dxa"/>
          </w:tcPr>
          <w:p w14:paraId="4B6D405F" w14:textId="1637CC3F" w:rsidR="00983D62" w:rsidRPr="00C36379" w:rsidRDefault="00983D62" w:rsidP="00983D62">
            <w:pPr>
              <w:pStyle w:val="TableParagraph"/>
              <w:spacing w:before="134"/>
              <w:ind w:left="191"/>
              <w:rPr>
                <w:i/>
                <w:color w:val="1D336C"/>
                <w:spacing w:val="-2"/>
                <w:sz w:val="20"/>
              </w:rPr>
            </w:pPr>
            <w:r w:rsidRPr="00C36379">
              <w:rPr>
                <w:i/>
                <w:color w:val="1D336C"/>
                <w:spacing w:val="-2"/>
                <w:sz w:val="20"/>
              </w:rPr>
              <w:t>Timor-Leste</w:t>
            </w:r>
          </w:p>
        </w:tc>
        <w:tc>
          <w:tcPr>
            <w:tcW w:w="1116" w:type="dxa"/>
          </w:tcPr>
          <w:p w14:paraId="394B4BC9" w14:textId="75A35650" w:rsidR="00983D62" w:rsidRPr="00C36379" w:rsidRDefault="00983D62" w:rsidP="00983D62">
            <w:pPr>
              <w:pStyle w:val="TableParagraph"/>
              <w:spacing w:before="134"/>
              <w:ind w:left="122"/>
              <w:rPr>
                <w:i/>
                <w:color w:val="1D336C"/>
                <w:spacing w:val="-2"/>
                <w:sz w:val="20"/>
              </w:rPr>
            </w:pPr>
            <w:r w:rsidRPr="00C36379">
              <w:rPr>
                <w:i/>
                <w:color w:val="1D336C"/>
                <w:spacing w:val="-2"/>
                <w:sz w:val="20"/>
              </w:rPr>
              <w:t>8F / 14M</w:t>
            </w:r>
          </w:p>
        </w:tc>
      </w:tr>
      <w:tr w:rsidR="00983D62" w14:paraId="44ABC155" w14:textId="77777777" w:rsidTr="006E7363">
        <w:trPr>
          <w:trHeight w:val="697"/>
          <w:jc w:val="center"/>
        </w:trPr>
        <w:tc>
          <w:tcPr>
            <w:tcW w:w="2127" w:type="dxa"/>
            <w:shd w:val="clear" w:color="auto" w:fill="F1F1F1"/>
          </w:tcPr>
          <w:p w14:paraId="631978F4" w14:textId="16333B91" w:rsidR="00983D62" w:rsidRDefault="00983D62" w:rsidP="00983D62">
            <w:pPr>
              <w:pStyle w:val="TableParagraph"/>
              <w:spacing w:before="134"/>
              <w:rPr>
                <w:color w:val="1D336C"/>
                <w:sz w:val="20"/>
              </w:rPr>
            </w:pPr>
            <w:r w:rsidRPr="00C36379">
              <w:rPr>
                <w:color w:val="1D336C"/>
                <w:sz w:val="20"/>
              </w:rPr>
              <w:t xml:space="preserve">CRS / Caritas Community of </w:t>
            </w:r>
            <w:proofErr w:type="spellStart"/>
            <w:r w:rsidRPr="00C36379">
              <w:rPr>
                <w:color w:val="1D336C"/>
                <w:sz w:val="20"/>
              </w:rPr>
              <w:t>Bualale</w:t>
            </w:r>
            <w:proofErr w:type="spellEnd"/>
          </w:p>
        </w:tc>
        <w:tc>
          <w:tcPr>
            <w:tcW w:w="4252" w:type="dxa"/>
            <w:shd w:val="clear" w:color="auto" w:fill="F2F2F2" w:themeFill="background1" w:themeFillShade="F2"/>
          </w:tcPr>
          <w:p w14:paraId="63420EC4" w14:textId="04909E47"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Transforming Rural Lives through Adaptation and Carbon Capture (TRACC) Project</w:t>
            </w:r>
          </w:p>
        </w:tc>
        <w:tc>
          <w:tcPr>
            <w:tcW w:w="2126" w:type="dxa"/>
            <w:shd w:val="clear" w:color="auto" w:fill="F2F2F2" w:themeFill="background1" w:themeFillShade="F2"/>
          </w:tcPr>
          <w:p w14:paraId="783D6525" w14:textId="5BA7D0B2" w:rsidR="00983D62" w:rsidRPr="00C36379" w:rsidRDefault="00983D62" w:rsidP="00983D62">
            <w:pPr>
              <w:pStyle w:val="TableParagraph"/>
              <w:spacing w:before="134"/>
              <w:ind w:left="191"/>
              <w:rPr>
                <w:i/>
                <w:color w:val="1D336C"/>
                <w:spacing w:val="-2"/>
                <w:sz w:val="20"/>
              </w:rPr>
            </w:pPr>
            <w:r w:rsidRPr="00C36379">
              <w:rPr>
                <w:i/>
                <w:color w:val="1D336C"/>
                <w:spacing w:val="-2"/>
                <w:sz w:val="20"/>
              </w:rPr>
              <w:t>Timor-Leste</w:t>
            </w:r>
          </w:p>
        </w:tc>
        <w:tc>
          <w:tcPr>
            <w:tcW w:w="1116" w:type="dxa"/>
            <w:shd w:val="clear" w:color="auto" w:fill="F2F2F2" w:themeFill="background1" w:themeFillShade="F2"/>
          </w:tcPr>
          <w:p w14:paraId="665E2484" w14:textId="4FFE2EA1" w:rsidR="00983D62" w:rsidRPr="00C36379" w:rsidRDefault="00983D62" w:rsidP="00983D62">
            <w:pPr>
              <w:pStyle w:val="TableParagraph"/>
              <w:spacing w:before="134"/>
              <w:ind w:left="122"/>
              <w:rPr>
                <w:i/>
                <w:color w:val="1D336C"/>
                <w:spacing w:val="-2"/>
                <w:sz w:val="20"/>
              </w:rPr>
            </w:pPr>
            <w:r w:rsidRPr="00C36379">
              <w:rPr>
                <w:i/>
                <w:color w:val="1D336C"/>
                <w:spacing w:val="-2"/>
                <w:sz w:val="20"/>
              </w:rPr>
              <w:t>7F / 12M</w:t>
            </w:r>
          </w:p>
        </w:tc>
      </w:tr>
      <w:tr w:rsidR="00983D62" w14:paraId="32585546" w14:textId="77777777" w:rsidTr="006E7363">
        <w:trPr>
          <w:trHeight w:val="836"/>
          <w:jc w:val="center"/>
        </w:trPr>
        <w:tc>
          <w:tcPr>
            <w:tcW w:w="2127" w:type="dxa"/>
            <w:shd w:val="clear" w:color="auto" w:fill="F1F1F1"/>
          </w:tcPr>
          <w:p w14:paraId="0C24AA81" w14:textId="654FBAE4" w:rsidR="00983D62" w:rsidRDefault="00983D62" w:rsidP="00983D62">
            <w:pPr>
              <w:pStyle w:val="TableParagraph"/>
              <w:spacing w:before="134"/>
              <w:rPr>
                <w:color w:val="1D336C"/>
                <w:sz w:val="20"/>
              </w:rPr>
            </w:pPr>
            <w:r w:rsidRPr="00C36379">
              <w:rPr>
                <w:color w:val="1D336C"/>
                <w:sz w:val="20"/>
              </w:rPr>
              <w:t xml:space="preserve">CRS / Caritas Community of </w:t>
            </w:r>
            <w:proofErr w:type="spellStart"/>
            <w:r w:rsidRPr="00C36379">
              <w:rPr>
                <w:color w:val="1D336C"/>
                <w:sz w:val="20"/>
              </w:rPr>
              <w:t>Macalaco</w:t>
            </w:r>
            <w:proofErr w:type="spellEnd"/>
          </w:p>
        </w:tc>
        <w:tc>
          <w:tcPr>
            <w:tcW w:w="4252" w:type="dxa"/>
          </w:tcPr>
          <w:p w14:paraId="75ADDB6B" w14:textId="19DC0F48"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Transforming Rural Lives through Adaptation and Carbon Capture (TRACC) Project</w:t>
            </w:r>
          </w:p>
        </w:tc>
        <w:tc>
          <w:tcPr>
            <w:tcW w:w="2126" w:type="dxa"/>
          </w:tcPr>
          <w:p w14:paraId="29C79FCB" w14:textId="2608556A" w:rsidR="00983D62" w:rsidRPr="00C36379" w:rsidRDefault="00983D62" w:rsidP="00983D62">
            <w:pPr>
              <w:pStyle w:val="TableParagraph"/>
              <w:spacing w:before="134"/>
              <w:ind w:left="191"/>
              <w:rPr>
                <w:i/>
                <w:color w:val="1D336C"/>
                <w:spacing w:val="-2"/>
                <w:sz w:val="20"/>
              </w:rPr>
            </w:pPr>
            <w:r w:rsidRPr="00C36379">
              <w:rPr>
                <w:i/>
                <w:color w:val="1D336C"/>
                <w:spacing w:val="-2"/>
                <w:sz w:val="20"/>
              </w:rPr>
              <w:t>Timor-Leste</w:t>
            </w:r>
          </w:p>
        </w:tc>
        <w:tc>
          <w:tcPr>
            <w:tcW w:w="1116" w:type="dxa"/>
          </w:tcPr>
          <w:p w14:paraId="6A49F567" w14:textId="28C179D5" w:rsidR="00983D62" w:rsidRPr="00C36379" w:rsidRDefault="00983D62" w:rsidP="00983D62">
            <w:pPr>
              <w:pStyle w:val="TableParagraph"/>
              <w:spacing w:before="134"/>
              <w:ind w:left="122"/>
              <w:rPr>
                <w:i/>
                <w:color w:val="1D336C"/>
                <w:spacing w:val="-2"/>
                <w:sz w:val="20"/>
              </w:rPr>
            </w:pPr>
            <w:r w:rsidRPr="00C36379">
              <w:rPr>
                <w:i/>
                <w:color w:val="1D336C"/>
                <w:spacing w:val="-2"/>
                <w:sz w:val="20"/>
              </w:rPr>
              <w:t>9F / 13M</w:t>
            </w:r>
          </w:p>
        </w:tc>
      </w:tr>
      <w:tr w:rsidR="00983D62" w14:paraId="20A80FBA" w14:textId="77777777" w:rsidTr="006E7363">
        <w:trPr>
          <w:trHeight w:val="975"/>
          <w:jc w:val="center"/>
        </w:trPr>
        <w:tc>
          <w:tcPr>
            <w:tcW w:w="2127" w:type="dxa"/>
            <w:shd w:val="clear" w:color="auto" w:fill="F1F1F1"/>
          </w:tcPr>
          <w:p w14:paraId="01CC24A4" w14:textId="216BAE4E" w:rsidR="00983D62" w:rsidRDefault="00983D62" w:rsidP="00983D62">
            <w:pPr>
              <w:pStyle w:val="TableParagraph"/>
              <w:spacing w:before="134"/>
              <w:rPr>
                <w:color w:val="1D336C"/>
                <w:sz w:val="20"/>
              </w:rPr>
            </w:pPr>
            <w:r w:rsidRPr="00C36379">
              <w:rPr>
                <w:color w:val="1D336C"/>
                <w:sz w:val="20"/>
              </w:rPr>
              <w:t>CRS / Caritas Gov of Timor-Leste National Designated Authority</w:t>
            </w:r>
          </w:p>
        </w:tc>
        <w:tc>
          <w:tcPr>
            <w:tcW w:w="4252" w:type="dxa"/>
            <w:shd w:val="clear" w:color="auto" w:fill="F2F2F2" w:themeFill="background1" w:themeFillShade="F2"/>
          </w:tcPr>
          <w:p w14:paraId="0FA662A0" w14:textId="5FB99E84" w:rsidR="00983D62" w:rsidRPr="00C36379" w:rsidRDefault="00983D62" w:rsidP="00983D62">
            <w:pPr>
              <w:pStyle w:val="TableParagraph"/>
              <w:spacing w:before="134" w:line="292" w:lineRule="auto"/>
              <w:ind w:left="83" w:right="17"/>
              <w:rPr>
                <w:i/>
                <w:color w:val="1D336C"/>
                <w:spacing w:val="-2"/>
                <w:sz w:val="20"/>
              </w:rPr>
            </w:pPr>
            <w:r w:rsidRPr="00C36379">
              <w:rPr>
                <w:i/>
                <w:color w:val="1D336C"/>
                <w:spacing w:val="-2"/>
                <w:sz w:val="20"/>
              </w:rPr>
              <w:t>Transforming Rural Lives through Adaptation and Carbon Capture (TRACC) Project</w:t>
            </w:r>
          </w:p>
        </w:tc>
        <w:tc>
          <w:tcPr>
            <w:tcW w:w="2126" w:type="dxa"/>
            <w:shd w:val="clear" w:color="auto" w:fill="F2F2F2" w:themeFill="background1" w:themeFillShade="F2"/>
          </w:tcPr>
          <w:p w14:paraId="7D224CB2" w14:textId="25F1563B" w:rsidR="00983D62" w:rsidRPr="00C36379" w:rsidRDefault="00983D62" w:rsidP="00983D62">
            <w:pPr>
              <w:pStyle w:val="TableParagraph"/>
              <w:spacing w:before="134"/>
              <w:ind w:left="191"/>
              <w:rPr>
                <w:i/>
                <w:color w:val="1D336C"/>
                <w:spacing w:val="-2"/>
                <w:sz w:val="20"/>
              </w:rPr>
            </w:pPr>
            <w:r w:rsidRPr="00C36379">
              <w:rPr>
                <w:i/>
                <w:color w:val="1D336C"/>
                <w:spacing w:val="-2"/>
                <w:sz w:val="20"/>
              </w:rPr>
              <w:t>Timor-Leste</w:t>
            </w:r>
          </w:p>
        </w:tc>
        <w:tc>
          <w:tcPr>
            <w:tcW w:w="1116" w:type="dxa"/>
            <w:shd w:val="clear" w:color="auto" w:fill="F2F2F2" w:themeFill="background1" w:themeFillShade="F2"/>
          </w:tcPr>
          <w:p w14:paraId="27E53ED4" w14:textId="3685CE74" w:rsidR="00983D62" w:rsidRPr="00C36379" w:rsidRDefault="00983D62" w:rsidP="00983D62">
            <w:pPr>
              <w:pStyle w:val="TableParagraph"/>
              <w:spacing w:before="134"/>
              <w:ind w:left="122"/>
              <w:rPr>
                <w:i/>
                <w:color w:val="1D336C"/>
                <w:spacing w:val="-2"/>
                <w:sz w:val="20"/>
              </w:rPr>
            </w:pPr>
            <w:r w:rsidRPr="00C36379">
              <w:rPr>
                <w:i/>
                <w:color w:val="1D336C"/>
                <w:spacing w:val="-2"/>
                <w:sz w:val="20"/>
              </w:rPr>
              <w:t>2M</w:t>
            </w:r>
          </w:p>
        </w:tc>
      </w:tr>
    </w:tbl>
    <w:p w14:paraId="41162FB3" w14:textId="77777777" w:rsidR="00762B6A" w:rsidRDefault="00762B6A" w:rsidP="00762B6A"/>
    <w:p w14:paraId="2B2A9C85" w14:textId="53F59F43" w:rsidR="00EA7FE2" w:rsidRPr="00EA7FE2" w:rsidRDefault="00EA7FE2" w:rsidP="00162BAC">
      <w:pPr>
        <w:pStyle w:val="Heading1"/>
      </w:pPr>
      <w:bookmarkStart w:id="82" w:name="_Toc164783097"/>
      <w:r w:rsidRPr="00EA7FE2">
        <w:lastRenderedPageBreak/>
        <w:t>Annex 4: Field visit itinerary</w:t>
      </w:r>
      <w:bookmarkEnd w:id="82"/>
      <w:r w:rsidRPr="00EA7FE2">
        <w:t xml:space="preserve"> </w:t>
      </w:r>
    </w:p>
    <w:tbl>
      <w:tblPr>
        <w:tblW w:w="5000" w:type="pct"/>
        <w:tblBorders>
          <w:bottom w:val="single" w:sz="4" w:space="0" w:color="1D336D"/>
          <w:insideH w:val="single" w:sz="4" w:space="0" w:color="1D336D"/>
        </w:tblBorders>
        <w:tblCellMar>
          <w:left w:w="0" w:type="dxa"/>
          <w:right w:w="0" w:type="dxa"/>
        </w:tblCellMar>
        <w:tblLook w:val="01E0" w:firstRow="1" w:lastRow="1" w:firstColumn="1" w:lastColumn="1" w:noHBand="0" w:noVBand="0"/>
      </w:tblPr>
      <w:tblGrid>
        <w:gridCol w:w="2225"/>
        <w:gridCol w:w="2170"/>
        <w:gridCol w:w="5243"/>
      </w:tblGrid>
      <w:tr w:rsidR="004A041B" w14:paraId="6CB432F5" w14:textId="77777777" w:rsidTr="006E7363">
        <w:trPr>
          <w:trHeight w:val="887"/>
        </w:trPr>
        <w:tc>
          <w:tcPr>
            <w:tcW w:w="1154" w:type="pct"/>
            <w:shd w:val="clear" w:color="auto" w:fill="F1F1F1"/>
          </w:tcPr>
          <w:p w14:paraId="6FA976FF" w14:textId="386ABD7C" w:rsidR="004A041B" w:rsidRPr="008E2C5C" w:rsidRDefault="006F5C0C">
            <w:pPr>
              <w:pStyle w:val="TableParagraph"/>
              <w:spacing w:before="134"/>
              <w:rPr>
                <w:b/>
                <w:sz w:val="20"/>
                <w:szCs w:val="20"/>
              </w:rPr>
            </w:pPr>
            <w:r w:rsidRPr="008E2C5C">
              <w:rPr>
                <w:b/>
                <w:color w:val="1D336C"/>
                <w:spacing w:val="-2"/>
                <w:sz w:val="20"/>
                <w:szCs w:val="20"/>
              </w:rPr>
              <w:t>Date</w:t>
            </w:r>
          </w:p>
        </w:tc>
        <w:tc>
          <w:tcPr>
            <w:tcW w:w="1126" w:type="pct"/>
            <w:shd w:val="clear" w:color="auto" w:fill="F1F1F1"/>
          </w:tcPr>
          <w:p w14:paraId="5346F644" w14:textId="728D8B37" w:rsidR="004A041B" w:rsidRPr="008E2C5C" w:rsidRDefault="006F5C0C">
            <w:pPr>
              <w:pStyle w:val="TableParagraph"/>
              <w:spacing w:before="134"/>
              <w:ind w:left="83"/>
              <w:rPr>
                <w:b/>
                <w:sz w:val="20"/>
                <w:szCs w:val="20"/>
              </w:rPr>
            </w:pPr>
            <w:r w:rsidRPr="008E2C5C">
              <w:rPr>
                <w:b/>
                <w:color w:val="1D336C"/>
                <w:spacing w:val="-2"/>
                <w:sz w:val="20"/>
                <w:szCs w:val="20"/>
              </w:rPr>
              <w:t>Country</w:t>
            </w:r>
          </w:p>
        </w:tc>
        <w:tc>
          <w:tcPr>
            <w:tcW w:w="2720" w:type="pct"/>
            <w:shd w:val="clear" w:color="auto" w:fill="F1F1F1"/>
          </w:tcPr>
          <w:p w14:paraId="6462829E" w14:textId="52E698ED" w:rsidR="004A041B" w:rsidRPr="008E2C5C" w:rsidRDefault="006F5C0C">
            <w:pPr>
              <w:pStyle w:val="TableParagraph"/>
              <w:spacing w:before="131" w:line="292" w:lineRule="auto"/>
              <w:ind w:left="191" w:right="112"/>
              <w:rPr>
                <w:b/>
                <w:sz w:val="20"/>
                <w:szCs w:val="20"/>
              </w:rPr>
            </w:pPr>
            <w:r w:rsidRPr="008E2C5C">
              <w:rPr>
                <w:b/>
                <w:color w:val="1D336C"/>
                <w:sz w:val="20"/>
                <w:szCs w:val="20"/>
              </w:rPr>
              <w:t>Itinerary</w:t>
            </w:r>
          </w:p>
        </w:tc>
      </w:tr>
      <w:tr w:rsidR="00457BB5" w14:paraId="3840DDFE" w14:textId="77777777" w:rsidTr="006E7363">
        <w:trPr>
          <w:trHeight w:val="802"/>
        </w:trPr>
        <w:tc>
          <w:tcPr>
            <w:tcW w:w="1154" w:type="pct"/>
            <w:shd w:val="clear" w:color="auto" w:fill="F1F1F1"/>
          </w:tcPr>
          <w:p w14:paraId="55B9C521" w14:textId="2DD24227" w:rsidR="00457BB5" w:rsidRPr="008E2C5C" w:rsidRDefault="00457BB5" w:rsidP="00457BB5">
            <w:pPr>
              <w:pStyle w:val="TableParagraph"/>
              <w:spacing w:before="134" w:line="292" w:lineRule="auto"/>
              <w:ind w:right="444"/>
              <w:rPr>
                <w:color w:val="1D336D" w:themeColor="background2"/>
                <w:sz w:val="20"/>
                <w:szCs w:val="20"/>
              </w:rPr>
            </w:pPr>
            <w:r w:rsidRPr="00DB1682">
              <w:rPr>
                <w:color w:val="1D336D" w:themeColor="background2"/>
                <w:sz w:val="20"/>
                <w:szCs w:val="20"/>
              </w:rPr>
              <w:t>5 November (Sunday)</w:t>
            </w:r>
          </w:p>
        </w:tc>
        <w:tc>
          <w:tcPr>
            <w:tcW w:w="1126" w:type="pct"/>
            <w:shd w:val="clear" w:color="auto" w:fill="auto"/>
          </w:tcPr>
          <w:p w14:paraId="52CC6392" w14:textId="7640B06D" w:rsidR="00457BB5" w:rsidRPr="008E2C5C" w:rsidRDefault="00457BB5" w:rsidP="00457BB5">
            <w:pPr>
              <w:pStyle w:val="TableParagraph"/>
              <w:ind w:left="83"/>
              <w:rPr>
                <w:i/>
                <w:iCs/>
                <w:color w:val="1D336D" w:themeColor="background2"/>
                <w:sz w:val="20"/>
                <w:szCs w:val="20"/>
              </w:rPr>
            </w:pPr>
            <w:r w:rsidRPr="00DB1682">
              <w:rPr>
                <w:i/>
                <w:iCs/>
                <w:color w:val="1D336D" w:themeColor="background2"/>
                <w:sz w:val="20"/>
                <w:szCs w:val="20"/>
              </w:rPr>
              <w:t>Solomon Islands</w:t>
            </w:r>
          </w:p>
        </w:tc>
        <w:tc>
          <w:tcPr>
            <w:tcW w:w="2720" w:type="pct"/>
            <w:shd w:val="clear" w:color="auto" w:fill="auto"/>
          </w:tcPr>
          <w:p w14:paraId="0614B70D" w14:textId="2ABD32C5" w:rsidR="00457BB5" w:rsidRPr="008E2C5C" w:rsidRDefault="00457BB5" w:rsidP="00457BB5">
            <w:pPr>
              <w:pStyle w:val="TableParagraph"/>
              <w:ind w:left="191"/>
              <w:rPr>
                <w:i/>
                <w:iCs/>
                <w:color w:val="1D336D" w:themeColor="background2"/>
                <w:sz w:val="20"/>
                <w:szCs w:val="20"/>
              </w:rPr>
            </w:pPr>
            <w:r w:rsidRPr="00150362">
              <w:rPr>
                <w:i/>
                <w:iCs/>
                <w:color w:val="1D336D" w:themeColor="background2"/>
                <w:sz w:val="20"/>
                <w:szCs w:val="20"/>
              </w:rPr>
              <w:t>Arrive Honiara</w:t>
            </w:r>
          </w:p>
        </w:tc>
      </w:tr>
      <w:tr w:rsidR="00457BB5" w14:paraId="7143AF6D" w14:textId="77777777" w:rsidTr="006E7363">
        <w:trPr>
          <w:trHeight w:val="839"/>
        </w:trPr>
        <w:tc>
          <w:tcPr>
            <w:tcW w:w="1154" w:type="pct"/>
            <w:shd w:val="clear" w:color="auto" w:fill="F1F1F1"/>
          </w:tcPr>
          <w:p w14:paraId="2B911AFD" w14:textId="37517C12" w:rsidR="00457BB5" w:rsidRPr="008E2C5C" w:rsidRDefault="00457BB5" w:rsidP="00457BB5">
            <w:pPr>
              <w:pStyle w:val="TableParagraph"/>
              <w:spacing w:line="292" w:lineRule="auto"/>
              <w:ind w:right="444"/>
              <w:rPr>
                <w:color w:val="1D336D" w:themeColor="background2"/>
                <w:sz w:val="20"/>
                <w:szCs w:val="20"/>
              </w:rPr>
            </w:pPr>
            <w:r w:rsidRPr="00150362">
              <w:rPr>
                <w:color w:val="1D336D" w:themeColor="background2"/>
                <w:sz w:val="20"/>
                <w:szCs w:val="20"/>
              </w:rPr>
              <w:t>6 November (Monday)</w:t>
            </w:r>
          </w:p>
        </w:tc>
        <w:tc>
          <w:tcPr>
            <w:tcW w:w="1126" w:type="pct"/>
            <w:shd w:val="clear" w:color="auto" w:fill="F2F2F2" w:themeFill="background1" w:themeFillShade="F2"/>
          </w:tcPr>
          <w:p w14:paraId="78C51AD9" w14:textId="4C118379" w:rsidR="00457BB5" w:rsidRPr="008E2C5C" w:rsidRDefault="00457BB5" w:rsidP="00457BB5">
            <w:pPr>
              <w:pStyle w:val="TableParagraph"/>
              <w:ind w:left="83"/>
              <w:rPr>
                <w:i/>
                <w:iCs/>
                <w:color w:val="1D336D" w:themeColor="background2"/>
                <w:sz w:val="20"/>
                <w:szCs w:val="20"/>
              </w:rPr>
            </w:pPr>
            <w:r w:rsidRPr="00150362">
              <w:rPr>
                <w:i/>
                <w:iCs/>
                <w:color w:val="1D336D" w:themeColor="background2"/>
                <w:sz w:val="20"/>
                <w:szCs w:val="20"/>
              </w:rPr>
              <w:t>Solomon Islands</w:t>
            </w:r>
          </w:p>
        </w:tc>
        <w:tc>
          <w:tcPr>
            <w:tcW w:w="2720" w:type="pct"/>
            <w:shd w:val="clear" w:color="auto" w:fill="F2F2F2" w:themeFill="background1" w:themeFillShade="F2"/>
          </w:tcPr>
          <w:p w14:paraId="541F5C04" w14:textId="77777777" w:rsidR="00F0167E" w:rsidRPr="00150362" w:rsidRDefault="00457BB5" w:rsidP="003768CB">
            <w:pPr>
              <w:pStyle w:val="TableParagraph"/>
              <w:ind w:left="191"/>
              <w:rPr>
                <w:i/>
                <w:iCs/>
                <w:color w:val="1D336D" w:themeColor="background2"/>
                <w:sz w:val="20"/>
                <w:szCs w:val="20"/>
              </w:rPr>
            </w:pPr>
            <w:r w:rsidRPr="00150362">
              <w:rPr>
                <w:i/>
                <w:iCs/>
                <w:color w:val="1D336D" w:themeColor="background2"/>
                <w:sz w:val="20"/>
                <w:szCs w:val="20"/>
              </w:rPr>
              <w:t>AM: Honiara to Auki</w:t>
            </w:r>
          </w:p>
          <w:p w14:paraId="3CA3E6DA" w14:textId="4B2C010D" w:rsidR="003768CB" w:rsidRPr="00150362" w:rsidRDefault="003768CB" w:rsidP="003768CB">
            <w:pPr>
              <w:pStyle w:val="TableParagraph"/>
              <w:ind w:left="191"/>
              <w:rPr>
                <w:i/>
                <w:iCs/>
                <w:color w:val="1D336D" w:themeColor="background2"/>
                <w:sz w:val="20"/>
                <w:szCs w:val="20"/>
              </w:rPr>
            </w:pPr>
            <w:r w:rsidRPr="00150362">
              <w:rPr>
                <w:i/>
                <w:iCs/>
                <w:color w:val="1D336D" w:themeColor="background2"/>
                <w:sz w:val="20"/>
                <w:szCs w:val="20"/>
              </w:rPr>
              <w:t>PM: Meet World Vision Solomon Islands</w:t>
            </w:r>
          </w:p>
        </w:tc>
      </w:tr>
      <w:tr w:rsidR="00457BB5" w14:paraId="3E83C110" w14:textId="77777777" w:rsidTr="006E7363">
        <w:trPr>
          <w:trHeight w:val="846"/>
        </w:trPr>
        <w:tc>
          <w:tcPr>
            <w:tcW w:w="1154" w:type="pct"/>
            <w:shd w:val="clear" w:color="auto" w:fill="F1F1F1"/>
          </w:tcPr>
          <w:p w14:paraId="36D4DEDC" w14:textId="1D5894ED" w:rsidR="00457BB5" w:rsidRPr="008E2C5C" w:rsidRDefault="00457BB5" w:rsidP="00457BB5">
            <w:pPr>
              <w:pStyle w:val="TableParagraph"/>
              <w:spacing w:before="134" w:line="292" w:lineRule="auto"/>
              <w:rPr>
                <w:color w:val="1D336D" w:themeColor="background2"/>
                <w:sz w:val="20"/>
                <w:szCs w:val="20"/>
              </w:rPr>
            </w:pPr>
            <w:r w:rsidRPr="00150362">
              <w:rPr>
                <w:color w:val="1D336D" w:themeColor="background2"/>
                <w:sz w:val="20"/>
                <w:szCs w:val="20"/>
              </w:rPr>
              <w:t>7 November (Tuesday)</w:t>
            </w:r>
          </w:p>
        </w:tc>
        <w:tc>
          <w:tcPr>
            <w:tcW w:w="1126" w:type="pct"/>
            <w:shd w:val="clear" w:color="auto" w:fill="auto"/>
          </w:tcPr>
          <w:p w14:paraId="1F766E66" w14:textId="6A560503" w:rsidR="00457BB5" w:rsidRPr="008E2C5C" w:rsidRDefault="00457BB5" w:rsidP="00457BB5">
            <w:pPr>
              <w:pStyle w:val="TableParagraph"/>
              <w:spacing w:before="134"/>
              <w:ind w:left="83"/>
              <w:rPr>
                <w:i/>
                <w:iCs/>
                <w:color w:val="1D336D" w:themeColor="background2"/>
                <w:sz w:val="20"/>
                <w:szCs w:val="20"/>
              </w:rPr>
            </w:pPr>
            <w:r w:rsidRPr="00150362">
              <w:rPr>
                <w:i/>
                <w:iCs/>
                <w:color w:val="1D336D" w:themeColor="background2"/>
                <w:sz w:val="20"/>
                <w:szCs w:val="20"/>
              </w:rPr>
              <w:t>Solomon Islands</w:t>
            </w:r>
          </w:p>
        </w:tc>
        <w:tc>
          <w:tcPr>
            <w:tcW w:w="2720" w:type="pct"/>
            <w:shd w:val="clear" w:color="auto" w:fill="auto"/>
          </w:tcPr>
          <w:p w14:paraId="1D75F5AE" w14:textId="010B37C9" w:rsidR="00457BB5" w:rsidRPr="008E2C5C" w:rsidRDefault="00457BB5" w:rsidP="00457BB5">
            <w:pPr>
              <w:pStyle w:val="TableParagraph"/>
              <w:spacing w:before="134"/>
              <w:ind w:left="191"/>
              <w:rPr>
                <w:i/>
                <w:iCs/>
                <w:color w:val="1D336D" w:themeColor="background2"/>
                <w:sz w:val="20"/>
                <w:szCs w:val="20"/>
              </w:rPr>
            </w:pPr>
            <w:r w:rsidRPr="00150362">
              <w:rPr>
                <w:i/>
                <w:iCs/>
                <w:color w:val="1D336D" w:themeColor="background2"/>
                <w:sz w:val="20"/>
                <w:szCs w:val="20"/>
              </w:rPr>
              <w:t>Site visit World Vision project.</w:t>
            </w:r>
          </w:p>
        </w:tc>
      </w:tr>
      <w:tr w:rsidR="00457BB5" w14:paraId="54E24BAA" w14:textId="77777777" w:rsidTr="006E7363">
        <w:trPr>
          <w:trHeight w:val="2544"/>
        </w:trPr>
        <w:tc>
          <w:tcPr>
            <w:tcW w:w="1154" w:type="pct"/>
            <w:shd w:val="clear" w:color="auto" w:fill="F1F1F1"/>
          </w:tcPr>
          <w:p w14:paraId="317F5DAE" w14:textId="2667B884" w:rsidR="00457BB5" w:rsidRPr="008E2C5C" w:rsidRDefault="00457BB5" w:rsidP="00457BB5">
            <w:pPr>
              <w:pStyle w:val="TableParagraph"/>
              <w:spacing w:before="134" w:line="292" w:lineRule="auto"/>
              <w:rPr>
                <w:color w:val="1D336D" w:themeColor="background2"/>
                <w:sz w:val="20"/>
                <w:szCs w:val="20"/>
              </w:rPr>
            </w:pPr>
            <w:r w:rsidRPr="00150362">
              <w:rPr>
                <w:color w:val="1D336D" w:themeColor="background2"/>
                <w:sz w:val="20"/>
                <w:szCs w:val="20"/>
              </w:rPr>
              <w:t>8 November (Wednesday)</w:t>
            </w:r>
          </w:p>
        </w:tc>
        <w:tc>
          <w:tcPr>
            <w:tcW w:w="1126" w:type="pct"/>
            <w:shd w:val="clear" w:color="auto" w:fill="F2F2F2" w:themeFill="background1" w:themeFillShade="F2"/>
          </w:tcPr>
          <w:p w14:paraId="7E39A483" w14:textId="741E7705" w:rsidR="00457BB5" w:rsidRPr="008E2C5C" w:rsidRDefault="00457BB5" w:rsidP="00457BB5">
            <w:pPr>
              <w:pStyle w:val="TableParagraph"/>
              <w:spacing w:before="134"/>
              <w:ind w:left="83"/>
              <w:rPr>
                <w:i/>
                <w:iCs/>
                <w:color w:val="1D336D" w:themeColor="background2"/>
                <w:sz w:val="20"/>
                <w:szCs w:val="20"/>
              </w:rPr>
            </w:pPr>
            <w:r w:rsidRPr="00150362">
              <w:rPr>
                <w:i/>
                <w:iCs/>
                <w:color w:val="1D336D" w:themeColor="background2"/>
                <w:sz w:val="20"/>
                <w:szCs w:val="20"/>
              </w:rPr>
              <w:t>Solomon Islands</w:t>
            </w:r>
          </w:p>
        </w:tc>
        <w:tc>
          <w:tcPr>
            <w:tcW w:w="2720" w:type="pct"/>
            <w:shd w:val="clear" w:color="auto" w:fill="F2F2F2" w:themeFill="background1" w:themeFillShade="F2"/>
          </w:tcPr>
          <w:p w14:paraId="3BD68479" w14:textId="77777777" w:rsidR="00275E93" w:rsidRPr="00150362" w:rsidRDefault="00275E93" w:rsidP="00275E93">
            <w:pPr>
              <w:pStyle w:val="TableParagraph"/>
              <w:spacing w:before="134"/>
              <w:ind w:left="191"/>
              <w:rPr>
                <w:i/>
                <w:iCs/>
                <w:color w:val="1D336D" w:themeColor="background2"/>
                <w:sz w:val="20"/>
                <w:szCs w:val="20"/>
              </w:rPr>
            </w:pPr>
            <w:r w:rsidRPr="00150362">
              <w:rPr>
                <w:i/>
                <w:iCs/>
                <w:color w:val="1D336D" w:themeColor="background2"/>
                <w:sz w:val="20"/>
                <w:szCs w:val="20"/>
              </w:rPr>
              <w:t>AM: Travel from Auki to One Para community by boat.</w:t>
            </w:r>
          </w:p>
          <w:p w14:paraId="2FA4DB1E" w14:textId="77777777" w:rsidR="00275E93" w:rsidRPr="00150362" w:rsidRDefault="00275E93" w:rsidP="00275E93">
            <w:pPr>
              <w:pStyle w:val="TableParagraph"/>
              <w:spacing w:before="134"/>
              <w:ind w:left="191"/>
              <w:rPr>
                <w:i/>
                <w:iCs/>
                <w:color w:val="1D336D" w:themeColor="background2"/>
                <w:sz w:val="20"/>
                <w:szCs w:val="20"/>
              </w:rPr>
            </w:pPr>
            <w:r w:rsidRPr="00150362">
              <w:rPr>
                <w:i/>
                <w:iCs/>
                <w:color w:val="1D336D" w:themeColor="background2"/>
                <w:sz w:val="20"/>
                <w:szCs w:val="20"/>
              </w:rPr>
              <w:t>2/3 hours travelling time.</w:t>
            </w:r>
          </w:p>
          <w:p w14:paraId="6276DA79" w14:textId="77777777" w:rsidR="00275E93" w:rsidRPr="00150362" w:rsidRDefault="00275E93" w:rsidP="00275E93">
            <w:pPr>
              <w:pStyle w:val="TableParagraph"/>
              <w:spacing w:before="134"/>
              <w:ind w:left="191"/>
              <w:rPr>
                <w:i/>
                <w:iCs/>
                <w:color w:val="1D336D" w:themeColor="background2"/>
                <w:sz w:val="20"/>
                <w:szCs w:val="20"/>
              </w:rPr>
            </w:pPr>
            <w:r w:rsidRPr="00150362">
              <w:rPr>
                <w:i/>
                <w:iCs/>
                <w:color w:val="1D336D" w:themeColor="background2"/>
                <w:sz w:val="20"/>
                <w:szCs w:val="20"/>
              </w:rPr>
              <w:t>PM: Meet with One Para community members.</w:t>
            </w:r>
          </w:p>
          <w:p w14:paraId="04A8463A" w14:textId="07F3D18C" w:rsidR="00275E93" w:rsidRPr="00150362" w:rsidRDefault="00275E93" w:rsidP="00275E93">
            <w:pPr>
              <w:pStyle w:val="TableParagraph"/>
              <w:spacing w:before="134"/>
              <w:ind w:left="191"/>
              <w:rPr>
                <w:i/>
                <w:iCs/>
                <w:color w:val="1D336D" w:themeColor="background2"/>
                <w:sz w:val="20"/>
                <w:szCs w:val="20"/>
              </w:rPr>
            </w:pPr>
            <w:r w:rsidRPr="00150362">
              <w:rPr>
                <w:i/>
                <w:iCs/>
                <w:color w:val="1D336D" w:themeColor="background2"/>
                <w:sz w:val="20"/>
                <w:szCs w:val="20"/>
              </w:rPr>
              <w:t>Travel from One Para community to One community (MMGB site) by boat</w:t>
            </w:r>
            <w:r w:rsidR="003768CB" w:rsidRPr="00150362">
              <w:rPr>
                <w:i/>
                <w:iCs/>
                <w:color w:val="1D336D" w:themeColor="background2"/>
                <w:sz w:val="20"/>
                <w:szCs w:val="20"/>
              </w:rPr>
              <w:t>.</w:t>
            </w:r>
          </w:p>
          <w:p w14:paraId="046940A9" w14:textId="469AD29F" w:rsidR="00457BB5" w:rsidRPr="008E2C5C" w:rsidRDefault="00275E93" w:rsidP="00275E93">
            <w:pPr>
              <w:pStyle w:val="TableParagraph"/>
              <w:spacing w:before="134"/>
              <w:ind w:left="191"/>
              <w:rPr>
                <w:i/>
                <w:iCs/>
                <w:color w:val="1D336D" w:themeColor="background2"/>
                <w:sz w:val="20"/>
                <w:szCs w:val="20"/>
              </w:rPr>
            </w:pPr>
            <w:r w:rsidRPr="00150362">
              <w:rPr>
                <w:i/>
                <w:iCs/>
                <w:color w:val="1D336D" w:themeColor="background2"/>
                <w:sz w:val="20"/>
                <w:szCs w:val="20"/>
              </w:rPr>
              <w:t>Overnight in One community.</w:t>
            </w:r>
          </w:p>
        </w:tc>
      </w:tr>
      <w:tr w:rsidR="003E50FD" w14:paraId="5329BB5F" w14:textId="77777777" w:rsidTr="006E7363">
        <w:trPr>
          <w:trHeight w:val="1800"/>
        </w:trPr>
        <w:tc>
          <w:tcPr>
            <w:tcW w:w="1154" w:type="pct"/>
            <w:shd w:val="clear" w:color="auto" w:fill="F1F1F1"/>
          </w:tcPr>
          <w:p w14:paraId="087DA269" w14:textId="2F0BAB27" w:rsidR="003E50FD" w:rsidRPr="008E2C5C" w:rsidRDefault="003E50FD" w:rsidP="003E50FD">
            <w:pPr>
              <w:pStyle w:val="TableParagraph"/>
              <w:spacing w:before="134" w:line="292" w:lineRule="auto"/>
              <w:rPr>
                <w:color w:val="1D336D" w:themeColor="background2"/>
                <w:sz w:val="20"/>
                <w:szCs w:val="20"/>
              </w:rPr>
            </w:pPr>
            <w:r w:rsidRPr="00150362">
              <w:rPr>
                <w:color w:val="1D336D" w:themeColor="background2"/>
                <w:sz w:val="20"/>
                <w:szCs w:val="20"/>
              </w:rPr>
              <w:t>9 November (Thursday)</w:t>
            </w:r>
          </w:p>
        </w:tc>
        <w:tc>
          <w:tcPr>
            <w:tcW w:w="1126" w:type="pct"/>
            <w:shd w:val="clear" w:color="auto" w:fill="auto"/>
          </w:tcPr>
          <w:p w14:paraId="56CC4DF7" w14:textId="6DB1D5F3" w:rsidR="003E50FD" w:rsidRPr="008E2C5C" w:rsidRDefault="003E50FD" w:rsidP="003E50FD">
            <w:pPr>
              <w:pStyle w:val="TableParagraph"/>
              <w:spacing w:before="134"/>
              <w:ind w:left="83"/>
              <w:rPr>
                <w:i/>
                <w:iCs/>
                <w:color w:val="1D336D" w:themeColor="background2"/>
                <w:sz w:val="20"/>
                <w:szCs w:val="20"/>
              </w:rPr>
            </w:pPr>
            <w:r w:rsidRPr="00150362">
              <w:rPr>
                <w:i/>
                <w:iCs/>
                <w:color w:val="1D336D" w:themeColor="background2"/>
                <w:sz w:val="20"/>
                <w:szCs w:val="20"/>
              </w:rPr>
              <w:t>Solomon Islands</w:t>
            </w:r>
          </w:p>
        </w:tc>
        <w:tc>
          <w:tcPr>
            <w:tcW w:w="2720" w:type="pct"/>
            <w:shd w:val="clear" w:color="auto" w:fill="auto"/>
          </w:tcPr>
          <w:p w14:paraId="2D896326" w14:textId="77777777" w:rsidR="003E50FD" w:rsidRPr="00150362" w:rsidRDefault="003E50FD" w:rsidP="003E50FD">
            <w:pPr>
              <w:pStyle w:val="TableParagraph"/>
              <w:spacing w:before="134"/>
              <w:ind w:left="191"/>
              <w:rPr>
                <w:i/>
                <w:iCs/>
                <w:color w:val="1D336D" w:themeColor="background2"/>
                <w:sz w:val="20"/>
                <w:szCs w:val="20"/>
              </w:rPr>
            </w:pPr>
            <w:r w:rsidRPr="00150362">
              <w:rPr>
                <w:i/>
                <w:iCs/>
                <w:color w:val="1D336D" w:themeColor="background2"/>
                <w:sz w:val="20"/>
                <w:szCs w:val="20"/>
              </w:rPr>
              <w:t xml:space="preserve">AM: Travel from One Para community to </w:t>
            </w:r>
            <w:proofErr w:type="spellStart"/>
            <w:r w:rsidRPr="00150362">
              <w:rPr>
                <w:i/>
                <w:iCs/>
                <w:color w:val="1D336D" w:themeColor="background2"/>
                <w:sz w:val="20"/>
                <w:szCs w:val="20"/>
              </w:rPr>
              <w:t>Aruaru-Hauhari</w:t>
            </w:r>
            <w:proofErr w:type="spellEnd"/>
            <w:r w:rsidRPr="00150362">
              <w:rPr>
                <w:i/>
                <w:iCs/>
                <w:color w:val="1D336D" w:themeColor="background2"/>
                <w:sz w:val="20"/>
                <w:szCs w:val="20"/>
              </w:rPr>
              <w:t xml:space="preserve"> community.</w:t>
            </w:r>
          </w:p>
          <w:p w14:paraId="5A06E20F" w14:textId="77777777" w:rsidR="007E39F1" w:rsidRPr="00150362" w:rsidRDefault="007E39F1" w:rsidP="007E39F1">
            <w:pPr>
              <w:pStyle w:val="TableParagraph"/>
              <w:spacing w:before="134"/>
              <w:ind w:left="191"/>
              <w:rPr>
                <w:i/>
                <w:iCs/>
                <w:color w:val="1D336D" w:themeColor="background2"/>
                <w:sz w:val="20"/>
                <w:szCs w:val="20"/>
              </w:rPr>
            </w:pPr>
            <w:r w:rsidRPr="00150362">
              <w:rPr>
                <w:i/>
                <w:iCs/>
                <w:color w:val="1D336D" w:themeColor="background2"/>
                <w:sz w:val="20"/>
                <w:szCs w:val="20"/>
              </w:rPr>
              <w:t>Meet with community.</w:t>
            </w:r>
          </w:p>
          <w:p w14:paraId="551B4CD6" w14:textId="77777777" w:rsidR="007E39F1" w:rsidRPr="00150362" w:rsidRDefault="007E39F1" w:rsidP="007E39F1">
            <w:pPr>
              <w:pStyle w:val="TableParagraph"/>
              <w:spacing w:before="134"/>
              <w:ind w:left="191"/>
              <w:rPr>
                <w:i/>
                <w:iCs/>
                <w:color w:val="1D336D" w:themeColor="background2"/>
                <w:sz w:val="20"/>
                <w:szCs w:val="20"/>
              </w:rPr>
            </w:pPr>
            <w:r w:rsidRPr="00150362">
              <w:rPr>
                <w:i/>
                <w:iCs/>
                <w:color w:val="1D336D" w:themeColor="background2"/>
                <w:sz w:val="20"/>
                <w:szCs w:val="20"/>
              </w:rPr>
              <w:t xml:space="preserve">PM: Travel from </w:t>
            </w:r>
            <w:proofErr w:type="spellStart"/>
            <w:r w:rsidRPr="00150362">
              <w:rPr>
                <w:i/>
                <w:iCs/>
                <w:color w:val="1D336D" w:themeColor="background2"/>
                <w:sz w:val="20"/>
                <w:szCs w:val="20"/>
              </w:rPr>
              <w:t>Aruaru-Hauhari</w:t>
            </w:r>
            <w:proofErr w:type="spellEnd"/>
            <w:r w:rsidRPr="00150362">
              <w:rPr>
                <w:i/>
                <w:iCs/>
                <w:color w:val="1D336D" w:themeColor="background2"/>
                <w:sz w:val="20"/>
                <w:szCs w:val="20"/>
              </w:rPr>
              <w:t xml:space="preserve"> to </w:t>
            </w:r>
            <w:proofErr w:type="spellStart"/>
            <w:r w:rsidRPr="00150362">
              <w:rPr>
                <w:i/>
                <w:iCs/>
                <w:color w:val="1D336D" w:themeColor="background2"/>
                <w:sz w:val="20"/>
                <w:szCs w:val="20"/>
              </w:rPr>
              <w:t>Masupa</w:t>
            </w:r>
            <w:proofErr w:type="spellEnd"/>
            <w:r w:rsidRPr="00150362">
              <w:rPr>
                <w:i/>
                <w:iCs/>
                <w:color w:val="1D336D" w:themeColor="background2"/>
                <w:sz w:val="20"/>
                <w:szCs w:val="20"/>
              </w:rPr>
              <w:t>.</w:t>
            </w:r>
          </w:p>
          <w:p w14:paraId="76D7E2EE" w14:textId="3A610226" w:rsidR="00372C8C" w:rsidRPr="00150362" w:rsidRDefault="007E39F1" w:rsidP="007E39F1">
            <w:pPr>
              <w:pStyle w:val="TableParagraph"/>
              <w:spacing w:before="134"/>
              <w:ind w:left="191"/>
              <w:rPr>
                <w:i/>
                <w:iCs/>
                <w:color w:val="1D336D" w:themeColor="background2"/>
                <w:sz w:val="20"/>
                <w:szCs w:val="20"/>
              </w:rPr>
            </w:pPr>
            <w:r w:rsidRPr="00150362">
              <w:rPr>
                <w:i/>
                <w:iCs/>
                <w:color w:val="1D336D" w:themeColor="background2"/>
                <w:sz w:val="20"/>
                <w:szCs w:val="20"/>
              </w:rPr>
              <w:t xml:space="preserve"> Overnight at </w:t>
            </w:r>
            <w:proofErr w:type="spellStart"/>
            <w:r w:rsidRPr="00150362">
              <w:rPr>
                <w:i/>
                <w:iCs/>
                <w:color w:val="1D336D" w:themeColor="background2"/>
                <w:sz w:val="20"/>
                <w:szCs w:val="20"/>
              </w:rPr>
              <w:t>Masupa</w:t>
            </w:r>
            <w:proofErr w:type="spellEnd"/>
            <w:r w:rsidRPr="00150362">
              <w:rPr>
                <w:i/>
                <w:iCs/>
                <w:color w:val="1D336D" w:themeColor="background2"/>
                <w:sz w:val="20"/>
                <w:szCs w:val="20"/>
              </w:rPr>
              <w:t xml:space="preserve"> community.</w:t>
            </w:r>
          </w:p>
        </w:tc>
      </w:tr>
      <w:tr w:rsidR="00186A2C" w14:paraId="7B3258EF" w14:textId="77777777" w:rsidTr="006E7363">
        <w:trPr>
          <w:trHeight w:val="981"/>
        </w:trPr>
        <w:tc>
          <w:tcPr>
            <w:tcW w:w="1154" w:type="pct"/>
            <w:shd w:val="clear" w:color="auto" w:fill="F1F1F1"/>
          </w:tcPr>
          <w:p w14:paraId="03060F8C" w14:textId="468B6CA6" w:rsidR="00186A2C" w:rsidRPr="008E2C5C" w:rsidRDefault="00186A2C" w:rsidP="00186A2C">
            <w:pPr>
              <w:pStyle w:val="TableParagraph"/>
              <w:spacing w:before="134" w:line="292" w:lineRule="auto"/>
              <w:rPr>
                <w:color w:val="1D336D" w:themeColor="background2"/>
                <w:sz w:val="20"/>
                <w:szCs w:val="20"/>
              </w:rPr>
            </w:pPr>
            <w:r w:rsidRPr="00150362">
              <w:rPr>
                <w:color w:val="1D336D" w:themeColor="background2"/>
                <w:sz w:val="20"/>
                <w:szCs w:val="20"/>
              </w:rPr>
              <w:t>10 November (Friday)</w:t>
            </w:r>
          </w:p>
        </w:tc>
        <w:tc>
          <w:tcPr>
            <w:tcW w:w="1126" w:type="pct"/>
            <w:shd w:val="clear" w:color="auto" w:fill="F2F2F2" w:themeFill="background1" w:themeFillShade="F2"/>
          </w:tcPr>
          <w:p w14:paraId="1A8F0DC8" w14:textId="6DD3FF95" w:rsidR="00186A2C" w:rsidRPr="008E2C5C" w:rsidRDefault="00186A2C" w:rsidP="00186A2C">
            <w:pPr>
              <w:pStyle w:val="TableParagraph"/>
              <w:spacing w:before="134"/>
              <w:ind w:left="83"/>
              <w:rPr>
                <w:i/>
                <w:iCs/>
                <w:color w:val="1D336D" w:themeColor="background2"/>
                <w:sz w:val="20"/>
                <w:szCs w:val="20"/>
              </w:rPr>
            </w:pPr>
            <w:r w:rsidRPr="00150362">
              <w:rPr>
                <w:i/>
                <w:iCs/>
                <w:color w:val="1D336D" w:themeColor="background2"/>
                <w:sz w:val="20"/>
                <w:szCs w:val="20"/>
              </w:rPr>
              <w:t>Solomon Islands</w:t>
            </w:r>
          </w:p>
        </w:tc>
        <w:tc>
          <w:tcPr>
            <w:tcW w:w="2720" w:type="pct"/>
            <w:shd w:val="clear" w:color="auto" w:fill="F2F2F2" w:themeFill="background1" w:themeFillShade="F2"/>
          </w:tcPr>
          <w:p w14:paraId="3F4BFB81" w14:textId="77777777" w:rsidR="00186A2C" w:rsidRPr="00150362" w:rsidRDefault="00186A2C" w:rsidP="00186A2C">
            <w:pPr>
              <w:pStyle w:val="TableParagraph"/>
              <w:spacing w:before="134"/>
              <w:ind w:left="191"/>
              <w:rPr>
                <w:i/>
                <w:iCs/>
                <w:color w:val="1D336D" w:themeColor="background2"/>
                <w:sz w:val="20"/>
                <w:szCs w:val="20"/>
              </w:rPr>
            </w:pPr>
            <w:r w:rsidRPr="00150362">
              <w:rPr>
                <w:i/>
                <w:iCs/>
                <w:color w:val="1D336D" w:themeColor="background2"/>
                <w:sz w:val="20"/>
                <w:szCs w:val="20"/>
              </w:rPr>
              <w:t xml:space="preserve">Travel from </w:t>
            </w:r>
            <w:proofErr w:type="spellStart"/>
            <w:r w:rsidRPr="00150362">
              <w:rPr>
                <w:i/>
                <w:iCs/>
                <w:color w:val="1D336D" w:themeColor="background2"/>
                <w:sz w:val="20"/>
                <w:szCs w:val="20"/>
              </w:rPr>
              <w:t>Masupa</w:t>
            </w:r>
            <w:proofErr w:type="spellEnd"/>
            <w:r w:rsidRPr="00150362">
              <w:rPr>
                <w:i/>
                <w:iCs/>
                <w:color w:val="1D336D" w:themeColor="background2"/>
                <w:sz w:val="20"/>
                <w:szCs w:val="20"/>
              </w:rPr>
              <w:t xml:space="preserve"> to </w:t>
            </w:r>
            <w:proofErr w:type="spellStart"/>
            <w:r w:rsidRPr="00150362">
              <w:rPr>
                <w:i/>
                <w:iCs/>
                <w:color w:val="1D336D" w:themeColor="background2"/>
                <w:sz w:val="20"/>
                <w:szCs w:val="20"/>
              </w:rPr>
              <w:t>Rokera</w:t>
            </w:r>
            <w:proofErr w:type="spellEnd"/>
            <w:r w:rsidRPr="00150362">
              <w:rPr>
                <w:i/>
                <w:iCs/>
                <w:color w:val="1D336D" w:themeColor="background2"/>
                <w:sz w:val="20"/>
                <w:szCs w:val="20"/>
              </w:rPr>
              <w:t xml:space="preserve"> for return flight to Honiara.</w:t>
            </w:r>
          </w:p>
          <w:p w14:paraId="7D1073AB" w14:textId="4EAE3E0B" w:rsidR="00782321" w:rsidRPr="008E2C5C" w:rsidRDefault="007E39F1" w:rsidP="00186A2C">
            <w:pPr>
              <w:pStyle w:val="TableParagraph"/>
              <w:spacing w:before="134"/>
              <w:ind w:left="191"/>
              <w:rPr>
                <w:i/>
                <w:iCs/>
                <w:color w:val="1D336D" w:themeColor="background2"/>
                <w:sz w:val="20"/>
                <w:szCs w:val="20"/>
              </w:rPr>
            </w:pPr>
            <w:r w:rsidRPr="008E2C5C">
              <w:rPr>
                <w:i/>
                <w:iCs/>
                <w:color w:val="1D336D" w:themeColor="background2"/>
                <w:sz w:val="20"/>
                <w:szCs w:val="20"/>
              </w:rPr>
              <w:t>Meet WWF-Solomon Islands.</w:t>
            </w:r>
          </w:p>
        </w:tc>
      </w:tr>
      <w:tr w:rsidR="00D05721" w14:paraId="50DE41B5" w14:textId="77777777" w:rsidTr="006E7363">
        <w:trPr>
          <w:trHeight w:val="835"/>
        </w:trPr>
        <w:tc>
          <w:tcPr>
            <w:tcW w:w="1154" w:type="pct"/>
            <w:shd w:val="clear" w:color="auto" w:fill="F1F1F1"/>
          </w:tcPr>
          <w:p w14:paraId="558AC5BB" w14:textId="169F0AA1" w:rsidR="00D05721" w:rsidRPr="008E2C5C" w:rsidRDefault="00D05721" w:rsidP="00D05721">
            <w:pPr>
              <w:pStyle w:val="TableParagraph"/>
              <w:spacing w:before="134" w:line="292" w:lineRule="auto"/>
              <w:rPr>
                <w:color w:val="1D336D" w:themeColor="background2"/>
                <w:sz w:val="20"/>
                <w:szCs w:val="20"/>
              </w:rPr>
            </w:pPr>
            <w:r w:rsidRPr="00150362">
              <w:rPr>
                <w:color w:val="1D336D" w:themeColor="background2"/>
                <w:sz w:val="20"/>
                <w:szCs w:val="20"/>
              </w:rPr>
              <w:t>11 November (Saturday)</w:t>
            </w:r>
          </w:p>
        </w:tc>
        <w:tc>
          <w:tcPr>
            <w:tcW w:w="1126" w:type="pct"/>
            <w:shd w:val="clear" w:color="auto" w:fill="auto"/>
          </w:tcPr>
          <w:p w14:paraId="47D068FB" w14:textId="6E679282" w:rsidR="00D05721" w:rsidRPr="008E2C5C" w:rsidRDefault="00D05721" w:rsidP="00D05721">
            <w:pPr>
              <w:pStyle w:val="TableParagraph"/>
              <w:spacing w:before="134"/>
              <w:ind w:left="83"/>
              <w:rPr>
                <w:i/>
                <w:iCs/>
                <w:color w:val="1D336D" w:themeColor="background2"/>
                <w:sz w:val="20"/>
                <w:szCs w:val="20"/>
              </w:rPr>
            </w:pPr>
            <w:r w:rsidRPr="00150362">
              <w:rPr>
                <w:i/>
                <w:iCs/>
                <w:color w:val="1D336D" w:themeColor="background2"/>
                <w:sz w:val="20"/>
                <w:szCs w:val="20"/>
              </w:rPr>
              <w:t>Solomon Islands to Fiji</w:t>
            </w:r>
          </w:p>
        </w:tc>
        <w:tc>
          <w:tcPr>
            <w:tcW w:w="2720" w:type="pct"/>
            <w:shd w:val="clear" w:color="auto" w:fill="auto"/>
          </w:tcPr>
          <w:p w14:paraId="77EE3DC1" w14:textId="77777777" w:rsidR="00D05721" w:rsidRPr="00150362" w:rsidRDefault="00D05721" w:rsidP="00D05721">
            <w:pPr>
              <w:pStyle w:val="TableParagraph"/>
              <w:spacing w:before="134"/>
              <w:ind w:left="191"/>
              <w:rPr>
                <w:i/>
                <w:iCs/>
                <w:color w:val="1D336D" w:themeColor="background2"/>
                <w:sz w:val="20"/>
                <w:szCs w:val="20"/>
              </w:rPr>
            </w:pPr>
            <w:r w:rsidRPr="00150362">
              <w:rPr>
                <w:i/>
                <w:iCs/>
                <w:color w:val="1D336D" w:themeColor="background2"/>
                <w:sz w:val="20"/>
                <w:szCs w:val="20"/>
              </w:rPr>
              <w:t>AM: Auki to Honiara by ferry (8am)</w:t>
            </w:r>
          </w:p>
          <w:p w14:paraId="21583B0E" w14:textId="395CF9B6" w:rsidR="00FC6CFC" w:rsidRPr="008E2C5C" w:rsidRDefault="007E39F1" w:rsidP="00D05721">
            <w:pPr>
              <w:pStyle w:val="TableParagraph"/>
              <w:spacing w:before="134"/>
              <w:ind w:left="191"/>
              <w:rPr>
                <w:i/>
                <w:iCs/>
                <w:color w:val="1D336D" w:themeColor="background2"/>
                <w:sz w:val="20"/>
                <w:szCs w:val="20"/>
              </w:rPr>
            </w:pPr>
            <w:r w:rsidRPr="008E2C5C">
              <w:rPr>
                <w:i/>
                <w:iCs/>
                <w:color w:val="1D336D" w:themeColor="background2"/>
                <w:sz w:val="20"/>
                <w:szCs w:val="20"/>
              </w:rPr>
              <w:t>PM: Honiara to Nadi (3:05pm), stay overnight</w:t>
            </w:r>
          </w:p>
        </w:tc>
      </w:tr>
      <w:tr w:rsidR="005A2443" w14:paraId="256CA651" w14:textId="77777777" w:rsidTr="006E7363">
        <w:trPr>
          <w:trHeight w:val="847"/>
        </w:trPr>
        <w:tc>
          <w:tcPr>
            <w:tcW w:w="1154" w:type="pct"/>
            <w:shd w:val="clear" w:color="auto" w:fill="F1F1F1"/>
          </w:tcPr>
          <w:p w14:paraId="75C721FE" w14:textId="6294E237" w:rsidR="005A2443" w:rsidRPr="008E2C5C" w:rsidRDefault="005A2443" w:rsidP="005A2443">
            <w:pPr>
              <w:pStyle w:val="TableParagraph"/>
              <w:spacing w:before="134" w:line="292" w:lineRule="auto"/>
              <w:rPr>
                <w:color w:val="1D336D" w:themeColor="background2"/>
                <w:sz w:val="20"/>
                <w:szCs w:val="20"/>
              </w:rPr>
            </w:pPr>
            <w:r w:rsidRPr="00150362">
              <w:rPr>
                <w:color w:val="1D336D" w:themeColor="background2"/>
                <w:sz w:val="20"/>
                <w:szCs w:val="20"/>
              </w:rPr>
              <w:t>12 November (Sunday)</w:t>
            </w:r>
          </w:p>
        </w:tc>
        <w:tc>
          <w:tcPr>
            <w:tcW w:w="1126" w:type="pct"/>
            <w:shd w:val="clear" w:color="auto" w:fill="F2F2F2" w:themeFill="background1" w:themeFillShade="F2"/>
          </w:tcPr>
          <w:p w14:paraId="736FF2F3" w14:textId="04B738F1" w:rsidR="005A2443" w:rsidRPr="008E2C5C" w:rsidRDefault="005A2443" w:rsidP="005A2443">
            <w:pPr>
              <w:pStyle w:val="TableParagraph"/>
              <w:spacing w:before="134"/>
              <w:ind w:left="83"/>
              <w:rPr>
                <w:i/>
                <w:iCs/>
                <w:color w:val="1D336D" w:themeColor="background2"/>
                <w:sz w:val="20"/>
                <w:szCs w:val="20"/>
              </w:rPr>
            </w:pPr>
            <w:r w:rsidRPr="00150362">
              <w:rPr>
                <w:i/>
                <w:iCs/>
                <w:color w:val="1D336D" w:themeColor="background2"/>
                <w:sz w:val="20"/>
                <w:szCs w:val="20"/>
              </w:rPr>
              <w:t>Fiji</w:t>
            </w:r>
          </w:p>
        </w:tc>
        <w:tc>
          <w:tcPr>
            <w:tcW w:w="2720" w:type="pct"/>
            <w:shd w:val="clear" w:color="auto" w:fill="F2F2F2" w:themeFill="background1" w:themeFillShade="F2"/>
          </w:tcPr>
          <w:p w14:paraId="28C840DA" w14:textId="04102AAE" w:rsidR="005A2443" w:rsidRPr="008E2C5C" w:rsidRDefault="005A2443" w:rsidP="005A2443">
            <w:pPr>
              <w:pStyle w:val="TableParagraph"/>
              <w:spacing w:before="134"/>
              <w:ind w:left="191"/>
              <w:rPr>
                <w:i/>
                <w:iCs/>
                <w:color w:val="1D336D" w:themeColor="background2"/>
                <w:sz w:val="20"/>
                <w:szCs w:val="20"/>
              </w:rPr>
            </w:pPr>
            <w:r w:rsidRPr="00150362">
              <w:rPr>
                <w:i/>
                <w:iCs/>
                <w:color w:val="1D336D" w:themeColor="background2"/>
                <w:sz w:val="20"/>
                <w:szCs w:val="20"/>
              </w:rPr>
              <w:t xml:space="preserve">Travel to </w:t>
            </w:r>
            <w:proofErr w:type="spellStart"/>
            <w:r w:rsidRPr="00150362">
              <w:rPr>
                <w:i/>
                <w:iCs/>
                <w:color w:val="1D336D" w:themeColor="background2"/>
                <w:sz w:val="20"/>
                <w:szCs w:val="20"/>
              </w:rPr>
              <w:t>Rakiraki</w:t>
            </w:r>
            <w:proofErr w:type="spellEnd"/>
            <w:r w:rsidRPr="00150362">
              <w:rPr>
                <w:i/>
                <w:iCs/>
                <w:color w:val="1D336D" w:themeColor="background2"/>
                <w:sz w:val="20"/>
                <w:szCs w:val="20"/>
              </w:rPr>
              <w:t>.</w:t>
            </w:r>
          </w:p>
        </w:tc>
      </w:tr>
      <w:tr w:rsidR="000B2E2F" w14:paraId="63C312AB" w14:textId="77777777" w:rsidTr="006E7363">
        <w:trPr>
          <w:trHeight w:val="1115"/>
        </w:trPr>
        <w:tc>
          <w:tcPr>
            <w:tcW w:w="1154" w:type="pct"/>
            <w:shd w:val="clear" w:color="auto" w:fill="F1F1F1"/>
          </w:tcPr>
          <w:p w14:paraId="3B4869F3" w14:textId="0A06BDD0" w:rsidR="000B2E2F" w:rsidRPr="00150362" w:rsidRDefault="000B2E2F" w:rsidP="000B2E2F">
            <w:pPr>
              <w:pStyle w:val="TableParagraph"/>
              <w:spacing w:before="134" w:line="292" w:lineRule="auto"/>
              <w:rPr>
                <w:color w:val="1D336D" w:themeColor="background2"/>
                <w:sz w:val="20"/>
                <w:szCs w:val="20"/>
              </w:rPr>
            </w:pPr>
            <w:r w:rsidRPr="00150362">
              <w:rPr>
                <w:color w:val="1D336D" w:themeColor="background2"/>
                <w:sz w:val="20"/>
                <w:szCs w:val="20"/>
              </w:rPr>
              <w:t>13 November (Monday)</w:t>
            </w:r>
          </w:p>
        </w:tc>
        <w:tc>
          <w:tcPr>
            <w:tcW w:w="1126" w:type="pct"/>
            <w:shd w:val="clear" w:color="auto" w:fill="auto"/>
          </w:tcPr>
          <w:p w14:paraId="31AF2F85" w14:textId="77777777" w:rsidR="000B2E2F" w:rsidRPr="00150362" w:rsidRDefault="000B2E2F" w:rsidP="000B2E2F">
            <w:pPr>
              <w:pStyle w:val="TableParagraph"/>
              <w:spacing w:before="134"/>
              <w:ind w:left="83"/>
              <w:rPr>
                <w:i/>
                <w:iCs/>
                <w:color w:val="1D336D" w:themeColor="background2"/>
                <w:sz w:val="20"/>
                <w:szCs w:val="20"/>
              </w:rPr>
            </w:pPr>
            <w:r w:rsidRPr="00150362">
              <w:rPr>
                <w:i/>
                <w:iCs/>
                <w:color w:val="1D336D" w:themeColor="background2"/>
                <w:sz w:val="20"/>
                <w:szCs w:val="20"/>
              </w:rPr>
              <w:t>Fiji</w:t>
            </w:r>
          </w:p>
          <w:p w14:paraId="6482EFC2" w14:textId="77777777" w:rsidR="00D82DB5" w:rsidRPr="00150362" w:rsidRDefault="00D82DB5" w:rsidP="000B2E2F">
            <w:pPr>
              <w:pStyle w:val="TableParagraph"/>
              <w:spacing w:before="134"/>
              <w:ind w:left="83"/>
              <w:rPr>
                <w:i/>
                <w:iCs/>
                <w:color w:val="1D336D" w:themeColor="background2"/>
                <w:sz w:val="20"/>
                <w:szCs w:val="20"/>
              </w:rPr>
            </w:pPr>
          </w:p>
          <w:p w14:paraId="6415733B" w14:textId="3FAC8C3C" w:rsidR="00D82DB5" w:rsidRPr="00150362" w:rsidRDefault="00D82DB5" w:rsidP="00D82DB5">
            <w:pPr>
              <w:pStyle w:val="TableParagraph"/>
              <w:spacing w:before="134"/>
              <w:ind w:left="0"/>
              <w:rPr>
                <w:i/>
                <w:iCs/>
                <w:color w:val="1D336D" w:themeColor="background2"/>
                <w:sz w:val="20"/>
                <w:szCs w:val="20"/>
              </w:rPr>
            </w:pPr>
          </w:p>
        </w:tc>
        <w:tc>
          <w:tcPr>
            <w:tcW w:w="2720" w:type="pct"/>
            <w:shd w:val="clear" w:color="auto" w:fill="auto"/>
          </w:tcPr>
          <w:p w14:paraId="30E8C541" w14:textId="77777777" w:rsidR="000B2E2F" w:rsidRPr="00150362" w:rsidRDefault="000B2E2F" w:rsidP="000B2E2F">
            <w:pPr>
              <w:pStyle w:val="TableParagraph"/>
              <w:spacing w:before="134"/>
              <w:ind w:left="191"/>
              <w:rPr>
                <w:i/>
                <w:iCs/>
                <w:color w:val="1D336D" w:themeColor="background2"/>
                <w:sz w:val="20"/>
                <w:szCs w:val="20"/>
              </w:rPr>
            </w:pPr>
            <w:r w:rsidRPr="00150362">
              <w:rPr>
                <w:i/>
                <w:iCs/>
                <w:color w:val="1D336D" w:themeColor="background2"/>
                <w:sz w:val="20"/>
                <w:szCs w:val="20"/>
              </w:rPr>
              <w:t xml:space="preserve">AM: Conservation International site visit </w:t>
            </w:r>
            <w:proofErr w:type="spellStart"/>
            <w:r w:rsidRPr="00150362">
              <w:rPr>
                <w:i/>
                <w:iCs/>
                <w:color w:val="1D336D" w:themeColor="background2"/>
                <w:sz w:val="20"/>
                <w:szCs w:val="20"/>
              </w:rPr>
              <w:t>Navitilevu</w:t>
            </w:r>
            <w:proofErr w:type="spellEnd"/>
            <w:r w:rsidRPr="00150362">
              <w:rPr>
                <w:i/>
                <w:iCs/>
                <w:color w:val="1D336D" w:themeColor="background2"/>
                <w:sz w:val="20"/>
                <w:szCs w:val="20"/>
              </w:rPr>
              <w:t xml:space="preserve"> Bay in Ra Province</w:t>
            </w:r>
          </w:p>
          <w:p w14:paraId="25F2841D" w14:textId="14AB94B7" w:rsidR="00A1622B" w:rsidRPr="00150362" w:rsidRDefault="007E39F1" w:rsidP="000B2E2F">
            <w:pPr>
              <w:pStyle w:val="TableParagraph"/>
              <w:spacing w:before="134"/>
              <w:ind w:left="191"/>
              <w:rPr>
                <w:i/>
                <w:iCs/>
                <w:color w:val="1D336D" w:themeColor="background2"/>
                <w:sz w:val="20"/>
                <w:szCs w:val="20"/>
              </w:rPr>
            </w:pPr>
            <w:r w:rsidRPr="00150362">
              <w:rPr>
                <w:i/>
                <w:iCs/>
                <w:color w:val="1D336D" w:themeColor="background2"/>
                <w:sz w:val="20"/>
                <w:szCs w:val="20"/>
              </w:rPr>
              <w:t>PM: travel to Suva.</w:t>
            </w:r>
          </w:p>
        </w:tc>
      </w:tr>
      <w:tr w:rsidR="00DE37AC" w14:paraId="43DA011A" w14:textId="77777777" w:rsidTr="006E7363">
        <w:trPr>
          <w:trHeight w:val="844"/>
        </w:trPr>
        <w:tc>
          <w:tcPr>
            <w:tcW w:w="1154" w:type="pct"/>
            <w:shd w:val="clear" w:color="auto" w:fill="F1F1F1"/>
          </w:tcPr>
          <w:p w14:paraId="4DB0048F" w14:textId="1ABDC20F" w:rsidR="00DE37AC" w:rsidRPr="00150362" w:rsidRDefault="00DE37AC" w:rsidP="00DE37AC">
            <w:pPr>
              <w:pStyle w:val="TableParagraph"/>
              <w:spacing w:before="134" w:line="292" w:lineRule="auto"/>
              <w:rPr>
                <w:color w:val="1D336D" w:themeColor="background2"/>
                <w:sz w:val="20"/>
                <w:szCs w:val="20"/>
              </w:rPr>
            </w:pPr>
            <w:r w:rsidRPr="00150362">
              <w:rPr>
                <w:color w:val="1D336D" w:themeColor="background2"/>
                <w:sz w:val="20"/>
                <w:szCs w:val="20"/>
              </w:rPr>
              <w:t>14 November (Tuesday)</w:t>
            </w:r>
          </w:p>
        </w:tc>
        <w:tc>
          <w:tcPr>
            <w:tcW w:w="1126" w:type="pct"/>
            <w:shd w:val="clear" w:color="auto" w:fill="F2F2F2" w:themeFill="background1" w:themeFillShade="F2"/>
          </w:tcPr>
          <w:p w14:paraId="74ABC500" w14:textId="7CCA87E5" w:rsidR="00DE37AC" w:rsidRPr="00150362" w:rsidRDefault="00DE37AC" w:rsidP="00DE37AC">
            <w:pPr>
              <w:pStyle w:val="TableParagraph"/>
              <w:spacing w:before="134"/>
              <w:ind w:left="83"/>
              <w:rPr>
                <w:i/>
                <w:iCs/>
                <w:color w:val="1D336D" w:themeColor="background2"/>
                <w:sz w:val="20"/>
                <w:szCs w:val="20"/>
              </w:rPr>
            </w:pPr>
            <w:r w:rsidRPr="00150362">
              <w:rPr>
                <w:i/>
                <w:iCs/>
                <w:color w:val="1D336D" w:themeColor="background2"/>
                <w:sz w:val="20"/>
                <w:szCs w:val="20"/>
              </w:rPr>
              <w:t>Fiji</w:t>
            </w:r>
          </w:p>
        </w:tc>
        <w:tc>
          <w:tcPr>
            <w:tcW w:w="2720" w:type="pct"/>
            <w:shd w:val="clear" w:color="auto" w:fill="F2F2F2" w:themeFill="background1" w:themeFillShade="F2"/>
          </w:tcPr>
          <w:p w14:paraId="7CB19625" w14:textId="00CC6337" w:rsidR="00DE37AC" w:rsidRPr="00150362" w:rsidRDefault="00DE37AC" w:rsidP="00DE37AC">
            <w:pPr>
              <w:pStyle w:val="TableParagraph"/>
              <w:spacing w:before="134"/>
              <w:ind w:left="191"/>
              <w:rPr>
                <w:i/>
                <w:iCs/>
                <w:color w:val="1D336D" w:themeColor="background2"/>
                <w:sz w:val="20"/>
                <w:szCs w:val="20"/>
              </w:rPr>
            </w:pPr>
            <w:r w:rsidRPr="00150362">
              <w:rPr>
                <w:i/>
                <w:iCs/>
                <w:color w:val="1D336D" w:themeColor="background2"/>
                <w:sz w:val="20"/>
                <w:szCs w:val="20"/>
              </w:rPr>
              <w:t>Locked down due to Cyclone Mal</w:t>
            </w:r>
          </w:p>
        </w:tc>
      </w:tr>
      <w:tr w:rsidR="00974E54" w14:paraId="4E03F98B" w14:textId="77777777" w:rsidTr="006E7363">
        <w:trPr>
          <w:trHeight w:val="844"/>
        </w:trPr>
        <w:tc>
          <w:tcPr>
            <w:tcW w:w="1154" w:type="pct"/>
            <w:shd w:val="clear" w:color="auto" w:fill="F1F1F1"/>
          </w:tcPr>
          <w:p w14:paraId="1D691F6F" w14:textId="7C5C2246" w:rsidR="00974E54" w:rsidRPr="00150362" w:rsidRDefault="00974E54" w:rsidP="00974E54">
            <w:pPr>
              <w:pStyle w:val="TableParagraph"/>
              <w:spacing w:before="134" w:line="292" w:lineRule="auto"/>
              <w:rPr>
                <w:color w:val="1D336D" w:themeColor="background2"/>
                <w:sz w:val="20"/>
                <w:szCs w:val="20"/>
              </w:rPr>
            </w:pPr>
            <w:r w:rsidRPr="00150362">
              <w:rPr>
                <w:color w:val="1D336D" w:themeColor="background2"/>
                <w:sz w:val="20"/>
                <w:szCs w:val="20"/>
              </w:rPr>
              <w:t>15 November (Wednesday)</w:t>
            </w:r>
          </w:p>
        </w:tc>
        <w:tc>
          <w:tcPr>
            <w:tcW w:w="1126" w:type="pct"/>
            <w:shd w:val="clear" w:color="auto" w:fill="auto"/>
          </w:tcPr>
          <w:p w14:paraId="64E7A8C2" w14:textId="759BCE1D" w:rsidR="00974E54" w:rsidRPr="00150362" w:rsidRDefault="00974E54" w:rsidP="00974E54">
            <w:pPr>
              <w:pStyle w:val="TableParagraph"/>
              <w:spacing w:before="134"/>
              <w:ind w:left="83"/>
              <w:rPr>
                <w:i/>
                <w:iCs/>
                <w:color w:val="1D336D" w:themeColor="background2"/>
                <w:sz w:val="20"/>
                <w:szCs w:val="20"/>
              </w:rPr>
            </w:pPr>
            <w:r w:rsidRPr="00150362">
              <w:rPr>
                <w:i/>
                <w:iCs/>
                <w:color w:val="1D336D" w:themeColor="background2"/>
                <w:sz w:val="20"/>
                <w:szCs w:val="20"/>
              </w:rPr>
              <w:t>Fiji</w:t>
            </w:r>
          </w:p>
        </w:tc>
        <w:tc>
          <w:tcPr>
            <w:tcW w:w="2720" w:type="pct"/>
            <w:shd w:val="clear" w:color="auto" w:fill="auto"/>
          </w:tcPr>
          <w:p w14:paraId="2642069A" w14:textId="753F23F2" w:rsidR="00974E54" w:rsidRPr="00150362" w:rsidRDefault="00974E54" w:rsidP="00974E54">
            <w:pPr>
              <w:pStyle w:val="TableParagraph"/>
              <w:spacing w:before="134"/>
              <w:ind w:left="191"/>
              <w:rPr>
                <w:i/>
                <w:iCs/>
                <w:color w:val="1D336D" w:themeColor="background2"/>
                <w:sz w:val="20"/>
                <w:szCs w:val="20"/>
              </w:rPr>
            </w:pPr>
            <w:r w:rsidRPr="00150362">
              <w:rPr>
                <w:i/>
                <w:iCs/>
                <w:color w:val="1D336D" w:themeColor="background2"/>
                <w:sz w:val="20"/>
                <w:szCs w:val="20"/>
              </w:rPr>
              <w:t>Locked down due to Cyclone Mal</w:t>
            </w:r>
          </w:p>
        </w:tc>
      </w:tr>
      <w:tr w:rsidR="001E0291" w14:paraId="595C653D" w14:textId="77777777" w:rsidTr="006E7363">
        <w:trPr>
          <w:trHeight w:val="842"/>
        </w:trPr>
        <w:tc>
          <w:tcPr>
            <w:tcW w:w="1154" w:type="pct"/>
            <w:shd w:val="clear" w:color="auto" w:fill="F1F1F1"/>
          </w:tcPr>
          <w:p w14:paraId="09891ACC" w14:textId="28071C1F" w:rsidR="001E0291" w:rsidRPr="00150362" w:rsidRDefault="001E0291" w:rsidP="001E0291">
            <w:pPr>
              <w:pStyle w:val="TableParagraph"/>
              <w:spacing w:before="134" w:line="292" w:lineRule="auto"/>
              <w:rPr>
                <w:color w:val="1D336D" w:themeColor="background2"/>
                <w:sz w:val="20"/>
                <w:szCs w:val="20"/>
              </w:rPr>
            </w:pPr>
            <w:r w:rsidRPr="00150362">
              <w:rPr>
                <w:color w:val="1D336D" w:themeColor="background2"/>
                <w:sz w:val="20"/>
                <w:szCs w:val="20"/>
              </w:rPr>
              <w:lastRenderedPageBreak/>
              <w:t>16 November (Thursday)</w:t>
            </w:r>
          </w:p>
        </w:tc>
        <w:tc>
          <w:tcPr>
            <w:tcW w:w="1126" w:type="pct"/>
            <w:shd w:val="clear" w:color="auto" w:fill="F2F2F2" w:themeFill="background1" w:themeFillShade="F2"/>
          </w:tcPr>
          <w:p w14:paraId="6BD5BAA8" w14:textId="33CE94FF" w:rsidR="001E0291" w:rsidRPr="00150362" w:rsidRDefault="001E0291" w:rsidP="001E0291">
            <w:pPr>
              <w:pStyle w:val="TableParagraph"/>
              <w:spacing w:before="134"/>
              <w:ind w:left="83"/>
              <w:rPr>
                <w:i/>
                <w:iCs/>
                <w:color w:val="1D336D" w:themeColor="background2"/>
                <w:sz w:val="20"/>
                <w:szCs w:val="20"/>
              </w:rPr>
            </w:pPr>
            <w:r w:rsidRPr="00150362">
              <w:rPr>
                <w:i/>
                <w:iCs/>
                <w:color w:val="1D336D" w:themeColor="background2"/>
                <w:sz w:val="20"/>
                <w:szCs w:val="20"/>
              </w:rPr>
              <w:t>Fiji</w:t>
            </w:r>
          </w:p>
        </w:tc>
        <w:tc>
          <w:tcPr>
            <w:tcW w:w="2720" w:type="pct"/>
            <w:shd w:val="clear" w:color="auto" w:fill="F2F2F2" w:themeFill="background1" w:themeFillShade="F2"/>
          </w:tcPr>
          <w:p w14:paraId="0166A1DE" w14:textId="1736DC45" w:rsidR="001E0291" w:rsidRPr="00150362" w:rsidRDefault="001E0291" w:rsidP="001E0291">
            <w:pPr>
              <w:pStyle w:val="TableParagraph"/>
              <w:spacing w:before="134"/>
              <w:ind w:left="191"/>
              <w:rPr>
                <w:i/>
                <w:iCs/>
                <w:color w:val="1D336D" w:themeColor="background2"/>
                <w:sz w:val="20"/>
                <w:szCs w:val="20"/>
              </w:rPr>
            </w:pPr>
            <w:r w:rsidRPr="00150362">
              <w:rPr>
                <w:i/>
                <w:iCs/>
                <w:color w:val="1D336D" w:themeColor="background2"/>
                <w:sz w:val="20"/>
                <w:szCs w:val="20"/>
              </w:rPr>
              <w:t>AM-PM: Meet with WWF-Pacific team in Suva</w:t>
            </w:r>
          </w:p>
        </w:tc>
      </w:tr>
      <w:tr w:rsidR="00CF19C3" w14:paraId="66D2BCF1" w14:textId="77777777" w:rsidTr="006E7363">
        <w:trPr>
          <w:trHeight w:val="854"/>
        </w:trPr>
        <w:tc>
          <w:tcPr>
            <w:tcW w:w="1154" w:type="pct"/>
            <w:shd w:val="clear" w:color="auto" w:fill="F1F1F1"/>
          </w:tcPr>
          <w:p w14:paraId="48A4B9B7" w14:textId="5B96B85F" w:rsidR="00CF19C3" w:rsidRPr="00150362" w:rsidRDefault="00CF19C3" w:rsidP="00CF19C3">
            <w:pPr>
              <w:pStyle w:val="TableParagraph"/>
              <w:spacing w:before="134" w:line="292" w:lineRule="auto"/>
              <w:rPr>
                <w:color w:val="1D336D" w:themeColor="background2"/>
                <w:sz w:val="20"/>
                <w:szCs w:val="20"/>
              </w:rPr>
            </w:pPr>
            <w:r w:rsidRPr="00150362">
              <w:rPr>
                <w:color w:val="1D336D" w:themeColor="background2"/>
                <w:sz w:val="20"/>
                <w:szCs w:val="20"/>
              </w:rPr>
              <w:t>17 November (Friday)</w:t>
            </w:r>
          </w:p>
        </w:tc>
        <w:tc>
          <w:tcPr>
            <w:tcW w:w="1126" w:type="pct"/>
            <w:shd w:val="clear" w:color="auto" w:fill="auto"/>
          </w:tcPr>
          <w:p w14:paraId="72757DA4" w14:textId="402BFE63" w:rsidR="00CF19C3" w:rsidRPr="00150362" w:rsidRDefault="00CF19C3" w:rsidP="00CF19C3">
            <w:pPr>
              <w:pStyle w:val="TableParagraph"/>
              <w:spacing w:before="134"/>
              <w:ind w:left="83"/>
              <w:rPr>
                <w:i/>
                <w:iCs/>
                <w:color w:val="1D336D" w:themeColor="background2"/>
                <w:sz w:val="20"/>
                <w:szCs w:val="20"/>
              </w:rPr>
            </w:pPr>
            <w:r w:rsidRPr="00150362">
              <w:rPr>
                <w:i/>
                <w:iCs/>
                <w:color w:val="1D336D" w:themeColor="background2"/>
                <w:sz w:val="20"/>
                <w:szCs w:val="20"/>
              </w:rPr>
              <w:t>Fiji to Australia</w:t>
            </w:r>
          </w:p>
        </w:tc>
        <w:tc>
          <w:tcPr>
            <w:tcW w:w="2720" w:type="pct"/>
            <w:shd w:val="clear" w:color="auto" w:fill="auto"/>
          </w:tcPr>
          <w:p w14:paraId="2061E674" w14:textId="72CAE8B0" w:rsidR="00CF19C3" w:rsidRPr="00150362" w:rsidRDefault="00CF19C3" w:rsidP="00CF19C3">
            <w:pPr>
              <w:pStyle w:val="TableParagraph"/>
              <w:spacing w:before="134"/>
              <w:ind w:left="191"/>
              <w:rPr>
                <w:i/>
                <w:iCs/>
                <w:color w:val="1D336D" w:themeColor="background2"/>
                <w:sz w:val="20"/>
                <w:szCs w:val="20"/>
              </w:rPr>
            </w:pPr>
            <w:r w:rsidRPr="00150362">
              <w:rPr>
                <w:i/>
                <w:iCs/>
                <w:color w:val="1D336D" w:themeColor="background2"/>
                <w:sz w:val="20"/>
                <w:szCs w:val="20"/>
              </w:rPr>
              <w:t>PM: Travel to Nadi for onward flight to Sydney</w:t>
            </w:r>
          </w:p>
        </w:tc>
      </w:tr>
      <w:tr w:rsidR="00A76068" w14:paraId="253CCF6A" w14:textId="77777777" w:rsidTr="006E7363">
        <w:trPr>
          <w:trHeight w:val="823"/>
        </w:trPr>
        <w:tc>
          <w:tcPr>
            <w:tcW w:w="1154" w:type="pct"/>
            <w:shd w:val="clear" w:color="auto" w:fill="F1F1F1"/>
          </w:tcPr>
          <w:p w14:paraId="3DA74A5C" w14:textId="442DA8DD" w:rsidR="00A76068" w:rsidRPr="00150362" w:rsidRDefault="00A76068" w:rsidP="00A76068">
            <w:pPr>
              <w:pStyle w:val="TableParagraph"/>
              <w:spacing w:before="134" w:line="292" w:lineRule="auto"/>
              <w:rPr>
                <w:color w:val="1D336D" w:themeColor="background2"/>
                <w:sz w:val="20"/>
                <w:szCs w:val="20"/>
              </w:rPr>
            </w:pPr>
            <w:r w:rsidRPr="00150362">
              <w:rPr>
                <w:color w:val="1D336D" w:themeColor="background2"/>
                <w:sz w:val="20"/>
                <w:szCs w:val="20"/>
              </w:rPr>
              <w:t>18 November (Saturday)</w:t>
            </w:r>
          </w:p>
        </w:tc>
        <w:tc>
          <w:tcPr>
            <w:tcW w:w="1126" w:type="pct"/>
            <w:shd w:val="clear" w:color="auto" w:fill="F2F2F2" w:themeFill="background1" w:themeFillShade="F2"/>
          </w:tcPr>
          <w:p w14:paraId="55DC78F9" w14:textId="26B3F9DE" w:rsidR="00A76068" w:rsidRPr="00150362" w:rsidRDefault="00A76068" w:rsidP="00A76068">
            <w:pPr>
              <w:pStyle w:val="TableParagraph"/>
              <w:spacing w:before="134"/>
              <w:ind w:left="83"/>
              <w:rPr>
                <w:i/>
                <w:iCs/>
                <w:color w:val="1D336D" w:themeColor="background2"/>
                <w:sz w:val="20"/>
                <w:szCs w:val="20"/>
              </w:rPr>
            </w:pPr>
            <w:r w:rsidRPr="00150362">
              <w:rPr>
                <w:i/>
                <w:iCs/>
                <w:color w:val="1D336D" w:themeColor="background2"/>
                <w:sz w:val="20"/>
                <w:szCs w:val="20"/>
              </w:rPr>
              <w:t xml:space="preserve">Australia to Timor- </w:t>
            </w:r>
            <w:proofErr w:type="spellStart"/>
            <w:r w:rsidRPr="00150362">
              <w:rPr>
                <w:i/>
                <w:iCs/>
                <w:color w:val="1D336D" w:themeColor="background2"/>
                <w:sz w:val="20"/>
                <w:szCs w:val="20"/>
              </w:rPr>
              <w:t>Leste</w:t>
            </w:r>
            <w:proofErr w:type="spellEnd"/>
          </w:p>
        </w:tc>
        <w:tc>
          <w:tcPr>
            <w:tcW w:w="2720" w:type="pct"/>
            <w:shd w:val="clear" w:color="auto" w:fill="F2F2F2" w:themeFill="background1" w:themeFillShade="F2"/>
          </w:tcPr>
          <w:p w14:paraId="0619C23A" w14:textId="61858121" w:rsidR="00A76068" w:rsidRPr="00150362" w:rsidRDefault="00A76068" w:rsidP="00A76068">
            <w:pPr>
              <w:pStyle w:val="TableParagraph"/>
              <w:spacing w:before="134"/>
              <w:ind w:left="191"/>
              <w:rPr>
                <w:i/>
                <w:iCs/>
                <w:color w:val="1D336D" w:themeColor="background2"/>
                <w:sz w:val="20"/>
                <w:szCs w:val="20"/>
              </w:rPr>
            </w:pPr>
            <w:r w:rsidRPr="00150362">
              <w:rPr>
                <w:i/>
                <w:iCs/>
                <w:color w:val="1D336D" w:themeColor="background2"/>
                <w:sz w:val="20"/>
                <w:szCs w:val="20"/>
              </w:rPr>
              <w:t>Arrive Dili</w:t>
            </w:r>
          </w:p>
        </w:tc>
      </w:tr>
      <w:tr w:rsidR="00411B08" w14:paraId="01266276" w14:textId="77777777" w:rsidTr="006E7363">
        <w:trPr>
          <w:trHeight w:val="849"/>
        </w:trPr>
        <w:tc>
          <w:tcPr>
            <w:tcW w:w="1154" w:type="pct"/>
            <w:shd w:val="clear" w:color="auto" w:fill="F1F1F1"/>
          </w:tcPr>
          <w:p w14:paraId="28EDCCA8" w14:textId="79ADFD42" w:rsidR="00411B08" w:rsidRPr="00150362" w:rsidRDefault="00411B08" w:rsidP="00411B08">
            <w:pPr>
              <w:pStyle w:val="TableParagraph"/>
              <w:spacing w:before="134" w:line="292" w:lineRule="auto"/>
              <w:rPr>
                <w:color w:val="1D336D" w:themeColor="background2"/>
                <w:sz w:val="20"/>
                <w:szCs w:val="20"/>
              </w:rPr>
            </w:pPr>
            <w:r w:rsidRPr="00150362">
              <w:rPr>
                <w:color w:val="1D336D" w:themeColor="background2"/>
                <w:sz w:val="20"/>
                <w:szCs w:val="20"/>
              </w:rPr>
              <w:t>19 November (Sunday)</w:t>
            </w:r>
          </w:p>
        </w:tc>
        <w:tc>
          <w:tcPr>
            <w:tcW w:w="1126" w:type="pct"/>
            <w:shd w:val="clear" w:color="auto" w:fill="auto"/>
          </w:tcPr>
          <w:p w14:paraId="45D116E2" w14:textId="22D9CED4" w:rsidR="00411B08" w:rsidRPr="00150362" w:rsidRDefault="00411B08" w:rsidP="00411B08">
            <w:pPr>
              <w:pStyle w:val="TableParagraph"/>
              <w:spacing w:before="134"/>
              <w:ind w:left="83"/>
              <w:rPr>
                <w:i/>
                <w:iCs/>
                <w:color w:val="1D336D" w:themeColor="background2"/>
                <w:sz w:val="20"/>
                <w:szCs w:val="20"/>
              </w:rPr>
            </w:pPr>
            <w:r w:rsidRPr="00150362">
              <w:rPr>
                <w:i/>
                <w:iCs/>
                <w:color w:val="1D336D" w:themeColor="background2"/>
                <w:sz w:val="20"/>
                <w:szCs w:val="20"/>
              </w:rPr>
              <w:t>Timor-Leste</w:t>
            </w:r>
          </w:p>
        </w:tc>
        <w:tc>
          <w:tcPr>
            <w:tcW w:w="2720" w:type="pct"/>
            <w:shd w:val="clear" w:color="auto" w:fill="auto"/>
          </w:tcPr>
          <w:p w14:paraId="0167AB61" w14:textId="18E06C9E" w:rsidR="00411B08" w:rsidRPr="00150362" w:rsidRDefault="00411B08" w:rsidP="00411B08">
            <w:pPr>
              <w:pStyle w:val="TableParagraph"/>
              <w:spacing w:before="134"/>
              <w:ind w:left="191"/>
              <w:rPr>
                <w:i/>
                <w:iCs/>
                <w:color w:val="1D336D" w:themeColor="background2"/>
                <w:sz w:val="20"/>
                <w:szCs w:val="20"/>
              </w:rPr>
            </w:pPr>
            <w:r w:rsidRPr="00150362">
              <w:rPr>
                <w:i/>
                <w:iCs/>
                <w:color w:val="1D336D" w:themeColor="background2"/>
                <w:sz w:val="20"/>
                <w:szCs w:val="20"/>
              </w:rPr>
              <w:t>Rest day</w:t>
            </w:r>
          </w:p>
        </w:tc>
      </w:tr>
      <w:tr w:rsidR="00B10C97" w14:paraId="6A3EFD2A" w14:textId="77777777" w:rsidTr="006E7363">
        <w:trPr>
          <w:trHeight w:val="847"/>
        </w:trPr>
        <w:tc>
          <w:tcPr>
            <w:tcW w:w="1154" w:type="pct"/>
            <w:shd w:val="clear" w:color="auto" w:fill="F1F1F1"/>
          </w:tcPr>
          <w:p w14:paraId="389C0184" w14:textId="5FDB200E" w:rsidR="00B10C97" w:rsidRPr="00150362" w:rsidRDefault="00B10C97" w:rsidP="00B10C97">
            <w:pPr>
              <w:pStyle w:val="TableParagraph"/>
              <w:spacing w:before="134" w:line="292" w:lineRule="auto"/>
              <w:rPr>
                <w:color w:val="1D336D" w:themeColor="background2"/>
                <w:sz w:val="20"/>
                <w:szCs w:val="20"/>
              </w:rPr>
            </w:pPr>
            <w:r w:rsidRPr="00150362">
              <w:rPr>
                <w:color w:val="1D336D" w:themeColor="background2"/>
                <w:sz w:val="20"/>
                <w:szCs w:val="20"/>
              </w:rPr>
              <w:t>20 November (Monday)</w:t>
            </w:r>
          </w:p>
        </w:tc>
        <w:tc>
          <w:tcPr>
            <w:tcW w:w="1126" w:type="pct"/>
            <w:shd w:val="clear" w:color="auto" w:fill="F2F2F2" w:themeFill="background1" w:themeFillShade="F2"/>
          </w:tcPr>
          <w:p w14:paraId="53F2F037" w14:textId="7469A3A2" w:rsidR="00B10C97" w:rsidRPr="00150362" w:rsidRDefault="00B10C97" w:rsidP="00B10C97">
            <w:pPr>
              <w:pStyle w:val="TableParagraph"/>
              <w:spacing w:before="134"/>
              <w:ind w:left="83"/>
              <w:rPr>
                <w:i/>
                <w:iCs/>
                <w:color w:val="1D336D" w:themeColor="background2"/>
                <w:sz w:val="20"/>
                <w:szCs w:val="20"/>
              </w:rPr>
            </w:pPr>
            <w:r w:rsidRPr="00150362">
              <w:rPr>
                <w:i/>
                <w:iCs/>
                <w:color w:val="1D336D" w:themeColor="background2"/>
                <w:sz w:val="20"/>
                <w:szCs w:val="20"/>
              </w:rPr>
              <w:t>Timor-Leste</w:t>
            </w:r>
          </w:p>
        </w:tc>
        <w:tc>
          <w:tcPr>
            <w:tcW w:w="2720" w:type="pct"/>
            <w:shd w:val="clear" w:color="auto" w:fill="F2F2F2" w:themeFill="background1" w:themeFillShade="F2"/>
          </w:tcPr>
          <w:p w14:paraId="29F6559C" w14:textId="13B762EF" w:rsidR="00B10C97" w:rsidRPr="00150362" w:rsidRDefault="00B10C97" w:rsidP="00B10C97">
            <w:pPr>
              <w:pStyle w:val="TableParagraph"/>
              <w:spacing w:before="134"/>
              <w:ind w:left="191"/>
              <w:rPr>
                <w:i/>
                <w:iCs/>
                <w:color w:val="1D336D" w:themeColor="background2"/>
                <w:sz w:val="20"/>
                <w:szCs w:val="20"/>
              </w:rPr>
            </w:pPr>
            <w:r w:rsidRPr="00150362">
              <w:rPr>
                <w:i/>
                <w:iCs/>
                <w:color w:val="1D336D" w:themeColor="background2"/>
                <w:sz w:val="20"/>
                <w:szCs w:val="20"/>
              </w:rPr>
              <w:t xml:space="preserve">Meet Caritas, Catholic Relief Service in Dili, travel to </w:t>
            </w:r>
            <w:proofErr w:type="spellStart"/>
            <w:r w:rsidRPr="00150362">
              <w:rPr>
                <w:i/>
                <w:iCs/>
                <w:color w:val="1D336D" w:themeColor="background2"/>
                <w:sz w:val="20"/>
                <w:szCs w:val="20"/>
              </w:rPr>
              <w:t>Viqueque</w:t>
            </w:r>
            <w:proofErr w:type="spellEnd"/>
            <w:r w:rsidRPr="00150362">
              <w:rPr>
                <w:i/>
                <w:iCs/>
                <w:color w:val="1D336D" w:themeColor="background2"/>
                <w:sz w:val="20"/>
                <w:szCs w:val="20"/>
              </w:rPr>
              <w:t xml:space="preserve"> (depart 11am or earlier)</w:t>
            </w:r>
          </w:p>
        </w:tc>
      </w:tr>
      <w:tr w:rsidR="004F5F54" w14:paraId="350F797F" w14:textId="77777777" w:rsidTr="006E7363">
        <w:trPr>
          <w:trHeight w:val="1398"/>
        </w:trPr>
        <w:tc>
          <w:tcPr>
            <w:tcW w:w="1154" w:type="pct"/>
            <w:shd w:val="clear" w:color="auto" w:fill="F1F1F1"/>
          </w:tcPr>
          <w:p w14:paraId="7EB7D57C" w14:textId="39BD4FA4" w:rsidR="004F5F54" w:rsidRPr="00150362" w:rsidRDefault="004F5F54" w:rsidP="004F5F54">
            <w:pPr>
              <w:pStyle w:val="TableParagraph"/>
              <w:spacing w:before="134" w:line="292" w:lineRule="auto"/>
              <w:rPr>
                <w:color w:val="1D336D" w:themeColor="background2"/>
                <w:sz w:val="20"/>
                <w:szCs w:val="20"/>
              </w:rPr>
            </w:pPr>
            <w:r w:rsidRPr="00150362">
              <w:rPr>
                <w:color w:val="1D336D" w:themeColor="background2"/>
                <w:sz w:val="20"/>
                <w:szCs w:val="20"/>
              </w:rPr>
              <w:t>21 November (Tuesday)</w:t>
            </w:r>
          </w:p>
        </w:tc>
        <w:tc>
          <w:tcPr>
            <w:tcW w:w="1126" w:type="pct"/>
            <w:shd w:val="clear" w:color="auto" w:fill="auto"/>
          </w:tcPr>
          <w:p w14:paraId="6D85E2C4" w14:textId="2EA51C39" w:rsidR="004F5F54" w:rsidRPr="00150362" w:rsidRDefault="004F5F54" w:rsidP="004F5F54">
            <w:pPr>
              <w:pStyle w:val="TableParagraph"/>
              <w:spacing w:before="134"/>
              <w:ind w:left="83"/>
              <w:rPr>
                <w:i/>
                <w:iCs/>
                <w:color w:val="1D336D" w:themeColor="background2"/>
                <w:sz w:val="20"/>
                <w:szCs w:val="20"/>
              </w:rPr>
            </w:pPr>
            <w:r w:rsidRPr="00150362">
              <w:rPr>
                <w:i/>
                <w:iCs/>
                <w:color w:val="1D336D" w:themeColor="background2"/>
                <w:sz w:val="20"/>
                <w:szCs w:val="20"/>
              </w:rPr>
              <w:t>Timor-Leste</w:t>
            </w:r>
          </w:p>
        </w:tc>
        <w:tc>
          <w:tcPr>
            <w:tcW w:w="2720" w:type="pct"/>
            <w:shd w:val="clear" w:color="auto" w:fill="auto"/>
          </w:tcPr>
          <w:p w14:paraId="1A7957A5" w14:textId="77777777" w:rsidR="004F5F54" w:rsidRPr="00150362" w:rsidRDefault="004F5F54" w:rsidP="004F5F54">
            <w:pPr>
              <w:pStyle w:val="TableParagraph"/>
              <w:spacing w:before="134"/>
              <w:ind w:left="191"/>
              <w:rPr>
                <w:i/>
                <w:iCs/>
                <w:color w:val="1D336D" w:themeColor="background2"/>
                <w:sz w:val="20"/>
                <w:szCs w:val="20"/>
              </w:rPr>
            </w:pPr>
            <w:r w:rsidRPr="00150362">
              <w:rPr>
                <w:i/>
                <w:iCs/>
                <w:color w:val="1D336D" w:themeColor="background2"/>
                <w:sz w:val="20"/>
                <w:szCs w:val="20"/>
              </w:rPr>
              <w:t xml:space="preserve">AM: community visits </w:t>
            </w:r>
            <w:proofErr w:type="spellStart"/>
            <w:r w:rsidRPr="00150362">
              <w:rPr>
                <w:i/>
                <w:iCs/>
                <w:color w:val="1D336D" w:themeColor="background2"/>
                <w:sz w:val="20"/>
                <w:szCs w:val="20"/>
              </w:rPr>
              <w:t>Bibileo</w:t>
            </w:r>
            <w:proofErr w:type="spellEnd"/>
            <w:r w:rsidRPr="00150362">
              <w:rPr>
                <w:i/>
                <w:iCs/>
                <w:color w:val="1D336D" w:themeColor="background2"/>
                <w:sz w:val="20"/>
                <w:szCs w:val="20"/>
              </w:rPr>
              <w:t xml:space="preserve">, onwards to </w:t>
            </w:r>
            <w:proofErr w:type="spellStart"/>
            <w:r w:rsidRPr="00150362">
              <w:rPr>
                <w:i/>
                <w:iCs/>
                <w:color w:val="1D336D" w:themeColor="background2"/>
                <w:sz w:val="20"/>
                <w:szCs w:val="20"/>
              </w:rPr>
              <w:t>Viqeueue</w:t>
            </w:r>
            <w:proofErr w:type="spellEnd"/>
            <w:r w:rsidRPr="00150362">
              <w:rPr>
                <w:i/>
                <w:iCs/>
                <w:color w:val="1D336D" w:themeColor="background2"/>
                <w:sz w:val="20"/>
                <w:szCs w:val="20"/>
              </w:rPr>
              <w:t xml:space="preserve"> for lunch.</w:t>
            </w:r>
          </w:p>
          <w:p w14:paraId="4459689F" w14:textId="79E76475" w:rsidR="001507F4" w:rsidRPr="00150362" w:rsidRDefault="00DD6484" w:rsidP="004F5F54">
            <w:pPr>
              <w:pStyle w:val="TableParagraph"/>
              <w:spacing w:before="134"/>
              <w:ind w:left="191"/>
              <w:rPr>
                <w:i/>
                <w:iCs/>
                <w:color w:val="1D336D" w:themeColor="background2"/>
                <w:sz w:val="20"/>
                <w:szCs w:val="20"/>
              </w:rPr>
            </w:pPr>
            <w:r w:rsidRPr="00150362">
              <w:rPr>
                <w:i/>
                <w:iCs/>
                <w:color w:val="1D336D" w:themeColor="background2"/>
                <w:sz w:val="20"/>
                <w:szCs w:val="20"/>
              </w:rPr>
              <w:t xml:space="preserve">PM: community visit in </w:t>
            </w:r>
            <w:proofErr w:type="spellStart"/>
            <w:r w:rsidRPr="00150362">
              <w:rPr>
                <w:i/>
                <w:iCs/>
                <w:color w:val="1D336D" w:themeColor="background2"/>
                <w:sz w:val="20"/>
                <w:szCs w:val="20"/>
              </w:rPr>
              <w:t>Uaguia</w:t>
            </w:r>
            <w:proofErr w:type="spellEnd"/>
            <w:r w:rsidRPr="00150362">
              <w:rPr>
                <w:i/>
                <w:iCs/>
                <w:color w:val="1D336D" w:themeColor="background2"/>
                <w:sz w:val="20"/>
                <w:szCs w:val="20"/>
              </w:rPr>
              <w:t xml:space="preserve">. Travel to </w:t>
            </w:r>
            <w:proofErr w:type="spellStart"/>
            <w:r w:rsidRPr="00150362">
              <w:rPr>
                <w:i/>
                <w:iCs/>
                <w:color w:val="1D336D" w:themeColor="background2"/>
                <w:sz w:val="20"/>
                <w:szCs w:val="20"/>
              </w:rPr>
              <w:t>Baucau</w:t>
            </w:r>
            <w:proofErr w:type="spellEnd"/>
            <w:r w:rsidRPr="00150362">
              <w:rPr>
                <w:i/>
                <w:iCs/>
                <w:color w:val="1D336D" w:themeColor="background2"/>
                <w:sz w:val="20"/>
                <w:szCs w:val="20"/>
              </w:rPr>
              <w:t xml:space="preserve"> to stay overnight.</w:t>
            </w:r>
          </w:p>
        </w:tc>
      </w:tr>
      <w:tr w:rsidR="001E7CB7" w14:paraId="7330069C" w14:textId="77777777" w:rsidTr="006E7363">
        <w:trPr>
          <w:trHeight w:val="981"/>
        </w:trPr>
        <w:tc>
          <w:tcPr>
            <w:tcW w:w="1154" w:type="pct"/>
            <w:shd w:val="clear" w:color="auto" w:fill="F1F1F1"/>
          </w:tcPr>
          <w:p w14:paraId="2DB4DFE5" w14:textId="5B561145" w:rsidR="001E7CB7" w:rsidRPr="00150362" w:rsidRDefault="001E7CB7" w:rsidP="001E7CB7">
            <w:pPr>
              <w:pStyle w:val="TableParagraph"/>
              <w:spacing w:before="134" w:line="292" w:lineRule="auto"/>
              <w:rPr>
                <w:color w:val="1D336D" w:themeColor="background2"/>
                <w:sz w:val="20"/>
                <w:szCs w:val="20"/>
              </w:rPr>
            </w:pPr>
            <w:r w:rsidRPr="00150362">
              <w:rPr>
                <w:color w:val="1D336D" w:themeColor="background2"/>
                <w:sz w:val="20"/>
                <w:szCs w:val="20"/>
              </w:rPr>
              <w:t>22 November (Wednesday)</w:t>
            </w:r>
          </w:p>
        </w:tc>
        <w:tc>
          <w:tcPr>
            <w:tcW w:w="1126" w:type="pct"/>
            <w:shd w:val="clear" w:color="auto" w:fill="F2F2F2" w:themeFill="background1" w:themeFillShade="F2"/>
          </w:tcPr>
          <w:p w14:paraId="0EFE171B" w14:textId="0FE16B8C" w:rsidR="001E7CB7" w:rsidRPr="00150362" w:rsidRDefault="001E7CB7" w:rsidP="001E7CB7">
            <w:pPr>
              <w:pStyle w:val="TableParagraph"/>
              <w:spacing w:before="134"/>
              <w:ind w:left="83"/>
              <w:rPr>
                <w:i/>
                <w:iCs/>
                <w:color w:val="1D336D" w:themeColor="background2"/>
                <w:sz w:val="20"/>
                <w:szCs w:val="20"/>
              </w:rPr>
            </w:pPr>
            <w:r w:rsidRPr="00150362">
              <w:rPr>
                <w:i/>
                <w:iCs/>
                <w:color w:val="1D336D" w:themeColor="background2"/>
                <w:sz w:val="20"/>
                <w:szCs w:val="20"/>
              </w:rPr>
              <w:t>Timor-Leste</w:t>
            </w:r>
          </w:p>
        </w:tc>
        <w:tc>
          <w:tcPr>
            <w:tcW w:w="2720" w:type="pct"/>
            <w:shd w:val="clear" w:color="auto" w:fill="F2F2F2" w:themeFill="background1" w:themeFillShade="F2"/>
          </w:tcPr>
          <w:p w14:paraId="03181B47" w14:textId="77777777" w:rsidR="001E7CB7" w:rsidRPr="00150362" w:rsidRDefault="001E7CB7" w:rsidP="001E7CB7">
            <w:pPr>
              <w:pStyle w:val="TableParagraph"/>
              <w:spacing w:before="134"/>
              <w:ind w:left="191"/>
              <w:rPr>
                <w:i/>
                <w:iCs/>
                <w:color w:val="1D336D" w:themeColor="background2"/>
                <w:sz w:val="20"/>
                <w:szCs w:val="20"/>
              </w:rPr>
            </w:pPr>
            <w:r w:rsidRPr="00150362">
              <w:rPr>
                <w:i/>
                <w:iCs/>
                <w:color w:val="1D336D" w:themeColor="background2"/>
                <w:sz w:val="20"/>
                <w:szCs w:val="20"/>
              </w:rPr>
              <w:t xml:space="preserve">AM: community visits in </w:t>
            </w:r>
            <w:proofErr w:type="spellStart"/>
            <w:r w:rsidRPr="00150362">
              <w:rPr>
                <w:i/>
                <w:iCs/>
                <w:color w:val="1D336D" w:themeColor="background2"/>
                <w:sz w:val="20"/>
                <w:szCs w:val="20"/>
              </w:rPr>
              <w:t>Bualale</w:t>
            </w:r>
            <w:proofErr w:type="spellEnd"/>
            <w:r w:rsidRPr="00150362">
              <w:rPr>
                <w:i/>
                <w:iCs/>
                <w:color w:val="1D336D" w:themeColor="background2"/>
                <w:sz w:val="20"/>
                <w:szCs w:val="20"/>
              </w:rPr>
              <w:t>.</w:t>
            </w:r>
          </w:p>
          <w:p w14:paraId="44C92227" w14:textId="73DE2431" w:rsidR="00DD6484" w:rsidRPr="00150362" w:rsidRDefault="00DD6484" w:rsidP="001E7CB7">
            <w:pPr>
              <w:pStyle w:val="TableParagraph"/>
              <w:spacing w:before="134"/>
              <w:ind w:left="191"/>
              <w:rPr>
                <w:i/>
                <w:iCs/>
                <w:color w:val="1D336D" w:themeColor="background2"/>
                <w:sz w:val="20"/>
                <w:szCs w:val="20"/>
              </w:rPr>
            </w:pPr>
            <w:r w:rsidRPr="00150362">
              <w:rPr>
                <w:i/>
                <w:iCs/>
                <w:color w:val="1D336D" w:themeColor="background2"/>
                <w:sz w:val="20"/>
                <w:szCs w:val="20"/>
              </w:rPr>
              <w:t xml:space="preserve">PM: community visit in </w:t>
            </w:r>
            <w:proofErr w:type="spellStart"/>
            <w:r w:rsidRPr="00150362">
              <w:rPr>
                <w:i/>
                <w:iCs/>
                <w:color w:val="1D336D" w:themeColor="background2"/>
                <w:sz w:val="20"/>
                <w:szCs w:val="20"/>
              </w:rPr>
              <w:t>Macalaco</w:t>
            </w:r>
            <w:proofErr w:type="spellEnd"/>
            <w:r w:rsidRPr="00150362">
              <w:rPr>
                <w:i/>
                <w:iCs/>
                <w:color w:val="1D336D" w:themeColor="background2"/>
                <w:sz w:val="20"/>
                <w:szCs w:val="20"/>
              </w:rPr>
              <w:t xml:space="preserve">, return to </w:t>
            </w:r>
            <w:proofErr w:type="spellStart"/>
            <w:r w:rsidRPr="00150362">
              <w:rPr>
                <w:i/>
                <w:iCs/>
                <w:color w:val="1D336D" w:themeColor="background2"/>
                <w:sz w:val="20"/>
                <w:szCs w:val="20"/>
              </w:rPr>
              <w:t>Baucau</w:t>
            </w:r>
            <w:proofErr w:type="spellEnd"/>
            <w:r w:rsidRPr="00150362">
              <w:rPr>
                <w:i/>
                <w:iCs/>
                <w:color w:val="1D336D" w:themeColor="background2"/>
                <w:sz w:val="20"/>
                <w:szCs w:val="20"/>
              </w:rPr>
              <w:t>.</w:t>
            </w:r>
          </w:p>
        </w:tc>
      </w:tr>
      <w:tr w:rsidR="0034576E" w14:paraId="4350B7D3" w14:textId="77777777" w:rsidTr="006E7363">
        <w:trPr>
          <w:trHeight w:val="1830"/>
        </w:trPr>
        <w:tc>
          <w:tcPr>
            <w:tcW w:w="1154" w:type="pct"/>
            <w:shd w:val="clear" w:color="auto" w:fill="F1F1F1"/>
          </w:tcPr>
          <w:p w14:paraId="4F4F570A" w14:textId="3BCDE335" w:rsidR="0034576E" w:rsidRPr="00150362" w:rsidRDefault="0034576E" w:rsidP="0034576E">
            <w:pPr>
              <w:pStyle w:val="TableParagraph"/>
              <w:spacing w:before="134" w:line="292" w:lineRule="auto"/>
              <w:rPr>
                <w:color w:val="1D336D" w:themeColor="background2"/>
                <w:sz w:val="20"/>
                <w:szCs w:val="20"/>
              </w:rPr>
            </w:pPr>
            <w:r w:rsidRPr="00150362">
              <w:rPr>
                <w:color w:val="1D336D" w:themeColor="background2"/>
                <w:sz w:val="20"/>
                <w:szCs w:val="20"/>
              </w:rPr>
              <w:t>23 November (Thursday)</w:t>
            </w:r>
          </w:p>
        </w:tc>
        <w:tc>
          <w:tcPr>
            <w:tcW w:w="1126" w:type="pct"/>
            <w:shd w:val="clear" w:color="auto" w:fill="auto"/>
          </w:tcPr>
          <w:p w14:paraId="31CAE8DC" w14:textId="64924743" w:rsidR="0034576E" w:rsidRPr="00150362" w:rsidRDefault="0034576E" w:rsidP="0034576E">
            <w:pPr>
              <w:pStyle w:val="TableParagraph"/>
              <w:spacing w:before="134"/>
              <w:ind w:left="83"/>
              <w:rPr>
                <w:i/>
                <w:iCs/>
                <w:color w:val="1D336D" w:themeColor="background2"/>
                <w:sz w:val="20"/>
                <w:szCs w:val="20"/>
              </w:rPr>
            </w:pPr>
            <w:r w:rsidRPr="00150362">
              <w:rPr>
                <w:i/>
                <w:iCs/>
                <w:color w:val="1D336D" w:themeColor="background2"/>
                <w:sz w:val="20"/>
                <w:szCs w:val="20"/>
              </w:rPr>
              <w:t>Timor-Leste</w:t>
            </w:r>
          </w:p>
        </w:tc>
        <w:tc>
          <w:tcPr>
            <w:tcW w:w="2720" w:type="pct"/>
            <w:shd w:val="clear" w:color="auto" w:fill="auto"/>
          </w:tcPr>
          <w:p w14:paraId="5F7834AA" w14:textId="77777777" w:rsidR="0034576E" w:rsidRPr="00150362" w:rsidRDefault="0034576E" w:rsidP="0034576E">
            <w:pPr>
              <w:pStyle w:val="TableParagraph"/>
              <w:spacing w:before="134"/>
              <w:ind w:left="191"/>
              <w:rPr>
                <w:i/>
                <w:iCs/>
                <w:color w:val="1D336D" w:themeColor="background2"/>
                <w:sz w:val="20"/>
                <w:szCs w:val="20"/>
              </w:rPr>
            </w:pPr>
            <w:r w:rsidRPr="00150362">
              <w:rPr>
                <w:i/>
                <w:iCs/>
                <w:color w:val="1D336D" w:themeColor="background2"/>
                <w:sz w:val="20"/>
                <w:szCs w:val="20"/>
              </w:rPr>
              <w:t xml:space="preserve">AM: Return Dili from </w:t>
            </w:r>
            <w:proofErr w:type="spellStart"/>
            <w:r w:rsidRPr="00150362">
              <w:rPr>
                <w:i/>
                <w:iCs/>
                <w:color w:val="1D336D" w:themeColor="background2"/>
                <w:sz w:val="20"/>
                <w:szCs w:val="20"/>
              </w:rPr>
              <w:t>Baucau</w:t>
            </w:r>
            <w:proofErr w:type="spellEnd"/>
            <w:r w:rsidRPr="00150362">
              <w:rPr>
                <w:i/>
                <w:iCs/>
                <w:color w:val="1D336D" w:themeColor="background2"/>
                <w:sz w:val="20"/>
                <w:szCs w:val="20"/>
              </w:rPr>
              <w:t xml:space="preserve"> (minimum 3 hours’ drive), debrief with Dili Post before flight.</w:t>
            </w:r>
          </w:p>
          <w:p w14:paraId="314C640D" w14:textId="77777777" w:rsidR="007E39F1" w:rsidRPr="00150362" w:rsidRDefault="007E39F1" w:rsidP="007E39F1">
            <w:pPr>
              <w:pStyle w:val="TableParagraph"/>
              <w:spacing w:before="134"/>
              <w:ind w:left="191"/>
              <w:rPr>
                <w:i/>
                <w:iCs/>
                <w:color w:val="1D336D" w:themeColor="background2"/>
                <w:sz w:val="20"/>
                <w:szCs w:val="20"/>
              </w:rPr>
            </w:pPr>
            <w:r w:rsidRPr="00150362">
              <w:rPr>
                <w:i/>
                <w:iCs/>
                <w:color w:val="1D336D" w:themeColor="background2"/>
                <w:sz w:val="20"/>
                <w:szCs w:val="20"/>
              </w:rPr>
              <w:t>Meeting with the Nationally Designated Authority for Carbon Project of the Government of Timor-Leste</w:t>
            </w:r>
          </w:p>
          <w:p w14:paraId="50540BAC" w14:textId="5AA70A9B" w:rsidR="007E39F1" w:rsidRPr="00150362" w:rsidRDefault="007E39F1" w:rsidP="007E39F1">
            <w:pPr>
              <w:pStyle w:val="TableParagraph"/>
              <w:spacing w:before="134"/>
              <w:ind w:left="191"/>
              <w:rPr>
                <w:i/>
                <w:iCs/>
                <w:color w:val="1D336D" w:themeColor="background2"/>
                <w:sz w:val="20"/>
                <w:szCs w:val="20"/>
              </w:rPr>
            </w:pPr>
            <w:r w:rsidRPr="00150362">
              <w:rPr>
                <w:i/>
                <w:iCs/>
                <w:color w:val="1D336D" w:themeColor="background2"/>
                <w:sz w:val="20"/>
                <w:szCs w:val="20"/>
              </w:rPr>
              <w:t>PM: Dili to Darwin</w:t>
            </w:r>
          </w:p>
        </w:tc>
      </w:tr>
    </w:tbl>
    <w:p w14:paraId="310F78BF" w14:textId="77777777" w:rsidR="00D82DB5" w:rsidRDefault="00D82DB5">
      <w:pPr>
        <w:spacing w:after="0" w:line="240" w:lineRule="auto"/>
        <w:rPr>
          <w:bCs/>
          <w:iCs/>
          <w:caps/>
          <w:color w:val="1D336D" w:themeColor="background2"/>
          <w:sz w:val="32"/>
          <w:szCs w:val="28"/>
        </w:rPr>
      </w:pPr>
      <w:r>
        <w:br w:type="page"/>
      </w:r>
    </w:p>
    <w:p w14:paraId="0EBCBF8F" w14:textId="4743C814" w:rsidR="00884BA1" w:rsidRPr="00EA7FE2" w:rsidRDefault="00884BA1" w:rsidP="00884BA1">
      <w:pPr>
        <w:pStyle w:val="Heading1"/>
      </w:pPr>
      <w:bookmarkStart w:id="83" w:name="_Toc164783098"/>
      <w:bookmarkStart w:id="84" w:name="_Hlk164778885"/>
      <w:r w:rsidRPr="00EA7FE2">
        <w:lastRenderedPageBreak/>
        <w:t xml:space="preserve">Annex 5: </w:t>
      </w:r>
      <w:r>
        <w:t>accessible text case studies</w:t>
      </w:r>
      <w:bookmarkEnd w:id="83"/>
      <w:r w:rsidRPr="00EA7FE2">
        <w:t xml:space="preserve"> </w:t>
      </w:r>
    </w:p>
    <w:p w14:paraId="05BC9A99" w14:textId="77777777" w:rsidR="00884BA1" w:rsidRDefault="00884BA1">
      <w:pPr>
        <w:spacing w:after="0" w:line="240" w:lineRule="auto"/>
      </w:pPr>
      <w:r>
        <w:t>There are three case studies in the body of the report. They are transcribed here in text for accessibility.</w:t>
      </w:r>
    </w:p>
    <w:p w14:paraId="73D04221" w14:textId="77777777" w:rsidR="00884BA1" w:rsidRDefault="00884BA1">
      <w:pPr>
        <w:spacing w:after="0" w:line="240" w:lineRule="auto"/>
      </w:pPr>
    </w:p>
    <w:p w14:paraId="0172810F" w14:textId="77777777" w:rsidR="00BC70CC" w:rsidRPr="00BC70CC" w:rsidRDefault="00BC70CC" w:rsidP="00BC70CC">
      <w:pPr>
        <w:pStyle w:val="Heading2"/>
        <w:rPr>
          <w:color w:val="152651" w:themeColor="background2" w:themeShade="BF"/>
        </w:rPr>
      </w:pPr>
      <w:bookmarkStart w:id="85" w:name="_Toc164783099"/>
      <w:bookmarkEnd w:id="84"/>
      <w:r w:rsidRPr="00BC70CC">
        <w:rPr>
          <w:color w:val="152651" w:themeColor="background2" w:themeShade="BF"/>
        </w:rPr>
        <w:t>Case Study 1: Nature-based Beekeeping</w:t>
      </w:r>
      <w:bookmarkEnd w:id="85"/>
    </w:p>
    <w:p w14:paraId="20CDBFE4" w14:textId="77777777" w:rsidR="00BC70CC" w:rsidRDefault="00BC70CC" w:rsidP="00BC70CC">
      <w:pPr>
        <w:pStyle w:val="Heading3"/>
      </w:pPr>
      <w:r>
        <w:t>Challenge</w:t>
      </w:r>
    </w:p>
    <w:p w14:paraId="10476473" w14:textId="77777777" w:rsidR="00BC70CC" w:rsidRDefault="00BC70CC" w:rsidP="00BC70CC">
      <w:r>
        <w:t xml:space="preserve">The remote communities of One Para and </w:t>
      </w:r>
      <w:proofErr w:type="spellStart"/>
      <w:r>
        <w:t>Aruaru-Hauhari</w:t>
      </w:r>
      <w:proofErr w:type="spellEnd"/>
      <w:r>
        <w:t xml:space="preserve"> in the Solomon Islands are aiming to improve their resilience to climate change. Priority areas include food security, better nutrition and health outcomes, and improved education. Illegal logging threatens their community owned forests, reducing the availability of nature resources including food. Livelihood options are limited due to the high costs of transporting goods and difficulty in accessing markets.</w:t>
      </w:r>
    </w:p>
    <w:p w14:paraId="1DE54DDC" w14:textId="77777777" w:rsidR="00BC70CC" w:rsidRDefault="00BC70CC" w:rsidP="00BC70CC">
      <w:pPr>
        <w:pStyle w:val="Heading3"/>
      </w:pPr>
      <w:r>
        <w:t>Approach</w:t>
      </w:r>
    </w:p>
    <w:p w14:paraId="00E8A3FD" w14:textId="77777777" w:rsidR="00BC70CC" w:rsidRDefault="00BC70CC" w:rsidP="00BC70CC">
      <w:r>
        <w:t xml:space="preserve">Through the </w:t>
      </w:r>
      <w:proofErr w:type="spellStart"/>
      <w:r>
        <w:t>CRxN</w:t>
      </w:r>
      <w:proofErr w:type="spellEnd"/>
      <w:r>
        <w:t xml:space="preserve"> investment, and with the support of Save the Children, Mai-</w:t>
      </w:r>
      <w:proofErr w:type="spellStart"/>
      <w:r>
        <w:t>Maasina</w:t>
      </w:r>
      <w:proofErr w:type="spellEnd"/>
      <w:r>
        <w:t xml:space="preserve"> Green Belt (MMGB) is exploring various income-generating opportunities. One promising option is beekeeping. Honey prices are high per volume, which helps to over transportation costs. Opportunities for women’s participation are created through technical training, and the fact that hives can form part of existing gardens means that there are minimal demands on time and existing family commitments.</w:t>
      </w:r>
    </w:p>
    <w:p w14:paraId="77E7DF6F" w14:textId="77777777" w:rsidR="00BC70CC" w:rsidRDefault="00BC70CC" w:rsidP="00BC70CC">
      <w:r>
        <w:t>Any of the communities manage large areas of communal forests (more than 500 ha per community). Most of these forests are degraded by illegal logging, or at least under threat of illegal logging. The resulting soil run-off affects reefs, mangroves, and seagrass meadows which are the main source of protein rich foods. The forests are part of their heritage too, so communities see the long-term benefits of protecting and restoring the forests.</w:t>
      </w:r>
    </w:p>
    <w:p w14:paraId="1573A891" w14:textId="77777777" w:rsidR="00BC70CC" w:rsidRDefault="00BC70CC" w:rsidP="00BC70CC">
      <w:pPr>
        <w:pStyle w:val="Heading3"/>
      </w:pPr>
      <w:r>
        <w:t>Benefits</w:t>
      </w:r>
    </w:p>
    <w:p w14:paraId="1116740F" w14:textId="77777777" w:rsidR="00BC70CC" w:rsidRDefault="00BC70CC" w:rsidP="00BC70CC">
      <w:r>
        <w:t>Immediate and long-term livelihood options are established through beekeeping. Protection from logging also opens pathways for future participation in carbon markets.</w:t>
      </w:r>
    </w:p>
    <w:p w14:paraId="256F0B76" w14:textId="77777777" w:rsidR="00BC70CC" w:rsidRDefault="00BC70CC" w:rsidP="00BC70CC">
      <w:r>
        <w:t>The community approach to these livelihood initiatives means that generated income can be spent on community priorities such as employing a teacher and improving access to healthcare services. The protected status of forest areas contributes to climate mitigation by storing and removing additional greenhouse gases from the atmosphere. The conservation and restoration of the communal forests has a positive impact on biodiversity far beyond the boundaries of the forest, including in mangroves, seagrasses, and coral reefs.</w:t>
      </w:r>
    </w:p>
    <w:p w14:paraId="3017878F" w14:textId="77777777" w:rsidR="00BC70CC" w:rsidRDefault="00BC70CC" w:rsidP="00BC70CC"/>
    <w:p w14:paraId="11B83CB0" w14:textId="77777777" w:rsidR="00BC70CC" w:rsidRPr="00BC70CC" w:rsidRDefault="00BC70CC" w:rsidP="00BC70CC">
      <w:pPr>
        <w:pStyle w:val="Heading2"/>
        <w:rPr>
          <w:color w:val="152651" w:themeColor="background2" w:themeShade="BF"/>
        </w:rPr>
      </w:pPr>
      <w:bookmarkStart w:id="86" w:name="_Toc164783100"/>
      <w:r w:rsidRPr="00BC70CC">
        <w:rPr>
          <w:color w:val="152651" w:themeColor="background2" w:themeShade="BF"/>
        </w:rPr>
        <w:t>Case Study 2: Nature-positive enterprises</w:t>
      </w:r>
      <w:bookmarkEnd w:id="86"/>
    </w:p>
    <w:p w14:paraId="63FCE734" w14:textId="77777777" w:rsidR="00BC70CC" w:rsidRDefault="00BC70CC" w:rsidP="00BC70CC">
      <w:pPr>
        <w:pStyle w:val="Heading3"/>
      </w:pPr>
      <w:r>
        <w:t>Challenge</w:t>
      </w:r>
    </w:p>
    <w:p w14:paraId="783EA9BA" w14:textId="77777777" w:rsidR="00BC70CC" w:rsidRDefault="00BC70CC" w:rsidP="00BC70CC">
      <w:r>
        <w:t xml:space="preserve">The imminent threat of rising sea levels and resulting erosion are placing the communities of Fiji’s </w:t>
      </w:r>
      <w:proofErr w:type="spellStart"/>
      <w:r>
        <w:t>Macuata</w:t>
      </w:r>
      <w:proofErr w:type="spellEnd"/>
      <w:r>
        <w:t xml:space="preserve"> district under threat. Climate change has led to the decline of reefs and mangroves that have traditionally acted as natural barriers, shielding these communities from the encroaching sea. Recognising the importance of these ecosystems, the affected communities are aiming to preserve the ecosystem services provided by reefs and mangroves for as long as possible. While communities lack the resources to half sea level rise or construct artificial infrastructure, their only viable option is to invest in the long-term restoration of </w:t>
      </w:r>
      <w:r>
        <w:lastRenderedPageBreak/>
        <w:t xml:space="preserve">mangroves. This requires dedicated workers who can restore the mangroves at a pace that aligns with the rapid destruction caused by climate change. </w:t>
      </w:r>
    </w:p>
    <w:p w14:paraId="17023DBB" w14:textId="77777777" w:rsidR="00BC70CC" w:rsidRDefault="00BC70CC" w:rsidP="00BC70CC">
      <w:pPr>
        <w:pStyle w:val="Heading3"/>
      </w:pPr>
      <w:r>
        <w:t>Approach</w:t>
      </w:r>
    </w:p>
    <w:p w14:paraId="4C06FDD5" w14:textId="77777777" w:rsidR="00BC70CC" w:rsidRDefault="00BC70CC" w:rsidP="00BC70CC">
      <w:r>
        <w:t xml:space="preserve">Through the </w:t>
      </w:r>
      <w:proofErr w:type="spellStart"/>
      <w:r>
        <w:t>CRxN</w:t>
      </w:r>
      <w:proofErr w:type="spellEnd"/>
      <w:r>
        <w:t xml:space="preserve"> investment, WWF Pacific and </w:t>
      </w:r>
      <w:proofErr w:type="spellStart"/>
      <w:r>
        <w:t>Matanataki</w:t>
      </w:r>
      <w:proofErr w:type="spellEnd"/>
      <w:r>
        <w:t xml:space="preserve"> are supporting communities in the </w:t>
      </w:r>
      <w:proofErr w:type="spellStart"/>
      <w:r>
        <w:t>Macuata</w:t>
      </w:r>
      <w:proofErr w:type="spellEnd"/>
      <w:r>
        <w:t xml:space="preserve"> district to establish a nature positive sea cucumber enterprise. Sea cucumbers require pristine mangrove ecosystems to thrive and require careful and sustainable management as a high value product. Through the identification and testing of business models, the project aims to leverage traditional community governance structures while incorporating effective business management practices as incentives for mangrove restoration. This involves assessing market demand for sea cucumbers, testing productivity, evaluating environmental and social impacts, and establishing robust business management strategies. The investment is also providing technical training in sea cucumber husbandry and facilitating the development of Mangrove Management Plans. By combining these elements, the project strives to create a viable and sustainable framework that fosters both ecological restoration and economic prosperity.</w:t>
      </w:r>
    </w:p>
    <w:p w14:paraId="4344B87C" w14:textId="77777777" w:rsidR="00BC70CC" w:rsidRDefault="00BC70CC" w:rsidP="00BC70CC">
      <w:pPr>
        <w:pStyle w:val="Heading3"/>
      </w:pPr>
      <w:r>
        <w:t>Benefits</w:t>
      </w:r>
    </w:p>
    <w:p w14:paraId="3E663A4C" w14:textId="77777777" w:rsidR="00BC70CC" w:rsidRDefault="00BC70CC" w:rsidP="00BC70CC">
      <w:r>
        <w:t xml:space="preserve">Through a commitment to continuous improvement, an equitable and environmentally sustainable business model is being developed. This model aims to generate resources that can be used by communities to effectively maintain the critical mangroves that serve as a protective barrier against coastal erosion. </w:t>
      </w:r>
    </w:p>
    <w:p w14:paraId="72D759DC" w14:textId="77777777" w:rsidR="00BC70CC" w:rsidRDefault="00BC70CC" w:rsidP="00BC70CC">
      <w:r>
        <w:t>The implementation of the proposed business model holds significant promise for the preservation of biodiversity and the protection of natural ecosystems. The sustained protection and restoration of the mangroves will also provide a conducive environment for various species to thrive, ensuring the long-term viability of numerous plant and animal species. The mangrove ecosystems will also contribute to climate mitigation through the provision of carbon sequestration services.</w:t>
      </w:r>
    </w:p>
    <w:p w14:paraId="4A9F4E79" w14:textId="77777777" w:rsidR="00BC70CC" w:rsidRDefault="00BC70CC" w:rsidP="00BC70CC"/>
    <w:p w14:paraId="5C92540B" w14:textId="4FA3A5E9" w:rsidR="00BC70CC" w:rsidRPr="00BC70CC" w:rsidRDefault="00BC70CC" w:rsidP="00BC70CC">
      <w:pPr>
        <w:pStyle w:val="Heading2"/>
        <w:rPr>
          <w:color w:val="152651" w:themeColor="background2" w:themeShade="BF"/>
        </w:rPr>
      </w:pPr>
      <w:bookmarkStart w:id="87" w:name="_Toc164783101"/>
      <w:r w:rsidRPr="00BC70CC">
        <w:rPr>
          <w:color w:val="152651" w:themeColor="background2" w:themeShade="BF"/>
        </w:rPr>
        <w:t xml:space="preserve">Case Study 3: </w:t>
      </w:r>
      <w:r>
        <w:rPr>
          <w:color w:val="152651" w:themeColor="background2" w:themeShade="BF"/>
        </w:rPr>
        <w:t>Mangrove restoration for climate resilience</w:t>
      </w:r>
      <w:bookmarkEnd w:id="87"/>
    </w:p>
    <w:p w14:paraId="74AF0CE6" w14:textId="77777777" w:rsidR="00BC70CC" w:rsidRDefault="00BC70CC" w:rsidP="00BC70CC">
      <w:pPr>
        <w:pStyle w:val="Heading3"/>
      </w:pPr>
      <w:r>
        <w:t>Challenge</w:t>
      </w:r>
    </w:p>
    <w:p w14:paraId="7A8ECAC3" w14:textId="77777777" w:rsidR="00BC70CC" w:rsidRDefault="00BC70CC" w:rsidP="00BC70CC">
      <w:r>
        <w:t xml:space="preserve">Rural communities in Fiji are grappling with the adverse effects of climate change, including sea level rise and storm surges that lead to the loss of coastal ecosystems and intensify food security challenges. Mangroves, crucial for protein sources such as shells, clams, and crustaceans, are disappearing, affecting coastal fish species and rapidly depleting fish stocks. Additionally, changed rainfall patterns have significantly reduced yam and sweet potato yields from subsistence farming. </w:t>
      </w:r>
    </w:p>
    <w:p w14:paraId="53059ABE" w14:textId="77777777" w:rsidR="00BC70CC" w:rsidRDefault="00BC70CC" w:rsidP="00BC70CC">
      <w:pPr>
        <w:pStyle w:val="Heading3"/>
      </w:pPr>
      <w:r>
        <w:t>Approach</w:t>
      </w:r>
    </w:p>
    <w:p w14:paraId="190E4743" w14:textId="77777777" w:rsidR="00BC70CC" w:rsidRDefault="00BC70CC" w:rsidP="00BC70CC">
      <w:r>
        <w:t xml:space="preserve">Under the Pacific Regional Blue Carbon Initiative, Conservation International have designed a pilot project to test whether mangroves in the community of </w:t>
      </w:r>
      <w:proofErr w:type="spellStart"/>
      <w:r>
        <w:t>Barotu</w:t>
      </w:r>
      <w:proofErr w:type="spellEnd"/>
      <w:r>
        <w:t xml:space="preserve"> could be restored through human interventions. The pilot is testing every aspect of the project. Technical expertise was brought in from Australia to identify mangrove species and approaches that could offer a solution, and a detailed restoration plan was developed. To maximise the survival rate of mangrove seedlings various propagation methods have been tested, including the approaches of Traditional Knowledge keepers. Nurseries have been set up using local soils to grow the seedlings until they are large enough to be planted. Local community members are trained to plan the seedlings, and work hours and inputs for planting are recorded to inform the resource needs of </w:t>
      </w:r>
      <w:r>
        <w:lastRenderedPageBreak/>
        <w:t>future expansions. A baseline for biodiversity has been established, the carbon sequestration of both plants and soil are scientifically measured, and a detailed livelihoods assessment has been implemented.</w:t>
      </w:r>
    </w:p>
    <w:p w14:paraId="53D09FD1" w14:textId="77777777" w:rsidR="00BC70CC" w:rsidRDefault="00BC70CC" w:rsidP="00BC70CC">
      <w:pPr>
        <w:pStyle w:val="Heading3"/>
      </w:pPr>
      <w:r>
        <w:t>Benefits</w:t>
      </w:r>
    </w:p>
    <w:p w14:paraId="059003E6" w14:textId="77777777" w:rsidR="00BC70CC" w:rsidRDefault="00BC70CC" w:rsidP="00BC70CC">
      <w:r>
        <w:t xml:space="preserve">Mangrove restoration holds significant potential for supporting livelihoods and food security of local communities. Mangrove habitats serve as vital breeding grounds, sources of food, and provide shelter for countless marine species. In turn, these species provide a primary source of food security, nutrition, and income generation for local communities. </w:t>
      </w:r>
    </w:p>
    <w:p w14:paraId="00F24269" w14:textId="77777777" w:rsidR="00BC70CC" w:rsidRDefault="00BC70CC" w:rsidP="00BC70CC">
      <w:r>
        <w:t>Mangrove restoration also contributes to both climate adaptation and mitigation. Adaptation benefits result from better coastline stability, and from protecting coastal settlements from tropical storm surges. Mitigation is achieved through carbon sequestration (mangroves can sequester up to four times the amount of carbon compared to rainforest areas of a similar size). The project is exploring whether revenue from carbon credits can finance the rollout of this approach at a national level.</w:t>
      </w:r>
    </w:p>
    <w:p w14:paraId="55A61BD7" w14:textId="77777777" w:rsidR="00BC70CC" w:rsidRDefault="00BC70CC">
      <w:pPr>
        <w:spacing w:after="0" w:line="240" w:lineRule="auto"/>
        <w:rPr>
          <w:bCs/>
          <w:iCs/>
          <w:caps/>
          <w:color w:val="1D336D" w:themeColor="background2"/>
          <w:sz w:val="32"/>
          <w:szCs w:val="28"/>
        </w:rPr>
      </w:pPr>
      <w:r>
        <w:br w:type="page"/>
      </w:r>
    </w:p>
    <w:p w14:paraId="2F252AF3" w14:textId="3A2918B8" w:rsidR="00EA7FE2" w:rsidRPr="00EA7FE2" w:rsidRDefault="00EA7FE2" w:rsidP="00D82DB5">
      <w:pPr>
        <w:pStyle w:val="Heading1"/>
      </w:pPr>
      <w:bookmarkStart w:id="88" w:name="_Toc164783102"/>
      <w:r w:rsidRPr="00EA7FE2">
        <w:lastRenderedPageBreak/>
        <w:t xml:space="preserve">Annex </w:t>
      </w:r>
      <w:r w:rsidR="00884BA1">
        <w:t>6</w:t>
      </w:r>
      <w:r w:rsidRPr="00EA7FE2">
        <w:t>: Bibliography</w:t>
      </w:r>
      <w:bookmarkEnd w:id="88"/>
      <w:r w:rsidRPr="00EA7FE2">
        <w:t xml:space="preserve"> </w:t>
      </w:r>
    </w:p>
    <w:p w14:paraId="37A789D3" w14:textId="3D589972" w:rsidR="00EA7FE2" w:rsidRPr="00814679" w:rsidRDefault="00EA7FE2" w:rsidP="00C41DEE">
      <w:pPr>
        <w:ind w:left="567" w:hanging="567"/>
        <w:rPr>
          <w:color w:val="auto"/>
        </w:rPr>
      </w:pPr>
      <w:r w:rsidRPr="00814679">
        <w:rPr>
          <w:color w:val="auto"/>
        </w:rPr>
        <w:t xml:space="preserve">Agreement, P. (2015, December). Paris agreement. In Report of the conference of the parties to the United Nations framework convention on climate change (21st session, 2015: Paris). </w:t>
      </w:r>
      <w:hyperlink r:id="rId23" w:history="1">
        <w:r w:rsidR="00703BAE" w:rsidRPr="00814679">
          <w:rPr>
            <w:rStyle w:val="Hyperlink"/>
            <w:color w:val="auto"/>
          </w:rPr>
          <w:t>https://unfccc.int/files/meetings/paris_nov_2015/application/pdf/paris_agreement_english_.pdf</w:t>
        </w:r>
      </w:hyperlink>
      <w:r w:rsidR="00703BAE" w:rsidRPr="00814679">
        <w:rPr>
          <w:color w:val="auto"/>
        </w:rPr>
        <w:t xml:space="preserve"> </w:t>
      </w:r>
    </w:p>
    <w:p w14:paraId="315F24D7" w14:textId="6F88FD4C" w:rsidR="00EA7FE2" w:rsidRPr="00814679" w:rsidRDefault="00EA7FE2" w:rsidP="00C41DEE">
      <w:pPr>
        <w:ind w:left="567" w:hanging="567"/>
        <w:rPr>
          <w:color w:val="auto"/>
        </w:rPr>
      </w:pPr>
      <w:r w:rsidRPr="00814679">
        <w:rPr>
          <w:color w:val="auto"/>
          <w:lang w:val="fr-FR"/>
        </w:rPr>
        <w:t xml:space="preserve">Bassi, A., </w:t>
      </w:r>
      <w:proofErr w:type="spellStart"/>
      <w:r w:rsidRPr="00814679">
        <w:rPr>
          <w:color w:val="auto"/>
          <w:lang w:val="fr-FR"/>
        </w:rPr>
        <w:t>Bechauf</w:t>
      </w:r>
      <w:proofErr w:type="spellEnd"/>
      <w:r w:rsidRPr="00814679">
        <w:rPr>
          <w:color w:val="auto"/>
          <w:lang w:val="fr-FR"/>
        </w:rPr>
        <w:t xml:space="preserve">, R., &amp; Casier, L. (2021). </w:t>
      </w:r>
      <w:r w:rsidRPr="00814679">
        <w:rPr>
          <w:color w:val="auto"/>
        </w:rPr>
        <w:t xml:space="preserve">How Can Investment in Nature Close the Infrastructure Gap?. NBI Global Resource Centre, August 2021. </w:t>
      </w:r>
      <w:hyperlink r:id="rId24" w:history="1">
        <w:r w:rsidR="00703BAE" w:rsidRPr="00814679">
          <w:rPr>
            <w:rStyle w:val="Hyperlink"/>
            <w:color w:val="auto"/>
          </w:rPr>
          <w:t>https://nbi.iisd.org/wp-content/uploads/2021/10/investment-in-nature-close-infrastructure-gap.pdf</w:t>
        </w:r>
      </w:hyperlink>
      <w:r w:rsidR="00703BAE" w:rsidRPr="00814679">
        <w:rPr>
          <w:color w:val="auto"/>
        </w:rPr>
        <w:t xml:space="preserve"> </w:t>
      </w:r>
      <w:r w:rsidRPr="00814679">
        <w:rPr>
          <w:color w:val="auto"/>
        </w:rPr>
        <w:t xml:space="preserve"> </w:t>
      </w:r>
    </w:p>
    <w:p w14:paraId="2A1526FF" w14:textId="4A8ED94F" w:rsidR="00EA7FE2" w:rsidRPr="00814679" w:rsidRDefault="00EA7FE2" w:rsidP="00C41DEE">
      <w:pPr>
        <w:ind w:left="567" w:hanging="567"/>
        <w:rPr>
          <w:color w:val="auto"/>
        </w:rPr>
      </w:pPr>
      <w:r w:rsidRPr="00814679">
        <w:rPr>
          <w:color w:val="auto"/>
        </w:rPr>
        <w:t xml:space="preserve">Bassi, A., </w:t>
      </w:r>
      <w:proofErr w:type="spellStart"/>
      <w:r w:rsidRPr="00814679">
        <w:rPr>
          <w:color w:val="auto"/>
        </w:rPr>
        <w:t>Bechauf</w:t>
      </w:r>
      <w:proofErr w:type="spellEnd"/>
      <w:r w:rsidRPr="00814679">
        <w:rPr>
          <w:color w:val="auto"/>
        </w:rPr>
        <w:t xml:space="preserve">, R., </w:t>
      </w:r>
      <w:proofErr w:type="spellStart"/>
      <w:r w:rsidRPr="00814679">
        <w:rPr>
          <w:color w:val="auto"/>
        </w:rPr>
        <w:t>Casier</w:t>
      </w:r>
      <w:proofErr w:type="spellEnd"/>
      <w:r w:rsidRPr="00814679">
        <w:rPr>
          <w:color w:val="auto"/>
        </w:rPr>
        <w:t xml:space="preserve">, L., &amp; Cutler, M. (2021). How Can Investment in Nature Close the Infrastructure Gap?. </w:t>
      </w:r>
      <w:hyperlink r:id="rId25" w:history="1">
        <w:r w:rsidR="00703BAE" w:rsidRPr="00814679">
          <w:rPr>
            <w:rStyle w:val="Hyperlink"/>
            <w:color w:val="auto"/>
          </w:rPr>
          <w:t>https://nbi.iisd.org/wp-content/uploads/2021/10/investment-in-nature-close-infrastructure-gap.pdf</w:t>
        </w:r>
      </w:hyperlink>
      <w:r w:rsidR="00703BAE" w:rsidRPr="00814679">
        <w:rPr>
          <w:color w:val="auto"/>
        </w:rPr>
        <w:t xml:space="preserve"> </w:t>
      </w:r>
      <w:r w:rsidRPr="00814679">
        <w:rPr>
          <w:color w:val="auto"/>
        </w:rPr>
        <w:t xml:space="preserve"> </w:t>
      </w:r>
    </w:p>
    <w:p w14:paraId="0885C4C7" w14:textId="77777777" w:rsidR="00EA7FE2" w:rsidRPr="00814679" w:rsidRDefault="00EA7FE2" w:rsidP="00C41DEE">
      <w:pPr>
        <w:ind w:left="567" w:hanging="567"/>
        <w:rPr>
          <w:color w:val="auto"/>
        </w:rPr>
      </w:pPr>
      <w:r w:rsidRPr="00814679">
        <w:rPr>
          <w:color w:val="auto"/>
        </w:rPr>
        <w:t xml:space="preserve">Burke, L., </w:t>
      </w:r>
      <w:proofErr w:type="spellStart"/>
      <w:r w:rsidRPr="00814679">
        <w:rPr>
          <w:color w:val="auto"/>
        </w:rPr>
        <w:t>Reytar</w:t>
      </w:r>
      <w:proofErr w:type="spellEnd"/>
      <w:r w:rsidRPr="00814679">
        <w:rPr>
          <w:color w:val="auto"/>
        </w:rPr>
        <w:t xml:space="preserve">, K., Spalding, M., &amp; Perry, A. (2011). Reefs at risk revisited: Technical notes on </w:t>
      </w:r>
      <w:proofErr w:type="spellStart"/>
      <w:r w:rsidRPr="00814679">
        <w:rPr>
          <w:color w:val="auto"/>
        </w:rPr>
        <w:t>modeling</w:t>
      </w:r>
      <w:proofErr w:type="spellEnd"/>
      <w:r w:rsidRPr="00814679">
        <w:rPr>
          <w:color w:val="auto"/>
        </w:rPr>
        <w:t xml:space="preserve"> threats to the world’s coral reefs. Washington, DC: World Resources Institute.</w:t>
      </w:r>
    </w:p>
    <w:p w14:paraId="0EDACC5B" w14:textId="684032BA" w:rsidR="00EA7FE2" w:rsidRPr="00814679" w:rsidRDefault="00EA7FE2" w:rsidP="00C41DEE">
      <w:pPr>
        <w:ind w:left="567" w:hanging="567"/>
        <w:rPr>
          <w:color w:val="auto"/>
        </w:rPr>
      </w:pPr>
      <w:r w:rsidRPr="00814679">
        <w:rPr>
          <w:color w:val="auto"/>
        </w:rPr>
        <w:t xml:space="preserve">Caldwell, B., Cooper, M., Reid, L. G., </w:t>
      </w:r>
      <w:proofErr w:type="spellStart"/>
      <w:r w:rsidRPr="00814679">
        <w:rPr>
          <w:color w:val="auto"/>
        </w:rPr>
        <w:t>Vanderheiden</w:t>
      </w:r>
      <w:proofErr w:type="spellEnd"/>
      <w:r w:rsidRPr="00814679">
        <w:rPr>
          <w:color w:val="auto"/>
        </w:rPr>
        <w:t xml:space="preserve">, G., Chisholm, W., </w:t>
      </w:r>
      <w:proofErr w:type="spellStart"/>
      <w:r w:rsidRPr="00814679">
        <w:rPr>
          <w:color w:val="auto"/>
        </w:rPr>
        <w:t>Slatin</w:t>
      </w:r>
      <w:proofErr w:type="spellEnd"/>
      <w:r w:rsidRPr="00814679">
        <w:rPr>
          <w:color w:val="auto"/>
        </w:rPr>
        <w:t xml:space="preserve">, J., &amp; White, J. (2008). Web content accessibility guidelines (WCAG) 2.0. WWW Consortium (W3C), 290, 1-34. </w:t>
      </w:r>
      <w:hyperlink r:id="rId26" w:history="1">
        <w:r w:rsidR="00703BAE" w:rsidRPr="00814679">
          <w:rPr>
            <w:rStyle w:val="Hyperlink"/>
            <w:color w:val="auto"/>
          </w:rPr>
          <w:t>https://www.w3.org/WAI/standards-guidelines/wcag/</w:t>
        </w:r>
      </w:hyperlink>
      <w:r w:rsidR="00703BAE" w:rsidRPr="00814679">
        <w:rPr>
          <w:color w:val="auto"/>
        </w:rPr>
        <w:t xml:space="preserve"> </w:t>
      </w:r>
    </w:p>
    <w:p w14:paraId="7ADE6C2A" w14:textId="72133321" w:rsidR="00EA7FE2" w:rsidRPr="00814679" w:rsidRDefault="00EA7FE2" w:rsidP="00C41DEE">
      <w:pPr>
        <w:ind w:left="567" w:hanging="567"/>
        <w:rPr>
          <w:color w:val="auto"/>
        </w:rPr>
      </w:pPr>
      <w:r w:rsidRPr="00814679">
        <w:rPr>
          <w:color w:val="auto"/>
        </w:rPr>
        <w:t xml:space="preserve">Commonwealth of Australia, DFAT. (2021). </w:t>
      </w:r>
      <w:r w:rsidR="006551F0">
        <w:rPr>
          <w:color w:val="auto"/>
        </w:rPr>
        <w:t>Indigenous</w:t>
      </w:r>
      <w:r w:rsidRPr="00814679">
        <w:rPr>
          <w:color w:val="auto"/>
        </w:rPr>
        <w:t xml:space="preserve"> Diplomacy Agenda. </w:t>
      </w:r>
      <w:hyperlink r:id="rId27" w:history="1">
        <w:r w:rsidR="00703BAE" w:rsidRPr="00814679">
          <w:rPr>
            <w:rStyle w:val="Hyperlink"/>
            <w:color w:val="auto"/>
          </w:rPr>
          <w:t>https://www.dfat.gov.au/publications/</w:t>
        </w:r>
        <w:r w:rsidR="006551F0">
          <w:rPr>
            <w:rStyle w:val="Hyperlink"/>
            <w:color w:val="auto"/>
          </w:rPr>
          <w:t>Indigenous</w:t>
        </w:r>
        <w:r w:rsidR="00703BAE" w:rsidRPr="00814679">
          <w:rPr>
            <w:rStyle w:val="Hyperlink"/>
            <w:color w:val="auto"/>
          </w:rPr>
          <w:t>-diplomacy-agenda</w:t>
        </w:r>
      </w:hyperlink>
      <w:r w:rsidR="00703BAE" w:rsidRPr="00814679">
        <w:rPr>
          <w:color w:val="auto"/>
        </w:rPr>
        <w:t xml:space="preserve"> </w:t>
      </w:r>
      <w:r w:rsidRPr="00814679">
        <w:rPr>
          <w:color w:val="auto"/>
        </w:rPr>
        <w:t xml:space="preserve"> </w:t>
      </w:r>
    </w:p>
    <w:p w14:paraId="41E86E6F" w14:textId="3F3F09F7" w:rsidR="00EA7FE2" w:rsidRPr="00814679" w:rsidRDefault="00EA7FE2" w:rsidP="00C41DEE">
      <w:pPr>
        <w:ind w:left="567" w:hanging="567"/>
        <w:rPr>
          <w:color w:val="auto"/>
        </w:rPr>
      </w:pPr>
      <w:r w:rsidRPr="00814679">
        <w:rPr>
          <w:color w:val="auto"/>
        </w:rPr>
        <w:t xml:space="preserve">Commonwealth of Australia, DFAT. (2023). Australia’s International Development Performance and Delivery Framework 2023. </w:t>
      </w:r>
      <w:hyperlink r:id="rId28" w:history="1">
        <w:r w:rsidR="00703BAE" w:rsidRPr="00814679">
          <w:rPr>
            <w:rStyle w:val="Hyperlink"/>
            <w:color w:val="auto"/>
          </w:rPr>
          <w:t>https://www.dfat.gov.au/publications/development/australias-development-policy-performance-and-delivery-framework</w:t>
        </w:r>
      </w:hyperlink>
      <w:r w:rsidR="00703BAE" w:rsidRPr="00814679">
        <w:rPr>
          <w:color w:val="auto"/>
        </w:rPr>
        <w:t xml:space="preserve"> </w:t>
      </w:r>
      <w:r w:rsidRPr="00814679">
        <w:rPr>
          <w:color w:val="auto"/>
        </w:rPr>
        <w:t xml:space="preserve"> </w:t>
      </w:r>
    </w:p>
    <w:p w14:paraId="0CE176D0" w14:textId="42F9D0ED" w:rsidR="00EA7FE2" w:rsidRPr="00814679" w:rsidRDefault="00EA7FE2" w:rsidP="00C41DEE">
      <w:pPr>
        <w:ind w:left="567" w:hanging="567"/>
        <w:rPr>
          <w:color w:val="auto"/>
        </w:rPr>
      </w:pPr>
      <w:r w:rsidRPr="00814679">
        <w:rPr>
          <w:color w:val="auto"/>
        </w:rPr>
        <w:t xml:space="preserve">Commonwealth of Australia, DFAT. (2023). Australia’s International Development Policy 2023. </w:t>
      </w:r>
      <w:hyperlink r:id="rId29" w:history="1">
        <w:r w:rsidR="00703BAE" w:rsidRPr="00814679">
          <w:rPr>
            <w:rStyle w:val="Hyperlink"/>
            <w:color w:val="auto"/>
          </w:rPr>
          <w:t>https://www.dfat.gov.au/development/new-international-development-policy</w:t>
        </w:r>
      </w:hyperlink>
      <w:r w:rsidR="00703BAE" w:rsidRPr="00814679">
        <w:rPr>
          <w:color w:val="auto"/>
        </w:rPr>
        <w:t xml:space="preserve"> </w:t>
      </w:r>
      <w:r w:rsidRPr="00814679">
        <w:rPr>
          <w:color w:val="auto"/>
        </w:rPr>
        <w:t xml:space="preserve"> </w:t>
      </w:r>
    </w:p>
    <w:p w14:paraId="4097BEE9" w14:textId="524CDF4C" w:rsidR="00EA7FE2" w:rsidRPr="00814679" w:rsidRDefault="00EA7FE2" w:rsidP="00C41DEE">
      <w:pPr>
        <w:ind w:left="567" w:hanging="567"/>
        <w:rPr>
          <w:color w:val="auto"/>
        </w:rPr>
      </w:pPr>
      <w:r w:rsidRPr="00814679">
        <w:rPr>
          <w:color w:val="auto"/>
        </w:rPr>
        <w:t xml:space="preserve">Commonwealth of Australia, DFAT. (2023). Development Finance Review. </w:t>
      </w:r>
      <w:hyperlink r:id="rId30" w:history="1">
        <w:r w:rsidR="00703BAE" w:rsidRPr="00814679">
          <w:rPr>
            <w:rStyle w:val="Hyperlink"/>
            <w:color w:val="auto"/>
          </w:rPr>
          <w:t>https://www.dfat.gov.au/sites/default/files/development-finance-review-2023.pdf</w:t>
        </w:r>
      </w:hyperlink>
      <w:r w:rsidR="00703BAE" w:rsidRPr="00814679">
        <w:rPr>
          <w:color w:val="auto"/>
        </w:rPr>
        <w:t xml:space="preserve"> </w:t>
      </w:r>
      <w:r w:rsidRPr="00814679">
        <w:rPr>
          <w:color w:val="auto"/>
        </w:rPr>
        <w:t xml:space="preserve"> </w:t>
      </w:r>
    </w:p>
    <w:p w14:paraId="1883D713" w14:textId="5EA6CA09" w:rsidR="00EA7FE2" w:rsidRPr="00814679" w:rsidRDefault="00EA7FE2" w:rsidP="00C41DEE">
      <w:pPr>
        <w:ind w:left="567" w:hanging="567"/>
        <w:rPr>
          <w:color w:val="auto"/>
        </w:rPr>
      </w:pPr>
      <w:r w:rsidRPr="00814679">
        <w:rPr>
          <w:color w:val="auto"/>
        </w:rPr>
        <w:t xml:space="preserve">Commonwealth of Australia. (2022). Climate Active Carbon Neutral Standard for Organisations. </w:t>
      </w:r>
      <w:hyperlink r:id="rId31" w:history="1">
        <w:r w:rsidR="00703BAE" w:rsidRPr="00814679">
          <w:rPr>
            <w:rStyle w:val="Hyperlink"/>
            <w:color w:val="auto"/>
          </w:rPr>
          <w:t>https://www.climateactive.org.au/sites/default/files/2023-04/Standards_Organisation.pdf</w:t>
        </w:r>
      </w:hyperlink>
      <w:r w:rsidR="00703BAE" w:rsidRPr="00814679">
        <w:rPr>
          <w:color w:val="auto"/>
        </w:rPr>
        <w:t xml:space="preserve"> </w:t>
      </w:r>
    </w:p>
    <w:p w14:paraId="14DEB2FF" w14:textId="77777777" w:rsidR="00EA7FE2" w:rsidRPr="00814679" w:rsidRDefault="00EA7FE2" w:rsidP="00C41DEE">
      <w:pPr>
        <w:ind w:left="567" w:hanging="567"/>
        <w:rPr>
          <w:color w:val="auto"/>
        </w:rPr>
      </w:pPr>
      <w:r w:rsidRPr="00814679">
        <w:rPr>
          <w:color w:val="auto"/>
        </w:rPr>
        <w:t>Convergence Blended Finance. (2023). Supporting Blended Finance Solutions for Natural Capital in Asia: Learnings from the Asia Natural Capital Design Funding Window. Convergence Learning Report.</w:t>
      </w:r>
    </w:p>
    <w:p w14:paraId="3E8591DD" w14:textId="4752EA07" w:rsidR="00EA7FE2" w:rsidRDefault="00EA7FE2" w:rsidP="00C41DEE">
      <w:pPr>
        <w:ind w:left="567" w:hanging="567"/>
        <w:rPr>
          <w:color w:val="auto"/>
        </w:rPr>
      </w:pPr>
      <w:r w:rsidRPr="00814679">
        <w:rPr>
          <w:color w:val="auto"/>
        </w:rPr>
        <w:t xml:space="preserve">Department of Foreign Affairs and Trade. (2019). Climate Change Action Strategy. </w:t>
      </w:r>
      <w:hyperlink r:id="rId32" w:history="1">
        <w:r w:rsidR="00703BAE" w:rsidRPr="00814679">
          <w:rPr>
            <w:rStyle w:val="Hyperlink"/>
            <w:color w:val="auto"/>
          </w:rPr>
          <w:t>https://www.dfat.gov.au/about-us/publications/climate-change-action-strategy</w:t>
        </w:r>
      </w:hyperlink>
      <w:r w:rsidR="00703BAE" w:rsidRPr="00814679">
        <w:rPr>
          <w:color w:val="auto"/>
        </w:rPr>
        <w:t xml:space="preserve"> </w:t>
      </w:r>
      <w:r w:rsidRPr="00814679">
        <w:rPr>
          <w:color w:val="auto"/>
        </w:rPr>
        <w:t xml:space="preserve"> </w:t>
      </w:r>
    </w:p>
    <w:p w14:paraId="1FDE8428" w14:textId="336C8957" w:rsidR="00B745C8" w:rsidRPr="00814679" w:rsidRDefault="00B745C8" w:rsidP="00C41DEE">
      <w:pPr>
        <w:ind w:left="567" w:hanging="567"/>
        <w:rPr>
          <w:color w:val="auto"/>
        </w:rPr>
      </w:pPr>
      <w:r>
        <w:rPr>
          <w:rFonts w:ascii="Arial" w:hAnsi="Arial" w:cs="Arial"/>
          <w:color w:val="222222"/>
          <w:szCs w:val="20"/>
          <w:shd w:val="clear" w:color="auto" w:fill="FFFFFF"/>
        </w:rPr>
        <w:t xml:space="preserve">Donato, D. C., Kauffman, J. B., </w:t>
      </w:r>
      <w:proofErr w:type="spellStart"/>
      <w:r>
        <w:rPr>
          <w:rFonts w:ascii="Arial" w:hAnsi="Arial" w:cs="Arial"/>
          <w:color w:val="222222"/>
          <w:szCs w:val="20"/>
          <w:shd w:val="clear" w:color="auto" w:fill="FFFFFF"/>
        </w:rPr>
        <w:t>Murdiyarso</w:t>
      </w:r>
      <w:proofErr w:type="spellEnd"/>
      <w:r>
        <w:rPr>
          <w:rFonts w:ascii="Arial" w:hAnsi="Arial" w:cs="Arial"/>
          <w:color w:val="222222"/>
          <w:szCs w:val="20"/>
          <w:shd w:val="clear" w:color="auto" w:fill="FFFFFF"/>
        </w:rPr>
        <w:t xml:space="preserve">, D., </w:t>
      </w:r>
      <w:proofErr w:type="spellStart"/>
      <w:r>
        <w:rPr>
          <w:rFonts w:ascii="Arial" w:hAnsi="Arial" w:cs="Arial"/>
          <w:color w:val="222222"/>
          <w:szCs w:val="20"/>
          <w:shd w:val="clear" w:color="auto" w:fill="FFFFFF"/>
        </w:rPr>
        <w:t>Kurnianto</w:t>
      </w:r>
      <w:proofErr w:type="spellEnd"/>
      <w:r>
        <w:rPr>
          <w:rFonts w:ascii="Arial" w:hAnsi="Arial" w:cs="Arial"/>
          <w:color w:val="222222"/>
          <w:szCs w:val="20"/>
          <w:shd w:val="clear" w:color="auto" w:fill="FFFFFF"/>
        </w:rPr>
        <w:t xml:space="preserve">, S., Stidham, M., &amp; </w:t>
      </w:r>
      <w:proofErr w:type="spellStart"/>
      <w:r>
        <w:rPr>
          <w:rFonts w:ascii="Arial" w:hAnsi="Arial" w:cs="Arial"/>
          <w:color w:val="222222"/>
          <w:szCs w:val="20"/>
          <w:shd w:val="clear" w:color="auto" w:fill="FFFFFF"/>
        </w:rPr>
        <w:t>Kanninen</w:t>
      </w:r>
      <w:proofErr w:type="spellEnd"/>
      <w:r>
        <w:rPr>
          <w:rFonts w:ascii="Arial" w:hAnsi="Arial" w:cs="Arial"/>
          <w:color w:val="222222"/>
          <w:szCs w:val="20"/>
          <w:shd w:val="clear" w:color="auto" w:fill="FFFFFF"/>
        </w:rPr>
        <w:t>, M. (2011). Mangroves among the most carbon-rich forests in the tropics. </w:t>
      </w:r>
      <w:r>
        <w:rPr>
          <w:rFonts w:ascii="Arial" w:hAnsi="Arial" w:cs="Arial"/>
          <w:i/>
          <w:iCs/>
          <w:color w:val="222222"/>
          <w:szCs w:val="20"/>
          <w:shd w:val="clear" w:color="auto" w:fill="FFFFFF"/>
        </w:rPr>
        <w:t>Nature geoscience</w:t>
      </w:r>
      <w:r>
        <w:rPr>
          <w:rFonts w:ascii="Arial" w:hAnsi="Arial" w:cs="Arial"/>
          <w:color w:val="222222"/>
          <w:szCs w:val="20"/>
          <w:shd w:val="clear" w:color="auto" w:fill="FFFFFF"/>
        </w:rPr>
        <w:t>, </w:t>
      </w:r>
      <w:r>
        <w:rPr>
          <w:rFonts w:ascii="Arial" w:hAnsi="Arial" w:cs="Arial"/>
          <w:i/>
          <w:iCs/>
          <w:color w:val="222222"/>
          <w:szCs w:val="20"/>
          <w:shd w:val="clear" w:color="auto" w:fill="FFFFFF"/>
        </w:rPr>
        <w:t>4</w:t>
      </w:r>
      <w:r>
        <w:rPr>
          <w:rFonts w:ascii="Arial" w:hAnsi="Arial" w:cs="Arial"/>
          <w:color w:val="222222"/>
          <w:szCs w:val="20"/>
          <w:shd w:val="clear" w:color="auto" w:fill="FFFFFF"/>
        </w:rPr>
        <w:t>(5), 293-297.</w:t>
      </w:r>
      <w:r w:rsidR="00BA4F5B">
        <w:rPr>
          <w:rFonts w:ascii="Arial" w:hAnsi="Arial" w:cs="Arial"/>
          <w:color w:val="222222"/>
          <w:szCs w:val="20"/>
          <w:shd w:val="clear" w:color="auto" w:fill="FFFFFF"/>
        </w:rPr>
        <w:t xml:space="preserve"> </w:t>
      </w:r>
      <w:hyperlink r:id="rId33" w:history="1">
        <w:r w:rsidR="00622F6B" w:rsidRPr="00DC6F66">
          <w:rPr>
            <w:rStyle w:val="Hyperlink"/>
            <w:rFonts w:ascii="Arial" w:hAnsi="Arial" w:cs="Arial"/>
            <w:color w:val="auto"/>
            <w:szCs w:val="20"/>
            <w:shd w:val="clear" w:color="auto" w:fill="FFFFFF"/>
          </w:rPr>
          <w:t>https://www.nature.com/articles/ngeo1123</w:t>
        </w:r>
      </w:hyperlink>
      <w:r w:rsidR="00622F6B" w:rsidRPr="00DC6F66">
        <w:rPr>
          <w:rFonts w:ascii="Arial" w:hAnsi="Arial" w:cs="Arial"/>
          <w:color w:val="auto"/>
          <w:szCs w:val="20"/>
          <w:shd w:val="clear" w:color="auto" w:fill="FFFFFF"/>
        </w:rPr>
        <w:t xml:space="preserve"> </w:t>
      </w:r>
    </w:p>
    <w:p w14:paraId="2539B217" w14:textId="61583F45" w:rsidR="00EA7FE2" w:rsidRPr="00814679" w:rsidRDefault="00EA7FE2" w:rsidP="00C41DEE">
      <w:pPr>
        <w:ind w:left="567" w:hanging="567"/>
        <w:rPr>
          <w:color w:val="auto"/>
        </w:rPr>
      </w:pPr>
      <w:proofErr w:type="spellStart"/>
      <w:r w:rsidRPr="00814679">
        <w:rPr>
          <w:color w:val="auto"/>
        </w:rPr>
        <w:t>Farrelly</w:t>
      </w:r>
      <w:proofErr w:type="spellEnd"/>
      <w:r w:rsidRPr="00814679">
        <w:rPr>
          <w:color w:val="auto"/>
        </w:rPr>
        <w:t xml:space="preserve">, T., &amp; </w:t>
      </w:r>
      <w:proofErr w:type="spellStart"/>
      <w:r w:rsidRPr="00814679">
        <w:rPr>
          <w:color w:val="auto"/>
        </w:rPr>
        <w:t>Nabobo</w:t>
      </w:r>
      <w:proofErr w:type="spellEnd"/>
      <w:r w:rsidRPr="00814679">
        <w:rPr>
          <w:color w:val="auto"/>
        </w:rPr>
        <w:t xml:space="preserve">-Baba, U. (2012). </w:t>
      </w:r>
      <w:proofErr w:type="spellStart"/>
      <w:r w:rsidRPr="00814679">
        <w:rPr>
          <w:color w:val="auto"/>
        </w:rPr>
        <w:t>Talanoa</w:t>
      </w:r>
      <w:proofErr w:type="spellEnd"/>
      <w:r w:rsidRPr="00814679">
        <w:rPr>
          <w:color w:val="auto"/>
        </w:rPr>
        <w:t xml:space="preserve"> as Empathic Research: Paper for presentation at the International Development Conference 2012 Auckland, New Zealand, 3-5 December, 2012. </w:t>
      </w:r>
      <w:hyperlink r:id="rId34" w:history="1">
        <w:r w:rsidR="00703BAE" w:rsidRPr="00814679">
          <w:rPr>
            <w:rStyle w:val="Hyperlink"/>
            <w:color w:val="auto"/>
          </w:rPr>
          <w:t>https://devnet.org.nz/wp-content/uploads/2018/07/Farrelly,%20Trisia%20&amp;%20Nabobo-Baba,%20Unaisi%20Talanoa%20as%20Empathic%20Research%20%5Bpaper%5D_0.pdf</w:t>
        </w:r>
      </w:hyperlink>
      <w:r w:rsidR="00703BAE" w:rsidRPr="00814679">
        <w:rPr>
          <w:color w:val="auto"/>
        </w:rPr>
        <w:t xml:space="preserve"> </w:t>
      </w:r>
      <w:r w:rsidRPr="00814679">
        <w:rPr>
          <w:color w:val="auto"/>
        </w:rPr>
        <w:t xml:space="preserve"> </w:t>
      </w:r>
    </w:p>
    <w:p w14:paraId="76E46643" w14:textId="60E2F412" w:rsidR="00FA4385" w:rsidRPr="00814679" w:rsidRDefault="00FA4385" w:rsidP="00C41DEE">
      <w:pPr>
        <w:ind w:left="567" w:hanging="567"/>
        <w:rPr>
          <w:color w:val="auto"/>
        </w:rPr>
      </w:pPr>
      <w:proofErr w:type="spellStart"/>
      <w:r w:rsidRPr="00814679">
        <w:rPr>
          <w:color w:val="auto"/>
        </w:rPr>
        <w:t>Feetham</w:t>
      </w:r>
      <w:proofErr w:type="spellEnd"/>
      <w:r w:rsidRPr="00814679">
        <w:rPr>
          <w:color w:val="auto"/>
        </w:rPr>
        <w:t xml:space="preserve">, P., </w:t>
      </w:r>
      <w:proofErr w:type="spellStart"/>
      <w:r w:rsidRPr="00814679">
        <w:rPr>
          <w:color w:val="auto"/>
        </w:rPr>
        <w:t>Vaccarino</w:t>
      </w:r>
      <w:proofErr w:type="spellEnd"/>
      <w:r w:rsidRPr="00814679">
        <w:rPr>
          <w:color w:val="auto"/>
        </w:rPr>
        <w:t xml:space="preserve">, F., </w:t>
      </w:r>
      <w:proofErr w:type="spellStart"/>
      <w:r w:rsidRPr="00814679">
        <w:rPr>
          <w:color w:val="auto"/>
        </w:rPr>
        <w:t>Wibeck</w:t>
      </w:r>
      <w:proofErr w:type="spellEnd"/>
      <w:r w:rsidRPr="00814679">
        <w:rPr>
          <w:color w:val="auto"/>
        </w:rPr>
        <w:t xml:space="preserve">, V., &amp; </w:t>
      </w:r>
      <w:proofErr w:type="spellStart"/>
      <w:r w:rsidRPr="00814679">
        <w:rPr>
          <w:color w:val="auto"/>
        </w:rPr>
        <w:t>Linnér</w:t>
      </w:r>
      <w:proofErr w:type="spellEnd"/>
      <w:r w:rsidRPr="00814679">
        <w:rPr>
          <w:color w:val="auto"/>
        </w:rPr>
        <w:t xml:space="preserve">, B.-O. (2023). Using </w:t>
      </w:r>
      <w:proofErr w:type="spellStart"/>
      <w:r w:rsidRPr="00814679">
        <w:rPr>
          <w:color w:val="auto"/>
        </w:rPr>
        <w:t>Talanoa</w:t>
      </w:r>
      <w:proofErr w:type="spellEnd"/>
      <w:r w:rsidRPr="00814679">
        <w:rPr>
          <w:color w:val="auto"/>
        </w:rPr>
        <w:t xml:space="preserve"> as a Research Method can Facilitate Collaborative Engagement and Understanding between </w:t>
      </w:r>
      <w:r w:rsidR="006551F0">
        <w:rPr>
          <w:color w:val="auto"/>
        </w:rPr>
        <w:t>Indigenous</w:t>
      </w:r>
      <w:r w:rsidRPr="00814679">
        <w:rPr>
          <w:color w:val="auto"/>
        </w:rPr>
        <w:t xml:space="preserve"> and Non-</w:t>
      </w:r>
      <w:r w:rsidR="006551F0">
        <w:rPr>
          <w:color w:val="auto"/>
        </w:rPr>
        <w:t>Indigenous</w:t>
      </w:r>
      <w:r w:rsidRPr="00814679">
        <w:rPr>
          <w:color w:val="auto"/>
        </w:rPr>
        <w:t xml:space="preserve"> Communities. Qualitative Research, 23(5), 1439-1460.</w:t>
      </w:r>
      <w:r w:rsidRPr="00814679">
        <w:rPr>
          <w:rFonts w:ascii="Open Sans" w:hAnsi="Open Sans" w:cs="Open Sans"/>
          <w:color w:val="auto"/>
          <w:shd w:val="clear" w:color="auto" w:fill="FFFFFF"/>
        </w:rPr>
        <w:t> </w:t>
      </w:r>
      <w:hyperlink r:id="rId35" w:history="1">
        <w:r w:rsidRPr="00814679">
          <w:rPr>
            <w:rStyle w:val="Hyperlink"/>
            <w:color w:val="auto"/>
          </w:rPr>
          <w:t>https://doi.org/10.1177/14687941221087863</w:t>
        </w:r>
      </w:hyperlink>
    </w:p>
    <w:p w14:paraId="3171D7ED" w14:textId="77777777" w:rsidR="00EA7FE2" w:rsidRPr="00814679" w:rsidRDefault="00EA7FE2" w:rsidP="00C41DEE">
      <w:pPr>
        <w:ind w:left="567" w:hanging="567"/>
        <w:rPr>
          <w:color w:val="auto"/>
        </w:rPr>
      </w:pPr>
      <w:r w:rsidRPr="00814679">
        <w:rPr>
          <w:color w:val="auto"/>
        </w:rPr>
        <w:lastRenderedPageBreak/>
        <w:t xml:space="preserve">Fisher, R., O’Leary, R. A., Low-Choy, S., </w:t>
      </w:r>
      <w:proofErr w:type="spellStart"/>
      <w:r w:rsidRPr="00814679">
        <w:rPr>
          <w:color w:val="auto"/>
        </w:rPr>
        <w:t>Mengersen</w:t>
      </w:r>
      <w:proofErr w:type="spellEnd"/>
      <w:r w:rsidRPr="00814679">
        <w:rPr>
          <w:color w:val="auto"/>
        </w:rPr>
        <w:t>, K., Knowlton, N., Brainard, R. E., &amp; Caley, M. J. (2015). Species richness on coral reefs and the pursuit of convergent global estimates. Current Biology, 25(4), 500-505.</w:t>
      </w:r>
    </w:p>
    <w:p w14:paraId="77756215" w14:textId="401C6E3D" w:rsidR="00EA7FE2" w:rsidRPr="00814679" w:rsidRDefault="00EA7FE2" w:rsidP="00C41DEE">
      <w:pPr>
        <w:ind w:left="567" w:hanging="567"/>
        <w:rPr>
          <w:color w:val="auto"/>
        </w:rPr>
      </w:pPr>
      <w:proofErr w:type="spellStart"/>
      <w:r w:rsidRPr="00814679">
        <w:rPr>
          <w:color w:val="auto"/>
        </w:rPr>
        <w:t>Galán</w:t>
      </w:r>
      <w:proofErr w:type="spellEnd"/>
      <w:r w:rsidRPr="00814679">
        <w:rPr>
          <w:color w:val="auto"/>
        </w:rPr>
        <w:t xml:space="preserve">, G., Martín, M., &amp; Grossmann, I. E. (2023). Systematic comparison of natural and engineering methods of capturing CO2 from the air and its utilization. Sustainable Production and Consumption, 37, 78-95. </w:t>
      </w:r>
      <w:hyperlink r:id="rId36" w:history="1">
        <w:r w:rsidR="00703BAE" w:rsidRPr="00814679">
          <w:rPr>
            <w:rStyle w:val="Hyperlink"/>
            <w:color w:val="auto"/>
          </w:rPr>
          <w:t>https://doi.org/10.1016/j.spc.2023.02.011</w:t>
        </w:r>
      </w:hyperlink>
      <w:r w:rsidR="00703BAE" w:rsidRPr="00814679">
        <w:rPr>
          <w:color w:val="auto"/>
        </w:rPr>
        <w:t xml:space="preserve"> </w:t>
      </w:r>
    </w:p>
    <w:p w14:paraId="247A109D" w14:textId="13837A61" w:rsidR="00550DB5" w:rsidRPr="00814679" w:rsidRDefault="00550DB5" w:rsidP="00C41DEE">
      <w:pPr>
        <w:ind w:left="567" w:hanging="567"/>
        <w:rPr>
          <w:color w:val="auto"/>
        </w:rPr>
      </w:pPr>
      <w:r w:rsidRPr="00814679">
        <w:rPr>
          <w:color w:val="auto"/>
        </w:rPr>
        <w:t>Goldman</w:t>
      </w:r>
      <w:r w:rsidR="001B3E08" w:rsidRPr="00814679">
        <w:rPr>
          <w:color w:val="auto"/>
        </w:rPr>
        <w:t xml:space="preserve">, I. (2010). </w:t>
      </w:r>
      <w:r w:rsidR="007D51B0" w:rsidRPr="00814679">
        <w:rPr>
          <w:color w:val="auto"/>
        </w:rPr>
        <w:t xml:space="preserve">Applying sustainable livelihood approaches to improve rural people's quality of life. </w:t>
      </w:r>
      <w:hyperlink r:id="rId37" w:history="1">
        <w:r w:rsidR="007D51B0" w:rsidRPr="00814679">
          <w:rPr>
            <w:rStyle w:val="Hyperlink"/>
            <w:color w:val="auto"/>
          </w:rPr>
          <w:t>https://www.peiglobal.org/sites/pei/themes/pei/kc_files/Goldman%202010.pdf</w:t>
        </w:r>
      </w:hyperlink>
      <w:r w:rsidR="007D51B0" w:rsidRPr="00814679">
        <w:rPr>
          <w:color w:val="auto"/>
        </w:rPr>
        <w:t xml:space="preserve"> </w:t>
      </w:r>
    </w:p>
    <w:p w14:paraId="6D40A84D" w14:textId="77C42AD7" w:rsidR="00EA7FE2" w:rsidRPr="00814679" w:rsidRDefault="00EA7FE2" w:rsidP="00C41DEE">
      <w:pPr>
        <w:ind w:left="567" w:hanging="567"/>
        <w:rPr>
          <w:color w:val="auto"/>
        </w:rPr>
      </w:pPr>
      <w:r w:rsidRPr="00814679">
        <w:rPr>
          <w:color w:val="auto"/>
        </w:rPr>
        <w:t>ICRI. (2009). Climate Change and Coral Reefs: Consequences of Inaction.</w:t>
      </w:r>
      <w:r w:rsidR="0024708F" w:rsidRPr="00814679">
        <w:rPr>
          <w:color w:val="auto"/>
        </w:rPr>
        <w:t xml:space="preserve"> </w:t>
      </w:r>
      <w:hyperlink r:id="rId38">
        <w:r w:rsidR="00081252" w:rsidRPr="73E6867D">
          <w:rPr>
            <w:rStyle w:val="Hyperlink"/>
            <w:color w:val="auto"/>
          </w:rPr>
          <w:t>https://www.icriforum.org/climatepapers</w:t>
        </w:r>
      </w:hyperlink>
      <w:r w:rsidR="00703BAE" w:rsidRPr="73E6867D">
        <w:rPr>
          <w:color w:val="auto"/>
        </w:rPr>
        <w:t xml:space="preserve"> </w:t>
      </w:r>
    </w:p>
    <w:p w14:paraId="66ECA3E3" w14:textId="62A5AE2D" w:rsidR="0EACB09F" w:rsidRDefault="0EACB09F" w:rsidP="73E6867D">
      <w:pPr>
        <w:ind w:left="567" w:hanging="567"/>
        <w:rPr>
          <w:color w:val="auto"/>
        </w:rPr>
      </w:pPr>
      <w:r w:rsidRPr="73E6867D">
        <w:rPr>
          <w:color w:val="auto"/>
        </w:rPr>
        <w:t>IPCC. (2014). Climate Change 2014: Mitigation of Climate Change. Contribution of Working Group III to the Fifth Assessment Report of the Intergovernmental Panel on Climate Change. Cambridge University Press, Cambridge, United Kingdom and New York, NY, USA.</w:t>
      </w:r>
    </w:p>
    <w:p w14:paraId="648588BB" w14:textId="67B48B6D" w:rsidR="00EA7FE2" w:rsidRDefault="00EA7FE2" w:rsidP="00C41DEE">
      <w:pPr>
        <w:ind w:left="567" w:hanging="567"/>
        <w:rPr>
          <w:color w:val="auto"/>
        </w:rPr>
      </w:pPr>
      <w:r w:rsidRPr="00814679">
        <w:rPr>
          <w:color w:val="auto"/>
        </w:rPr>
        <w:t xml:space="preserve">IUCN. (2020). Guidance for using the IUCN Global Standard for Nature-based Solutions: First edition. International Union for Conservation of Nature. </w:t>
      </w:r>
      <w:hyperlink r:id="rId39" w:history="1">
        <w:r w:rsidR="00703BAE" w:rsidRPr="00814679">
          <w:rPr>
            <w:rStyle w:val="Hyperlink"/>
            <w:color w:val="auto"/>
          </w:rPr>
          <w:t>https://doi.org/10.2305/IUCN.CH.2020.09.en</w:t>
        </w:r>
      </w:hyperlink>
      <w:r w:rsidR="00703BAE" w:rsidRPr="00814679">
        <w:rPr>
          <w:color w:val="auto"/>
        </w:rPr>
        <w:t xml:space="preserve"> </w:t>
      </w:r>
    </w:p>
    <w:p w14:paraId="070A7CF3" w14:textId="58574E38" w:rsidR="00E81D96" w:rsidRPr="00814679" w:rsidRDefault="00E81D96" w:rsidP="00C41DEE">
      <w:pPr>
        <w:ind w:left="567" w:hanging="567"/>
        <w:rPr>
          <w:color w:val="auto"/>
        </w:rPr>
      </w:pPr>
      <w:r>
        <w:rPr>
          <w:color w:val="auto"/>
        </w:rPr>
        <w:t>IUCN</w:t>
      </w:r>
      <w:r w:rsidR="00220C7B">
        <w:rPr>
          <w:color w:val="auto"/>
        </w:rPr>
        <w:t xml:space="preserve">. (2021). My Mangroves, My Livelihood. </w:t>
      </w:r>
      <w:r w:rsidR="009D4229" w:rsidRPr="009D4229">
        <w:rPr>
          <w:color w:val="auto"/>
        </w:rPr>
        <w:t>https://www.iucn.org/news/oceania/202107/my-mangroves-my-livelihood#:~:text=Mangroves%20are%20incredibly%20efficient%20carbon%20sinks%2Fstores%2C%20absorbing%20carbon,in%20the%20soil%20and%20in%20their%20dead%20roots.</w:t>
      </w:r>
    </w:p>
    <w:p w14:paraId="71DB6A63" w14:textId="20EE59A8" w:rsidR="00EA7FE2" w:rsidRPr="00814679" w:rsidRDefault="00EA7FE2" w:rsidP="00C41DEE">
      <w:pPr>
        <w:ind w:left="567" w:hanging="567"/>
        <w:rPr>
          <w:color w:val="auto"/>
        </w:rPr>
      </w:pPr>
      <w:r w:rsidRPr="00814679">
        <w:rPr>
          <w:color w:val="auto"/>
        </w:rPr>
        <w:t xml:space="preserve">Joint Donor Statement on International Finance for Biodiversity and Nature. (2022). </w:t>
      </w:r>
      <w:hyperlink r:id="rId40" w:history="1">
        <w:r w:rsidR="00703BAE" w:rsidRPr="00814679">
          <w:rPr>
            <w:rStyle w:val="Hyperlink"/>
            <w:color w:val="auto"/>
          </w:rPr>
          <w:t>https://assets.publishing.service.gov.uk/media/639c931ae90e075878e523ff/joint-statement-on-nature-finance.pdf</w:t>
        </w:r>
      </w:hyperlink>
      <w:r w:rsidR="00703BAE" w:rsidRPr="00814679">
        <w:rPr>
          <w:color w:val="auto"/>
        </w:rPr>
        <w:t xml:space="preserve"> </w:t>
      </w:r>
    </w:p>
    <w:p w14:paraId="098D4CDB" w14:textId="62563CC5" w:rsidR="00EA7FE2" w:rsidRPr="00814679" w:rsidRDefault="00EA7FE2" w:rsidP="00C41DEE">
      <w:pPr>
        <w:ind w:left="567" w:hanging="567"/>
        <w:rPr>
          <w:color w:val="auto"/>
        </w:rPr>
      </w:pPr>
      <w:r w:rsidRPr="00814679">
        <w:rPr>
          <w:color w:val="auto"/>
        </w:rPr>
        <w:t>Mackenzie, E., &amp; Allen, M. (2023). Demand for high integrity carbon projects in the Pacific: Lessons learned from the second Climate Resilien</w:t>
      </w:r>
      <w:r w:rsidR="00427588">
        <w:rPr>
          <w:color w:val="auto"/>
        </w:rPr>
        <w:t>t</w:t>
      </w:r>
      <w:r w:rsidRPr="00814679">
        <w:rPr>
          <w:color w:val="auto"/>
        </w:rPr>
        <w:t xml:space="preserve"> by Nature Workshop 12 July 2023. Report to WWF, Sustineo.</w:t>
      </w:r>
      <w:r w:rsidR="00675511" w:rsidRPr="00814679">
        <w:rPr>
          <w:color w:val="auto"/>
        </w:rPr>
        <w:t xml:space="preserve"> </w:t>
      </w:r>
      <w:hyperlink r:id="rId41" w:history="1">
        <w:r w:rsidR="00675511" w:rsidRPr="00814679">
          <w:rPr>
            <w:rStyle w:val="Hyperlink"/>
            <w:color w:val="auto"/>
          </w:rPr>
          <w:t>https://static1.squarespace.com/static/61550b857c23a97e20827357/t/65a071a16220087003b3042d/1705013680428/WWF_CRxN+Event+2_Demand+for+high+integrity+projects+in+the+Pacific.pdf</w:t>
        </w:r>
      </w:hyperlink>
      <w:r w:rsidR="00675511" w:rsidRPr="00814679">
        <w:rPr>
          <w:color w:val="auto"/>
        </w:rPr>
        <w:t xml:space="preserve"> </w:t>
      </w:r>
    </w:p>
    <w:p w14:paraId="0CCA2ED3" w14:textId="725EDF13" w:rsidR="00EA7FE2" w:rsidRPr="00814679" w:rsidRDefault="00EA7FE2" w:rsidP="00C41DEE">
      <w:pPr>
        <w:ind w:left="567" w:hanging="567"/>
        <w:rPr>
          <w:color w:val="auto"/>
        </w:rPr>
      </w:pPr>
      <w:r w:rsidRPr="00814679">
        <w:rPr>
          <w:color w:val="auto"/>
        </w:rPr>
        <w:t>Mackenzie, E., &amp; Allen, M. (2023). Developing high integrity carbon projects in the Pacific: Lessons learned from the Climate Resilient by Nature Workshop 31 January 2023. Report to WWF, Sustineo.</w:t>
      </w:r>
      <w:r w:rsidR="00B00D79" w:rsidRPr="00814679">
        <w:rPr>
          <w:color w:val="auto"/>
        </w:rPr>
        <w:t xml:space="preserve"> </w:t>
      </w:r>
      <w:hyperlink r:id="rId42" w:history="1">
        <w:r w:rsidR="00B00D79" w:rsidRPr="00814679">
          <w:rPr>
            <w:rStyle w:val="Hyperlink"/>
            <w:color w:val="auto"/>
          </w:rPr>
          <w:t>https://static1.squarespace.com/static/61550b857c23a97e20827357/t/64758fe106f8617328ed0fd8/1685426150928/WWF_CRxN_CMWorkshop1LearningBrief.pdf</w:t>
        </w:r>
      </w:hyperlink>
      <w:r w:rsidR="00B00D79" w:rsidRPr="00814679">
        <w:rPr>
          <w:color w:val="auto"/>
        </w:rPr>
        <w:t xml:space="preserve"> </w:t>
      </w:r>
    </w:p>
    <w:p w14:paraId="43731025" w14:textId="784FFB43" w:rsidR="00EA7FE2" w:rsidRPr="00814679" w:rsidRDefault="00EA7FE2" w:rsidP="00C41DEE">
      <w:pPr>
        <w:ind w:left="567" w:hanging="567"/>
        <w:rPr>
          <w:color w:val="auto"/>
        </w:rPr>
      </w:pPr>
      <w:r w:rsidRPr="00814679">
        <w:rPr>
          <w:color w:val="auto"/>
        </w:rPr>
        <w:t>Mackenzie, E., &amp; Allen, M. (2023). The state of voluntary carbon markets in the Pacific. Report to WWF, Sustineo.</w:t>
      </w:r>
      <w:hyperlink r:id="rId43" w:history="1">
        <w:r w:rsidR="00B00D79" w:rsidRPr="00814679">
          <w:rPr>
            <w:rStyle w:val="Hyperlink"/>
            <w:color w:val="auto"/>
          </w:rPr>
          <w:t>https://static1.squarespace.com/static/61550b857c23a97e20827357/t/64758fb121106c4820f903dd/1685426103693/CRxN_the+state+of+voluntary+carbon+markets+in+the+Pacific.pdf</w:t>
        </w:r>
      </w:hyperlink>
      <w:r w:rsidR="009D3FE0" w:rsidRPr="00814679">
        <w:rPr>
          <w:color w:val="auto"/>
        </w:rPr>
        <w:t xml:space="preserve"> </w:t>
      </w:r>
    </w:p>
    <w:p w14:paraId="303F3DD3" w14:textId="21663466" w:rsidR="00EA7FE2" w:rsidRPr="00814679" w:rsidRDefault="00EA7FE2" w:rsidP="00C41DEE">
      <w:pPr>
        <w:ind w:left="567" w:hanging="567"/>
        <w:rPr>
          <w:color w:val="auto"/>
        </w:rPr>
      </w:pPr>
      <w:r w:rsidRPr="00814679">
        <w:rPr>
          <w:color w:val="auto"/>
        </w:rPr>
        <w:t>Nature Based Solutions Initiative. (2022). United Nations Environment Assembly agrees Nature-based Solutions definition.</w:t>
      </w:r>
      <w:r w:rsidR="00E172D4" w:rsidRPr="00814679">
        <w:rPr>
          <w:color w:val="auto"/>
        </w:rPr>
        <w:t xml:space="preserve"> </w:t>
      </w:r>
      <w:hyperlink r:id="rId44" w:anchor=":~:text=The%20resolution%20provides%20the%20first%20multilaterally%20agreed%20definition,human%20well-being%2C%20ecosystem%20services%2C%20resilience%20and%20biodiversity%20benefits%E2%80%9D" w:history="1">
        <w:r w:rsidR="00E172D4" w:rsidRPr="00814679">
          <w:rPr>
            <w:rStyle w:val="Hyperlink"/>
            <w:color w:val="auto"/>
          </w:rPr>
          <w:t>https://www.unep.org/about-un-environment/intergovernmental-consultations-nbs#:~:text=The%20resolution%20provides%20the%20first%20multilaterally%20agreed%20definition,human%20</w:t>
        </w:r>
        <w:r w:rsidR="006551F0">
          <w:rPr>
            <w:rStyle w:val="Hyperlink"/>
            <w:color w:val="auto"/>
          </w:rPr>
          <w:t>wellbeing</w:t>
        </w:r>
        <w:r w:rsidR="00E172D4" w:rsidRPr="00814679">
          <w:rPr>
            <w:rStyle w:val="Hyperlink"/>
            <w:color w:val="auto"/>
          </w:rPr>
          <w:t>%2C%20ecosystem%20services%2C%20resilience%20and%20biodiversity%20benefits%E2%80%9D</w:t>
        </w:r>
      </w:hyperlink>
      <w:r w:rsidR="00E172D4" w:rsidRPr="00814679">
        <w:rPr>
          <w:color w:val="auto"/>
        </w:rPr>
        <w:t xml:space="preserve">. </w:t>
      </w:r>
    </w:p>
    <w:p w14:paraId="05338E17" w14:textId="18B20C6A" w:rsidR="00EA7FE2" w:rsidRPr="00814679" w:rsidRDefault="00EA7FE2" w:rsidP="00C41DEE">
      <w:pPr>
        <w:ind w:left="567" w:hanging="567"/>
        <w:rPr>
          <w:color w:val="auto"/>
        </w:rPr>
      </w:pPr>
      <w:proofErr w:type="spellStart"/>
      <w:r w:rsidRPr="00814679">
        <w:rPr>
          <w:color w:val="auto"/>
        </w:rPr>
        <w:t>OceanObs</w:t>
      </w:r>
      <w:proofErr w:type="spellEnd"/>
      <w:r w:rsidRPr="00814679">
        <w:rPr>
          <w:color w:val="auto"/>
        </w:rPr>
        <w:t xml:space="preserve">. (2019). Aha Honua Coastal </w:t>
      </w:r>
      <w:r w:rsidR="006551F0">
        <w:rPr>
          <w:color w:val="auto"/>
        </w:rPr>
        <w:t>Indigenous</w:t>
      </w:r>
      <w:r w:rsidRPr="00814679">
        <w:rPr>
          <w:color w:val="auto"/>
        </w:rPr>
        <w:t xml:space="preserve"> Peoples’ Declaration.</w:t>
      </w:r>
      <w:r w:rsidR="0024708F" w:rsidRPr="00814679">
        <w:rPr>
          <w:color w:val="auto"/>
        </w:rPr>
        <w:t xml:space="preserve"> </w:t>
      </w:r>
      <w:hyperlink r:id="rId45" w:history="1">
        <w:r w:rsidR="00630283" w:rsidRPr="00814679">
          <w:rPr>
            <w:rStyle w:val="Hyperlink"/>
            <w:color w:val="auto"/>
          </w:rPr>
          <w:t>https://oceanobs19.net/sites/default/files/2023-03/</w:t>
        </w:r>
        <w:r w:rsidR="006551F0">
          <w:rPr>
            <w:rStyle w:val="Hyperlink"/>
            <w:color w:val="auto"/>
          </w:rPr>
          <w:t>Indigenous</w:t>
        </w:r>
        <w:r w:rsidR="00630283" w:rsidRPr="00814679">
          <w:rPr>
            <w:rStyle w:val="Hyperlink"/>
            <w:color w:val="auto"/>
          </w:rPr>
          <w:t>-Ocean-Obs19Declaration_8.5x15_Final.pdf</w:t>
        </w:r>
      </w:hyperlink>
      <w:r w:rsidR="00675511" w:rsidRPr="00814679">
        <w:rPr>
          <w:color w:val="auto"/>
        </w:rPr>
        <w:t xml:space="preserve"> </w:t>
      </w:r>
    </w:p>
    <w:p w14:paraId="25DEB1F1" w14:textId="5869E7D0" w:rsidR="00EA7FE2" w:rsidRPr="00814679" w:rsidRDefault="00EA7FE2" w:rsidP="00C41DEE">
      <w:pPr>
        <w:ind w:left="567" w:hanging="567"/>
        <w:rPr>
          <w:color w:val="auto"/>
        </w:rPr>
      </w:pPr>
      <w:r w:rsidRPr="00814679">
        <w:rPr>
          <w:color w:val="auto"/>
        </w:rPr>
        <w:t xml:space="preserve">Pacific Islands Forum. (2021). The 2050 Strategy for the Blue Pacific Continent. </w:t>
      </w:r>
      <w:hyperlink r:id="rId46" w:history="1">
        <w:r w:rsidR="00675511" w:rsidRPr="00814679">
          <w:rPr>
            <w:rStyle w:val="Hyperlink"/>
            <w:color w:val="auto"/>
          </w:rPr>
          <w:t>https://pacificsecurity.net/resource/the-2050-strategy-for-the-blue-pacific-continent/</w:t>
        </w:r>
      </w:hyperlink>
      <w:r w:rsidR="00675511" w:rsidRPr="00814679">
        <w:rPr>
          <w:color w:val="auto"/>
        </w:rPr>
        <w:t xml:space="preserve"> </w:t>
      </w:r>
    </w:p>
    <w:p w14:paraId="6B5D3D1F" w14:textId="48F77A21" w:rsidR="00EA7FE2" w:rsidRPr="00814679" w:rsidRDefault="00EA7FE2" w:rsidP="00C41DEE">
      <w:pPr>
        <w:ind w:left="567" w:hanging="567"/>
        <w:rPr>
          <w:color w:val="auto"/>
        </w:rPr>
      </w:pPr>
      <w:r w:rsidRPr="00814679">
        <w:rPr>
          <w:color w:val="auto"/>
        </w:rPr>
        <w:lastRenderedPageBreak/>
        <w:t xml:space="preserve">Santana, A. (2018). Considerations regarding vulnerable groups, communities and ecosystems in the context of the national adaptation plans. United Nations Framework Convention on Climate Change. </w:t>
      </w:r>
      <w:hyperlink r:id="rId47" w:history="1">
        <w:r w:rsidR="00675511" w:rsidRPr="00814679">
          <w:rPr>
            <w:rStyle w:val="Hyperlink"/>
            <w:color w:val="auto"/>
          </w:rPr>
          <w:t>https://unfccc.int/sites/default/files/resource/Considerations%20regarding%20vulnerable.pdf</w:t>
        </w:r>
      </w:hyperlink>
      <w:r w:rsidR="00675511" w:rsidRPr="00814679">
        <w:rPr>
          <w:color w:val="auto"/>
        </w:rPr>
        <w:t xml:space="preserve"> </w:t>
      </w:r>
    </w:p>
    <w:p w14:paraId="575FACB2" w14:textId="2C2E1BD1" w:rsidR="00EA7FE2" w:rsidRPr="00814679" w:rsidRDefault="001C1EC7" w:rsidP="73E6867D">
      <w:pPr>
        <w:ind w:left="567" w:hanging="567"/>
        <w:rPr>
          <w:color w:val="auto"/>
        </w:rPr>
      </w:pPr>
      <w:proofErr w:type="spellStart"/>
      <w:r>
        <w:rPr>
          <w:rFonts w:ascii="Arial" w:hAnsi="Arial" w:cs="Arial"/>
          <w:color w:val="222222"/>
          <w:szCs w:val="20"/>
          <w:shd w:val="clear" w:color="auto" w:fill="FFFFFF"/>
        </w:rPr>
        <w:t>Sekera</w:t>
      </w:r>
      <w:proofErr w:type="spellEnd"/>
      <w:r>
        <w:rPr>
          <w:rFonts w:ascii="Arial" w:hAnsi="Arial" w:cs="Arial"/>
          <w:color w:val="222222"/>
          <w:szCs w:val="20"/>
          <w:shd w:val="clear" w:color="auto" w:fill="FFFFFF"/>
        </w:rPr>
        <w:t xml:space="preserve">, J., </w:t>
      </w:r>
      <w:proofErr w:type="spellStart"/>
      <w:r>
        <w:rPr>
          <w:rFonts w:ascii="Arial" w:hAnsi="Arial" w:cs="Arial"/>
          <w:color w:val="222222"/>
          <w:szCs w:val="20"/>
          <w:shd w:val="clear" w:color="auto" w:fill="FFFFFF"/>
        </w:rPr>
        <w:t>Cagalanan</w:t>
      </w:r>
      <w:proofErr w:type="spellEnd"/>
      <w:r>
        <w:rPr>
          <w:rFonts w:ascii="Arial" w:hAnsi="Arial" w:cs="Arial"/>
          <w:color w:val="222222"/>
          <w:szCs w:val="20"/>
          <w:shd w:val="clear" w:color="auto" w:fill="FFFFFF"/>
        </w:rPr>
        <w:t xml:space="preserve">, D., Swan, A., </w:t>
      </w:r>
      <w:proofErr w:type="spellStart"/>
      <w:r>
        <w:rPr>
          <w:rFonts w:ascii="Arial" w:hAnsi="Arial" w:cs="Arial"/>
          <w:color w:val="222222"/>
          <w:szCs w:val="20"/>
          <w:shd w:val="clear" w:color="auto" w:fill="FFFFFF"/>
        </w:rPr>
        <w:t>Birdsey</w:t>
      </w:r>
      <w:proofErr w:type="spellEnd"/>
      <w:r>
        <w:rPr>
          <w:rFonts w:ascii="Arial" w:hAnsi="Arial" w:cs="Arial"/>
          <w:color w:val="222222"/>
          <w:szCs w:val="20"/>
          <w:shd w:val="clear" w:color="auto" w:fill="FFFFFF"/>
        </w:rPr>
        <w:t>, R., Goodwin, N., &amp; Lichtenberger, A. (2023). Carbon dioxide removal–What’s worth doing? A biophysical and public need perspective. </w:t>
      </w:r>
      <w:r>
        <w:rPr>
          <w:rFonts w:ascii="Arial" w:hAnsi="Arial" w:cs="Arial"/>
          <w:i/>
          <w:iCs/>
          <w:color w:val="222222"/>
          <w:szCs w:val="20"/>
          <w:shd w:val="clear" w:color="auto" w:fill="FFFFFF"/>
        </w:rPr>
        <w:t>PLOS Climate</w:t>
      </w:r>
      <w:r>
        <w:rPr>
          <w:rFonts w:ascii="Arial" w:hAnsi="Arial" w:cs="Arial"/>
          <w:color w:val="222222"/>
          <w:szCs w:val="20"/>
          <w:shd w:val="clear" w:color="auto" w:fill="FFFFFF"/>
        </w:rPr>
        <w:t>, </w:t>
      </w:r>
      <w:r>
        <w:rPr>
          <w:rFonts w:ascii="Arial" w:hAnsi="Arial" w:cs="Arial"/>
          <w:i/>
          <w:iCs/>
          <w:color w:val="222222"/>
          <w:szCs w:val="20"/>
          <w:shd w:val="clear" w:color="auto" w:fill="FFFFFF"/>
        </w:rPr>
        <w:t>2</w:t>
      </w:r>
      <w:r>
        <w:rPr>
          <w:rFonts w:ascii="Arial" w:hAnsi="Arial" w:cs="Arial"/>
          <w:color w:val="222222"/>
          <w:szCs w:val="20"/>
          <w:shd w:val="clear" w:color="auto" w:fill="FFFFFF"/>
        </w:rPr>
        <w:t>(2), e0000</w:t>
      </w:r>
      <w:r w:rsidRPr="00150362">
        <w:rPr>
          <w:rFonts w:ascii="Arial" w:hAnsi="Arial" w:cs="Arial"/>
          <w:color w:val="auto"/>
          <w:szCs w:val="20"/>
          <w:shd w:val="clear" w:color="auto" w:fill="FFFFFF"/>
        </w:rPr>
        <w:t xml:space="preserve">124. </w:t>
      </w:r>
      <w:hyperlink r:id="rId48" w:history="1">
        <w:r w:rsidRPr="00150362">
          <w:rPr>
            <w:rStyle w:val="Hyperlink"/>
            <w:color w:val="auto"/>
          </w:rPr>
          <w:t>https://doi.org/10.1371/journal.pclm.0000124</w:t>
        </w:r>
      </w:hyperlink>
      <w:r>
        <w:rPr>
          <w:color w:val="auto"/>
        </w:rPr>
        <w:t xml:space="preserve">  </w:t>
      </w:r>
      <w:r w:rsidR="0CEAECC4" w:rsidRPr="73E6867D">
        <w:rPr>
          <w:color w:val="auto"/>
        </w:rPr>
        <w:t xml:space="preserve"> </w:t>
      </w:r>
    </w:p>
    <w:p w14:paraId="72FEAE8B" w14:textId="0951E1FB" w:rsidR="00EA7FE2" w:rsidRPr="00814679" w:rsidRDefault="00EA7FE2" w:rsidP="00C41DEE">
      <w:pPr>
        <w:ind w:left="567" w:hanging="567"/>
        <w:rPr>
          <w:color w:val="auto"/>
        </w:rPr>
      </w:pPr>
      <w:proofErr w:type="spellStart"/>
      <w:r w:rsidRPr="00814679">
        <w:rPr>
          <w:color w:val="auto"/>
        </w:rPr>
        <w:t>Selkoe</w:t>
      </w:r>
      <w:proofErr w:type="spellEnd"/>
      <w:r w:rsidRPr="00814679">
        <w:rPr>
          <w:color w:val="auto"/>
        </w:rPr>
        <w:t xml:space="preserve">, K. A., </w:t>
      </w:r>
      <w:proofErr w:type="spellStart"/>
      <w:r w:rsidRPr="00814679">
        <w:rPr>
          <w:color w:val="auto"/>
        </w:rPr>
        <w:t>Gaggiotti</w:t>
      </w:r>
      <w:proofErr w:type="spellEnd"/>
      <w:r w:rsidRPr="00814679">
        <w:rPr>
          <w:color w:val="auto"/>
        </w:rPr>
        <w:t xml:space="preserve">, O. E., </w:t>
      </w:r>
      <w:proofErr w:type="spellStart"/>
      <w:r w:rsidRPr="00814679">
        <w:rPr>
          <w:color w:val="auto"/>
        </w:rPr>
        <w:t>Treml</w:t>
      </w:r>
      <w:proofErr w:type="spellEnd"/>
      <w:r w:rsidRPr="00814679">
        <w:rPr>
          <w:color w:val="auto"/>
        </w:rPr>
        <w:t xml:space="preserve">, E. A., Wren, J. L., Donovan, M. K., Hawai‘i Reef Connectivity Consortium, &amp; </w:t>
      </w:r>
      <w:proofErr w:type="spellStart"/>
      <w:r w:rsidRPr="00814679">
        <w:rPr>
          <w:color w:val="auto"/>
        </w:rPr>
        <w:t>Toonen</w:t>
      </w:r>
      <w:proofErr w:type="spellEnd"/>
      <w:r w:rsidRPr="00814679">
        <w:rPr>
          <w:color w:val="auto"/>
        </w:rPr>
        <w:t>, R. J. (2016). The DNA of coral reef biodiversity: Predicting and protecting genetic diversity of reef assemblages. Proceedings of the Royal Society B: Biological Sciences, 283(1829),</w:t>
      </w:r>
      <w:r w:rsidR="00675511" w:rsidRPr="00814679">
        <w:rPr>
          <w:color w:val="auto"/>
        </w:rPr>
        <w:t xml:space="preserve"> </w:t>
      </w:r>
    </w:p>
    <w:p w14:paraId="2F7AF412" w14:textId="77777777" w:rsidR="00EA7FE2" w:rsidRPr="00814679" w:rsidRDefault="00EA7FE2" w:rsidP="00C41DEE">
      <w:pPr>
        <w:ind w:left="567" w:hanging="567"/>
        <w:rPr>
          <w:color w:val="auto"/>
        </w:rPr>
      </w:pPr>
      <w:r w:rsidRPr="00814679">
        <w:rPr>
          <w:color w:val="auto"/>
        </w:rPr>
        <w:t xml:space="preserve">Simon, K., </w:t>
      </w:r>
      <w:proofErr w:type="spellStart"/>
      <w:r w:rsidRPr="00814679">
        <w:rPr>
          <w:color w:val="auto"/>
        </w:rPr>
        <w:t>Diprose</w:t>
      </w:r>
      <w:proofErr w:type="spellEnd"/>
      <w:r w:rsidRPr="00814679">
        <w:rPr>
          <w:color w:val="auto"/>
        </w:rPr>
        <w:t xml:space="preserve">, G., &amp; Thomas, A. C. (2020). Community-led initiatives for climate adaptation and mitigation. </w:t>
      </w:r>
      <w:proofErr w:type="spellStart"/>
      <w:r w:rsidRPr="00814679">
        <w:rPr>
          <w:color w:val="auto"/>
        </w:rPr>
        <w:t>Kōtuitui</w:t>
      </w:r>
      <w:proofErr w:type="spellEnd"/>
      <w:r w:rsidRPr="00814679">
        <w:rPr>
          <w:color w:val="auto"/>
        </w:rPr>
        <w:t>: New Zealand Journal of Social Sciences Online, 15(1), 93-105.</w:t>
      </w:r>
    </w:p>
    <w:p w14:paraId="7CBCE9A1" w14:textId="77777777" w:rsidR="003800FD" w:rsidRDefault="00891201" w:rsidP="00C41DEE">
      <w:pPr>
        <w:ind w:left="567" w:hanging="567"/>
        <w:rPr>
          <w:rFonts w:ascii="Arial" w:hAnsi="Arial" w:cs="Arial"/>
          <w:color w:val="222222"/>
          <w:szCs w:val="20"/>
          <w:shd w:val="clear" w:color="auto" w:fill="FFFFFF"/>
        </w:rPr>
      </w:pPr>
      <w:r>
        <w:rPr>
          <w:rFonts w:ascii="Arial" w:hAnsi="Arial" w:cs="Arial"/>
          <w:color w:val="222222"/>
          <w:szCs w:val="20"/>
          <w:shd w:val="clear" w:color="auto" w:fill="FFFFFF"/>
        </w:rPr>
        <w:t xml:space="preserve">Sutton-Grier, A. E., </w:t>
      </w:r>
      <w:proofErr w:type="spellStart"/>
      <w:r>
        <w:rPr>
          <w:rFonts w:ascii="Arial" w:hAnsi="Arial" w:cs="Arial"/>
          <w:color w:val="222222"/>
          <w:szCs w:val="20"/>
          <w:shd w:val="clear" w:color="auto" w:fill="FFFFFF"/>
        </w:rPr>
        <w:t>Wowk</w:t>
      </w:r>
      <w:proofErr w:type="spellEnd"/>
      <w:r>
        <w:rPr>
          <w:rFonts w:ascii="Arial" w:hAnsi="Arial" w:cs="Arial"/>
          <w:color w:val="222222"/>
          <w:szCs w:val="20"/>
          <w:shd w:val="clear" w:color="auto" w:fill="FFFFFF"/>
        </w:rPr>
        <w:t>, K., &amp; Bamford, H. (2015). Future of our coasts: The potential for natural and hybrid infrastructure to enhance the resilience of our coastal communities, economies and ecosystems. </w:t>
      </w:r>
      <w:r>
        <w:rPr>
          <w:rFonts w:ascii="Arial" w:hAnsi="Arial" w:cs="Arial"/>
          <w:i/>
          <w:iCs/>
          <w:color w:val="222222"/>
          <w:szCs w:val="20"/>
          <w:shd w:val="clear" w:color="auto" w:fill="FFFFFF"/>
        </w:rPr>
        <w:t>Environmental Science &amp; Policy</w:t>
      </w:r>
      <w:r>
        <w:rPr>
          <w:rFonts w:ascii="Arial" w:hAnsi="Arial" w:cs="Arial"/>
          <w:color w:val="222222"/>
          <w:szCs w:val="20"/>
          <w:shd w:val="clear" w:color="auto" w:fill="FFFFFF"/>
        </w:rPr>
        <w:t>, </w:t>
      </w:r>
      <w:r>
        <w:rPr>
          <w:rFonts w:ascii="Arial" w:hAnsi="Arial" w:cs="Arial"/>
          <w:i/>
          <w:iCs/>
          <w:color w:val="222222"/>
          <w:szCs w:val="20"/>
          <w:shd w:val="clear" w:color="auto" w:fill="FFFFFF"/>
        </w:rPr>
        <w:t>51</w:t>
      </w:r>
      <w:r>
        <w:rPr>
          <w:rFonts w:ascii="Arial" w:hAnsi="Arial" w:cs="Arial"/>
          <w:color w:val="222222"/>
          <w:szCs w:val="20"/>
          <w:shd w:val="clear" w:color="auto" w:fill="FFFFFF"/>
        </w:rPr>
        <w:t>, 137-148.</w:t>
      </w:r>
    </w:p>
    <w:p w14:paraId="1AF22DD5" w14:textId="6B49793C" w:rsidR="00EA7FE2" w:rsidRPr="00814679" w:rsidRDefault="00EA7FE2" w:rsidP="00C41DEE">
      <w:pPr>
        <w:ind w:left="567" w:hanging="567"/>
        <w:rPr>
          <w:color w:val="auto"/>
        </w:rPr>
      </w:pPr>
      <w:r w:rsidRPr="00814679">
        <w:rPr>
          <w:color w:val="auto"/>
        </w:rPr>
        <w:t xml:space="preserve">United Nations. (2016). Free Prior and Informed Consent, An </w:t>
      </w:r>
      <w:r w:rsidR="006551F0">
        <w:rPr>
          <w:color w:val="auto"/>
        </w:rPr>
        <w:t>Indigenous</w:t>
      </w:r>
      <w:r w:rsidRPr="00814679">
        <w:rPr>
          <w:color w:val="auto"/>
        </w:rPr>
        <w:t xml:space="preserve"> Peoples’ right and a good practice for local communities.</w:t>
      </w:r>
      <w:r w:rsidR="004F346E" w:rsidRPr="00814679">
        <w:rPr>
          <w:color w:val="auto"/>
        </w:rPr>
        <w:t xml:space="preserve"> </w:t>
      </w:r>
      <w:hyperlink r:id="rId49">
        <w:r w:rsidR="00630283" w:rsidRPr="73E6867D">
          <w:rPr>
            <w:rStyle w:val="Hyperlink"/>
            <w:color w:val="auto"/>
          </w:rPr>
          <w:t>https://www.un.org/development/desa/</w:t>
        </w:r>
        <w:r w:rsidR="006551F0" w:rsidRPr="73E6867D">
          <w:rPr>
            <w:rStyle w:val="Hyperlink"/>
            <w:color w:val="auto"/>
          </w:rPr>
          <w:t>Indigenous</w:t>
        </w:r>
        <w:r w:rsidR="00630283" w:rsidRPr="73E6867D">
          <w:rPr>
            <w:rStyle w:val="Hyperlink"/>
            <w:color w:val="auto"/>
          </w:rPr>
          <w:t>peoples/publications/2016/10/free-prior-and-informed-consent-an-</w:t>
        </w:r>
        <w:r w:rsidR="006551F0" w:rsidRPr="73E6867D">
          <w:rPr>
            <w:rStyle w:val="Hyperlink"/>
            <w:color w:val="auto"/>
          </w:rPr>
          <w:t>Indigenous</w:t>
        </w:r>
        <w:r w:rsidR="00630283" w:rsidRPr="73E6867D">
          <w:rPr>
            <w:rStyle w:val="Hyperlink"/>
            <w:color w:val="auto"/>
          </w:rPr>
          <w:t>-peoples-right-and-a-good-practice-for-local-communities-fao/</w:t>
        </w:r>
      </w:hyperlink>
      <w:r w:rsidR="00675511" w:rsidRPr="73E6867D">
        <w:rPr>
          <w:color w:val="auto"/>
        </w:rPr>
        <w:t xml:space="preserve"> </w:t>
      </w:r>
      <w:r w:rsidRPr="73E6867D">
        <w:rPr>
          <w:color w:val="auto"/>
        </w:rPr>
        <w:t xml:space="preserve"> </w:t>
      </w:r>
    </w:p>
    <w:p w14:paraId="29F35FB1" w14:textId="3E43C2E7" w:rsidR="00F82D48" w:rsidRPr="00814679" w:rsidRDefault="00F82D48" w:rsidP="00933F0E">
      <w:pPr>
        <w:ind w:left="567" w:hanging="567"/>
        <w:rPr>
          <w:color w:val="auto"/>
        </w:rPr>
      </w:pPr>
      <w:r w:rsidRPr="00814679">
        <w:rPr>
          <w:color w:val="auto"/>
        </w:rPr>
        <w:t>UNFCCC</w:t>
      </w:r>
      <w:r w:rsidR="00933F0E" w:rsidRPr="00814679">
        <w:rPr>
          <w:color w:val="auto"/>
        </w:rPr>
        <w:t>. (2018). Considerations regarding vulnerable groups, communities and ecosystems in the context of the national adaptation plans.</w:t>
      </w:r>
      <w:r w:rsidR="00D27F87" w:rsidRPr="00814679">
        <w:rPr>
          <w:color w:val="auto"/>
        </w:rPr>
        <w:t xml:space="preserve"> </w:t>
      </w:r>
      <w:hyperlink r:id="rId50" w:history="1">
        <w:r w:rsidR="00D27F87" w:rsidRPr="00150362">
          <w:rPr>
            <w:rStyle w:val="Hyperlink"/>
            <w:color w:val="auto"/>
          </w:rPr>
          <w:t>https://unfccc.int/sites/default/files/resource/Considerations%20regarding%20vulnerable.pdf</w:t>
        </w:r>
      </w:hyperlink>
    </w:p>
    <w:p w14:paraId="67E706AC" w14:textId="4D39D143" w:rsidR="04CFC7C3" w:rsidRDefault="04CFC7C3" w:rsidP="73E6867D">
      <w:pPr>
        <w:ind w:left="567" w:hanging="567"/>
        <w:rPr>
          <w:rStyle w:val="Hyperlink"/>
          <w:color w:val="auto"/>
        </w:rPr>
      </w:pPr>
      <w:r w:rsidRPr="73E6867D">
        <w:rPr>
          <w:rStyle w:val="Hyperlink"/>
          <w:color w:val="auto"/>
        </w:rPr>
        <w:t>UNFCCC (2019). Off-grid and decentralized energy solutions for smart energy and water use in the agrifood chain. https://unfccc.int/sites/default/files/resource/TEMs%202019_TP_Designed%20Version.pdf</w:t>
      </w:r>
    </w:p>
    <w:p w14:paraId="14083AA8" w14:textId="75D1E8C9" w:rsidR="00EA7FE2" w:rsidRPr="00814679" w:rsidRDefault="00B82CA2" w:rsidP="73E6867D">
      <w:pPr>
        <w:ind w:left="567" w:hanging="567"/>
        <w:rPr>
          <w:color w:val="auto"/>
        </w:rPr>
      </w:pPr>
      <w:r>
        <w:rPr>
          <w:rFonts w:ascii="Arial" w:hAnsi="Arial" w:cs="Arial"/>
          <w:color w:val="222222"/>
          <w:szCs w:val="20"/>
          <w:shd w:val="clear" w:color="auto" w:fill="FFFFFF"/>
        </w:rPr>
        <w:t xml:space="preserve">Vineyard, D., Ingwersen, W. W., Hawkins, T. R., Xue, X., </w:t>
      </w:r>
      <w:proofErr w:type="spellStart"/>
      <w:r>
        <w:rPr>
          <w:rFonts w:ascii="Arial" w:hAnsi="Arial" w:cs="Arial"/>
          <w:color w:val="222222"/>
          <w:szCs w:val="20"/>
          <w:shd w:val="clear" w:color="auto" w:fill="FFFFFF"/>
        </w:rPr>
        <w:t>Demeke</w:t>
      </w:r>
      <w:proofErr w:type="spellEnd"/>
      <w:r>
        <w:rPr>
          <w:rFonts w:ascii="Arial" w:hAnsi="Arial" w:cs="Arial"/>
          <w:color w:val="222222"/>
          <w:szCs w:val="20"/>
          <w:shd w:val="clear" w:color="auto" w:fill="FFFFFF"/>
        </w:rPr>
        <w:t>, B., &amp; Shuster, W. (2015). Comparing green and grey infrastructure using life cycle cost and environmental impact: A rain garden case study in Cincinnati, OH. </w:t>
      </w:r>
      <w:r>
        <w:rPr>
          <w:rFonts w:ascii="Arial" w:hAnsi="Arial" w:cs="Arial"/>
          <w:i/>
          <w:iCs/>
          <w:color w:val="222222"/>
          <w:szCs w:val="20"/>
          <w:shd w:val="clear" w:color="auto" w:fill="FFFFFF"/>
        </w:rPr>
        <w:t>JAWRA Journal of the American Water Resources Association</w:t>
      </w:r>
      <w:r>
        <w:rPr>
          <w:rFonts w:ascii="Arial" w:hAnsi="Arial" w:cs="Arial"/>
          <w:color w:val="222222"/>
          <w:szCs w:val="20"/>
          <w:shd w:val="clear" w:color="auto" w:fill="FFFFFF"/>
        </w:rPr>
        <w:t>, </w:t>
      </w:r>
      <w:r>
        <w:rPr>
          <w:rFonts w:ascii="Arial" w:hAnsi="Arial" w:cs="Arial"/>
          <w:i/>
          <w:iCs/>
          <w:color w:val="222222"/>
          <w:szCs w:val="20"/>
          <w:shd w:val="clear" w:color="auto" w:fill="FFFFFF"/>
        </w:rPr>
        <w:t>51</w:t>
      </w:r>
      <w:r>
        <w:rPr>
          <w:rFonts w:ascii="Arial" w:hAnsi="Arial" w:cs="Arial"/>
          <w:color w:val="222222"/>
          <w:szCs w:val="20"/>
          <w:shd w:val="clear" w:color="auto" w:fill="FFFFFF"/>
        </w:rPr>
        <w:t xml:space="preserve">(5), 1342-1360. </w:t>
      </w:r>
      <w:hyperlink r:id="rId51" w:history="1">
        <w:r w:rsidRPr="00150362">
          <w:rPr>
            <w:rStyle w:val="Hyperlink"/>
            <w:color w:val="auto"/>
          </w:rPr>
          <w:t>https://doi.org/10.1111/1752-1688.12320</w:t>
        </w:r>
      </w:hyperlink>
      <w:r w:rsidRPr="00150362">
        <w:rPr>
          <w:color w:val="auto"/>
        </w:rPr>
        <w:t xml:space="preserve"> </w:t>
      </w:r>
      <w:r w:rsidR="45C08309" w:rsidRPr="00B82CA2">
        <w:rPr>
          <w:color w:val="auto"/>
        </w:rPr>
        <w:t xml:space="preserve"> </w:t>
      </w:r>
    </w:p>
    <w:p w14:paraId="57D50F4E" w14:textId="224CEC3A" w:rsidR="00EA7FE2" w:rsidRPr="00814679" w:rsidRDefault="00EA7FE2" w:rsidP="00C41DEE">
      <w:pPr>
        <w:ind w:left="567" w:hanging="567"/>
        <w:rPr>
          <w:color w:val="auto"/>
        </w:rPr>
      </w:pPr>
      <w:proofErr w:type="spellStart"/>
      <w:r w:rsidRPr="00814679">
        <w:rPr>
          <w:color w:val="auto"/>
        </w:rPr>
        <w:t>Waqairatu-Waqainabete</w:t>
      </w:r>
      <w:proofErr w:type="spellEnd"/>
      <w:r w:rsidRPr="00814679">
        <w:rPr>
          <w:color w:val="auto"/>
        </w:rPr>
        <w:t xml:space="preserve">, S., </w:t>
      </w:r>
      <w:proofErr w:type="spellStart"/>
      <w:r w:rsidRPr="00814679">
        <w:rPr>
          <w:color w:val="auto"/>
        </w:rPr>
        <w:t>Meo</w:t>
      </w:r>
      <w:proofErr w:type="spellEnd"/>
      <w:r w:rsidRPr="00814679">
        <w:rPr>
          <w:color w:val="auto"/>
        </w:rPr>
        <w:t xml:space="preserve">, S., </w:t>
      </w:r>
      <w:proofErr w:type="spellStart"/>
      <w:r w:rsidRPr="00814679">
        <w:rPr>
          <w:color w:val="auto"/>
        </w:rPr>
        <w:t>Waqainabete-Tuisese</w:t>
      </w:r>
      <w:proofErr w:type="spellEnd"/>
      <w:r w:rsidRPr="00814679">
        <w:rPr>
          <w:color w:val="auto"/>
        </w:rPr>
        <w:t xml:space="preserve">, S., &amp; Kennedy, B. (2019). Fijian women’s involvement in coastal fisheries: A socioeconomic study of fisherwomen from Matuku, Moala and </w:t>
      </w:r>
      <w:proofErr w:type="spellStart"/>
      <w:r w:rsidRPr="00814679">
        <w:rPr>
          <w:color w:val="auto"/>
        </w:rPr>
        <w:t>Totoya</w:t>
      </w:r>
      <w:proofErr w:type="spellEnd"/>
      <w:r w:rsidRPr="00814679">
        <w:rPr>
          <w:color w:val="auto"/>
        </w:rPr>
        <w:t xml:space="preserve"> islands (Lau Seascape). Women in Fisheries Information Bulletin, 29, 4-10.</w:t>
      </w:r>
    </w:p>
    <w:p w14:paraId="02577604" w14:textId="5D810A54" w:rsidR="00780F05" w:rsidRPr="00814679" w:rsidRDefault="00EA7FE2" w:rsidP="00C41DEE">
      <w:pPr>
        <w:ind w:left="567" w:hanging="567"/>
        <w:rPr>
          <w:color w:val="auto"/>
        </w:rPr>
      </w:pPr>
      <w:r w:rsidRPr="00814679">
        <w:rPr>
          <w:color w:val="auto"/>
        </w:rPr>
        <w:t xml:space="preserve">Young, H., &amp; Goldman, L. (Eds.). (2015). Livelihoods, natural resources, and post-conflict peacebuilding. Routledge. </w:t>
      </w:r>
      <w:hyperlink r:id="rId52" w:history="1">
        <w:r w:rsidR="00675511" w:rsidRPr="00814679">
          <w:rPr>
            <w:rStyle w:val="Hyperlink"/>
            <w:color w:val="auto"/>
          </w:rPr>
          <w:t>https://www.peiglobal.org/sites/pei/themes/pei/kc_files/Goldman%202010.pdf</w:t>
        </w:r>
      </w:hyperlink>
      <w:r w:rsidR="00675511" w:rsidRPr="00814679">
        <w:rPr>
          <w:color w:val="auto"/>
        </w:rPr>
        <w:t xml:space="preserve"> </w:t>
      </w:r>
    </w:p>
    <w:sectPr w:rsidR="00780F05" w:rsidRPr="00814679" w:rsidSect="00D37127">
      <w:footerReference w:type="default" r:id="rId53"/>
      <w:footerReference w:type="first" r:id="rId54"/>
      <w:pgSz w:w="11906" w:h="16838" w:code="9"/>
      <w:pgMar w:top="1814" w:right="1134" w:bottom="1134" w:left="1134" w:header="851" w:footer="454" w:gutter="0"/>
      <w:pgBorders w:offsetFrom="page">
        <w:top w:val="single" w:sz="36" w:space="0" w:color="1D336D" w:themeColor="background2"/>
        <w:left w:val="single" w:sz="36" w:space="0" w:color="1D336D" w:themeColor="background2"/>
        <w:bottom w:val="single" w:sz="36" w:space="0" w:color="1D336D" w:themeColor="background2"/>
        <w:right w:val="single" w:sz="36" w:space="0" w:color="1D336D" w:themeColor="background2"/>
      </w:pgBorders>
      <w:cols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3C4DD4" w14:textId="77777777" w:rsidR="00592E07" w:rsidRDefault="00592E07" w:rsidP="00473290">
      <w:r>
        <w:separator/>
      </w:r>
    </w:p>
  </w:endnote>
  <w:endnote w:type="continuationSeparator" w:id="0">
    <w:p w14:paraId="389ED10E" w14:textId="77777777" w:rsidR="00592E07" w:rsidRDefault="00592E07" w:rsidP="00473290">
      <w:r>
        <w:continuationSeparator/>
      </w:r>
    </w:p>
  </w:endnote>
  <w:endnote w:type="continuationNotice" w:id="1">
    <w:p w14:paraId="4CB72B31" w14:textId="77777777" w:rsidR="00592E07" w:rsidRDefault="00592E0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rpid C1 SCd Regular">
    <w:altName w:val="Arial"/>
    <w:charset w:val="00"/>
    <w:family w:val="swiss"/>
    <w:pitch w:val="variable"/>
    <w:sig w:usb0="A00000EF" w:usb1="5000205B" w:usb2="00000000" w:usb3="00000000" w:csb0="0000009B"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04571" w14:textId="77777777" w:rsidR="00A5739C" w:rsidRDefault="00A5739C" w:rsidP="009D07D2">
    <w:pPr>
      <w:pStyle w:val="Footer"/>
    </w:pPr>
  </w:p>
  <w:p w14:paraId="18F4A704" w14:textId="77777777" w:rsidR="00A5739C" w:rsidRDefault="00A5739C" w:rsidP="009D07D2">
    <w:pPr>
      <w:pStyle w:val="Footer"/>
    </w:pPr>
  </w:p>
  <w:p w14:paraId="7CB8094F" w14:textId="77777777" w:rsidR="00A5739C" w:rsidRDefault="00A5739C" w:rsidP="009D07D2">
    <w:pPr>
      <w:pStyle w:val="Footer"/>
    </w:pPr>
  </w:p>
  <w:p w14:paraId="3B4A1921" w14:textId="77777777" w:rsidR="00A5739C" w:rsidRDefault="00A5739C" w:rsidP="009D07D2">
    <w:pPr>
      <w:pStyle w:val="Footer"/>
    </w:pPr>
  </w:p>
  <w:p w14:paraId="24B2E387" w14:textId="77777777" w:rsidR="00A5739C" w:rsidRDefault="00A5739C" w:rsidP="009D07D2">
    <w:pPr>
      <w:pStyle w:val="Footer"/>
    </w:pPr>
  </w:p>
  <w:tbl>
    <w:tblPr>
      <w:tblStyle w:val="PlainGridBlack"/>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5739C" w14:paraId="1A567B65" w14:textId="77777777" w:rsidTr="009D07D2">
      <w:tc>
        <w:tcPr>
          <w:tcW w:w="9638" w:type="dxa"/>
        </w:tcPr>
        <w:p w14:paraId="7DCF7207" w14:textId="77777777" w:rsidR="00A5739C" w:rsidRDefault="00E33AEB" w:rsidP="009D07D2">
          <w:pPr>
            <w:pStyle w:val="Footer"/>
          </w:pPr>
          <w:r>
            <w:rPr>
              <w:noProof/>
            </w:rPr>
            <w:drawing>
              <wp:inline distT="0" distB="0" distL="0" distR="0" wp14:anchorId="1E2A18FD" wp14:editId="57F44889">
                <wp:extent cx="1815057" cy="660983"/>
                <wp:effectExtent l="0" t="0" r="0" b="6350"/>
                <wp:docPr id="1986220899" name="Picture 19862208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220899" name="Picture 1986220899">
                          <a:extLst>
                            <a:ext uri="{C183D7F6-B498-43B3-948B-1728B52AA6E4}">
                              <adec:decorative xmlns:adec="http://schemas.microsoft.com/office/drawing/2017/decorative" val="1"/>
                            </a:ext>
                          </a:extLst>
                        </pic:cNvPr>
                        <pic:cNvPicPr/>
                      </pic:nvPicPr>
                      <pic:blipFill>
                        <a:blip r:embed="rId1"/>
                        <a:stretch>
                          <a:fillRect/>
                        </a:stretch>
                      </pic:blipFill>
                      <pic:spPr>
                        <a:xfrm>
                          <a:off x="0" y="0"/>
                          <a:ext cx="1815057" cy="660983"/>
                        </a:xfrm>
                        <a:prstGeom prst="rect">
                          <a:avLst/>
                        </a:prstGeom>
                      </pic:spPr>
                    </pic:pic>
                  </a:graphicData>
                </a:graphic>
              </wp:inline>
            </w:drawing>
          </w:r>
        </w:p>
      </w:tc>
    </w:tr>
  </w:tbl>
  <w:p w14:paraId="02C8871F" w14:textId="77777777" w:rsidR="00A5739C" w:rsidRDefault="00A5739C" w:rsidP="009D07D2">
    <w:pPr>
      <w:pStyle w:val="Footer"/>
    </w:pPr>
  </w:p>
  <w:p w14:paraId="61F450EE" w14:textId="77777777" w:rsidR="00A5739C" w:rsidRPr="009D07D2" w:rsidRDefault="00A5739C" w:rsidP="009D07D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B79B0" w14:textId="77777777" w:rsidR="00A5739C" w:rsidRDefault="00A5739C" w:rsidP="0099396E">
    <w:pPr>
      <w:pStyle w:val="Footer"/>
      <w:jc w:val="right"/>
    </w:pPr>
    <w:r>
      <w:rPr>
        <w:noProof/>
      </w:rPr>
      <mc:AlternateContent>
        <mc:Choice Requires="wpg">
          <w:drawing>
            <wp:anchor distT="0" distB="0" distL="114300" distR="114300" simplePos="0" relativeHeight="251658241" behindDoc="1" locked="0" layoutInCell="1" allowOverlap="1" wp14:anchorId="6F2A16EB" wp14:editId="65D70694">
              <wp:simplePos x="0" y="0"/>
              <wp:positionH relativeFrom="page">
                <wp:align>right</wp:align>
              </wp:positionH>
              <wp:positionV relativeFrom="paragraph">
                <wp:posOffset>-3974858</wp:posOffset>
              </wp:positionV>
              <wp:extent cx="7596000" cy="6348248"/>
              <wp:effectExtent l="0" t="0" r="5080" b="0"/>
              <wp:wrapNone/>
              <wp:docPr id="6" name="Group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6000" cy="6348248"/>
                        <a:chOff x="-16713" y="533"/>
                        <a:chExt cx="7562648" cy="6348248"/>
                      </a:xfrm>
                    </wpg:grpSpPr>
                    <wps:wsp>
                      <wps:cNvPr id="3" name="Rectangle 3"/>
                      <wps:cNvSpPr/>
                      <wps:spPr>
                        <a:xfrm>
                          <a:off x="-1" y="1333133"/>
                          <a:ext cx="7545935" cy="501564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ight Triangle 4"/>
                      <wps:cNvSpPr/>
                      <wps:spPr>
                        <a:xfrm flipH="1">
                          <a:off x="-16713" y="533"/>
                          <a:ext cx="7562648" cy="133261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8B8938" id="Group 6" o:spid="_x0000_s1026" alt="&quot;&quot;" style="position:absolute;margin-left:546.9pt;margin-top:-313pt;width:598.1pt;height:499.85pt;z-index:-251658239;mso-position-horizontal:right;mso-position-horizontal-relative:page;mso-width-relative:margin;mso-height-relative:margin" coordorigin="-167,5" coordsize="75626,63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">
              <v:rect id="Rectangle 3" o:spid="_x0000_s1027" style="position:absolute;top:13331;width:75459;height:50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" fillcolor="white [3212]" stroked="f" strokeweight="2pt"/>
              <v:shapetype id="_x0000_t6" coordsize="21600,21600" o:spt="6" path="m,l,21600r21600,xe">
                <v:stroke joinstyle="miter"/>
                <v:path gradientshapeok="t" o:connecttype="custom" o:connectlocs="0,0;0,10800;0,21600;10800,21600;21600,21600;10800,10800" textboxrect="1800,12600,12600,19800"/>
              </v:shapetype>
              <v:shape id="Right Triangle 4" o:spid="_x0000_s1028" type="#_x0000_t6" style="position:absolute;left:-167;top:5;width:75626;height:1332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" fillcolor="white [3212]" stroked="f" strokeweight="2pt"/>
              <w10:wrap anchorx="page"/>
            </v:group>
          </w:pict>
        </mc:Fallback>
      </mc:AlternateContent>
    </w:r>
    <w:r w:rsidR="00E33AEB">
      <w:rPr>
        <w:noProof/>
      </w:rPr>
      <w:drawing>
        <wp:inline distT="0" distB="0" distL="0" distR="0" wp14:anchorId="6750E333" wp14:editId="07740943">
          <wp:extent cx="2057142" cy="745714"/>
          <wp:effectExtent l="0" t="0" r="635" b="0"/>
          <wp:docPr id="1583638740" name="Picture 15836387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38740" name="Picture 1583638740">
                    <a:extLst>
                      <a:ext uri="{C183D7F6-B498-43B3-948B-1728B52AA6E4}">
                        <adec:decorative xmlns:adec="http://schemas.microsoft.com/office/drawing/2017/decorative" val="1"/>
                      </a:ext>
                    </a:extLst>
                  </pic:cNvPr>
                  <pic:cNvPicPr/>
                </pic:nvPicPr>
                <pic:blipFill>
                  <a:blip r:embed="rId1"/>
                  <a:stretch>
                    <a:fillRect/>
                  </a:stretch>
                </pic:blipFill>
                <pic:spPr>
                  <a:xfrm>
                    <a:off x="0" y="0"/>
                    <a:ext cx="2057142" cy="745714"/>
                  </a:xfrm>
                  <a:prstGeom prst="rect">
                    <a:avLst/>
                  </a:prstGeom>
                </pic:spPr>
              </pic:pic>
            </a:graphicData>
          </a:graphic>
        </wp:inline>
      </w:drawing>
    </w:r>
  </w:p>
  <w:p w14:paraId="33D8159A" w14:textId="77777777" w:rsidR="00A5739C" w:rsidRDefault="00A5739C" w:rsidP="0099396E">
    <w:pPr>
      <w:pStyle w:val="Footer"/>
      <w:jc w:val="right"/>
    </w:pPr>
  </w:p>
  <w:p w14:paraId="03C1856C" w14:textId="77777777" w:rsidR="00A5739C" w:rsidRPr="0040094A" w:rsidRDefault="00A5739C" w:rsidP="0099396E">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113" w:type="dxa"/>
        <w:left w:w="0" w:type="dxa"/>
        <w:right w:w="0" w:type="dxa"/>
      </w:tblCellMar>
      <w:tblLook w:val="04A0" w:firstRow="1" w:lastRow="0" w:firstColumn="1" w:lastColumn="0" w:noHBand="0" w:noVBand="1"/>
    </w:tblPr>
    <w:tblGrid>
      <w:gridCol w:w="7516"/>
      <w:gridCol w:w="2122"/>
    </w:tblGrid>
    <w:tr w:rsidR="00A5739C" w14:paraId="52BC5B60" w14:textId="77777777" w:rsidTr="00550ABE">
      <w:tc>
        <w:tcPr>
          <w:tcW w:w="3899" w:type="pct"/>
        </w:tcPr>
        <w:p w14:paraId="381815C8" w14:textId="3F585D2F" w:rsidR="00A5739C" w:rsidRPr="00F37B76" w:rsidRDefault="00670D14" w:rsidP="00550ABE">
          <w:pPr>
            <w:pStyle w:val="Footer"/>
          </w:pPr>
          <w:r>
            <w:fldChar w:fldCharType="begin"/>
          </w:r>
          <w:r>
            <w:instrText xml:space="preserve"> STYLEREF  "Cover Title" </w:instrText>
          </w:r>
          <w:r w:rsidR="00746349">
            <w:fldChar w:fldCharType="separate"/>
          </w:r>
          <w:r w:rsidR="00724180">
            <w:rPr>
              <w:noProof/>
            </w:rPr>
            <w:t>Nature-based Solutions Evaluation</w:t>
          </w:r>
          <w:r>
            <w:rPr>
              <w:noProof/>
            </w:rPr>
            <w:fldChar w:fldCharType="end"/>
          </w:r>
          <w:r w:rsidR="00A5739C">
            <w:t xml:space="preserve"> </w:t>
          </w:r>
          <w:r w:rsidR="00A5739C" w:rsidRPr="00082288">
            <w:t>|</w:t>
          </w:r>
          <w:r w:rsidR="00A5739C">
            <w:t xml:space="preserve"> </w:t>
          </w:r>
          <w:r>
            <w:fldChar w:fldCharType="begin"/>
          </w:r>
          <w:r>
            <w:instrText xml:space="preserve"> STYLEREF  "Cover Subtitle" </w:instrText>
          </w:r>
          <w:r>
            <w:fldChar w:fldCharType="separate"/>
          </w:r>
          <w:r w:rsidR="00724180">
            <w:rPr>
              <w:noProof/>
            </w:rPr>
            <w:t>Evaluation Report</w:t>
          </w:r>
          <w:r>
            <w:rPr>
              <w:noProof/>
            </w:rPr>
            <w:fldChar w:fldCharType="end"/>
          </w:r>
        </w:p>
      </w:tc>
      <w:tc>
        <w:tcPr>
          <w:tcW w:w="1101" w:type="pct"/>
          <w:vAlign w:val="bottom"/>
        </w:tcPr>
        <w:p w14:paraId="2D369BD6" w14:textId="5EEEECFD" w:rsidR="00A5739C" w:rsidRPr="00DB6F99" w:rsidRDefault="00A5739C" w:rsidP="00550ABE">
          <w:pPr>
            <w:pStyle w:val="Footer"/>
            <w:jc w:val="right"/>
            <w:rPr>
              <w:i/>
            </w:rPr>
          </w:pPr>
          <w:r w:rsidRPr="00DB6F99">
            <w:t xml:space="preserve">Page </w:t>
          </w:r>
          <w:r w:rsidRPr="00DB6F99">
            <w:rPr>
              <w:i/>
            </w:rPr>
            <w:fldChar w:fldCharType="begin"/>
          </w:r>
          <w:r w:rsidRPr="00DB6F99">
            <w:instrText xml:space="preserve"> PAGE  \* Arabic </w:instrText>
          </w:r>
          <w:r w:rsidRPr="00DB6F99">
            <w:rPr>
              <w:i/>
            </w:rPr>
            <w:fldChar w:fldCharType="separate"/>
          </w:r>
          <w:r>
            <w:rPr>
              <w:i/>
            </w:rPr>
            <w:t>4</w:t>
          </w:r>
          <w:r w:rsidRPr="00DB6F99">
            <w:rPr>
              <w:i/>
            </w:rPr>
            <w:fldChar w:fldCharType="end"/>
          </w:r>
          <w:r w:rsidRPr="00DB6F99">
            <w:t xml:space="preserve"> of </w:t>
          </w:r>
          <w:r w:rsidR="00670D14">
            <w:fldChar w:fldCharType="begin"/>
          </w:r>
          <w:r w:rsidR="00670D14">
            <w:instrText xml:space="preserve"> NUMPAGES  \* Arabic </w:instrText>
          </w:r>
          <w:r w:rsidR="00670D14">
            <w:fldChar w:fldCharType="separate"/>
          </w:r>
          <w:r>
            <w:t>4</w:t>
          </w:r>
          <w:r w:rsidR="00670D14">
            <w:fldChar w:fldCharType="end"/>
          </w:r>
        </w:p>
      </w:tc>
    </w:tr>
  </w:tbl>
  <w:p w14:paraId="1F0A5E00" w14:textId="77777777" w:rsidR="00A5739C" w:rsidRPr="0040094A" w:rsidRDefault="00A5739C" w:rsidP="0040094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113" w:type="dxa"/>
        <w:left w:w="0" w:type="dxa"/>
        <w:right w:w="0" w:type="dxa"/>
      </w:tblCellMar>
      <w:tblLook w:val="04A0" w:firstRow="1" w:lastRow="0" w:firstColumn="1" w:lastColumn="0" w:noHBand="0" w:noVBand="1"/>
    </w:tblPr>
    <w:tblGrid>
      <w:gridCol w:w="7516"/>
      <w:gridCol w:w="2122"/>
    </w:tblGrid>
    <w:tr w:rsidR="00A5739C" w14:paraId="3A98EBF3" w14:textId="0B334D0A" w:rsidTr="009D07D2">
      <w:tc>
        <w:tcPr>
          <w:tcW w:w="3899" w:type="pct"/>
        </w:tcPr>
        <w:p w14:paraId="67E2E614" w14:textId="77777777" w:rsidR="00A5739C" w:rsidRPr="00F37B76" w:rsidRDefault="00A5739C" w:rsidP="009D07D2">
          <w:pPr>
            <w:pStyle w:val="Footer"/>
          </w:pPr>
        </w:p>
      </w:tc>
      <w:tc>
        <w:tcPr>
          <w:tcW w:w="1101" w:type="pct"/>
          <w:vAlign w:val="bottom"/>
        </w:tcPr>
        <w:p w14:paraId="06A1805C" w14:textId="77777777" w:rsidR="00A5739C" w:rsidRPr="00DB6F99" w:rsidRDefault="00A5739C" w:rsidP="009D07D2">
          <w:pPr>
            <w:pStyle w:val="Footer"/>
            <w:jc w:val="right"/>
            <w:rPr>
              <w:i/>
            </w:rPr>
          </w:pPr>
        </w:p>
      </w:tc>
    </w:tr>
  </w:tbl>
  <w:p w14:paraId="475E7248" w14:textId="77777777" w:rsidR="00A5739C" w:rsidRPr="009D07D2" w:rsidRDefault="00A5739C" w:rsidP="009D07D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113" w:type="dxa"/>
        <w:left w:w="0" w:type="dxa"/>
        <w:right w:w="0" w:type="dxa"/>
      </w:tblCellMar>
      <w:tblLook w:val="04A0" w:firstRow="1" w:lastRow="0" w:firstColumn="1" w:lastColumn="0" w:noHBand="0" w:noVBand="1"/>
    </w:tblPr>
    <w:tblGrid>
      <w:gridCol w:w="7516"/>
      <w:gridCol w:w="2122"/>
    </w:tblGrid>
    <w:tr w:rsidR="00A5739C" w14:paraId="174C9E58" w14:textId="77777777" w:rsidTr="007A2690">
      <w:tc>
        <w:tcPr>
          <w:tcW w:w="3899" w:type="pct"/>
        </w:tcPr>
        <w:p w14:paraId="479A324E" w14:textId="54EC9F71" w:rsidR="00A5739C" w:rsidRPr="00F37B76" w:rsidRDefault="00670D14" w:rsidP="007A2690">
          <w:pPr>
            <w:pStyle w:val="Footer"/>
          </w:pPr>
          <w:r>
            <w:fldChar w:fldCharType="begin"/>
          </w:r>
          <w:r>
            <w:instrText xml:space="preserve"> STYLEREF  "Cover Title" </w:instrText>
          </w:r>
          <w:r w:rsidR="00746349">
            <w:fldChar w:fldCharType="separate"/>
          </w:r>
          <w:r w:rsidR="00724180">
            <w:rPr>
              <w:noProof/>
            </w:rPr>
            <w:t>Nature-based Solutions Evaluation</w:t>
          </w:r>
          <w:r>
            <w:rPr>
              <w:noProof/>
            </w:rPr>
            <w:fldChar w:fldCharType="end"/>
          </w:r>
          <w:r w:rsidR="00A5739C">
            <w:t xml:space="preserve"> </w:t>
          </w:r>
          <w:r w:rsidR="00A5739C" w:rsidRPr="00082288">
            <w:t>|</w:t>
          </w:r>
          <w:r w:rsidR="00A5739C">
            <w:t xml:space="preserve"> </w:t>
          </w:r>
          <w:r>
            <w:fldChar w:fldCharType="begin"/>
          </w:r>
          <w:r>
            <w:instrText xml:space="preserve"> STYLEREF  "Cover Subtitle" </w:instrText>
          </w:r>
          <w:r>
            <w:fldChar w:fldCharType="separate"/>
          </w:r>
          <w:r w:rsidR="00724180">
            <w:rPr>
              <w:noProof/>
            </w:rPr>
            <w:t>Evaluation Report</w:t>
          </w:r>
          <w:r>
            <w:rPr>
              <w:noProof/>
            </w:rPr>
            <w:fldChar w:fldCharType="end"/>
          </w:r>
        </w:p>
      </w:tc>
      <w:tc>
        <w:tcPr>
          <w:tcW w:w="1101" w:type="pct"/>
          <w:vAlign w:val="bottom"/>
        </w:tcPr>
        <w:p w14:paraId="23052441" w14:textId="77777777" w:rsidR="00A5739C" w:rsidRPr="00BC70CC" w:rsidRDefault="00A5739C" w:rsidP="007A2690">
          <w:pPr>
            <w:pStyle w:val="Footer"/>
            <w:jc w:val="right"/>
            <w:rPr>
              <w:i/>
              <w:caps/>
              <w:color w:val="auto"/>
              <w:sz w:val="20"/>
              <w:szCs w:val="20"/>
            </w:rPr>
          </w:pPr>
          <w:r w:rsidRPr="00BC70CC">
            <w:rPr>
              <w:caps/>
              <w:color w:val="auto"/>
              <w:sz w:val="20"/>
              <w:szCs w:val="20"/>
            </w:rPr>
            <w:t xml:space="preserve">Page </w:t>
          </w:r>
          <w:r w:rsidRPr="00BC70CC">
            <w:rPr>
              <w:i/>
              <w:caps/>
              <w:color w:val="auto"/>
              <w:sz w:val="20"/>
              <w:szCs w:val="20"/>
            </w:rPr>
            <w:fldChar w:fldCharType="begin"/>
          </w:r>
          <w:r w:rsidRPr="00BC70CC">
            <w:rPr>
              <w:caps/>
              <w:color w:val="auto"/>
              <w:sz w:val="20"/>
              <w:szCs w:val="20"/>
            </w:rPr>
            <w:instrText xml:space="preserve"> PAGE  \* Arabic </w:instrText>
          </w:r>
          <w:r w:rsidRPr="00BC70CC">
            <w:rPr>
              <w:i/>
              <w:caps/>
              <w:color w:val="auto"/>
              <w:sz w:val="20"/>
              <w:szCs w:val="20"/>
            </w:rPr>
            <w:fldChar w:fldCharType="separate"/>
          </w:r>
          <w:r w:rsidRPr="00BC70CC">
            <w:rPr>
              <w:i/>
              <w:caps/>
              <w:color w:val="auto"/>
              <w:sz w:val="20"/>
              <w:szCs w:val="20"/>
            </w:rPr>
            <w:t>4</w:t>
          </w:r>
          <w:r w:rsidRPr="00BC70CC">
            <w:rPr>
              <w:i/>
              <w:caps/>
              <w:color w:val="auto"/>
              <w:sz w:val="20"/>
              <w:szCs w:val="20"/>
            </w:rPr>
            <w:fldChar w:fldCharType="end"/>
          </w:r>
          <w:r w:rsidRPr="00BC70CC">
            <w:rPr>
              <w:caps/>
              <w:color w:val="auto"/>
              <w:sz w:val="20"/>
              <w:szCs w:val="20"/>
            </w:rPr>
            <w:t xml:space="preserve"> of </w:t>
          </w:r>
          <w:r w:rsidRPr="00BC70CC">
            <w:rPr>
              <w:caps/>
              <w:color w:val="auto"/>
              <w:sz w:val="20"/>
              <w:szCs w:val="20"/>
            </w:rPr>
            <w:fldChar w:fldCharType="begin"/>
          </w:r>
          <w:r w:rsidRPr="00BC70CC">
            <w:rPr>
              <w:caps/>
              <w:color w:val="auto"/>
              <w:sz w:val="20"/>
              <w:szCs w:val="20"/>
            </w:rPr>
            <w:instrText xml:space="preserve"> NUMPAGES  \* Arabic </w:instrText>
          </w:r>
          <w:r w:rsidRPr="00BC70CC">
            <w:rPr>
              <w:caps/>
              <w:color w:val="auto"/>
              <w:sz w:val="20"/>
              <w:szCs w:val="20"/>
            </w:rPr>
            <w:fldChar w:fldCharType="separate"/>
          </w:r>
          <w:r w:rsidRPr="00BC70CC">
            <w:rPr>
              <w:caps/>
              <w:color w:val="auto"/>
              <w:sz w:val="20"/>
              <w:szCs w:val="20"/>
            </w:rPr>
            <w:t>4</w:t>
          </w:r>
          <w:r w:rsidRPr="00BC70CC">
            <w:rPr>
              <w:caps/>
              <w:color w:val="auto"/>
              <w:sz w:val="20"/>
              <w:szCs w:val="20"/>
            </w:rPr>
            <w:fldChar w:fldCharType="end"/>
          </w:r>
        </w:p>
      </w:tc>
    </w:tr>
  </w:tbl>
  <w:p w14:paraId="71634971" w14:textId="77777777" w:rsidR="00A5739C" w:rsidRPr="0040094A" w:rsidRDefault="00A5739C" w:rsidP="0040094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113" w:type="dxa"/>
        <w:left w:w="0" w:type="dxa"/>
        <w:right w:w="0" w:type="dxa"/>
      </w:tblCellMar>
      <w:tblLook w:val="04A0" w:firstRow="1" w:lastRow="0" w:firstColumn="1" w:lastColumn="0" w:noHBand="0" w:noVBand="1"/>
    </w:tblPr>
    <w:tblGrid>
      <w:gridCol w:w="7516"/>
      <w:gridCol w:w="2122"/>
    </w:tblGrid>
    <w:tr w:rsidR="00A5739C" w14:paraId="18BCF68D" w14:textId="77777777" w:rsidTr="009D07D2">
      <w:tc>
        <w:tcPr>
          <w:tcW w:w="3899" w:type="pct"/>
        </w:tcPr>
        <w:p w14:paraId="30106188" w14:textId="77777777" w:rsidR="00A5739C" w:rsidRPr="00F37B76" w:rsidRDefault="00A5739C" w:rsidP="009D07D2">
          <w:pPr>
            <w:pStyle w:val="Footer"/>
          </w:pPr>
        </w:p>
      </w:tc>
      <w:tc>
        <w:tcPr>
          <w:tcW w:w="1101" w:type="pct"/>
          <w:vAlign w:val="bottom"/>
        </w:tcPr>
        <w:p w14:paraId="7F7A7A91" w14:textId="77777777" w:rsidR="00A5739C" w:rsidRPr="00DB6F99" w:rsidRDefault="00A5739C" w:rsidP="009D07D2">
          <w:pPr>
            <w:pStyle w:val="Footer"/>
            <w:jc w:val="right"/>
            <w:rPr>
              <w:i/>
            </w:rPr>
          </w:pPr>
        </w:p>
      </w:tc>
    </w:tr>
  </w:tbl>
  <w:p w14:paraId="244B4C07" w14:textId="77777777" w:rsidR="00A5739C" w:rsidRPr="009D07D2" w:rsidRDefault="00A5739C" w:rsidP="009D07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9F64B6" w14:textId="77777777" w:rsidR="00592E07" w:rsidRPr="003337B3" w:rsidRDefault="00592E07" w:rsidP="003337B3">
      <w:pPr>
        <w:pStyle w:val="FootnoteText"/>
        <w:rPr>
          <w:color w:val="1D336D" w:themeColor="background2"/>
        </w:rPr>
      </w:pPr>
      <w:r w:rsidRPr="003337B3">
        <w:rPr>
          <w:color w:val="1D336D" w:themeColor="background2"/>
        </w:rPr>
        <w:separator/>
      </w:r>
    </w:p>
  </w:footnote>
  <w:footnote w:type="continuationSeparator" w:id="0">
    <w:p w14:paraId="151AED56" w14:textId="77777777" w:rsidR="00592E07" w:rsidRPr="003337B3" w:rsidRDefault="00592E07" w:rsidP="003337B3">
      <w:pPr>
        <w:pStyle w:val="FootnoteText"/>
        <w:rPr>
          <w:color w:val="1D336D" w:themeColor="background2"/>
        </w:rPr>
      </w:pPr>
      <w:r w:rsidRPr="003337B3">
        <w:rPr>
          <w:color w:val="1D336D" w:themeColor="background2"/>
        </w:rPr>
        <w:continuationSeparator/>
      </w:r>
    </w:p>
  </w:footnote>
  <w:footnote w:type="continuationNotice" w:id="1">
    <w:p w14:paraId="05259F69" w14:textId="77777777" w:rsidR="00592E07" w:rsidRDefault="00592E07" w:rsidP="003337B3">
      <w:pPr>
        <w:pStyle w:val="FootnoteText"/>
      </w:pPr>
    </w:p>
  </w:footnote>
  <w:footnote w:id="2">
    <w:p w14:paraId="4D48B9BD" w14:textId="6822153A" w:rsidR="005A188C" w:rsidRPr="000463B6" w:rsidRDefault="005A188C">
      <w:pPr>
        <w:pStyle w:val="FootnoteText"/>
        <w:rPr>
          <w:rStyle w:val="Hyperlink"/>
        </w:rPr>
      </w:pPr>
      <w:r>
        <w:rPr>
          <w:rStyle w:val="FootnoteReference"/>
        </w:rPr>
        <w:footnoteRef/>
      </w:r>
      <w:r>
        <w:t xml:space="preserve"> See</w:t>
      </w:r>
      <w:r w:rsidR="00515206">
        <w:t xml:space="preserve"> Table 10 </w:t>
      </w:r>
      <w:r w:rsidR="00924B8C">
        <w:t>of</w:t>
      </w:r>
      <w:r w:rsidR="00CF4AAF">
        <w:t xml:space="preserve">: </w:t>
      </w:r>
      <w:hyperlink r:id="rId1" w:history="1">
        <w:r w:rsidR="00CF4AAF" w:rsidRPr="00150362">
          <w:rPr>
            <w:rStyle w:val="Hyperlink"/>
          </w:rPr>
          <w:t>Australia’s Official Development Assistance Statistical Summary 2022–23 (dfat.gov.au)</w:t>
        </w:r>
      </w:hyperlink>
    </w:p>
  </w:footnote>
  <w:footnote w:id="3">
    <w:p w14:paraId="4120D313" w14:textId="67712323" w:rsidR="00B55EED" w:rsidRDefault="00B55EED">
      <w:pPr>
        <w:pStyle w:val="FootnoteText"/>
      </w:pPr>
      <w:r>
        <w:rPr>
          <w:rStyle w:val="FootnoteReference"/>
        </w:rPr>
        <w:footnoteRef/>
      </w:r>
      <w:r>
        <w:t xml:space="preserve"> </w:t>
      </w:r>
      <w:r w:rsidRPr="00B55EED">
        <w:t xml:space="preserve">See: </w:t>
      </w:r>
      <w:hyperlink r:id="rId2" w:history="1">
        <w:r w:rsidR="009F23CB">
          <w:rPr>
            <w:rStyle w:val="Hyperlink"/>
          </w:rPr>
          <w:t xml:space="preserve">Australia's International Development Policy </w:t>
        </w:r>
      </w:hyperlink>
      <w:r w:rsidR="009F23CB">
        <w:t xml:space="preserve"> </w:t>
      </w:r>
    </w:p>
  </w:footnote>
  <w:footnote w:id="4">
    <w:p w14:paraId="73813BEC" w14:textId="1C7A8031" w:rsidR="007E16F6" w:rsidRDefault="007E16F6">
      <w:pPr>
        <w:pStyle w:val="FootnoteText"/>
      </w:pPr>
      <w:r>
        <w:rPr>
          <w:rStyle w:val="FootnoteReference"/>
        </w:rPr>
        <w:footnoteRef/>
      </w:r>
      <w:r>
        <w:t xml:space="preserve"> </w:t>
      </w:r>
      <w:proofErr w:type="spellStart"/>
      <w:r w:rsidRPr="007E16F6">
        <w:t>Talanoa</w:t>
      </w:r>
      <w:proofErr w:type="spellEnd"/>
      <w:r w:rsidRPr="007E16F6">
        <w:t xml:space="preserve"> refers to `conversation in a circle’ that allows for the co-production of knowledge. Its application in the evaluation is relevant given the Pacific Island context in which the investments operate in, capturing learning and stories of change from recipients of the program. See</w:t>
      </w:r>
      <w:r w:rsidR="00143F85">
        <w:t>:</w:t>
      </w:r>
      <w:r w:rsidR="00796340">
        <w:t xml:space="preserve"> </w:t>
      </w:r>
      <w:proofErr w:type="spellStart"/>
      <w:r w:rsidR="00796340" w:rsidRPr="00FA4385">
        <w:t>Feetham</w:t>
      </w:r>
      <w:proofErr w:type="spellEnd"/>
      <w:r w:rsidR="00A540D0">
        <w:t xml:space="preserve"> et al.</w:t>
      </w:r>
      <w:r w:rsidR="00796340" w:rsidRPr="00FA4385">
        <w:t xml:space="preserve"> (2023).</w:t>
      </w:r>
    </w:p>
  </w:footnote>
  <w:footnote w:id="5">
    <w:p w14:paraId="1B70F1DE" w14:textId="6F37283F" w:rsidR="00B207D4" w:rsidRDefault="00B207D4">
      <w:pPr>
        <w:pStyle w:val="FootnoteText"/>
      </w:pPr>
      <w:r>
        <w:rPr>
          <w:rStyle w:val="FootnoteReference"/>
        </w:rPr>
        <w:footnoteRef/>
      </w:r>
      <w:r>
        <w:t xml:space="preserve"> See: </w:t>
      </w:r>
      <w:r w:rsidR="006A53AF">
        <w:t xml:space="preserve">IUCN </w:t>
      </w:r>
      <w:r w:rsidR="00F11271" w:rsidRPr="00F11271">
        <w:t>(2020)</w:t>
      </w:r>
    </w:p>
  </w:footnote>
  <w:footnote w:id="6">
    <w:p w14:paraId="2C6EF72D" w14:textId="128A1671" w:rsidR="00A62BF5" w:rsidRDefault="00A62BF5">
      <w:pPr>
        <w:pStyle w:val="FootnoteText"/>
      </w:pPr>
      <w:r>
        <w:rPr>
          <w:rStyle w:val="FootnoteReference"/>
        </w:rPr>
        <w:footnoteRef/>
      </w:r>
      <w:r>
        <w:t xml:space="preserve"> </w:t>
      </w:r>
      <w:r w:rsidR="00E11BFD">
        <w:t xml:space="preserve">See: </w:t>
      </w:r>
      <w:proofErr w:type="spellStart"/>
      <w:r w:rsidR="002D6EE8" w:rsidRPr="002D6EE8">
        <w:t>Galán</w:t>
      </w:r>
      <w:proofErr w:type="spellEnd"/>
      <w:r w:rsidR="002D6EE8">
        <w:t xml:space="preserve"> et al. (2023); and </w:t>
      </w:r>
      <w:r w:rsidR="003E02BA">
        <w:t>Bass</w:t>
      </w:r>
      <w:r w:rsidR="00D81994">
        <w:t>i et al. (2021).</w:t>
      </w:r>
    </w:p>
  </w:footnote>
  <w:footnote w:id="7">
    <w:p w14:paraId="21AB02B3" w14:textId="55176300" w:rsidR="00D83FC9" w:rsidRDefault="00D83FC9">
      <w:pPr>
        <w:pStyle w:val="FootnoteText"/>
      </w:pPr>
      <w:r>
        <w:rPr>
          <w:rStyle w:val="FootnoteReference"/>
        </w:rPr>
        <w:footnoteRef/>
      </w:r>
      <w:r>
        <w:t xml:space="preserve"> </w:t>
      </w:r>
      <w:r w:rsidR="03B8B407">
        <w:t>"Green" in this document refers to the use of vegetative systems. These can be both artificial (in form</w:t>
      </w:r>
      <w:r w:rsidR="0036068E">
        <w:t>s</w:t>
      </w:r>
      <w:r w:rsidR="03B8B407">
        <w:t xml:space="preserve"> that would not appear spontaneously in an undisturbed environment) or natural. </w:t>
      </w:r>
      <w:r w:rsidRPr="00D83FC9">
        <w:t xml:space="preserve">A top-down climate adaptation program is a centrally coordinated initiative (not originating from community-identified priorities) that uses </w:t>
      </w:r>
      <w:r w:rsidR="03B8B407" w:rsidRPr="00D83FC9">
        <w:t>green</w:t>
      </w:r>
      <w:r w:rsidRPr="00D83FC9">
        <w:t xml:space="preserve"> infrastructure to enhance climate change resilience. However, they often overlook prioritising co-benefits such as livelihood support and biodiversity conservation. For example, industrial tree plantations used to sequester carbon primarily focus on climate mitigation and adaptation without intentional planning for community and environmental co-benefits.</w:t>
      </w:r>
    </w:p>
  </w:footnote>
  <w:footnote w:id="8">
    <w:p w14:paraId="48BC2B0C" w14:textId="1BCCA068" w:rsidR="009F38A5" w:rsidRPr="009F38A5" w:rsidRDefault="009F38A5" w:rsidP="005B7649">
      <w:pPr>
        <w:pStyle w:val="FootnoteText"/>
      </w:pPr>
      <w:r w:rsidRPr="00150362">
        <w:rPr>
          <w:rStyle w:val="FootnoteReference"/>
        </w:rPr>
        <w:footnoteRef/>
      </w:r>
      <w:r w:rsidR="006D74C2">
        <w:t xml:space="preserve"> </w:t>
      </w:r>
      <w:r w:rsidR="006D74C2" w:rsidRPr="00365474">
        <w:t>See:</w:t>
      </w:r>
      <w:r>
        <w:t xml:space="preserve"> </w:t>
      </w:r>
      <w:r w:rsidR="0055676D" w:rsidRPr="0055676D">
        <w:t>Pacific Islands Forum</w:t>
      </w:r>
      <w:r w:rsidR="0055676D">
        <w:t xml:space="preserve"> </w:t>
      </w:r>
      <w:r w:rsidR="0055676D" w:rsidRPr="0055676D">
        <w:t>(2021)</w:t>
      </w:r>
    </w:p>
  </w:footnote>
  <w:footnote w:id="9">
    <w:p w14:paraId="4193643C" w14:textId="4A712F02" w:rsidR="00E57BB6" w:rsidRDefault="00E57BB6">
      <w:pPr>
        <w:pStyle w:val="FootnoteText"/>
      </w:pPr>
      <w:r>
        <w:rPr>
          <w:rStyle w:val="FootnoteReference"/>
        </w:rPr>
        <w:footnoteRef/>
      </w:r>
      <w:r>
        <w:t xml:space="preserve"> </w:t>
      </w:r>
      <w:r w:rsidRPr="00712784">
        <w:t>See: UNFCCC (2018)</w:t>
      </w:r>
    </w:p>
  </w:footnote>
  <w:footnote w:id="10">
    <w:p w14:paraId="02CF3B92" w14:textId="4D600398" w:rsidR="001416EB" w:rsidRDefault="001416EB">
      <w:pPr>
        <w:pStyle w:val="FootnoteText"/>
      </w:pPr>
      <w:r>
        <w:rPr>
          <w:rStyle w:val="FootnoteReference"/>
        </w:rPr>
        <w:footnoteRef/>
      </w:r>
      <w:r>
        <w:t xml:space="preserve"> </w:t>
      </w:r>
      <w:r w:rsidR="00C7397A">
        <w:t>See: IUCN (2020)</w:t>
      </w:r>
    </w:p>
  </w:footnote>
  <w:footnote w:id="11">
    <w:p w14:paraId="1469D65A" w14:textId="2630B889" w:rsidR="00CF5F9F" w:rsidRDefault="00CF5F9F">
      <w:pPr>
        <w:pStyle w:val="FootnoteText"/>
      </w:pPr>
      <w:r>
        <w:rPr>
          <w:rStyle w:val="FootnoteReference"/>
        </w:rPr>
        <w:footnoteRef/>
      </w:r>
      <w:r>
        <w:t xml:space="preserve"> For</w:t>
      </w:r>
      <w:r>
        <w:rPr>
          <w:spacing w:val="-3"/>
        </w:rPr>
        <w:t xml:space="preserve"> </w:t>
      </w:r>
      <w:r>
        <w:t>instance,</w:t>
      </w:r>
      <w:r>
        <w:rPr>
          <w:spacing w:val="-1"/>
        </w:rPr>
        <w:t xml:space="preserve"> </w:t>
      </w:r>
      <w:r>
        <w:t>avoiding</w:t>
      </w:r>
      <w:r>
        <w:rPr>
          <w:spacing w:val="-3"/>
        </w:rPr>
        <w:t xml:space="preserve"> </w:t>
      </w:r>
      <w:r>
        <w:t>imported</w:t>
      </w:r>
      <w:r>
        <w:rPr>
          <w:spacing w:val="-3"/>
        </w:rPr>
        <w:t xml:space="preserve"> </w:t>
      </w:r>
      <w:r>
        <w:t>staples</w:t>
      </w:r>
      <w:r>
        <w:rPr>
          <w:spacing w:val="-3"/>
        </w:rPr>
        <w:t xml:space="preserve"> </w:t>
      </w:r>
      <w:r>
        <w:t>and</w:t>
      </w:r>
      <w:r>
        <w:rPr>
          <w:spacing w:val="-3"/>
        </w:rPr>
        <w:t xml:space="preserve"> </w:t>
      </w:r>
      <w:r>
        <w:t>relying</w:t>
      </w:r>
      <w:r>
        <w:rPr>
          <w:spacing w:val="-3"/>
        </w:rPr>
        <w:t xml:space="preserve"> </w:t>
      </w:r>
      <w:r>
        <w:t>on</w:t>
      </w:r>
      <w:r>
        <w:rPr>
          <w:spacing w:val="-3"/>
        </w:rPr>
        <w:t xml:space="preserve"> </w:t>
      </w:r>
      <w:r>
        <w:t>subsistence</w:t>
      </w:r>
      <w:r>
        <w:rPr>
          <w:spacing w:val="-1"/>
        </w:rPr>
        <w:t xml:space="preserve"> </w:t>
      </w:r>
      <w:r>
        <w:t>farming</w:t>
      </w:r>
      <w:r>
        <w:rPr>
          <w:spacing w:val="-3"/>
        </w:rPr>
        <w:t xml:space="preserve"> </w:t>
      </w:r>
      <w:r>
        <w:t>can</w:t>
      </w:r>
      <w:r>
        <w:rPr>
          <w:spacing w:val="-3"/>
        </w:rPr>
        <w:t xml:space="preserve"> </w:t>
      </w:r>
      <w:r>
        <w:t>contribute</w:t>
      </w:r>
      <w:r>
        <w:rPr>
          <w:spacing w:val="-1"/>
        </w:rPr>
        <w:t xml:space="preserve"> </w:t>
      </w:r>
      <w:r>
        <w:t>to</w:t>
      </w:r>
      <w:r>
        <w:rPr>
          <w:spacing w:val="-3"/>
        </w:rPr>
        <w:t xml:space="preserve"> </w:t>
      </w:r>
      <w:r>
        <w:t>improved</w:t>
      </w:r>
      <w:r>
        <w:rPr>
          <w:spacing w:val="-1"/>
        </w:rPr>
        <w:t xml:space="preserve"> </w:t>
      </w:r>
      <w:r>
        <w:t>health</w:t>
      </w:r>
      <w:r>
        <w:rPr>
          <w:spacing w:val="-1"/>
        </w:rPr>
        <w:t xml:space="preserve"> </w:t>
      </w:r>
      <w:r>
        <w:t>outcomes,</w:t>
      </w:r>
      <w:r>
        <w:rPr>
          <w:spacing w:val="-3"/>
        </w:rPr>
        <w:t xml:space="preserve"> </w:t>
      </w:r>
      <w:r>
        <w:t>reducing</w:t>
      </w:r>
      <w:r>
        <w:rPr>
          <w:spacing w:val="-1"/>
        </w:rPr>
        <w:t xml:space="preserve"> </w:t>
      </w:r>
      <w:r>
        <w:t>the</w:t>
      </w:r>
      <w:r>
        <w:rPr>
          <w:spacing w:val="-3"/>
        </w:rPr>
        <w:t xml:space="preserve"> </w:t>
      </w:r>
      <w:r>
        <w:t>prevalence</w:t>
      </w:r>
      <w:r>
        <w:rPr>
          <w:spacing w:val="-1"/>
        </w:rPr>
        <w:t xml:space="preserve"> </w:t>
      </w:r>
      <w:r>
        <w:t>of</w:t>
      </w:r>
      <w:r>
        <w:rPr>
          <w:spacing w:val="-1"/>
        </w:rPr>
        <w:t xml:space="preserve"> </w:t>
      </w:r>
      <w:r>
        <w:t>non-</w:t>
      </w:r>
      <w:r>
        <w:rPr>
          <w:spacing w:val="40"/>
        </w:rPr>
        <w:t xml:space="preserve"> </w:t>
      </w:r>
      <w:r>
        <w:t>communicable diseases such as diabetes; The utilisation of funds generated from carbon credits to cover annual school fees has the potential to yield</w:t>
      </w:r>
      <w:r>
        <w:rPr>
          <w:spacing w:val="40"/>
        </w:rPr>
        <w:t xml:space="preserve"> </w:t>
      </w:r>
      <w:r>
        <w:t>positive educational outcomes.</w:t>
      </w:r>
    </w:p>
  </w:footnote>
  <w:footnote w:id="12">
    <w:p w14:paraId="3BDE526B" w14:textId="0033B66B" w:rsidR="00DE6EFB" w:rsidRDefault="00DE6EFB">
      <w:pPr>
        <w:pStyle w:val="FootnoteText"/>
      </w:pPr>
      <w:r>
        <w:rPr>
          <w:rStyle w:val="FootnoteReference"/>
        </w:rPr>
        <w:footnoteRef/>
      </w:r>
      <w:r>
        <w:t xml:space="preserve"> See: Agreement, P (2015)</w:t>
      </w:r>
    </w:p>
  </w:footnote>
  <w:footnote w:id="13">
    <w:p w14:paraId="2F71B892" w14:textId="03F63146" w:rsidR="004F3F84" w:rsidRDefault="004F3F84">
      <w:pPr>
        <w:pStyle w:val="FootnoteText"/>
      </w:pPr>
      <w:r>
        <w:rPr>
          <w:rStyle w:val="FootnoteReference"/>
        </w:rPr>
        <w:footnoteRef/>
      </w:r>
      <w:r>
        <w:t xml:space="preserve"> See: </w:t>
      </w:r>
      <w:hyperlink r:id="rId3" w:history="1">
        <w:r w:rsidRPr="00D65AE8">
          <w:rPr>
            <w:rStyle w:val="Hyperlink"/>
          </w:rPr>
          <w:t>https://www.planvivo.org/</w:t>
        </w:r>
      </w:hyperlink>
      <w:r>
        <w:t xml:space="preserve"> </w:t>
      </w:r>
    </w:p>
  </w:footnote>
  <w:footnote w:id="14">
    <w:p w14:paraId="3D5642A5" w14:textId="32C45B2B" w:rsidR="00C50CDB" w:rsidRDefault="00C50CDB">
      <w:pPr>
        <w:pStyle w:val="FootnoteText"/>
      </w:pPr>
      <w:r>
        <w:rPr>
          <w:rStyle w:val="FootnoteReference"/>
        </w:rPr>
        <w:footnoteRef/>
      </w:r>
      <w:r>
        <w:t xml:space="preserve"> See: Commonwealth of Australia (2022)</w:t>
      </w:r>
    </w:p>
  </w:footnote>
  <w:footnote w:id="15">
    <w:p w14:paraId="0E91E8C4" w14:textId="3C283A27" w:rsidR="000A32D1" w:rsidRDefault="000A32D1">
      <w:pPr>
        <w:pStyle w:val="FootnoteText"/>
      </w:pPr>
      <w:r>
        <w:rPr>
          <w:rStyle w:val="FootnoteReference"/>
        </w:rPr>
        <w:footnoteRef/>
      </w:r>
      <w:r>
        <w:t xml:space="preserve"> </w:t>
      </w:r>
      <w:r w:rsidRPr="000A32D1">
        <w:t xml:space="preserve">Grey infrastructure refers to human-made structures such as roads and buildings, whereas </w:t>
      </w:r>
      <w:proofErr w:type="spellStart"/>
      <w:r w:rsidRPr="000A32D1">
        <w:t>NbS</w:t>
      </w:r>
      <w:proofErr w:type="spellEnd"/>
      <w:r w:rsidRPr="000A32D1">
        <w:t xml:space="preserve"> use natural systems like wetlands and forests to provide similar benefits; for example, constructing a concrete seawall (grey infrastructure) versus restoring a coastal mangrove forest (</w:t>
      </w:r>
      <w:proofErr w:type="spellStart"/>
      <w:r w:rsidRPr="000A32D1">
        <w:t>NbS</w:t>
      </w:r>
      <w:proofErr w:type="spellEnd"/>
      <w:r w:rsidRPr="000A32D1">
        <w:t>) for coastal protection against erosion and storm surges.</w:t>
      </w:r>
    </w:p>
  </w:footnote>
  <w:footnote w:id="16">
    <w:p w14:paraId="70A17098" w14:textId="2CA0A9EF" w:rsidR="000A36FD" w:rsidRDefault="000A36FD">
      <w:pPr>
        <w:pStyle w:val="FootnoteText"/>
      </w:pPr>
      <w:r>
        <w:rPr>
          <w:rStyle w:val="FootnoteReference"/>
        </w:rPr>
        <w:footnoteRef/>
      </w:r>
      <w:r>
        <w:t xml:space="preserve"> </w:t>
      </w:r>
      <w:r w:rsidR="00955607">
        <w:t xml:space="preserve">See: </w:t>
      </w:r>
      <w:r w:rsidR="73E6867D">
        <w:t>IPCC (2015)</w:t>
      </w:r>
      <w:r w:rsidR="00BC02E4">
        <w:t>;</w:t>
      </w:r>
      <w:r w:rsidR="73E6867D">
        <w:t xml:space="preserve"> </w:t>
      </w:r>
      <w:proofErr w:type="spellStart"/>
      <w:r w:rsidRPr="000A36FD">
        <w:t>Galán</w:t>
      </w:r>
      <w:proofErr w:type="spellEnd"/>
      <w:r w:rsidR="00955607">
        <w:t xml:space="preserve"> et al (2023)</w:t>
      </w:r>
      <w:r w:rsidR="00BC02E4">
        <w:t>;</w:t>
      </w:r>
      <w:r w:rsidR="73E6867D">
        <w:t xml:space="preserve"> </w:t>
      </w:r>
      <w:r w:rsidR="008D3D88">
        <w:t>and</w:t>
      </w:r>
      <w:r w:rsidR="73E6867D">
        <w:t xml:space="preserve"> </w:t>
      </w:r>
      <w:proofErr w:type="spellStart"/>
      <w:r w:rsidR="73E6867D">
        <w:t>Sekera</w:t>
      </w:r>
      <w:proofErr w:type="spellEnd"/>
      <w:r w:rsidR="73E6867D">
        <w:t xml:space="preserve"> J, et al. (2023)</w:t>
      </w:r>
    </w:p>
  </w:footnote>
  <w:footnote w:id="17">
    <w:p w14:paraId="4366DD4B" w14:textId="2AA40D58" w:rsidR="00C917EC" w:rsidRDefault="00C917EC">
      <w:pPr>
        <w:pStyle w:val="FootnoteText"/>
      </w:pPr>
      <w:r>
        <w:rPr>
          <w:rStyle w:val="FootnoteReference"/>
        </w:rPr>
        <w:footnoteRef/>
      </w:r>
      <w:r w:rsidR="73E6867D">
        <w:t xml:space="preserve"> See: </w:t>
      </w:r>
      <w:r w:rsidR="73E6867D" w:rsidRPr="00C917EC">
        <w:t>Bassi</w:t>
      </w:r>
      <w:r w:rsidR="73E6867D">
        <w:t xml:space="preserve"> (2021), Vineyard (2015)</w:t>
      </w:r>
      <w:r w:rsidR="00553A25">
        <w:t xml:space="preserve">; </w:t>
      </w:r>
      <w:r w:rsidR="008D3D88">
        <w:t>and</w:t>
      </w:r>
      <w:r w:rsidR="73E6867D">
        <w:t xml:space="preserve"> Sutton-Grier (2015) </w:t>
      </w:r>
    </w:p>
  </w:footnote>
  <w:footnote w:id="18">
    <w:p w14:paraId="51746B43" w14:textId="0BFD2CBF" w:rsidR="00100721" w:rsidRDefault="00100721">
      <w:pPr>
        <w:pStyle w:val="FootnoteText"/>
      </w:pPr>
      <w:r>
        <w:rPr>
          <w:rStyle w:val="FootnoteReference"/>
        </w:rPr>
        <w:footnoteRef/>
      </w:r>
      <w:r>
        <w:t xml:space="preserve"> </w:t>
      </w:r>
      <w:r w:rsidR="03B8B407">
        <w:t>"Green" in this document refers to the use of vegetative systems. These can be both artificial (in form</w:t>
      </w:r>
      <w:r w:rsidR="00594C92">
        <w:t>s</w:t>
      </w:r>
      <w:r w:rsidR="03B8B407">
        <w:t xml:space="preserve"> that would not appear spontaneously in an undisturbed environment) or natural. </w:t>
      </w:r>
      <w:r w:rsidRPr="00100721">
        <w:t>A top-down</w:t>
      </w:r>
      <w:r w:rsidR="00A8424D">
        <w:t xml:space="preserve"> green</w:t>
      </w:r>
      <w:r w:rsidRPr="00100721">
        <w:t xml:space="preserve"> climate adaptation program is a centrally coordinated initiative (not originating from community-identified priorities) that uses natural infrastructure to enhance climate change resilience. However, they often overlook prioritising co-benefits such as livelihood support and biodiversity conservation. For example, industrial tree plantations used to sequester carbon primarily focus on climate mitigation and adaptation without intentional planning for community and environmental co-benefits.</w:t>
      </w:r>
    </w:p>
  </w:footnote>
  <w:footnote w:id="19">
    <w:p w14:paraId="518112F2" w14:textId="4B9EF368" w:rsidR="00647C07" w:rsidRPr="00647C07" w:rsidRDefault="00647C07">
      <w:pPr>
        <w:pStyle w:val="FootnoteText"/>
        <w:rPr>
          <w:sz w:val="12"/>
          <w:szCs w:val="12"/>
        </w:rPr>
      </w:pPr>
      <w:r w:rsidRPr="00531D18">
        <w:rPr>
          <w:rStyle w:val="FootnoteReference"/>
        </w:rPr>
        <w:footnoteRef/>
      </w:r>
      <w:r w:rsidR="00763BD4" w:rsidRPr="00531D18">
        <w:t xml:space="preserve"> See:</w:t>
      </w:r>
      <w:r w:rsidR="00267445" w:rsidRPr="00531D18">
        <w:t xml:space="preserve"> </w:t>
      </w:r>
      <w:r w:rsidRPr="007057DA">
        <w:t>Simon</w:t>
      </w:r>
      <w:r w:rsidR="00531D18" w:rsidRPr="007057DA">
        <w:t xml:space="preserve"> et al </w:t>
      </w:r>
      <w:r w:rsidRPr="007057DA">
        <w:t>(2020)</w:t>
      </w:r>
      <w:r w:rsidRPr="00531D18">
        <w:rPr>
          <w:sz w:val="12"/>
          <w:szCs w:val="12"/>
        </w:rPr>
        <w:t xml:space="preserve"> </w:t>
      </w:r>
    </w:p>
  </w:footnote>
  <w:footnote w:id="20">
    <w:p w14:paraId="26F52BD5" w14:textId="5C366A65" w:rsidR="73E6867D" w:rsidRDefault="73E6867D" w:rsidP="00553A25">
      <w:pPr>
        <w:pStyle w:val="FootnoteText"/>
      </w:pPr>
      <w:r w:rsidRPr="73E6867D">
        <w:rPr>
          <w:rStyle w:val="FootnoteReference"/>
        </w:rPr>
        <w:footnoteRef/>
      </w:r>
      <w:r>
        <w:t xml:space="preserve"> UNFCCC (2019) p42</w:t>
      </w:r>
    </w:p>
  </w:footnote>
  <w:footnote w:id="21">
    <w:p w14:paraId="6A2A8190" w14:textId="2A4E53FA" w:rsidR="00293FB3" w:rsidRDefault="00293FB3">
      <w:pPr>
        <w:pStyle w:val="FootnoteText"/>
      </w:pPr>
      <w:r>
        <w:rPr>
          <w:rStyle w:val="FootnoteReference"/>
        </w:rPr>
        <w:footnoteRef/>
      </w:r>
      <w:r>
        <w:t xml:space="preserve"> </w:t>
      </w:r>
      <w:r w:rsidR="00FB418C">
        <w:t xml:space="preserve">See: </w:t>
      </w:r>
      <w:r w:rsidRPr="00293FB3">
        <w:t xml:space="preserve">Mackenzie </w:t>
      </w:r>
      <w:r w:rsidR="00FB418C">
        <w:t>&amp;</w:t>
      </w:r>
      <w:r w:rsidRPr="00293FB3">
        <w:t xml:space="preserve"> Allen (2023)</w:t>
      </w:r>
      <w:r w:rsidR="002E6F84">
        <w:t>.</w:t>
      </w:r>
      <w:r w:rsidRPr="00293FB3">
        <w:t xml:space="preserve"> Developing high integrity carbon projects in the Pacific</w:t>
      </w:r>
      <w:r w:rsidR="002E6F84">
        <w:t>.</w:t>
      </w:r>
    </w:p>
  </w:footnote>
  <w:footnote w:id="22">
    <w:p w14:paraId="60F3DFC5" w14:textId="5BE54AC0" w:rsidR="005A443D" w:rsidRDefault="005A443D" w:rsidP="005A443D">
      <w:pPr>
        <w:pStyle w:val="FootnoteText"/>
      </w:pPr>
      <w:r>
        <w:rPr>
          <w:rStyle w:val="FootnoteReference"/>
        </w:rPr>
        <w:footnoteRef/>
      </w:r>
      <w:r>
        <w:t xml:space="preserve"> </w:t>
      </w:r>
      <w:r w:rsidR="003E24AE">
        <w:t xml:space="preserve">See: </w:t>
      </w:r>
      <w:r>
        <w:t xml:space="preserve">Mackenzie </w:t>
      </w:r>
      <w:r w:rsidR="003E24AE">
        <w:t>&amp;</w:t>
      </w:r>
      <w:r>
        <w:t xml:space="preserve"> Allen (2023)</w:t>
      </w:r>
      <w:r w:rsidR="002E6F84">
        <w:t>.</w:t>
      </w:r>
      <w:r>
        <w:t xml:space="preserve"> The state of voluntary carbon markets in the Pacific.</w:t>
      </w:r>
    </w:p>
  </w:footnote>
  <w:footnote w:id="23">
    <w:p w14:paraId="0A673BDC" w14:textId="50204BB4" w:rsidR="00A91037" w:rsidRDefault="00A91037">
      <w:pPr>
        <w:pStyle w:val="FootnoteText"/>
      </w:pPr>
      <w:r w:rsidRPr="00E43085">
        <w:rPr>
          <w:rStyle w:val="FootnoteReference"/>
        </w:rPr>
        <w:footnoteRef/>
      </w:r>
      <w:r w:rsidRPr="00E43085">
        <w:t xml:space="preserve"> WWF defines Nature-based Solutions as “</w:t>
      </w:r>
      <w:r w:rsidRPr="00E43085">
        <w:rPr>
          <w:i/>
          <w:iCs/>
        </w:rPr>
        <w:t>Ecosystem conservation, management and/or restoration interventions intentionally planned to deliver measurable, positive climate adaptation and/or mitigation benefits that have human development and biodiversity co-benefits managing anticipated climate risks to nature that can undermine their long-term effectiveness</w:t>
      </w:r>
      <w:r w:rsidRPr="00E43085">
        <w:t>.”</w:t>
      </w:r>
    </w:p>
  </w:footnote>
  <w:footnote w:id="24">
    <w:p w14:paraId="6DA89432" w14:textId="446C3B08" w:rsidR="007C28D4" w:rsidRDefault="007C28D4">
      <w:pPr>
        <w:pStyle w:val="FootnoteText"/>
      </w:pPr>
      <w:r>
        <w:rPr>
          <w:rStyle w:val="FootnoteReference"/>
        </w:rPr>
        <w:footnoteRef/>
      </w:r>
      <w:r>
        <w:t xml:space="preserve"> </w:t>
      </w:r>
      <w:r w:rsidR="00E4539A">
        <w:t>See: United Nations (2016)</w:t>
      </w:r>
    </w:p>
  </w:footnote>
  <w:footnote w:id="25">
    <w:p w14:paraId="14DD7B1B" w14:textId="10B95A39" w:rsidR="00D970C7" w:rsidRDefault="00D970C7">
      <w:pPr>
        <w:pStyle w:val="FootnoteText"/>
      </w:pPr>
      <w:r>
        <w:rPr>
          <w:rStyle w:val="FootnoteReference"/>
        </w:rPr>
        <w:footnoteRef/>
      </w:r>
      <w:r>
        <w:t xml:space="preserve"> </w:t>
      </w:r>
      <w:r w:rsidR="00E4539A">
        <w:t xml:space="preserve">See: </w:t>
      </w:r>
      <w:r w:rsidRPr="00D970C7">
        <w:t>Fisher</w:t>
      </w:r>
      <w:r w:rsidR="00E4539A">
        <w:t xml:space="preserve"> et al.</w:t>
      </w:r>
      <w:r w:rsidRPr="00D970C7">
        <w:t xml:space="preserve"> (2015)</w:t>
      </w:r>
    </w:p>
  </w:footnote>
  <w:footnote w:id="26">
    <w:p w14:paraId="2237CC81" w14:textId="20058881" w:rsidR="00916375" w:rsidRDefault="00916375">
      <w:pPr>
        <w:pStyle w:val="FootnoteText"/>
      </w:pPr>
      <w:r>
        <w:rPr>
          <w:rStyle w:val="FootnoteReference"/>
        </w:rPr>
        <w:footnoteRef/>
      </w:r>
      <w:r>
        <w:t xml:space="preserve"> </w:t>
      </w:r>
      <w:r w:rsidR="00341F32">
        <w:t>See:</w:t>
      </w:r>
      <w:r w:rsidR="00111461">
        <w:t xml:space="preserve"> </w:t>
      </w:r>
      <w:proofErr w:type="spellStart"/>
      <w:r w:rsidR="00341F32" w:rsidRPr="00341F32">
        <w:t>Selkoe</w:t>
      </w:r>
      <w:proofErr w:type="spellEnd"/>
      <w:r w:rsidR="00111461">
        <w:t xml:space="preserve"> et al. </w:t>
      </w:r>
      <w:r w:rsidR="00341F32" w:rsidRPr="00341F32">
        <w:t>(2016)</w:t>
      </w:r>
    </w:p>
  </w:footnote>
  <w:footnote w:id="27">
    <w:p w14:paraId="4ADBE9CC" w14:textId="64510466" w:rsidR="0060110A" w:rsidRDefault="0060110A">
      <w:pPr>
        <w:pStyle w:val="FootnoteText"/>
      </w:pPr>
      <w:r>
        <w:rPr>
          <w:rStyle w:val="FootnoteReference"/>
        </w:rPr>
        <w:footnoteRef/>
      </w:r>
      <w:r>
        <w:t xml:space="preserve"> </w:t>
      </w:r>
      <w:r w:rsidR="0076622D">
        <w:t xml:space="preserve">See: </w:t>
      </w:r>
      <w:r w:rsidRPr="0060110A">
        <w:t>Burke et al.</w:t>
      </w:r>
      <w:r w:rsidR="009C1A8D">
        <w:t xml:space="preserve"> (</w:t>
      </w:r>
      <w:r w:rsidRPr="0060110A">
        <w:t>2011</w:t>
      </w:r>
      <w:r w:rsidR="009C1A8D">
        <w:t>)</w:t>
      </w:r>
    </w:p>
  </w:footnote>
  <w:footnote w:id="28">
    <w:p w14:paraId="1518A605" w14:textId="25AB1F5C" w:rsidR="000C22AF" w:rsidRDefault="000C22AF">
      <w:pPr>
        <w:pStyle w:val="FootnoteText"/>
      </w:pPr>
      <w:r>
        <w:rPr>
          <w:rStyle w:val="FootnoteReference"/>
        </w:rPr>
        <w:footnoteRef/>
      </w:r>
      <w:r>
        <w:t xml:space="preserve"> </w:t>
      </w:r>
      <w:r w:rsidR="0076622D">
        <w:t xml:space="preserve">See: </w:t>
      </w:r>
      <w:r w:rsidRPr="000C22AF">
        <w:t xml:space="preserve">ICRI (2009) </w:t>
      </w:r>
    </w:p>
  </w:footnote>
  <w:footnote w:id="29">
    <w:p w14:paraId="2CDA9317" w14:textId="612CE145" w:rsidR="00374F94" w:rsidRDefault="00374F94">
      <w:pPr>
        <w:pStyle w:val="FootnoteText"/>
      </w:pPr>
      <w:r>
        <w:rPr>
          <w:rStyle w:val="FootnoteReference"/>
        </w:rPr>
        <w:footnoteRef/>
      </w:r>
      <w:r>
        <w:t xml:space="preserve"> </w:t>
      </w:r>
      <w:r w:rsidR="0076622D">
        <w:t xml:space="preserve">See: </w:t>
      </w:r>
      <w:r w:rsidRPr="00374F94">
        <w:t>Burke</w:t>
      </w:r>
      <w:r w:rsidR="009C1A8D">
        <w:t xml:space="preserve"> et al. (</w:t>
      </w:r>
      <w:r w:rsidRPr="00374F94">
        <w:t>2011</w:t>
      </w:r>
      <w:r w:rsidR="009C1A8D">
        <w:t>)</w:t>
      </w:r>
    </w:p>
  </w:footnote>
  <w:footnote w:id="30">
    <w:p w14:paraId="79277B54" w14:textId="307F3A77" w:rsidR="00390F56" w:rsidRDefault="00390F56">
      <w:pPr>
        <w:pStyle w:val="FootnoteText"/>
      </w:pPr>
      <w:r>
        <w:rPr>
          <w:rStyle w:val="FootnoteReference"/>
        </w:rPr>
        <w:footnoteRef/>
      </w:r>
      <w:r>
        <w:t xml:space="preserve"> </w:t>
      </w:r>
      <w:r w:rsidR="0076622D">
        <w:t xml:space="preserve">See: </w:t>
      </w:r>
      <w:proofErr w:type="spellStart"/>
      <w:r w:rsidRPr="00390F56">
        <w:t>Waqairatu-Waqainabete</w:t>
      </w:r>
      <w:proofErr w:type="spellEnd"/>
      <w:r w:rsidRPr="00390F56">
        <w:t xml:space="preserve"> </w:t>
      </w:r>
      <w:r w:rsidR="0076622D">
        <w:t xml:space="preserve">et al. </w:t>
      </w:r>
      <w:r w:rsidRPr="00390F56">
        <w:t>(2019)</w:t>
      </w:r>
    </w:p>
  </w:footnote>
  <w:footnote w:id="31">
    <w:p w14:paraId="776CF299" w14:textId="3ADD8A5B" w:rsidR="00A9314A" w:rsidRDefault="00A9314A">
      <w:pPr>
        <w:pStyle w:val="FootnoteText"/>
      </w:pPr>
      <w:r>
        <w:rPr>
          <w:rStyle w:val="FootnoteReference"/>
        </w:rPr>
        <w:footnoteRef/>
      </w:r>
      <w:r>
        <w:t xml:space="preserve"> </w:t>
      </w:r>
      <w:r w:rsidRPr="00A9314A">
        <w:t xml:space="preserve">For example: </w:t>
      </w:r>
      <w:hyperlink r:id="rId4" w:history="1">
        <w:r w:rsidR="000324BC">
          <w:rPr>
            <w:rStyle w:val="Hyperlink"/>
          </w:rPr>
          <w:t>WCAG 2 Overview</w:t>
        </w:r>
      </w:hyperlink>
      <w:r w:rsidR="000324BC">
        <w:t xml:space="preserve"> </w:t>
      </w:r>
    </w:p>
  </w:footnote>
  <w:footnote w:id="32">
    <w:p w14:paraId="45F1CAE3" w14:textId="106E3A4E" w:rsidR="00190F8F" w:rsidRDefault="00190F8F">
      <w:pPr>
        <w:pStyle w:val="FootnoteText"/>
      </w:pPr>
      <w:r>
        <w:rPr>
          <w:rStyle w:val="FootnoteReference"/>
        </w:rPr>
        <w:footnoteRef/>
      </w:r>
      <w:r>
        <w:t xml:space="preserve"> </w:t>
      </w:r>
      <w:r w:rsidR="00737222">
        <w:t xml:space="preserve">See: </w:t>
      </w:r>
      <w:hyperlink r:id="rId5" w:history="1">
        <w:r w:rsidR="00CE033E">
          <w:rPr>
            <w:rStyle w:val="Hyperlink"/>
          </w:rPr>
          <w:t xml:space="preserve">Aha Honua: Coastal </w:t>
        </w:r>
        <w:r w:rsidR="006551F0">
          <w:rPr>
            <w:rStyle w:val="Hyperlink"/>
          </w:rPr>
          <w:t>Indigenous</w:t>
        </w:r>
        <w:r w:rsidR="00CE033E">
          <w:rPr>
            <w:rStyle w:val="Hyperlink"/>
          </w:rPr>
          <w:t xml:space="preserve"> People’s Declaration</w:t>
        </w:r>
      </w:hyperlink>
      <w:r w:rsidR="00BE47B5">
        <w:t xml:space="preserve"> </w:t>
      </w:r>
    </w:p>
  </w:footnote>
  <w:footnote w:id="33">
    <w:p w14:paraId="42B184AA" w14:textId="18EC5A21" w:rsidR="008B35A5" w:rsidRDefault="008B35A5">
      <w:pPr>
        <w:pStyle w:val="FootnoteText"/>
      </w:pPr>
      <w:r>
        <w:rPr>
          <w:rStyle w:val="FootnoteReference"/>
        </w:rPr>
        <w:footnoteRef/>
      </w:r>
      <w:r>
        <w:t xml:space="preserve"> </w:t>
      </w:r>
      <w:r w:rsidR="00BD6387">
        <w:t>See: IUCN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alias w:val="PIck Background"/>
      <w:tag w:val="PIck Background"/>
      <w:id w:val="-691995685"/>
      <w15:color w:val="99CC00"/>
      <w:docPartList>
        <w:docPartGallery w:val="Custom 5"/>
        <w:docPartCategory w:val="Background"/>
      </w:docPartList>
    </w:sdtPr>
    <w:sdtEndPr/>
    <w:sdtContent>
      <w:p w14:paraId="44445A85" w14:textId="77777777" w:rsidR="00A5739C" w:rsidRDefault="00441A8E" w:rsidP="00EE1892">
        <w:pPr>
          <w:pStyle w:val="Header"/>
          <w:jc w:val="right"/>
        </w:pPr>
        <w:r>
          <w:rPr>
            <w:noProof/>
          </w:rPr>
          <mc:AlternateContent>
            <mc:Choice Requires="wps">
              <w:drawing>
                <wp:anchor distT="0" distB="0" distL="114300" distR="114300" simplePos="0" relativeHeight="251658242" behindDoc="1" locked="0" layoutInCell="1" allowOverlap="1" wp14:anchorId="538BF5B5" wp14:editId="01005C04">
                  <wp:simplePos x="0" y="0"/>
                  <wp:positionH relativeFrom="page">
                    <wp:posOffset>-138223</wp:posOffset>
                  </wp:positionH>
                  <wp:positionV relativeFrom="paragraph">
                    <wp:posOffset>-593547</wp:posOffset>
                  </wp:positionV>
                  <wp:extent cx="7772400" cy="10876738"/>
                  <wp:effectExtent l="0" t="0" r="0" b="1270"/>
                  <wp:wrapNone/>
                  <wp:docPr id="1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10876738"/>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181F0" id="Rectangle 11" o:spid="_x0000_s1026" alt="&quot;&quot;" style="position:absolute;margin-left:-10.9pt;margin-top:-46.75pt;width:612pt;height:856.4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" fillcolor="#1d336d [3214]" stroked="f" strokeweight="2pt">
                  <w10:wrap anchorx="page"/>
                </v:rect>
              </w:pict>
            </mc:Fallback>
          </mc:AlternateConten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2A9B7" w14:textId="77777777" w:rsidR="00A5739C" w:rsidRDefault="00A5739C">
    <w:pPr>
      <w:pStyle w:val="Header"/>
    </w:pPr>
    <w:r>
      <w:rPr>
        <w:noProof/>
      </w:rPr>
      <w:drawing>
        <wp:anchor distT="0" distB="0" distL="114300" distR="114300" simplePos="0" relativeHeight="251658240" behindDoc="1" locked="0" layoutInCell="1" allowOverlap="1" wp14:anchorId="2E93BA78" wp14:editId="7C68CE5F">
          <wp:simplePos x="0" y="0"/>
          <wp:positionH relativeFrom="page">
            <wp:posOffset>0</wp:posOffset>
          </wp:positionH>
          <wp:positionV relativeFrom="paragraph">
            <wp:posOffset>-567682</wp:posOffset>
          </wp:positionV>
          <wp:extent cx="7559040" cy="6778035"/>
          <wp:effectExtent l="0" t="0" r="3810" b="3810"/>
          <wp:wrapNone/>
          <wp:docPr id="1585659847" name="Picture 15856598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59847" name="Picture 1585659847">
                    <a:extLst>
                      <a:ext uri="{C183D7F6-B498-43B3-948B-1728B52AA6E4}">
                        <adec:decorative xmlns:adec="http://schemas.microsoft.com/office/drawing/2017/decorative" val="1"/>
                      </a:ext>
                    </a:extLst>
                  </pic:cNvPr>
                  <pic:cNvPicPr>
                    <a:picLocks noChangeAspect="1" noChangeArrowheads="1"/>
                  </pic:cNvPicPr>
                </pic:nvPicPr>
                <pic:blipFill>
                  <a:blip r:embed="rId1"/>
                  <a:stretch>
                    <a:fillRect/>
                  </a:stretch>
                </pic:blipFill>
                <pic:spPr bwMode="auto">
                  <a:xfrm>
                    <a:off x="0" y="0"/>
                    <a:ext cx="7559933" cy="6778836"/>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D595B" w14:textId="77777777" w:rsidR="00E33AEB" w:rsidRPr="009D07D2" w:rsidRDefault="00E33AEB" w:rsidP="009D07D2">
    <w:pPr>
      <w:pStyle w:val="Header"/>
      <w:jc w:val="right"/>
    </w:pPr>
    <w:r w:rsidRPr="008253D4">
      <w:rPr>
        <w:noProof/>
      </w:rPr>
      <w:drawing>
        <wp:inline distT="0" distB="0" distL="0" distR="0" wp14:anchorId="33509B2B" wp14:editId="16FFEE32">
          <wp:extent cx="946285" cy="343028"/>
          <wp:effectExtent l="0" t="0" r="6350" b="0"/>
          <wp:docPr id="347092791" name="Picture 3470927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092791" name="Picture 347092791">
                    <a:extLst>
                      <a:ext uri="{C183D7F6-B498-43B3-948B-1728B52AA6E4}">
                        <adec:decorative xmlns:adec="http://schemas.microsoft.com/office/drawing/2017/decorative" val="1"/>
                      </a:ext>
                    </a:extLst>
                  </pic:cNvPr>
                  <pic:cNvPicPr/>
                </pic:nvPicPr>
                <pic:blipFill>
                  <a:blip r:embed="rId1"/>
                  <a:stretch>
                    <a:fillRect/>
                  </a:stretch>
                </pic:blipFill>
                <pic:spPr>
                  <a:xfrm>
                    <a:off x="0" y="0"/>
                    <a:ext cx="946285" cy="343028"/>
                  </a:xfrm>
                  <a:prstGeom prst="rect">
                    <a:avLst/>
                  </a:prstGeom>
                </pic:spPr>
              </pic:pic>
            </a:graphicData>
          </a:graphic>
        </wp:inline>
      </w:drawing>
    </w:r>
  </w:p>
  <w:p w14:paraId="1FE9E42F" w14:textId="77777777" w:rsidR="00A5739C" w:rsidRPr="008253D4" w:rsidRDefault="00A5739C" w:rsidP="008253D4">
    <w:pPr>
      <w:pStyle w:val="Header"/>
      <w:jc w:val="right"/>
      <w:rPr>
        <w:noProof/>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607E0" w14:textId="77777777" w:rsidR="00A5739C" w:rsidRPr="009D07D2" w:rsidRDefault="00E33AEB" w:rsidP="009D07D2">
    <w:pPr>
      <w:pStyle w:val="Header"/>
      <w:jc w:val="right"/>
    </w:pPr>
    <w:r w:rsidRPr="008253D4">
      <w:rPr>
        <w:noProof/>
      </w:rPr>
      <w:drawing>
        <wp:inline distT="0" distB="0" distL="0" distR="0" wp14:anchorId="40600E03" wp14:editId="182208E7">
          <wp:extent cx="946285" cy="343028"/>
          <wp:effectExtent l="0" t="0" r="6350" b="0"/>
          <wp:docPr id="125532163" name="Picture 125532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32163" name="Picture 125532163">
                    <a:extLst>
                      <a:ext uri="{C183D7F6-B498-43B3-948B-1728B52AA6E4}">
                        <adec:decorative xmlns:adec="http://schemas.microsoft.com/office/drawing/2017/decorative" val="1"/>
                      </a:ext>
                    </a:extLst>
                  </pic:cNvPr>
                  <pic:cNvPicPr/>
                </pic:nvPicPr>
                <pic:blipFill>
                  <a:blip r:embed="rId1"/>
                  <a:stretch>
                    <a:fillRect/>
                  </a:stretch>
                </pic:blipFill>
                <pic:spPr>
                  <a:xfrm>
                    <a:off x="0" y="0"/>
                    <a:ext cx="946285" cy="34302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F69BE"/>
    <w:multiLevelType w:val="hybridMultilevel"/>
    <w:tmpl w:val="733E9F00"/>
    <w:lvl w:ilvl="0" w:tplc="2BA2513A">
      <w:start w:val="1"/>
      <w:numFmt w:val="decimal"/>
      <w:lvlText w:val="%1."/>
      <w:lvlJc w:val="left"/>
      <w:pPr>
        <w:ind w:left="360" w:hanging="360"/>
      </w:pPr>
      <w:rPr>
        <w:b/>
        <w:bCs/>
        <w:color w:val="1D336D" w:themeColor="background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04474E65"/>
    <w:multiLevelType w:val="multilevel"/>
    <w:tmpl w:val="1B2E107C"/>
    <w:styleLink w:val="Headings"/>
    <w:lvl w:ilvl="0">
      <w:start w:val="1"/>
      <w:numFmt w:val="decimal"/>
      <w:lvlText w:val="%1."/>
      <w:lvlJc w:val="left"/>
      <w:pPr>
        <w:tabs>
          <w:tab w:val="num" w:pos="284"/>
        </w:tabs>
        <w:ind w:left="284" w:hanging="284"/>
      </w:pPr>
      <w:rPr>
        <w:rFonts w:hint="default"/>
        <w:color w:val="2294CD"/>
      </w:rPr>
    </w:lvl>
    <w:lvl w:ilvl="1">
      <w:start w:val="1"/>
      <w:numFmt w:val="lowerLetter"/>
      <w:lvlText w:val="%2."/>
      <w:lvlJc w:val="left"/>
      <w:pPr>
        <w:tabs>
          <w:tab w:val="num" w:pos="567"/>
        </w:tabs>
        <w:ind w:left="568" w:hanging="284"/>
      </w:pPr>
      <w:rPr>
        <w:rFonts w:hint="default"/>
        <w:color w:val="2294CD"/>
      </w:rPr>
    </w:lvl>
    <w:lvl w:ilvl="2">
      <w:start w:val="1"/>
      <w:numFmt w:val="lowerRoman"/>
      <w:lvlText w:val="%3."/>
      <w:lvlJc w:val="left"/>
      <w:pPr>
        <w:tabs>
          <w:tab w:val="num" w:pos="851"/>
        </w:tabs>
        <w:ind w:left="852" w:hanging="284"/>
      </w:pPr>
      <w:rPr>
        <w:rFonts w:hint="default"/>
        <w:color w:val="2294CD"/>
      </w:rPr>
    </w:lvl>
    <w:lvl w:ilvl="3">
      <w:start w:val="1"/>
      <w:numFmt w:val="none"/>
      <w:lvlText w:val=""/>
      <w:lvlJc w:val="left"/>
      <w:pPr>
        <w:tabs>
          <w:tab w:val="num" w:pos="284"/>
        </w:tabs>
        <w:ind w:left="1136" w:hanging="284"/>
      </w:pPr>
      <w:rPr>
        <w:rFonts w:hint="default"/>
        <w:b w:val="0"/>
        <w:i w:val="0"/>
        <w:color w:val="1D336D" w:themeColor="background2"/>
      </w:rPr>
    </w:lvl>
    <w:lvl w:ilvl="4">
      <w:start w:val="1"/>
      <w:numFmt w:val="none"/>
      <w:lvlText w:val=""/>
      <w:lvlJc w:val="left"/>
      <w:pPr>
        <w:tabs>
          <w:tab w:val="num" w:pos="567"/>
        </w:tabs>
        <w:ind w:left="1420" w:hanging="284"/>
      </w:pPr>
      <w:rPr>
        <w:rFonts w:hint="default"/>
        <w:b w:val="0"/>
        <w:i w:val="0"/>
        <w:color w:val="1D336D" w:themeColor="background2"/>
      </w:rPr>
    </w:lvl>
    <w:lvl w:ilvl="5">
      <w:start w:val="1"/>
      <w:numFmt w:val="none"/>
      <w:lvlText w:val=""/>
      <w:lvlJc w:val="left"/>
      <w:pPr>
        <w:tabs>
          <w:tab w:val="num" w:pos="851"/>
        </w:tabs>
        <w:ind w:left="1704" w:hanging="284"/>
      </w:pPr>
      <w:rPr>
        <w:rFonts w:hint="default"/>
        <w:b w:val="0"/>
        <w:i w:val="0"/>
        <w:color w:val="1D336D" w:themeColor="background2"/>
      </w:rPr>
    </w:lvl>
    <w:lvl w:ilvl="6">
      <w:start w:val="1"/>
      <w:numFmt w:val="none"/>
      <w:lvlText w:val=""/>
      <w:lvlJc w:val="left"/>
      <w:pPr>
        <w:ind w:left="1988" w:hanging="284"/>
      </w:pPr>
      <w:rPr>
        <w:rFonts w:hint="default"/>
      </w:rPr>
    </w:lvl>
    <w:lvl w:ilvl="7">
      <w:start w:val="1"/>
      <w:numFmt w:val="none"/>
      <w:suff w:val="nothing"/>
      <w:lvlText w:val=""/>
      <w:lvlJc w:val="left"/>
      <w:pPr>
        <w:ind w:left="2272" w:hanging="284"/>
      </w:pPr>
      <w:rPr>
        <w:rFonts w:hint="default"/>
      </w:rPr>
    </w:lvl>
    <w:lvl w:ilvl="8">
      <w:start w:val="1"/>
      <w:numFmt w:val="none"/>
      <w:suff w:val="nothing"/>
      <w:lvlText w:val=""/>
      <w:lvlJc w:val="left"/>
      <w:pPr>
        <w:ind w:left="2556" w:hanging="284"/>
      </w:pPr>
      <w:rPr>
        <w:rFonts w:hint="default"/>
      </w:rPr>
    </w:lvl>
  </w:abstractNum>
  <w:abstractNum w:abstractNumId="2" w15:restartNumberingAfterBreak="0">
    <w:nsid w:val="0C5C5695"/>
    <w:multiLevelType w:val="hybridMultilevel"/>
    <w:tmpl w:val="A2F65F54"/>
    <w:lvl w:ilvl="0" w:tplc="90C20B04">
      <w:start w:val="1"/>
      <w:numFmt w:val="bullet"/>
      <w:lvlText w:val=""/>
      <w:lvlJc w:val="left"/>
      <w:pPr>
        <w:ind w:left="720" w:hanging="360"/>
      </w:pPr>
      <w:rPr>
        <w:rFonts w:ascii="Symbol" w:hAnsi="Symbol" w:hint="default"/>
        <w:color w:val="1D336D"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C7464BB"/>
    <w:multiLevelType w:val="multilevel"/>
    <w:tmpl w:val="D3EEE87C"/>
    <w:name w:val="AutoNum"/>
    <w:lvl w:ilvl="0">
      <w:start w:val="1"/>
      <w:numFmt w:val="decimal"/>
      <w:lvlText w:val="%1."/>
      <w:lvlJc w:val="left"/>
      <w:pPr>
        <w:ind w:left="360" w:hanging="360"/>
      </w:pPr>
      <w:rPr>
        <w:rFonts w:asciiTheme="majorHAnsi" w:hAnsiTheme="majorHAnsi" w:hint="default"/>
        <w:b/>
        <w:i w:val="0"/>
        <w:color w:val="585858" w:themeColor="text2"/>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 w15:restartNumberingAfterBreak="0">
    <w:nsid w:val="0EB022D8"/>
    <w:multiLevelType w:val="hybridMultilevel"/>
    <w:tmpl w:val="F756204A"/>
    <w:lvl w:ilvl="0" w:tplc="C930CACE">
      <w:start w:val="1"/>
      <w:numFmt w:val="bullet"/>
      <w:pStyle w:val="TableBullets"/>
      <w:lvlText w:val=""/>
      <w:lvlJc w:val="left"/>
      <w:pPr>
        <w:ind w:left="360" w:hanging="360"/>
      </w:pPr>
      <w:rPr>
        <w:rFonts w:ascii="Wingdings" w:hAnsi="Wingdings" w:hint="default"/>
        <w:color w:val="1D336D"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17A17FE"/>
    <w:multiLevelType w:val="multilevel"/>
    <w:tmpl w:val="09685C38"/>
    <w:numStyleLink w:val="MasterHeadings"/>
  </w:abstractNum>
  <w:abstractNum w:abstractNumId="6" w15:restartNumberingAfterBreak="0">
    <w:nsid w:val="12922907"/>
    <w:multiLevelType w:val="hybridMultilevel"/>
    <w:tmpl w:val="54B2A7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3014D2B"/>
    <w:multiLevelType w:val="multilevel"/>
    <w:tmpl w:val="D3B8E568"/>
    <w:numStyleLink w:val="Bullets"/>
  </w:abstractNum>
  <w:abstractNum w:abstractNumId="8" w15:restartNumberingAfterBreak="0">
    <w:nsid w:val="169041E2"/>
    <w:multiLevelType w:val="hybridMultilevel"/>
    <w:tmpl w:val="9F74CD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7A67B37"/>
    <w:multiLevelType w:val="hybridMultilevel"/>
    <w:tmpl w:val="DEA4F5FC"/>
    <w:lvl w:ilvl="0" w:tplc="64CC6A08">
      <w:start w:val="1"/>
      <w:numFmt w:val="bullet"/>
      <w:lvlText w:val=""/>
      <w:lvlJc w:val="left"/>
      <w:pPr>
        <w:ind w:left="720" w:hanging="360"/>
      </w:pPr>
      <w:rPr>
        <w:rFonts w:ascii="Symbol" w:hAnsi="Symbol" w:hint="default"/>
        <w:color w:val="1D336D"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8EF48F9"/>
    <w:multiLevelType w:val="hybridMultilevel"/>
    <w:tmpl w:val="971ED7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B26266C"/>
    <w:multiLevelType w:val="multilevel"/>
    <w:tmpl w:val="1B2E107C"/>
    <w:numStyleLink w:val="Headings"/>
  </w:abstractNum>
  <w:abstractNum w:abstractNumId="12" w15:restartNumberingAfterBreak="0">
    <w:nsid w:val="20884178"/>
    <w:multiLevelType w:val="multilevel"/>
    <w:tmpl w:val="1B2E107C"/>
    <w:numStyleLink w:val="Headings"/>
  </w:abstractNum>
  <w:abstractNum w:abstractNumId="13" w15:restartNumberingAfterBreak="0">
    <w:nsid w:val="234256C0"/>
    <w:multiLevelType w:val="multilevel"/>
    <w:tmpl w:val="1436D14C"/>
    <w:lvl w:ilvl="0">
      <w:start w:val="1"/>
      <w:numFmt w:val="none"/>
      <w:pStyle w:val="TableHeading"/>
      <w:lvlText w:val=""/>
      <w:lvlJc w:val="left"/>
      <w:pPr>
        <w:tabs>
          <w:tab w:val="num" w:pos="0"/>
        </w:tabs>
        <w:ind w:left="0" w:firstLine="0"/>
      </w:pPr>
      <w:rPr>
        <w:rFonts w:hint="default"/>
      </w:rPr>
    </w:lvl>
    <w:lvl w:ilvl="1">
      <w:start w:val="1"/>
      <w:numFmt w:val="decimal"/>
      <w:lvlText w:val="%2."/>
      <w:lvlJc w:val="left"/>
      <w:pPr>
        <w:tabs>
          <w:tab w:val="num" w:pos="284"/>
        </w:tabs>
        <w:ind w:left="284" w:hanging="284"/>
      </w:pPr>
      <w:rPr>
        <w:rFonts w:hint="default"/>
        <w:color w:val="1D336D" w:themeColor="background2"/>
      </w:rPr>
    </w:lvl>
    <w:lvl w:ilvl="2">
      <w:start w:val="1"/>
      <w:numFmt w:val="none"/>
      <w:lvlText w:val=""/>
      <w:lvlJc w:val="left"/>
      <w:pPr>
        <w:tabs>
          <w:tab w:val="num" w:pos="568"/>
        </w:tabs>
        <w:ind w:left="568" w:firstLine="0"/>
      </w:pPr>
      <w:rPr>
        <w:rFonts w:hint="default"/>
      </w:rPr>
    </w:lvl>
    <w:lvl w:ilvl="3">
      <w:start w:val="1"/>
      <w:numFmt w:val="none"/>
      <w:lvlText w:val=""/>
      <w:lvlJc w:val="left"/>
      <w:pPr>
        <w:tabs>
          <w:tab w:val="num" w:pos="852"/>
        </w:tabs>
        <w:ind w:left="852" w:firstLine="0"/>
      </w:pPr>
      <w:rPr>
        <w:rFonts w:hint="default"/>
      </w:rPr>
    </w:lvl>
    <w:lvl w:ilvl="4">
      <w:start w:val="1"/>
      <w:numFmt w:val="none"/>
      <w:lvlText w:val=""/>
      <w:lvlJc w:val="left"/>
      <w:pPr>
        <w:tabs>
          <w:tab w:val="num" w:pos="1136"/>
        </w:tabs>
        <w:ind w:left="1136" w:firstLine="0"/>
      </w:pPr>
      <w:rPr>
        <w:rFonts w:hint="default"/>
      </w:rPr>
    </w:lvl>
    <w:lvl w:ilvl="5">
      <w:start w:val="1"/>
      <w:numFmt w:val="none"/>
      <w:lvlText w:val=""/>
      <w:lvlJc w:val="left"/>
      <w:pPr>
        <w:tabs>
          <w:tab w:val="num" w:pos="1420"/>
        </w:tabs>
        <w:ind w:left="1420" w:firstLine="0"/>
      </w:pPr>
      <w:rPr>
        <w:rFonts w:hint="default"/>
      </w:rPr>
    </w:lvl>
    <w:lvl w:ilvl="6">
      <w:start w:val="1"/>
      <w:numFmt w:val="none"/>
      <w:lvlText w:val=""/>
      <w:lvlJc w:val="left"/>
      <w:pPr>
        <w:tabs>
          <w:tab w:val="num" w:pos="1704"/>
        </w:tabs>
        <w:ind w:left="1704" w:firstLine="0"/>
      </w:pPr>
      <w:rPr>
        <w:rFonts w:hint="default"/>
      </w:rPr>
    </w:lvl>
    <w:lvl w:ilvl="7">
      <w:start w:val="1"/>
      <w:numFmt w:val="none"/>
      <w:lvlText w:val=""/>
      <w:lvlJc w:val="left"/>
      <w:pPr>
        <w:tabs>
          <w:tab w:val="num" w:pos="1988"/>
        </w:tabs>
        <w:ind w:left="1988" w:firstLine="0"/>
      </w:pPr>
      <w:rPr>
        <w:rFonts w:hint="default"/>
      </w:rPr>
    </w:lvl>
    <w:lvl w:ilvl="8">
      <w:start w:val="1"/>
      <w:numFmt w:val="none"/>
      <w:lvlText w:val=""/>
      <w:lvlJc w:val="left"/>
      <w:pPr>
        <w:tabs>
          <w:tab w:val="num" w:pos="2272"/>
        </w:tabs>
        <w:ind w:left="2272" w:firstLine="0"/>
      </w:pPr>
      <w:rPr>
        <w:rFonts w:hint="default"/>
      </w:rPr>
    </w:lvl>
  </w:abstractNum>
  <w:abstractNum w:abstractNumId="14" w15:restartNumberingAfterBreak="0">
    <w:nsid w:val="250A28BC"/>
    <w:multiLevelType w:val="multilevel"/>
    <w:tmpl w:val="D3B8E568"/>
    <w:numStyleLink w:val="Bullets"/>
  </w:abstractNum>
  <w:abstractNum w:abstractNumId="15" w15:restartNumberingAfterBreak="0">
    <w:nsid w:val="254921D9"/>
    <w:multiLevelType w:val="hybridMultilevel"/>
    <w:tmpl w:val="AA62F812"/>
    <w:lvl w:ilvl="0" w:tplc="778498EE">
      <w:start w:val="1"/>
      <w:numFmt w:val="bullet"/>
      <w:lvlText w:val=""/>
      <w:lvlJc w:val="left"/>
      <w:pPr>
        <w:ind w:left="720" w:hanging="360"/>
      </w:pPr>
      <w:rPr>
        <w:rFonts w:ascii="Wingdings" w:hAnsi="Wingdings" w:hint="default"/>
        <w:color w:val="54ABED"/>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5CF27A3"/>
    <w:multiLevelType w:val="multilevel"/>
    <w:tmpl w:val="9E6E64A4"/>
    <w:lvl w:ilvl="0">
      <w:start w:val="1"/>
      <w:numFmt w:val="bullet"/>
      <w:lvlText w:val=""/>
      <w:lvlJc w:val="left"/>
      <w:pPr>
        <w:ind w:left="357" w:hanging="357"/>
      </w:pPr>
      <w:rPr>
        <w:rFonts w:ascii="Symbol" w:hAnsi="Symbol" w:hint="default"/>
      </w:rPr>
    </w:lvl>
    <w:lvl w:ilvl="1">
      <w:start w:val="1"/>
      <w:numFmt w:val="bullet"/>
      <w:lvlText w:val="−"/>
      <w:lvlJc w:val="left"/>
      <w:pPr>
        <w:tabs>
          <w:tab w:val="num" w:pos="714"/>
        </w:tabs>
        <w:ind w:left="714" w:hanging="357"/>
      </w:pPr>
      <w:rPr>
        <w:rFonts w:ascii="Calibri" w:hAnsi="Calibri" w:hint="default"/>
      </w:rPr>
    </w:lvl>
    <w:lvl w:ilvl="2">
      <w:start w:val="1"/>
      <w:numFmt w:val="bullet"/>
      <w:lvlText w:val="−"/>
      <w:lvlJc w:val="left"/>
      <w:pPr>
        <w:ind w:left="1071" w:hanging="357"/>
      </w:pPr>
      <w:rPr>
        <w:rFonts w:ascii="Calibri" w:hAnsi="Calibri" w:hint="default"/>
      </w:rPr>
    </w:lvl>
    <w:lvl w:ilvl="3">
      <w:start w:val="1"/>
      <w:numFmt w:val="bullet"/>
      <w:lvlText w:val="−"/>
      <w:lvlJc w:val="left"/>
      <w:pPr>
        <w:ind w:left="1428" w:hanging="357"/>
      </w:pPr>
      <w:rPr>
        <w:rFonts w:ascii="Calibri" w:hAnsi="Calibri" w:hint="default"/>
      </w:rPr>
    </w:lvl>
    <w:lvl w:ilvl="4">
      <w:start w:val="1"/>
      <w:numFmt w:val="bullet"/>
      <w:pStyle w:val="ListBullet5"/>
      <w:lvlText w:val="−"/>
      <w:lvlJc w:val="left"/>
      <w:pPr>
        <w:ind w:left="1785" w:hanging="357"/>
      </w:pPr>
      <w:rPr>
        <w:rFonts w:ascii="Calibri" w:hAnsi="Calibri" w:hint="default"/>
      </w:rPr>
    </w:lvl>
    <w:lvl w:ilvl="5">
      <w:start w:val="1"/>
      <w:numFmt w:val="bullet"/>
      <w:lvlText w:val="−"/>
      <w:lvlJc w:val="left"/>
      <w:pPr>
        <w:ind w:left="2142" w:hanging="357"/>
      </w:pPr>
      <w:rPr>
        <w:rFonts w:ascii="Calibri" w:hAnsi="Calibri" w:hint="default"/>
      </w:rPr>
    </w:lvl>
    <w:lvl w:ilvl="6">
      <w:start w:val="1"/>
      <w:numFmt w:val="bullet"/>
      <w:lvlText w:val="−"/>
      <w:lvlJc w:val="left"/>
      <w:pPr>
        <w:ind w:left="2499" w:hanging="357"/>
      </w:pPr>
      <w:rPr>
        <w:rFonts w:ascii="Calibri" w:hAnsi="Calibri" w:hint="default"/>
      </w:rPr>
    </w:lvl>
    <w:lvl w:ilvl="7">
      <w:start w:val="1"/>
      <w:numFmt w:val="bullet"/>
      <w:lvlText w:val="−"/>
      <w:lvlJc w:val="left"/>
      <w:pPr>
        <w:ind w:left="2856" w:hanging="357"/>
      </w:pPr>
      <w:rPr>
        <w:rFonts w:ascii="Calibri" w:hAnsi="Calibri" w:hint="default"/>
      </w:rPr>
    </w:lvl>
    <w:lvl w:ilvl="8">
      <w:start w:val="1"/>
      <w:numFmt w:val="bullet"/>
      <w:lvlText w:val="−"/>
      <w:lvlJc w:val="left"/>
      <w:pPr>
        <w:ind w:left="3213" w:hanging="357"/>
      </w:pPr>
      <w:rPr>
        <w:rFonts w:ascii="Calibri" w:hAnsi="Calibri" w:hint="default"/>
      </w:rPr>
    </w:lvl>
  </w:abstractNum>
  <w:abstractNum w:abstractNumId="17" w15:restartNumberingAfterBreak="0">
    <w:nsid w:val="2A937C02"/>
    <w:multiLevelType w:val="hybridMultilevel"/>
    <w:tmpl w:val="FFA89500"/>
    <w:lvl w:ilvl="0" w:tplc="620270AC">
      <w:numFmt w:val="bullet"/>
      <w:lvlText w:val="—"/>
      <w:lvlJc w:val="left"/>
      <w:pPr>
        <w:ind w:left="720" w:hanging="360"/>
      </w:pPr>
      <w:rPr>
        <w:rFonts w:ascii="Arial" w:eastAsiaTheme="maj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E7451FB"/>
    <w:multiLevelType w:val="hybridMultilevel"/>
    <w:tmpl w:val="BD641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EDE3394"/>
    <w:multiLevelType w:val="multilevel"/>
    <w:tmpl w:val="A9FA82B6"/>
    <w:numStyleLink w:val="AlphaList"/>
  </w:abstractNum>
  <w:abstractNum w:abstractNumId="20" w15:restartNumberingAfterBreak="0">
    <w:nsid w:val="3001553C"/>
    <w:multiLevelType w:val="multilevel"/>
    <w:tmpl w:val="D3B8E568"/>
    <w:numStyleLink w:val="Bullets"/>
  </w:abstractNum>
  <w:abstractNum w:abstractNumId="21" w15:restartNumberingAfterBreak="0">
    <w:nsid w:val="34AE3043"/>
    <w:multiLevelType w:val="multilevel"/>
    <w:tmpl w:val="09685C38"/>
    <w:styleLink w:val="MasterHeadings"/>
    <w:lvl w:ilvl="0">
      <w:start w:val="1"/>
      <w:numFmt w:val="none"/>
      <w:pStyle w:val="CoverTitle"/>
      <w:suff w:val="nothing"/>
      <w:lvlText w:val=""/>
      <w:lvlJc w:val="left"/>
      <w:pPr>
        <w:ind w:left="0" w:firstLine="0"/>
      </w:pPr>
      <w:rPr>
        <w:rFonts w:hint="default"/>
      </w:rPr>
    </w:lvl>
    <w:lvl w:ilvl="1">
      <w:start w:val="1"/>
      <w:numFmt w:val="decimal"/>
      <w:pStyle w:val="NumberedHeading1"/>
      <w:lvlText w:val="%2."/>
      <w:lvlJc w:val="left"/>
      <w:pPr>
        <w:tabs>
          <w:tab w:val="num" w:pos="567"/>
        </w:tabs>
        <w:ind w:left="567" w:hanging="567"/>
      </w:pPr>
      <w:rPr>
        <w:rFonts w:hint="default"/>
      </w:rPr>
    </w:lvl>
    <w:lvl w:ilvl="2">
      <w:start w:val="1"/>
      <w:numFmt w:val="decimal"/>
      <w:pStyle w:val="NumberedHeading2"/>
      <w:lvlText w:val="%2.%3."/>
      <w:lvlJc w:val="left"/>
      <w:pPr>
        <w:tabs>
          <w:tab w:val="num" w:pos="567"/>
        </w:tabs>
        <w:ind w:left="567" w:hanging="567"/>
      </w:pPr>
      <w:rPr>
        <w:rFonts w:hint="default"/>
      </w:rPr>
    </w:lvl>
    <w:lvl w:ilvl="3">
      <w:start w:val="1"/>
      <w:numFmt w:val="decimal"/>
      <w:pStyle w:val="NumberedHeading3"/>
      <w:lvlText w:val="%2.%3.%4."/>
      <w:lvlJc w:val="left"/>
      <w:pPr>
        <w:tabs>
          <w:tab w:val="num" w:pos="851"/>
        </w:tabs>
        <w:ind w:left="851" w:hanging="851"/>
      </w:pPr>
      <w:rPr>
        <w:rFonts w:hint="default"/>
      </w:rPr>
    </w:lvl>
    <w:lvl w:ilvl="4">
      <w:start w:val="1"/>
      <w:numFmt w:val="decimal"/>
      <w:lvlText w:val="%5."/>
      <w:lvlJc w:val="left"/>
      <w:pPr>
        <w:tabs>
          <w:tab w:val="num" w:pos="851"/>
        </w:tabs>
        <w:ind w:left="851" w:hanging="284"/>
      </w:pPr>
      <w:rPr>
        <w:rFonts w:hint="default"/>
        <w:color w:val="585858" w:themeColor="text2"/>
      </w:rPr>
    </w:lvl>
    <w:lvl w:ilvl="5">
      <w:start w:val="1"/>
      <w:numFmt w:val="lowerLetter"/>
      <w:lvlText w:val="%6."/>
      <w:lvlJc w:val="left"/>
      <w:pPr>
        <w:tabs>
          <w:tab w:val="num" w:pos="1134"/>
        </w:tabs>
        <w:ind w:left="1134" w:hanging="283"/>
      </w:pPr>
      <w:rPr>
        <w:rFonts w:hint="default"/>
        <w:color w:val="585858" w:themeColor="text2"/>
      </w:rPr>
    </w:lvl>
    <w:lvl w:ilvl="6">
      <w:start w:val="1"/>
      <w:numFmt w:val="lowerRoman"/>
      <w:lvlText w:val="%7."/>
      <w:lvlJc w:val="left"/>
      <w:pPr>
        <w:tabs>
          <w:tab w:val="num" w:pos="1418"/>
        </w:tabs>
        <w:ind w:left="1418" w:hanging="284"/>
      </w:pPr>
      <w:rPr>
        <w:rFonts w:hint="default"/>
        <w:color w:val="585858" w:themeColor="text2"/>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2" w15:restartNumberingAfterBreak="0">
    <w:nsid w:val="38083B88"/>
    <w:multiLevelType w:val="hybridMultilevel"/>
    <w:tmpl w:val="46D0F0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B962090"/>
    <w:multiLevelType w:val="hybridMultilevel"/>
    <w:tmpl w:val="B046EE6A"/>
    <w:lvl w:ilvl="0" w:tplc="DD466080">
      <w:numFmt w:val="bullet"/>
      <w:lvlText w:val=""/>
      <w:lvlJc w:val="left"/>
      <w:pPr>
        <w:ind w:left="720" w:hanging="360"/>
      </w:pPr>
      <w:rPr>
        <w:rFonts w:ascii="Symbol" w:eastAsiaTheme="minorEastAsia" w:hAnsi="Symbol" w:cstheme="minorBidi" w:hint="default"/>
      </w:rPr>
    </w:lvl>
    <w:lvl w:ilvl="1" w:tplc="0C090001">
      <w:numFmt w:val="bullet"/>
      <w:lvlText w:val=""/>
      <w:lvlJc w:val="left"/>
      <w:pPr>
        <w:ind w:left="1440" w:hanging="360"/>
      </w:pPr>
      <w:rPr>
        <w:rFonts w:ascii="Symbol" w:eastAsia="Times New Roman" w:hAnsi="Symbol" w:cs="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C10711F"/>
    <w:multiLevelType w:val="hybridMultilevel"/>
    <w:tmpl w:val="FEAA6C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D8F53F1"/>
    <w:multiLevelType w:val="hybridMultilevel"/>
    <w:tmpl w:val="BB1CC1FE"/>
    <w:lvl w:ilvl="0" w:tplc="A986EB82">
      <w:start w:val="1"/>
      <w:numFmt w:val="bullet"/>
      <w:lvlText w:val=""/>
      <w:lvlJc w:val="left"/>
      <w:pPr>
        <w:ind w:left="720" w:hanging="360"/>
      </w:pPr>
      <w:rPr>
        <w:rFonts w:ascii="Symbol" w:hAnsi="Symbol" w:hint="default"/>
        <w:color w:val="1D336D"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F8336B7"/>
    <w:multiLevelType w:val="hybridMultilevel"/>
    <w:tmpl w:val="F0B4F32E"/>
    <w:lvl w:ilvl="0" w:tplc="F3E67046">
      <w:start w:val="1"/>
      <w:numFmt w:val="bullet"/>
      <w:lvlText w:val=""/>
      <w:lvlJc w:val="left"/>
      <w:pPr>
        <w:ind w:left="720" w:hanging="360"/>
      </w:pPr>
      <w:rPr>
        <w:rFonts w:ascii="Symbol" w:hAnsi="Symbol" w:hint="default"/>
        <w:color w:val="1D336D"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15E0125"/>
    <w:multiLevelType w:val="multilevel"/>
    <w:tmpl w:val="D3B8E568"/>
    <w:styleLink w:val="Bullets"/>
    <w:lvl w:ilvl="0">
      <w:start w:val="1"/>
      <w:numFmt w:val="bullet"/>
      <w:lvlText w:val=""/>
      <w:lvlJc w:val="left"/>
      <w:pPr>
        <w:tabs>
          <w:tab w:val="num" w:pos="284"/>
        </w:tabs>
        <w:ind w:left="284" w:hanging="284"/>
      </w:pPr>
      <w:rPr>
        <w:rFonts w:ascii="Symbol" w:hAnsi="Symbol" w:hint="default"/>
        <w:color w:val="2294CD"/>
      </w:rPr>
    </w:lvl>
    <w:lvl w:ilvl="1">
      <w:start w:val="1"/>
      <w:numFmt w:val="bullet"/>
      <w:lvlText w:val="○"/>
      <w:lvlJc w:val="left"/>
      <w:pPr>
        <w:tabs>
          <w:tab w:val="num" w:pos="567"/>
        </w:tabs>
        <w:ind w:left="568" w:hanging="284"/>
      </w:pPr>
      <w:rPr>
        <w:rFonts w:ascii="Calibri" w:hAnsi="Calibri" w:hint="default"/>
        <w:color w:val="2294CD"/>
      </w:rPr>
    </w:lvl>
    <w:lvl w:ilvl="2">
      <w:start w:val="1"/>
      <w:numFmt w:val="bullet"/>
      <w:lvlText w:val="▪"/>
      <w:lvlJc w:val="left"/>
      <w:pPr>
        <w:tabs>
          <w:tab w:val="num" w:pos="851"/>
        </w:tabs>
        <w:ind w:left="852" w:hanging="284"/>
      </w:pPr>
      <w:rPr>
        <w:rFonts w:ascii="Calibri" w:hAnsi="Calibri" w:hint="default"/>
        <w:color w:val="2294CD"/>
      </w:rPr>
    </w:lvl>
    <w:lvl w:ilvl="3">
      <w:start w:val="1"/>
      <w:numFmt w:val="bullet"/>
      <w:lvlText w:val="−"/>
      <w:lvlJc w:val="left"/>
      <w:pPr>
        <w:tabs>
          <w:tab w:val="num" w:pos="1134"/>
        </w:tabs>
        <w:ind w:left="1136" w:hanging="284"/>
      </w:pPr>
      <w:rPr>
        <w:rFonts w:ascii="Calibri" w:hAnsi="Calibri" w:hint="default"/>
        <w:color w:val="1D336D" w:themeColor="background2"/>
      </w:rPr>
    </w:lvl>
    <w:lvl w:ilvl="4">
      <w:start w:val="1"/>
      <w:numFmt w:val="bullet"/>
      <w:lvlText w:val="−"/>
      <w:lvlJc w:val="left"/>
      <w:pPr>
        <w:tabs>
          <w:tab w:val="num" w:pos="1418"/>
        </w:tabs>
        <w:ind w:left="1420" w:hanging="284"/>
      </w:pPr>
      <w:rPr>
        <w:rFonts w:ascii="Calibri" w:hAnsi="Calibri" w:hint="default"/>
      </w:rPr>
    </w:lvl>
    <w:lvl w:ilvl="5">
      <w:start w:val="1"/>
      <w:numFmt w:val="bullet"/>
      <w:lvlText w:val="−"/>
      <w:lvlJc w:val="left"/>
      <w:pPr>
        <w:tabs>
          <w:tab w:val="num" w:pos="1777"/>
        </w:tabs>
        <w:ind w:left="1704" w:hanging="284"/>
      </w:pPr>
      <w:rPr>
        <w:rFonts w:ascii="Calibri" w:hAnsi="Calibri" w:hint="default"/>
      </w:rPr>
    </w:lvl>
    <w:lvl w:ilvl="6">
      <w:start w:val="1"/>
      <w:numFmt w:val="bullet"/>
      <w:lvlText w:val="−"/>
      <w:lvlJc w:val="left"/>
      <w:pPr>
        <w:tabs>
          <w:tab w:val="num" w:pos="2061"/>
        </w:tabs>
        <w:ind w:left="1988" w:hanging="284"/>
      </w:pPr>
      <w:rPr>
        <w:rFonts w:ascii="Calibri" w:hAnsi="Calibri" w:hint="default"/>
      </w:rPr>
    </w:lvl>
    <w:lvl w:ilvl="7">
      <w:start w:val="1"/>
      <w:numFmt w:val="bullet"/>
      <w:lvlText w:val="−"/>
      <w:lvlJc w:val="left"/>
      <w:pPr>
        <w:tabs>
          <w:tab w:val="num" w:pos="2345"/>
        </w:tabs>
        <w:ind w:left="2272" w:hanging="284"/>
      </w:pPr>
      <w:rPr>
        <w:rFonts w:ascii="Calibri" w:hAnsi="Calibri" w:hint="default"/>
      </w:rPr>
    </w:lvl>
    <w:lvl w:ilvl="8">
      <w:start w:val="1"/>
      <w:numFmt w:val="bullet"/>
      <w:lvlText w:val="−"/>
      <w:lvlJc w:val="left"/>
      <w:pPr>
        <w:tabs>
          <w:tab w:val="num" w:pos="2629"/>
        </w:tabs>
        <w:ind w:left="2556" w:hanging="284"/>
      </w:pPr>
      <w:rPr>
        <w:rFonts w:ascii="Calibri" w:hAnsi="Calibri" w:hint="default"/>
      </w:rPr>
    </w:lvl>
  </w:abstractNum>
  <w:abstractNum w:abstractNumId="28" w15:restartNumberingAfterBreak="0">
    <w:nsid w:val="488E3B1E"/>
    <w:multiLevelType w:val="multilevel"/>
    <w:tmpl w:val="A9FA82B6"/>
    <w:numStyleLink w:val="AlphaList"/>
  </w:abstractNum>
  <w:abstractNum w:abstractNumId="29" w15:restartNumberingAfterBreak="0">
    <w:nsid w:val="48936D4C"/>
    <w:multiLevelType w:val="multilevel"/>
    <w:tmpl w:val="1B2E107C"/>
    <w:numStyleLink w:val="Headings"/>
  </w:abstractNum>
  <w:abstractNum w:abstractNumId="30" w15:restartNumberingAfterBreak="0">
    <w:nsid w:val="48A52E75"/>
    <w:multiLevelType w:val="multilevel"/>
    <w:tmpl w:val="BE2AD7E0"/>
    <w:styleLink w:val="NumberedList"/>
    <w:lvl w:ilvl="0">
      <w:start w:val="1"/>
      <w:numFmt w:val="decimal"/>
      <w:lvlText w:val="%1."/>
      <w:lvlJc w:val="left"/>
      <w:pPr>
        <w:ind w:left="357" w:hanging="357"/>
      </w:pPr>
      <w:rPr>
        <w:rFonts w:hint="default"/>
        <w:b w:val="0"/>
        <w:i w:val="0"/>
        <w:color w:val="585858" w:themeColor="text2"/>
      </w:rPr>
    </w:lvl>
    <w:lvl w:ilvl="1">
      <w:start w:val="1"/>
      <w:numFmt w:val="lowerLetter"/>
      <w:lvlText w:val="%2."/>
      <w:lvlJc w:val="left"/>
      <w:pPr>
        <w:ind w:left="714" w:hanging="357"/>
      </w:pPr>
      <w:rPr>
        <w:rFonts w:hint="default"/>
        <w:b w:val="0"/>
        <w:i w:val="0"/>
        <w:color w:val="585858" w:themeColor="text2"/>
      </w:rPr>
    </w:lvl>
    <w:lvl w:ilvl="2">
      <w:start w:val="1"/>
      <w:numFmt w:val="lowerRoman"/>
      <w:lvlText w:val="%3."/>
      <w:lvlJc w:val="left"/>
      <w:pPr>
        <w:ind w:left="1071" w:hanging="357"/>
      </w:pPr>
      <w:rPr>
        <w:rFonts w:hint="default"/>
        <w:b w:val="0"/>
        <w:i w:val="0"/>
        <w:color w:val="585858" w:themeColor="text2"/>
      </w:rPr>
    </w:lvl>
    <w:lvl w:ilvl="3">
      <w:start w:val="1"/>
      <w:numFmt w:val="none"/>
      <w:lvlText w:val=""/>
      <w:lvlJc w:val="left"/>
      <w:pPr>
        <w:tabs>
          <w:tab w:val="num" w:pos="1072"/>
        </w:tabs>
        <w:ind w:left="1072" w:firstLine="0"/>
      </w:pPr>
      <w:rPr>
        <w:rFonts w:hint="default"/>
      </w:rPr>
    </w:lvl>
    <w:lvl w:ilvl="4">
      <w:start w:val="1"/>
      <w:numFmt w:val="none"/>
      <w:lvlText w:val=""/>
      <w:lvlJc w:val="left"/>
      <w:pPr>
        <w:ind w:left="1072" w:firstLine="0"/>
      </w:pPr>
      <w:rPr>
        <w:rFonts w:hint="default"/>
      </w:rPr>
    </w:lvl>
    <w:lvl w:ilvl="5">
      <w:start w:val="1"/>
      <w:numFmt w:val="none"/>
      <w:lvlText w:val=""/>
      <w:lvlJc w:val="left"/>
      <w:pPr>
        <w:ind w:left="1072" w:firstLine="0"/>
      </w:pPr>
      <w:rPr>
        <w:rFonts w:hint="default"/>
      </w:rPr>
    </w:lvl>
    <w:lvl w:ilvl="6">
      <w:start w:val="1"/>
      <w:numFmt w:val="none"/>
      <w:lvlText w:val=""/>
      <w:lvlJc w:val="left"/>
      <w:pPr>
        <w:ind w:left="1072" w:firstLine="0"/>
      </w:pPr>
      <w:rPr>
        <w:rFonts w:hint="default"/>
      </w:rPr>
    </w:lvl>
    <w:lvl w:ilvl="7">
      <w:start w:val="1"/>
      <w:numFmt w:val="none"/>
      <w:lvlText w:val=""/>
      <w:lvlJc w:val="left"/>
      <w:pPr>
        <w:ind w:left="1072" w:firstLine="0"/>
      </w:pPr>
      <w:rPr>
        <w:rFonts w:hint="default"/>
      </w:rPr>
    </w:lvl>
    <w:lvl w:ilvl="8">
      <w:start w:val="1"/>
      <w:numFmt w:val="none"/>
      <w:lvlText w:val=""/>
      <w:lvlJc w:val="left"/>
      <w:pPr>
        <w:ind w:left="1072" w:firstLine="0"/>
      </w:pPr>
      <w:rPr>
        <w:rFonts w:hint="default"/>
      </w:rPr>
    </w:lvl>
  </w:abstractNum>
  <w:abstractNum w:abstractNumId="31" w15:restartNumberingAfterBreak="0">
    <w:nsid w:val="4B3456D1"/>
    <w:multiLevelType w:val="hybridMultilevel"/>
    <w:tmpl w:val="EF3C5598"/>
    <w:lvl w:ilvl="0" w:tplc="0834336A">
      <w:start w:val="1"/>
      <w:numFmt w:val="bullet"/>
      <w:lvlText w:val=""/>
      <w:lvlJc w:val="left"/>
      <w:pPr>
        <w:ind w:left="720" w:hanging="360"/>
      </w:pPr>
      <w:rPr>
        <w:rFonts w:ascii="Symbol" w:hAnsi="Symbol" w:hint="default"/>
        <w:color w:val="1D336D"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D8C496F"/>
    <w:multiLevelType w:val="hybridMultilevel"/>
    <w:tmpl w:val="0AC0A6E6"/>
    <w:lvl w:ilvl="0" w:tplc="3A7AA360">
      <w:start w:val="1"/>
      <w:numFmt w:val="bullet"/>
      <w:lvlText w:val=""/>
      <w:lvlJc w:val="left"/>
      <w:pPr>
        <w:ind w:left="644" w:hanging="360"/>
      </w:pPr>
      <w:rPr>
        <w:rFonts w:ascii="Symbol" w:hAnsi="Symbol" w:hint="default"/>
        <w:color w:val="1D336D" w:themeColor="background2"/>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3" w15:restartNumberingAfterBreak="0">
    <w:nsid w:val="4F204247"/>
    <w:multiLevelType w:val="multilevel"/>
    <w:tmpl w:val="5B0EA73C"/>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pStyle w:val="ListBullet4"/>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4F5B090C"/>
    <w:multiLevelType w:val="multilevel"/>
    <w:tmpl w:val="D3B8E568"/>
    <w:numStyleLink w:val="Bullets"/>
  </w:abstractNum>
  <w:abstractNum w:abstractNumId="35" w15:restartNumberingAfterBreak="0">
    <w:nsid w:val="511A2718"/>
    <w:multiLevelType w:val="hybridMultilevel"/>
    <w:tmpl w:val="58AAE5AE"/>
    <w:lvl w:ilvl="0" w:tplc="F992DE8A">
      <w:start w:val="1"/>
      <w:numFmt w:val="bullet"/>
      <w:lvlText w:val=""/>
      <w:lvlJc w:val="left"/>
      <w:pPr>
        <w:ind w:left="720" w:hanging="360"/>
      </w:pPr>
      <w:rPr>
        <w:rFonts w:ascii="Symbol" w:hAnsi="Symbol" w:hint="default"/>
        <w:color w:val="1D336D"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BEA6791"/>
    <w:multiLevelType w:val="hybridMultilevel"/>
    <w:tmpl w:val="EBB296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625B1BF3"/>
    <w:multiLevelType w:val="hybridMultilevel"/>
    <w:tmpl w:val="D8CEE6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627D1F93"/>
    <w:multiLevelType w:val="multilevel"/>
    <w:tmpl w:val="A9FA82B6"/>
    <w:styleLink w:val="AlphaList"/>
    <w:lvl w:ilvl="0">
      <w:start w:val="1"/>
      <w:numFmt w:val="lowerLetter"/>
      <w:lvlText w:val="%1."/>
      <w:lvlJc w:val="left"/>
      <w:pPr>
        <w:ind w:left="284" w:hanging="284"/>
      </w:pPr>
      <w:rPr>
        <w:rFonts w:hint="default"/>
        <w:b w:val="0"/>
        <w:color w:val="2294CD"/>
      </w:rPr>
    </w:lvl>
    <w:lvl w:ilvl="1">
      <w:start w:val="1"/>
      <w:numFmt w:val="lowerRoman"/>
      <w:lvlText w:val="%2."/>
      <w:lvlJc w:val="left"/>
      <w:pPr>
        <w:ind w:left="568" w:hanging="284"/>
      </w:pPr>
      <w:rPr>
        <w:rFonts w:hint="default"/>
        <w:b w:val="0"/>
        <w:color w:val="2294CD"/>
      </w:rPr>
    </w:lvl>
    <w:lvl w:ilvl="2">
      <w:start w:val="1"/>
      <w:numFmt w:val="decimal"/>
      <w:lvlText w:val="%3."/>
      <w:lvlJc w:val="left"/>
      <w:pPr>
        <w:ind w:left="852" w:hanging="284"/>
      </w:pPr>
      <w:rPr>
        <w:rFonts w:hint="default"/>
        <w:b w:val="0"/>
        <w:color w:val="2294CD"/>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39" w15:restartNumberingAfterBreak="0">
    <w:nsid w:val="63836C09"/>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6541425A"/>
    <w:multiLevelType w:val="hybridMultilevel"/>
    <w:tmpl w:val="7B3C2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E42361C"/>
    <w:multiLevelType w:val="multilevel"/>
    <w:tmpl w:val="A9FA82B6"/>
    <w:numStyleLink w:val="AlphaList"/>
  </w:abstractNum>
  <w:abstractNum w:abstractNumId="42" w15:restartNumberingAfterBreak="0">
    <w:nsid w:val="745654CD"/>
    <w:multiLevelType w:val="hybridMultilevel"/>
    <w:tmpl w:val="0D8629A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50E5B66"/>
    <w:multiLevelType w:val="hybridMultilevel"/>
    <w:tmpl w:val="D7C06622"/>
    <w:lvl w:ilvl="0" w:tplc="B2E44F78">
      <w:start w:val="1"/>
      <w:numFmt w:val="bullet"/>
      <w:lvlText w:val=""/>
      <w:lvlJc w:val="left"/>
      <w:pPr>
        <w:ind w:left="720" w:hanging="360"/>
      </w:pPr>
      <w:rPr>
        <w:rFonts w:ascii="Symbol" w:hAnsi="Symbol" w:hint="default"/>
        <w:color w:val="1D336D"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97E16EC"/>
    <w:multiLevelType w:val="hybridMultilevel"/>
    <w:tmpl w:val="31DC38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7D8B1E01"/>
    <w:multiLevelType w:val="hybridMultilevel"/>
    <w:tmpl w:val="40F66F94"/>
    <w:lvl w:ilvl="0" w:tplc="F6E07564">
      <w:start w:val="1"/>
      <w:numFmt w:val="bullet"/>
      <w:lvlText w:val=""/>
      <w:lvlJc w:val="left"/>
      <w:pPr>
        <w:ind w:left="720" w:hanging="360"/>
      </w:pPr>
      <w:rPr>
        <w:rFonts w:ascii="Symbol" w:hAnsi="Symbol" w:hint="default"/>
        <w:color w:val="1D336D"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095392216">
    <w:abstractNumId w:val="38"/>
  </w:num>
  <w:num w:numId="2" w16cid:durableId="292830998">
    <w:abstractNumId w:val="27"/>
  </w:num>
  <w:num w:numId="3" w16cid:durableId="165943352">
    <w:abstractNumId w:val="30"/>
  </w:num>
  <w:num w:numId="4" w16cid:durableId="315260285">
    <w:abstractNumId w:val="33"/>
  </w:num>
  <w:num w:numId="5" w16cid:durableId="2012029032">
    <w:abstractNumId w:val="16"/>
  </w:num>
  <w:num w:numId="6" w16cid:durableId="564491521">
    <w:abstractNumId w:val="1"/>
  </w:num>
  <w:num w:numId="7" w16cid:durableId="447703488">
    <w:abstractNumId w:val="15"/>
  </w:num>
  <w:num w:numId="8" w16cid:durableId="1371540333">
    <w:abstractNumId w:val="3"/>
  </w:num>
  <w:num w:numId="9" w16cid:durableId="538518382">
    <w:abstractNumId w:val="21"/>
  </w:num>
  <w:num w:numId="10" w16cid:durableId="1326713448">
    <w:abstractNumId w:val="13"/>
  </w:num>
  <w:num w:numId="11" w16cid:durableId="1991902797">
    <w:abstractNumId w:val="34"/>
  </w:num>
  <w:num w:numId="12" w16cid:durableId="1372337585">
    <w:abstractNumId w:val="41"/>
  </w:num>
  <w:num w:numId="13" w16cid:durableId="539362987">
    <w:abstractNumId w:val="5"/>
  </w:num>
  <w:num w:numId="14" w16cid:durableId="1974872713">
    <w:abstractNumId w:val="23"/>
  </w:num>
  <w:num w:numId="15" w16cid:durableId="2105877557">
    <w:abstractNumId w:val="37"/>
  </w:num>
  <w:num w:numId="16" w16cid:durableId="1336227265">
    <w:abstractNumId w:val="44"/>
  </w:num>
  <w:num w:numId="17" w16cid:durableId="1158300653">
    <w:abstractNumId w:val="4"/>
  </w:num>
  <w:num w:numId="18" w16cid:durableId="993290058">
    <w:abstractNumId w:val="20"/>
  </w:num>
  <w:num w:numId="19" w16cid:durableId="1010181415">
    <w:abstractNumId w:val="10"/>
  </w:num>
  <w:num w:numId="20" w16cid:durableId="1068840109">
    <w:abstractNumId w:val="7"/>
  </w:num>
  <w:num w:numId="21" w16cid:durableId="2105176758">
    <w:abstractNumId w:val="11"/>
  </w:num>
  <w:num w:numId="22" w16cid:durableId="323247447">
    <w:abstractNumId w:val="19"/>
  </w:num>
  <w:num w:numId="23" w16cid:durableId="866452919">
    <w:abstractNumId w:val="14"/>
  </w:num>
  <w:num w:numId="24" w16cid:durableId="1089808879">
    <w:abstractNumId w:val="28"/>
  </w:num>
  <w:num w:numId="25" w16cid:durableId="509297213">
    <w:abstractNumId w:val="29"/>
  </w:num>
  <w:num w:numId="26" w16cid:durableId="1994336974">
    <w:abstractNumId w:val="12"/>
  </w:num>
  <w:num w:numId="27" w16cid:durableId="6718926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52818269">
    <w:abstractNumId w:val="17"/>
  </w:num>
  <w:num w:numId="29" w16cid:durableId="1501307154">
    <w:abstractNumId w:val="40"/>
  </w:num>
  <w:num w:numId="30" w16cid:durableId="1504052531">
    <w:abstractNumId w:val="42"/>
  </w:num>
  <w:num w:numId="31" w16cid:durableId="454131677">
    <w:abstractNumId w:val="24"/>
  </w:num>
  <w:num w:numId="32" w16cid:durableId="225996183">
    <w:abstractNumId w:val="0"/>
  </w:num>
  <w:num w:numId="33" w16cid:durableId="2005469162">
    <w:abstractNumId w:val="32"/>
  </w:num>
  <w:num w:numId="34" w16cid:durableId="1811706117">
    <w:abstractNumId w:val="9"/>
  </w:num>
  <w:num w:numId="35" w16cid:durableId="1150635918">
    <w:abstractNumId w:val="25"/>
  </w:num>
  <w:num w:numId="36" w16cid:durableId="884751169">
    <w:abstractNumId w:val="45"/>
  </w:num>
  <w:num w:numId="37" w16cid:durableId="1341933230">
    <w:abstractNumId w:val="26"/>
  </w:num>
  <w:num w:numId="38" w16cid:durableId="1379741340">
    <w:abstractNumId w:val="36"/>
  </w:num>
  <w:num w:numId="39" w16cid:durableId="1914588192">
    <w:abstractNumId w:val="18"/>
  </w:num>
  <w:num w:numId="40" w16cid:durableId="1029256312">
    <w:abstractNumId w:val="8"/>
  </w:num>
  <w:num w:numId="41" w16cid:durableId="91171061">
    <w:abstractNumId w:val="2"/>
  </w:num>
  <w:num w:numId="42" w16cid:durableId="540943054">
    <w:abstractNumId w:val="43"/>
  </w:num>
  <w:num w:numId="43" w16cid:durableId="283119214">
    <w:abstractNumId w:val="35"/>
  </w:num>
  <w:num w:numId="44" w16cid:durableId="1532375398">
    <w:abstractNumId w:val="39"/>
  </w:num>
  <w:num w:numId="45" w16cid:durableId="1729838042">
    <w:abstractNumId w:val="31"/>
  </w:num>
  <w:num w:numId="46" w16cid:durableId="1526291503">
    <w:abstractNumId w:val="22"/>
  </w:num>
  <w:num w:numId="47" w16cid:durableId="1653605282">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284"/>
  <w:drawingGridHorizontalSpacing w:val="120"/>
  <w:displayHorizontalDrawingGridEvery w:val="2"/>
  <w:characterSpacingControl w:val="doNotCompress"/>
  <w:hdrShapeDefaults>
    <o:shapedefaults v:ext="edit" spidmax="2050" style="mso-position-vertical-relative:line;v-text-anchor:middle" fillcolor="none [3215]" strokecolor="none [2415]">
      <v:fill color="none [3215]"/>
      <v:stroke color="none [2415]" weight="5pt"/>
      <v:textbox inset=",2.5mm,,2.5mm"/>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6AC6"/>
    <w:rsid w:val="000003E6"/>
    <w:rsid w:val="00001959"/>
    <w:rsid w:val="00004AA8"/>
    <w:rsid w:val="000050FC"/>
    <w:rsid w:val="00005AFD"/>
    <w:rsid w:val="0000609C"/>
    <w:rsid w:val="00007268"/>
    <w:rsid w:val="0001077D"/>
    <w:rsid w:val="0001126F"/>
    <w:rsid w:val="00011375"/>
    <w:rsid w:val="000127F9"/>
    <w:rsid w:val="0001486F"/>
    <w:rsid w:val="0001536E"/>
    <w:rsid w:val="00015459"/>
    <w:rsid w:val="00016B88"/>
    <w:rsid w:val="0002037B"/>
    <w:rsid w:val="0002043C"/>
    <w:rsid w:val="000209FA"/>
    <w:rsid w:val="00020AE2"/>
    <w:rsid w:val="00021845"/>
    <w:rsid w:val="000220C2"/>
    <w:rsid w:val="000224D3"/>
    <w:rsid w:val="00022A8F"/>
    <w:rsid w:val="000240E6"/>
    <w:rsid w:val="00024461"/>
    <w:rsid w:val="00024695"/>
    <w:rsid w:val="00025401"/>
    <w:rsid w:val="00025F60"/>
    <w:rsid w:val="000265FB"/>
    <w:rsid w:val="00026813"/>
    <w:rsid w:val="00026B4B"/>
    <w:rsid w:val="000271EC"/>
    <w:rsid w:val="000276FF"/>
    <w:rsid w:val="0003027C"/>
    <w:rsid w:val="000304E6"/>
    <w:rsid w:val="00030607"/>
    <w:rsid w:val="000309E7"/>
    <w:rsid w:val="0003140E"/>
    <w:rsid w:val="000324BC"/>
    <w:rsid w:val="000342E1"/>
    <w:rsid w:val="000347A3"/>
    <w:rsid w:val="00035408"/>
    <w:rsid w:val="00035763"/>
    <w:rsid w:val="00035EC9"/>
    <w:rsid w:val="00036705"/>
    <w:rsid w:val="000379AA"/>
    <w:rsid w:val="000407BC"/>
    <w:rsid w:val="00042DF4"/>
    <w:rsid w:val="00043CB5"/>
    <w:rsid w:val="000456A7"/>
    <w:rsid w:val="0004598B"/>
    <w:rsid w:val="000459C5"/>
    <w:rsid w:val="000463B6"/>
    <w:rsid w:val="00046A9C"/>
    <w:rsid w:val="00046C02"/>
    <w:rsid w:val="00046EC3"/>
    <w:rsid w:val="0004770B"/>
    <w:rsid w:val="00047FD8"/>
    <w:rsid w:val="00050875"/>
    <w:rsid w:val="000517C7"/>
    <w:rsid w:val="00051B12"/>
    <w:rsid w:val="000522C3"/>
    <w:rsid w:val="000525C0"/>
    <w:rsid w:val="000526D5"/>
    <w:rsid w:val="00053E93"/>
    <w:rsid w:val="00053F5C"/>
    <w:rsid w:val="00053FFD"/>
    <w:rsid w:val="000543A3"/>
    <w:rsid w:val="00054B50"/>
    <w:rsid w:val="0005508E"/>
    <w:rsid w:val="00055A1C"/>
    <w:rsid w:val="00055BC6"/>
    <w:rsid w:val="00056D48"/>
    <w:rsid w:val="0006253A"/>
    <w:rsid w:val="00062D29"/>
    <w:rsid w:val="00063BB3"/>
    <w:rsid w:val="00063F4E"/>
    <w:rsid w:val="0006434B"/>
    <w:rsid w:val="00066FCB"/>
    <w:rsid w:val="000673C6"/>
    <w:rsid w:val="0006753B"/>
    <w:rsid w:val="00067CE3"/>
    <w:rsid w:val="0007069D"/>
    <w:rsid w:val="00070F93"/>
    <w:rsid w:val="0007128B"/>
    <w:rsid w:val="00072289"/>
    <w:rsid w:val="00072ED8"/>
    <w:rsid w:val="00074499"/>
    <w:rsid w:val="00074787"/>
    <w:rsid w:val="00074B14"/>
    <w:rsid w:val="00077510"/>
    <w:rsid w:val="000775BA"/>
    <w:rsid w:val="00081252"/>
    <w:rsid w:val="000819EE"/>
    <w:rsid w:val="00082288"/>
    <w:rsid w:val="00083089"/>
    <w:rsid w:val="000839CE"/>
    <w:rsid w:val="00083BED"/>
    <w:rsid w:val="00083ECA"/>
    <w:rsid w:val="00086D1D"/>
    <w:rsid w:val="000877DB"/>
    <w:rsid w:val="000902BB"/>
    <w:rsid w:val="00091524"/>
    <w:rsid w:val="0009259C"/>
    <w:rsid w:val="00092CE0"/>
    <w:rsid w:val="00093B4D"/>
    <w:rsid w:val="000943E0"/>
    <w:rsid w:val="000953D7"/>
    <w:rsid w:val="000A195D"/>
    <w:rsid w:val="000A30B9"/>
    <w:rsid w:val="000A30CF"/>
    <w:rsid w:val="000A3237"/>
    <w:rsid w:val="000A32D1"/>
    <w:rsid w:val="000A36FD"/>
    <w:rsid w:val="000A3E82"/>
    <w:rsid w:val="000A491E"/>
    <w:rsid w:val="000A5984"/>
    <w:rsid w:val="000A62D2"/>
    <w:rsid w:val="000A7132"/>
    <w:rsid w:val="000A7653"/>
    <w:rsid w:val="000B0B79"/>
    <w:rsid w:val="000B15F2"/>
    <w:rsid w:val="000B1AF9"/>
    <w:rsid w:val="000B1DAE"/>
    <w:rsid w:val="000B2095"/>
    <w:rsid w:val="000B21A6"/>
    <w:rsid w:val="000B2E2F"/>
    <w:rsid w:val="000B3066"/>
    <w:rsid w:val="000B3394"/>
    <w:rsid w:val="000B36AF"/>
    <w:rsid w:val="000B3981"/>
    <w:rsid w:val="000B4A59"/>
    <w:rsid w:val="000B4B24"/>
    <w:rsid w:val="000B4CFE"/>
    <w:rsid w:val="000B5FF9"/>
    <w:rsid w:val="000B6D7E"/>
    <w:rsid w:val="000B7E04"/>
    <w:rsid w:val="000B7F5D"/>
    <w:rsid w:val="000C0EFB"/>
    <w:rsid w:val="000C0FD8"/>
    <w:rsid w:val="000C1B5D"/>
    <w:rsid w:val="000C212D"/>
    <w:rsid w:val="000C22AF"/>
    <w:rsid w:val="000C2418"/>
    <w:rsid w:val="000C3369"/>
    <w:rsid w:val="000C360C"/>
    <w:rsid w:val="000C39B1"/>
    <w:rsid w:val="000C3B03"/>
    <w:rsid w:val="000C3F76"/>
    <w:rsid w:val="000C448A"/>
    <w:rsid w:val="000C49D6"/>
    <w:rsid w:val="000C51BA"/>
    <w:rsid w:val="000C5F6D"/>
    <w:rsid w:val="000D3E85"/>
    <w:rsid w:val="000D3F89"/>
    <w:rsid w:val="000D6D7E"/>
    <w:rsid w:val="000E028C"/>
    <w:rsid w:val="000E1FBC"/>
    <w:rsid w:val="000E33D3"/>
    <w:rsid w:val="000E38F0"/>
    <w:rsid w:val="000E3939"/>
    <w:rsid w:val="000E4D96"/>
    <w:rsid w:val="000E513A"/>
    <w:rsid w:val="000E6CC4"/>
    <w:rsid w:val="000E6F27"/>
    <w:rsid w:val="000E71D4"/>
    <w:rsid w:val="000E7343"/>
    <w:rsid w:val="000E78EB"/>
    <w:rsid w:val="000F0378"/>
    <w:rsid w:val="000F126B"/>
    <w:rsid w:val="000F3CDD"/>
    <w:rsid w:val="000F42FF"/>
    <w:rsid w:val="000F52A4"/>
    <w:rsid w:val="000F54C4"/>
    <w:rsid w:val="000F70E3"/>
    <w:rsid w:val="000F7286"/>
    <w:rsid w:val="00100070"/>
    <w:rsid w:val="001004F5"/>
    <w:rsid w:val="00100721"/>
    <w:rsid w:val="001014F7"/>
    <w:rsid w:val="00101F43"/>
    <w:rsid w:val="00102EE5"/>
    <w:rsid w:val="001034BC"/>
    <w:rsid w:val="00103CF7"/>
    <w:rsid w:val="00104A7A"/>
    <w:rsid w:val="00104C17"/>
    <w:rsid w:val="00105B50"/>
    <w:rsid w:val="00107AD8"/>
    <w:rsid w:val="0011106A"/>
    <w:rsid w:val="0011110B"/>
    <w:rsid w:val="00111461"/>
    <w:rsid w:val="00112B48"/>
    <w:rsid w:val="0011386C"/>
    <w:rsid w:val="001140BF"/>
    <w:rsid w:val="00116B55"/>
    <w:rsid w:val="00117771"/>
    <w:rsid w:val="00120EF0"/>
    <w:rsid w:val="0012199B"/>
    <w:rsid w:val="0012294A"/>
    <w:rsid w:val="00122BB4"/>
    <w:rsid w:val="0012682B"/>
    <w:rsid w:val="00127270"/>
    <w:rsid w:val="00132BFC"/>
    <w:rsid w:val="00134967"/>
    <w:rsid w:val="001355F3"/>
    <w:rsid w:val="00135727"/>
    <w:rsid w:val="00136527"/>
    <w:rsid w:val="00136CC4"/>
    <w:rsid w:val="00137CD2"/>
    <w:rsid w:val="001400B8"/>
    <w:rsid w:val="001407AE"/>
    <w:rsid w:val="00141020"/>
    <w:rsid w:val="001416EB"/>
    <w:rsid w:val="00142898"/>
    <w:rsid w:val="00143043"/>
    <w:rsid w:val="00143049"/>
    <w:rsid w:val="00143571"/>
    <w:rsid w:val="00143588"/>
    <w:rsid w:val="00143F85"/>
    <w:rsid w:val="001442E2"/>
    <w:rsid w:val="00144427"/>
    <w:rsid w:val="00145656"/>
    <w:rsid w:val="00145BD6"/>
    <w:rsid w:val="00147AC3"/>
    <w:rsid w:val="00150362"/>
    <w:rsid w:val="001507F4"/>
    <w:rsid w:val="00151114"/>
    <w:rsid w:val="00151D22"/>
    <w:rsid w:val="0015269E"/>
    <w:rsid w:val="00152F9A"/>
    <w:rsid w:val="0015537A"/>
    <w:rsid w:val="00157FE8"/>
    <w:rsid w:val="00160F3F"/>
    <w:rsid w:val="001622C8"/>
    <w:rsid w:val="00162BAC"/>
    <w:rsid w:val="001655B6"/>
    <w:rsid w:val="00165AB5"/>
    <w:rsid w:val="00166A6F"/>
    <w:rsid w:val="00167938"/>
    <w:rsid w:val="001703BA"/>
    <w:rsid w:val="00170766"/>
    <w:rsid w:val="001712B1"/>
    <w:rsid w:val="00171920"/>
    <w:rsid w:val="00172CB1"/>
    <w:rsid w:val="0017318C"/>
    <w:rsid w:val="00174E87"/>
    <w:rsid w:val="00176C27"/>
    <w:rsid w:val="00176DD0"/>
    <w:rsid w:val="00176E23"/>
    <w:rsid w:val="00177AD1"/>
    <w:rsid w:val="0018069E"/>
    <w:rsid w:val="001809D5"/>
    <w:rsid w:val="00180F04"/>
    <w:rsid w:val="00181DB0"/>
    <w:rsid w:val="00182E8A"/>
    <w:rsid w:val="0018394F"/>
    <w:rsid w:val="0018412C"/>
    <w:rsid w:val="00185AA3"/>
    <w:rsid w:val="001860A5"/>
    <w:rsid w:val="00186A2C"/>
    <w:rsid w:val="00186AE5"/>
    <w:rsid w:val="0018727F"/>
    <w:rsid w:val="0018769B"/>
    <w:rsid w:val="0019043F"/>
    <w:rsid w:val="00190B93"/>
    <w:rsid w:val="00190F8F"/>
    <w:rsid w:val="00192398"/>
    <w:rsid w:val="0019371D"/>
    <w:rsid w:val="00193AED"/>
    <w:rsid w:val="00194D28"/>
    <w:rsid w:val="001958BA"/>
    <w:rsid w:val="00195915"/>
    <w:rsid w:val="00195957"/>
    <w:rsid w:val="00195CE9"/>
    <w:rsid w:val="001963FE"/>
    <w:rsid w:val="001964FA"/>
    <w:rsid w:val="001976C2"/>
    <w:rsid w:val="001A2E76"/>
    <w:rsid w:val="001A338A"/>
    <w:rsid w:val="001A5432"/>
    <w:rsid w:val="001A5B5C"/>
    <w:rsid w:val="001A5CF3"/>
    <w:rsid w:val="001A720E"/>
    <w:rsid w:val="001A7F27"/>
    <w:rsid w:val="001B012D"/>
    <w:rsid w:val="001B0375"/>
    <w:rsid w:val="001B0BF5"/>
    <w:rsid w:val="001B2A99"/>
    <w:rsid w:val="001B318D"/>
    <w:rsid w:val="001B31F5"/>
    <w:rsid w:val="001B336F"/>
    <w:rsid w:val="001B3E08"/>
    <w:rsid w:val="001B46FB"/>
    <w:rsid w:val="001B6338"/>
    <w:rsid w:val="001C03FA"/>
    <w:rsid w:val="001C1106"/>
    <w:rsid w:val="001C15C4"/>
    <w:rsid w:val="001C1EC7"/>
    <w:rsid w:val="001C2338"/>
    <w:rsid w:val="001C27A3"/>
    <w:rsid w:val="001C4075"/>
    <w:rsid w:val="001C4237"/>
    <w:rsid w:val="001C475D"/>
    <w:rsid w:val="001C5253"/>
    <w:rsid w:val="001C5444"/>
    <w:rsid w:val="001C55C9"/>
    <w:rsid w:val="001C583F"/>
    <w:rsid w:val="001C600A"/>
    <w:rsid w:val="001C6589"/>
    <w:rsid w:val="001C718A"/>
    <w:rsid w:val="001C75BB"/>
    <w:rsid w:val="001C7B77"/>
    <w:rsid w:val="001D19C1"/>
    <w:rsid w:val="001D1A03"/>
    <w:rsid w:val="001D2BFE"/>
    <w:rsid w:val="001D35AB"/>
    <w:rsid w:val="001D3CF6"/>
    <w:rsid w:val="001D4792"/>
    <w:rsid w:val="001D5A77"/>
    <w:rsid w:val="001D5F06"/>
    <w:rsid w:val="001D73D5"/>
    <w:rsid w:val="001E0291"/>
    <w:rsid w:val="001E02B8"/>
    <w:rsid w:val="001E0AA5"/>
    <w:rsid w:val="001E0AA9"/>
    <w:rsid w:val="001E1589"/>
    <w:rsid w:val="001E1958"/>
    <w:rsid w:val="001E3D27"/>
    <w:rsid w:val="001E3DD0"/>
    <w:rsid w:val="001E41F6"/>
    <w:rsid w:val="001E4485"/>
    <w:rsid w:val="001E5F24"/>
    <w:rsid w:val="001E7470"/>
    <w:rsid w:val="001E7A4D"/>
    <w:rsid w:val="001E7CB7"/>
    <w:rsid w:val="001F341E"/>
    <w:rsid w:val="001F4066"/>
    <w:rsid w:val="001F4A0A"/>
    <w:rsid w:val="001F553E"/>
    <w:rsid w:val="001F61C5"/>
    <w:rsid w:val="001F6549"/>
    <w:rsid w:val="001F6558"/>
    <w:rsid w:val="001F6DC1"/>
    <w:rsid w:val="001F7686"/>
    <w:rsid w:val="002002BF"/>
    <w:rsid w:val="00200688"/>
    <w:rsid w:val="00201220"/>
    <w:rsid w:val="00201903"/>
    <w:rsid w:val="00201A5F"/>
    <w:rsid w:val="00205970"/>
    <w:rsid w:val="00205EB1"/>
    <w:rsid w:val="00205F75"/>
    <w:rsid w:val="002062EE"/>
    <w:rsid w:val="002066DA"/>
    <w:rsid w:val="002066F4"/>
    <w:rsid w:val="00206BE0"/>
    <w:rsid w:val="00206DBA"/>
    <w:rsid w:val="002101CB"/>
    <w:rsid w:val="00210F42"/>
    <w:rsid w:val="0021388D"/>
    <w:rsid w:val="00215C4A"/>
    <w:rsid w:val="00217E2C"/>
    <w:rsid w:val="00217E6A"/>
    <w:rsid w:val="0022045A"/>
    <w:rsid w:val="00220C7B"/>
    <w:rsid w:val="0022245E"/>
    <w:rsid w:val="00227E43"/>
    <w:rsid w:val="00227E81"/>
    <w:rsid w:val="00231710"/>
    <w:rsid w:val="00231B50"/>
    <w:rsid w:val="00232982"/>
    <w:rsid w:val="00233E13"/>
    <w:rsid w:val="0023506B"/>
    <w:rsid w:val="00235163"/>
    <w:rsid w:val="002352A1"/>
    <w:rsid w:val="0023621A"/>
    <w:rsid w:val="00236967"/>
    <w:rsid w:val="00236A09"/>
    <w:rsid w:val="00237000"/>
    <w:rsid w:val="0023781F"/>
    <w:rsid w:val="00240013"/>
    <w:rsid w:val="00240804"/>
    <w:rsid w:val="00242A2E"/>
    <w:rsid w:val="0024368E"/>
    <w:rsid w:val="00243E44"/>
    <w:rsid w:val="00245999"/>
    <w:rsid w:val="0024708F"/>
    <w:rsid w:val="0024730E"/>
    <w:rsid w:val="002478F1"/>
    <w:rsid w:val="00247C59"/>
    <w:rsid w:val="00247C92"/>
    <w:rsid w:val="00250B5B"/>
    <w:rsid w:val="00250D7A"/>
    <w:rsid w:val="00251D18"/>
    <w:rsid w:val="00255262"/>
    <w:rsid w:val="00256167"/>
    <w:rsid w:val="00256EAB"/>
    <w:rsid w:val="00257027"/>
    <w:rsid w:val="00257DC5"/>
    <w:rsid w:val="0026061D"/>
    <w:rsid w:val="00260F26"/>
    <w:rsid w:val="00260F33"/>
    <w:rsid w:val="00261893"/>
    <w:rsid w:val="00262DCF"/>
    <w:rsid w:val="002634E3"/>
    <w:rsid w:val="002637CE"/>
    <w:rsid w:val="00263A5F"/>
    <w:rsid w:val="0026413C"/>
    <w:rsid w:val="00264788"/>
    <w:rsid w:val="00266A61"/>
    <w:rsid w:val="00267445"/>
    <w:rsid w:val="002677DA"/>
    <w:rsid w:val="00267B39"/>
    <w:rsid w:val="00270052"/>
    <w:rsid w:val="00270FFE"/>
    <w:rsid w:val="00272095"/>
    <w:rsid w:val="002723D8"/>
    <w:rsid w:val="0027294B"/>
    <w:rsid w:val="00273187"/>
    <w:rsid w:val="00273783"/>
    <w:rsid w:val="00275E93"/>
    <w:rsid w:val="002768E5"/>
    <w:rsid w:val="00276966"/>
    <w:rsid w:val="00280298"/>
    <w:rsid w:val="002802E2"/>
    <w:rsid w:val="00280608"/>
    <w:rsid w:val="00280904"/>
    <w:rsid w:val="00283614"/>
    <w:rsid w:val="00284EAB"/>
    <w:rsid w:val="0028504E"/>
    <w:rsid w:val="00287ABB"/>
    <w:rsid w:val="00290488"/>
    <w:rsid w:val="00290952"/>
    <w:rsid w:val="00291313"/>
    <w:rsid w:val="0029211F"/>
    <w:rsid w:val="002936C0"/>
    <w:rsid w:val="002938ED"/>
    <w:rsid w:val="00293A72"/>
    <w:rsid w:val="00293FB3"/>
    <w:rsid w:val="0029482E"/>
    <w:rsid w:val="00294B56"/>
    <w:rsid w:val="00294C01"/>
    <w:rsid w:val="0029582A"/>
    <w:rsid w:val="0029668E"/>
    <w:rsid w:val="002A187C"/>
    <w:rsid w:val="002A1EEF"/>
    <w:rsid w:val="002A27CF"/>
    <w:rsid w:val="002A280B"/>
    <w:rsid w:val="002A3105"/>
    <w:rsid w:val="002A3A94"/>
    <w:rsid w:val="002A40EA"/>
    <w:rsid w:val="002A6FE3"/>
    <w:rsid w:val="002A78E7"/>
    <w:rsid w:val="002A7E31"/>
    <w:rsid w:val="002B0173"/>
    <w:rsid w:val="002B03F1"/>
    <w:rsid w:val="002B08F5"/>
    <w:rsid w:val="002B0D8C"/>
    <w:rsid w:val="002B1157"/>
    <w:rsid w:val="002B1411"/>
    <w:rsid w:val="002B202B"/>
    <w:rsid w:val="002B21A2"/>
    <w:rsid w:val="002B2DBD"/>
    <w:rsid w:val="002B32D9"/>
    <w:rsid w:val="002B3991"/>
    <w:rsid w:val="002B46F5"/>
    <w:rsid w:val="002B5B91"/>
    <w:rsid w:val="002B60DA"/>
    <w:rsid w:val="002B624A"/>
    <w:rsid w:val="002B6D21"/>
    <w:rsid w:val="002B7213"/>
    <w:rsid w:val="002C0BF5"/>
    <w:rsid w:val="002C14F6"/>
    <w:rsid w:val="002C1BBC"/>
    <w:rsid w:val="002C216E"/>
    <w:rsid w:val="002C2175"/>
    <w:rsid w:val="002C411A"/>
    <w:rsid w:val="002C4AB9"/>
    <w:rsid w:val="002C5BBD"/>
    <w:rsid w:val="002C5C7C"/>
    <w:rsid w:val="002C5F66"/>
    <w:rsid w:val="002D20A5"/>
    <w:rsid w:val="002D2424"/>
    <w:rsid w:val="002D2D3F"/>
    <w:rsid w:val="002D3420"/>
    <w:rsid w:val="002D383E"/>
    <w:rsid w:val="002D48BF"/>
    <w:rsid w:val="002D501A"/>
    <w:rsid w:val="002D69E9"/>
    <w:rsid w:val="002D6EE8"/>
    <w:rsid w:val="002E07D4"/>
    <w:rsid w:val="002E1028"/>
    <w:rsid w:val="002E2558"/>
    <w:rsid w:val="002E3016"/>
    <w:rsid w:val="002E5F9C"/>
    <w:rsid w:val="002E687D"/>
    <w:rsid w:val="002E6F84"/>
    <w:rsid w:val="002E776B"/>
    <w:rsid w:val="002F0022"/>
    <w:rsid w:val="002F16FF"/>
    <w:rsid w:val="002F1B24"/>
    <w:rsid w:val="002F29C7"/>
    <w:rsid w:val="002F47D8"/>
    <w:rsid w:val="002F493E"/>
    <w:rsid w:val="002F4993"/>
    <w:rsid w:val="002F6EDD"/>
    <w:rsid w:val="002F7662"/>
    <w:rsid w:val="003000A0"/>
    <w:rsid w:val="0030016D"/>
    <w:rsid w:val="00301A3A"/>
    <w:rsid w:val="00301B90"/>
    <w:rsid w:val="00303D45"/>
    <w:rsid w:val="00306236"/>
    <w:rsid w:val="00306FD0"/>
    <w:rsid w:val="0030797B"/>
    <w:rsid w:val="00307F44"/>
    <w:rsid w:val="003103FE"/>
    <w:rsid w:val="00310B3A"/>
    <w:rsid w:val="00312298"/>
    <w:rsid w:val="00312B1C"/>
    <w:rsid w:val="00313909"/>
    <w:rsid w:val="00316B1B"/>
    <w:rsid w:val="00316B98"/>
    <w:rsid w:val="00316DC4"/>
    <w:rsid w:val="00317C81"/>
    <w:rsid w:val="00320961"/>
    <w:rsid w:val="00320EB3"/>
    <w:rsid w:val="0032164E"/>
    <w:rsid w:val="00323444"/>
    <w:rsid w:val="003237C5"/>
    <w:rsid w:val="003247F7"/>
    <w:rsid w:val="00324A96"/>
    <w:rsid w:val="00324EE8"/>
    <w:rsid w:val="00325DE4"/>
    <w:rsid w:val="00325FF6"/>
    <w:rsid w:val="003265E6"/>
    <w:rsid w:val="00326E18"/>
    <w:rsid w:val="00330009"/>
    <w:rsid w:val="003303E4"/>
    <w:rsid w:val="00330607"/>
    <w:rsid w:val="003307AE"/>
    <w:rsid w:val="003333D6"/>
    <w:rsid w:val="003337B3"/>
    <w:rsid w:val="003342D3"/>
    <w:rsid w:val="003346D7"/>
    <w:rsid w:val="003352AA"/>
    <w:rsid w:val="00336D8A"/>
    <w:rsid w:val="00340248"/>
    <w:rsid w:val="00340CAF"/>
    <w:rsid w:val="00341805"/>
    <w:rsid w:val="00341DC9"/>
    <w:rsid w:val="00341F32"/>
    <w:rsid w:val="003423F2"/>
    <w:rsid w:val="003437B8"/>
    <w:rsid w:val="00344BD0"/>
    <w:rsid w:val="003452CA"/>
    <w:rsid w:val="0034576E"/>
    <w:rsid w:val="00345999"/>
    <w:rsid w:val="00345FB8"/>
    <w:rsid w:val="0034692C"/>
    <w:rsid w:val="00346A90"/>
    <w:rsid w:val="00347F1E"/>
    <w:rsid w:val="00350149"/>
    <w:rsid w:val="00350E9A"/>
    <w:rsid w:val="00351CE0"/>
    <w:rsid w:val="00353A21"/>
    <w:rsid w:val="003552FE"/>
    <w:rsid w:val="0035556C"/>
    <w:rsid w:val="00356AF3"/>
    <w:rsid w:val="00357074"/>
    <w:rsid w:val="00357535"/>
    <w:rsid w:val="00357BED"/>
    <w:rsid w:val="0036068E"/>
    <w:rsid w:val="00361F7C"/>
    <w:rsid w:val="0036297E"/>
    <w:rsid w:val="0036342E"/>
    <w:rsid w:val="00363D2B"/>
    <w:rsid w:val="003644A2"/>
    <w:rsid w:val="00365474"/>
    <w:rsid w:val="00370794"/>
    <w:rsid w:val="00370804"/>
    <w:rsid w:val="003708E8"/>
    <w:rsid w:val="003708EB"/>
    <w:rsid w:val="00370945"/>
    <w:rsid w:val="003711E1"/>
    <w:rsid w:val="00372C8C"/>
    <w:rsid w:val="00372DC3"/>
    <w:rsid w:val="00373457"/>
    <w:rsid w:val="0037432C"/>
    <w:rsid w:val="00374E8E"/>
    <w:rsid w:val="00374F94"/>
    <w:rsid w:val="00375142"/>
    <w:rsid w:val="0037574A"/>
    <w:rsid w:val="00375A1D"/>
    <w:rsid w:val="00375A52"/>
    <w:rsid w:val="00375BE8"/>
    <w:rsid w:val="00375D84"/>
    <w:rsid w:val="0037607A"/>
    <w:rsid w:val="003768CB"/>
    <w:rsid w:val="00376F35"/>
    <w:rsid w:val="003800FD"/>
    <w:rsid w:val="00380878"/>
    <w:rsid w:val="00380ECD"/>
    <w:rsid w:val="003811A3"/>
    <w:rsid w:val="003812B1"/>
    <w:rsid w:val="00381BE8"/>
    <w:rsid w:val="00381E1E"/>
    <w:rsid w:val="00383618"/>
    <w:rsid w:val="00383CAC"/>
    <w:rsid w:val="00383DC1"/>
    <w:rsid w:val="0038585A"/>
    <w:rsid w:val="00385917"/>
    <w:rsid w:val="00386BAA"/>
    <w:rsid w:val="00386F8C"/>
    <w:rsid w:val="00390F56"/>
    <w:rsid w:val="00392010"/>
    <w:rsid w:val="003920BD"/>
    <w:rsid w:val="00392727"/>
    <w:rsid w:val="00392DE1"/>
    <w:rsid w:val="0039471C"/>
    <w:rsid w:val="00394C82"/>
    <w:rsid w:val="0039591C"/>
    <w:rsid w:val="00396FC2"/>
    <w:rsid w:val="00397754"/>
    <w:rsid w:val="003A128B"/>
    <w:rsid w:val="003A1572"/>
    <w:rsid w:val="003A1D72"/>
    <w:rsid w:val="003A2327"/>
    <w:rsid w:val="003A2C2C"/>
    <w:rsid w:val="003A363B"/>
    <w:rsid w:val="003A396B"/>
    <w:rsid w:val="003A5075"/>
    <w:rsid w:val="003A566F"/>
    <w:rsid w:val="003A578A"/>
    <w:rsid w:val="003A5A36"/>
    <w:rsid w:val="003A6C86"/>
    <w:rsid w:val="003A73C5"/>
    <w:rsid w:val="003B04F5"/>
    <w:rsid w:val="003B1493"/>
    <w:rsid w:val="003B1840"/>
    <w:rsid w:val="003B2212"/>
    <w:rsid w:val="003B3A39"/>
    <w:rsid w:val="003B3A6B"/>
    <w:rsid w:val="003B4BF8"/>
    <w:rsid w:val="003B5306"/>
    <w:rsid w:val="003B59F7"/>
    <w:rsid w:val="003B656A"/>
    <w:rsid w:val="003B71B1"/>
    <w:rsid w:val="003B7469"/>
    <w:rsid w:val="003B75A3"/>
    <w:rsid w:val="003B784C"/>
    <w:rsid w:val="003C0533"/>
    <w:rsid w:val="003C0CA5"/>
    <w:rsid w:val="003C15F4"/>
    <w:rsid w:val="003C1688"/>
    <w:rsid w:val="003C254E"/>
    <w:rsid w:val="003C3DA5"/>
    <w:rsid w:val="003C3F9B"/>
    <w:rsid w:val="003C45D7"/>
    <w:rsid w:val="003C56F9"/>
    <w:rsid w:val="003C57E3"/>
    <w:rsid w:val="003C6824"/>
    <w:rsid w:val="003C722F"/>
    <w:rsid w:val="003D01B4"/>
    <w:rsid w:val="003D0DF3"/>
    <w:rsid w:val="003D12CA"/>
    <w:rsid w:val="003D165A"/>
    <w:rsid w:val="003D223B"/>
    <w:rsid w:val="003D3667"/>
    <w:rsid w:val="003D4301"/>
    <w:rsid w:val="003D4940"/>
    <w:rsid w:val="003D4AE0"/>
    <w:rsid w:val="003D4EE8"/>
    <w:rsid w:val="003D53E1"/>
    <w:rsid w:val="003D5D3B"/>
    <w:rsid w:val="003D6429"/>
    <w:rsid w:val="003D6A5A"/>
    <w:rsid w:val="003D7307"/>
    <w:rsid w:val="003D77FE"/>
    <w:rsid w:val="003E0066"/>
    <w:rsid w:val="003E02BA"/>
    <w:rsid w:val="003E1526"/>
    <w:rsid w:val="003E24AE"/>
    <w:rsid w:val="003E4623"/>
    <w:rsid w:val="003E50FD"/>
    <w:rsid w:val="003E5D9C"/>
    <w:rsid w:val="003E5F74"/>
    <w:rsid w:val="003E748E"/>
    <w:rsid w:val="003E7C1D"/>
    <w:rsid w:val="003F00CA"/>
    <w:rsid w:val="003F079C"/>
    <w:rsid w:val="003F26A7"/>
    <w:rsid w:val="003F3120"/>
    <w:rsid w:val="003F3333"/>
    <w:rsid w:val="003F543B"/>
    <w:rsid w:val="003F56EB"/>
    <w:rsid w:val="003F710C"/>
    <w:rsid w:val="003F7635"/>
    <w:rsid w:val="003F7B6A"/>
    <w:rsid w:val="003F7DBE"/>
    <w:rsid w:val="00400296"/>
    <w:rsid w:val="00400477"/>
    <w:rsid w:val="0040094A"/>
    <w:rsid w:val="004010B3"/>
    <w:rsid w:val="0040244D"/>
    <w:rsid w:val="004057BE"/>
    <w:rsid w:val="0040596F"/>
    <w:rsid w:val="00406DB9"/>
    <w:rsid w:val="0040704B"/>
    <w:rsid w:val="004075B9"/>
    <w:rsid w:val="0041020A"/>
    <w:rsid w:val="004102C0"/>
    <w:rsid w:val="00410A3E"/>
    <w:rsid w:val="00410C6C"/>
    <w:rsid w:val="00410C73"/>
    <w:rsid w:val="00411909"/>
    <w:rsid w:val="00411B08"/>
    <w:rsid w:val="004124B9"/>
    <w:rsid w:val="00414667"/>
    <w:rsid w:val="00414C13"/>
    <w:rsid w:val="004152B9"/>
    <w:rsid w:val="00415976"/>
    <w:rsid w:val="00415AC2"/>
    <w:rsid w:val="00416C70"/>
    <w:rsid w:val="004202C9"/>
    <w:rsid w:val="00420D2A"/>
    <w:rsid w:val="0042165C"/>
    <w:rsid w:val="004218C3"/>
    <w:rsid w:val="00421A15"/>
    <w:rsid w:val="00423A42"/>
    <w:rsid w:val="004240C1"/>
    <w:rsid w:val="00424BFB"/>
    <w:rsid w:val="00425582"/>
    <w:rsid w:val="00426062"/>
    <w:rsid w:val="0042674B"/>
    <w:rsid w:val="004271B4"/>
    <w:rsid w:val="00427483"/>
    <w:rsid w:val="00427588"/>
    <w:rsid w:val="00432436"/>
    <w:rsid w:val="004343AB"/>
    <w:rsid w:val="004348A6"/>
    <w:rsid w:val="00435DD7"/>
    <w:rsid w:val="00436A81"/>
    <w:rsid w:val="00441A8E"/>
    <w:rsid w:val="00441B04"/>
    <w:rsid w:val="00442BA4"/>
    <w:rsid w:val="00442F52"/>
    <w:rsid w:val="0044656B"/>
    <w:rsid w:val="004467F1"/>
    <w:rsid w:val="0045022C"/>
    <w:rsid w:val="00450671"/>
    <w:rsid w:val="0045315A"/>
    <w:rsid w:val="004544E0"/>
    <w:rsid w:val="004546B0"/>
    <w:rsid w:val="00454892"/>
    <w:rsid w:val="0045492E"/>
    <w:rsid w:val="00454B93"/>
    <w:rsid w:val="00454EAB"/>
    <w:rsid w:val="00457359"/>
    <w:rsid w:val="00457BB5"/>
    <w:rsid w:val="00457F31"/>
    <w:rsid w:val="004606E8"/>
    <w:rsid w:val="00460717"/>
    <w:rsid w:val="004617D9"/>
    <w:rsid w:val="004619F5"/>
    <w:rsid w:val="00462E4B"/>
    <w:rsid w:val="00462F6D"/>
    <w:rsid w:val="00462F9F"/>
    <w:rsid w:val="00462FC3"/>
    <w:rsid w:val="00463CA8"/>
    <w:rsid w:val="00463DDC"/>
    <w:rsid w:val="0046706D"/>
    <w:rsid w:val="0046712F"/>
    <w:rsid w:val="00471429"/>
    <w:rsid w:val="004725D0"/>
    <w:rsid w:val="00472751"/>
    <w:rsid w:val="00472C9A"/>
    <w:rsid w:val="00473290"/>
    <w:rsid w:val="00474510"/>
    <w:rsid w:val="00475762"/>
    <w:rsid w:val="0047642C"/>
    <w:rsid w:val="00481D69"/>
    <w:rsid w:val="00481F0D"/>
    <w:rsid w:val="00482323"/>
    <w:rsid w:val="004829A5"/>
    <w:rsid w:val="004829C5"/>
    <w:rsid w:val="004830D6"/>
    <w:rsid w:val="00483189"/>
    <w:rsid w:val="00483CA4"/>
    <w:rsid w:val="00484999"/>
    <w:rsid w:val="004865F1"/>
    <w:rsid w:val="00492426"/>
    <w:rsid w:val="004940FC"/>
    <w:rsid w:val="004950CB"/>
    <w:rsid w:val="0049597B"/>
    <w:rsid w:val="004974AE"/>
    <w:rsid w:val="00497F74"/>
    <w:rsid w:val="004A0077"/>
    <w:rsid w:val="004A041B"/>
    <w:rsid w:val="004A06F9"/>
    <w:rsid w:val="004A12D1"/>
    <w:rsid w:val="004A15D2"/>
    <w:rsid w:val="004A42CA"/>
    <w:rsid w:val="004A4416"/>
    <w:rsid w:val="004A5B97"/>
    <w:rsid w:val="004A6A67"/>
    <w:rsid w:val="004A6F05"/>
    <w:rsid w:val="004A6FC2"/>
    <w:rsid w:val="004A6FE7"/>
    <w:rsid w:val="004A7658"/>
    <w:rsid w:val="004B0BF4"/>
    <w:rsid w:val="004B1446"/>
    <w:rsid w:val="004B1469"/>
    <w:rsid w:val="004B44EC"/>
    <w:rsid w:val="004B577E"/>
    <w:rsid w:val="004B5AEF"/>
    <w:rsid w:val="004B5D52"/>
    <w:rsid w:val="004B6A06"/>
    <w:rsid w:val="004B741C"/>
    <w:rsid w:val="004C0534"/>
    <w:rsid w:val="004C0FAD"/>
    <w:rsid w:val="004C1AD1"/>
    <w:rsid w:val="004C1BF7"/>
    <w:rsid w:val="004C238B"/>
    <w:rsid w:val="004C4291"/>
    <w:rsid w:val="004C48A0"/>
    <w:rsid w:val="004C6451"/>
    <w:rsid w:val="004C728A"/>
    <w:rsid w:val="004D042F"/>
    <w:rsid w:val="004D1407"/>
    <w:rsid w:val="004D2D0C"/>
    <w:rsid w:val="004D3B75"/>
    <w:rsid w:val="004D3F81"/>
    <w:rsid w:val="004D6094"/>
    <w:rsid w:val="004D730E"/>
    <w:rsid w:val="004E0DE1"/>
    <w:rsid w:val="004E1373"/>
    <w:rsid w:val="004E19A8"/>
    <w:rsid w:val="004E23EE"/>
    <w:rsid w:val="004E4C39"/>
    <w:rsid w:val="004E506B"/>
    <w:rsid w:val="004E77B9"/>
    <w:rsid w:val="004F04A7"/>
    <w:rsid w:val="004F0527"/>
    <w:rsid w:val="004F0658"/>
    <w:rsid w:val="004F0B1D"/>
    <w:rsid w:val="004F0B1E"/>
    <w:rsid w:val="004F1F51"/>
    <w:rsid w:val="004F2000"/>
    <w:rsid w:val="004F280A"/>
    <w:rsid w:val="004F2FAC"/>
    <w:rsid w:val="004F346E"/>
    <w:rsid w:val="004F3B27"/>
    <w:rsid w:val="004F3F84"/>
    <w:rsid w:val="004F43D0"/>
    <w:rsid w:val="004F4C4B"/>
    <w:rsid w:val="004F5991"/>
    <w:rsid w:val="004F5ABC"/>
    <w:rsid w:val="004F5F54"/>
    <w:rsid w:val="004F6053"/>
    <w:rsid w:val="005002D0"/>
    <w:rsid w:val="005018F9"/>
    <w:rsid w:val="00502193"/>
    <w:rsid w:val="005030FB"/>
    <w:rsid w:val="00503571"/>
    <w:rsid w:val="00503D72"/>
    <w:rsid w:val="0050592F"/>
    <w:rsid w:val="005064D4"/>
    <w:rsid w:val="005067BC"/>
    <w:rsid w:val="0050764A"/>
    <w:rsid w:val="00507A95"/>
    <w:rsid w:val="00507B43"/>
    <w:rsid w:val="00507F3A"/>
    <w:rsid w:val="00511EE4"/>
    <w:rsid w:val="00512E53"/>
    <w:rsid w:val="00513591"/>
    <w:rsid w:val="00513646"/>
    <w:rsid w:val="00513A73"/>
    <w:rsid w:val="00513D0E"/>
    <w:rsid w:val="00514217"/>
    <w:rsid w:val="005149E5"/>
    <w:rsid w:val="00515206"/>
    <w:rsid w:val="005155E4"/>
    <w:rsid w:val="00516DBC"/>
    <w:rsid w:val="00517B3D"/>
    <w:rsid w:val="00521DAF"/>
    <w:rsid w:val="0052234E"/>
    <w:rsid w:val="00524115"/>
    <w:rsid w:val="0052426B"/>
    <w:rsid w:val="00525495"/>
    <w:rsid w:val="005254E3"/>
    <w:rsid w:val="00526F72"/>
    <w:rsid w:val="00527510"/>
    <w:rsid w:val="00527880"/>
    <w:rsid w:val="00527E25"/>
    <w:rsid w:val="0053019A"/>
    <w:rsid w:val="00531051"/>
    <w:rsid w:val="00531483"/>
    <w:rsid w:val="00531815"/>
    <w:rsid w:val="00531D18"/>
    <w:rsid w:val="0053219A"/>
    <w:rsid w:val="0053256D"/>
    <w:rsid w:val="00533D05"/>
    <w:rsid w:val="00533D35"/>
    <w:rsid w:val="0053455A"/>
    <w:rsid w:val="0053529A"/>
    <w:rsid w:val="00537371"/>
    <w:rsid w:val="00537C06"/>
    <w:rsid w:val="00540378"/>
    <w:rsid w:val="00541414"/>
    <w:rsid w:val="00541513"/>
    <w:rsid w:val="0054205B"/>
    <w:rsid w:val="00542593"/>
    <w:rsid w:val="00542C98"/>
    <w:rsid w:val="00542D76"/>
    <w:rsid w:val="00542D90"/>
    <w:rsid w:val="00543E04"/>
    <w:rsid w:val="005444C8"/>
    <w:rsid w:val="00545DEE"/>
    <w:rsid w:val="00547558"/>
    <w:rsid w:val="0055015D"/>
    <w:rsid w:val="00550708"/>
    <w:rsid w:val="00550ABE"/>
    <w:rsid w:val="00550B58"/>
    <w:rsid w:val="00550C2F"/>
    <w:rsid w:val="00550DB5"/>
    <w:rsid w:val="00551669"/>
    <w:rsid w:val="005518DA"/>
    <w:rsid w:val="00551B64"/>
    <w:rsid w:val="00552006"/>
    <w:rsid w:val="00552868"/>
    <w:rsid w:val="00553030"/>
    <w:rsid w:val="00553A25"/>
    <w:rsid w:val="00554B05"/>
    <w:rsid w:val="00555552"/>
    <w:rsid w:val="00555719"/>
    <w:rsid w:val="0055676D"/>
    <w:rsid w:val="005577B8"/>
    <w:rsid w:val="0056081E"/>
    <w:rsid w:val="00560BCE"/>
    <w:rsid w:val="00562549"/>
    <w:rsid w:val="00562E41"/>
    <w:rsid w:val="00563390"/>
    <w:rsid w:val="005637F3"/>
    <w:rsid w:val="00563D5B"/>
    <w:rsid w:val="005655A4"/>
    <w:rsid w:val="00565B5A"/>
    <w:rsid w:val="0056693A"/>
    <w:rsid w:val="00567225"/>
    <w:rsid w:val="00567B9E"/>
    <w:rsid w:val="00570759"/>
    <w:rsid w:val="005715B9"/>
    <w:rsid w:val="00571B61"/>
    <w:rsid w:val="00572E0B"/>
    <w:rsid w:val="00573428"/>
    <w:rsid w:val="00573C15"/>
    <w:rsid w:val="0057639B"/>
    <w:rsid w:val="005770F4"/>
    <w:rsid w:val="00577B31"/>
    <w:rsid w:val="00577D89"/>
    <w:rsid w:val="00580DDA"/>
    <w:rsid w:val="00581069"/>
    <w:rsid w:val="00581230"/>
    <w:rsid w:val="00581393"/>
    <w:rsid w:val="005817CA"/>
    <w:rsid w:val="00581A11"/>
    <w:rsid w:val="00581DD9"/>
    <w:rsid w:val="005821D2"/>
    <w:rsid w:val="00582811"/>
    <w:rsid w:val="0058291F"/>
    <w:rsid w:val="00583CE3"/>
    <w:rsid w:val="005846F0"/>
    <w:rsid w:val="00585C17"/>
    <w:rsid w:val="00586DC3"/>
    <w:rsid w:val="00586EAE"/>
    <w:rsid w:val="0059087B"/>
    <w:rsid w:val="00591BF9"/>
    <w:rsid w:val="00592E07"/>
    <w:rsid w:val="005937F9"/>
    <w:rsid w:val="00593B77"/>
    <w:rsid w:val="005948CC"/>
    <w:rsid w:val="00594B47"/>
    <w:rsid w:val="00594C92"/>
    <w:rsid w:val="00596177"/>
    <w:rsid w:val="005973ED"/>
    <w:rsid w:val="005A1034"/>
    <w:rsid w:val="005A13FE"/>
    <w:rsid w:val="005A1496"/>
    <w:rsid w:val="005A188C"/>
    <w:rsid w:val="005A1FDC"/>
    <w:rsid w:val="005A2443"/>
    <w:rsid w:val="005A2E5F"/>
    <w:rsid w:val="005A443D"/>
    <w:rsid w:val="005A5727"/>
    <w:rsid w:val="005A6E27"/>
    <w:rsid w:val="005A7419"/>
    <w:rsid w:val="005A78DD"/>
    <w:rsid w:val="005A7E0A"/>
    <w:rsid w:val="005B09DF"/>
    <w:rsid w:val="005B0BC3"/>
    <w:rsid w:val="005B0D5D"/>
    <w:rsid w:val="005B2BE7"/>
    <w:rsid w:val="005B2D73"/>
    <w:rsid w:val="005B3090"/>
    <w:rsid w:val="005B4FDF"/>
    <w:rsid w:val="005B5659"/>
    <w:rsid w:val="005B7649"/>
    <w:rsid w:val="005C02F5"/>
    <w:rsid w:val="005C07B4"/>
    <w:rsid w:val="005C10CE"/>
    <w:rsid w:val="005C2A4B"/>
    <w:rsid w:val="005C30D7"/>
    <w:rsid w:val="005C33B1"/>
    <w:rsid w:val="005C4176"/>
    <w:rsid w:val="005C48BA"/>
    <w:rsid w:val="005C4981"/>
    <w:rsid w:val="005C7664"/>
    <w:rsid w:val="005C7813"/>
    <w:rsid w:val="005C783F"/>
    <w:rsid w:val="005D0C67"/>
    <w:rsid w:val="005D0EAD"/>
    <w:rsid w:val="005D1610"/>
    <w:rsid w:val="005D1945"/>
    <w:rsid w:val="005D1DE3"/>
    <w:rsid w:val="005D2964"/>
    <w:rsid w:val="005D417E"/>
    <w:rsid w:val="005D4C03"/>
    <w:rsid w:val="005D5109"/>
    <w:rsid w:val="005D656A"/>
    <w:rsid w:val="005D6984"/>
    <w:rsid w:val="005D6D18"/>
    <w:rsid w:val="005E0346"/>
    <w:rsid w:val="005E1BD2"/>
    <w:rsid w:val="005E2EC3"/>
    <w:rsid w:val="005E3A2E"/>
    <w:rsid w:val="005E4745"/>
    <w:rsid w:val="005E5BC4"/>
    <w:rsid w:val="005E5CFD"/>
    <w:rsid w:val="005E5DA1"/>
    <w:rsid w:val="005E6B5A"/>
    <w:rsid w:val="005F244A"/>
    <w:rsid w:val="005F2A1F"/>
    <w:rsid w:val="005F3A8E"/>
    <w:rsid w:val="005F3AAA"/>
    <w:rsid w:val="005F43C4"/>
    <w:rsid w:val="005F6BD5"/>
    <w:rsid w:val="005F6CC5"/>
    <w:rsid w:val="005F6D3F"/>
    <w:rsid w:val="005F7608"/>
    <w:rsid w:val="006002A5"/>
    <w:rsid w:val="0060110A"/>
    <w:rsid w:val="00601CF1"/>
    <w:rsid w:val="00602B30"/>
    <w:rsid w:val="00602EF8"/>
    <w:rsid w:val="00603B76"/>
    <w:rsid w:val="006043F3"/>
    <w:rsid w:val="0060453F"/>
    <w:rsid w:val="00605EBA"/>
    <w:rsid w:val="00606D93"/>
    <w:rsid w:val="00610742"/>
    <w:rsid w:val="006107A9"/>
    <w:rsid w:val="0061298B"/>
    <w:rsid w:val="00613BE8"/>
    <w:rsid w:val="00614723"/>
    <w:rsid w:val="00614F1D"/>
    <w:rsid w:val="006154AD"/>
    <w:rsid w:val="00615742"/>
    <w:rsid w:val="006165C1"/>
    <w:rsid w:val="00617348"/>
    <w:rsid w:val="00621177"/>
    <w:rsid w:val="00621E69"/>
    <w:rsid w:val="00622B2B"/>
    <w:rsid w:val="00622F6B"/>
    <w:rsid w:val="0062348B"/>
    <w:rsid w:val="006253ED"/>
    <w:rsid w:val="00626BE2"/>
    <w:rsid w:val="006278BB"/>
    <w:rsid w:val="00630283"/>
    <w:rsid w:val="00630373"/>
    <w:rsid w:val="006323D3"/>
    <w:rsid w:val="00633E65"/>
    <w:rsid w:val="00634CB4"/>
    <w:rsid w:val="00635BCD"/>
    <w:rsid w:val="00635C6A"/>
    <w:rsid w:val="00635C95"/>
    <w:rsid w:val="00637A59"/>
    <w:rsid w:val="00637BD3"/>
    <w:rsid w:val="006410AF"/>
    <w:rsid w:val="00641C4F"/>
    <w:rsid w:val="00643149"/>
    <w:rsid w:val="00643217"/>
    <w:rsid w:val="006439F4"/>
    <w:rsid w:val="006439FC"/>
    <w:rsid w:val="00644DB8"/>
    <w:rsid w:val="00645235"/>
    <w:rsid w:val="00645789"/>
    <w:rsid w:val="00645EC4"/>
    <w:rsid w:val="0064655E"/>
    <w:rsid w:val="00646D24"/>
    <w:rsid w:val="00646E73"/>
    <w:rsid w:val="00646F36"/>
    <w:rsid w:val="006478B8"/>
    <w:rsid w:val="00647C07"/>
    <w:rsid w:val="00650AD7"/>
    <w:rsid w:val="00653F35"/>
    <w:rsid w:val="0065428C"/>
    <w:rsid w:val="006551F0"/>
    <w:rsid w:val="00655D7B"/>
    <w:rsid w:val="00656003"/>
    <w:rsid w:val="00660494"/>
    <w:rsid w:val="00660FC3"/>
    <w:rsid w:val="006617C5"/>
    <w:rsid w:val="0066291D"/>
    <w:rsid w:val="006642E0"/>
    <w:rsid w:val="0066443E"/>
    <w:rsid w:val="00664734"/>
    <w:rsid w:val="00664D2C"/>
    <w:rsid w:val="00664F6E"/>
    <w:rsid w:val="006659F4"/>
    <w:rsid w:val="00666103"/>
    <w:rsid w:val="00666CB7"/>
    <w:rsid w:val="006675FE"/>
    <w:rsid w:val="00670C7D"/>
    <w:rsid w:val="00670D14"/>
    <w:rsid w:val="006721FF"/>
    <w:rsid w:val="006728D1"/>
    <w:rsid w:val="00672956"/>
    <w:rsid w:val="00672EE7"/>
    <w:rsid w:val="006738CB"/>
    <w:rsid w:val="00673E87"/>
    <w:rsid w:val="0067414E"/>
    <w:rsid w:val="006741E2"/>
    <w:rsid w:val="006753FE"/>
    <w:rsid w:val="00675511"/>
    <w:rsid w:val="00675584"/>
    <w:rsid w:val="00675725"/>
    <w:rsid w:val="00675A33"/>
    <w:rsid w:val="006762A4"/>
    <w:rsid w:val="0067786D"/>
    <w:rsid w:val="006779AF"/>
    <w:rsid w:val="0068004F"/>
    <w:rsid w:val="0068090D"/>
    <w:rsid w:val="006828BE"/>
    <w:rsid w:val="00686A7A"/>
    <w:rsid w:val="00686F50"/>
    <w:rsid w:val="0069109C"/>
    <w:rsid w:val="006911C5"/>
    <w:rsid w:val="006922BB"/>
    <w:rsid w:val="00692385"/>
    <w:rsid w:val="00692E69"/>
    <w:rsid w:val="006935E5"/>
    <w:rsid w:val="00693DE2"/>
    <w:rsid w:val="006950DA"/>
    <w:rsid w:val="00695146"/>
    <w:rsid w:val="00695DAB"/>
    <w:rsid w:val="006968C7"/>
    <w:rsid w:val="00696A79"/>
    <w:rsid w:val="006971E0"/>
    <w:rsid w:val="00697730"/>
    <w:rsid w:val="006A0327"/>
    <w:rsid w:val="006A04EF"/>
    <w:rsid w:val="006A08BA"/>
    <w:rsid w:val="006A1082"/>
    <w:rsid w:val="006A2B92"/>
    <w:rsid w:val="006A3C83"/>
    <w:rsid w:val="006A3EDB"/>
    <w:rsid w:val="006A40BF"/>
    <w:rsid w:val="006A4A9E"/>
    <w:rsid w:val="006A53AF"/>
    <w:rsid w:val="006A7BE1"/>
    <w:rsid w:val="006B05BC"/>
    <w:rsid w:val="006B0703"/>
    <w:rsid w:val="006B30EC"/>
    <w:rsid w:val="006B3245"/>
    <w:rsid w:val="006B37F1"/>
    <w:rsid w:val="006B3A00"/>
    <w:rsid w:val="006B3F9E"/>
    <w:rsid w:val="006B5EF7"/>
    <w:rsid w:val="006B6457"/>
    <w:rsid w:val="006B7018"/>
    <w:rsid w:val="006B72AB"/>
    <w:rsid w:val="006B79D3"/>
    <w:rsid w:val="006C0590"/>
    <w:rsid w:val="006C0CE1"/>
    <w:rsid w:val="006C18BB"/>
    <w:rsid w:val="006C1F2C"/>
    <w:rsid w:val="006C2A6B"/>
    <w:rsid w:val="006C34A4"/>
    <w:rsid w:val="006C3B57"/>
    <w:rsid w:val="006C44C3"/>
    <w:rsid w:val="006C453A"/>
    <w:rsid w:val="006C4685"/>
    <w:rsid w:val="006C5FDB"/>
    <w:rsid w:val="006C6DE6"/>
    <w:rsid w:val="006C7C3D"/>
    <w:rsid w:val="006D175E"/>
    <w:rsid w:val="006D2834"/>
    <w:rsid w:val="006D2FA4"/>
    <w:rsid w:val="006D3029"/>
    <w:rsid w:val="006D384A"/>
    <w:rsid w:val="006D3BE5"/>
    <w:rsid w:val="006D6399"/>
    <w:rsid w:val="006D7298"/>
    <w:rsid w:val="006D74C2"/>
    <w:rsid w:val="006E1B59"/>
    <w:rsid w:val="006E2AE6"/>
    <w:rsid w:val="006E2C0D"/>
    <w:rsid w:val="006E2FC4"/>
    <w:rsid w:val="006E3169"/>
    <w:rsid w:val="006E4680"/>
    <w:rsid w:val="006E4CE9"/>
    <w:rsid w:val="006E563F"/>
    <w:rsid w:val="006E5C00"/>
    <w:rsid w:val="006E65AE"/>
    <w:rsid w:val="006E680B"/>
    <w:rsid w:val="006E71A1"/>
    <w:rsid w:val="006E7363"/>
    <w:rsid w:val="006E7C10"/>
    <w:rsid w:val="006F1A5C"/>
    <w:rsid w:val="006F1FFE"/>
    <w:rsid w:val="006F2CE7"/>
    <w:rsid w:val="006F32ED"/>
    <w:rsid w:val="006F32F4"/>
    <w:rsid w:val="006F3D29"/>
    <w:rsid w:val="006F4161"/>
    <w:rsid w:val="006F452A"/>
    <w:rsid w:val="006F4540"/>
    <w:rsid w:val="006F45D1"/>
    <w:rsid w:val="006F5C0C"/>
    <w:rsid w:val="006F64A3"/>
    <w:rsid w:val="006F6804"/>
    <w:rsid w:val="006F71D7"/>
    <w:rsid w:val="006F7EA7"/>
    <w:rsid w:val="0070049E"/>
    <w:rsid w:val="00701EDA"/>
    <w:rsid w:val="00701F42"/>
    <w:rsid w:val="007036EC"/>
    <w:rsid w:val="00703BAE"/>
    <w:rsid w:val="00704017"/>
    <w:rsid w:val="00704E0B"/>
    <w:rsid w:val="00704FBB"/>
    <w:rsid w:val="007052DA"/>
    <w:rsid w:val="007057DA"/>
    <w:rsid w:val="00707057"/>
    <w:rsid w:val="00710F4E"/>
    <w:rsid w:val="0071204C"/>
    <w:rsid w:val="007122C8"/>
    <w:rsid w:val="00712784"/>
    <w:rsid w:val="00713FD5"/>
    <w:rsid w:val="00714086"/>
    <w:rsid w:val="00714649"/>
    <w:rsid w:val="00714EAF"/>
    <w:rsid w:val="00715729"/>
    <w:rsid w:val="00716B24"/>
    <w:rsid w:val="0072081C"/>
    <w:rsid w:val="00721082"/>
    <w:rsid w:val="00724180"/>
    <w:rsid w:val="00724389"/>
    <w:rsid w:val="00724B94"/>
    <w:rsid w:val="00725006"/>
    <w:rsid w:val="00725622"/>
    <w:rsid w:val="007267E1"/>
    <w:rsid w:val="00726D77"/>
    <w:rsid w:val="00731451"/>
    <w:rsid w:val="0073197A"/>
    <w:rsid w:val="00733629"/>
    <w:rsid w:val="00733BE3"/>
    <w:rsid w:val="0073492C"/>
    <w:rsid w:val="007358A1"/>
    <w:rsid w:val="0073597D"/>
    <w:rsid w:val="00737222"/>
    <w:rsid w:val="0073735F"/>
    <w:rsid w:val="007415F6"/>
    <w:rsid w:val="007420AF"/>
    <w:rsid w:val="007421EC"/>
    <w:rsid w:val="007427F7"/>
    <w:rsid w:val="00742DF4"/>
    <w:rsid w:val="007431FF"/>
    <w:rsid w:val="00743C5C"/>
    <w:rsid w:val="00744DED"/>
    <w:rsid w:val="00745ADE"/>
    <w:rsid w:val="00745BAE"/>
    <w:rsid w:val="0074621E"/>
    <w:rsid w:val="00746349"/>
    <w:rsid w:val="00750AC8"/>
    <w:rsid w:val="0075173A"/>
    <w:rsid w:val="00751F79"/>
    <w:rsid w:val="007535AE"/>
    <w:rsid w:val="007541B2"/>
    <w:rsid w:val="0075475B"/>
    <w:rsid w:val="007552CF"/>
    <w:rsid w:val="00755A57"/>
    <w:rsid w:val="00755DAC"/>
    <w:rsid w:val="007574D5"/>
    <w:rsid w:val="00760C3C"/>
    <w:rsid w:val="00761366"/>
    <w:rsid w:val="00762B6A"/>
    <w:rsid w:val="00763154"/>
    <w:rsid w:val="007633F3"/>
    <w:rsid w:val="00763BC9"/>
    <w:rsid w:val="00763BD4"/>
    <w:rsid w:val="0076556A"/>
    <w:rsid w:val="0076622D"/>
    <w:rsid w:val="00766890"/>
    <w:rsid w:val="00766C93"/>
    <w:rsid w:val="00772820"/>
    <w:rsid w:val="00772C52"/>
    <w:rsid w:val="00772E3C"/>
    <w:rsid w:val="00774FDE"/>
    <w:rsid w:val="007754AE"/>
    <w:rsid w:val="00777845"/>
    <w:rsid w:val="00780E5A"/>
    <w:rsid w:val="00780F05"/>
    <w:rsid w:val="007821E7"/>
    <w:rsid w:val="00782321"/>
    <w:rsid w:val="007825EA"/>
    <w:rsid w:val="00783939"/>
    <w:rsid w:val="00784050"/>
    <w:rsid w:val="0078432E"/>
    <w:rsid w:val="00786018"/>
    <w:rsid w:val="0078727E"/>
    <w:rsid w:val="00790689"/>
    <w:rsid w:val="00792AB4"/>
    <w:rsid w:val="007935DE"/>
    <w:rsid w:val="00793675"/>
    <w:rsid w:val="00793724"/>
    <w:rsid w:val="00794C62"/>
    <w:rsid w:val="00794F0F"/>
    <w:rsid w:val="0079574C"/>
    <w:rsid w:val="00796340"/>
    <w:rsid w:val="00797063"/>
    <w:rsid w:val="00797B94"/>
    <w:rsid w:val="007A073C"/>
    <w:rsid w:val="007A09B9"/>
    <w:rsid w:val="007A0A30"/>
    <w:rsid w:val="007A139A"/>
    <w:rsid w:val="007A186A"/>
    <w:rsid w:val="007A2690"/>
    <w:rsid w:val="007A32DD"/>
    <w:rsid w:val="007A43B1"/>
    <w:rsid w:val="007A522C"/>
    <w:rsid w:val="007A5E0C"/>
    <w:rsid w:val="007A7AF8"/>
    <w:rsid w:val="007B05D9"/>
    <w:rsid w:val="007B0CB6"/>
    <w:rsid w:val="007B1364"/>
    <w:rsid w:val="007B1AE2"/>
    <w:rsid w:val="007B3A1A"/>
    <w:rsid w:val="007B3C28"/>
    <w:rsid w:val="007B3EF8"/>
    <w:rsid w:val="007B46A4"/>
    <w:rsid w:val="007B4913"/>
    <w:rsid w:val="007C0EB4"/>
    <w:rsid w:val="007C28D4"/>
    <w:rsid w:val="007C2920"/>
    <w:rsid w:val="007C326F"/>
    <w:rsid w:val="007C48A1"/>
    <w:rsid w:val="007C5D07"/>
    <w:rsid w:val="007C7119"/>
    <w:rsid w:val="007C778E"/>
    <w:rsid w:val="007D00CE"/>
    <w:rsid w:val="007D2DCB"/>
    <w:rsid w:val="007D3DA5"/>
    <w:rsid w:val="007D405A"/>
    <w:rsid w:val="007D49CB"/>
    <w:rsid w:val="007D51B0"/>
    <w:rsid w:val="007D55B1"/>
    <w:rsid w:val="007D5ECF"/>
    <w:rsid w:val="007D6776"/>
    <w:rsid w:val="007D7488"/>
    <w:rsid w:val="007E01F1"/>
    <w:rsid w:val="007E0483"/>
    <w:rsid w:val="007E16F6"/>
    <w:rsid w:val="007E1BF8"/>
    <w:rsid w:val="007E2CB5"/>
    <w:rsid w:val="007E373C"/>
    <w:rsid w:val="007E39F1"/>
    <w:rsid w:val="007E4144"/>
    <w:rsid w:val="007E58D7"/>
    <w:rsid w:val="007E6566"/>
    <w:rsid w:val="007E753E"/>
    <w:rsid w:val="007E7EDE"/>
    <w:rsid w:val="007F19A9"/>
    <w:rsid w:val="007F2299"/>
    <w:rsid w:val="007F255B"/>
    <w:rsid w:val="007F3A71"/>
    <w:rsid w:val="007F3AB8"/>
    <w:rsid w:val="007F448B"/>
    <w:rsid w:val="007F580C"/>
    <w:rsid w:val="007F5ABA"/>
    <w:rsid w:val="007F6556"/>
    <w:rsid w:val="007F7887"/>
    <w:rsid w:val="00801A4F"/>
    <w:rsid w:val="00802045"/>
    <w:rsid w:val="00802A4E"/>
    <w:rsid w:val="00802C53"/>
    <w:rsid w:val="00802D98"/>
    <w:rsid w:val="0081194F"/>
    <w:rsid w:val="0081223D"/>
    <w:rsid w:val="00813DEA"/>
    <w:rsid w:val="00814679"/>
    <w:rsid w:val="00814F3E"/>
    <w:rsid w:val="00815E55"/>
    <w:rsid w:val="00816CC5"/>
    <w:rsid w:val="00817052"/>
    <w:rsid w:val="00820AB2"/>
    <w:rsid w:val="008216B0"/>
    <w:rsid w:val="00824E15"/>
    <w:rsid w:val="00824F85"/>
    <w:rsid w:val="008253D4"/>
    <w:rsid w:val="00826805"/>
    <w:rsid w:val="00827182"/>
    <w:rsid w:val="00827C04"/>
    <w:rsid w:val="008302E0"/>
    <w:rsid w:val="00832A58"/>
    <w:rsid w:val="00835FC6"/>
    <w:rsid w:val="008412E3"/>
    <w:rsid w:val="008428FE"/>
    <w:rsid w:val="00843588"/>
    <w:rsid w:val="008436AE"/>
    <w:rsid w:val="00845C2A"/>
    <w:rsid w:val="00846026"/>
    <w:rsid w:val="0084607D"/>
    <w:rsid w:val="008472AF"/>
    <w:rsid w:val="00847434"/>
    <w:rsid w:val="00847E29"/>
    <w:rsid w:val="0085096D"/>
    <w:rsid w:val="00850ABE"/>
    <w:rsid w:val="00851F09"/>
    <w:rsid w:val="008533E9"/>
    <w:rsid w:val="00855D58"/>
    <w:rsid w:val="008571F4"/>
    <w:rsid w:val="00860043"/>
    <w:rsid w:val="00860B25"/>
    <w:rsid w:val="00862D76"/>
    <w:rsid w:val="008654C1"/>
    <w:rsid w:val="00865D36"/>
    <w:rsid w:val="00866620"/>
    <w:rsid w:val="008668B1"/>
    <w:rsid w:val="00866B19"/>
    <w:rsid w:val="00871EF5"/>
    <w:rsid w:val="00873B00"/>
    <w:rsid w:val="008746ED"/>
    <w:rsid w:val="008750A5"/>
    <w:rsid w:val="008775A4"/>
    <w:rsid w:val="00881D65"/>
    <w:rsid w:val="008842F8"/>
    <w:rsid w:val="00884532"/>
    <w:rsid w:val="0088469B"/>
    <w:rsid w:val="00884BA1"/>
    <w:rsid w:val="00885AF8"/>
    <w:rsid w:val="008863A2"/>
    <w:rsid w:val="0088653C"/>
    <w:rsid w:val="00887EC4"/>
    <w:rsid w:val="00890DFE"/>
    <w:rsid w:val="008910DA"/>
    <w:rsid w:val="00891201"/>
    <w:rsid w:val="00892049"/>
    <w:rsid w:val="0089268E"/>
    <w:rsid w:val="0089377E"/>
    <w:rsid w:val="008941F6"/>
    <w:rsid w:val="008955E9"/>
    <w:rsid w:val="00896BAF"/>
    <w:rsid w:val="008971D6"/>
    <w:rsid w:val="00897833"/>
    <w:rsid w:val="008A043D"/>
    <w:rsid w:val="008A16BF"/>
    <w:rsid w:val="008A174C"/>
    <w:rsid w:val="008A1C77"/>
    <w:rsid w:val="008A2A96"/>
    <w:rsid w:val="008A3D7C"/>
    <w:rsid w:val="008A48F6"/>
    <w:rsid w:val="008A5373"/>
    <w:rsid w:val="008A5E1F"/>
    <w:rsid w:val="008A735F"/>
    <w:rsid w:val="008A7584"/>
    <w:rsid w:val="008A7C37"/>
    <w:rsid w:val="008B0242"/>
    <w:rsid w:val="008B113C"/>
    <w:rsid w:val="008B1327"/>
    <w:rsid w:val="008B1E1B"/>
    <w:rsid w:val="008B26F0"/>
    <w:rsid w:val="008B27F9"/>
    <w:rsid w:val="008B2B82"/>
    <w:rsid w:val="008B2B84"/>
    <w:rsid w:val="008B3000"/>
    <w:rsid w:val="008B35A5"/>
    <w:rsid w:val="008B48BD"/>
    <w:rsid w:val="008B6AAD"/>
    <w:rsid w:val="008B6CDC"/>
    <w:rsid w:val="008C011F"/>
    <w:rsid w:val="008C1700"/>
    <w:rsid w:val="008C237C"/>
    <w:rsid w:val="008C2D10"/>
    <w:rsid w:val="008C2E4E"/>
    <w:rsid w:val="008C3542"/>
    <w:rsid w:val="008C3E9E"/>
    <w:rsid w:val="008C4F53"/>
    <w:rsid w:val="008C57E1"/>
    <w:rsid w:val="008C5EEA"/>
    <w:rsid w:val="008C62B4"/>
    <w:rsid w:val="008C6B8B"/>
    <w:rsid w:val="008C6C17"/>
    <w:rsid w:val="008C6E75"/>
    <w:rsid w:val="008C6FEB"/>
    <w:rsid w:val="008C77C6"/>
    <w:rsid w:val="008D03FF"/>
    <w:rsid w:val="008D1383"/>
    <w:rsid w:val="008D19C5"/>
    <w:rsid w:val="008D272C"/>
    <w:rsid w:val="008D35B9"/>
    <w:rsid w:val="008D395E"/>
    <w:rsid w:val="008D3D88"/>
    <w:rsid w:val="008D5034"/>
    <w:rsid w:val="008D63D4"/>
    <w:rsid w:val="008D76A0"/>
    <w:rsid w:val="008D7797"/>
    <w:rsid w:val="008E00B8"/>
    <w:rsid w:val="008E03C0"/>
    <w:rsid w:val="008E0434"/>
    <w:rsid w:val="008E066A"/>
    <w:rsid w:val="008E1289"/>
    <w:rsid w:val="008E20BD"/>
    <w:rsid w:val="008E2C5C"/>
    <w:rsid w:val="008E337D"/>
    <w:rsid w:val="008E406A"/>
    <w:rsid w:val="008E4908"/>
    <w:rsid w:val="008E5863"/>
    <w:rsid w:val="008E5A3E"/>
    <w:rsid w:val="008E5E26"/>
    <w:rsid w:val="008E60AC"/>
    <w:rsid w:val="008E6DCA"/>
    <w:rsid w:val="008E7C5B"/>
    <w:rsid w:val="008E7CD5"/>
    <w:rsid w:val="008E7D2A"/>
    <w:rsid w:val="008F22A2"/>
    <w:rsid w:val="008F2E7E"/>
    <w:rsid w:val="008F3946"/>
    <w:rsid w:val="009003F6"/>
    <w:rsid w:val="00901808"/>
    <w:rsid w:val="00902512"/>
    <w:rsid w:val="00903B42"/>
    <w:rsid w:val="0090463D"/>
    <w:rsid w:val="0090645B"/>
    <w:rsid w:val="00911562"/>
    <w:rsid w:val="00911741"/>
    <w:rsid w:val="009125C5"/>
    <w:rsid w:val="00912CF9"/>
    <w:rsid w:val="0091567C"/>
    <w:rsid w:val="0091583A"/>
    <w:rsid w:val="00915FB4"/>
    <w:rsid w:val="00916199"/>
    <w:rsid w:val="009162B0"/>
    <w:rsid w:val="00916375"/>
    <w:rsid w:val="00916678"/>
    <w:rsid w:val="00917FA0"/>
    <w:rsid w:val="00922A19"/>
    <w:rsid w:val="00923367"/>
    <w:rsid w:val="00923696"/>
    <w:rsid w:val="00923BAE"/>
    <w:rsid w:val="009249CB"/>
    <w:rsid w:val="00924B8C"/>
    <w:rsid w:val="00925BDF"/>
    <w:rsid w:val="00925F83"/>
    <w:rsid w:val="00926336"/>
    <w:rsid w:val="00926648"/>
    <w:rsid w:val="00926FCD"/>
    <w:rsid w:val="00927B27"/>
    <w:rsid w:val="00930E32"/>
    <w:rsid w:val="00931074"/>
    <w:rsid w:val="00932453"/>
    <w:rsid w:val="009331DB"/>
    <w:rsid w:val="009333BF"/>
    <w:rsid w:val="00933F0E"/>
    <w:rsid w:val="00934BDB"/>
    <w:rsid w:val="00937A27"/>
    <w:rsid w:val="00937E92"/>
    <w:rsid w:val="009404EF"/>
    <w:rsid w:val="009410D7"/>
    <w:rsid w:val="0094177F"/>
    <w:rsid w:val="0094227B"/>
    <w:rsid w:val="009428E3"/>
    <w:rsid w:val="00943748"/>
    <w:rsid w:val="00944238"/>
    <w:rsid w:val="00944281"/>
    <w:rsid w:val="009442D8"/>
    <w:rsid w:val="00944703"/>
    <w:rsid w:val="00944C55"/>
    <w:rsid w:val="009450EA"/>
    <w:rsid w:val="00945290"/>
    <w:rsid w:val="009452D0"/>
    <w:rsid w:val="00945B71"/>
    <w:rsid w:val="00945C2C"/>
    <w:rsid w:val="0094636A"/>
    <w:rsid w:val="00946ABF"/>
    <w:rsid w:val="00946D85"/>
    <w:rsid w:val="009473BB"/>
    <w:rsid w:val="00950440"/>
    <w:rsid w:val="00951D6C"/>
    <w:rsid w:val="009523F7"/>
    <w:rsid w:val="00955131"/>
    <w:rsid w:val="009552D1"/>
    <w:rsid w:val="00955607"/>
    <w:rsid w:val="0095562B"/>
    <w:rsid w:val="00955B2F"/>
    <w:rsid w:val="00956239"/>
    <w:rsid w:val="00956EAE"/>
    <w:rsid w:val="00957395"/>
    <w:rsid w:val="00960901"/>
    <w:rsid w:val="00962491"/>
    <w:rsid w:val="00963497"/>
    <w:rsid w:val="00965B72"/>
    <w:rsid w:val="00965CD6"/>
    <w:rsid w:val="0096692A"/>
    <w:rsid w:val="00967333"/>
    <w:rsid w:val="009706F7"/>
    <w:rsid w:val="00970B0E"/>
    <w:rsid w:val="00974593"/>
    <w:rsid w:val="00974E54"/>
    <w:rsid w:val="00975E09"/>
    <w:rsid w:val="00976128"/>
    <w:rsid w:val="009761FA"/>
    <w:rsid w:val="00976243"/>
    <w:rsid w:val="0097660C"/>
    <w:rsid w:val="00976995"/>
    <w:rsid w:val="00977123"/>
    <w:rsid w:val="0097734C"/>
    <w:rsid w:val="0097780B"/>
    <w:rsid w:val="00980D5C"/>
    <w:rsid w:val="009826B3"/>
    <w:rsid w:val="00983D62"/>
    <w:rsid w:val="00984DF2"/>
    <w:rsid w:val="00985D63"/>
    <w:rsid w:val="009865EE"/>
    <w:rsid w:val="00986E0D"/>
    <w:rsid w:val="00986FB8"/>
    <w:rsid w:val="00991923"/>
    <w:rsid w:val="00991B24"/>
    <w:rsid w:val="00992234"/>
    <w:rsid w:val="00992A0E"/>
    <w:rsid w:val="0099396E"/>
    <w:rsid w:val="00996063"/>
    <w:rsid w:val="009963EF"/>
    <w:rsid w:val="00997410"/>
    <w:rsid w:val="0099796B"/>
    <w:rsid w:val="00997BA8"/>
    <w:rsid w:val="00997EA0"/>
    <w:rsid w:val="009A0928"/>
    <w:rsid w:val="009A2A64"/>
    <w:rsid w:val="009A2FB7"/>
    <w:rsid w:val="009A3089"/>
    <w:rsid w:val="009A35C5"/>
    <w:rsid w:val="009A39B1"/>
    <w:rsid w:val="009A3E27"/>
    <w:rsid w:val="009A3F48"/>
    <w:rsid w:val="009A44A6"/>
    <w:rsid w:val="009A474C"/>
    <w:rsid w:val="009A4869"/>
    <w:rsid w:val="009A4EE7"/>
    <w:rsid w:val="009A5114"/>
    <w:rsid w:val="009A553E"/>
    <w:rsid w:val="009B0383"/>
    <w:rsid w:val="009B0D84"/>
    <w:rsid w:val="009B1428"/>
    <w:rsid w:val="009B1756"/>
    <w:rsid w:val="009B41B5"/>
    <w:rsid w:val="009B56F7"/>
    <w:rsid w:val="009B5AB6"/>
    <w:rsid w:val="009B7112"/>
    <w:rsid w:val="009C036F"/>
    <w:rsid w:val="009C0763"/>
    <w:rsid w:val="009C0EBD"/>
    <w:rsid w:val="009C1046"/>
    <w:rsid w:val="009C1A8D"/>
    <w:rsid w:val="009C229E"/>
    <w:rsid w:val="009C5434"/>
    <w:rsid w:val="009C5BAD"/>
    <w:rsid w:val="009C5C56"/>
    <w:rsid w:val="009C631F"/>
    <w:rsid w:val="009C6C1A"/>
    <w:rsid w:val="009C7202"/>
    <w:rsid w:val="009D040F"/>
    <w:rsid w:val="009D07D2"/>
    <w:rsid w:val="009D27CA"/>
    <w:rsid w:val="009D3FE0"/>
    <w:rsid w:val="009D4229"/>
    <w:rsid w:val="009D7DE7"/>
    <w:rsid w:val="009E09B0"/>
    <w:rsid w:val="009E11B1"/>
    <w:rsid w:val="009E3C29"/>
    <w:rsid w:val="009E4161"/>
    <w:rsid w:val="009E4A1F"/>
    <w:rsid w:val="009E4B52"/>
    <w:rsid w:val="009E505C"/>
    <w:rsid w:val="009E742E"/>
    <w:rsid w:val="009E7E5E"/>
    <w:rsid w:val="009F23CB"/>
    <w:rsid w:val="009F2C3F"/>
    <w:rsid w:val="009F3803"/>
    <w:rsid w:val="009F38A5"/>
    <w:rsid w:val="009F3B73"/>
    <w:rsid w:val="009F3C59"/>
    <w:rsid w:val="009F3D97"/>
    <w:rsid w:val="009F42C7"/>
    <w:rsid w:val="009F483F"/>
    <w:rsid w:val="009F540C"/>
    <w:rsid w:val="009F59DA"/>
    <w:rsid w:val="009F5AC1"/>
    <w:rsid w:val="009F69BF"/>
    <w:rsid w:val="009F6E4F"/>
    <w:rsid w:val="009F7236"/>
    <w:rsid w:val="009F7617"/>
    <w:rsid w:val="00A00050"/>
    <w:rsid w:val="00A01F42"/>
    <w:rsid w:val="00A026C0"/>
    <w:rsid w:val="00A0304F"/>
    <w:rsid w:val="00A0321E"/>
    <w:rsid w:val="00A0385F"/>
    <w:rsid w:val="00A03894"/>
    <w:rsid w:val="00A05B61"/>
    <w:rsid w:val="00A05EE7"/>
    <w:rsid w:val="00A06DC0"/>
    <w:rsid w:val="00A07989"/>
    <w:rsid w:val="00A07B67"/>
    <w:rsid w:val="00A07D54"/>
    <w:rsid w:val="00A102EF"/>
    <w:rsid w:val="00A10953"/>
    <w:rsid w:val="00A109AE"/>
    <w:rsid w:val="00A11C4B"/>
    <w:rsid w:val="00A12117"/>
    <w:rsid w:val="00A1331B"/>
    <w:rsid w:val="00A14832"/>
    <w:rsid w:val="00A1622B"/>
    <w:rsid w:val="00A1675D"/>
    <w:rsid w:val="00A167F6"/>
    <w:rsid w:val="00A20230"/>
    <w:rsid w:val="00A20E2A"/>
    <w:rsid w:val="00A2211D"/>
    <w:rsid w:val="00A22290"/>
    <w:rsid w:val="00A22470"/>
    <w:rsid w:val="00A228AE"/>
    <w:rsid w:val="00A2329F"/>
    <w:rsid w:val="00A23C80"/>
    <w:rsid w:val="00A24212"/>
    <w:rsid w:val="00A25378"/>
    <w:rsid w:val="00A25718"/>
    <w:rsid w:val="00A25BC3"/>
    <w:rsid w:val="00A25BC9"/>
    <w:rsid w:val="00A25F99"/>
    <w:rsid w:val="00A25FAC"/>
    <w:rsid w:val="00A269A1"/>
    <w:rsid w:val="00A27A01"/>
    <w:rsid w:val="00A30483"/>
    <w:rsid w:val="00A30C5F"/>
    <w:rsid w:val="00A31220"/>
    <w:rsid w:val="00A31EC2"/>
    <w:rsid w:val="00A33457"/>
    <w:rsid w:val="00A339DC"/>
    <w:rsid w:val="00A345A1"/>
    <w:rsid w:val="00A34E20"/>
    <w:rsid w:val="00A35774"/>
    <w:rsid w:val="00A36C26"/>
    <w:rsid w:val="00A40172"/>
    <w:rsid w:val="00A401A7"/>
    <w:rsid w:val="00A406B3"/>
    <w:rsid w:val="00A40E60"/>
    <w:rsid w:val="00A412AF"/>
    <w:rsid w:val="00A41303"/>
    <w:rsid w:val="00A4180F"/>
    <w:rsid w:val="00A41BC5"/>
    <w:rsid w:val="00A4235A"/>
    <w:rsid w:val="00A42A9F"/>
    <w:rsid w:val="00A42AB1"/>
    <w:rsid w:val="00A435A8"/>
    <w:rsid w:val="00A45B75"/>
    <w:rsid w:val="00A46497"/>
    <w:rsid w:val="00A503BE"/>
    <w:rsid w:val="00A50C24"/>
    <w:rsid w:val="00A514DF"/>
    <w:rsid w:val="00A51B1A"/>
    <w:rsid w:val="00A534CF"/>
    <w:rsid w:val="00A5392B"/>
    <w:rsid w:val="00A5408E"/>
    <w:rsid w:val="00A540D0"/>
    <w:rsid w:val="00A54B69"/>
    <w:rsid w:val="00A54D2F"/>
    <w:rsid w:val="00A55456"/>
    <w:rsid w:val="00A55A8A"/>
    <w:rsid w:val="00A55B92"/>
    <w:rsid w:val="00A55C35"/>
    <w:rsid w:val="00A56E03"/>
    <w:rsid w:val="00A5739C"/>
    <w:rsid w:val="00A57B3D"/>
    <w:rsid w:val="00A6084F"/>
    <w:rsid w:val="00A60EF7"/>
    <w:rsid w:val="00A612AE"/>
    <w:rsid w:val="00A6246E"/>
    <w:rsid w:val="00A62BF5"/>
    <w:rsid w:val="00A62E21"/>
    <w:rsid w:val="00A63912"/>
    <w:rsid w:val="00A6497F"/>
    <w:rsid w:val="00A6625F"/>
    <w:rsid w:val="00A6655F"/>
    <w:rsid w:val="00A66D55"/>
    <w:rsid w:val="00A66F3E"/>
    <w:rsid w:val="00A67C11"/>
    <w:rsid w:val="00A703DD"/>
    <w:rsid w:val="00A7102A"/>
    <w:rsid w:val="00A71268"/>
    <w:rsid w:val="00A71428"/>
    <w:rsid w:val="00A744EF"/>
    <w:rsid w:val="00A76068"/>
    <w:rsid w:val="00A7644E"/>
    <w:rsid w:val="00A77A96"/>
    <w:rsid w:val="00A80D5B"/>
    <w:rsid w:val="00A81E0A"/>
    <w:rsid w:val="00A82E04"/>
    <w:rsid w:val="00A833B6"/>
    <w:rsid w:val="00A835B4"/>
    <w:rsid w:val="00A835DB"/>
    <w:rsid w:val="00A8424D"/>
    <w:rsid w:val="00A842D3"/>
    <w:rsid w:val="00A843C2"/>
    <w:rsid w:val="00A85C8A"/>
    <w:rsid w:val="00A86DA6"/>
    <w:rsid w:val="00A91037"/>
    <w:rsid w:val="00A91B99"/>
    <w:rsid w:val="00A921EC"/>
    <w:rsid w:val="00A92710"/>
    <w:rsid w:val="00A9314A"/>
    <w:rsid w:val="00A9420D"/>
    <w:rsid w:val="00A95434"/>
    <w:rsid w:val="00A96353"/>
    <w:rsid w:val="00A9700F"/>
    <w:rsid w:val="00A979BA"/>
    <w:rsid w:val="00AA1B2D"/>
    <w:rsid w:val="00AA2352"/>
    <w:rsid w:val="00AA2BCF"/>
    <w:rsid w:val="00AA3360"/>
    <w:rsid w:val="00AA38F6"/>
    <w:rsid w:val="00AA3E5E"/>
    <w:rsid w:val="00AA44E7"/>
    <w:rsid w:val="00AA462E"/>
    <w:rsid w:val="00AA5CD4"/>
    <w:rsid w:val="00AA5DB3"/>
    <w:rsid w:val="00AA6784"/>
    <w:rsid w:val="00AB0D3F"/>
    <w:rsid w:val="00AB1478"/>
    <w:rsid w:val="00AB1D4C"/>
    <w:rsid w:val="00AB26C9"/>
    <w:rsid w:val="00AB27BC"/>
    <w:rsid w:val="00AB2FF7"/>
    <w:rsid w:val="00AB3929"/>
    <w:rsid w:val="00AB4C35"/>
    <w:rsid w:val="00AB6039"/>
    <w:rsid w:val="00AB79C2"/>
    <w:rsid w:val="00AC1665"/>
    <w:rsid w:val="00AC211D"/>
    <w:rsid w:val="00AC235A"/>
    <w:rsid w:val="00AC42DF"/>
    <w:rsid w:val="00AC4917"/>
    <w:rsid w:val="00AC51BB"/>
    <w:rsid w:val="00AC7002"/>
    <w:rsid w:val="00AD0C15"/>
    <w:rsid w:val="00AD191B"/>
    <w:rsid w:val="00AD2038"/>
    <w:rsid w:val="00AD2BAE"/>
    <w:rsid w:val="00AD590C"/>
    <w:rsid w:val="00AD6E6C"/>
    <w:rsid w:val="00AD6F53"/>
    <w:rsid w:val="00AD7676"/>
    <w:rsid w:val="00AD7F5A"/>
    <w:rsid w:val="00AE016B"/>
    <w:rsid w:val="00AE1862"/>
    <w:rsid w:val="00AE372A"/>
    <w:rsid w:val="00AE4E8E"/>
    <w:rsid w:val="00AE5671"/>
    <w:rsid w:val="00AE5C48"/>
    <w:rsid w:val="00AE6EB4"/>
    <w:rsid w:val="00AE7C67"/>
    <w:rsid w:val="00AF0065"/>
    <w:rsid w:val="00AF0122"/>
    <w:rsid w:val="00AF2CC3"/>
    <w:rsid w:val="00AF3186"/>
    <w:rsid w:val="00AF370A"/>
    <w:rsid w:val="00AF3C27"/>
    <w:rsid w:val="00AF421E"/>
    <w:rsid w:val="00AF488E"/>
    <w:rsid w:val="00AF57DF"/>
    <w:rsid w:val="00AF57FF"/>
    <w:rsid w:val="00AF5B34"/>
    <w:rsid w:val="00AF664A"/>
    <w:rsid w:val="00AF7295"/>
    <w:rsid w:val="00AF7402"/>
    <w:rsid w:val="00B00D79"/>
    <w:rsid w:val="00B01DAB"/>
    <w:rsid w:val="00B02268"/>
    <w:rsid w:val="00B0334E"/>
    <w:rsid w:val="00B05896"/>
    <w:rsid w:val="00B076EA"/>
    <w:rsid w:val="00B07C73"/>
    <w:rsid w:val="00B10675"/>
    <w:rsid w:val="00B10C97"/>
    <w:rsid w:val="00B10D35"/>
    <w:rsid w:val="00B12397"/>
    <w:rsid w:val="00B14902"/>
    <w:rsid w:val="00B1646F"/>
    <w:rsid w:val="00B16764"/>
    <w:rsid w:val="00B1676F"/>
    <w:rsid w:val="00B168A2"/>
    <w:rsid w:val="00B16D0C"/>
    <w:rsid w:val="00B177F0"/>
    <w:rsid w:val="00B17FD6"/>
    <w:rsid w:val="00B207D4"/>
    <w:rsid w:val="00B20CA9"/>
    <w:rsid w:val="00B21367"/>
    <w:rsid w:val="00B22031"/>
    <w:rsid w:val="00B22916"/>
    <w:rsid w:val="00B22D7C"/>
    <w:rsid w:val="00B2390E"/>
    <w:rsid w:val="00B23A56"/>
    <w:rsid w:val="00B248BB"/>
    <w:rsid w:val="00B25A19"/>
    <w:rsid w:val="00B25AEE"/>
    <w:rsid w:val="00B26144"/>
    <w:rsid w:val="00B26BFE"/>
    <w:rsid w:val="00B27CF5"/>
    <w:rsid w:val="00B31190"/>
    <w:rsid w:val="00B311E0"/>
    <w:rsid w:val="00B31A9D"/>
    <w:rsid w:val="00B32CD2"/>
    <w:rsid w:val="00B33B00"/>
    <w:rsid w:val="00B33ED2"/>
    <w:rsid w:val="00B33F49"/>
    <w:rsid w:val="00B34F2F"/>
    <w:rsid w:val="00B357FB"/>
    <w:rsid w:val="00B37833"/>
    <w:rsid w:val="00B37A72"/>
    <w:rsid w:val="00B37FEE"/>
    <w:rsid w:val="00B4077D"/>
    <w:rsid w:val="00B41062"/>
    <w:rsid w:val="00B422BA"/>
    <w:rsid w:val="00B42D2B"/>
    <w:rsid w:val="00B43489"/>
    <w:rsid w:val="00B43875"/>
    <w:rsid w:val="00B438E3"/>
    <w:rsid w:val="00B44089"/>
    <w:rsid w:val="00B4558C"/>
    <w:rsid w:val="00B4584F"/>
    <w:rsid w:val="00B4715C"/>
    <w:rsid w:val="00B47FDB"/>
    <w:rsid w:val="00B512F5"/>
    <w:rsid w:val="00B514E6"/>
    <w:rsid w:val="00B51745"/>
    <w:rsid w:val="00B5270C"/>
    <w:rsid w:val="00B5322A"/>
    <w:rsid w:val="00B55EED"/>
    <w:rsid w:val="00B57CC2"/>
    <w:rsid w:val="00B614C8"/>
    <w:rsid w:val="00B636C1"/>
    <w:rsid w:val="00B63899"/>
    <w:rsid w:val="00B64920"/>
    <w:rsid w:val="00B653D6"/>
    <w:rsid w:val="00B6559A"/>
    <w:rsid w:val="00B65E41"/>
    <w:rsid w:val="00B664EA"/>
    <w:rsid w:val="00B66AE4"/>
    <w:rsid w:val="00B678DF"/>
    <w:rsid w:val="00B67C4E"/>
    <w:rsid w:val="00B7049C"/>
    <w:rsid w:val="00B745C8"/>
    <w:rsid w:val="00B747D6"/>
    <w:rsid w:val="00B74CFE"/>
    <w:rsid w:val="00B74FFC"/>
    <w:rsid w:val="00B75AD5"/>
    <w:rsid w:val="00B7626E"/>
    <w:rsid w:val="00B80002"/>
    <w:rsid w:val="00B8062D"/>
    <w:rsid w:val="00B814D2"/>
    <w:rsid w:val="00B81D30"/>
    <w:rsid w:val="00B82A5B"/>
    <w:rsid w:val="00B82CA2"/>
    <w:rsid w:val="00B850F7"/>
    <w:rsid w:val="00B86496"/>
    <w:rsid w:val="00B868D4"/>
    <w:rsid w:val="00B868FD"/>
    <w:rsid w:val="00B87D5E"/>
    <w:rsid w:val="00B90BE5"/>
    <w:rsid w:val="00B91C9F"/>
    <w:rsid w:val="00B925F1"/>
    <w:rsid w:val="00B934D0"/>
    <w:rsid w:val="00B93BD9"/>
    <w:rsid w:val="00B95134"/>
    <w:rsid w:val="00B9536C"/>
    <w:rsid w:val="00B95B2A"/>
    <w:rsid w:val="00B978D6"/>
    <w:rsid w:val="00BA08C6"/>
    <w:rsid w:val="00BA16E8"/>
    <w:rsid w:val="00BA4F5B"/>
    <w:rsid w:val="00BA5003"/>
    <w:rsid w:val="00BA53AE"/>
    <w:rsid w:val="00BA60FA"/>
    <w:rsid w:val="00BA629B"/>
    <w:rsid w:val="00BA6746"/>
    <w:rsid w:val="00BA7722"/>
    <w:rsid w:val="00BB14D0"/>
    <w:rsid w:val="00BB1A60"/>
    <w:rsid w:val="00BB2070"/>
    <w:rsid w:val="00BB3DC5"/>
    <w:rsid w:val="00BB5917"/>
    <w:rsid w:val="00BB6168"/>
    <w:rsid w:val="00BB6203"/>
    <w:rsid w:val="00BB6414"/>
    <w:rsid w:val="00BB69E1"/>
    <w:rsid w:val="00BB6E74"/>
    <w:rsid w:val="00BB7B51"/>
    <w:rsid w:val="00BB7F3A"/>
    <w:rsid w:val="00BC02E4"/>
    <w:rsid w:val="00BC136A"/>
    <w:rsid w:val="00BC22B6"/>
    <w:rsid w:val="00BC2BB7"/>
    <w:rsid w:val="00BC3BE3"/>
    <w:rsid w:val="00BC3D2C"/>
    <w:rsid w:val="00BC3DFD"/>
    <w:rsid w:val="00BC51F4"/>
    <w:rsid w:val="00BC5FDC"/>
    <w:rsid w:val="00BC6AFA"/>
    <w:rsid w:val="00BC6D6D"/>
    <w:rsid w:val="00BC6EAA"/>
    <w:rsid w:val="00BC70CC"/>
    <w:rsid w:val="00BC7110"/>
    <w:rsid w:val="00BD0B79"/>
    <w:rsid w:val="00BD1A15"/>
    <w:rsid w:val="00BD25B9"/>
    <w:rsid w:val="00BD2725"/>
    <w:rsid w:val="00BD2E72"/>
    <w:rsid w:val="00BD2F19"/>
    <w:rsid w:val="00BD30F3"/>
    <w:rsid w:val="00BD318C"/>
    <w:rsid w:val="00BD3866"/>
    <w:rsid w:val="00BD543E"/>
    <w:rsid w:val="00BD6387"/>
    <w:rsid w:val="00BE2F1D"/>
    <w:rsid w:val="00BE3FF6"/>
    <w:rsid w:val="00BE47B5"/>
    <w:rsid w:val="00BE4B83"/>
    <w:rsid w:val="00BE677A"/>
    <w:rsid w:val="00BE711B"/>
    <w:rsid w:val="00BE7D53"/>
    <w:rsid w:val="00BE7D67"/>
    <w:rsid w:val="00BF0C37"/>
    <w:rsid w:val="00BF1CBC"/>
    <w:rsid w:val="00BF26D0"/>
    <w:rsid w:val="00BF354B"/>
    <w:rsid w:val="00BF5489"/>
    <w:rsid w:val="00BF5B8F"/>
    <w:rsid w:val="00BF7769"/>
    <w:rsid w:val="00BF7800"/>
    <w:rsid w:val="00C00A00"/>
    <w:rsid w:val="00C014B1"/>
    <w:rsid w:val="00C029A8"/>
    <w:rsid w:val="00C030D9"/>
    <w:rsid w:val="00C05F9C"/>
    <w:rsid w:val="00C06B08"/>
    <w:rsid w:val="00C07A11"/>
    <w:rsid w:val="00C10A73"/>
    <w:rsid w:val="00C10D25"/>
    <w:rsid w:val="00C10F53"/>
    <w:rsid w:val="00C11215"/>
    <w:rsid w:val="00C11CE8"/>
    <w:rsid w:val="00C126D8"/>
    <w:rsid w:val="00C15172"/>
    <w:rsid w:val="00C15BCB"/>
    <w:rsid w:val="00C15F8A"/>
    <w:rsid w:val="00C1621B"/>
    <w:rsid w:val="00C1693A"/>
    <w:rsid w:val="00C169CA"/>
    <w:rsid w:val="00C16AA8"/>
    <w:rsid w:val="00C17588"/>
    <w:rsid w:val="00C20301"/>
    <w:rsid w:val="00C215E4"/>
    <w:rsid w:val="00C228B9"/>
    <w:rsid w:val="00C2330C"/>
    <w:rsid w:val="00C2369D"/>
    <w:rsid w:val="00C23C27"/>
    <w:rsid w:val="00C243FD"/>
    <w:rsid w:val="00C24855"/>
    <w:rsid w:val="00C24A24"/>
    <w:rsid w:val="00C24D82"/>
    <w:rsid w:val="00C27AD3"/>
    <w:rsid w:val="00C27EBA"/>
    <w:rsid w:val="00C30B86"/>
    <w:rsid w:val="00C32808"/>
    <w:rsid w:val="00C33070"/>
    <w:rsid w:val="00C33239"/>
    <w:rsid w:val="00C334CE"/>
    <w:rsid w:val="00C337D6"/>
    <w:rsid w:val="00C3398F"/>
    <w:rsid w:val="00C34054"/>
    <w:rsid w:val="00C3449C"/>
    <w:rsid w:val="00C34B3A"/>
    <w:rsid w:val="00C35024"/>
    <w:rsid w:val="00C35F89"/>
    <w:rsid w:val="00C3633A"/>
    <w:rsid w:val="00C36379"/>
    <w:rsid w:val="00C36684"/>
    <w:rsid w:val="00C36A3E"/>
    <w:rsid w:val="00C374A9"/>
    <w:rsid w:val="00C37B49"/>
    <w:rsid w:val="00C40544"/>
    <w:rsid w:val="00C41DEE"/>
    <w:rsid w:val="00C4274E"/>
    <w:rsid w:val="00C43989"/>
    <w:rsid w:val="00C4534E"/>
    <w:rsid w:val="00C464BD"/>
    <w:rsid w:val="00C46B87"/>
    <w:rsid w:val="00C4743C"/>
    <w:rsid w:val="00C47A6E"/>
    <w:rsid w:val="00C47CF9"/>
    <w:rsid w:val="00C50CDB"/>
    <w:rsid w:val="00C5251C"/>
    <w:rsid w:val="00C53A60"/>
    <w:rsid w:val="00C544CE"/>
    <w:rsid w:val="00C54A8D"/>
    <w:rsid w:val="00C54B40"/>
    <w:rsid w:val="00C5551F"/>
    <w:rsid w:val="00C55817"/>
    <w:rsid w:val="00C57A99"/>
    <w:rsid w:val="00C60B8F"/>
    <w:rsid w:val="00C61A60"/>
    <w:rsid w:val="00C64C08"/>
    <w:rsid w:val="00C65638"/>
    <w:rsid w:val="00C657C0"/>
    <w:rsid w:val="00C6657E"/>
    <w:rsid w:val="00C66EA6"/>
    <w:rsid w:val="00C71ADD"/>
    <w:rsid w:val="00C71FBA"/>
    <w:rsid w:val="00C721F6"/>
    <w:rsid w:val="00C7397A"/>
    <w:rsid w:val="00C74790"/>
    <w:rsid w:val="00C74A85"/>
    <w:rsid w:val="00C768CC"/>
    <w:rsid w:val="00C76AAB"/>
    <w:rsid w:val="00C77957"/>
    <w:rsid w:val="00C77B8F"/>
    <w:rsid w:val="00C8065E"/>
    <w:rsid w:val="00C8094B"/>
    <w:rsid w:val="00C80B8B"/>
    <w:rsid w:val="00C8136F"/>
    <w:rsid w:val="00C81564"/>
    <w:rsid w:val="00C818A6"/>
    <w:rsid w:val="00C82888"/>
    <w:rsid w:val="00C83428"/>
    <w:rsid w:val="00C8478B"/>
    <w:rsid w:val="00C857ED"/>
    <w:rsid w:val="00C86669"/>
    <w:rsid w:val="00C86906"/>
    <w:rsid w:val="00C873C6"/>
    <w:rsid w:val="00C906E3"/>
    <w:rsid w:val="00C91062"/>
    <w:rsid w:val="00C917EC"/>
    <w:rsid w:val="00C931BE"/>
    <w:rsid w:val="00C93573"/>
    <w:rsid w:val="00C93816"/>
    <w:rsid w:val="00C9470B"/>
    <w:rsid w:val="00C95962"/>
    <w:rsid w:val="00C96590"/>
    <w:rsid w:val="00C965DF"/>
    <w:rsid w:val="00C97011"/>
    <w:rsid w:val="00C97215"/>
    <w:rsid w:val="00C97464"/>
    <w:rsid w:val="00C976AB"/>
    <w:rsid w:val="00CA27FE"/>
    <w:rsid w:val="00CA3A24"/>
    <w:rsid w:val="00CA557E"/>
    <w:rsid w:val="00CB17C7"/>
    <w:rsid w:val="00CB22C4"/>
    <w:rsid w:val="00CB2CB5"/>
    <w:rsid w:val="00CB3077"/>
    <w:rsid w:val="00CB3116"/>
    <w:rsid w:val="00CB36F4"/>
    <w:rsid w:val="00CB3A4A"/>
    <w:rsid w:val="00CB3AA6"/>
    <w:rsid w:val="00CB4E87"/>
    <w:rsid w:val="00CB55CC"/>
    <w:rsid w:val="00CB593D"/>
    <w:rsid w:val="00CB60F7"/>
    <w:rsid w:val="00CB78B4"/>
    <w:rsid w:val="00CC095D"/>
    <w:rsid w:val="00CC1805"/>
    <w:rsid w:val="00CC2058"/>
    <w:rsid w:val="00CC2C2A"/>
    <w:rsid w:val="00CC4126"/>
    <w:rsid w:val="00CC4129"/>
    <w:rsid w:val="00CC5615"/>
    <w:rsid w:val="00CC570A"/>
    <w:rsid w:val="00CC74CF"/>
    <w:rsid w:val="00CD0321"/>
    <w:rsid w:val="00CD090F"/>
    <w:rsid w:val="00CD0DF3"/>
    <w:rsid w:val="00CD103A"/>
    <w:rsid w:val="00CD1F87"/>
    <w:rsid w:val="00CD233A"/>
    <w:rsid w:val="00CD29C5"/>
    <w:rsid w:val="00CD35B6"/>
    <w:rsid w:val="00CD3AD4"/>
    <w:rsid w:val="00CD4442"/>
    <w:rsid w:val="00CD48F0"/>
    <w:rsid w:val="00CD4987"/>
    <w:rsid w:val="00CD4B64"/>
    <w:rsid w:val="00CD5E82"/>
    <w:rsid w:val="00CD6B23"/>
    <w:rsid w:val="00CE033E"/>
    <w:rsid w:val="00CE1D83"/>
    <w:rsid w:val="00CE2D4E"/>
    <w:rsid w:val="00CE55F4"/>
    <w:rsid w:val="00CE5852"/>
    <w:rsid w:val="00CE5C62"/>
    <w:rsid w:val="00CE6F25"/>
    <w:rsid w:val="00CE7C89"/>
    <w:rsid w:val="00CF0271"/>
    <w:rsid w:val="00CF02BB"/>
    <w:rsid w:val="00CF0BC7"/>
    <w:rsid w:val="00CF0E61"/>
    <w:rsid w:val="00CF19C3"/>
    <w:rsid w:val="00CF1A3A"/>
    <w:rsid w:val="00CF2936"/>
    <w:rsid w:val="00CF2FE2"/>
    <w:rsid w:val="00CF441B"/>
    <w:rsid w:val="00CF4AAF"/>
    <w:rsid w:val="00CF5AD5"/>
    <w:rsid w:val="00CF5F9F"/>
    <w:rsid w:val="00CF7EE9"/>
    <w:rsid w:val="00D007A9"/>
    <w:rsid w:val="00D00B11"/>
    <w:rsid w:val="00D01E55"/>
    <w:rsid w:val="00D0300E"/>
    <w:rsid w:val="00D03ABB"/>
    <w:rsid w:val="00D0442F"/>
    <w:rsid w:val="00D044D6"/>
    <w:rsid w:val="00D045F6"/>
    <w:rsid w:val="00D04B5B"/>
    <w:rsid w:val="00D05263"/>
    <w:rsid w:val="00D05542"/>
    <w:rsid w:val="00D05721"/>
    <w:rsid w:val="00D058F3"/>
    <w:rsid w:val="00D06146"/>
    <w:rsid w:val="00D07009"/>
    <w:rsid w:val="00D10198"/>
    <w:rsid w:val="00D10347"/>
    <w:rsid w:val="00D1177A"/>
    <w:rsid w:val="00D118ED"/>
    <w:rsid w:val="00D11A79"/>
    <w:rsid w:val="00D126B6"/>
    <w:rsid w:val="00D149CB"/>
    <w:rsid w:val="00D15269"/>
    <w:rsid w:val="00D156FA"/>
    <w:rsid w:val="00D179C9"/>
    <w:rsid w:val="00D17C3E"/>
    <w:rsid w:val="00D20FBB"/>
    <w:rsid w:val="00D21BD5"/>
    <w:rsid w:val="00D22270"/>
    <w:rsid w:val="00D2562A"/>
    <w:rsid w:val="00D2574E"/>
    <w:rsid w:val="00D25ED5"/>
    <w:rsid w:val="00D26EBB"/>
    <w:rsid w:val="00D27F87"/>
    <w:rsid w:val="00D30D95"/>
    <w:rsid w:val="00D31CCF"/>
    <w:rsid w:val="00D33D96"/>
    <w:rsid w:val="00D33FCF"/>
    <w:rsid w:val="00D35E7E"/>
    <w:rsid w:val="00D36D5B"/>
    <w:rsid w:val="00D37127"/>
    <w:rsid w:val="00D37DB9"/>
    <w:rsid w:val="00D42675"/>
    <w:rsid w:val="00D42D93"/>
    <w:rsid w:val="00D42EE5"/>
    <w:rsid w:val="00D43105"/>
    <w:rsid w:val="00D4310E"/>
    <w:rsid w:val="00D44104"/>
    <w:rsid w:val="00D44F71"/>
    <w:rsid w:val="00D451EE"/>
    <w:rsid w:val="00D46EA1"/>
    <w:rsid w:val="00D47E8D"/>
    <w:rsid w:val="00D501FF"/>
    <w:rsid w:val="00D507D2"/>
    <w:rsid w:val="00D509A5"/>
    <w:rsid w:val="00D50ADA"/>
    <w:rsid w:val="00D51117"/>
    <w:rsid w:val="00D51247"/>
    <w:rsid w:val="00D51C44"/>
    <w:rsid w:val="00D51DAA"/>
    <w:rsid w:val="00D52558"/>
    <w:rsid w:val="00D52DFF"/>
    <w:rsid w:val="00D55AB5"/>
    <w:rsid w:val="00D56EAC"/>
    <w:rsid w:val="00D57811"/>
    <w:rsid w:val="00D602EF"/>
    <w:rsid w:val="00D60642"/>
    <w:rsid w:val="00D60FBA"/>
    <w:rsid w:val="00D615BD"/>
    <w:rsid w:val="00D61683"/>
    <w:rsid w:val="00D619FB"/>
    <w:rsid w:val="00D62EA6"/>
    <w:rsid w:val="00D633C4"/>
    <w:rsid w:val="00D63980"/>
    <w:rsid w:val="00D6484C"/>
    <w:rsid w:val="00D654C8"/>
    <w:rsid w:val="00D6579C"/>
    <w:rsid w:val="00D65BE2"/>
    <w:rsid w:val="00D65D27"/>
    <w:rsid w:val="00D65F05"/>
    <w:rsid w:val="00D65F96"/>
    <w:rsid w:val="00D663D2"/>
    <w:rsid w:val="00D670FB"/>
    <w:rsid w:val="00D67337"/>
    <w:rsid w:val="00D70725"/>
    <w:rsid w:val="00D7073A"/>
    <w:rsid w:val="00D70A2F"/>
    <w:rsid w:val="00D71078"/>
    <w:rsid w:val="00D7259C"/>
    <w:rsid w:val="00D725D8"/>
    <w:rsid w:val="00D726F1"/>
    <w:rsid w:val="00D728D9"/>
    <w:rsid w:val="00D72EF9"/>
    <w:rsid w:val="00D74F95"/>
    <w:rsid w:val="00D77494"/>
    <w:rsid w:val="00D77FED"/>
    <w:rsid w:val="00D81994"/>
    <w:rsid w:val="00D82DB5"/>
    <w:rsid w:val="00D83E4C"/>
    <w:rsid w:val="00D83FC9"/>
    <w:rsid w:val="00D850AB"/>
    <w:rsid w:val="00D8610B"/>
    <w:rsid w:val="00D86D5C"/>
    <w:rsid w:val="00D8742C"/>
    <w:rsid w:val="00D87C90"/>
    <w:rsid w:val="00D87CD0"/>
    <w:rsid w:val="00D90814"/>
    <w:rsid w:val="00D936D6"/>
    <w:rsid w:val="00D93D45"/>
    <w:rsid w:val="00D944D5"/>
    <w:rsid w:val="00D9619E"/>
    <w:rsid w:val="00D9631B"/>
    <w:rsid w:val="00D970C7"/>
    <w:rsid w:val="00DA0494"/>
    <w:rsid w:val="00DA4447"/>
    <w:rsid w:val="00DA67EF"/>
    <w:rsid w:val="00DA6916"/>
    <w:rsid w:val="00DA6988"/>
    <w:rsid w:val="00DB1682"/>
    <w:rsid w:val="00DB18E3"/>
    <w:rsid w:val="00DB1961"/>
    <w:rsid w:val="00DB1D6C"/>
    <w:rsid w:val="00DB2C41"/>
    <w:rsid w:val="00DB2E15"/>
    <w:rsid w:val="00DB3583"/>
    <w:rsid w:val="00DB3B2D"/>
    <w:rsid w:val="00DB4233"/>
    <w:rsid w:val="00DB55EF"/>
    <w:rsid w:val="00DB5A28"/>
    <w:rsid w:val="00DB5D03"/>
    <w:rsid w:val="00DB6093"/>
    <w:rsid w:val="00DB6962"/>
    <w:rsid w:val="00DB6F99"/>
    <w:rsid w:val="00DB76CE"/>
    <w:rsid w:val="00DC15E4"/>
    <w:rsid w:val="00DC3371"/>
    <w:rsid w:val="00DC3F1C"/>
    <w:rsid w:val="00DC6408"/>
    <w:rsid w:val="00DC68E4"/>
    <w:rsid w:val="00DC6F66"/>
    <w:rsid w:val="00DC74AF"/>
    <w:rsid w:val="00DC7FAB"/>
    <w:rsid w:val="00DD016A"/>
    <w:rsid w:val="00DD04D2"/>
    <w:rsid w:val="00DD0EB4"/>
    <w:rsid w:val="00DD18C7"/>
    <w:rsid w:val="00DD2B10"/>
    <w:rsid w:val="00DD2FFD"/>
    <w:rsid w:val="00DD3D1A"/>
    <w:rsid w:val="00DD3D3E"/>
    <w:rsid w:val="00DD3D99"/>
    <w:rsid w:val="00DD4446"/>
    <w:rsid w:val="00DD4DAC"/>
    <w:rsid w:val="00DD4DFE"/>
    <w:rsid w:val="00DD5E68"/>
    <w:rsid w:val="00DD644F"/>
    <w:rsid w:val="00DD6484"/>
    <w:rsid w:val="00DE1317"/>
    <w:rsid w:val="00DE13D0"/>
    <w:rsid w:val="00DE1C20"/>
    <w:rsid w:val="00DE29B3"/>
    <w:rsid w:val="00DE2AF6"/>
    <w:rsid w:val="00DE37AC"/>
    <w:rsid w:val="00DE3FCA"/>
    <w:rsid w:val="00DE4FA1"/>
    <w:rsid w:val="00DE5DFC"/>
    <w:rsid w:val="00DE6074"/>
    <w:rsid w:val="00DE6EFB"/>
    <w:rsid w:val="00DF0D92"/>
    <w:rsid w:val="00DF1BE2"/>
    <w:rsid w:val="00DF3C09"/>
    <w:rsid w:val="00DF4C7F"/>
    <w:rsid w:val="00DF4EEB"/>
    <w:rsid w:val="00DF5A79"/>
    <w:rsid w:val="00DF6AC6"/>
    <w:rsid w:val="00DF6C11"/>
    <w:rsid w:val="00DF7FCE"/>
    <w:rsid w:val="00E00CD9"/>
    <w:rsid w:val="00E01521"/>
    <w:rsid w:val="00E01A84"/>
    <w:rsid w:val="00E01F19"/>
    <w:rsid w:val="00E02AAB"/>
    <w:rsid w:val="00E03C96"/>
    <w:rsid w:val="00E0565D"/>
    <w:rsid w:val="00E05AAA"/>
    <w:rsid w:val="00E07A6B"/>
    <w:rsid w:val="00E07B04"/>
    <w:rsid w:val="00E109A8"/>
    <w:rsid w:val="00E10F08"/>
    <w:rsid w:val="00E1107D"/>
    <w:rsid w:val="00E11BFD"/>
    <w:rsid w:val="00E12787"/>
    <w:rsid w:val="00E13FE2"/>
    <w:rsid w:val="00E14BA2"/>
    <w:rsid w:val="00E15257"/>
    <w:rsid w:val="00E172D4"/>
    <w:rsid w:val="00E17AAE"/>
    <w:rsid w:val="00E21EED"/>
    <w:rsid w:val="00E23A7D"/>
    <w:rsid w:val="00E24435"/>
    <w:rsid w:val="00E247C7"/>
    <w:rsid w:val="00E248A9"/>
    <w:rsid w:val="00E253A0"/>
    <w:rsid w:val="00E27AE9"/>
    <w:rsid w:val="00E306FB"/>
    <w:rsid w:val="00E31C63"/>
    <w:rsid w:val="00E3244B"/>
    <w:rsid w:val="00E3250E"/>
    <w:rsid w:val="00E32E99"/>
    <w:rsid w:val="00E33122"/>
    <w:rsid w:val="00E331F5"/>
    <w:rsid w:val="00E3322E"/>
    <w:rsid w:val="00E33AEB"/>
    <w:rsid w:val="00E33D5D"/>
    <w:rsid w:val="00E3605F"/>
    <w:rsid w:val="00E36E68"/>
    <w:rsid w:val="00E40570"/>
    <w:rsid w:val="00E427D0"/>
    <w:rsid w:val="00E43085"/>
    <w:rsid w:val="00E44338"/>
    <w:rsid w:val="00E4514E"/>
    <w:rsid w:val="00E4539A"/>
    <w:rsid w:val="00E45CB9"/>
    <w:rsid w:val="00E466CD"/>
    <w:rsid w:val="00E46D02"/>
    <w:rsid w:val="00E471C8"/>
    <w:rsid w:val="00E47418"/>
    <w:rsid w:val="00E5049A"/>
    <w:rsid w:val="00E52230"/>
    <w:rsid w:val="00E52C4A"/>
    <w:rsid w:val="00E53DB4"/>
    <w:rsid w:val="00E57BB6"/>
    <w:rsid w:val="00E61DAD"/>
    <w:rsid w:val="00E62E88"/>
    <w:rsid w:val="00E63C69"/>
    <w:rsid w:val="00E642D1"/>
    <w:rsid w:val="00E6454E"/>
    <w:rsid w:val="00E6488D"/>
    <w:rsid w:val="00E64EB3"/>
    <w:rsid w:val="00E65B33"/>
    <w:rsid w:val="00E66125"/>
    <w:rsid w:val="00E722EE"/>
    <w:rsid w:val="00E728F5"/>
    <w:rsid w:val="00E7307A"/>
    <w:rsid w:val="00E7443E"/>
    <w:rsid w:val="00E759D9"/>
    <w:rsid w:val="00E80268"/>
    <w:rsid w:val="00E802A2"/>
    <w:rsid w:val="00E80397"/>
    <w:rsid w:val="00E80B6D"/>
    <w:rsid w:val="00E81D59"/>
    <w:rsid w:val="00E81D96"/>
    <w:rsid w:val="00E83D10"/>
    <w:rsid w:val="00E86F81"/>
    <w:rsid w:val="00E86FFB"/>
    <w:rsid w:val="00E903A9"/>
    <w:rsid w:val="00E909CD"/>
    <w:rsid w:val="00E90B63"/>
    <w:rsid w:val="00E9154C"/>
    <w:rsid w:val="00E91A4A"/>
    <w:rsid w:val="00E92BE4"/>
    <w:rsid w:val="00E9382A"/>
    <w:rsid w:val="00E946E4"/>
    <w:rsid w:val="00E94F6B"/>
    <w:rsid w:val="00E95642"/>
    <w:rsid w:val="00E9589E"/>
    <w:rsid w:val="00E95D73"/>
    <w:rsid w:val="00E97CCF"/>
    <w:rsid w:val="00EA1AFC"/>
    <w:rsid w:val="00EA2A4E"/>
    <w:rsid w:val="00EA32B4"/>
    <w:rsid w:val="00EA3BEF"/>
    <w:rsid w:val="00EA3D39"/>
    <w:rsid w:val="00EA484E"/>
    <w:rsid w:val="00EA52DD"/>
    <w:rsid w:val="00EA6802"/>
    <w:rsid w:val="00EA7765"/>
    <w:rsid w:val="00EA7FE2"/>
    <w:rsid w:val="00EB09BD"/>
    <w:rsid w:val="00EB0B85"/>
    <w:rsid w:val="00EB17ED"/>
    <w:rsid w:val="00EB2873"/>
    <w:rsid w:val="00EB2FD8"/>
    <w:rsid w:val="00EB3080"/>
    <w:rsid w:val="00EB3F8B"/>
    <w:rsid w:val="00EB4FB7"/>
    <w:rsid w:val="00EB574B"/>
    <w:rsid w:val="00EB5812"/>
    <w:rsid w:val="00EB67BD"/>
    <w:rsid w:val="00EB7301"/>
    <w:rsid w:val="00EB7BA6"/>
    <w:rsid w:val="00EC00C7"/>
    <w:rsid w:val="00EC0229"/>
    <w:rsid w:val="00EC023F"/>
    <w:rsid w:val="00EC0831"/>
    <w:rsid w:val="00EC0A79"/>
    <w:rsid w:val="00EC18B8"/>
    <w:rsid w:val="00EC20ED"/>
    <w:rsid w:val="00EC29E0"/>
    <w:rsid w:val="00EC372E"/>
    <w:rsid w:val="00EC4DD1"/>
    <w:rsid w:val="00EC5573"/>
    <w:rsid w:val="00EC6B85"/>
    <w:rsid w:val="00ED0299"/>
    <w:rsid w:val="00ED0EF9"/>
    <w:rsid w:val="00ED1DC3"/>
    <w:rsid w:val="00ED23B7"/>
    <w:rsid w:val="00ED5067"/>
    <w:rsid w:val="00ED56EC"/>
    <w:rsid w:val="00ED752E"/>
    <w:rsid w:val="00EE0D39"/>
    <w:rsid w:val="00EE14CD"/>
    <w:rsid w:val="00EE1892"/>
    <w:rsid w:val="00EE2368"/>
    <w:rsid w:val="00EE274F"/>
    <w:rsid w:val="00EE410B"/>
    <w:rsid w:val="00EE4D41"/>
    <w:rsid w:val="00EF0873"/>
    <w:rsid w:val="00EF1079"/>
    <w:rsid w:val="00EF162C"/>
    <w:rsid w:val="00EF16E9"/>
    <w:rsid w:val="00EF1BBD"/>
    <w:rsid w:val="00EF253F"/>
    <w:rsid w:val="00EF2BE5"/>
    <w:rsid w:val="00EF3494"/>
    <w:rsid w:val="00EF6797"/>
    <w:rsid w:val="00EF6D29"/>
    <w:rsid w:val="00EF6DA7"/>
    <w:rsid w:val="00F0167E"/>
    <w:rsid w:val="00F0230E"/>
    <w:rsid w:val="00F02400"/>
    <w:rsid w:val="00F02799"/>
    <w:rsid w:val="00F02C43"/>
    <w:rsid w:val="00F0317D"/>
    <w:rsid w:val="00F03B6B"/>
    <w:rsid w:val="00F04949"/>
    <w:rsid w:val="00F0535E"/>
    <w:rsid w:val="00F059D7"/>
    <w:rsid w:val="00F05A05"/>
    <w:rsid w:val="00F05FBE"/>
    <w:rsid w:val="00F074BE"/>
    <w:rsid w:val="00F10FCC"/>
    <w:rsid w:val="00F11271"/>
    <w:rsid w:val="00F1264B"/>
    <w:rsid w:val="00F144FE"/>
    <w:rsid w:val="00F15B51"/>
    <w:rsid w:val="00F16070"/>
    <w:rsid w:val="00F16537"/>
    <w:rsid w:val="00F16C80"/>
    <w:rsid w:val="00F17FE1"/>
    <w:rsid w:val="00F201B1"/>
    <w:rsid w:val="00F2114C"/>
    <w:rsid w:val="00F222BF"/>
    <w:rsid w:val="00F22686"/>
    <w:rsid w:val="00F22E8F"/>
    <w:rsid w:val="00F23626"/>
    <w:rsid w:val="00F2411F"/>
    <w:rsid w:val="00F24B1C"/>
    <w:rsid w:val="00F24E44"/>
    <w:rsid w:val="00F25949"/>
    <w:rsid w:val="00F259EF"/>
    <w:rsid w:val="00F25FE6"/>
    <w:rsid w:val="00F30772"/>
    <w:rsid w:val="00F30C86"/>
    <w:rsid w:val="00F31B45"/>
    <w:rsid w:val="00F335FF"/>
    <w:rsid w:val="00F36907"/>
    <w:rsid w:val="00F37B76"/>
    <w:rsid w:val="00F404F0"/>
    <w:rsid w:val="00F40F0D"/>
    <w:rsid w:val="00F4122A"/>
    <w:rsid w:val="00F4201B"/>
    <w:rsid w:val="00F422B6"/>
    <w:rsid w:val="00F42775"/>
    <w:rsid w:val="00F4404A"/>
    <w:rsid w:val="00F44494"/>
    <w:rsid w:val="00F44559"/>
    <w:rsid w:val="00F451E7"/>
    <w:rsid w:val="00F457EC"/>
    <w:rsid w:val="00F46140"/>
    <w:rsid w:val="00F46E23"/>
    <w:rsid w:val="00F478D8"/>
    <w:rsid w:val="00F5185C"/>
    <w:rsid w:val="00F549B8"/>
    <w:rsid w:val="00F54E07"/>
    <w:rsid w:val="00F554D8"/>
    <w:rsid w:val="00F556A4"/>
    <w:rsid w:val="00F55C5F"/>
    <w:rsid w:val="00F56560"/>
    <w:rsid w:val="00F56BFB"/>
    <w:rsid w:val="00F5712D"/>
    <w:rsid w:val="00F5792E"/>
    <w:rsid w:val="00F60572"/>
    <w:rsid w:val="00F60B1E"/>
    <w:rsid w:val="00F61012"/>
    <w:rsid w:val="00F61E45"/>
    <w:rsid w:val="00F62D62"/>
    <w:rsid w:val="00F62D63"/>
    <w:rsid w:val="00F64BBE"/>
    <w:rsid w:val="00F6598B"/>
    <w:rsid w:val="00F6682D"/>
    <w:rsid w:val="00F7295D"/>
    <w:rsid w:val="00F736F2"/>
    <w:rsid w:val="00F76FFD"/>
    <w:rsid w:val="00F812CA"/>
    <w:rsid w:val="00F82879"/>
    <w:rsid w:val="00F82D48"/>
    <w:rsid w:val="00F84BF5"/>
    <w:rsid w:val="00F84F89"/>
    <w:rsid w:val="00F854DE"/>
    <w:rsid w:val="00F860CD"/>
    <w:rsid w:val="00F86D31"/>
    <w:rsid w:val="00F86E66"/>
    <w:rsid w:val="00F87000"/>
    <w:rsid w:val="00F874F6"/>
    <w:rsid w:val="00F87FD2"/>
    <w:rsid w:val="00F91B94"/>
    <w:rsid w:val="00F93F6C"/>
    <w:rsid w:val="00F9439B"/>
    <w:rsid w:val="00F956C1"/>
    <w:rsid w:val="00F958EC"/>
    <w:rsid w:val="00F961F0"/>
    <w:rsid w:val="00F96344"/>
    <w:rsid w:val="00FA14DC"/>
    <w:rsid w:val="00FA24D7"/>
    <w:rsid w:val="00FA2C22"/>
    <w:rsid w:val="00FA2E3F"/>
    <w:rsid w:val="00FA4385"/>
    <w:rsid w:val="00FA6B8B"/>
    <w:rsid w:val="00FA74E8"/>
    <w:rsid w:val="00FB03AA"/>
    <w:rsid w:val="00FB062E"/>
    <w:rsid w:val="00FB1205"/>
    <w:rsid w:val="00FB202C"/>
    <w:rsid w:val="00FB27C5"/>
    <w:rsid w:val="00FB418C"/>
    <w:rsid w:val="00FB50B0"/>
    <w:rsid w:val="00FB54FD"/>
    <w:rsid w:val="00FB6002"/>
    <w:rsid w:val="00FB79A9"/>
    <w:rsid w:val="00FB7E75"/>
    <w:rsid w:val="00FC252C"/>
    <w:rsid w:val="00FC27E7"/>
    <w:rsid w:val="00FC3047"/>
    <w:rsid w:val="00FC3531"/>
    <w:rsid w:val="00FC3890"/>
    <w:rsid w:val="00FC5DCE"/>
    <w:rsid w:val="00FC6CFC"/>
    <w:rsid w:val="00FC6D06"/>
    <w:rsid w:val="00FC7958"/>
    <w:rsid w:val="00FC7AAF"/>
    <w:rsid w:val="00FD021E"/>
    <w:rsid w:val="00FD0BF6"/>
    <w:rsid w:val="00FD0F83"/>
    <w:rsid w:val="00FD0FE6"/>
    <w:rsid w:val="00FD154E"/>
    <w:rsid w:val="00FD164B"/>
    <w:rsid w:val="00FD293A"/>
    <w:rsid w:val="00FD2953"/>
    <w:rsid w:val="00FD543A"/>
    <w:rsid w:val="00FD72A3"/>
    <w:rsid w:val="00FD7303"/>
    <w:rsid w:val="00FD75D9"/>
    <w:rsid w:val="00FE0064"/>
    <w:rsid w:val="00FE0821"/>
    <w:rsid w:val="00FE1A91"/>
    <w:rsid w:val="00FE2B00"/>
    <w:rsid w:val="00FE2C29"/>
    <w:rsid w:val="00FE384F"/>
    <w:rsid w:val="00FE440F"/>
    <w:rsid w:val="00FE4E25"/>
    <w:rsid w:val="00FE53FA"/>
    <w:rsid w:val="00FE5443"/>
    <w:rsid w:val="00FE5EA2"/>
    <w:rsid w:val="00FE69B4"/>
    <w:rsid w:val="00FE707F"/>
    <w:rsid w:val="00FE7A9F"/>
    <w:rsid w:val="00FF22F7"/>
    <w:rsid w:val="00FF277A"/>
    <w:rsid w:val="00FF289B"/>
    <w:rsid w:val="00FF29CC"/>
    <w:rsid w:val="00FF2EE3"/>
    <w:rsid w:val="00FF330E"/>
    <w:rsid w:val="00FF3FD7"/>
    <w:rsid w:val="00FF5699"/>
    <w:rsid w:val="00FF5759"/>
    <w:rsid w:val="00FF5771"/>
    <w:rsid w:val="00FF73BE"/>
    <w:rsid w:val="016781CE"/>
    <w:rsid w:val="02003EE4"/>
    <w:rsid w:val="02A14ED4"/>
    <w:rsid w:val="0315E42A"/>
    <w:rsid w:val="03B8B407"/>
    <w:rsid w:val="0414310D"/>
    <w:rsid w:val="048F2CB2"/>
    <w:rsid w:val="049029CD"/>
    <w:rsid w:val="04CFC7C3"/>
    <w:rsid w:val="0529992C"/>
    <w:rsid w:val="05D153BE"/>
    <w:rsid w:val="0604766B"/>
    <w:rsid w:val="067D712F"/>
    <w:rsid w:val="06942523"/>
    <w:rsid w:val="069AA0FC"/>
    <w:rsid w:val="082ACFD1"/>
    <w:rsid w:val="08565E43"/>
    <w:rsid w:val="0918234C"/>
    <w:rsid w:val="0C6CBDE3"/>
    <w:rsid w:val="0C8582AF"/>
    <w:rsid w:val="0CEAECC4"/>
    <w:rsid w:val="0D75D056"/>
    <w:rsid w:val="0D771882"/>
    <w:rsid w:val="0DA2BCC5"/>
    <w:rsid w:val="0E34E104"/>
    <w:rsid w:val="0EACB09F"/>
    <w:rsid w:val="0F65EB9A"/>
    <w:rsid w:val="10C1352A"/>
    <w:rsid w:val="11888971"/>
    <w:rsid w:val="119FB036"/>
    <w:rsid w:val="1251CC69"/>
    <w:rsid w:val="12762DE8"/>
    <w:rsid w:val="12E70577"/>
    <w:rsid w:val="13F8D5EC"/>
    <w:rsid w:val="14054789"/>
    <w:rsid w:val="15636B7E"/>
    <w:rsid w:val="17554513"/>
    <w:rsid w:val="1768F09C"/>
    <w:rsid w:val="179D8AF1"/>
    <w:rsid w:val="17BAE133"/>
    <w:rsid w:val="17C48F2A"/>
    <w:rsid w:val="17C4C1FB"/>
    <w:rsid w:val="17FC4BCA"/>
    <w:rsid w:val="184B274E"/>
    <w:rsid w:val="18AAA731"/>
    <w:rsid w:val="1954A836"/>
    <w:rsid w:val="1A74890D"/>
    <w:rsid w:val="1AE4E63D"/>
    <w:rsid w:val="1B57735C"/>
    <w:rsid w:val="1BDF9870"/>
    <w:rsid w:val="1BFAABFA"/>
    <w:rsid w:val="1C0049DD"/>
    <w:rsid w:val="1C0C9EA5"/>
    <w:rsid w:val="1C1495CD"/>
    <w:rsid w:val="1C31C005"/>
    <w:rsid w:val="1CEB18E2"/>
    <w:rsid w:val="1D0AAF14"/>
    <w:rsid w:val="1D328292"/>
    <w:rsid w:val="1D3C065E"/>
    <w:rsid w:val="1D9BCA85"/>
    <w:rsid w:val="1E128FAC"/>
    <w:rsid w:val="1E21D08A"/>
    <w:rsid w:val="1E26E389"/>
    <w:rsid w:val="1E8EF9AC"/>
    <w:rsid w:val="1EA1C910"/>
    <w:rsid w:val="1EE3106A"/>
    <w:rsid w:val="1F26E19E"/>
    <w:rsid w:val="1F3EE5A3"/>
    <w:rsid w:val="1F82F9E7"/>
    <w:rsid w:val="1FB6AB83"/>
    <w:rsid w:val="22FE0F75"/>
    <w:rsid w:val="234B2216"/>
    <w:rsid w:val="24164415"/>
    <w:rsid w:val="24B48453"/>
    <w:rsid w:val="24D469B1"/>
    <w:rsid w:val="25FA2EDA"/>
    <w:rsid w:val="2608C206"/>
    <w:rsid w:val="26E4EFC9"/>
    <w:rsid w:val="26E5AB2B"/>
    <w:rsid w:val="26F4B05B"/>
    <w:rsid w:val="271AC737"/>
    <w:rsid w:val="271DB9E1"/>
    <w:rsid w:val="274E87FE"/>
    <w:rsid w:val="278EA165"/>
    <w:rsid w:val="27AC26D7"/>
    <w:rsid w:val="27F04E81"/>
    <w:rsid w:val="28010942"/>
    <w:rsid w:val="281E7FEF"/>
    <w:rsid w:val="28817B8C"/>
    <w:rsid w:val="2898CDD9"/>
    <w:rsid w:val="28C8204A"/>
    <w:rsid w:val="28FC9F8A"/>
    <w:rsid w:val="290FD9AB"/>
    <w:rsid w:val="2966FEF3"/>
    <w:rsid w:val="29C517D9"/>
    <w:rsid w:val="29D62DCC"/>
    <w:rsid w:val="2A41D481"/>
    <w:rsid w:val="2A4488A9"/>
    <w:rsid w:val="2A699A71"/>
    <w:rsid w:val="2A97FE20"/>
    <w:rsid w:val="2AB62CAD"/>
    <w:rsid w:val="2B05EE71"/>
    <w:rsid w:val="2B0E820C"/>
    <w:rsid w:val="2B102540"/>
    <w:rsid w:val="2B9FB688"/>
    <w:rsid w:val="2C3016D9"/>
    <w:rsid w:val="2CC92CDE"/>
    <w:rsid w:val="2D37B290"/>
    <w:rsid w:val="2D4A63E8"/>
    <w:rsid w:val="2D7CF172"/>
    <w:rsid w:val="2D964B43"/>
    <w:rsid w:val="2DADD4A0"/>
    <w:rsid w:val="2E3E1B72"/>
    <w:rsid w:val="2ED31C86"/>
    <w:rsid w:val="2EDDA4DD"/>
    <w:rsid w:val="2EFFC240"/>
    <w:rsid w:val="2F407186"/>
    <w:rsid w:val="2F42F9B5"/>
    <w:rsid w:val="2FA6C733"/>
    <w:rsid w:val="3111F154"/>
    <w:rsid w:val="3140FE0B"/>
    <w:rsid w:val="317C959B"/>
    <w:rsid w:val="32EFFB06"/>
    <w:rsid w:val="33555494"/>
    <w:rsid w:val="3362B04B"/>
    <w:rsid w:val="33F89CA5"/>
    <w:rsid w:val="3507962C"/>
    <w:rsid w:val="3555DB67"/>
    <w:rsid w:val="3580C4BB"/>
    <w:rsid w:val="358ABA13"/>
    <w:rsid w:val="35989D65"/>
    <w:rsid w:val="35E27F70"/>
    <w:rsid w:val="36035020"/>
    <w:rsid w:val="36244224"/>
    <w:rsid w:val="374DF850"/>
    <w:rsid w:val="38F00AA0"/>
    <w:rsid w:val="39C4DE8D"/>
    <w:rsid w:val="39EEC5F8"/>
    <w:rsid w:val="39F4CE12"/>
    <w:rsid w:val="3A0B2CDC"/>
    <w:rsid w:val="3A1914C0"/>
    <w:rsid w:val="3AEDC7D0"/>
    <w:rsid w:val="3B3A29A8"/>
    <w:rsid w:val="3BBB42BA"/>
    <w:rsid w:val="3BDCA984"/>
    <w:rsid w:val="3BE0CA14"/>
    <w:rsid w:val="3C024DC4"/>
    <w:rsid w:val="3C315919"/>
    <w:rsid w:val="3C5BFB15"/>
    <w:rsid w:val="3CB2EC47"/>
    <w:rsid w:val="3D060FA8"/>
    <w:rsid w:val="3DE50D52"/>
    <w:rsid w:val="3E935FC0"/>
    <w:rsid w:val="3F42A05E"/>
    <w:rsid w:val="3F8A0DB2"/>
    <w:rsid w:val="403A7CDC"/>
    <w:rsid w:val="405B825E"/>
    <w:rsid w:val="407DD1C6"/>
    <w:rsid w:val="40AF1467"/>
    <w:rsid w:val="410673C6"/>
    <w:rsid w:val="41362DB0"/>
    <w:rsid w:val="4146B739"/>
    <w:rsid w:val="444DD874"/>
    <w:rsid w:val="44A0083F"/>
    <w:rsid w:val="44A246EA"/>
    <w:rsid w:val="45249BE6"/>
    <w:rsid w:val="452A3B03"/>
    <w:rsid w:val="4536E43B"/>
    <w:rsid w:val="45AA0776"/>
    <w:rsid w:val="45B83FD2"/>
    <w:rsid w:val="45C08309"/>
    <w:rsid w:val="465FC224"/>
    <w:rsid w:val="474C9CB2"/>
    <w:rsid w:val="4773CD35"/>
    <w:rsid w:val="477A0719"/>
    <w:rsid w:val="47A5D4D6"/>
    <w:rsid w:val="47FE393B"/>
    <w:rsid w:val="4810EFE0"/>
    <w:rsid w:val="487173D8"/>
    <w:rsid w:val="48A9B39A"/>
    <w:rsid w:val="48D676CD"/>
    <w:rsid w:val="49A72B9F"/>
    <w:rsid w:val="4A31D3D3"/>
    <w:rsid w:val="4A8BAD27"/>
    <w:rsid w:val="4AE77B3E"/>
    <w:rsid w:val="4B2B6D31"/>
    <w:rsid w:val="4B9A01B1"/>
    <w:rsid w:val="4BA1E3A4"/>
    <w:rsid w:val="4C27D3B7"/>
    <w:rsid w:val="4C4A2C79"/>
    <w:rsid w:val="4D78B72E"/>
    <w:rsid w:val="4DB006A2"/>
    <w:rsid w:val="4DED89C6"/>
    <w:rsid w:val="4E600196"/>
    <w:rsid w:val="4EC03025"/>
    <w:rsid w:val="4F19AB5B"/>
    <w:rsid w:val="4F3FCE9C"/>
    <w:rsid w:val="4FFBD1F7"/>
    <w:rsid w:val="507460BD"/>
    <w:rsid w:val="510CCC22"/>
    <w:rsid w:val="5200E2BC"/>
    <w:rsid w:val="5362575A"/>
    <w:rsid w:val="5387AB46"/>
    <w:rsid w:val="53F17A5A"/>
    <w:rsid w:val="54E4BDE4"/>
    <w:rsid w:val="55201B1C"/>
    <w:rsid w:val="55B85E6C"/>
    <w:rsid w:val="55BC7B09"/>
    <w:rsid w:val="55F6DA5E"/>
    <w:rsid w:val="56450969"/>
    <w:rsid w:val="56534283"/>
    <w:rsid w:val="56DFF4C2"/>
    <w:rsid w:val="56F5F6A9"/>
    <w:rsid w:val="57383E82"/>
    <w:rsid w:val="57B9EB6D"/>
    <w:rsid w:val="57BD875F"/>
    <w:rsid w:val="57FF6273"/>
    <w:rsid w:val="585B1C69"/>
    <w:rsid w:val="587A496B"/>
    <w:rsid w:val="5977FB9A"/>
    <w:rsid w:val="5A310EBB"/>
    <w:rsid w:val="5A555465"/>
    <w:rsid w:val="5AA26C37"/>
    <w:rsid w:val="5ACC7FCA"/>
    <w:rsid w:val="5AFC4796"/>
    <w:rsid w:val="5B381C3A"/>
    <w:rsid w:val="5B8794C4"/>
    <w:rsid w:val="5C24C2DE"/>
    <w:rsid w:val="5CD3EC9B"/>
    <w:rsid w:val="5CFCD6E6"/>
    <w:rsid w:val="5F05D4BA"/>
    <w:rsid w:val="5F47F965"/>
    <w:rsid w:val="5FC1DBA9"/>
    <w:rsid w:val="603091F8"/>
    <w:rsid w:val="60D10587"/>
    <w:rsid w:val="60F97D7C"/>
    <w:rsid w:val="61B7CD00"/>
    <w:rsid w:val="61C60965"/>
    <w:rsid w:val="620F5319"/>
    <w:rsid w:val="62695176"/>
    <w:rsid w:val="6283F092"/>
    <w:rsid w:val="6293332B"/>
    <w:rsid w:val="6373FBC7"/>
    <w:rsid w:val="63C4EB49"/>
    <w:rsid w:val="642F038C"/>
    <w:rsid w:val="647C246F"/>
    <w:rsid w:val="64CD1679"/>
    <w:rsid w:val="65064174"/>
    <w:rsid w:val="651D2B78"/>
    <w:rsid w:val="6597B1A8"/>
    <w:rsid w:val="65C86BCE"/>
    <w:rsid w:val="65ED7967"/>
    <w:rsid w:val="65F959A5"/>
    <w:rsid w:val="6624AB90"/>
    <w:rsid w:val="663E64D6"/>
    <w:rsid w:val="6653DF2B"/>
    <w:rsid w:val="66A11D3D"/>
    <w:rsid w:val="66E2C43C"/>
    <w:rsid w:val="66EEB02F"/>
    <w:rsid w:val="67C74496"/>
    <w:rsid w:val="6811D3B0"/>
    <w:rsid w:val="6833E928"/>
    <w:rsid w:val="685AA0E6"/>
    <w:rsid w:val="68728227"/>
    <w:rsid w:val="68B05AD5"/>
    <w:rsid w:val="68B0691C"/>
    <w:rsid w:val="6911C618"/>
    <w:rsid w:val="6918FB08"/>
    <w:rsid w:val="694BCC54"/>
    <w:rsid w:val="696DA93E"/>
    <w:rsid w:val="698DF717"/>
    <w:rsid w:val="6A24EC4F"/>
    <w:rsid w:val="6AE79CB5"/>
    <w:rsid w:val="6B24FF64"/>
    <w:rsid w:val="6BF99FBB"/>
    <w:rsid w:val="6C3C0F60"/>
    <w:rsid w:val="6C7483C3"/>
    <w:rsid w:val="6CB700FD"/>
    <w:rsid w:val="6CE2B90B"/>
    <w:rsid w:val="6D5D781D"/>
    <w:rsid w:val="6DD4E8C0"/>
    <w:rsid w:val="6DED8530"/>
    <w:rsid w:val="6E17EF65"/>
    <w:rsid w:val="6EA6E360"/>
    <w:rsid w:val="6ED91D3C"/>
    <w:rsid w:val="6EDCF622"/>
    <w:rsid w:val="6F1229B4"/>
    <w:rsid w:val="6F6407E7"/>
    <w:rsid w:val="706F528E"/>
    <w:rsid w:val="70E7D5E5"/>
    <w:rsid w:val="7120EDCC"/>
    <w:rsid w:val="71BF13D3"/>
    <w:rsid w:val="72C79FA3"/>
    <w:rsid w:val="72E5C8EE"/>
    <w:rsid w:val="730B1C1E"/>
    <w:rsid w:val="73D91782"/>
    <w:rsid w:val="73E6867D"/>
    <w:rsid w:val="7565052B"/>
    <w:rsid w:val="756F094D"/>
    <w:rsid w:val="764F5460"/>
    <w:rsid w:val="7772A422"/>
    <w:rsid w:val="777B3F19"/>
    <w:rsid w:val="78223A6F"/>
    <w:rsid w:val="782AF143"/>
    <w:rsid w:val="78432FD0"/>
    <w:rsid w:val="789E1541"/>
    <w:rsid w:val="791D5275"/>
    <w:rsid w:val="79AF0576"/>
    <w:rsid w:val="7AA32E03"/>
    <w:rsid w:val="7B4D1E92"/>
    <w:rsid w:val="7C98D607"/>
    <w:rsid w:val="7CA547A4"/>
    <w:rsid w:val="7CD47D59"/>
    <w:rsid w:val="7CDC8335"/>
    <w:rsid w:val="7D14FBDD"/>
    <w:rsid w:val="7D25B7DD"/>
    <w:rsid w:val="7DCB3E66"/>
    <w:rsid w:val="7DDACEC5"/>
    <w:rsid w:val="7E31CCCA"/>
    <w:rsid w:val="7EBCCA01"/>
    <w:rsid w:val="7EFB510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vertical-relative:line;v-text-anchor:middle" fillcolor="none [3215]" strokecolor="none [2415]">
      <v:fill color="none [3215]"/>
      <v:stroke color="none [2415]" weight="5pt"/>
      <v:textbox inset=",2.5mm,,2.5mm"/>
    </o:shapedefaults>
    <o:shapelayout v:ext="edit">
      <o:idmap v:ext="edit" data="2"/>
    </o:shapelayout>
  </w:shapeDefaults>
  <w:decimalSymbol w:val="."/>
  <w:listSeparator w:val=","/>
  <w14:docId w14:val="102B4675"/>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98"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0"/>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index 1" w:semiHidden="1" w:uiPriority="29"/>
    <w:lsdException w:name="index 2" w:semiHidden="1" w:uiPriority="29"/>
    <w:lsdException w:name="index 3" w:semiHidden="1" w:uiPriority="29"/>
    <w:lsdException w:name="index 4" w:semiHidden="1" w:uiPriority="29"/>
    <w:lsdException w:name="index 5" w:semiHidden="1" w:uiPriority="29"/>
    <w:lsdException w:name="index 6" w:semiHidden="1" w:uiPriority="29"/>
    <w:lsdException w:name="index 7" w:semiHidden="1" w:uiPriority="29"/>
    <w:lsdException w:name="index 8" w:semiHidden="1" w:uiPriority="29"/>
    <w:lsdException w:name="index 9" w:semiHidden="1" w:uiPriority="29"/>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uiPriority="39"/>
    <w:lsdException w:name="toc 6" w:semiHidden="1" w:uiPriority="39" w:unhideWhenUsed="1"/>
    <w:lsdException w:name="toc 7" w:semiHidden="1" w:uiPriority="39"/>
    <w:lsdException w:name="toc 8" w:semiHidden="1" w:uiPriority="39"/>
    <w:lsdException w:name="toc 9" w:semiHidden="1" w:uiPriority="39"/>
    <w:lsdException w:name="Normal Indent" w:semiHidden="1" w:uiPriority="29"/>
    <w:lsdException w:name="footnote text" w:semiHidden="1" w:uiPriority="99" w:unhideWhenUsed="1"/>
    <w:lsdException w:name="annotation text" w:semiHidden="1" w:uiPriority="29"/>
    <w:lsdException w:name="header" w:semiHidden="1" w:uiPriority="29" w:unhideWhenUsed="1"/>
    <w:lsdException w:name="footer" w:semiHidden="1" w:uiPriority="21" w:unhideWhenUsed="1" w:qFormat="1"/>
    <w:lsdException w:name="index heading" w:semiHidden="1" w:uiPriority="29"/>
    <w:lsdException w:name="caption" w:semiHidden="1" w:uiPriority="19"/>
    <w:lsdException w:name="table of figures" w:semiHidden="1" w:uiPriority="99" w:unhideWhenUsed="1"/>
    <w:lsdException w:name="envelope address" w:semiHidden="1" w:uiPriority="50"/>
    <w:lsdException w:name="envelope return" w:semiHidden="1" w:uiPriority="50"/>
    <w:lsdException w:name="footnote reference" w:semiHidden="1" w:uiPriority="9" w:unhideWhenUsed="1"/>
    <w:lsdException w:name="annotation reference" w:semiHidden="1" w:uiPriority="29"/>
    <w:lsdException w:name="line number" w:semiHidden="1" w:uiPriority="29"/>
    <w:lsdException w:name="page number" w:semiHidden="1" w:uiPriority="49"/>
    <w:lsdException w:name="endnote reference" w:semiHidden="1" w:uiPriority="50"/>
    <w:lsdException w:name="endnote text" w:semiHidden="1" w:uiPriority="50"/>
    <w:lsdException w:name="table of authorities" w:semiHidden="1" w:unhideWhenUsed="1"/>
    <w:lsdException w:name="macro" w:semiHidden="1" w:uiPriority="29"/>
    <w:lsdException w:name="toa heading" w:semiHidden="1" w:uiPriority="20"/>
    <w:lsdException w:name="List" w:semiHidden="1" w:uiPriority="4" w:unhideWhenUsed="1" w:qFormat="1"/>
    <w:lsdException w:name="List Bullet" w:semiHidden="1" w:uiPriority="3" w:unhideWhenUsed="1" w:qFormat="1"/>
    <w:lsdException w:name="List Number" w:uiPriority="3" w:qFormat="1"/>
    <w:lsdException w:name="List 2" w:semiHidden="1" w:uiPriority="4" w:unhideWhenUsed="1"/>
    <w:lsdException w:name="List 3" w:semiHidden="1" w:uiPriority="4" w:unhideWhenUsed="1"/>
    <w:lsdException w:name="List 4" w:semiHidden="1" w:uiPriority="3"/>
    <w:lsdException w:name="List 5" w:semiHidden="1" w:uiPriority="3"/>
    <w:lsdException w:name="List Bullet 2" w:semiHidden="1" w:uiPriority="3" w:unhideWhenUsed="1"/>
    <w:lsdException w:name="List Bullet 3" w:semiHidden="1" w:uiPriority="3" w:unhideWhenUsed="1"/>
    <w:lsdException w:name="List Bullet 4" w:semiHidden="1" w:uiPriority="3" w:unhideWhenUsed="1"/>
    <w:lsdException w:name="List Bullet 5" w:semiHidden="1" w:uiPriority="3" w:unhideWhenUsed="1"/>
    <w:lsdException w:name="List Number 2" w:semiHidden="1" w:uiPriority="3" w:unhideWhenUsed="1"/>
    <w:lsdException w:name="List Number 3" w:semiHidden="1" w:uiPriority="3" w:unhideWhenUsed="1"/>
    <w:lsdException w:name="List Number 4" w:semiHidden="1" w:uiPriority="3" w:unhideWhenUsed="1"/>
    <w:lsdException w:name="List Number 5" w:semiHidden="1" w:uiPriority="3" w:unhideWhenUsed="1"/>
    <w:lsdException w:name="Title" w:uiPriority="0"/>
    <w:lsdException w:name="Closing" w:semiHidden="1" w:uiPriority="29"/>
    <w:lsdException w:name="Signature" w:semiHidden="1" w:uiPriority="49"/>
    <w:lsdException w:name="Default Paragraph Font" w:semiHidden="1" w:uiPriority="0" w:unhideWhenUsed="1"/>
    <w:lsdException w:name="Body Text" w:semiHidden="1" w:uiPriority="29"/>
    <w:lsdException w:name="Body Text Indent" w:semiHidden="1" w:uiPriority="29"/>
    <w:lsdException w:name="List Continue" w:semiHidden="1" w:uiPriority="29"/>
    <w:lsdException w:name="List Continue 2" w:semiHidden="1" w:uiPriority="29"/>
    <w:lsdException w:name="List Continue 3" w:semiHidden="1" w:uiPriority="29"/>
    <w:lsdException w:name="List Continue 4" w:semiHidden="1" w:uiPriority="29"/>
    <w:lsdException w:name="List Continue 5" w:semiHidden="1" w:uiPriority="29"/>
    <w:lsdException w:name="Message Header" w:semiHidden="1" w:uiPriority="29"/>
    <w:lsdException w:name="Subtitle" w:uiPriority="0"/>
    <w:lsdException w:name="Salutation" w:semiHidden="1" w:uiPriority="49"/>
    <w:lsdException w:name="Date" w:uiPriority="0"/>
    <w:lsdException w:name="Body Text First Indent" w:semiHidden="1" w:uiPriority="29"/>
    <w:lsdException w:name="Body Text First Indent 2" w:semiHidden="1" w:uiPriority="29"/>
    <w:lsdException w:name="Note Heading" w:semiHidden="1" w:uiPriority="29"/>
    <w:lsdException w:name="Body Text 2" w:semiHidden="1" w:uiPriority="29"/>
    <w:lsdException w:name="Body Text 3" w:semiHidden="1" w:uiPriority="29"/>
    <w:lsdException w:name="Body Text Indent 2" w:semiHidden="1" w:uiPriority="29"/>
    <w:lsdException w:name="Body Text Indent 3" w:semiHidden="1" w:uiPriority="29"/>
    <w:lsdException w:name="Block Text" w:semiHidden="1" w:uiPriority="29"/>
    <w:lsdException w:name="Hyperlink" w:semiHidden="1" w:uiPriority="99" w:unhideWhenUsed="1"/>
    <w:lsdException w:name="FollowedHyperlink" w:semiHidden="1" w:uiPriority="50"/>
    <w:lsdException w:name="Strong" w:semiHidden="1" w:uiPriority="49"/>
    <w:lsdException w:name="Emphasis" w:semiHidden="1" w:uiPriority="50"/>
    <w:lsdException w:name="Document Map" w:semiHidden="1" w:uiPriority="50"/>
    <w:lsdException w:name="Plain Text" w:semiHidden="1" w:uiPriority="49"/>
    <w:lsdException w:name="E-mail Signature" w:semiHidden="1" w:uiPriority="50"/>
    <w:lsdException w:name="HTML Top of Form" w:semiHidden="1" w:uiPriority="0" w:unhideWhenUsed="1"/>
    <w:lsdException w:name="HTML Bottom of Form" w:semiHidden="1" w:uiPriority="0" w:unhideWhenUsed="1"/>
    <w:lsdException w:name="Normal (Web)" w:semiHidden="1" w:uiPriority="99"/>
    <w:lsdException w:name="HTML Acronym" w:semiHidden="1" w:uiPriority="29"/>
    <w:lsdException w:name="HTML Address" w:semiHidden="1" w:uiPriority="29"/>
    <w:lsdException w:name="HTML Cite" w:semiHidden="1" w:uiPriority="29"/>
    <w:lsdException w:name="HTML Code" w:semiHidden="1" w:uiPriority="29"/>
    <w:lsdException w:name="HTML Definition" w:semiHidden="1" w:uiPriority="29"/>
    <w:lsdException w:name="HTML Keyboard" w:semiHidden="1" w:uiPriority="29"/>
    <w:lsdException w:name="HTML Preformatted" w:semiHidden="1" w:uiPriority="29"/>
    <w:lsdException w:name="HTML Sample" w:semiHidden="1" w:uiPriority="29"/>
    <w:lsdException w:name="HTML Typewriter" w:semiHidden="1" w:uiPriority="29"/>
    <w:lsdException w:name="HTML Variable" w:semiHidden="1" w:uiPriority="29"/>
    <w:lsdException w:name="Normal Table" w:semiHidden="1" w:unhideWhenUsed="1"/>
    <w:lsdException w:name="annotation subject" w:semiHidden="1" w:uiPriority="29"/>
    <w:lsdException w:name="No List"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uiPriority="99"/>
    <w:lsdException w:name="No Spacing" w:uiPriority="3"/>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semiHidden="1" w:uiPriority="1" w:qFormat="1"/>
    <w:lsdException w:name="Quote" w:semiHidden="1" w:uiPriority="29"/>
    <w:lsdException w:name="Intense Quote" w:semiHidden="1" w:uiPriority="30"/>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uiPriority="4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lsdException w:name="TOC Heading" w:semiHidden="1" w:uiPriority="39" w:unhideWhenUsed="1" w:qFormat="1"/>
    <w:lsdException w:name="Grid Table 5 Dark Accent 2" w:uiPriority="50"/>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2"/>
    <w:qFormat/>
    <w:rsid w:val="001442E2"/>
    <w:pPr>
      <w:spacing w:after="160" w:line="280" w:lineRule="atLeast"/>
    </w:pPr>
    <w:rPr>
      <w:rFonts w:asciiTheme="minorHAnsi" w:eastAsiaTheme="majorEastAsia" w:hAnsiTheme="minorHAnsi" w:cs="Calibri"/>
      <w:color w:val="000000" w:themeColor="text1"/>
      <w:szCs w:val="24"/>
    </w:rPr>
  </w:style>
  <w:style w:type="paragraph" w:styleId="Heading1">
    <w:name w:val="heading 1"/>
    <w:basedOn w:val="Normal"/>
    <w:next w:val="Normal"/>
    <w:link w:val="Heading1Char"/>
    <w:uiPriority w:val="1"/>
    <w:qFormat/>
    <w:rsid w:val="003A5075"/>
    <w:pPr>
      <w:pBdr>
        <w:bottom w:val="single" w:sz="4" w:space="1" w:color="1D336D" w:themeColor="background2"/>
      </w:pBdr>
      <w:spacing w:before="240"/>
      <w:outlineLvl w:val="0"/>
    </w:pPr>
    <w:rPr>
      <w:bCs/>
      <w:iCs/>
      <w:caps/>
      <w:color w:val="1D336D" w:themeColor="background2"/>
      <w:sz w:val="32"/>
      <w:szCs w:val="28"/>
    </w:rPr>
  </w:style>
  <w:style w:type="paragraph" w:styleId="Heading2">
    <w:name w:val="heading 2"/>
    <w:basedOn w:val="Heading1"/>
    <w:next w:val="Normal"/>
    <w:link w:val="Heading2Char"/>
    <w:uiPriority w:val="1"/>
    <w:qFormat/>
    <w:rsid w:val="003A5075"/>
    <w:pPr>
      <w:numPr>
        <w:ilvl w:val="1"/>
      </w:numPr>
      <w:pBdr>
        <w:bottom w:val="none" w:sz="0" w:space="0" w:color="auto"/>
      </w:pBdr>
      <w:outlineLvl w:val="1"/>
    </w:pPr>
    <w:rPr>
      <w:b/>
      <w:color w:val="C9C9CA" w:themeColor="accent2"/>
      <w:sz w:val="28"/>
      <w:szCs w:val="26"/>
    </w:rPr>
  </w:style>
  <w:style w:type="paragraph" w:styleId="Heading3">
    <w:name w:val="heading 3"/>
    <w:basedOn w:val="Heading1"/>
    <w:next w:val="Normal"/>
    <w:link w:val="Heading3Char"/>
    <w:uiPriority w:val="1"/>
    <w:qFormat/>
    <w:rsid w:val="00B653D6"/>
    <w:pPr>
      <w:keepNext/>
      <w:numPr>
        <w:ilvl w:val="2"/>
      </w:numPr>
      <w:pBdr>
        <w:bottom w:val="none" w:sz="0" w:space="0" w:color="auto"/>
      </w:pBdr>
      <w:outlineLvl w:val="2"/>
    </w:pPr>
    <w:rPr>
      <w:b/>
      <w:bCs w:val="0"/>
      <w:caps w:val="0"/>
      <w:sz w:val="24"/>
      <w:szCs w:val="26"/>
    </w:rPr>
  </w:style>
  <w:style w:type="paragraph" w:styleId="Heading4">
    <w:name w:val="heading 4"/>
    <w:basedOn w:val="Heading3"/>
    <w:next w:val="Normal"/>
    <w:link w:val="Heading4Char"/>
    <w:uiPriority w:val="1"/>
    <w:rsid w:val="00100070"/>
    <w:pPr>
      <w:outlineLvl w:val="3"/>
    </w:pPr>
    <w:rPr>
      <w:rFonts w:eastAsia="Century Gothic"/>
      <w:sz w:val="20"/>
    </w:rPr>
  </w:style>
  <w:style w:type="paragraph" w:styleId="Heading5">
    <w:name w:val="heading 5"/>
    <w:basedOn w:val="Normal"/>
    <w:next w:val="Normal"/>
    <w:link w:val="Heading5Char"/>
    <w:uiPriority w:val="1"/>
    <w:semiHidden/>
    <w:qFormat/>
    <w:rsid w:val="00100070"/>
    <w:pPr>
      <w:keepNext/>
      <w:keepLines/>
      <w:spacing w:before="40" w:after="0"/>
      <w:outlineLvl w:val="4"/>
    </w:pPr>
    <w:rPr>
      <w:rFonts w:asciiTheme="majorHAnsi" w:hAnsiTheme="majorHAnsi" w:cstheme="majorBidi"/>
      <w:color w:val="585858" w:themeColor="text2"/>
    </w:rPr>
  </w:style>
  <w:style w:type="paragraph" w:styleId="Heading6">
    <w:name w:val="heading 6"/>
    <w:basedOn w:val="Normal"/>
    <w:next w:val="Normal"/>
    <w:link w:val="Heading6Char"/>
    <w:uiPriority w:val="1"/>
    <w:semiHidden/>
    <w:qFormat/>
    <w:rsid w:val="00100070"/>
    <w:pPr>
      <w:keepNext/>
      <w:keepLines/>
      <w:spacing w:before="40" w:after="0"/>
      <w:outlineLvl w:val="5"/>
    </w:pPr>
    <w:rPr>
      <w:rFonts w:asciiTheme="majorHAnsi" w:hAnsiTheme="majorHAnsi" w:cstheme="majorBidi"/>
      <w:color w:val="1D336D" w:themeColor="background2"/>
    </w:rPr>
  </w:style>
  <w:style w:type="paragraph" w:styleId="Heading7">
    <w:name w:val="heading 7"/>
    <w:basedOn w:val="Normal"/>
    <w:next w:val="Normal"/>
    <w:link w:val="Heading7Char"/>
    <w:uiPriority w:val="1"/>
    <w:semiHidden/>
    <w:qFormat/>
    <w:rsid w:val="00100070"/>
    <w:pPr>
      <w:keepNext/>
      <w:keepLines/>
      <w:spacing w:before="40" w:after="0"/>
      <w:outlineLvl w:val="6"/>
    </w:pPr>
    <w:rPr>
      <w:rFonts w:asciiTheme="majorHAnsi" w:hAnsiTheme="majorHAnsi" w:cstheme="majorBidi"/>
      <w:i/>
      <w:iCs/>
      <w:color w:val="585858" w:themeColor="text2"/>
    </w:rPr>
  </w:style>
  <w:style w:type="paragraph" w:styleId="Heading8">
    <w:name w:val="heading 8"/>
    <w:basedOn w:val="Normal"/>
    <w:next w:val="Normal"/>
    <w:link w:val="Heading8Char"/>
    <w:uiPriority w:val="1"/>
    <w:semiHidden/>
    <w:qFormat/>
    <w:rsid w:val="00100070"/>
    <w:pPr>
      <w:keepNext/>
      <w:keepLines/>
      <w:spacing w:before="240"/>
      <w:outlineLvl w:val="7"/>
    </w:pPr>
    <w:rPr>
      <w:rFonts w:asciiTheme="majorHAnsi" w:hAnsiTheme="majorHAnsi" w:cstheme="majorBidi"/>
      <w:i/>
      <w:color w:val="1D336D" w:themeColor="background2"/>
      <w:szCs w:val="21"/>
    </w:rPr>
  </w:style>
  <w:style w:type="paragraph" w:styleId="Heading9">
    <w:name w:val="heading 9"/>
    <w:basedOn w:val="Normal"/>
    <w:next w:val="Normal"/>
    <w:link w:val="Heading9Char"/>
    <w:uiPriority w:val="1"/>
    <w:semiHidden/>
    <w:qFormat/>
    <w:rsid w:val="00100070"/>
    <w:pPr>
      <w:keepNext/>
      <w:keepLines/>
      <w:spacing w:before="240"/>
      <w:outlineLvl w:val="8"/>
    </w:pPr>
    <w:rPr>
      <w:rFonts w:asciiTheme="majorHAnsi" w:hAnsiTheme="majorHAnsi" w:cstheme="majorBidi"/>
      <w:i/>
      <w:iCs/>
      <w:color w:val="00000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semiHidden/>
    <w:rsid w:val="00827C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29"/>
    <w:semiHidden/>
    <w:rsid w:val="00BD2E72"/>
    <w:pPr>
      <w:spacing w:after="0" w:line="240" w:lineRule="auto"/>
    </w:pPr>
    <w:rPr>
      <w:color w:val="FFFFFF"/>
    </w:rPr>
  </w:style>
  <w:style w:type="character" w:customStyle="1" w:styleId="HeaderChar">
    <w:name w:val="Header Char"/>
    <w:basedOn w:val="DefaultParagraphFont"/>
    <w:link w:val="Header"/>
    <w:uiPriority w:val="29"/>
    <w:semiHidden/>
    <w:rsid w:val="00310B3A"/>
    <w:rPr>
      <w:rFonts w:asciiTheme="minorHAnsi" w:eastAsiaTheme="majorEastAsia" w:hAnsiTheme="minorHAnsi" w:cs="Calibri"/>
      <w:color w:val="FFFFFF"/>
      <w:szCs w:val="24"/>
    </w:rPr>
  </w:style>
  <w:style w:type="paragraph" w:styleId="Footer">
    <w:name w:val="footer"/>
    <w:basedOn w:val="Normal"/>
    <w:link w:val="FooterChar"/>
    <w:uiPriority w:val="21"/>
    <w:qFormat/>
    <w:rsid w:val="00145656"/>
    <w:pPr>
      <w:spacing w:after="0" w:line="240" w:lineRule="auto"/>
    </w:pPr>
    <w:rPr>
      <w:color w:val="1D336D" w:themeColor="background2"/>
      <w:sz w:val="18"/>
    </w:rPr>
  </w:style>
  <w:style w:type="character" w:customStyle="1" w:styleId="FooterChar">
    <w:name w:val="Footer Char"/>
    <w:basedOn w:val="DefaultParagraphFont"/>
    <w:link w:val="Footer"/>
    <w:uiPriority w:val="21"/>
    <w:rsid w:val="00145656"/>
    <w:rPr>
      <w:rFonts w:asciiTheme="minorHAnsi" w:eastAsiaTheme="majorEastAsia" w:hAnsiTheme="minorHAnsi" w:cs="Calibri"/>
      <w:color w:val="1D336D" w:themeColor="background2"/>
      <w:sz w:val="18"/>
      <w:szCs w:val="24"/>
    </w:rPr>
  </w:style>
  <w:style w:type="paragraph" w:styleId="BalloonText">
    <w:name w:val="Balloon Text"/>
    <w:basedOn w:val="Normal"/>
    <w:link w:val="BalloonTextChar"/>
    <w:uiPriority w:val="29"/>
    <w:semiHidden/>
    <w:rsid w:val="006753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29"/>
    <w:semiHidden/>
    <w:rsid w:val="00E4514E"/>
    <w:rPr>
      <w:rFonts w:ascii="Tahoma" w:hAnsi="Tahoma" w:cs="Tahoma"/>
      <w:sz w:val="16"/>
      <w:szCs w:val="16"/>
    </w:rPr>
  </w:style>
  <w:style w:type="paragraph" w:customStyle="1" w:styleId="Detail">
    <w:name w:val="Detail"/>
    <w:basedOn w:val="Normal"/>
    <w:uiPriority w:val="50"/>
    <w:semiHidden/>
    <w:rsid w:val="00A67C11"/>
  </w:style>
  <w:style w:type="paragraph" w:styleId="ListNumber">
    <w:name w:val="List Number"/>
    <w:basedOn w:val="Normal"/>
    <w:link w:val="ListNumberChar"/>
    <w:uiPriority w:val="3"/>
    <w:qFormat/>
    <w:rsid w:val="00D4310E"/>
    <w:pPr>
      <w:tabs>
        <w:tab w:val="num" w:pos="284"/>
      </w:tabs>
      <w:spacing w:after="120"/>
      <w:ind w:left="284" w:hanging="284"/>
    </w:pPr>
    <w:rPr>
      <w:rFonts w:eastAsia="Century Gothic" w:cstheme="minorBidi"/>
      <w:szCs w:val="20"/>
      <w:lang w:eastAsia="en-US"/>
    </w:rPr>
  </w:style>
  <w:style w:type="paragraph" w:styleId="ListBullet">
    <w:name w:val="List Bullet"/>
    <w:basedOn w:val="Normal"/>
    <w:uiPriority w:val="3"/>
    <w:qFormat/>
    <w:rsid w:val="00596177"/>
    <w:pPr>
      <w:tabs>
        <w:tab w:val="num" w:pos="284"/>
      </w:tabs>
      <w:spacing w:after="120"/>
      <w:ind w:left="284" w:hanging="284"/>
    </w:pPr>
    <w:rPr>
      <w:rFonts w:eastAsia="Century Gothic" w:cstheme="minorBidi"/>
      <w:szCs w:val="20"/>
      <w:lang w:eastAsia="en-US"/>
    </w:rPr>
  </w:style>
  <w:style w:type="paragraph" w:styleId="Date">
    <w:name w:val="Date"/>
    <w:basedOn w:val="Normal"/>
    <w:next w:val="Normal"/>
    <w:link w:val="DateChar"/>
    <w:uiPriority w:val="49"/>
    <w:semiHidden/>
    <w:rsid w:val="00F958EC"/>
    <w:pPr>
      <w:spacing w:after="0" w:line="240" w:lineRule="auto"/>
    </w:pPr>
    <w:rPr>
      <w:rFonts w:ascii="Corpid C1 SCd Regular" w:hAnsi="Corpid C1 SCd Regular"/>
      <w:color w:val="FFFFFF"/>
    </w:rPr>
  </w:style>
  <w:style w:type="character" w:customStyle="1" w:styleId="DateChar">
    <w:name w:val="Date Char"/>
    <w:basedOn w:val="DefaultParagraphFont"/>
    <w:link w:val="Date"/>
    <w:uiPriority w:val="49"/>
    <w:semiHidden/>
    <w:rsid w:val="00310B3A"/>
    <w:rPr>
      <w:rFonts w:ascii="Corpid C1 SCd Regular" w:eastAsiaTheme="majorEastAsia" w:hAnsi="Corpid C1 SCd Regular" w:cs="Calibri"/>
      <w:color w:val="FFFFFF"/>
      <w:szCs w:val="24"/>
    </w:rPr>
  </w:style>
  <w:style w:type="character" w:styleId="PlaceholderText">
    <w:name w:val="Placeholder Text"/>
    <w:basedOn w:val="DefaultParagraphFont"/>
    <w:uiPriority w:val="99"/>
    <w:semiHidden/>
    <w:rsid w:val="00415976"/>
    <w:rPr>
      <w:vanish w:val="0"/>
      <w:color w:val="FF0000"/>
    </w:rPr>
  </w:style>
  <w:style w:type="numbering" w:customStyle="1" w:styleId="AlphaList">
    <w:name w:val="_Alpha List"/>
    <w:uiPriority w:val="99"/>
    <w:rsid w:val="00581230"/>
    <w:pPr>
      <w:numPr>
        <w:numId w:val="1"/>
      </w:numPr>
    </w:pPr>
  </w:style>
  <w:style w:type="character" w:customStyle="1" w:styleId="Heading5Char">
    <w:name w:val="Heading 5 Char"/>
    <w:basedOn w:val="DefaultParagraphFont"/>
    <w:link w:val="Heading5"/>
    <w:uiPriority w:val="1"/>
    <w:semiHidden/>
    <w:rsid w:val="000E3939"/>
    <w:rPr>
      <w:rFonts w:asciiTheme="majorHAnsi" w:eastAsiaTheme="majorEastAsia" w:hAnsiTheme="majorHAnsi" w:cstheme="majorBidi"/>
      <w:color w:val="585858" w:themeColor="text2"/>
      <w:szCs w:val="24"/>
    </w:rPr>
  </w:style>
  <w:style w:type="paragraph" w:customStyle="1" w:styleId="TableHeading">
    <w:name w:val="Table Heading"/>
    <w:basedOn w:val="Normal"/>
    <w:link w:val="TableHeadingChar"/>
    <w:uiPriority w:val="9"/>
    <w:qFormat/>
    <w:rsid w:val="00885AF8"/>
    <w:pPr>
      <w:numPr>
        <w:numId w:val="10"/>
      </w:numPr>
      <w:spacing w:before="20" w:after="20" w:line="240" w:lineRule="auto"/>
    </w:pPr>
    <w:rPr>
      <w:rFonts w:eastAsia="Century Gothic"/>
      <w:b/>
      <w:bCs/>
      <w:color w:val="FFFFFF"/>
      <w:lang w:eastAsia="en-US"/>
    </w:rPr>
  </w:style>
  <w:style w:type="paragraph" w:styleId="Title">
    <w:name w:val="Title"/>
    <w:basedOn w:val="Normal"/>
    <w:next w:val="Subtitle"/>
    <w:link w:val="TitleChar"/>
    <w:uiPriority w:val="49"/>
    <w:semiHidden/>
    <w:rsid w:val="00F2411F"/>
    <w:pPr>
      <w:pageBreakBefore/>
      <w:framePr w:w="8964" w:wrap="notBeside" w:vAnchor="text" w:hAnchor="text" w:yAlign="top"/>
      <w:spacing w:before="240"/>
      <w:outlineLvl w:val="0"/>
    </w:pPr>
    <w:rPr>
      <w:rFonts w:asciiTheme="majorHAnsi" w:hAnsiTheme="majorHAnsi"/>
      <w:b/>
      <w:bCs/>
      <w:iCs/>
      <w:color w:val="585858" w:themeColor="text2"/>
      <w:sz w:val="40"/>
      <w:szCs w:val="28"/>
    </w:rPr>
  </w:style>
  <w:style w:type="character" w:customStyle="1" w:styleId="TitleChar">
    <w:name w:val="Title Char"/>
    <w:basedOn w:val="DefaultParagraphFont"/>
    <w:link w:val="Title"/>
    <w:uiPriority w:val="49"/>
    <w:semiHidden/>
    <w:rsid w:val="00310B3A"/>
    <w:rPr>
      <w:rFonts w:asciiTheme="majorHAnsi" w:eastAsiaTheme="majorEastAsia" w:hAnsiTheme="majorHAnsi" w:cs="Calibri"/>
      <w:b/>
      <w:bCs/>
      <w:iCs/>
      <w:color w:val="585858" w:themeColor="text2"/>
      <w:sz w:val="40"/>
      <w:szCs w:val="28"/>
    </w:rPr>
  </w:style>
  <w:style w:type="table" w:styleId="ListTable3-Accent1">
    <w:name w:val="List Table 3 Accent 1"/>
    <w:basedOn w:val="TableNormal"/>
    <w:uiPriority w:val="98"/>
    <w:semiHidden/>
    <w:rsid w:val="007E01F1"/>
    <w:rPr>
      <w:rFonts w:asciiTheme="minorHAnsi" w:eastAsia="Century Gothic" w:hAnsiTheme="minorHAnsi" w:cstheme="minorBidi"/>
      <w:lang w:eastAsia="en-US"/>
    </w:rPr>
    <w:tblPr>
      <w:tblStyleRowBandSize w:val="1"/>
      <w:tblStyleColBandSize w:val="1"/>
      <w:tblInd w:w="57" w:type="dxa"/>
      <w:tblBorders>
        <w:top w:val="single" w:sz="4" w:space="0" w:color="63D0DF" w:themeColor="accent1"/>
        <w:left w:val="single" w:sz="4" w:space="0" w:color="63D0DF" w:themeColor="accent1"/>
        <w:bottom w:val="single" w:sz="4" w:space="0" w:color="63D0DF" w:themeColor="accent1"/>
        <w:right w:val="single" w:sz="4" w:space="0" w:color="63D0DF" w:themeColor="accent1"/>
      </w:tblBorders>
      <w:tblCellMar>
        <w:top w:w="57" w:type="dxa"/>
        <w:left w:w="57" w:type="dxa"/>
        <w:bottom w:w="57" w:type="dxa"/>
        <w:right w:w="57" w:type="dxa"/>
      </w:tblCellMar>
    </w:tblPr>
    <w:tblStylePr w:type="firstRow">
      <w:rPr>
        <w:b/>
        <w:bCs/>
        <w:color w:val="FFFFFF" w:themeColor="background1"/>
      </w:rPr>
      <w:tblPr/>
      <w:tcPr>
        <w:shd w:val="clear" w:color="auto" w:fill="63D0DF" w:themeFill="accent1"/>
      </w:tcPr>
    </w:tblStylePr>
    <w:tblStylePr w:type="lastRow">
      <w:rPr>
        <w:b/>
        <w:bCs/>
      </w:rPr>
      <w:tblPr/>
      <w:tcPr>
        <w:tcBorders>
          <w:top w:val="double" w:sz="4" w:space="0" w:color="63D0D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3D0DF" w:themeColor="accent1"/>
          <w:right w:val="single" w:sz="4" w:space="0" w:color="63D0DF" w:themeColor="accent1"/>
        </w:tcBorders>
      </w:tcPr>
    </w:tblStylePr>
    <w:tblStylePr w:type="band1Horz">
      <w:tblPr/>
      <w:tcPr>
        <w:tcBorders>
          <w:top w:val="single" w:sz="4" w:space="0" w:color="63D0DF" w:themeColor="accent1"/>
          <w:bottom w:val="single" w:sz="4" w:space="0" w:color="63D0D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3D0DF" w:themeColor="accent1"/>
          <w:left w:val="nil"/>
        </w:tcBorders>
      </w:tcPr>
    </w:tblStylePr>
    <w:tblStylePr w:type="swCell">
      <w:tblPr/>
      <w:tcPr>
        <w:tcBorders>
          <w:top w:val="double" w:sz="4" w:space="0" w:color="63D0DF" w:themeColor="accent1"/>
          <w:right w:val="nil"/>
        </w:tcBorders>
      </w:tcPr>
    </w:tblStylePr>
  </w:style>
  <w:style w:type="numbering" w:customStyle="1" w:styleId="Bullets">
    <w:name w:val="_Bullets"/>
    <w:uiPriority w:val="99"/>
    <w:rsid w:val="00847E29"/>
    <w:pPr>
      <w:numPr>
        <w:numId w:val="2"/>
      </w:numPr>
    </w:pPr>
  </w:style>
  <w:style w:type="numbering" w:customStyle="1" w:styleId="NumberedList">
    <w:name w:val="_Numbered List"/>
    <w:uiPriority w:val="99"/>
    <w:rsid w:val="0091567C"/>
    <w:pPr>
      <w:numPr>
        <w:numId w:val="3"/>
      </w:numPr>
    </w:pPr>
  </w:style>
  <w:style w:type="paragraph" w:styleId="List">
    <w:name w:val="List"/>
    <w:basedOn w:val="Normal"/>
    <w:uiPriority w:val="3"/>
    <w:qFormat/>
    <w:rsid w:val="00581230"/>
    <w:pPr>
      <w:ind w:left="284" w:hanging="284"/>
    </w:pPr>
    <w:rPr>
      <w:rFonts w:eastAsia="Century Gothic" w:cstheme="minorBidi"/>
      <w:szCs w:val="20"/>
      <w:lang w:eastAsia="en-US"/>
    </w:rPr>
  </w:style>
  <w:style w:type="paragraph" w:styleId="List2">
    <w:name w:val="List 2"/>
    <w:basedOn w:val="Normal"/>
    <w:uiPriority w:val="3"/>
    <w:unhideWhenUsed/>
    <w:rsid w:val="00581230"/>
    <w:pPr>
      <w:ind w:left="568" w:hanging="284"/>
    </w:pPr>
    <w:rPr>
      <w:rFonts w:eastAsia="Century Gothic" w:cstheme="minorBidi"/>
      <w:szCs w:val="20"/>
      <w:lang w:eastAsia="en-US"/>
    </w:rPr>
  </w:style>
  <w:style w:type="paragraph" w:styleId="List3">
    <w:name w:val="List 3"/>
    <w:basedOn w:val="Normal"/>
    <w:uiPriority w:val="3"/>
    <w:unhideWhenUsed/>
    <w:rsid w:val="00581230"/>
    <w:pPr>
      <w:spacing w:after="233" w:line="240" w:lineRule="auto"/>
      <w:ind w:left="852" w:hanging="284"/>
    </w:pPr>
    <w:rPr>
      <w:rFonts w:eastAsia="Century Gothic" w:cstheme="minorBidi"/>
      <w:szCs w:val="20"/>
      <w:lang w:eastAsia="en-US"/>
    </w:rPr>
  </w:style>
  <w:style w:type="paragraph" w:styleId="ListNumber2">
    <w:name w:val="List Number 2"/>
    <w:basedOn w:val="Normal"/>
    <w:uiPriority w:val="3"/>
    <w:rsid w:val="00D4310E"/>
    <w:pPr>
      <w:tabs>
        <w:tab w:val="num" w:pos="567"/>
      </w:tabs>
      <w:spacing w:after="120"/>
      <w:ind w:left="568" w:hanging="284"/>
    </w:pPr>
    <w:rPr>
      <w:rFonts w:eastAsia="Century Gothic" w:cstheme="minorBidi"/>
      <w:szCs w:val="20"/>
      <w:lang w:eastAsia="en-US"/>
    </w:rPr>
  </w:style>
  <w:style w:type="paragraph" w:styleId="ListNumber3">
    <w:name w:val="List Number 3"/>
    <w:basedOn w:val="Normal"/>
    <w:uiPriority w:val="3"/>
    <w:rsid w:val="00D4310E"/>
    <w:pPr>
      <w:tabs>
        <w:tab w:val="num" w:pos="851"/>
      </w:tabs>
      <w:spacing w:after="120"/>
      <w:ind w:left="852" w:hanging="284"/>
    </w:pPr>
    <w:rPr>
      <w:rFonts w:eastAsia="Century Gothic" w:cstheme="minorBidi"/>
      <w:szCs w:val="20"/>
      <w:lang w:eastAsia="en-US"/>
    </w:rPr>
  </w:style>
  <w:style w:type="paragraph" w:styleId="ListNumber4">
    <w:name w:val="List Number 4"/>
    <w:basedOn w:val="Normal"/>
    <w:uiPriority w:val="50"/>
    <w:semiHidden/>
    <w:rsid w:val="0091567C"/>
    <w:pPr>
      <w:spacing w:after="100" w:line="240" w:lineRule="auto"/>
      <w:contextualSpacing/>
    </w:pPr>
    <w:rPr>
      <w:rFonts w:eastAsia="Century Gothic" w:cstheme="minorBidi"/>
      <w:szCs w:val="20"/>
      <w:lang w:eastAsia="en-US"/>
    </w:rPr>
  </w:style>
  <w:style w:type="paragraph" w:styleId="ListNumber5">
    <w:name w:val="List Number 5"/>
    <w:basedOn w:val="Normal"/>
    <w:uiPriority w:val="50"/>
    <w:semiHidden/>
    <w:rsid w:val="0091567C"/>
    <w:pPr>
      <w:spacing w:after="100" w:line="240" w:lineRule="auto"/>
      <w:contextualSpacing/>
    </w:pPr>
    <w:rPr>
      <w:rFonts w:eastAsia="Century Gothic" w:cstheme="minorBidi"/>
      <w:szCs w:val="20"/>
      <w:lang w:eastAsia="en-US"/>
    </w:rPr>
  </w:style>
  <w:style w:type="table" w:styleId="GridTable1Light">
    <w:name w:val="Grid Table 1 Light"/>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57" w:type="dxa"/>
        <w:left w:w="57" w:type="dxa"/>
        <w:bottom w:w="57" w:type="dxa"/>
        <w:right w:w="57"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0ECF2" w:themeColor="accent1" w:themeTint="66"/>
        <w:left w:val="single" w:sz="4" w:space="0" w:color="C0ECF2" w:themeColor="accent1" w:themeTint="66"/>
        <w:bottom w:val="single" w:sz="4" w:space="0" w:color="C0ECF2" w:themeColor="accent1" w:themeTint="66"/>
        <w:right w:val="single" w:sz="4" w:space="0" w:color="C0ECF2" w:themeColor="accent1" w:themeTint="66"/>
        <w:insideH w:val="single" w:sz="4" w:space="0" w:color="C0ECF2" w:themeColor="accent1" w:themeTint="66"/>
        <w:insideV w:val="single" w:sz="4" w:space="0" w:color="C0ECF2" w:themeColor="accent1" w:themeTint="66"/>
      </w:tblBorders>
      <w:tblCellMar>
        <w:top w:w="57" w:type="dxa"/>
        <w:left w:w="57" w:type="dxa"/>
        <w:bottom w:w="57" w:type="dxa"/>
        <w:right w:w="57" w:type="dxa"/>
      </w:tblCellMar>
    </w:tblPr>
    <w:tblStylePr w:type="firstRow">
      <w:rPr>
        <w:b/>
        <w:bCs/>
      </w:rPr>
      <w:tblPr/>
      <w:tcPr>
        <w:tcBorders>
          <w:bottom w:val="single" w:sz="12" w:space="0" w:color="A1E2EB" w:themeColor="accent1" w:themeTint="99"/>
        </w:tcBorders>
      </w:tcPr>
    </w:tblStylePr>
    <w:tblStylePr w:type="lastRow">
      <w:rPr>
        <w:b/>
        <w:bCs/>
      </w:rPr>
      <w:tblPr/>
      <w:tcPr>
        <w:tcBorders>
          <w:top w:val="double" w:sz="2" w:space="0" w:color="A1E2EB"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E9E9E9" w:themeColor="accent2" w:themeTint="66"/>
        <w:left w:val="single" w:sz="4" w:space="0" w:color="E9E9E9" w:themeColor="accent2" w:themeTint="66"/>
        <w:bottom w:val="single" w:sz="4" w:space="0" w:color="E9E9E9" w:themeColor="accent2" w:themeTint="66"/>
        <w:right w:val="single" w:sz="4" w:space="0" w:color="E9E9E9" w:themeColor="accent2" w:themeTint="66"/>
        <w:insideH w:val="single" w:sz="4" w:space="0" w:color="E9E9E9" w:themeColor="accent2" w:themeTint="66"/>
        <w:insideV w:val="single" w:sz="4" w:space="0" w:color="E9E9E9" w:themeColor="accent2" w:themeTint="66"/>
      </w:tblBorders>
      <w:tblCellMar>
        <w:top w:w="57" w:type="dxa"/>
        <w:left w:w="57" w:type="dxa"/>
        <w:bottom w:w="57" w:type="dxa"/>
        <w:right w:w="57" w:type="dxa"/>
      </w:tblCellMar>
    </w:tblPr>
    <w:tblStylePr w:type="firstRow">
      <w:rPr>
        <w:b/>
        <w:bCs/>
      </w:rPr>
      <w:tblPr/>
      <w:tcPr>
        <w:tcBorders>
          <w:bottom w:val="single" w:sz="12" w:space="0" w:color="DEDEDF" w:themeColor="accent2" w:themeTint="99"/>
        </w:tcBorders>
      </w:tcPr>
    </w:tblStylePr>
    <w:tblStylePr w:type="lastRow">
      <w:rPr>
        <w:b/>
        <w:bCs/>
      </w:rPr>
      <w:tblPr/>
      <w:tcPr>
        <w:tcBorders>
          <w:top w:val="double" w:sz="2" w:space="0" w:color="DEDED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0ECF2" w:themeColor="accent3" w:themeTint="66"/>
        <w:left w:val="single" w:sz="4" w:space="0" w:color="C0ECF2" w:themeColor="accent3" w:themeTint="66"/>
        <w:bottom w:val="single" w:sz="4" w:space="0" w:color="C0ECF2" w:themeColor="accent3" w:themeTint="66"/>
        <w:right w:val="single" w:sz="4" w:space="0" w:color="C0ECF2" w:themeColor="accent3" w:themeTint="66"/>
        <w:insideH w:val="single" w:sz="4" w:space="0" w:color="C0ECF2" w:themeColor="accent3" w:themeTint="66"/>
        <w:insideV w:val="single" w:sz="4" w:space="0" w:color="C0ECF2" w:themeColor="accent3" w:themeTint="66"/>
      </w:tblBorders>
      <w:tblCellMar>
        <w:top w:w="57" w:type="dxa"/>
        <w:left w:w="57" w:type="dxa"/>
        <w:bottom w:w="57" w:type="dxa"/>
        <w:right w:w="57" w:type="dxa"/>
      </w:tblCellMar>
    </w:tblPr>
    <w:tblStylePr w:type="firstRow">
      <w:rPr>
        <w:b/>
        <w:bCs/>
      </w:rPr>
      <w:tblPr/>
      <w:tcPr>
        <w:tcBorders>
          <w:bottom w:val="single" w:sz="12" w:space="0" w:color="A1E2EB" w:themeColor="accent3" w:themeTint="99"/>
        </w:tcBorders>
      </w:tcPr>
    </w:tblStylePr>
    <w:tblStylePr w:type="lastRow">
      <w:rPr>
        <w:b/>
        <w:bCs/>
      </w:rPr>
      <w:tblPr/>
      <w:tcPr>
        <w:tcBorders>
          <w:top w:val="double" w:sz="2" w:space="0" w:color="A1E2E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D9D9D9" w:themeColor="accent4" w:themeTint="66"/>
        <w:left w:val="single" w:sz="4" w:space="0" w:color="D9D9D9" w:themeColor="accent4" w:themeTint="66"/>
        <w:bottom w:val="single" w:sz="4" w:space="0" w:color="D9D9D9" w:themeColor="accent4" w:themeTint="66"/>
        <w:right w:val="single" w:sz="4" w:space="0" w:color="D9D9D9" w:themeColor="accent4" w:themeTint="66"/>
        <w:insideH w:val="single" w:sz="4" w:space="0" w:color="D9D9D9" w:themeColor="accent4" w:themeTint="66"/>
        <w:insideV w:val="single" w:sz="4" w:space="0" w:color="D9D9D9" w:themeColor="accent4" w:themeTint="66"/>
      </w:tblBorders>
      <w:tblCellMar>
        <w:top w:w="57" w:type="dxa"/>
        <w:left w:w="57" w:type="dxa"/>
        <w:bottom w:w="57" w:type="dxa"/>
        <w:right w:w="57" w:type="dxa"/>
      </w:tblCellMar>
    </w:tblPr>
    <w:tblStylePr w:type="firstRow">
      <w:rPr>
        <w:b/>
        <w:bCs/>
      </w:rPr>
      <w:tblPr/>
      <w:tcPr>
        <w:tcBorders>
          <w:bottom w:val="single" w:sz="12" w:space="0" w:color="C6C6C6" w:themeColor="accent4" w:themeTint="99"/>
        </w:tcBorders>
      </w:tcPr>
    </w:tblStylePr>
    <w:tblStylePr w:type="lastRow">
      <w:rPr>
        <w:b/>
        <w:bCs/>
      </w:rPr>
      <w:tblPr/>
      <w:tcPr>
        <w:tcBorders>
          <w:top w:val="double" w:sz="2" w:space="0" w:color="C6C6C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0ECF2" w:themeColor="accent5" w:themeTint="66"/>
        <w:left w:val="single" w:sz="4" w:space="0" w:color="C0ECF2" w:themeColor="accent5" w:themeTint="66"/>
        <w:bottom w:val="single" w:sz="4" w:space="0" w:color="C0ECF2" w:themeColor="accent5" w:themeTint="66"/>
        <w:right w:val="single" w:sz="4" w:space="0" w:color="C0ECF2" w:themeColor="accent5" w:themeTint="66"/>
        <w:insideH w:val="single" w:sz="4" w:space="0" w:color="C0ECF2" w:themeColor="accent5" w:themeTint="66"/>
        <w:insideV w:val="single" w:sz="4" w:space="0" w:color="C0ECF2" w:themeColor="accent5" w:themeTint="66"/>
      </w:tblBorders>
      <w:tblCellMar>
        <w:top w:w="57" w:type="dxa"/>
        <w:left w:w="57" w:type="dxa"/>
        <w:bottom w:w="57" w:type="dxa"/>
        <w:right w:w="57" w:type="dxa"/>
      </w:tblCellMar>
    </w:tblPr>
    <w:tblStylePr w:type="firstRow">
      <w:rPr>
        <w:b/>
        <w:bCs/>
      </w:rPr>
      <w:tblPr/>
      <w:tcPr>
        <w:tcBorders>
          <w:bottom w:val="single" w:sz="12" w:space="0" w:color="A1E2EB" w:themeColor="accent5" w:themeTint="99"/>
        </w:tcBorders>
      </w:tcPr>
    </w:tblStylePr>
    <w:tblStylePr w:type="lastRow">
      <w:rPr>
        <w:b/>
        <w:bCs/>
      </w:rPr>
      <w:tblPr/>
      <w:tcPr>
        <w:tcBorders>
          <w:top w:val="double" w:sz="2" w:space="0" w:color="A1E2E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D9D9D9" w:themeColor="accent6" w:themeTint="66"/>
        <w:left w:val="single" w:sz="4" w:space="0" w:color="D9D9D9" w:themeColor="accent6" w:themeTint="66"/>
        <w:bottom w:val="single" w:sz="4" w:space="0" w:color="D9D9D9" w:themeColor="accent6" w:themeTint="66"/>
        <w:right w:val="single" w:sz="4" w:space="0" w:color="D9D9D9" w:themeColor="accent6" w:themeTint="66"/>
        <w:insideH w:val="single" w:sz="4" w:space="0" w:color="D9D9D9" w:themeColor="accent6" w:themeTint="66"/>
        <w:insideV w:val="single" w:sz="4" w:space="0" w:color="D9D9D9" w:themeColor="accent6" w:themeTint="66"/>
      </w:tblBorders>
      <w:tblCellMar>
        <w:top w:w="57" w:type="dxa"/>
        <w:left w:w="57" w:type="dxa"/>
        <w:bottom w:w="57" w:type="dxa"/>
        <w:right w:w="57" w:type="dxa"/>
      </w:tblCellMar>
    </w:tblPr>
    <w:tblStylePr w:type="firstRow">
      <w:rPr>
        <w:b/>
        <w:bCs/>
      </w:rPr>
      <w:tblPr/>
      <w:tcPr>
        <w:tcBorders>
          <w:bottom w:val="single" w:sz="12" w:space="0" w:color="C6C6C6" w:themeColor="accent6" w:themeTint="99"/>
        </w:tcBorders>
      </w:tcPr>
    </w:tblStylePr>
    <w:tblStylePr w:type="lastRow">
      <w:rPr>
        <w:b/>
        <w:bCs/>
      </w:rPr>
      <w:tblPr/>
      <w:tcPr>
        <w:tcBorders>
          <w:top w:val="double" w:sz="2" w:space="0" w:color="C6C6C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57" w:type="dxa"/>
        <w:left w:w="57" w:type="dxa"/>
        <w:bottom w:w="57" w:type="dxa"/>
        <w:right w:w="57"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A1E2EB" w:themeColor="accent1" w:themeTint="99"/>
        <w:bottom w:val="single" w:sz="2" w:space="0" w:color="A1E2EB" w:themeColor="accent1" w:themeTint="99"/>
        <w:insideH w:val="single" w:sz="2" w:space="0" w:color="A1E2EB" w:themeColor="accent1" w:themeTint="99"/>
        <w:insideV w:val="single" w:sz="2" w:space="0" w:color="A1E2EB" w:themeColor="accent1" w:themeTint="99"/>
      </w:tblBorders>
      <w:tblCellMar>
        <w:top w:w="57" w:type="dxa"/>
        <w:left w:w="57" w:type="dxa"/>
        <w:bottom w:w="57" w:type="dxa"/>
        <w:right w:w="57" w:type="dxa"/>
      </w:tblCellMar>
    </w:tblPr>
    <w:tblStylePr w:type="firstRow">
      <w:rPr>
        <w:b/>
        <w:bCs/>
      </w:rPr>
      <w:tblPr/>
      <w:tcPr>
        <w:tcBorders>
          <w:top w:val="nil"/>
          <w:bottom w:val="single" w:sz="12" w:space="0" w:color="A1E2EB" w:themeColor="accent1" w:themeTint="99"/>
          <w:insideH w:val="nil"/>
          <w:insideV w:val="nil"/>
        </w:tcBorders>
        <w:shd w:val="clear" w:color="auto" w:fill="FFFFFF" w:themeFill="background1"/>
      </w:tcPr>
    </w:tblStylePr>
    <w:tblStylePr w:type="lastRow">
      <w:rPr>
        <w:b/>
        <w:bCs/>
      </w:rPr>
      <w:tblPr/>
      <w:tcPr>
        <w:tcBorders>
          <w:top w:val="double" w:sz="2" w:space="0" w:color="A1E2E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GridTable2-Accent2">
    <w:name w:val="Grid Table 2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DEDEDF" w:themeColor="accent2" w:themeTint="99"/>
        <w:bottom w:val="single" w:sz="2" w:space="0" w:color="DEDEDF" w:themeColor="accent2" w:themeTint="99"/>
        <w:insideH w:val="single" w:sz="2" w:space="0" w:color="DEDEDF" w:themeColor="accent2" w:themeTint="99"/>
        <w:insideV w:val="single" w:sz="2" w:space="0" w:color="DEDEDF" w:themeColor="accent2" w:themeTint="99"/>
      </w:tblBorders>
      <w:tblCellMar>
        <w:top w:w="57" w:type="dxa"/>
        <w:left w:w="57" w:type="dxa"/>
        <w:bottom w:w="57" w:type="dxa"/>
        <w:right w:w="57" w:type="dxa"/>
      </w:tblCellMar>
    </w:tblPr>
    <w:tblStylePr w:type="firstRow">
      <w:rPr>
        <w:b/>
        <w:bCs/>
      </w:rPr>
      <w:tblPr/>
      <w:tcPr>
        <w:tcBorders>
          <w:top w:val="nil"/>
          <w:bottom w:val="single" w:sz="12" w:space="0" w:color="DEDEDF" w:themeColor="accent2" w:themeTint="99"/>
          <w:insideH w:val="nil"/>
          <w:insideV w:val="nil"/>
        </w:tcBorders>
        <w:shd w:val="clear" w:color="auto" w:fill="FFFFFF" w:themeFill="background1"/>
      </w:tcPr>
    </w:tblStylePr>
    <w:tblStylePr w:type="lastRow">
      <w:rPr>
        <w:b/>
        <w:bCs/>
      </w:rPr>
      <w:tblPr/>
      <w:tcPr>
        <w:tcBorders>
          <w:top w:val="double" w:sz="2" w:space="0" w:color="DEDED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GridTable2-Accent3">
    <w:name w:val="Grid Table 2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A1E2EB" w:themeColor="accent3" w:themeTint="99"/>
        <w:bottom w:val="single" w:sz="2" w:space="0" w:color="A1E2EB" w:themeColor="accent3" w:themeTint="99"/>
        <w:insideH w:val="single" w:sz="2" w:space="0" w:color="A1E2EB" w:themeColor="accent3" w:themeTint="99"/>
        <w:insideV w:val="single" w:sz="2" w:space="0" w:color="A1E2EB" w:themeColor="accent3" w:themeTint="99"/>
      </w:tblBorders>
      <w:tblCellMar>
        <w:top w:w="57" w:type="dxa"/>
        <w:left w:w="57" w:type="dxa"/>
        <w:bottom w:w="57" w:type="dxa"/>
        <w:right w:w="57" w:type="dxa"/>
      </w:tblCellMar>
    </w:tblPr>
    <w:tblStylePr w:type="firstRow">
      <w:rPr>
        <w:b/>
        <w:bCs/>
      </w:rPr>
      <w:tblPr/>
      <w:tcPr>
        <w:tcBorders>
          <w:top w:val="nil"/>
          <w:bottom w:val="single" w:sz="12" w:space="0" w:color="A1E2EB" w:themeColor="accent3" w:themeTint="99"/>
          <w:insideH w:val="nil"/>
          <w:insideV w:val="nil"/>
        </w:tcBorders>
        <w:shd w:val="clear" w:color="auto" w:fill="FFFFFF" w:themeFill="background1"/>
      </w:tcPr>
    </w:tblStylePr>
    <w:tblStylePr w:type="lastRow">
      <w:rPr>
        <w:b/>
        <w:bCs/>
      </w:rPr>
      <w:tblPr/>
      <w:tcPr>
        <w:tcBorders>
          <w:top w:val="double" w:sz="2" w:space="0" w:color="A1E2E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GridTable2-Accent4">
    <w:name w:val="Grid Table 2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C6C6C6" w:themeColor="accent4" w:themeTint="99"/>
        <w:bottom w:val="single" w:sz="2" w:space="0" w:color="C6C6C6" w:themeColor="accent4" w:themeTint="99"/>
        <w:insideH w:val="single" w:sz="2" w:space="0" w:color="C6C6C6" w:themeColor="accent4" w:themeTint="99"/>
        <w:insideV w:val="single" w:sz="2" w:space="0" w:color="C6C6C6" w:themeColor="accent4" w:themeTint="99"/>
      </w:tblBorders>
      <w:tblCellMar>
        <w:top w:w="57" w:type="dxa"/>
        <w:left w:w="57" w:type="dxa"/>
        <w:bottom w:w="57" w:type="dxa"/>
        <w:right w:w="57" w:type="dxa"/>
      </w:tblCellMar>
    </w:tblPr>
    <w:tblStylePr w:type="firstRow">
      <w:rPr>
        <w:b/>
        <w:bCs/>
      </w:rPr>
      <w:tblPr/>
      <w:tcPr>
        <w:tcBorders>
          <w:top w:val="nil"/>
          <w:bottom w:val="single" w:sz="12" w:space="0" w:color="C6C6C6" w:themeColor="accent4" w:themeTint="99"/>
          <w:insideH w:val="nil"/>
          <w:insideV w:val="nil"/>
        </w:tcBorders>
        <w:shd w:val="clear" w:color="auto" w:fill="FFFFFF" w:themeFill="background1"/>
      </w:tcPr>
    </w:tblStylePr>
    <w:tblStylePr w:type="lastRow">
      <w:rPr>
        <w:b/>
        <w:bCs/>
      </w:rPr>
      <w:tblPr/>
      <w:tcPr>
        <w:tcBorders>
          <w:top w:val="double" w:sz="2" w:space="0" w:color="C6C6C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GridTable2-Accent5">
    <w:name w:val="Grid Table 2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A1E2EB" w:themeColor="accent5" w:themeTint="99"/>
        <w:bottom w:val="single" w:sz="2" w:space="0" w:color="A1E2EB" w:themeColor="accent5" w:themeTint="99"/>
        <w:insideH w:val="single" w:sz="2" w:space="0" w:color="A1E2EB" w:themeColor="accent5" w:themeTint="99"/>
        <w:insideV w:val="single" w:sz="2" w:space="0" w:color="A1E2EB" w:themeColor="accent5" w:themeTint="99"/>
      </w:tblBorders>
      <w:tblCellMar>
        <w:top w:w="57" w:type="dxa"/>
        <w:left w:w="57" w:type="dxa"/>
        <w:bottom w:w="57" w:type="dxa"/>
        <w:right w:w="57" w:type="dxa"/>
      </w:tblCellMar>
    </w:tblPr>
    <w:tblStylePr w:type="firstRow">
      <w:rPr>
        <w:b/>
        <w:bCs/>
      </w:rPr>
      <w:tblPr/>
      <w:tcPr>
        <w:tcBorders>
          <w:top w:val="nil"/>
          <w:bottom w:val="single" w:sz="12" w:space="0" w:color="A1E2EB" w:themeColor="accent5" w:themeTint="99"/>
          <w:insideH w:val="nil"/>
          <w:insideV w:val="nil"/>
        </w:tcBorders>
        <w:shd w:val="clear" w:color="auto" w:fill="FFFFFF" w:themeFill="background1"/>
      </w:tcPr>
    </w:tblStylePr>
    <w:tblStylePr w:type="lastRow">
      <w:rPr>
        <w:b/>
        <w:bCs/>
      </w:rPr>
      <w:tblPr/>
      <w:tcPr>
        <w:tcBorders>
          <w:top w:val="double" w:sz="2" w:space="0" w:color="A1E2E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GridTable2-Accent6">
    <w:name w:val="Grid Table 2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C6C6C6" w:themeColor="accent6" w:themeTint="99"/>
        <w:bottom w:val="single" w:sz="2" w:space="0" w:color="C6C6C6" w:themeColor="accent6" w:themeTint="99"/>
        <w:insideH w:val="single" w:sz="2" w:space="0" w:color="C6C6C6" w:themeColor="accent6" w:themeTint="99"/>
        <w:insideV w:val="single" w:sz="2" w:space="0" w:color="C6C6C6" w:themeColor="accent6" w:themeTint="99"/>
      </w:tblBorders>
      <w:tblCellMar>
        <w:top w:w="57" w:type="dxa"/>
        <w:left w:w="57" w:type="dxa"/>
        <w:bottom w:w="57" w:type="dxa"/>
        <w:right w:w="57" w:type="dxa"/>
      </w:tblCellMar>
    </w:tblPr>
    <w:tblStylePr w:type="firstRow">
      <w:rPr>
        <w:b/>
        <w:bCs/>
      </w:rPr>
      <w:tblPr/>
      <w:tcPr>
        <w:tcBorders>
          <w:top w:val="nil"/>
          <w:bottom w:val="single" w:sz="12" w:space="0" w:color="C6C6C6" w:themeColor="accent6" w:themeTint="99"/>
          <w:insideH w:val="nil"/>
          <w:insideV w:val="nil"/>
        </w:tcBorders>
        <w:shd w:val="clear" w:color="auto" w:fill="FFFFFF" w:themeFill="background1"/>
      </w:tcPr>
    </w:tblStylePr>
    <w:tblStylePr w:type="lastRow">
      <w:rPr>
        <w:b/>
        <w:bCs/>
      </w:rPr>
      <w:tblPr/>
      <w:tcPr>
        <w:tcBorders>
          <w:top w:val="double" w:sz="2" w:space="0" w:color="C6C6C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GridTable3">
    <w:name w:val="Grid Table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1" w:themeTint="99"/>
        <w:left w:val="single" w:sz="4" w:space="0" w:color="A1E2EB" w:themeColor="accent1" w:themeTint="99"/>
        <w:bottom w:val="single" w:sz="4" w:space="0" w:color="A1E2EB" w:themeColor="accent1" w:themeTint="99"/>
        <w:right w:val="single" w:sz="4" w:space="0" w:color="A1E2EB" w:themeColor="accent1" w:themeTint="99"/>
        <w:insideH w:val="single" w:sz="4" w:space="0" w:color="A1E2EB" w:themeColor="accent1" w:themeTint="99"/>
        <w:insideV w:val="single" w:sz="4" w:space="0" w:color="A1E2EB" w:themeColor="accent1"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5F8" w:themeFill="accent1" w:themeFillTint="33"/>
      </w:tcPr>
    </w:tblStylePr>
    <w:tblStylePr w:type="band1Horz">
      <w:tblPr/>
      <w:tcPr>
        <w:shd w:val="clear" w:color="auto" w:fill="DFF5F8" w:themeFill="accent1" w:themeFillTint="33"/>
      </w:tcPr>
    </w:tblStylePr>
    <w:tblStylePr w:type="neCell">
      <w:tblPr/>
      <w:tcPr>
        <w:tcBorders>
          <w:bottom w:val="single" w:sz="4" w:space="0" w:color="A1E2EB" w:themeColor="accent1" w:themeTint="99"/>
        </w:tcBorders>
      </w:tcPr>
    </w:tblStylePr>
    <w:tblStylePr w:type="nwCell">
      <w:tblPr/>
      <w:tcPr>
        <w:tcBorders>
          <w:bottom w:val="single" w:sz="4" w:space="0" w:color="A1E2EB" w:themeColor="accent1" w:themeTint="99"/>
        </w:tcBorders>
      </w:tcPr>
    </w:tblStylePr>
    <w:tblStylePr w:type="seCell">
      <w:tblPr/>
      <w:tcPr>
        <w:tcBorders>
          <w:top w:val="single" w:sz="4" w:space="0" w:color="A1E2EB" w:themeColor="accent1" w:themeTint="99"/>
        </w:tcBorders>
      </w:tcPr>
    </w:tblStylePr>
    <w:tblStylePr w:type="swCell">
      <w:tblPr/>
      <w:tcPr>
        <w:tcBorders>
          <w:top w:val="single" w:sz="4" w:space="0" w:color="A1E2EB" w:themeColor="accent1" w:themeTint="99"/>
        </w:tcBorders>
      </w:tcPr>
    </w:tblStylePr>
  </w:style>
  <w:style w:type="table" w:styleId="GridTable3-Accent2">
    <w:name w:val="Grid Table 3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DEDEDF" w:themeColor="accent2" w:themeTint="99"/>
        <w:left w:val="single" w:sz="4" w:space="0" w:color="DEDEDF" w:themeColor="accent2" w:themeTint="99"/>
        <w:bottom w:val="single" w:sz="4" w:space="0" w:color="DEDEDF" w:themeColor="accent2" w:themeTint="99"/>
        <w:right w:val="single" w:sz="4" w:space="0" w:color="DEDEDF" w:themeColor="accent2" w:themeTint="99"/>
        <w:insideH w:val="single" w:sz="4" w:space="0" w:color="DEDEDF" w:themeColor="accent2" w:themeTint="99"/>
        <w:insideV w:val="single" w:sz="4" w:space="0" w:color="DEDEDF" w:themeColor="accent2"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2" w:themeFillTint="33"/>
      </w:tcPr>
    </w:tblStylePr>
    <w:tblStylePr w:type="band1Horz">
      <w:tblPr/>
      <w:tcPr>
        <w:shd w:val="clear" w:color="auto" w:fill="F4F4F4" w:themeFill="accent2" w:themeFillTint="33"/>
      </w:tcPr>
    </w:tblStylePr>
    <w:tblStylePr w:type="neCell">
      <w:tblPr/>
      <w:tcPr>
        <w:tcBorders>
          <w:bottom w:val="single" w:sz="4" w:space="0" w:color="DEDEDF" w:themeColor="accent2" w:themeTint="99"/>
        </w:tcBorders>
      </w:tcPr>
    </w:tblStylePr>
    <w:tblStylePr w:type="nwCell">
      <w:tblPr/>
      <w:tcPr>
        <w:tcBorders>
          <w:bottom w:val="single" w:sz="4" w:space="0" w:color="DEDEDF" w:themeColor="accent2" w:themeTint="99"/>
        </w:tcBorders>
      </w:tcPr>
    </w:tblStylePr>
    <w:tblStylePr w:type="seCell">
      <w:tblPr/>
      <w:tcPr>
        <w:tcBorders>
          <w:top w:val="single" w:sz="4" w:space="0" w:color="DEDEDF" w:themeColor="accent2" w:themeTint="99"/>
        </w:tcBorders>
      </w:tcPr>
    </w:tblStylePr>
    <w:tblStylePr w:type="swCell">
      <w:tblPr/>
      <w:tcPr>
        <w:tcBorders>
          <w:top w:val="single" w:sz="4" w:space="0" w:color="DEDEDF" w:themeColor="accent2" w:themeTint="99"/>
        </w:tcBorders>
      </w:tcPr>
    </w:tblStylePr>
  </w:style>
  <w:style w:type="table" w:styleId="GridTable3-Accent3">
    <w:name w:val="Grid Table 3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3" w:themeTint="99"/>
        <w:left w:val="single" w:sz="4" w:space="0" w:color="A1E2EB" w:themeColor="accent3" w:themeTint="99"/>
        <w:bottom w:val="single" w:sz="4" w:space="0" w:color="A1E2EB" w:themeColor="accent3" w:themeTint="99"/>
        <w:right w:val="single" w:sz="4" w:space="0" w:color="A1E2EB" w:themeColor="accent3" w:themeTint="99"/>
        <w:insideH w:val="single" w:sz="4" w:space="0" w:color="A1E2EB" w:themeColor="accent3" w:themeTint="99"/>
        <w:insideV w:val="single" w:sz="4" w:space="0" w:color="A1E2EB" w:themeColor="accent3"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5F8" w:themeFill="accent3" w:themeFillTint="33"/>
      </w:tcPr>
    </w:tblStylePr>
    <w:tblStylePr w:type="band1Horz">
      <w:tblPr/>
      <w:tcPr>
        <w:shd w:val="clear" w:color="auto" w:fill="DFF5F8" w:themeFill="accent3" w:themeFillTint="33"/>
      </w:tcPr>
    </w:tblStylePr>
    <w:tblStylePr w:type="neCell">
      <w:tblPr/>
      <w:tcPr>
        <w:tcBorders>
          <w:bottom w:val="single" w:sz="4" w:space="0" w:color="A1E2EB" w:themeColor="accent3" w:themeTint="99"/>
        </w:tcBorders>
      </w:tcPr>
    </w:tblStylePr>
    <w:tblStylePr w:type="nwCell">
      <w:tblPr/>
      <w:tcPr>
        <w:tcBorders>
          <w:bottom w:val="single" w:sz="4" w:space="0" w:color="A1E2EB" w:themeColor="accent3" w:themeTint="99"/>
        </w:tcBorders>
      </w:tcPr>
    </w:tblStylePr>
    <w:tblStylePr w:type="seCell">
      <w:tblPr/>
      <w:tcPr>
        <w:tcBorders>
          <w:top w:val="single" w:sz="4" w:space="0" w:color="A1E2EB" w:themeColor="accent3" w:themeTint="99"/>
        </w:tcBorders>
      </w:tcPr>
    </w:tblStylePr>
    <w:tblStylePr w:type="swCell">
      <w:tblPr/>
      <w:tcPr>
        <w:tcBorders>
          <w:top w:val="single" w:sz="4" w:space="0" w:color="A1E2EB" w:themeColor="accent3" w:themeTint="99"/>
        </w:tcBorders>
      </w:tcPr>
    </w:tblStylePr>
  </w:style>
  <w:style w:type="table" w:styleId="GridTable3-Accent4">
    <w:name w:val="Grid Table 3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4" w:themeTint="99"/>
        <w:left w:val="single" w:sz="4" w:space="0" w:color="C6C6C6" w:themeColor="accent4" w:themeTint="99"/>
        <w:bottom w:val="single" w:sz="4" w:space="0" w:color="C6C6C6" w:themeColor="accent4" w:themeTint="99"/>
        <w:right w:val="single" w:sz="4" w:space="0" w:color="C6C6C6" w:themeColor="accent4" w:themeTint="99"/>
        <w:insideH w:val="single" w:sz="4" w:space="0" w:color="C6C6C6" w:themeColor="accent4" w:themeTint="99"/>
        <w:insideV w:val="single" w:sz="4" w:space="0" w:color="C6C6C6" w:themeColor="accent4"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ECEC" w:themeFill="accent4" w:themeFillTint="33"/>
      </w:tcPr>
    </w:tblStylePr>
    <w:tblStylePr w:type="band1Horz">
      <w:tblPr/>
      <w:tcPr>
        <w:shd w:val="clear" w:color="auto" w:fill="ECECEC" w:themeFill="accent4" w:themeFillTint="33"/>
      </w:tcPr>
    </w:tblStylePr>
    <w:tblStylePr w:type="neCell">
      <w:tblPr/>
      <w:tcPr>
        <w:tcBorders>
          <w:bottom w:val="single" w:sz="4" w:space="0" w:color="C6C6C6" w:themeColor="accent4" w:themeTint="99"/>
        </w:tcBorders>
      </w:tcPr>
    </w:tblStylePr>
    <w:tblStylePr w:type="nwCell">
      <w:tblPr/>
      <w:tcPr>
        <w:tcBorders>
          <w:bottom w:val="single" w:sz="4" w:space="0" w:color="C6C6C6" w:themeColor="accent4" w:themeTint="99"/>
        </w:tcBorders>
      </w:tcPr>
    </w:tblStylePr>
    <w:tblStylePr w:type="seCell">
      <w:tblPr/>
      <w:tcPr>
        <w:tcBorders>
          <w:top w:val="single" w:sz="4" w:space="0" w:color="C6C6C6" w:themeColor="accent4" w:themeTint="99"/>
        </w:tcBorders>
      </w:tcPr>
    </w:tblStylePr>
    <w:tblStylePr w:type="swCell">
      <w:tblPr/>
      <w:tcPr>
        <w:tcBorders>
          <w:top w:val="single" w:sz="4" w:space="0" w:color="C6C6C6" w:themeColor="accent4" w:themeTint="99"/>
        </w:tcBorders>
      </w:tcPr>
    </w:tblStylePr>
  </w:style>
  <w:style w:type="table" w:styleId="GridTable3-Accent5">
    <w:name w:val="Grid Table 3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5" w:themeTint="99"/>
        <w:left w:val="single" w:sz="4" w:space="0" w:color="A1E2EB" w:themeColor="accent5" w:themeTint="99"/>
        <w:bottom w:val="single" w:sz="4" w:space="0" w:color="A1E2EB" w:themeColor="accent5" w:themeTint="99"/>
        <w:right w:val="single" w:sz="4" w:space="0" w:color="A1E2EB" w:themeColor="accent5" w:themeTint="99"/>
        <w:insideH w:val="single" w:sz="4" w:space="0" w:color="A1E2EB" w:themeColor="accent5" w:themeTint="99"/>
        <w:insideV w:val="single" w:sz="4" w:space="0" w:color="A1E2EB" w:themeColor="accent5"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5F8" w:themeFill="accent5" w:themeFillTint="33"/>
      </w:tcPr>
    </w:tblStylePr>
    <w:tblStylePr w:type="band1Horz">
      <w:tblPr/>
      <w:tcPr>
        <w:shd w:val="clear" w:color="auto" w:fill="DFF5F8" w:themeFill="accent5" w:themeFillTint="33"/>
      </w:tcPr>
    </w:tblStylePr>
    <w:tblStylePr w:type="neCell">
      <w:tblPr/>
      <w:tcPr>
        <w:tcBorders>
          <w:bottom w:val="single" w:sz="4" w:space="0" w:color="A1E2EB" w:themeColor="accent5" w:themeTint="99"/>
        </w:tcBorders>
      </w:tcPr>
    </w:tblStylePr>
    <w:tblStylePr w:type="nwCell">
      <w:tblPr/>
      <w:tcPr>
        <w:tcBorders>
          <w:bottom w:val="single" w:sz="4" w:space="0" w:color="A1E2EB" w:themeColor="accent5" w:themeTint="99"/>
        </w:tcBorders>
      </w:tcPr>
    </w:tblStylePr>
    <w:tblStylePr w:type="seCell">
      <w:tblPr/>
      <w:tcPr>
        <w:tcBorders>
          <w:top w:val="single" w:sz="4" w:space="0" w:color="A1E2EB" w:themeColor="accent5" w:themeTint="99"/>
        </w:tcBorders>
      </w:tcPr>
    </w:tblStylePr>
    <w:tblStylePr w:type="swCell">
      <w:tblPr/>
      <w:tcPr>
        <w:tcBorders>
          <w:top w:val="single" w:sz="4" w:space="0" w:color="A1E2EB" w:themeColor="accent5" w:themeTint="99"/>
        </w:tcBorders>
      </w:tcPr>
    </w:tblStylePr>
  </w:style>
  <w:style w:type="table" w:styleId="GridTable3-Accent6">
    <w:name w:val="Grid Table 3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6" w:themeTint="99"/>
        <w:left w:val="single" w:sz="4" w:space="0" w:color="C6C6C6" w:themeColor="accent6" w:themeTint="99"/>
        <w:bottom w:val="single" w:sz="4" w:space="0" w:color="C6C6C6" w:themeColor="accent6" w:themeTint="99"/>
        <w:right w:val="single" w:sz="4" w:space="0" w:color="C6C6C6" w:themeColor="accent6" w:themeTint="99"/>
        <w:insideH w:val="single" w:sz="4" w:space="0" w:color="C6C6C6" w:themeColor="accent6" w:themeTint="99"/>
        <w:insideV w:val="single" w:sz="4" w:space="0" w:color="C6C6C6" w:themeColor="accent6"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ECEC" w:themeFill="accent6" w:themeFillTint="33"/>
      </w:tcPr>
    </w:tblStylePr>
    <w:tblStylePr w:type="band1Horz">
      <w:tblPr/>
      <w:tcPr>
        <w:shd w:val="clear" w:color="auto" w:fill="ECECEC" w:themeFill="accent6" w:themeFillTint="33"/>
      </w:tcPr>
    </w:tblStylePr>
    <w:tblStylePr w:type="neCell">
      <w:tblPr/>
      <w:tcPr>
        <w:tcBorders>
          <w:bottom w:val="single" w:sz="4" w:space="0" w:color="C6C6C6" w:themeColor="accent6" w:themeTint="99"/>
        </w:tcBorders>
      </w:tcPr>
    </w:tblStylePr>
    <w:tblStylePr w:type="nwCell">
      <w:tblPr/>
      <w:tcPr>
        <w:tcBorders>
          <w:bottom w:val="single" w:sz="4" w:space="0" w:color="C6C6C6" w:themeColor="accent6" w:themeTint="99"/>
        </w:tcBorders>
      </w:tcPr>
    </w:tblStylePr>
    <w:tblStylePr w:type="seCell">
      <w:tblPr/>
      <w:tcPr>
        <w:tcBorders>
          <w:top w:val="single" w:sz="4" w:space="0" w:color="C6C6C6" w:themeColor="accent6" w:themeTint="99"/>
        </w:tcBorders>
      </w:tcPr>
    </w:tblStylePr>
    <w:tblStylePr w:type="swCell">
      <w:tblPr/>
      <w:tcPr>
        <w:tcBorders>
          <w:top w:val="single" w:sz="4" w:space="0" w:color="C6C6C6" w:themeColor="accent6" w:themeTint="99"/>
        </w:tcBorders>
      </w:tcPr>
    </w:tblStylePr>
  </w:style>
  <w:style w:type="table" w:styleId="GridTable4">
    <w:name w:val="Grid Table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1" w:themeTint="99"/>
        <w:left w:val="single" w:sz="4" w:space="0" w:color="A1E2EB" w:themeColor="accent1" w:themeTint="99"/>
        <w:bottom w:val="single" w:sz="4" w:space="0" w:color="A1E2EB" w:themeColor="accent1" w:themeTint="99"/>
        <w:right w:val="single" w:sz="4" w:space="0" w:color="A1E2EB" w:themeColor="accent1" w:themeTint="99"/>
        <w:insideH w:val="single" w:sz="4" w:space="0" w:color="A1E2EB" w:themeColor="accent1" w:themeTint="99"/>
        <w:insideV w:val="single" w:sz="4" w:space="0" w:color="A1E2EB" w:themeColor="accent1"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63D0DF" w:themeColor="accent1"/>
          <w:left w:val="single" w:sz="4" w:space="0" w:color="63D0DF" w:themeColor="accent1"/>
          <w:bottom w:val="single" w:sz="4" w:space="0" w:color="63D0DF" w:themeColor="accent1"/>
          <w:right w:val="single" w:sz="4" w:space="0" w:color="63D0DF" w:themeColor="accent1"/>
          <w:insideH w:val="nil"/>
          <w:insideV w:val="nil"/>
        </w:tcBorders>
        <w:shd w:val="clear" w:color="auto" w:fill="63D0DF" w:themeFill="accent1"/>
      </w:tcPr>
    </w:tblStylePr>
    <w:tblStylePr w:type="lastRow">
      <w:rPr>
        <w:b/>
        <w:bCs/>
      </w:rPr>
      <w:tblPr/>
      <w:tcPr>
        <w:tcBorders>
          <w:top w:val="double" w:sz="4" w:space="0" w:color="63D0DF" w:themeColor="accent1"/>
        </w:tcBorders>
      </w:tc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GridTable4-Accent2">
    <w:name w:val="Grid Table 4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DEDEDF" w:themeColor="accent2" w:themeTint="99"/>
        <w:left w:val="single" w:sz="4" w:space="0" w:color="DEDEDF" w:themeColor="accent2" w:themeTint="99"/>
        <w:bottom w:val="single" w:sz="4" w:space="0" w:color="DEDEDF" w:themeColor="accent2" w:themeTint="99"/>
        <w:right w:val="single" w:sz="4" w:space="0" w:color="DEDEDF" w:themeColor="accent2" w:themeTint="99"/>
        <w:insideH w:val="single" w:sz="4" w:space="0" w:color="DEDEDF" w:themeColor="accent2" w:themeTint="99"/>
        <w:insideV w:val="single" w:sz="4" w:space="0" w:color="DEDEDF" w:themeColor="accent2"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C9C9CA" w:themeColor="accent2"/>
          <w:left w:val="single" w:sz="4" w:space="0" w:color="C9C9CA" w:themeColor="accent2"/>
          <w:bottom w:val="single" w:sz="4" w:space="0" w:color="C9C9CA" w:themeColor="accent2"/>
          <w:right w:val="single" w:sz="4" w:space="0" w:color="C9C9CA" w:themeColor="accent2"/>
          <w:insideH w:val="nil"/>
          <w:insideV w:val="nil"/>
        </w:tcBorders>
        <w:shd w:val="clear" w:color="auto" w:fill="C9C9CA" w:themeFill="accent2"/>
      </w:tcPr>
    </w:tblStylePr>
    <w:tblStylePr w:type="lastRow">
      <w:rPr>
        <w:b/>
        <w:bCs/>
      </w:rPr>
      <w:tblPr/>
      <w:tcPr>
        <w:tcBorders>
          <w:top w:val="double" w:sz="4" w:space="0" w:color="C9C9CA" w:themeColor="accent2"/>
        </w:tcBorders>
      </w:tc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GridTable4-Accent3">
    <w:name w:val="Grid Table 4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3" w:themeTint="99"/>
        <w:left w:val="single" w:sz="4" w:space="0" w:color="A1E2EB" w:themeColor="accent3" w:themeTint="99"/>
        <w:bottom w:val="single" w:sz="4" w:space="0" w:color="A1E2EB" w:themeColor="accent3" w:themeTint="99"/>
        <w:right w:val="single" w:sz="4" w:space="0" w:color="A1E2EB" w:themeColor="accent3" w:themeTint="99"/>
        <w:insideH w:val="single" w:sz="4" w:space="0" w:color="A1E2EB" w:themeColor="accent3" w:themeTint="99"/>
        <w:insideV w:val="single" w:sz="4" w:space="0" w:color="A1E2EB" w:themeColor="accent3"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63D0DF" w:themeColor="accent3"/>
          <w:left w:val="single" w:sz="4" w:space="0" w:color="63D0DF" w:themeColor="accent3"/>
          <w:bottom w:val="single" w:sz="4" w:space="0" w:color="63D0DF" w:themeColor="accent3"/>
          <w:right w:val="single" w:sz="4" w:space="0" w:color="63D0DF" w:themeColor="accent3"/>
          <w:insideH w:val="nil"/>
          <w:insideV w:val="nil"/>
        </w:tcBorders>
        <w:shd w:val="clear" w:color="auto" w:fill="63D0DF" w:themeFill="accent3"/>
      </w:tcPr>
    </w:tblStylePr>
    <w:tblStylePr w:type="lastRow">
      <w:rPr>
        <w:b/>
        <w:bCs/>
      </w:rPr>
      <w:tblPr/>
      <w:tcPr>
        <w:tcBorders>
          <w:top w:val="double" w:sz="4" w:space="0" w:color="63D0DF" w:themeColor="accent3"/>
        </w:tcBorders>
      </w:tc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GridTable4-Accent4">
    <w:name w:val="Grid Table 4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4" w:themeTint="99"/>
        <w:left w:val="single" w:sz="4" w:space="0" w:color="C6C6C6" w:themeColor="accent4" w:themeTint="99"/>
        <w:bottom w:val="single" w:sz="4" w:space="0" w:color="C6C6C6" w:themeColor="accent4" w:themeTint="99"/>
        <w:right w:val="single" w:sz="4" w:space="0" w:color="C6C6C6" w:themeColor="accent4" w:themeTint="99"/>
        <w:insideH w:val="single" w:sz="4" w:space="0" w:color="C6C6C6" w:themeColor="accent4" w:themeTint="99"/>
        <w:insideV w:val="single" w:sz="4" w:space="0" w:color="C6C6C6" w:themeColor="accent4"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A1A1A1" w:themeColor="accent4"/>
          <w:left w:val="single" w:sz="4" w:space="0" w:color="A1A1A1" w:themeColor="accent4"/>
          <w:bottom w:val="single" w:sz="4" w:space="0" w:color="A1A1A1" w:themeColor="accent4"/>
          <w:right w:val="single" w:sz="4" w:space="0" w:color="A1A1A1" w:themeColor="accent4"/>
          <w:insideH w:val="nil"/>
          <w:insideV w:val="nil"/>
        </w:tcBorders>
        <w:shd w:val="clear" w:color="auto" w:fill="A1A1A1" w:themeFill="accent4"/>
      </w:tcPr>
    </w:tblStylePr>
    <w:tblStylePr w:type="lastRow">
      <w:rPr>
        <w:b/>
        <w:bCs/>
      </w:rPr>
      <w:tblPr/>
      <w:tcPr>
        <w:tcBorders>
          <w:top w:val="double" w:sz="4" w:space="0" w:color="A1A1A1" w:themeColor="accent4"/>
        </w:tcBorders>
      </w:tc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GridTable4-Accent5">
    <w:name w:val="Grid Table 4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5" w:themeTint="99"/>
        <w:left w:val="single" w:sz="4" w:space="0" w:color="A1E2EB" w:themeColor="accent5" w:themeTint="99"/>
        <w:bottom w:val="single" w:sz="4" w:space="0" w:color="A1E2EB" w:themeColor="accent5" w:themeTint="99"/>
        <w:right w:val="single" w:sz="4" w:space="0" w:color="A1E2EB" w:themeColor="accent5" w:themeTint="99"/>
        <w:insideH w:val="single" w:sz="4" w:space="0" w:color="A1E2EB" w:themeColor="accent5" w:themeTint="99"/>
        <w:insideV w:val="single" w:sz="4" w:space="0" w:color="A1E2EB" w:themeColor="accent5"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63D0DF" w:themeColor="accent5"/>
          <w:left w:val="single" w:sz="4" w:space="0" w:color="63D0DF" w:themeColor="accent5"/>
          <w:bottom w:val="single" w:sz="4" w:space="0" w:color="63D0DF" w:themeColor="accent5"/>
          <w:right w:val="single" w:sz="4" w:space="0" w:color="63D0DF" w:themeColor="accent5"/>
          <w:insideH w:val="nil"/>
          <w:insideV w:val="nil"/>
        </w:tcBorders>
        <w:shd w:val="clear" w:color="auto" w:fill="63D0DF" w:themeFill="accent5"/>
      </w:tcPr>
    </w:tblStylePr>
    <w:tblStylePr w:type="lastRow">
      <w:rPr>
        <w:b/>
        <w:bCs/>
      </w:rPr>
      <w:tblPr/>
      <w:tcPr>
        <w:tcBorders>
          <w:top w:val="double" w:sz="4" w:space="0" w:color="63D0DF" w:themeColor="accent5"/>
        </w:tcBorders>
      </w:tc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GridTable4-Accent6">
    <w:name w:val="Grid Table 4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6" w:themeTint="99"/>
        <w:left w:val="single" w:sz="4" w:space="0" w:color="C6C6C6" w:themeColor="accent6" w:themeTint="99"/>
        <w:bottom w:val="single" w:sz="4" w:space="0" w:color="C6C6C6" w:themeColor="accent6" w:themeTint="99"/>
        <w:right w:val="single" w:sz="4" w:space="0" w:color="C6C6C6" w:themeColor="accent6" w:themeTint="99"/>
        <w:insideH w:val="single" w:sz="4" w:space="0" w:color="C6C6C6" w:themeColor="accent6" w:themeTint="99"/>
        <w:insideV w:val="single" w:sz="4" w:space="0" w:color="C6C6C6" w:themeColor="accent6"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A1A1A1" w:themeColor="accent6"/>
          <w:left w:val="single" w:sz="4" w:space="0" w:color="A1A1A1" w:themeColor="accent6"/>
          <w:bottom w:val="single" w:sz="4" w:space="0" w:color="A1A1A1" w:themeColor="accent6"/>
          <w:right w:val="single" w:sz="4" w:space="0" w:color="A1A1A1" w:themeColor="accent6"/>
          <w:insideH w:val="nil"/>
          <w:insideV w:val="nil"/>
        </w:tcBorders>
        <w:shd w:val="clear" w:color="auto" w:fill="A1A1A1" w:themeFill="accent6"/>
      </w:tcPr>
    </w:tblStylePr>
    <w:tblStylePr w:type="lastRow">
      <w:rPr>
        <w:b/>
        <w:bCs/>
      </w:rPr>
      <w:tblPr/>
      <w:tcPr>
        <w:tcBorders>
          <w:top w:val="double" w:sz="4" w:space="0" w:color="A1A1A1" w:themeColor="accent6"/>
        </w:tcBorders>
      </w:tc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GridTable5Dark">
    <w:name w:val="Grid Table 5 Dark"/>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FF5F8"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D0D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D0D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D0D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D0DF" w:themeFill="accent1"/>
      </w:tcPr>
    </w:tblStylePr>
    <w:tblStylePr w:type="band1Vert">
      <w:tblPr/>
      <w:tcPr>
        <w:shd w:val="clear" w:color="auto" w:fill="C0ECF2" w:themeFill="accent1" w:themeFillTint="66"/>
      </w:tcPr>
    </w:tblStylePr>
    <w:tblStylePr w:type="band1Horz">
      <w:tblPr/>
      <w:tcPr>
        <w:shd w:val="clear" w:color="auto" w:fill="C0ECF2" w:themeFill="accent1" w:themeFillTint="66"/>
      </w:tcPr>
    </w:tblStylePr>
  </w:style>
  <w:style w:type="table" w:styleId="GridTable5Dark-Accent2">
    <w:name w:val="Grid Table 5 Dark Accent 2"/>
    <w:basedOn w:val="TableNormal"/>
    <w:uiPriority w:val="50"/>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F4F4F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9C9C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9C9C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9C9C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9C9CA" w:themeFill="accent2"/>
      </w:tcPr>
    </w:tblStylePr>
    <w:tblStylePr w:type="band1Vert">
      <w:tblPr/>
      <w:tcPr>
        <w:shd w:val="clear" w:color="auto" w:fill="E9E9E9" w:themeFill="accent2" w:themeFillTint="66"/>
      </w:tcPr>
    </w:tblStylePr>
    <w:tblStylePr w:type="band1Horz">
      <w:tblPr/>
      <w:tcPr>
        <w:shd w:val="clear" w:color="auto" w:fill="E9E9E9" w:themeFill="accent2" w:themeFillTint="66"/>
      </w:tcPr>
    </w:tblStylePr>
  </w:style>
  <w:style w:type="table" w:styleId="GridTable5Dark-Accent3">
    <w:name w:val="Grid Table 5 Dark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FF5F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D0D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D0D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D0D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D0DF" w:themeFill="accent3"/>
      </w:tcPr>
    </w:tblStylePr>
    <w:tblStylePr w:type="band1Vert">
      <w:tblPr/>
      <w:tcPr>
        <w:shd w:val="clear" w:color="auto" w:fill="C0ECF2" w:themeFill="accent3" w:themeFillTint="66"/>
      </w:tcPr>
    </w:tblStylePr>
    <w:tblStylePr w:type="band1Horz">
      <w:tblPr/>
      <w:tcPr>
        <w:shd w:val="clear" w:color="auto" w:fill="C0ECF2" w:themeFill="accent3" w:themeFillTint="66"/>
      </w:tcPr>
    </w:tblStylePr>
  </w:style>
  <w:style w:type="table" w:styleId="GridTable5Dark-Accent4">
    <w:name w:val="Grid Table 5 Dark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ECEC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1A1A1"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1A1A1"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1A1A1"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1A1A1" w:themeFill="accent4"/>
      </w:tcPr>
    </w:tblStylePr>
    <w:tblStylePr w:type="band1Vert">
      <w:tblPr/>
      <w:tcPr>
        <w:shd w:val="clear" w:color="auto" w:fill="D9D9D9" w:themeFill="accent4" w:themeFillTint="66"/>
      </w:tcPr>
    </w:tblStylePr>
    <w:tblStylePr w:type="band1Horz">
      <w:tblPr/>
      <w:tcPr>
        <w:shd w:val="clear" w:color="auto" w:fill="D9D9D9" w:themeFill="accent4" w:themeFillTint="66"/>
      </w:tcPr>
    </w:tblStylePr>
  </w:style>
  <w:style w:type="table" w:styleId="GridTable5Dark-Accent5">
    <w:name w:val="Grid Table 5 Dark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FF5F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D0D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D0D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D0D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D0DF" w:themeFill="accent5"/>
      </w:tcPr>
    </w:tblStylePr>
    <w:tblStylePr w:type="band1Vert">
      <w:tblPr/>
      <w:tcPr>
        <w:shd w:val="clear" w:color="auto" w:fill="C0ECF2" w:themeFill="accent5" w:themeFillTint="66"/>
      </w:tcPr>
    </w:tblStylePr>
    <w:tblStylePr w:type="band1Horz">
      <w:tblPr/>
      <w:tcPr>
        <w:shd w:val="clear" w:color="auto" w:fill="C0ECF2" w:themeFill="accent5" w:themeFillTint="66"/>
      </w:tcPr>
    </w:tblStylePr>
  </w:style>
  <w:style w:type="table" w:styleId="GridTable5Dark-Accent6">
    <w:name w:val="Grid Table 5 Dark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ECECE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1A1A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1A1A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1A1A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1A1A1" w:themeFill="accent6"/>
      </w:tcPr>
    </w:tblStylePr>
    <w:tblStylePr w:type="band1Vert">
      <w:tblPr/>
      <w:tcPr>
        <w:shd w:val="clear" w:color="auto" w:fill="D9D9D9" w:themeFill="accent6" w:themeFillTint="66"/>
      </w:tcPr>
    </w:tblStylePr>
    <w:tblStylePr w:type="band1Horz">
      <w:tblPr/>
      <w:tcPr>
        <w:shd w:val="clear" w:color="auto" w:fill="D9D9D9" w:themeFill="accent6" w:themeFillTint="66"/>
      </w:tcPr>
    </w:tblStylePr>
  </w:style>
  <w:style w:type="table" w:styleId="GridTable6Colorful">
    <w:name w:val="Grid Table 6 Colorful"/>
    <w:basedOn w:val="TableNormal"/>
    <w:uiPriority w:val="98"/>
    <w:semiHidden/>
    <w:rsid w:val="00573428"/>
    <w:rPr>
      <w:rFonts w:asciiTheme="minorHAnsi" w:eastAsia="Century Gothic" w:hAnsiTheme="minorHAnsi" w:cstheme="minorBidi"/>
      <w:color w:val="000000" w:themeColor="text1"/>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57" w:type="dxa"/>
        <w:left w:w="57" w:type="dxa"/>
        <w:bottom w:w="57" w:type="dxa"/>
        <w:right w:w="57"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98"/>
    <w:semiHidden/>
    <w:rsid w:val="00573428"/>
    <w:rPr>
      <w:rFonts w:asciiTheme="minorHAnsi" w:eastAsia="Century Gothic" w:hAnsiTheme="minorHAnsi" w:cstheme="minorBidi"/>
      <w:color w:val="29B4C7" w:themeColor="accent1" w:themeShade="BF"/>
      <w:lang w:eastAsia="en-US"/>
    </w:rPr>
    <w:tblPr>
      <w:tblStyleRowBandSize w:val="1"/>
      <w:tblStyleColBandSize w:val="1"/>
      <w:tblBorders>
        <w:top w:val="single" w:sz="4" w:space="0" w:color="A1E2EB" w:themeColor="accent1" w:themeTint="99"/>
        <w:left w:val="single" w:sz="4" w:space="0" w:color="A1E2EB" w:themeColor="accent1" w:themeTint="99"/>
        <w:bottom w:val="single" w:sz="4" w:space="0" w:color="A1E2EB" w:themeColor="accent1" w:themeTint="99"/>
        <w:right w:val="single" w:sz="4" w:space="0" w:color="A1E2EB" w:themeColor="accent1" w:themeTint="99"/>
        <w:insideH w:val="single" w:sz="4" w:space="0" w:color="A1E2EB" w:themeColor="accent1" w:themeTint="99"/>
        <w:insideV w:val="single" w:sz="4" w:space="0" w:color="A1E2EB" w:themeColor="accent1" w:themeTint="99"/>
      </w:tblBorders>
      <w:tblCellMar>
        <w:top w:w="57" w:type="dxa"/>
        <w:left w:w="57" w:type="dxa"/>
        <w:bottom w:w="57" w:type="dxa"/>
        <w:right w:w="57" w:type="dxa"/>
      </w:tblCellMar>
    </w:tblPr>
    <w:tblStylePr w:type="firstRow">
      <w:rPr>
        <w:b/>
        <w:bCs/>
      </w:rPr>
      <w:tblPr/>
      <w:tcPr>
        <w:tcBorders>
          <w:bottom w:val="single" w:sz="12" w:space="0" w:color="A1E2EB" w:themeColor="accent1" w:themeTint="99"/>
        </w:tcBorders>
      </w:tcPr>
    </w:tblStylePr>
    <w:tblStylePr w:type="lastRow">
      <w:rPr>
        <w:b/>
        <w:bCs/>
      </w:rPr>
      <w:tblPr/>
      <w:tcPr>
        <w:tcBorders>
          <w:top w:val="double" w:sz="4" w:space="0" w:color="A1E2EB" w:themeColor="accent1" w:themeTint="99"/>
        </w:tcBorders>
      </w:tc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GridTable6Colorful-Accent2">
    <w:name w:val="Grid Table 6 Colorful Accent 2"/>
    <w:basedOn w:val="TableNormal"/>
    <w:uiPriority w:val="98"/>
    <w:semiHidden/>
    <w:rsid w:val="00573428"/>
    <w:rPr>
      <w:rFonts w:asciiTheme="minorHAnsi" w:eastAsia="Century Gothic" w:hAnsiTheme="minorHAnsi" w:cstheme="minorBidi"/>
      <w:color w:val="959597" w:themeColor="accent2" w:themeShade="BF"/>
      <w:lang w:eastAsia="en-US"/>
    </w:rPr>
    <w:tblPr>
      <w:tblStyleRowBandSize w:val="1"/>
      <w:tblStyleColBandSize w:val="1"/>
      <w:tblBorders>
        <w:top w:val="single" w:sz="4" w:space="0" w:color="DEDEDF" w:themeColor="accent2" w:themeTint="99"/>
        <w:left w:val="single" w:sz="4" w:space="0" w:color="DEDEDF" w:themeColor="accent2" w:themeTint="99"/>
        <w:bottom w:val="single" w:sz="4" w:space="0" w:color="DEDEDF" w:themeColor="accent2" w:themeTint="99"/>
        <w:right w:val="single" w:sz="4" w:space="0" w:color="DEDEDF" w:themeColor="accent2" w:themeTint="99"/>
        <w:insideH w:val="single" w:sz="4" w:space="0" w:color="DEDEDF" w:themeColor="accent2" w:themeTint="99"/>
        <w:insideV w:val="single" w:sz="4" w:space="0" w:color="DEDEDF" w:themeColor="accent2" w:themeTint="99"/>
      </w:tblBorders>
      <w:tblCellMar>
        <w:top w:w="57" w:type="dxa"/>
        <w:left w:w="57" w:type="dxa"/>
        <w:bottom w:w="57" w:type="dxa"/>
        <w:right w:w="57" w:type="dxa"/>
      </w:tblCellMar>
    </w:tblPr>
    <w:tblStylePr w:type="firstRow">
      <w:rPr>
        <w:b/>
        <w:bCs/>
      </w:rPr>
      <w:tblPr/>
      <w:tcPr>
        <w:tcBorders>
          <w:bottom w:val="single" w:sz="12" w:space="0" w:color="DEDEDF" w:themeColor="accent2" w:themeTint="99"/>
        </w:tcBorders>
      </w:tcPr>
    </w:tblStylePr>
    <w:tblStylePr w:type="lastRow">
      <w:rPr>
        <w:b/>
        <w:bCs/>
      </w:rPr>
      <w:tblPr/>
      <w:tcPr>
        <w:tcBorders>
          <w:top w:val="double" w:sz="4" w:space="0" w:color="DEDEDF" w:themeColor="accent2" w:themeTint="99"/>
        </w:tcBorders>
      </w:tc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GridTable6Colorful-Accent3">
    <w:name w:val="Grid Table 6 Colorful Accent 3"/>
    <w:basedOn w:val="TableNormal"/>
    <w:uiPriority w:val="98"/>
    <w:semiHidden/>
    <w:rsid w:val="00573428"/>
    <w:rPr>
      <w:rFonts w:asciiTheme="minorHAnsi" w:eastAsia="Century Gothic" w:hAnsiTheme="minorHAnsi" w:cstheme="minorBidi"/>
      <w:color w:val="29B4C7" w:themeColor="accent3" w:themeShade="BF"/>
      <w:lang w:eastAsia="en-US"/>
    </w:rPr>
    <w:tblPr>
      <w:tblStyleRowBandSize w:val="1"/>
      <w:tblStyleColBandSize w:val="1"/>
      <w:tblBorders>
        <w:top w:val="single" w:sz="4" w:space="0" w:color="A1E2EB" w:themeColor="accent3" w:themeTint="99"/>
        <w:left w:val="single" w:sz="4" w:space="0" w:color="A1E2EB" w:themeColor="accent3" w:themeTint="99"/>
        <w:bottom w:val="single" w:sz="4" w:space="0" w:color="A1E2EB" w:themeColor="accent3" w:themeTint="99"/>
        <w:right w:val="single" w:sz="4" w:space="0" w:color="A1E2EB" w:themeColor="accent3" w:themeTint="99"/>
        <w:insideH w:val="single" w:sz="4" w:space="0" w:color="A1E2EB" w:themeColor="accent3" w:themeTint="99"/>
        <w:insideV w:val="single" w:sz="4" w:space="0" w:color="A1E2EB" w:themeColor="accent3" w:themeTint="99"/>
      </w:tblBorders>
      <w:tblCellMar>
        <w:top w:w="57" w:type="dxa"/>
        <w:left w:w="57" w:type="dxa"/>
        <w:bottom w:w="57" w:type="dxa"/>
        <w:right w:w="57" w:type="dxa"/>
      </w:tblCellMar>
    </w:tblPr>
    <w:tblStylePr w:type="firstRow">
      <w:rPr>
        <w:b/>
        <w:bCs/>
      </w:rPr>
      <w:tblPr/>
      <w:tcPr>
        <w:tcBorders>
          <w:bottom w:val="single" w:sz="12" w:space="0" w:color="A1E2EB" w:themeColor="accent3" w:themeTint="99"/>
        </w:tcBorders>
      </w:tcPr>
    </w:tblStylePr>
    <w:tblStylePr w:type="lastRow">
      <w:rPr>
        <w:b/>
        <w:bCs/>
      </w:rPr>
      <w:tblPr/>
      <w:tcPr>
        <w:tcBorders>
          <w:top w:val="double" w:sz="4" w:space="0" w:color="A1E2EB" w:themeColor="accent3" w:themeTint="99"/>
        </w:tcBorders>
      </w:tc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GridTable6Colorful-Accent4">
    <w:name w:val="Grid Table 6 Colorful Accent 4"/>
    <w:basedOn w:val="TableNormal"/>
    <w:uiPriority w:val="98"/>
    <w:semiHidden/>
    <w:rsid w:val="00573428"/>
    <w:rPr>
      <w:rFonts w:asciiTheme="minorHAnsi" w:eastAsia="Century Gothic" w:hAnsiTheme="minorHAnsi" w:cstheme="minorBidi"/>
      <w:color w:val="787878" w:themeColor="accent4" w:themeShade="BF"/>
      <w:lang w:eastAsia="en-US"/>
    </w:rPr>
    <w:tblPr>
      <w:tblStyleRowBandSize w:val="1"/>
      <w:tblStyleColBandSize w:val="1"/>
      <w:tblBorders>
        <w:top w:val="single" w:sz="4" w:space="0" w:color="C6C6C6" w:themeColor="accent4" w:themeTint="99"/>
        <w:left w:val="single" w:sz="4" w:space="0" w:color="C6C6C6" w:themeColor="accent4" w:themeTint="99"/>
        <w:bottom w:val="single" w:sz="4" w:space="0" w:color="C6C6C6" w:themeColor="accent4" w:themeTint="99"/>
        <w:right w:val="single" w:sz="4" w:space="0" w:color="C6C6C6" w:themeColor="accent4" w:themeTint="99"/>
        <w:insideH w:val="single" w:sz="4" w:space="0" w:color="C6C6C6" w:themeColor="accent4" w:themeTint="99"/>
        <w:insideV w:val="single" w:sz="4" w:space="0" w:color="C6C6C6" w:themeColor="accent4" w:themeTint="99"/>
      </w:tblBorders>
      <w:tblCellMar>
        <w:top w:w="57" w:type="dxa"/>
        <w:left w:w="57" w:type="dxa"/>
        <w:bottom w:w="57" w:type="dxa"/>
        <w:right w:w="57" w:type="dxa"/>
      </w:tblCellMar>
    </w:tblPr>
    <w:tblStylePr w:type="firstRow">
      <w:rPr>
        <w:b/>
        <w:bCs/>
      </w:rPr>
      <w:tblPr/>
      <w:tcPr>
        <w:tcBorders>
          <w:bottom w:val="single" w:sz="12" w:space="0" w:color="C6C6C6" w:themeColor="accent4" w:themeTint="99"/>
        </w:tcBorders>
      </w:tcPr>
    </w:tblStylePr>
    <w:tblStylePr w:type="lastRow">
      <w:rPr>
        <w:b/>
        <w:bCs/>
      </w:rPr>
      <w:tblPr/>
      <w:tcPr>
        <w:tcBorders>
          <w:top w:val="double" w:sz="4" w:space="0" w:color="C6C6C6" w:themeColor="accent4" w:themeTint="99"/>
        </w:tcBorders>
      </w:tc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GridTable6Colorful-Accent5">
    <w:name w:val="Grid Table 6 Colorful Accent 5"/>
    <w:basedOn w:val="TableNormal"/>
    <w:uiPriority w:val="98"/>
    <w:semiHidden/>
    <w:rsid w:val="00573428"/>
    <w:rPr>
      <w:rFonts w:asciiTheme="minorHAnsi" w:eastAsia="Century Gothic" w:hAnsiTheme="minorHAnsi" w:cstheme="minorBidi"/>
      <w:color w:val="29B4C7" w:themeColor="accent5" w:themeShade="BF"/>
      <w:lang w:eastAsia="en-US"/>
    </w:rPr>
    <w:tblPr>
      <w:tblStyleRowBandSize w:val="1"/>
      <w:tblStyleColBandSize w:val="1"/>
      <w:tblBorders>
        <w:top w:val="single" w:sz="4" w:space="0" w:color="A1E2EB" w:themeColor="accent5" w:themeTint="99"/>
        <w:left w:val="single" w:sz="4" w:space="0" w:color="A1E2EB" w:themeColor="accent5" w:themeTint="99"/>
        <w:bottom w:val="single" w:sz="4" w:space="0" w:color="A1E2EB" w:themeColor="accent5" w:themeTint="99"/>
        <w:right w:val="single" w:sz="4" w:space="0" w:color="A1E2EB" w:themeColor="accent5" w:themeTint="99"/>
        <w:insideH w:val="single" w:sz="4" w:space="0" w:color="A1E2EB" w:themeColor="accent5" w:themeTint="99"/>
        <w:insideV w:val="single" w:sz="4" w:space="0" w:color="A1E2EB" w:themeColor="accent5" w:themeTint="99"/>
      </w:tblBorders>
      <w:tblCellMar>
        <w:top w:w="57" w:type="dxa"/>
        <w:left w:w="57" w:type="dxa"/>
        <w:bottom w:w="57" w:type="dxa"/>
        <w:right w:w="57" w:type="dxa"/>
      </w:tblCellMar>
    </w:tblPr>
    <w:tblStylePr w:type="firstRow">
      <w:rPr>
        <w:b/>
        <w:bCs/>
      </w:rPr>
      <w:tblPr/>
      <w:tcPr>
        <w:tcBorders>
          <w:bottom w:val="single" w:sz="12" w:space="0" w:color="A1E2EB" w:themeColor="accent5" w:themeTint="99"/>
        </w:tcBorders>
      </w:tcPr>
    </w:tblStylePr>
    <w:tblStylePr w:type="lastRow">
      <w:rPr>
        <w:b/>
        <w:bCs/>
      </w:rPr>
      <w:tblPr/>
      <w:tcPr>
        <w:tcBorders>
          <w:top w:val="double" w:sz="4" w:space="0" w:color="A1E2EB" w:themeColor="accent5" w:themeTint="99"/>
        </w:tcBorders>
      </w:tc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GridTable6Colorful-Accent6">
    <w:name w:val="Grid Table 6 Colorful Accent 6"/>
    <w:basedOn w:val="TableNormal"/>
    <w:uiPriority w:val="98"/>
    <w:semiHidden/>
    <w:rsid w:val="00573428"/>
    <w:rPr>
      <w:rFonts w:asciiTheme="minorHAnsi" w:eastAsia="Century Gothic" w:hAnsiTheme="minorHAnsi" w:cstheme="minorBidi"/>
      <w:color w:val="787878" w:themeColor="accent6" w:themeShade="BF"/>
      <w:lang w:eastAsia="en-US"/>
    </w:rPr>
    <w:tblPr>
      <w:tblStyleRowBandSize w:val="1"/>
      <w:tblStyleColBandSize w:val="1"/>
      <w:tblBorders>
        <w:top w:val="single" w:sz="4" w:space="0" w:color="C6C6C6" w:themeColor="accent6" w:themeTint="99"/>
        <w:left w:val="single" w:sz="4" w:space="0" w:color="C6C6C6" w:themeColor="accent6" w:themeTint="99"/>
        <w:bottom w:val="single" w:sz="4" w:space="0" w:color="C6C6C6" w:themeColor="accent6" w:themeTint="99"/>
        <w:right w:val="single" w:sz="4" w:space="0" w:color="C6C6C6" w:themeColor="accent6" w:themeTint="99"/>
        <w:insideH w:val="single" w:sz="4" w:space="0" w:color="C6C6C6" w:themeColor="accent6" w:themeTint="99"/>
        <w:insideV w:val="single" w:sz="4" w:space="0" w:color="C6C6C6" w:themeColor="accent6" w:themeTint="99"/>
      </w:tblBorders>
      <w:tblCellMar>
        <w:top w:w="57" w:type="dxa"/>
        <w:left w:w="57" w:type="dxa"/>
        <w:bottom w:w="57" w:type="dxa"/>
        <w:right w:w="57" w:type="dxa"/>
      </w:tblCellMar>
    </w:tblPr>
    <w:tblStylePr w:type="firstRow">
      <w:rPr>
        <w:b/>
        <w:bCs/>
      </w:rPr>
      <w:tblPr/>
      <w:tcPr>
        <w:tcBorders>
          <w:bottom w:val="single" w:sz="12" w:space="0" w:color="C6C6C6" w:themeColor="accent6" w:themeTint="99"/>
        </w:tcBorders>
      </w:tcPr>
    </w:tblStylePr>
    <w:tblStylePr w:type="lastRow">
      <w:rPr>
        <w:b/>
        <w:bCs/>
      </w:rPr>
      <w:tblPr/>
      <w:tcPr>
        <w:tcBorders>
          <w:top w:val="double" w:sz="4" w:space="0" w:color="C6C6C6" w:themeColor="accent6" w:themeTint="99"/>
        </w:tcBorders>
      </w:tc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GridTable7Colorful">
    <w:name w:val="Grid Table 7 Colorful"/>
    <w:basedOn w:val="TableNormal"/>
    <w:uiPriority w:val="98"/>
    <w:semiHidden/>
    <w:rsid w:val="00573428"/>
    <w:rPr>
      <w:rFonts w:asciiTheme="minorHAnsi" w:eastAsia="Century Gothic" w:hAnsiTheme="minorHAnsi" w:cstheme="minorBidi"/>
      <w:color w:val="000000" w:themeColor="text1"/>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98"/>
    <w:semiHidden/>
    <w:rsid w:val="00573428"/>
    <w:rPr>
      <w:rFonts w:asciiTheme="minorHAnsi" w:eastAsia="Century Gothic" w:hAnsiTheme="minorHAnsi" w:cstheme="minorBidi"/>
      <w:color w:val="29B4C7" w:themeColor="accent1" w:themeShade="BF"/>
      <w:lang w:eastAsia="en-US"/>
    </w:rPr>
    <w:tblPr>
      <w:tblStyleRowBandSize w:val="1"/>
      <w:tblStyleColBandSize w:val="1"/>
      <w:tblBorders>
        <w:top w:val="single" w:sz="4" w:space="0" w:color="A1E2EB" w:themeColor="accent1" w:themeTint="99"/>
        <w:left w:val="single" w:sz="4" w:space="0" w:color="A1E2EB" w:themeColor="accent1" w:themeTint="99"/>
        <w:bottom w:val="single" w:sz="4" w:space="0" w:color="A1E2EB" w:themeColor="accent1" w:themeTint="99"/>
        <w:right w:val="single" w:sz="4" w:space="0" w:color="A1E2EB" w:themeColor="accent1" w:themeTint="99"/>
        <w:insideH w:val="single" w:sz="4" w:space="0" w:color="A1E2EB" w:themeColor="accent1" w:themeTint="99"/>
        <w:insideV w:val="single" w:sz="4" w:space="0" w:color="A1E2EB" w:themeColor="accent1"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5F8" w:themeFill="accent1" w:themeFillTint="33"/>
      </w:tcPr>
    </w:tblStylePr>
    <w:tblStylePr w:type="band1Horz">
      <w:tblPr/>
      <w:tcPr>
        <w:shd w:val="clear" w:color="auto" w:fill="DFF5F8" w:themeFill="accent1" w:themeFillTint="33"/>
      </w:tcPr>
    </w:tblStylePr>
    <w:tblStylePr w:type="neCell">
      <w:tblPr/>
      <w:tcPr>
        <w:tcBorders>
          <w:bottom w:val="single" w:sz="4" w:space="0" w:color="A1E2EB" w:themeColor="accent1" w:themeTint="99"/>
        </w:tcBorders>
      </w:tcPr>
    </w:tblStylePr>
    <w:tblStylePr w:type="nwCell">
      <w:tblPr/>
      <w:tcPr>
        <w:tcBorders>
          <w:bottom w:val="single" w:sz="4" w:space="0" w:color="A1E2EB" w:themeColor="accent1" w:themeTint="99"/>
        </w:tcBorders>
      </w:tcPr>
    </w:tblStylePr>
    <w:tblStylePr w:type="seCell">
      <w:tblPr/>
      <w:tcPr>
        <w:tcBorders>
          <w:top w:val="single" w:sz="4" w:space="0" w:color="A1E2EB" w:themeColor="accent1" w:themeTint="99"/>
        </w:tcBorders>
      </w:tcPr>
    </w:tblStylePr>
    <w:tblStylePr w:type="swCell">
      <w:tblPr/>
      <w:tcPr>
        <w:tcBorders>
          <w:top w:val="single" w:sz="4" w:space="0" w:color="A1E2EB" w:themeColor="accent1" w:themeTint="99"/>
        </w:tcBorders>
      </w:tcPr>
    </w:tblStylePr>
  </w:style>
  <w:style w:type="table" w:styleId="GridTable7Colorful-Accent2">
    <w:name w:val="Grid Table 7 Colorful Accent 2"/>
    <w:basedOn w:val="TableNormal"/>
    <w:uiPriority w:val="98"/>
    <w:semiHidden/>
    <w:rsid w:val="00573428"/>
    <w:rPr>
      <w:rFonts w:asciiTheme="minorHAnsi" w:eastAsia="Century Gothic" w:hAnsiTheme="minorHAnsi" w:cstheme="minorBidi"/>
      <w:color w:val="959597" w:themeColor="accent2" w:themeShade="BF"/>
      <w:lang w:eastAsia="en-US"/>
    </w:rPr>
    <w:tblPr>
      <w:tblStyleRowBandSize w:val="1"/>
      <w:tblStyleColBandSize w:val="1"/>
      <w:tblBorders>
        <w:top w:val="single" w:sz="4" w:space="0" w:color="DEDEDF" w:themeColor="accent2" w:themeTint="99"/>
        <w:left w:val="single" w:sz="4" w:space="0" w:color="DEDEDF" w:themeColor="accent2" w:themeTint="99"/>
        <w:bottom w:val="single" w:sz="4" w:space="0" w:color="DEDEDF" w:themeColor="accent2" w:themeTint="99"/>
        <w:right w:val="single" w:sz="4" w:space="0" w:color="DEDEDF" w:themeColor="accent2" w:themeTint="99"/>
        <w:insideH w:val="single" w:sz="4" w:space="0" w:color="DEDEDF" w:themeColor="accent2" w:themeTint="99"/>
        <w:insideV w:val="single" w:sz="4" w:space="0" w:color="DEDEDF" w:themeColor="accent2"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2" w:themeFillTint="33"/>
      </w:tcPr>
    </w:tblStylePr>
    <w:tblStylePr w:type="band1Horz">
      <w:tblPr/>
      <w:tcPr>
        <w:shd w:val="clear" w:color="auto" w:fill="F4F4F4" w:themeFill="accent2" w:themeFillTint="33"/>
      </w:tcPr>
    </w:tblStylePr>
    <w:tblStylePr w:type="neCell">
      <w:tblPr/>
      <w:tcPr>
        <w:tcBorders>
          <w:bottom w:val="single" w:sz="4" w:space="0" w:color="DEDEDF" w:themeColor="accent2" w:themeTint="99"/>
        </w:tcBorders>
      </w:tcPr>
    </w:tblStylePr>
    <w:tblStylePr w:type="nwCell">
      <w:tblPr/>
      <w:tcPr>
        <w:tcBorders>
          <w:bottom w:val="single" w:sz="4" w:space="0" w:color="DEDEDF" w:themeColor="accent2" w:themeTint="99"/>
        </w:tcBorders>
      </w:tcPr>
    </w:tblStylePr>
    <w:tblStylePr w:type="seCell">
      <w:tblPr/>
      <w:tcPr>
        <w:tcBorders>
          <w:top w:val="single" w:sz="4" w:space="0" w:color="DEDEDF" w:themeColor="accent2" w:themeTint="99"/>
        </w:tcBorders>
      </w:tcPr>
    </w:tblStylePr>
    <w:tblStylePr w:type="swCell">
      <w:tblPr/>
      <w:tcPr>
        <w:tcBorders>
          <w:top w:val="single" w:sz="4" w:space="0" w:color="DEDEDF" w:themeColor="accent2" w:themeTint="99"/>
        </w:tcBorders>
      </w:tcPr>
    </w:tblStylePr>
  </w:style>
  <w:style w:type="table" w:styleId="GridTable7Colorful-Accent3">
    <w:name w:val="Grid Table 7 Colorful Accent 3"/>
    <w:basedOn w:val="TableNormal"/>
    <w:uiPriority w:val="98"/>
    <w:semiHidden/>
    <w:rsid w:val="00573428"/>
    <w:rPr>
      <w:rFonts w:asciiTheme="minorHAnsi" w:eastAsia="Century Gothic" w:hAnsiTheme="minorHAnsi" w:cstheme="minorBidi"/>
      <w:color w:val="29B4C7" w:themeColor="accent3" w:themeShade="BF"/>
      <w:lang w:eastAsia="en-US"/>
    </w:rPr>
    <w:tblPr>
      <w:tblStyleRowBandSize w:val="1"/>
      <w:tblStyleColBandSize w:val="1"/>
      <w:tblBorders>
        <w:top w:val="single" w:sz="4" w:space="0" w:color="A1E2EB" w:themeColor="accent3" w:themeTint="99"/>
        <w:left w:val="single" w:sz="4" w:space="0" w:color="A1E2EB" w:themeColor="accent3" w:themeTint="99"/>
        <w:bottom w:val="single" w:sz="4" w:space="0" w:color="A1E2EB" w:themeColor="accent3" w:themeTint="99"/>
        <w:right w:val="single" w:sz="4" w:space="0" w:color="A1E2EB" w:themeColor="accent3" w:themeTint="99"/>
        <w:insideH w:val="single" w:sz="4" w:space="0" w:color="A1E2EB" w:themeColor="accent3" w:themeTint="99"/>
        <w:insideV w:val="single" w:sz="4" w:space="0" w:color="A1E2EB" w:themeColor="accent3"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5F8" w:themeFill="accent3" w:themeFillTint="33"/>
      </w:tcPr>
    </w:tblStylePr>
    <w:tblStylePr w:type="band1Horz">
      <w:tblPr/>
      <w:tcPr>
        <w:shd w:val="clear" w:color="auto" w:fill="DFF5F8" w:themeFill="accent3" w:themeFillTint="33"/>
      </w:tcPr>
    </w:tblStylePr>
    <w:tblStylePr w:type="neCell">
      <w:tblPr/>
      <w:tcPr>
        <w:tcBorders>
          <w:bottom w:val="single" w:sz="4" w:space="0" w:color="A1E2EB" w:themeColor="accent3" w:themeTint="99"/>
        </w:tcBorders>
      </w:tcPr>
    </w:tblStylePr>
    <w:tblStylePr w:type="nwCell">
      <w:tblPr/>
      <w:tcPr>
        <w:tcBorders>
          <w:bottom w:val="single" w:sz="4" w:space="0" w:color="A1E2EB" w:themeColor="accent3" w:themeTint="99"/>
        </w:tcBorders>
      </w:tcPr>
    </w:tblStylePr>
    <w:tblStylePr w:type="seCell">
      <w:tblPr/>
      <w:tcPr>
        <w:tcBorders>
          <w:top w:val="single" w:sz="4" w:space="0" w:color="A1E2EB" w:themeColor="accent3" w:themeTint="99"/>
        </w:tcBorders>
      </w:tcPr>
    </w:tblStylePr>
    <w:tblStylePr w:type="swCell">
      <w:tblPr/>
      <w:tcPr>
        <w:tcBorders>
          <w:top w:val="single" w:sz="4" w:space="0" w:color="A1E2EB" w:themeColor="accent3" w:themeTint="99"/>
        </w:tcBorders>
      </w:tcPr>
    </w:tblStylePr>
  </w:style>
  <w:style w:type="table" w:styleId="GridTable7Colorful-Accent4">
    <w:name w:val="Grid Table 7 Colorful Accent 4"/>
    <w:basedOn w:val="TableNormal"/>
    <w:uiPriority w:val="98"/>
    <w:semiHidden/>
    <w:rsid w:val="00573428"/>
    <w:rPr>
      <w:rFonts w:asciiTheme="minorHAnsi" w:eastAsia="Century Gothic" w:hAnsiTheme="minorHAnsi" w:cstheme="minorBidi"/>
      <w:color w:val="787878" w:themeColor="accent4" w:themeShade="BF"/>
      <w:lang w:eastAsia="en-US"/>
    </w:rPr>
    <w:tblPr>
      <w:tblStyleRowBandSize w:val="1"/>
      <w:tblStyleColBandSize w:val="1"/>
      <w:tblBorders>
        <w:top w:val="single" w:sz="4" w:space="0" w:color="C6C6C6" w:themeColor="accent4" w:themeTint="99"/>
        <w:left w:val="single" w:sz="4" w:space="0" w:color="C6C6C6" w:themeColor="accent4" w:themeTint="99"/>
        <w:bottom w:val="single" w:sz="4" w:space="0" w:color="C6C6C6" w:themeColor="accent4" w:themeTint="99"/>
        <w:right w:val="single" w:sz="4" w:space="0" w:color="C6C6C6" w:themeColor="accent4" w:themeTint="99"/>
        <w:insideH w:val="single" w:sz="4" w:space="0" w:color="C6C6C6" w:themeColor="accent4" w:themeTint="99"/>
        <w:insideV w:val="single" w:sz="4" w:space="0" w:color="C6C6C6" w:themeColor="accent4"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ECEC" w:themeFill="accent4" w:themeFillTint="33"/>
      </w:tcPr>
    </w:tblStylePr>
    <w:tblStylePr w:type="band1Horz">
      <w:tblPr/>
      <w:tcPr>
        <w:shd w:val="clear" w:color="auto" w:fill="ECECEC" w:themeFill="accent4" w:themeFillTint="33"/>
      </w:tcPr>
    </w:tblStylePr>
    <w:tblStylePr w:type="neCell">
      <w:tblPr/>
      <w:tcPr>
        <w:tcBorders>
          <w:bottom w:val="single" w:sz="4" w:space="0" w:color="C6C6C6" w:themeColor="accent4" w:themeTint="99"/>
        </w:tcBorders>
      </w:tcPr>
    </w:tblStylePr>
    <w:tblStylePr w:type="nwCell">
      <w:tblPr/>
      <w:tcPr>
        <w:tcBorders>
          <w:bottom w:val="single" w:sz="4" w:space="0" w:color="C6C6C6" w:themeColor="accent4" w:themeTint="99"/>
        </w:tcBorders>
      </w:tcPr>
    </w:tblStylePr>
    <w:tblStylePr w:type="seCell">
      <w:tblPr/>
      <w:tcPr>
        <w:tcBorders>
          <w:top w:val="single" w:sz="4" w:space="0" w:color="C6C6C6" w:themeColor="accent4" w:themeTint="99"/>
        </w:tcBorders>
      </w:tcPr>
    </w:tblStylePr>
    <w:tblStylePr w:type="swCell">
      <w:tblPr/>
      <w:tcPr>
        <w:tcBorders>
          <w:top w:val="single" w:sz="4" w:space="0" w:color="C6C6C6" w:themeColor="accent4" w:themeTint="99"/>
        </w:tcBorders>
      </w:tcPr>
    </w:tblStylePr>
  </w:style>
  <w:style w:type="table" w:styleId="GridTable7Colorful-Accent5">
    <w:name w:val="Grid Table 7 Colorful Accent 5"/>
    <w:basedOn w:val="TableNormal"/>
    <w:uiPriority w:val="98"/>
    <w:semiHidden/>
    <w:rsid w:val="00573428"/>
    <w:rPr>
      <w:rFonts w:asciiTheme="minorHAnsi" w:eastAsia="Century Gothic" w:hAnsiTheme="minorHAnsi" w:cstheme="minorBidi"/>
      <w:color w:val="29B4C7" w:themeColor="accent5" w:themeShade="BF"/>
      <w:lang w:eastAsia="en-US"/>
    </w:rPr>
    <w:tblPr>
      <w:tblStyleRowBandSize w:val="1"/>
      <w:tblStyleColBandSize w:val="1"/>
      <w:tblBorders>
        <w:top w:val="single" w:sz="4" w:space="0" w:color="A1E2EB" w:themeColor="accent5" w:themeTint="99"/>
        <w:left w:val="single" w:sz="4" w:space="0" w:color="A1E2EB" w:themeColor="accent5" w:themeTint="99"/>
        <w:bottom w:val="single" w:sz="4" w:space="0" w:color="A1E2EB" w:themeColor="accent5" w:themeTint="99"/>
        <w:right w:val="single" w:sz="4" w:space="0" w:color="A1E2EB" w:themeColor="accent5" w:themeTint="99"/>
        <w:insideH w:val="single" w:sz="4" w:space="0" w:color="A1E2EB" w:themeColor="accent5" w:themeTint="99"/>
        <w:insideV w:val="single" w:sz="4" w:space="0" w:color="A1E2EB" w:themeColor="accent5"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5F8" w:themeFill="accent5" w:themeFillTint="33"/>
      </w:tcPr>
    </w:tblStylePr>
    <w:tblStylePr w:type="band1Horz">
      <w:tblPr/>
      <w:tcPr>
        <w:shd w:val="clear" w:color="auto" w:fill="DFF5F8" w:themeFill="accent5" w:themeFillTint="33"/>
      </w:tcPr>
    </w:tblStylePr>
    <w:tblStylePr w:type="neCell">
      <w:tblPr/>
      <w:tcPr>
        <w:tcBorders>
          <w:bottom w:val="single" w:sz="4" w:space="0" w:color="A1E2EB" w:themeColor="accent5" w:themeTint="99"/>
        </w:tcBorders>
      </w:tcPr>
    </w:tblStylePr>
    <w:tblStylePr w:type="nwCell">
      <w:tblPr/>
      <w:tcPr>
        <w:tcBorders>
          <w:bottom w:val="single" w:sz="4" w:space="0" w:color="A1E2EB" w:themeColor="accent5" w:themeTint="99"/>
        </w:tcBorders>
      </w:tcPr>
    </w:tblStylePr>
    <w:tblStylePr w:type="seCell">
      <w:tblPr/>
      <w:tcPr>
        <w:tcBorders>
          <w:top w:val="single" w:sz="4" w:space="0" w:color="A1E2EB" w:themeColor="accent5" w:themeTint="99"/>
        </w:tcBorders>
      </w:tcPr>
    </w:tblStylePr>
    <w:tblStylePr w:type="swCell">
      <w:tblPr/>
      <w:tcPr>
        <w:tcBorders>
          <w:top w:val="single" w:sz="4" w:space="0" w:color="A1E2EB" w:themeColor="accent5" w:themeTint="99"/>
        </w:tcBorders>
      </w:tcPr>
    </w:tblStylePr>
  </w:style>
  <w:style w:type="table" w:styleId="GridTable7Colorful-Accent6">
    <w:name w:val="Grid Table 7 Colorful Accent 6"/>
    <w:basedOn w:val="TableNormal"/>
    <w:uiPriority w:val="98"/>
    <w:semiHidden/>
    <w:rsid w:val="00573428"/>
    <w:rPr>
      <w:rFonts w:asciiTheme="minorHAnsi" w:eastAsia="Century Gothic" w:hAnsiTheme="minorHAnsi" w:cstheme="minorBidi"/>
      <w:color w:val="787878" w:themeColor="accent6" w:themeShade="BF"/>
      <w:lang w:eastAsia="en-US"/>
    </w:rPr>
    <w:tblPr>
      <w:tblStyleRowBandSize w:val="1"/>
      <w:tblStyleColBandSize w:val="1"/>
      <w:tblBorders>
        <w:top w:val="single" w:sz="4" w:space="0" w:color="C6C6C6" w:themeColor="accent6" w:themeTint="99"/>
        <w:left w:val="single" w:sz="4" w:space="0" w:color="C6C6C6" w:themeColor="accent6" w:themeTint="99"/>
        <w:bottom w:val="single" w:sz="4" w:space="0" w:color="C6C6C6" w:themeColor="accent6" w:themeTint="99"/>
        <w:right w:val="single" w:sz="4" w:space="0" w:color="C6C6C6" w:themeColor="accent6" w:themeTint="99"/>
        <w:insideH w:val="single" w:sz="4" w:space="0" w:color="C6C6C6" w:themeColor="accent6" w:themeTint="99"/>
        <w:insideV w:val="single" w:sz="4" w:space="0" w:color="C6C6C6" w:themeColor="accent6"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ECEC" w:themeFill="accent6" w:themeFillTint="33"/>
      </w:tcPr>
    </w:tblStylePr>
    <w:tblStylePr w:type="band1Horz">
      <w:tblPr/>
      <w:tcPr>
        <w:shd w:val="clear" w:color="auto" w:fill="ECECEC" w:themeFill="accent6" w:themeFillTint="33"/>
      </w:tcPr>
    </w:tblStylePr>
    <w:tblStylePr w:type="neCell">
      <w:tblPr/>
      <w:tcPr>
        <w:tcBorders>
          <w:bottom w:val="single" w:sz="4" w:space="0" w:color="C6C6C6" w:themeColor="accent6" w:themeTint="99"/>
        </w:tcBorders>
      </w:tcPr>
    </w:tblStylePr>
    <w:tblStylePr w:type="nwCell">
      <w:tblPr/>
      <w:tcPr>
        <w:tcBorders>
          <w:bottom w:val="single" w:sz="4" w:space="0" w:color="C6C6C6" w:themeColor="accent6" w:themeTint="99"/>
        </w:tcBorders>
      </w:tcPr>
    </w:tblStylePr>
    <w:tblStylePr w:type="seCell">
      <w:tblPr/>
      <w:tcPr>
        <w:tcBorders>
          <w:top w:val="single" w:sz="4" w:space="0" w:color="C6C6C6" w:themeColor="accent6" w:themeTint="99"/>
        </w:tcBorders>
      </w:tcPr>
    </w:tblStylePr>
    <w:tblStylePr w:type="swCell">
      <w:tblPr/>
      <w:tcPr>
        <w:tcBorders>
          <w:top w:val="single" w:sz="4" w:space="0" w:color="C6C6C6" w:themeColor="accent6" w:themeTint="99"/>
        </w:tcBorders>
      </w:tcPr>
    </w:tblStylePr>
  </w:style>
  <w:style w:type="table" w:styleId="ListTable1Light">
    <w:name w:val="List Table 1 Light"/>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A1E2EB" w:themeColor="accent1" w:themeTint="99"/>
        </w:tcBorders>
      </w:tcPr>
    </w:tblStylePr>
    <w:tblStylePr w:type="lastRow">
      <w:rPr>
        <w:b/>
        <w:bCs/>
      </w:rPr>
      <w:tblPr/>
      <w:tcPr>
        <w:tcBorders>
          <w:top w:val="single" w:sz="4" w:space="0" w:color="A1E2EB" w:themeColor="accent1" w:themeTint="99"/>
        </w:tcBorders>
      </w:tc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ListTable1Light-Accent2">
    <w:name w:val="List Table 1 Light Accent 2"/>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DEDEDF" w:themeColor="accent2" w:themeTint="99"/>
        </w:tcBorders>
      </w:tcPr>
    </w:tblStylePr>
    <w:tblStylePr w:type="lastRow">
      <w:rPr>
        <w:b/>
        <w:bCs/>
      </w:rPr>
      <w:tblPr/>
      <w:tcPr>
        <w:tcBorders>
          <w:top w:val="single" w:sz="4" w:space="0" w:color="DEDEDF" w:themeColor="accent2" w:themeTint="99"/>
        </w:tcBorders>
      </w:tc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ListTable1Light-Accent3">
    <w:name w:val="List Table 1 Light Accent 3"/>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A1E2EB" w:themeColor="accent3" w:themeTint="99"/>
        </w:tcBorders>
      </w:tcPr>
    </w:tblStylePr>
    <w:tblStylePr w:type="lastRow">
      <w:rPr>
        <w:b/>
        <w:bCs/>
      </w:rPr>
      <w:tblPr/>
      <w:tcPr>
        <w:tcBorders>
          <w:top w:val="single" w:sz="4" w:space="0" w:color="A1E2EB" w:themeColor="accent3" w:themeTint="99"/>
        </w:tcBorders>
      </w:tc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ListTable1Light-Accent4">
    <w:name w:val="List Table 1 Light Accent 4"/>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C6C6C6" w:themeColor="accent4" w:themeTint="99"/>
        </w:tcBorders>
      </w:tcPr>
    </w:tblStylePr>
    <w:tblStylePr w:type="lastRow">
      <w:rPr>
        <w:b/>
        <w:bCs/>
      </w:rPr>
      <w:tblPr/>
      <w:tcPr>
        <w:tcBorders>
          <w:top w:val="single" w:sz="4" w:space="0" w:color="C6C6C6" w:themeColor="accent4" w:themeTint="99"/>
        </w:tcBorders>
      </w:tc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ListTable1Light-Accent5">
    <w:name w:val="List Table 1 Light Accent 5"/>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A1E2EB" w:themeColor="accent5" w:themeTint="99"/>
        </w:tcBorders>
      </w:tcPr>
    </w:tblStylePr>
    <w:tblStylePr w:type="lastRow">
      <w:rPr>
        <w:b/>
        <w:bCs/>
      </w:rPr>
      <w:tblPr/>
      <w:tcPr>
        <w:tcBorders>
          <w:top w:val="single" w:sz="4" w:space="0" w:color="A1E2EB" w:themeColor="accent5" w:themeTint="99"/>
        </w:tcBorders>
      </w:tc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ListTable1Light-Accent6">
    <w:name w:val="List Table 1 Light Accent 6"/>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C6C6C6" w:themeColor="accent6" w:themeTint="99"/>
        </w:tcBorders>
      </w:tcPr>
    </w:tblStylePr>
    <w:tblStylePr w:type="lastRow">
      <w:rPr>
        <w:b/>
        <w:bCs/>
      </w:rPr>
      <w:tblPr/>
      <w:tcPr>
        <w:tcBorders>
          <w:top w:val="single" w:sz="4" w:space="0" w:color="C6C6C6" w:themeColor="accent6" w:themeTint="99"/>
        </w:tcBorders>
      </w:tc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ListTable2">
    <w:name w:val="List Table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1" w:themeTint="99"/>
        <w:bottom w:val="single" w:sz="4" w:space="0" w:color="A1E2EB" w:themeColor="accent1" w:themeTint="99"/>
        <w:insideH w:val="single" w:sz="4" w:space="0" w:color="A1E2EB" w:themeColor="accent1"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ListTable2-Accent2">
    <w:name w:val="List Table 2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DEDEDF" w:themeColor="accent2" w:themeTint="99"/>
        <w:bottom w:val="single" w:sz="4" w:space="0" w:color="DEDEDF" w:themeColor="accent2" w:themeTint="99"/>
        <w:insideH w:val="single" w:sz="4" w:space="0" w:color="DEDEDF" w:themeColor="accent2"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ListTable2-Accent3">
    <w:name w:val="List Table 2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3" w:themeTint="99"/>
        <w:bottom w:val="single" w:sz="4" w:space="0" w:color="A1E2EB" w:themeColor="accent3" w:themeTint="99"/>
        <w:insideH w:val="single" w:sz="4" w:space="0" w:color="A1E2EB" w:themeColor="accent3"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ListTable2-Accent4">
    <w:name w:val="List Table 2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4" w:themeTint="99"/>
        <w:bottom w:val="single" w:sz="4" w:space="0" w:color="C6C6C6" w:themeColor="accent4" w:themeTint="99"/>
        <w:insideH w:val="single" w:sz="4" w:space="0" w:color="C6C6C6" w:themeColor="accent4"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ListTable2-Accent5">
    <w:name w:val="List Table 2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5" w:themeTint="99"/>
        <w:bottom w:val="single" w:sz="4" w:space="0" w:color="A1E2EB" w:themeColor="accent5" w:themeTint="99"/>
        <w:insideH w:val="single" w:sz="4" w:space="0" w:color="A1E2EB" w:themeColor="accent5"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ListTable2-Accent6">
    <w:name w:val="List Table 2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6" w:themeTint="99"/>
        <w:bottom w:val="single" w:sz="4" w:space="0" w:color="C6C6C6" w:themeColor="accent6" w:themeTint="99"/>
        <w:insideH w:val="single" w:sz="4" w:space="0" w:color="C6C6C6" w:themeColor="accent6"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ListTable3">
    <w:name w:val="List Table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57" w:type="dxa"/>
        <w:left w:w="57" w:type="dxa"/>
        <w:bottom w:w="57" w:type="dxa"/>
        <w:right w:w="57" w:type="dxa"/>
      </w:tblCellMar>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2">
    <w:name w:val="List Table 3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9C9CA" w:themeColor="accent2"/>
        <w:left w:val="single" w:sz="4" w:space="0" w:color="C9C9CA" w:themeColor="accent2"/>
        <w:bottom w:val="single" w:sz="4" w:space="0" w:color="C9C9CA" w:themeColor="accent2"/>
        <w:right w:val="single" w:sz="4" w:space="0" w:color="C9C9CA" w:themeColor="accent2"/>
      </w:tblBorders>
      <w:tblCellMar>
        <w:top w:w="57" w:type="dxa"/>
        <w:left w:w="57" w:type="dxa"/>
        <w:bottom w:w="57" w:type="dxa"/>
        <w:right w:w="57" w:type="dxa"/>
      </w:tblCellMar>
    </w:tblPr>
    <w:tblStylePr w:type="firstRow">
      <w:rPr>
        <w:b/>
        <w:bCs/>
        <w:color w:val="FFFFFF" w:themeColor="background1"/>
      </w:rPr>
      <w:tblPr/>
      <w:tcPr>
        <w:shd w:val="clear" w:color="auto" w:fill="C9C9CA" w:themeFill="accent2"/>
      </w:tcPr>
    </w:tblStylePr>
    <w:tblStylePr w:type="lastRow">
      <w:rPr>
        <w:b/>
        <w:bCs/>
      </w:rPr>
      <w:tblPr/>
      <w:tcPr>
        <w:tcBorders>
          <w:top w:val="double" w:sz="4" w:space="0" w:color="C9C9C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9C9CA" w:themeColor="accent2"/>
          <w:right w:val="single" w:sz="4" w:space="0" w:color="C9C9CA" w:themeColor="accent2"/>
        </w:tcBorders>
      </w:tcPr>
    </w:tblStylePr>
    <w:tblStylePr w:type="band1Horz">
      <w:tblPr/>
      <w:tcPr>
        <w:tcBorders>
          <w:top w:val="single" w:sz="4" w:space="0" w:color="C9C9CA" w:themeColor="accent2"/>
          <w:bottom w:val="single" w:sz="4" w:space="0" w:color="C9C9C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9C9CA" w:themeColor="accent2"/>
          <w:left w:val="nil"/>
        </w:tcBorders>
      </w:tcPr>
    </w:tblStylePr>
    <w:tblStylePr w:type="swCell">
      <w:tblPr/>
      <w:tcPr>
        <w:tcBorders>
          <w:top w:val="double" w:sz="4" w:space="0" w:color="C9C9CA" w:themeColor="accent2"/>
          <w:right w:val="nil"/>
        </w:tcBorders>
      </w:tcPr>
    </w:tblStylePr>
  </w:style>
  <w:style w:type="table" w:styleId="ListTable3-Accent3">
    <w:name w:val="List Table 3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63D0DF" w:themeColor="accent3"/>
        <w:left w:val="single" w:sz="4" w:space="0" w:color="63D0DF" w:themeColor="accent3"/>
        <w:bottom w:val="single" w:sz="4" w:space="0" w:color="63D0DF" w:themeColor="accent3"/>
        <w:right w:val="single" w:sz="4" w:space="0" w:color="63D0DF" w:themeColor="accent3"/>
      </w:tblBorders>
      <w:tblCellMar>
        <w:top w:w="57" w:type="dxa"/>
        <w:left w:w="57" w:type="dxa"/>
        <w:bottom w:w="57" w:type="dxa"/>
        <w:right w:w="57" w:type="dxa"/>
      </w:tblCellMar>
    </w:tblPr>
    <w:tblStylePr w:type="firstRow">
      <w:rPr>
        <w:b/>
        <w:bCs/>
        <w:color w:val="FFFFFF" w:themeColor="background1"/>
      </w:rPr>
      <w:tblPr/>
      <w:tcPr>
        <w:shd w:val="clear" w:color="auto" w:fill="63D0DF" w:themeFill="accent3"/>
      </w:tcPr>
    </w:tblStylePr>
    <w:tblStylePr w:type="lastRow">
      <w:rPr>
        <w:b/>
        <w:bCs/>
      </w:rPr>
      <w:tblPr/>
      <w:tcPr>
        <w:tcBorders>
          <w:top w:val="double" w:sz="4" w:space="0" w:color="63D0D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3D0DF" w:themeColor="accent3"/>
          <w:right w:val="single" w:sz="4" w:space="0" w:color="63D0DF" w:themeColor="accent3"/>
        </w:tcBorders>
      </w:tcPr>
    </w:tblStylePr>
    <w:tblStylePr w:type="band1Horz">
      <w:tblPr/>
      <w:tcPr>
        <w:tcBorders>
          <w:top w:val="single" w:sz="4" w:space="0" w:color="63D0DF" w:themeColor="accent3"/>
          <w:bottom w:val="single" w:sz="4" w:space="0" w:color="63D0D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3D0DF" w:themeColor="accent3"/>
          <w:left w:val="nil"/>
        </w:tcBorders>
      </w:tcPr>
    </w:tblStylePr>
    <w:tblStylePr w:type="swCell">
      <w:tblPr/>
      <w:tcPr>
        <w:tcBorders>
          <w:top w:val="double" w:sz="4" w:space="0" w:color="63D0DF" w:themeColor="accent3"/>
          <w:right w:val="nil"/>
        </w:tcBorders>
      </w:tcPr>
    </w:tblStylePr>
  </w:style>
  <w:style w:type="table" w:styleId="ListTable3-Accent4">
    <w:name w:val="List Table 3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A1A1" w:themeColor="accent4"/>
        <w:left w:val="single" w:sz="4" w:space="0" w:color="A1A1A1" w:themeColor="accent4"/>
        <w:bottom w:val="single" w:sz="4" w:space="0" w:color="A1A1A1" w:themeColor="accent4"/>
        <w:right w:val="single" w:sz="4" w:space="0" w:color="A1A1A1" w:themeColor="accent4"/>
      </w:tblBorders>
      <w:tblCellMar>
        <w:top w:w="57" w:type="dxa"/>
        <w:left w:w="57" w:type="dxa"/>
        <w:bottom w:w="57" w:type="dxa"/>
        <w:right w:w="57" w:type="dxa"/>
      </w:tblCellMar>
    </w:tblPr>
    <w:tblStylePr w:type="firstRow">
      <w:rPr>
        <w:b/>
        <w:bCs/>
        <w:color w:val="FFFFFF" w:themeColor="background1"/>
      </w:rPr>
      <w:tblPr/>
      <w:tcPr>
        <w:shd w:val="clear" w:color="auto" w:fill="A1A1A1" w:themeFill="accent4"/>
      </w:tcPr>
    </w:tblStylePr>
    <w:tblStylePr w:type="lastRow">
      <w:rPr>
        <w:b/>
        <w:bCs/>
      </w:rPr>
      <w:tblPr/>
      <w:tcPr>
        <w:tcBorders>
          <w:top w:val="double" w:sz="4" w:space="0" w:color="A1A1A1"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1A1A1" w:themeColor="accent4"/>
          <w:right w:val="single" w:sz="4" w:space="0" w:color="A1A1A1" w:themeColor="accent4"/>
        </w:tcBorders>
      </w:tcPr>
    </w:tblStylePr>
    <w:tblStylePr w:type="band1Horz">
      <w:tblPr/>
      <w:tcPr>
        <w:tcBorders>
          <w:top w:val="single" w:sz="4" w:space="0" w:color="A1A1A1" w:themeColor="accent4"/>
          <w:bottom w:val="single" w:sz="4" w:space="0" w:color="A1A1A1"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1A1A1" w:themeColor="accent4"/>
          <w:left w:val="nil"/>
        </w:tcBorders>
      </w:tcPr>
    </w:tblStylePr>
    <w:tblStylePr w:type="swCell">
      <w:tblPr/>
      <w:tcPr>
        <w:tcBorders>
          <w:top w:val="double" w:sz="4" w:space="0" w:color="A1A1A1" w:themeColor="accent4"/>
          <w:right w:val="nil"/>
        </w:tcBorders>
      </w:tcPr>
    </w:tblStylePr>
  </w:style>
  <w:style w:type="table" w:styleId="ListTable3-Accent5">
    <w:name w:val="List Table 3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63D0DF" w:themeColor="accent5"/>
        <w:left w:val="single" w:sz="4" w:space="0" w:color="63D0DF" w:themeColor="accent5"/>
        <w:bottom w:val="single" w:sz="4" w:space="0" w:color="63D0DF" w:themeColor="accent5"/>
        <w:right w:val="single" w:sz="4" w:space="0" w:color="63D0DF" w:themeColor="accent5"/>
      </w:tblBorders>
      <w:tblCellMar>
        <w:top w:w="57" w:type="dxa"/>
        <w:left w:w="57" w:type="dxa"/>
        <w:bottom w:w="57" w:type="dxa"/>
        <w:right w:w="57" w:type="dxa"/>
      </w:tblCellMar>
    </w:tblPr>
    <w:tblStylePr w:type="firstRow">
      <w:rPr>
        <w:b/>
        <w:bCs/>
        <w:color w:val="FFFFFF" w:themeColor="background1"/>
      </w:rPr>
      <w:tblPr/>
      <w:tcPr>
        <w:shd w:val="clear" w:color="auto" w:fill="63D0DF" w:themeFill="accent5"/>
      </w:tcPr>
    </w:tblStylePr>
    <w:tblStylePr w:type="lastRow">
      <w:rPr>
        <w:b/>
        <w:bCs/>
      </w:rPr>
      <w:tblPr/>
      <w:tcPr>
        <w:tcBorders>
          <w:top w:val="double" w:sz="4" w:space="0" w:color="63D0DF"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3D0DF" w:themeColor="accent5"/>
          <w:right w:val="single" w:sz="4" w:space="0" w:color="63D0DF" w:themeColor="accent5"/>
        </w:tcBorders>
      </w:tcPr>
    </w:tblStylePr>
    <w:tblStylePr w:type="band1Horz">
      <w:tblPr/>
      <w:tcPr>
        <w:tcBorders>
          <w:top w:val="single" w:sz="4" w:space="0" w:color="63D0DF" w:themeColor="accent5"/>
          <w:bottom w:val="single" w:sz="4" w:space="0" w:color="63D0DF"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3D0DF" w:themeColor="accent5"/>
          <w:left w:val="nil"/>
        </w:tcBorders>
      </w:tcPr>
    </w:tblStylePr>
    <w:tblStylePr w:type="swCell">
      <w:tblPr/>
      <w:tcPr>
        <w:tcBorders>
          <w:top w:val="double" w:sz="4" w:space="0" w:color="63D0DF" w:themeColor="accent5"/>
          <w:right w:val="nil"/>
        </w:tcBorders>
      </w:tcPr>
    </w:tblStylePr>
  </w:style>
  <w:style w:type="table" w:styleId="ListTable3-Accent6">
    <w:name w:val="List Table 3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A1A1" w:themeColor="accent6"/>
        <w:left w:val="single" w:sz="4" w:space="0" w:color="A1A1A1" w:themeColor="accent6"/>
        <w:bottom w:val="single" w:sz="4" w:space="0" w:color="A1A1A1" w:themeColor="accent6"/>
        <w:right w:val="single" w:sz="4" w:space="0" w:color="A1A1A1" w:themeColor="accent6"/>
      </w:tblBorders>
      <w:tblCellMar>
        <w:top w:w="57" w:type="dxa"/>
        <w:left w:w="57" w:type="dxa"/>
        <w:bottom w:w="57" w:type="dxa"/>
        <w:right w:w="57" w:type="dxa"/>
      </w:tblCellMar>
    </w:tblPr>
    <w:tblStylePr w:type="firstRow">
      <w:rPr>
        <w:b/>
        <w:bCs/>
        <w:color w:val="FFFFFF" w:themeColor="background1"/>
      </w:rPr>
      <w:tblPr/>
      <w:tcPr>
        <w:shd w:val="clear" w:color="auto" w:fill="A1A1A1" w:themeFill="accent6"/>
      </w:tcPr>
    </w:tblStylePr>
    <w:tblStylePr w:type="lastRow">
      <w:rPr>
        <w:b/>
        <w:bCs/>
      </w:rPr>
      <w:tblPr/>
      <w:tcPr>
        <w:tcBorders>
          <w:top w:val="double" w:sz="4" w:space="0" w:color="A1A1A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1A1A1" w:themeColor="accent6"/>
          <w:right w:val="single" w:sz="4" w:space="0" w:color="A1A1A1" w:themeColor="accent6"/>
        </w:tcBorders>
      </w:tcPr>
    </w:tblStylePr>
    <w:tblStylePr w:type="band1Horz">
      <w:tblPr/>
      <w:tcPr>
        <w:tcBorders>
          <w:top w:val="single" w:sz="4" w:space="0" w:color="A1A1A1" w:themeColor="accent6"/>
          <w:bottom w:val="single" w:sz="4" w:space="0" w:color="A1A1A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1A1A1" w:themeColor="accent6"/>
          <w:left w:val="nil"/>
        </w:tcBorders>
      </w:tcPr>
    </w:tblStylePr>
    <w:tblStylePr w:type="swCell">
      <w:tblPr/>
      <w:tcPr>
        <w:tcBorders>
          <w:top w:val="double" w:sz="4" w:space="0" w:color="A1A1A1" w:themeColor="accent6"/>
          <w:right w:val="nil"/>
        </w:tcBorders>
      </w:tcPr>
    </w:tblStylePr>
  </w:style>
  <w:style w:type="table" w:styleId="ListTable4">
    <w:name w:val="List Table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1" w:themeTint="99"/>
        <w:left w:val="single" w:sz="4" w:space="0" w:color="A1E2EB" w:themeColor="accent1" w:themeTint="99"/>
        <w:bottom w:val="single" w:sz="4" w:space="0" w:color="A1E2EB" w:themeColor="accent1" w:themeTint="99"/>
        <w:right w:val="single" w:sz="4" w:space="0" w:color="A1E2EB" w:themeColor="accent1" w:themeTint="99"/>
        <w:insideH w:val="single" w:sz="4" w:space="0" w:color="A1E2EB" w:themeColor="accent1"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63D0DF" w:themeColor="accent1"/>
          <w:left w:val="single" w:sz="4" w:space="0" w:color="63D0DF" w:themeColor="accent1"/>
          <w:bottom w:val="single" w:sz="4" w:space="0" w:color="63D0DF" w:themeColor="accent1"/>
          <w:right w:val="single" w:sz="4" w:space="0" w:color="63D0DF" w:themeColor="accent1"/>
          <w:insideH w:val="nil"/>
        </w:tcBorders>
        <w:shd w:val="clear" w:color="auto" w:fill="63D0DF" w:themeFill="accent1"/>
      </w:tcPr>
    </w:tblStylePr>
    <w:tblStylePr w:type="lastRow">
      <w:rPr>
        <w:b/>
        <w:bCs/>
      </w:rPr>
      <w:tblPr/>
      <w:tcPr>
        <w:tcBorders>
          <w:top w:val="double" w:sz="4" w:space="0" w:color="A1E2EB" w:themeColor="accent1" w:themeTint="99"/>
        </w:tcBorders>
      </w:tc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ListTable4-Accent2">
    <w:name w:val="List Table 4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DEDEDF" w:themeColor="accent2" w:themeTint="99"/>
        <w:left w:val="single" w:sz="4" w:space="0" w:color="DEDEDF" w:themeColor="accent2" w:themeTint="99"/>
        <w:bottom w:val="single" w:sz="4" w:space="0" w:color="DEDEDF" w:themeColor="accent2" w:themeTint="99"/>
        <w:right w:val="single" w:sz="4" w:space="0" w:color="DEDEDF" w:themeColor="accent2" w:themeTint="99"/>
        <w:insideH w:val="single" w:sz="4" w:space="0" w:color="DEDEDF" w:themeColor="accent2"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C9C9CA" w:themeColor="accent2"/>
          <w:left w:val="single" w:sz="4" w:space="0" w:color="C9C9CA" w:themeColor="accent2"/>
          <w:bottom w:val="single" w:sz="4" w:space="0" w:color="C9C9CA" w:themeColor="accent2"/>
          <w:right w:val="single" w:sz="4" w:space="0" w:color="C9C9CA" w:themeColor="accent2"/>
          <w:insideH w:val="nil"/>
        </w:tcBorders>
        <w:shd w:val="clear" w:color="auto" w:fill="C9C9CA" w:themeFill="accent2"/>
      </w:tcPr>
    </w:tblStylePr>
    <w:tblStylePr w:type="lastRow">
      <w:rPr>
        <w:b/>
        <w:bCs/>
      </w:rPr>
      <w:tblPr/>
      <w:tcPr>
        <w:tcBorders>
          <w:top w:val="double" w:sz="4" w:space="0" w:color="DEDEDF" w:themeColor="accent2" w:themeTint="99"/>
        </w:tcBorders>
      </w:tc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ListTable4-Accent3">
    <w:name w:val="List Table 4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3" w:themeTint="99"/>
        <w:left w:val="single" w:sz="4" w:space="0" w:color="A1E2EB" w:themeColor="accent3" w:themeTint="99"/>
        <w:bottom w:val="single" w:sz="4" w:space="0" w:color="A1E2EB" w:themeColor="accent3" w:themeTint="99"/>
        <w:right w:val="single" w:sz="4" w:space="0" w:color="A1E2EB" w:themeColor="accent3" w:themeTint="99"/>
        <w:insideH w:val="single" w:sz="4" w:space="0" w:color="A1E2EB" w:themeColor="accent3"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63D0DF" w:themeColor="accent3"/>
          <w:left w:val="single" w:sz="4" w:space="0" w:color="63D0DF" w:themeColor="accent3"/>
          <w:bottom w:val="single" w:sz="4" w:space="0" w:color="63D0DF" w:themeColor="accent3"/>
          <w:right w:val="single" w:sz="4" w:space="0" w:color="63D0DF" w:themeColor="accent3"/>
          <w:insideH w:val="nil"/>
        </w:tcBorders>
        <w:shd w:val="clear" w:color="auto" w:fill="63D0DF" w:themeFill="accent3"/>
      </w:tcPr>
    </w:tblStylePr>
    <w:tblStylePr w:type="lastRow">
      <w:rPr>
        <w:b/>
        <w:bCs/>
      </w:rPr>
      <w:tblPr/>
      <w:tcPr>
        <w:tcBorders>
          <w:top w:val="double" w:sz="4" w:space="0" w:color="A1E2EB" w:themeColor="accent3" w:themeTint="99"/>
        </w:tcBorders>
      </w:tc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ListTable4-Accent4">
    <w:name w:val="List Table 4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4" w:themeTint="99"/>
        <w:left w:val="single" w:sz="4" w:space="0" w:color="C6C6C6" w:themeColor="accent4" w:themeTint="99"/>
        <w:bottom w:val="single" w:sz="4" w:space="0" w:color="C6C6C6" w:themeColor="accent4" w:themeTint="99"/>
        <w:right w:val="single" w:sz="4" w:space="0" w:color="C6C6C6" w:themeColor="accent4" w:themeTint="99"/>
        <w:insideH w:val="single" w:sz="4" w:space="0" w:color="C6C6C6" w:themeColor="accent4"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A1A1A1" w:themeColor="accent4"/>
          <w:left w:val="single" w:sz="4" w:space="0" w:color="A1A1A1" w:themeColor="accent4"/>
          <w:bottom w:val="single" w:sz="4" w:space="0" w:color="A1A1A1" w:themeColor="accent4"/>
          <w:right w:val="single" w:sz="4" w:space="0" w:color="A1A1A1" w:themeColor="accent4"/>
          <w:insideH w:val="nil"/>
        </w:tcBorders>
        <w:shd w:val="clear" w:color="auto" w:fill="A1A1A1" w:themeFill="accent4"/>
      </w:tcPr>
    </w:tblStylePr>
    <w:tblStylePr w:type="lastRow">
      <w:rPr>
        <w:b/>
        <w:bCs/>
      </w:rPr>
      <w:tblPr/>
      <w:tcPr>
        <w:tcBorders>
          <w:top w:val="double" w:sz="4" w:space="0" w:color="C6C6C6" w:themeColor="accent4" w:themeTint="99"/>
        </w:tcBorders>
      </w:tc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ListTable4-Accent5">
    <w:name w:val="List Table 4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5" w:themeTint="99"/>
        <w:left w:val="single" w:sz="4" w:space="0" w:color="A1E2EB" w:themeColor="accent5" w:themeTint="99"/>
        <w:bottom w:val="single" w:sz="4" w:space="0" w:color="A1E2EB" w:themeColor="accent5" w:themeTint="99"/>
        <w:right w:val="single" w:sz="4" w:space="0" w:color="A1E2EB" w:themeColor="accent5" w:themeTint="99"/>
        <w:insideH w:val="single" w:sz="4" w:space="0" w:color="A1E2EB" w:themeColor="accent5"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63D0DF" w:themeColor="accent5"/>
          <w:left w:val="single" w:sz="4" w:space="0" w:color="63D0DF" w:themeColor="accent5"/>
          <w:bottom w:val="single" w:sz="4" w:space="0" w:color="63D0DF" w:themeColor="accent5"/>
          <w:right w:val="single" w:sz="4" w:space="0" w:color="63D0DF" w:themeColor="accent5"/>
          <w:insideH w:val="nil"/>
        </w:tcBorders>
        <w:shd w:val="clear" w:color="auto" w:fill="63D0DF" w:themeFill="accent5"/>
      </w:tcPr>
    </w:tblStylePr>
    <w:tblStylePr w:type="lastRow">
      <w:rPr>
        <w:b/>
        <w:bCs/>
      </w:rPr>
      <w:tblPr/>
      <w:tcPr>
        <w:tcBorders>
          <w:top w:val="double" w:sz="4" w:space="0" w:color="A1E2EB" w:themeColor="accent5" w:themeTint="99"/>
        </w:tcBorders>
      </w:tc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ListTable4-Accent6">
    <w:name w:val="List Table 4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6" w:themeTint="99"/>
        <w:left w:val="single" w:sz="4" w:space="0" w:color="C6C6C6" w:themeColor="accent6" w:themeTint="99"/>
        <w:bottom w:val="single" w:sz="4" w:space="0" w:color="C6C6C6" w:themeColor="accent6" w:themeTint="99"/>
        <w:right w:val="single" w:sz="4" w:space="0" w:color="C6C6C6" w:themeColor="accent6" w:themeTint="99"/>
        <w:insideH w:val="single" w:sz="4" w:space="0" w:color="C6C6C6" w:themeColor="accent6"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A1A1A1" w:themeColor="accent6"/>
          <w:left w:val="single" w:sz="4" w:space="0" w:color="A1A1A1" w:themeColor="accent6"/>
          <w:bottom w:val="single" w:sz="4" w:space="0" w:color="A1A1A1" w:themeColor="accent6"/>
          <w:right w:val="single" w:sz="4" w:space="0" w:color="A1A1A1" w:themeColor="accent6"/>
          <w:insideH w:val="nil"/>
        </w:tcBorders>
        <w:shd w:val="clear" w:color="auto" w:fill="A1A1A1" w:themeFill="accent6"/>
      </w:tcPr>
    </w:tblStylePr>
    <w:tblStylePr w:type="lastRow">
      <w:rPr>
        <w:b/>
        <w:bCs/>
      </w:rPr>
      <w:tblPr/>
      <w:tcPr>
        <w:tcBorders>
          <w:top w:val="double" w:sz="4" w:space="0" w:color="C6C6C6" w:themeColor="accent6" w:themeTint="99"/>
        </w:tcBorders>
      </w:tc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ListTable5Dark">
    <w:name w:val="List Table 5 Dark"/>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CellMar>
        <w:top w:w="85" w:type="dxa"/>
        <w:left w:w="85" w:type="dxa"/>
        <w:bottom w:w="85" w:type="dxa"/>
        <w:right w:w="85" w:type="dxa"/>
      </w:tblCellMar>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63D0DF" w:themeColor="accent1"/>
        <w:left w:val="single" w:sz="24" w:space="0" w:color="63D0DF" w:themeColor="accent1"/>
        <w:bottom w:val="single" w:sz="24" w:space="0" w:color="63D0DF" w:themeColor="accent1"/>
        <w:right w:val="single" w:sz="24" w:space="0" w:color="63D0DF" w:themeColor="accent1"/>
      </w:tblBorders>
      <w:tblCellMar>
        <w:top w:w="85" w:type="dxa"/>
        <w:left w:w="85" w:type="dxa"/>
        <w:bottom w:w="85" w:type="dxa"/>
        <w:right w:w="85" w:type="dxa"/>
      </w:tblCellMar>
    </w:tblPr>
    <w:tcPr>
      <w:shd w:val="clear" w:color="auto" w:fill="63D0D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C9C9CA" w:themeColor="accent2"/>
        <w:left w:val="single" w:sz="24" w:space="0" w:color="C9C9CA" w:themeColor="accent2"/>
        <w:bottom w:val="single" w:sz="24" w:space="0" w:color="C9C9CA" w:themeColor="accent2"/>
        <w:right w:val="single" w:sz="24" w:space="0" w:color="C9C9CA" w:themeColor="accent2"/>
      </w:tblBorders>
      <w:tblCellMar>
        <w:top w:w="85" w:type="dxa"/>
        <w:left w:w="85" w:type="dxa"/>
        <w:bottom w:w="85" w:type="dxa"/>
        <w:right w:w="85" w:type="dxa"/>
      </w:tblCellMar>
    </w:tblPr>
    <w:tcPr>
      <w:shd w:val="clear" w:color="auto" w:fill="C9C9CA"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63D0DF" w:themeColor="accent3"/>
        <w:left w:val="single" w:sz="24" w:space="0" w:color="63D0DF" w:themeColor="accent3"/>
        <w:bottom w:val="single" w:sz="24" w:space="0" w:color="63D0DF" w:themeColor="accent3"/>
        <w:right w:val="single" w:sz="24" w:space="0" w:color="63D0DF" w:themeColor="accent3"/>
      </w:tblBorders>
      <w:tblCellMar>
        <w:top w:w="85" w:type="dxa"/>
        <w:left w:w="85" w:type="dxa"/>
        <w:bottom w:w="85" w:type="dxa"/>
        <w:right w:w="85" w:type="dxa"/>
      </w:tblCellMar>
    </w:tblPr>
    <w:tcPr>
      <w:shd w:val="clear" w:color="auto" w:fill="63D0D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A1A1A1" w:themeColor="accent4"/>
        <w:left w:val="single" w:sz="24" w:space="0" w:color="A1A1A1" w:themeColor="accent4"/>
        <w:bottom w:val="single" w:sz="24" w:space="0" w:color="A1A1A1" w:themeColor="accent4"/>
        <w:right w:val="single" w:sz="24" w:space="0" w:color="A1A1A1" w:themeColor="accent4"/>
      </w:tblBorders>
      <w:tblCellMar>
        <w:top w:w="85" w:type="dxa"/>
        <w:left w:w="85" w:type="dxa"/>
        <w:bottom w:w="85" w:type="dxa"/>
        <w:right w:w="85" w:type="dxa"/>
      </w:tblCellMar>
    </w:tblPr>
    <w:tcPr>
      <w:shd w:val="clear" w:color="auto" w:fill="A1A1A1"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63D0DF" w:themeColor="accent5"/>
        <w:left w:val="single" w:sz="24" w:space="0" w:color="63D0DF" w:themeColor="accent5"/>
        <w:bottom w:val="single" w:sz="24" w:space="0" w:color="63D0DF" w:themeColor="accent5"/>
        <w:right w:val="single" w:sz="24" w:space="0" w:color="63D0DF" w:themeColor="accent5"/>
      </w:tblBorders>
      <w:tblCellMar>
        <w:top w:w="85" w:type="dxa"/>
        <w:left w:w="85" w:type="dxa"/>
        <w:bottom w:w="85" w:type="dxa"/>
        <w:right w:w="85" w:type="dxa"/>
      </w:tblCellMar>
    </w:tblPr>
    <w:tcPr>
      <w:shd w:val="clear" w:color="auto" w:fill="63D0DF"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A1A1A1" w:themeColor="accent6"/>
        <w:left w:val="single" w:sz="24" w:space="0" w:color="A1A1A1" w:themeColor="accent6"/>
        <w:bottom w:val="single" w:sz="24" w:space="0" w:color="A1A1A1" w:themeColor="accent6"/>
        <w:right w:val="single" w:sz="24" w:space="0" w:color="A1A1A1" w:themeColor="accent6"/>
      </w:tblBorders>
      <w:tblCellMar>
        <w:top w:w="85" w:type="dxa"/>
        <w:left w:w="85" w:type="dxa"/>
        <w:bottom w:w="85" w:type="dxa"/>
        <w:right w:w="85" w:type="dxa"/>
      </w:tblCellMar>
    </w:tblPr>
    <w:tcPr>
      <w:shd w:val="clear" w:color="auto" w:fill="A1A1A1"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98"/>
    <w:semiHidden/>
    <w:rsid w:val="00573428"/>
    <w:rPr>
      <w:rFonts w:asciiTheme="minorHAnsi" w:eastAsia="Century Gothic" w:hAnsiTheme="minorHAnsi" w:cstheme="minorBidi"/>
      <w:color w:val="000000" w:themeColor="text1"/>
      <w:lang w:eastAsia="en-US"/>
    </w:rPr>
    <w:tblPr>
      <w:tblStyleRowBandSize w:val="1"/>
      <w:tblStyleColBandSize w:val="1"/>
      <w:tblBorders>
        <w:top w:val="single" w:sz="4" w:space="0" w:color="000000" w:themeColor="text1"/>
        <w:bottom w:val="single" w:sz="4" w:space="0" w:color="000000" w:themeColor="text1"/>
      </w:tblBorders>
      <w:tblCellMar>
        <w:top w:w="57" w:type="dxa"/>
        <w:left w:w="57" w:type="dxa"/>
        <w:bottom w:w="57" w:type="dxa"/>
        <w:right w:w="57"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98"/>
    <w:semiHidden/>
    <w:rsid w:val="00573428"/>
    <w:rPr>
      <w:rFonts w:asciiTheme="minorHAnsi" w:eastAsia="Century Gothic" w:hAnsiTheme="minorHAnsi" w:cstheme="minorBidi"/>
      <w:color w:val="29B4C7" w:themeColor="accent1" w:themeShade="BF"/>
      <w:lang w:eastAsia="en-US"/>
    </w:rPr>
    <w:tblPr>
      <w:tblStyleRowBandSize w:val="1"/>
      <w:tblStyleColBandSize w:val="1"/>
      <w:tblBorders>
        <w:top w:val="single" w:sz="4" w:space="0" w:color="63D0DF" w:themeColor="accent1"/>
        <w:bottom w:val="single" w:sz="4" w:space="0" w:color="63D0DF" w:themeColor="accent1"/>
      </w:tblBorders>
      <w:tblCellMar>
        <w:top w:w="57" w:type="dxa"/>
        <w:left w:w="57" w:type="dxa"/>
        <w:bottom w:w="57" w:type="dxa"/>
        <w:right w:w="57" w:type="dxa"/>
      </w:tblCellMar>
    </w:tblPr>
    <w:tblStylePr w:type="firstRow">
      <w:rPr>
        <w:b/>
        <w:bCs/>
      </w:rPr>
      <w:tblPr/>
      <w:tcPr>
        <w:tcBorders>
          <w:bottom w:val="single" w:sz="4" w:space="0" w:color="63D0DF" w:themeColor="accent1"/>
        </w:tcBorders>
      </w:tcPr>
    </w:tblStylePr>
    <w:tblStylePr w:type="lastRow">
      <w:rPr>
        <w:b/>
        <w:bCs/>
      </w:rPr>
      <w:tblPr/>
      <w:tcPr>
        <w:tcBorders>
          <w:top w:val="double" w:sz="4" w:space="0" w:color="63D0DF" w:themeColor="accent1"/>
        </w:tcBorders>
      </w:tc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ListTable6Colorful-Accent2">
    <w:name w:val="List Table 6 Colorful Accent 2"/>
    <w:basedOn w:val="TableNormal"/>
    <w:uiPriority w:val="98"/>
    <w:semiHidden/>
    <w:rsid w:val="00573428"/>
    <w:rPr>
      <w:rFonts w:asciiTheme="minorHAnsi" w:eastAsia="Century Gothic" w:hAnsiTheme="minorHAnsi" w:cstheme="minorBidi"/>
      <w:color w:val="959597" w:themeColor="accent2" w:themeShade="BF"/>
      <w:lang w:eastAsia="en-US"/>
    </w:rPr>
    <w:tblPr>
      <w:tblStyleRowBandSize w:val="1"/>
      <w:tblStyleColBandSize w:val="1"/>
      <w:tblBorders>
        <w:top w:val="single" w:sz="4" w:space="0" w:color="C9C9CA" w:themeColor="accent2"/>
        <w:bottom w:val="single" w:sz="4" w:space="0" w:color="C9C9CA" w:themeColor="accent2"/>
      </w:tblBorders>
      <w:tblCellMar>
        <w:top w:w="57" w:type="dxa"/>
        <w:left w:w="57" w:type="dxa"/>
        <w:bottom w:w="57" w:type="dxa"/>
        <w:right w:w="57" w:type="dxa"/>
      </w:tblCellMar>
    </w:tblPr>
    <w:tblStylePr w:type="firstRow">
      <w:rPr>
        <w:b/>
        <w:bCs/>
      </w:rPr>
      <w:tblPr/>
      <w:tcPr>
        <w:tcBorders>
          <w:bottom w:val="single" w:sz="4" w:space="0" w:color="C9C9CA" w:themeColor="accent2"/>
        </w:tcBorders>
      </w:tcPr>
    </w:tblStylePr>
    <w:tblStylePr w:type="lastRow">
      <w:rPr>
        <w:b/>
        <w:bCs/>
      </w:rPr>
      <w:tblPr/>
      <w:tcPr>
        <w:tcBorders>
          <w:top w:val="double" w:sz="4" w:space="0" w:color="C9C9CA" w:themeColor="accent2"/>
        </w:tcBorders>
      </w:tc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ListTable6Colorful-Accent3">
    <w:name w:val="List Table 6 Colorful Accent 3"/>
    <w:basedOn w:val="TableNormal"/>
    <w:uiPriority w:val="98"/>
    <w:semiHidden/>
    <w:rsid w:val="00573428"/>
    <w:rPr>
      <w:rFonts w:asciiTheme="minorHAnsi" w:eastAsia="Century Gothic" w:hAnsiTheme="minorHAnsi" w:cstheme="minorBidi"/>
      <w:color w:val="29B4C7" w:themeColor="accent3" w:themeShade="BF"/>
      <w:lang w:eastAsia="en-US"/>
    </w:rPr>
    <w:tblPr>
      <w:tblStyleRowBandSize w:val="1"/>
      <w:tblStyleColBandSize w:val="1"/>
      <w:tblBorders>
        <w:top w:val="single" w:sz="4" w:space="0" w:color="63D0DF" w:themeColor="accent3"/>
        <w:bottom w:val="single" w:sz="4" w:space="0" w:color="63D0DF" w:themeColor="accent3"/>
      </w:tblBorders>
      <w:tblCellMar>
        <w:top w:w="57" w:type="dxa"/>
        <w:left w:w="57" w:type="dxa"/>
        <w:bottom w:w="57" w:type="dxa"/>
        <w:right w:w="57" w:type="dxa"/>
      </w:tblCellMar>
    </w:tblPr>
    <w:tblStylePr w:type="firstRow">
      <w:rPr>
        <w:b/>
        <w:bCs/>
      </w:rPr>
      <w:tblPr/>
      <w:tcPr>
        <w:tcBorders>
          <w:bottom w:val="single" w:sz="4" w:space="0" w:color="63D0DF" w:themeColor="accent3"/>
        </w:tcBorders>
      </w:tcPr>
    </w:tblStylePr>
    <w:tblStylePr w:type="lastRow">
      <w:rPr>
        <w:b/>
        <w:bCs/>
      </w:rPr>
      <w:tblPr/>
      <w:tcPr>
        <w:tcBorders>
          <w:top w:val="double" w:sz="4" w:space="0" w:color="63D0DF" w:themeColor="accent3"/>
        </w:tcBorders>
      </w:tc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ListTable6Colorful-Accent4">
    <w:name w:val="List Table 6 Colorful Accent 4"/>
    <w:basedOn w:val="TableNormal"/>
    <w:uiPriority w:val="98"/>
    <w:semiHidden/>
    <w:rsid w:val="00573428"/>
    <w:rPr>
      <w:rFonts w:asciiTheme="minorHAnsi" w:eastAsia="Century Gothic" w:hAnsiTheme="minorHAnsi" w:cstheme="minorBidi"/>
      <w:color w:val="787878" w:themeColor="accent4" w:themeShade="BF"/>
      <w:lang w:eastAsia="en-US"/>
    </w:rPr>
    <w:tblPr>
      <w:tblStyleRowBandSize w:val="1"/>
      <w:tblStyleColBandSize w:val="1"/>
      <w:tblBorders>
        <w:top w:val="single" w:sz="4" w:space="0" w:color="A1A1A1" w:themeColor="accent4"/>
        <w:bottom w:val="single" w:sz="4" w:space="0" w:color="A1A1A1" w:themeColor="accent4"/>
      </w:tblBorders>
      <w:tblCellMar>
        <w:top w:w="57" w:type="dxa"/>
        <w:left w:w="57" w:type="dxa"/>
        <w:bottom w:w="57" w:type="dxa"/>
        <w:right w:w="57" w:type="dxa"/>
      </w:tblCellMar>
    </w:tblPr>
    <w:tblStylePr w:type="firstRow">
      <w:rPr>
        <w:b/>
        <w:bCs/>
      </w:rPr>
      <w:tblPr/>
      <w:tcPr>
        <w:tcBorders>
          <w:bottom w:val="single" w:sz="4" w:space="0" w:color="A1A1A1" w:themeColor="accent4"/>
        </w:tcBorders>
      </w:tcPr>
    </w:tblStylePr>
    <w:tblStylePr w:type="lastRow">
      <w:rPr>
        <w:b/>
        <w:bCs/>
      </w:rPr>
      <w:tblPr/>
      <w:tcPr>
        <w:tcBorders>
          <w:top w:val="double" w:sz="4" w:space="0" w:color="A1A1A1" w:themeColor="accent4"/>
        </w:tcBorders>
      </w:tc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ListTable6Colorful-Accent5">
    <w:name w:val="List Table 6 Colorful Accent 5"/>
    <w:basedOn w:val="TableNormal"/>
    <w:uiPriority w:val="98"/>
    <w:semiHidden/>
    <w:rsid w:val="00573428"/>
    <w:rPr>
      <w:rFonts w:asciiTheme="minorHAnsi" w:eastAsia="Century Gothic" w:hAnsiTheme="minorHAnsi" w:cstheme="minorBidi"/>
      <w:color w:val="29B4C7" w:themeColor="accent5" w:themeShade="BF"/>
      <w:lang w:eastAsia="en-US"/>
    </w:rPr>
    <w:tblPr>
      <w:tblStyleRowBandSize w:val="1"/>
      <w:tblStyleColBandSize w:val="1"/>
      <w:tblBorders>
        <w:top w:val="single" w:sz="4" w:space="0" w:color="63D0DF" w:themeColor="accent5"/>
        <w:bottom w:val="single" w:sz="4" w:space="0" w:color="63D0DF" w:themeColor="accent5"/>
      </w:tblBorders>
      <w:tblCellMar>
        <w:top w:w="57" w:type="dxa"/>
        <w:left w:w="57" w:type="dxa"/>
        <w:bottom w:w="57" w:type="dxa"/>
        <w:right w:w="57" w:type="dxa"/>
      </w:tblCellMar>
    </w:tblPr>
    <w:tblStylePr w:type="firstRow">
      <w:rPr>
        <w:b/>
        <w:bCs/>
      </w:rPr>
      <w:tblPr/>
      <w:tcPr>
        <w:tcBorders>
          <w:bottom w:val="single" w:sz="4" w:space="0" w:color="63D0DF" w:themeColor="accent5"/>
        </w:tcBorders>
      </w:tcPr>
    </w:tblStylePr>
    <w:tblStylePr w:type="lastRow">
      <w:rPr>
        <w:b/>
        <w:bCs/>
      </w:rPr>
      <w:tblPr/>
      <w:tcPr>
        <w:tcBorders>
          <w:top w:val="double" w:sz="4" w:space="0" w:color="63D0DF" w:themeColor="accent5"/>
        </w:tcBorders>
      </w:tc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ListTable6Colorful-Accent6">
    <w:name w:val="List Table 6 Colorful Accent 6"/>
    <w:basedOn w:val="TableNormal"/>
    <w:uiPriority w:val="98"/>
    <w:semiHidden/>
    <w:rsid w:val="00573428"/>
    <w:rPr>
      <w:rFonts w:asciiTheme="minorHAnsi" w:eastAsia="Century Gothic" w:hAnsiTheme="minorHAnsi" w:cstheme="minorBidi"/>
      <w:color w:val="787878" w:themeColor="accent6" w:themeShade="BF"/>
      <w:lang w:eastAsia="en-US"/>
    </w:rPr>
    <w:tblPr>
      <w:tblStyleRowBandSize w:val="1"/>
      <w:tblStyleColBandSize w:val="1"/>
      <w:tblBorders>
        <w:top w:val="single" w:sz="4" w:space="0" w:color="A1A1A1" w:themeColor="accent6"/>
        <w:bottom w:val="single" w:sz="4" w:space="0" w:color="A1A1A1" w:themeColor="accent6"/>
      </w:tblBorders>
      <w:tblCellMar>
        <w:top w:w="57" w:type="dxa"/>
        <w:left w:w="57" w:type="dxa"/>
        <w:bottom w:w="57" w:type="dxa"/>
        <w:right w:w="57" w:type="dxa"/>
      </w:tblCellMar>
    </w:tblPr>
    <w:tblStylePr w:type="firstRow">
      <w:rPr>
        <w:b/>
        <w:bCs/>
      </w:rPr>
      <w:tblPr/>
      <w:tcPr>
        <w:tcBorders>
          <w:bottom w:val="single" w:sz="4" w:space="0" w:color="A1A1A1" w:themeColor="accent6"/>
        </w:tcBorders>
      </w:tcPr>
    </w:tblStylePr>
    <w:tblStylePr w:type="lastRow">
      <w:rPr>
        <w:b/>
        <w:bCs/>
      </w:rPr>
      <w:tblPr/>
      <w:tcPr>
        <w:tcBorders>
          <w:top w:val="double" w:sz="4" w:space="0" w:color="A1A1A1" w:themeColor="accent6"/>
        </w:tcBorders>
      </w:tc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ListTable7Colorful">
    <w:name w:val="List Table 7 Colorful"/>
    <w:basedOn w:val="TableNormal"/>
    <w:uiPriority w:val="98"/>
    <w:semiHidden/>
    <w:rsid w:val="00573428"/>
    <w:rPr>
      <w:rFonts w:asciiTheme="minorHAnsi" w:eastAsia="Century Gothic" w:hAnsiTheme="minorHAnsi" w:cstheme="minorBidi"/>
      <w:color w:val="000000" w:themeColor="text1"/>
      <w:lang w:eastAsia="en-US"/>
    </w:rPr>
    <w:tblPr>
      <w:tblStyleRowBandSize w:val="1"/>
      <w:tblStyleColBandSize w:val="1"/>
      <w:tblCellMar>
        <w:top w:w="57" w:type="dxa"/>
        <w:left w:w="57" w:type="dxa"/>
        <w:bottom w:w="57" w:type="dxa"/>
        <w:right w:w="170" w:type="dxa"/>
      </w:tblCellMar>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98"/>
    <w:semiHidden/>
    <w:rsid w:val="00573428"/>
    <w:rPr>
      <w:rFonts w:asciiTheme="minorHAnsi" w:eastAsia="Century Gothic" w:hAnsiTheme="minorHAnsi" w:cstheme="minorBidi"/>
      <w:color w:val="29B4C7" w:themeColor="accent1" w:themeShade="BF"/>
      <w:lang w:eastAsia="en-US"/>
    </w:rPr>
    <w:tblPr>
      <w:tblStyleRowBandSize w:val="1"/>
      <w:tblStyleColBandSize w:val="1"/>
      <w:tblCellMar>
        <w:top w:w="57" w:type="dxa"/>
        <w:left w:w="57" w:type="dxa"/>
        <w:bottom w:w="57" w:type="dxa"/>
        <w:right w:w="170" w:type="dxa"/>
      </w:tblCellMar>
    </w:tblPr>
    <w:tblStylePr w:type="firstRow">
      <w:rPr>
        <w:rFonts w:asciiTheme="majorHAnsi" w:eastAsiaTheme="majorEastAsia" w:hAnsiTheme="majorHAnsi" w:cstheme="majorBidi"/>
        <w:i/>
        <w:iCs/>
        <w:sz w:val="26"/>
      </w:rPr>
      <w:tblPr/>
      <w:tcPr>
        <w:tcBorders>
          <w:bottom w:val="single" w:sz="4" w:space="0" w:color="63D0D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3D0D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3D0D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3D0DF" w:themeColor="accent1"/>
        </w:tcBorders>
        <w:shd w:val="clear" w:color="auto" w:fill="FFFFFF" w:themeFill="background1"/>
      </w:tcPr>
    </w:tblStylePr>
    <w:tblStylePr w:type="band1Vert">
      <w:tblPr/>
      <w:tcPr>
        <w:shd w:val="clear" w:color="auto" w:fill="DFF5F8" w:themeFill="accent1" w:themeFillTint="33"/>
      </w:tcPr>
    </w:tblStylePr>
    <w:tblStylePr w:type="band1Horz">
      <w:tblPr/>
      <w:tcPr>
        <w:shd w:val="clear" w:color="auto" w:fill="DFF5F8"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98"/>
    <w:semiHidden/>
    <w:rsid w:val="00573428"/>
    <w:rPr>
      <w:rFonts w:asciiTheme="minorHAnsi" w:eastAsia="Century Gothic" w:hAnsiTheme="minorHAnsi" w:cstheme="minorBidi"/>
      <w:color w:val="959597" w:themeColor="accent2" w:themeShade="BF"/>
      <w:lang w:eastAsia="en-US"/>
    </w:rPr>
    <w:tblPr>
      <w:tblStyleRowBandSize w:val="1"/>
      <w:tblStyleColBandSize w:val="1"/>
      <w:tblCellMar>
        <w:top w:w="57" w:type="dxa"/>
        <w:left w:w="57" w:type="dxa"/>
        <w:bottom w:w="57" w:type="dxa"/>
        <w:right w:w="170" w:type="dxa"/>
      </w:tblCellMar>
    </w:tblPr>
    <w:tblStylePr w:type="firstRow">
      <w:rPr>
        <w:rFonts w:asciiTheme="majorHAnsi" w:eastAsiaTheme="majorEastAsia" w:hAnsiTheme="majorHAnsi" w:cstheme="majorBidi"/>
        <w:i/>
        <w:iCs/>
        <w:sz w:val="26"/>
      </w:rPr>
      <w:tblPr/>
      <w:tcPr>
        <w:tcBorders>
          <w:bottom w:val="single" w:sz="4" w:space="0" w:color="C9C9CA"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9C9CA"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9C9CA"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9C9CA" w:themeColor="accent2"/>
        </w:tcBorders>
        <w:shd w:val="clear" w:color="auto" w:fill="FFFFFF" w:themeFill="background1"/>
      </w:tcPr>
    </w:tblStylePr>
    <w:tblStylePr w:type="band1Vert">
      <w:tblPr/>
      <w:tcPr>
        <w:shd w:val="clear" w:color="auto" w:fill="F4F4F4" w:themeFill="accent2" w:themeFillTint="33"/>
      </w:tcPr>
    </w:tblStylePr>
    <w:tblStylePr w:type="band1Horz">
      <w:tblPr/>
      <w:tcPr>
        <w:shd w:val="clear" w:color="auto" w:fill="F4F4F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98"/>
    <w:semiHidden/>
    <w:rsid w:val="00573428"/>
    <w:rPr>
      <w:rFonts w:asciiTheme="minorHAnsi" w:eastAsia="Century Gothic" w:hAnsiTheme="minorHAnsi" w:cstheme="minorBidi"/>
      <w:color w:val="29B4C7" w:themeColor="accent3" w:themeShade="BF"/>
      <w:lang w:eastAsia="en-US"/>
    </w:rPr>
    <w:tblPr>
      <w:tblStyleRowBandSize w:val="1"/>
      <w:tblStyleColBandSize w:val="1"/>
      <w:tblCellMar>
        <w:top w:w="57" w:type="dxa"/>
        <w:left w:w="57" w:type="dxa"/>
        <w:bottom w:w="57" w:type="dxa"/>
        <w:right w:w="170" w:type="dxa"/>
      </w:tblCellMar>
    </w:tblPr>
    <w:tblStylePr w:type="firstRow">
      <w:rPr>
        <w:rFonts w:asciiTheme="majorHAnsi" w:eastAsiaTheme="majorEastAsia" w:hAnsiTheme="majorHAnsi" w:cstheme="majorBidi"/>
        <w:i/>
        <w:iCs/>
        <w:sz w:val="26"/>
      </w:rPr>
      <w:tblPr/>
      <w:tcPr>
        <w:tcBorders>
          <w:bottom w:val="single" w:sz="4" w:space="0" w:color="63D0D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3D0D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3D0D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3D0DF" w:themeColor="accent3"/>
        </w:tcBorders>
        <w:shd w:val="clear" w:color="auto" w:fill="FFFFFF" w:themeFill="background1"/>
      </w:tcPr>
    </w:tblStylePr>
    <w:tblStylePr w:type="band1Vert">
      <w:tblPr/>
      <w:tcPr>
        <w:shd w:val="clear" w:color="auto" w:fill="DFF5F8" w:themeFill="accent3" w:themeFillTint="33"/>
      </w:tcPr>
    </w:tblStylePr>
    <w:tblStylePr w:type="band1Horz">
      <w:tblPr/>
      <w:tcPr>
        <w:shd w:val="clear" w:color="auto" w:fill="DFF5F8"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98"/>
    <w:semiHidden/>
    <w:rsid w:val="00573428"/>
    <w:rPr>
      <w:rFonts w:asciiTheme="minorHAnsi" w:eastAsia="Century Gothic" w:hAnsiTheme="minorHAnsi" w:cstheme="minorBidi"/>
      <w:color w:val="787878" w:themeColor="accent4" w:themeShade="BF"/>
      <w:lang w:eastAsia="en-US"/>
    </w:rPr>
    <w:tblPr>
      <w:tblStyleRowBandSize w:val="1"/>
      <w:tblStyleColBandSize w:val="1"/>
      <w:tblCellMar>
        <w:top w:w="57" w:type="dxa"/>
        <w:left w:w="57" w:type="dxa"/>
        <w:bottom w:w="57" w:type="dxa"/>
        <w:right w:w="170" w:type="dxa"/>
      </w:tblCellMar>
    </w:tblPr>
    <w:tblStylePr w:type="firstRow">
      <w:rPr>
        <w:rFonts w:asciiTheme="majorHAnsi" w:eastAsiaTheme="majorEastAsia" w:hAnsiTheme="majorHAnsi" w:cstheme="majorBidi"/>
        <w:i/>
        <w:iCs/>
        <w:sz w:val="26"/>
      </w:rPr>
      <w:tblPr/>
      <w:tcPr>
        <w:tcBorders>
          <w:bottom w:val="single" w:sz="4" w:space="0" w:color="A1A1A1"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1A1A1"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1A1A1"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1A1A1" w:themeColor="accent4"/>
        </w:tcBorders>
        <w:shd w:val="clear" w:color="auto" w:fill="FFFFFF" w:themeFill="background1"/>
      </w:tcPr>
    </w:tblStylePr>
    <w:tblStylePr w:type="band1Vert">
      <w:tblPr/>
      <w:tcPr>
        <w:shd w:val="clear" w:color="auto" w:fill="ECECEC" w:themeFill="accent4" w:themeFillTint="33"/>
      </w:tcPr>
    </w:tblStylePr>
    <w:tblStylePr w:type="band1Horz">
      <w:tblPr/>
      <w:tcPr>
        <w:shd w:val="clear" w:color="auto" w:fill="ECEC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98"/>
    <w:semiHidden/>
    <w:rsid w:val="00573428"/>
    <w:rPr>
      <w:rFonts w:asciiTheme="minorHAnsi" w:eastAsia="Century Gothic" w:hAnsiTheme="minorHAnsi" w:cstheme="minorBidi"/>
      <w:color w:val="29B4C7" w:themeColor="accent5" w:themeShade="BF"/>
      <w:lang w:eastAsia="en-US"/>
    </w:rPr>
    <w:tblPr>
      <w:tblStyleRowBandSize w:val="1"/>
      <w:tblStyleColBandSize w:val="1"/>
      <w:tblCellMar>
        <w:top w:w="57" w:type="dxa"/>
        <w:left w:w="57" w:type="dxa"/>
        <w:bottom w:w="57" w:type="dxa"/>
        <w:right w:w="170" w:type="dxa"/>
      </w:tblCellMar>
    </w:tblPr>
    <w:tblStylePr w:type="firstRow">
      <w:rPr>
        <w:rFonts w:asciiTheme="majorHAnsi" w:eastAsiaTheme="majorEastAsia" w:hAnsiTheme="majorHAnsi" w:cstheme="majorBidi"/>
        <w:i/>
        <w:iCs/>
        <w:sz w:val="26"/>
      </w:rPr>
      <w:tblPr/>
      <w:tcPr>
        <w:tcBorders>
          <w:bottom w:val="single" w:sz="4" w:space="0" w:color="63D0DF"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3D0DF"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3D0DF"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3D0DF" w:themeColor="accent5"/>
        </w:tcBorders>
        <w:shd w:val="clear" w:color="auto" w:fill="FFFFFF" w:themeFill="background1"/>
      </w:tcPr>
    </w:tblStylePr>
    <w:tblStylePr w:type="band1Vert">
      <w:tblPr/>
      <w:tcPr>
        <w:shd w:val="clear" w:color="auto" w:fill="DFF5F8" w:themeFill="accent5" w:themeFillTint="33"/>
      </w:tcPr>
    </w:tblStylePr>
    <w:tblStylePr w:type="band1Horz">
      <w:tblPr/>
      <w:tcPr>
        <w:shd w:val="clear" w:color="auto" w:fill="DFF5F8"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1">
    <w:name w:val="Plain Table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left w:w="57" w:type="dxa"/>
        <w:bottom w:w="57" w:type="dxa"/>
        <w:right w:w="57"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7F7F7F" w:themeColor="text1" w:themeTint="80"/>
        <w:bottom w:val="single" w:sz="4" w:space="0" w:color="7F7F7F" w:themeColor="text1" w:themeTint="80"/>
      </w:tblBorders>
      <w:tblCellMar>
        <w:top w:w="57" w:type="dxa"/>
        <w:left w:w="57" w:type="dxa"/>
        <w:bottom w:w="57" w:type="dxa"/>
        <w:right w:w="57"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113"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Bullet2">
    <w:name w:val="List Bullet 2"/>
    <w:basedOn w:val="Normal"/>
    <w:uiPriority w:val="3"/>
    <w:rsid w:val="00596177"/>
    <w:pPr>
      <w:tabs>
        <w:tab w:val="num" w:pos="567"/>
      </w:tabs>
      <w:spacing w:after="120"/>
      <w:ind w:left="568" w:hanging="284"/>
    </w:pPr>
    <w:rPr>
      <w:rFonts w:eastAsia="Century Gothic" w:cstheme="minorBidi"/>
      <w:szCs w:val="20"/>
      <w:lang w:eastAsia="en-US"/>
    </w:rPr>
  </w:style>
  <w:style w:type="paragraph" w:styleId="ListBullet3">
    <w:name w:val="List Bullet 3"/>
    <w:basedOn w:val="Normal"/>
    <w:uiPriority w:val="3"/>
    <w:rsid w:val="00596177"/>
    <w:pPr>
      <w:tabs>
        <w:tab w:val="num" w:pos="851"/>
      </w:tabs>
      <w:spacing w:after="120"/>
      <w:ind w:left="852" w:hanging="284"/>
    </w:pPr>
    <w:rPr>
      <w:rFonts w:eastAsia="Century Gothic" w:cstheme="minorBidi"/>
      <w:szCs w:val="20"/>
      <w:lang w:eastAsia="en-US"/>
    </w:rPr>
  </w:style>
  <w:style w:type="paragraph" w:styleId="ListBullet4">
    <w:name w:val="List Bullet 4"/>
    <w:basedOn w:val="Normal"/>
    <w:uiPriority w:val="3"/>
    <w:semiHidden/>
    <w:unhideWhenUsed/>
    <w:rsid w:val="00B664EA"/>
    <w:pPr>
      <w:numPr>
        <w:ilvl w:val="3"/>
        <w:numId w:val="4"/>
      </w:numPr>
      <w:spacing w:after="100" w:line="240" w:lineRule="auto"/>
      <w:contextualSpacing/>
    </w:pPr>
    <w:rPr>
      <w:rFonts w:eastAsia="Century Gothic" w:cstheme="minorBidi"/>
      <w:szCs w:val="20"/>
      <w:lang w:eastAsia="en-US"/>
    </w:rPr>
  </w:style>
  <w:style w:type="paragraph" w:styleId="ListBullet5">
    <w:name w:val="List Bullet 5"/>
    <w:basedOn w:val="Normal"/>
    <w:uiPriority w:val="3"/>
    <w:semiHidden/>
    <w:unhideWhenUsed/>
    <w:rsid w:val="00B664EA"/>
    <w:pPr>
      <w:numPr>
        <w:ilvl w:val="4"/>
        <w:numId w:val="5"/>
      </w:numPr>
      <w:spacing w:after="100" w:line="240" w:lineRule="auto"/>
      <w:contextualSpacing/>
    </w:pPr>
    <w:rPr>
      <w:rFonts w:eastAsia="Century Gothic" w:cstheme="minorBidi"/>
      <w:szCs w:val="20"/>
      <w:lang w:eastAsia="en-US"/>
    </w:rPr>
  </w:style>
  <w:style w:type="character" w:customStyle="1" w:styleId="Heading1Char">
    <w:name w:val="Heading 1 Char"/>
    <w:basedOn w:val="DefaultParagraphFont"/>
    <w:link w:val="Heading1"/>
    <w:uiPriority w:val="1"/>
    <w:rsid w:val="003A5075"/>
    <w:rPr>
      <w:rFonts w:asciiTheme="minorHAnsi" w:eastAsiaTheme="majorEastAsia" w:hAnsiTheme="minorHAnsi" w:cs="Calibri"/>
      <w:bCs/>
      <w:iCs/>
      <w:caps/>
      <w:color w:val="1D336D" w:themeColor="background2"/>
      <w:sz w:val="32"/>
      <w:szCs w:val="28"/>
    </w:rPr>
  </w:style>
  <w:style w:type="paragraph" w:customStyle="1" w:styleId="TableText">
    <w:name w:val="Table Text"/>
    <w:basedOn w:val="Normal"/>
    <w:uiPriority w:val="9"/>
    <w:qFormat/>
    <w:rsid w:val="00C4534E"/>
    <w:pPr>
      <w:spacing w:before="40" w:after="40" w:line="240" w:lineRule="atLeast"/>
    </w:pPr>
    <w:rPr>
      <w:rFonts w:eastAsia="Century Gothic"/>
      <w:lang w:eastAsia="en-US"/>
    </w:rPr>
  </w:style>
  <w:style w:type="character" w:styleId="Hyperlink">
    <w:name w:val="Hyperlink"/>
    <w:basedOn w:val="DefaultParagraphFont"/>
    <w:uiPriority w:val="99"/>
    <w:unhideWhenUsed/>
    <w:rsid w:val="00950440"/>
    <w:rPr>
      <w:color w:val="1D336D" w:themeColor="background2"/>
      <w:u w:val="single"/>
    </w:rPr>
  </w:style>
  <w:style w:type="character" w:styleId="UnresolvedMention">
    <w:name w:val="Unresolved Mention"/>
    <w:basedOn w:val="DefaultParagraphFont"/>
    <w:uiPriority w:val="99"/>
    <w:semiHidden/>
    <w:unhideWhenUsed/>
    <w:rsid w:val="009442D8"/>
    <w:rPr>
      <w:color w:val="605E5C"/>
      <w:shd w:val="clear" w:color="auto" w:fill="E1DFDD"/>
    </w:rPr>
  </w:style>
  <w:style w:type="paragraph" w:styleId="TOC2">
    <w:name w:val="toc 2"/>
    <w:basedOn w:val="TOC1"/>
    <w:next w:val="Normal"/>
    <w:uiPriority w:val="39"/>
    <w:rsid w:val="00145656"/>
    <w:pPr>
      <w:spacing w:before="40"/>
      <w:ind w:left="170" w:firstLine="0"/>
    </w:pPr>
    <w:rPr>
      <w:b w:val="0"/>
      <w:caps w:val="0"/>
      <w:color w:val="000000" w:themeColor="text1"/>
    </w:rPr>
  </w:style>
  <w:style w:type="paragraph" w:styleId="TOC1">
    <w:name w:val="toc 1"/>
    <w:basedOn w:val="Normal"/>
    <w:next w:val="Normal"/>
    <w:uiPriority w:val="39"/>
    <w:rsid w:val="00145656"/>
    <w:pPr>
      <w:tabs>
        <w:tab w:val="left" w:pos="567"/>
        <w:tab w:val="right" w:leader="dot" w:pos="9638"/>
      </w:tabs>
      <w:spacing w:before="240" w:after="40" w:line="240" w:lineRule="auto"/>
      <w:ind w:left="567" w:hanging="567"/>
    </w:pPr>
    <w:rPr>
      <w:b/>
      <w:caps/>
      <w:color w:val="2294CD"/>
    </w:rPr>
  </w:style>
  <w:style w:type="paragraph" w:styleId="NoSpacing">
    <w:name w:val="No Spacing"/>
    <w:uiPriority w:val="50"/>
    <w:semiHidden/>
    <w:rsid w:val="00F87FD2"/>
    <w:rPr>
      <w:rFonts w:asciiTheme="minorHAnsi" w:hAnsiTheme="minorHAnsi" w:cs="Calibri"/>
      <w:sz w:val="18"/>
      <w:szCs w:val="24"/>
    </w:rPr>
  </w:style>
  <w:style w:type="numbering" w:customStyle="1" w:styleId="Headings">
    <w:name w:val="Headings"/>
    <w:uiPriority w:val="99"/>
    <w:rsid w:val="00D4310E"/>
    <w:pPr>
      <w:numPr>
        <w:numId w:val="6"/>
      </w:numPr>
    </w:pPr>
  </w:style>
  <w:style w:type="character" w:customStyle="1" w:styleId="Heading6Char">
    <w:name w:val="Heading 6 Char"/>
    <w:basedOn w:val="DefaultParagraphFont"/>
    <w:link w:val="Heading6"/>
    <w:uiPriority w:val="1"/>
    <w:semiHidden/>
    <w:rsid w:val="000E3939"/>
    <w:rPr>
      <w:rFonts w:asciiTheme="majorHAnsi" w:eastAsiaTheme="majorEastAsia" w:hAnsiTheme="majorHAnsi" w:cstheme="majorBidi"/>
      <w:color w:val="1D336D" w:themeColor="background2"/>
      <w:szCs w:val="24"/>
    </w:rPr>
  </w:style>
  <w:style w:type="character" w:customStyle="1" w:styleId="Heading7Char">
    <w:name w:val="Heading 7 Char"/>
    <w:basedOn w:val="DefaultParagraphFont"/>
    <w:link w:val="Heading7"/>
    <w:uiPriority w:val="1"/>
    <w:semiHidden/>
    <w:rsid w:val="000E3939"/>
    <w:rPr>
      <w:rFonts w:asciiTheme="majorHAnsi" w:eastAsiaTheme="majorEastAsia" w:hAnsiTheme="majorHAnsi" w:cstheme="majorBidi"/>
      <w:i/>
      <w:iCs/>
      <w:color w:val="585858" w:themeColor="text2"/>
      <w:szCs w:val="24"/>
    </w:rPr>
  </w:style>
  <w:style w:type="paragraph" w:styleId="TOC3">
    <w:name w:val="toc 3"/>
    <w:basedOn w:val="Normal"/>
    <w:next w:val="Normal"/>
    <w:uiPriority w:val="39"/>
    <w:rsid w:val="00DD016A"/>
    <w:pPr>
      <w:tabs>
        <w:tab w:val="left" w:pos="454"/>
        <w:tab w:val="right" w:leader="dot" w:pos="9638"/>
      </w:tabs>
      <w:spacing w:after="100" w:line="200" w:lineRule="atLeast"/>
      <w:ind w:left="340"/>
      <w:contextualSpacing/>
    </w:pPr>
    <w:rPr>
      <w:sz w:val="18"/>
    </w:rPr>
  </w:style>
  <w:style w:type="paragraph" w:customStyle="1" w:styleId="NormalBold">
    <w:name w:val="Normal Bold"/>
    <w:basedOn w:val="Normal"/>
    <w:link w:val="NormalBoldChar"/>
    <w:uiPriority w:val="50"/>
    <w:semiHidden/>
    <w:qFormat/>
    <w:rsid w:val="00542C98"/>
    <w:rPr>
      <w:b/>
    </w:rPr>
  </w:style>
  <w:style w:type="paragraph" w:customStyle="1" w:styleId="TableTextItalic">
    <w:name w:val="Table Text Italic"/>
    <w:basedOn w:val="TableText"/>
    <w:uiPriority w:val="9"/>
    <w:qFormat/>
    <w:rsid w:val="00A45B75"/>
    <w:rPr>
      <w:i/>
      <w:iCs/>
    </w:rPr>
  </w:style>
  <w:style w:type="character" w:customStyle="1" w:styleId="NormalBoldChar">
    <w:name w:val="Normal Bold Char"/>
    <w:basedOn w:val="DefaultParagraphFont"/>
    <w:link w:val="NormalBold"/>
    <w:uiPriority w:val="50"/>
    <w:semiHidden/>
    <w:rsid w:val="00310B3A"/>
    <w:rPr>
      <w:rFonts w:asciiTheme="minorHAnsi" w:eastAsiaTheme="majorEastAsia" w:hAnsiTheme="minorHAnsi" w:cs="Calibri"/>
      <w:b/>
      <w:color w:val="000000" w:themeColor="text1"/>
      <w:szCs w:val="24"/>
    </w:rPr>
  </w:style>
  <w:style w:type="character" w:customStyle="1" w:styleId="Heading4Char">
    <w:name w:val="Heading 4 Char"/>
    <w:basedOn w:val="DefaultParagraphFont"/>
    <w:link w:val="Heading4"/>
    <w:uiPriority w:val="1"/>
    <w:rsid w:val="00CE5C62"/>
    <w:rPr>
      <w:rFonts w:asciiTheme="minorHAnsi" w:eastAsia="Century Gothic" w:hAnsiTheme="minorHAnsi" w:cs="Calibri"/>
      <w:b/>
      <w:iCs/>
      <w:color w:val="000000"/>
      <w:szCs w:val="26"/>
    </w:rPr>
  </w:style>
  <w:style w:type="paragraph" w:styleId="TOC4">
    <w:name w:val="toc 4"/>
    <w:basedOn w:val="Normal"/>
    <w:next w:val="Normal"/>
    <w:uiPriority w:val="39"/>
    <w:semiHidden/>
    <w:rsid w:val="00FE707F"/>
    <w:pPr>
      <w:tabs>
        <w:tab w:val="right" w:leader="dot" w:pos="9638"/>
      </w:tabs>
      <w:spacing w:before="20" w:after="20"/>
      <w:ind w:left="1134" w:hanging="567"/>
      <w:contextualSpacing/>
    </w:pPr>
  </w:style>
  <w:style w:type="paragraph" w:styleId="Subtitle">
    <w:name w:val="Subtitle"/>
    <w:basedOn w:val="Normal"/>
    <w:next w:val="Normal"/>
    <w:link w:val="SubtitleChar"/>
    <w:uiPriority w:val="49"/>
    <w:semiHidden/>
    <w:rsid w:val="00AB6039"/>
    <w:pPr>
      <w:numPr>
        <w:ilvl w:val="1"/>
      </w:numPr>
      <w:spacing w:after="640" w:line="240" w:lineRule="auto"/>
    </w:pPr>
    <w:rPr>
      <w:rFonts w:eastAsiaTheme="minorEastAsia" w:cstheme="minorBidi"/>
      <w:b/>
      <w:color w:val="1D336D" w:themeColor="background2"/>
      <w:sz w:val="32"/>
      <w:szCs w:val="22"/>
    </w:rPr>
  </w:style>
  <w:style w:type="character" w:customStyle="1" w:styleId="SubtitleChar">
    <w:name w:val="Subtitle Char"/>
    <w:basedOn w:val="DefaultParagraphFont"/>
    <w:link w:val="Subtitle"/>
    <w:uiPriority w:val="49"/>
    <w:semiHidden/>
    <w:rsid w:val="00310B3A"/>
    <w:rPr>
      <w:rFonts w:asciiTheme="minorHAnsi" w:eastAsiaTheme="minorEastAsia" w:hAnsiTheme="minorHAnsi" w:cstheme="minorBidi"/>
      <w:b/>
      <w:color w:val="1D336D" w:themeColor="background2"/>
      <w:sz w:val="32"/>
      <w:szCs w:val="22"/>
    </w:rPr>
  </w:style>
  <w:style w:type="table" w:customStyle="1" w:styleId="DefaultTable">
    <w:name w:val="_Default Table"/>
    <w:basedOn w:val="TableNormal"/>
    <w:uiPriority w:val="99"/>
    <w:rsid w:val="00635C95"/>
    <w:rPr>
      <w:rFonts w:asciiTheme="minorHAnsi" w:hAnsiTheme="minorHAnsi"/>
      <w:color w:val="000000" w:themeColor="text1"/>
    </w:rPr>
    <w:tblPr>
      <w:tblStyleRowBandSize w:val="1"/>
      <w:tblStyleColBandSize w:val="1"/>
      <w:tblBorders>
        <w:top w:val="single" w:sz="4" w:space="0" w:color="1D336D" w:themeColor="background2"/>
        <w:left w:val="single" w:sz="4" w:space="0" w:color="1D336D" w:themeColor="background2"/>
        <w:bottom w:val="single" w:sz="4" w:space="0" w:color="1D336D" w:themeColor="background2"/>
        <w:right w:val="single" w:sz="4" w:space="0" w:color="1D336D" w:themeColor="background2"/>
        <w:insideH w:val="single" w:sz="4" w:space="0" w:color="1D336D" w:themeColor="background2"/>
        <w:insideV w:val="single" w:sz="4" w:space="0" w:color="1D336D" w:themeColor="background2"/>
      </w:tblBorders>
      <w:tblCellMar>
        <w:top w:w="113" w:type="dxa"/>
        <w:left w:w="113" w:type="dxa"/>
        <w:bottom w:w="113" w:type="dxa"/>
        <w:right w:w="113" w:type="dxa"/>
      </w:tblCellMar>
    </w:tblPr>
    <w:tcPr>
      <w:shd w:val="clear" w:color="auto" w:fill="auto"/>
    </w:tcPr>
    <w:tblStylePr w:type="firstRow">
      <w:rPr>
        <w:b w:val="0"/>
        <w:color w:val="1D336D" w:themeColor="background2"/>
      </w:rPr>
      <w:tblPr/>
      <w:tcPr>
        <w:tcBorders>
          <w:top w:val="single" w:sz="4" w:space="0" w:color="1D336D" w:themeColor="background2"/>
          <w:left w:val="single" w:sz="4" w:space="0" w:color="1D336D" w:themeColor="background2"/>
          <w:bottom w:val="single" w:sz="4" w:space="0" w:color="1D336D" w:themeColor="background2"/>
          <w:right w:val="single" w:sz="4" w:space="0" w:color="1D336D" w:themeColor="background2"/>
          <w:insideH w:val="single" w:sz="4" w:space="0" w:color="1D336D" w:themeColor="background2"/>
          <w:insideV w:val="single" w:sz="4" w:space="0" w:color="1D336D" w:themeColor="background2"/>
        </w:tcBorders>
        <w:shd w:val="clear" w:color="auto" w:fill="1D336D" w:themeFill="background2"/>
      </w:tcPr>
    </w:tblStylePr>
    <w:tblStylePr w:type="lastRow">
      <w:tblPr/>
      <w:tcPr>
        <w:tcBorders>
          <w:top w:val="single" w:sz="12" w:space="0" w:color="1D336D" w:themeColor="background2"/>
          <w:left w:val="nil"/>
          <w:bottom w:val="single" w:sz="12" w:space="0" w:color="1D336D" w:themeColor="background2"/>
          <w:right w:val="nil"/>
          <w:insideH w:val="nil"/>
          <w:insideV w:val="nil"/>
          <w:tl2br w:val="nil"/>
          <w:tr2bl w:val="nil"/>
        </w:tcBorders>
        <w:shd w:val="clear" w:color="auto" w:fill="FFFFFF" w:themeFill="background1"/>
      </w:tcPr>
    </w:tblStylePr>
    <w:tblStylePr w:type="firstCol">
      <w:rPr>
        <w:color w:val="FFFFFF" w:themeColor="background1"/>
      </w:rPr>
      <w:tblPr/>
      <w:tcPr>
        <w:shd w:val="clear" w:color="auto" w:fill="C4CFEF" w:themeFill="background2" w:themeFillTint="33"/>
      </w:tcPr>
    </w:tblStylePr>
    <w:tblStylePr w:type="lastCol">
      <w:rPr>
        <w:color w:val="FFFFFF" w:themeColor="background1"/>
      </w:rPr>
      <w:tblPr/>
      <w:tcPr>
        <w:tcBorders>
          <w:top w:val="nil"/>
          <w:left w:val="nil"/>
          <w:bottom w:val="nil"/>
          <w:right w:val="nil"/>
          <w:insideH w:val="nil"/>
          <w:insideV w:val="nil"/>
          <w:tl2br w:val="nil"/>
          <w:tr2bl w:val="nil"/>
        </w:tcBorders>
        <w:shd w:val="clear" w:color="auto" w:fill="1D336D" w:themeFill="background2"/>
      </w:tcPr>
    </w:tblStylePr>
    <w:tblStylePr w:type="band2Vert">
      <w:tblPr/>
      <w:tcPr>
        <w:shd w:val="clear" w:color="auto" w:fill="DEE4F6"/>
      </w:tcPr>
    </w:tblStylePr>
    <w:tblStylePr w:type="band2Horz">
      <w:tblPr/>
      <w:tcPr>
        <w:shd w:val="clear" w:color="auto" w:fill="DEE4F6"/>
      </w:tcPr>
    </w:tblStylePr>
  </w:style>
  <w:style w:type="paragraph" w:customStyle="1" w:styleId="CoverTitle">
    <w:name w:val="Cover Title"/>
    <w:uiPriority w:val="19"/>
    <w:semiHidden/>
    <w:qFormat/>
    <w:rsid w:val="0081223D"/>
    <w:pPr>
      <w:numPr>
        <w:numId w:val="13"/>
      </w:numPr>
    </w:pPr>
    <w:rPr>
      <w:rFonts w:asciiTheme="minorHAnsi" w:eastAsiaTheme="majorEastAsia" w:hAnsiTheme="minorHAnsi" w:cs="Calibri"/>
      <w:bCs/>
      <w:iCs/>
      <w:color w:val="1D336D" w:themeColor="background2"/>
      <w:sz w:val="72"/>
      <w:szCs w:val="28"/>
    </w:rPr>
  </w:style>
  <w:style w:type="table" w:customStyle="1" w:styleId="PlainGridBlack">
    <w:name w:val="_Plain Grid Black"/>
    <w:basedOn w:val="TableNormal"/>
    <w:uiPriority w:val="99"/>
    <w:rsid w:val="001F6DC1"/>
    <w:rPr>
      <w:rFonts w:asciiTheme="minorHAnsi" w:hAnsiTheme="minorHAnsi"/>
      <w:color w:val="63D0DF" w:themeColor="accent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table" w:styleId="ColorfulGrid">
    <w:name w:val="Colorful Grid"/>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DFF5F8" w:themeFill="accent1" w:themeFillTint="33"/>
    </w:tcPr>
    <w:tblStylePr w:type="firstRow">
      <w:rPr>
        <w:b/>
        <w:bCs/>
      </w:rPr>
      <w:tblPr/>
      <w:tcPr>
        <w:shd w:val="clear" w:color="auto" w:fill="C0ECF2" w:themeFill="accent1" w:themeFillTint="66"/>
      </w:tcPr>
    </w:tblStylePr>
    <w:tblStylePr w:type="lastRow">
      <w:rPr>
        <w:b/>
        <w:bCs/>
        <w:color w:val="000000" w:themeColor="text1"/>
      </w:rPr>
      <w:tblPr/>
      <w:tcPr>
        <w:shd w:val="clear" w:color="auto" w:fill="C0ECF2" w:themeFill="accent1" w:themeFillTint="66"/>
      </w:tcPr>
    </w:tblStylePr>
    <w:tblStylePr w:type="firstCol">
      <w:rPr>
        <w:color w:val="FFFFFF" w:themeColor="background1"/>
      </w:rPr>
      <w:tblPr/>
      <w:tcPr>
        <w:shd w:val="clear" w:color="auto" w:fill="29B4C7" w:themeFill="accent1" w:themeFillShade="BF"/>
      </w:tcPr>
    </w:tblStylePr>
    <w:tblStylePr w:type="lastCol">
      <w:rPr>
        <w:color w:val="FFFFFF" w:themeColor="background1"/>
      </w:rPr>
      <w:tblPr/>
      <w:tcPr>
        <w:shd w:val="clear" w:color="auto" w:fill="29B4C7" w:themeFill="accent1" w:themeFillShade="BF"/>
      </w:tcPr>
    </w:tblStylePr>
    <w:tblStylePr w:type="band1Vert">
      <w:tblPr/>
      <w:tcPr>
        <w:shd w:val="clear" w:color="auto" w:fill="B1E7EF" w:themeFill="accent1" w:themeFillTint="7F"/>
      </w:tcPr>
    </w:tblStylePr>
    <w:tblStylePr w:type="band1Horz">
      <w:tblPr/>
      <w:tcPr>
        <w:shd w:val="clear" w:color="auto" w:fill="B1E7EF" w:themeFill="accent1" w:themeFillTint="7F"/>
      </w:tcPr>
    </w:tblStylePr>
  </w:style>
  <w:style w:type="table" w:styleId="ColorfulGrid-Accent2">
    <w:name w:val="Colorful Grid Accent 2"/>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F4F4F4" w:themeFill="accent2" w:themeFillTint="33"/>
    </w:tcPr>
    <w:tblStylePr w:type="firstRow">
      <w:rPr>
        <w:b/>
        <w:bCs/>
      </w:rPr>
      <w:tblPr/>
      <w:tcPr>
        <w:shd w:val="clear" w:color="auto" w:fill="E9E9E9" w:themeFill="accent2" w:themeFillTint="66"/>
      </w:tcPr>
    </w:tblStylePr>
    <w:tblStylePr w:type="lastRow">
      <w:rPr>
        <w:b/>
        <w:bCs/>
        <w:color w:val="000000" w:themeColor="text1"/>
      </w:rPr>
      <w:tblPr/>
      <w:tcPr>
        <w:shd w:val="clear" w:color="auto" w:fill="E9E9E9" w:themeFill="accent2" w:themeFillTint="66"/>
      </w:tcPr>
    </w:tblStylePr>
    <w:tblStylePr w:type="firstCol">
      <w:rPr>
        <w:color w:val="FFFFFF" w:themeColor="background1"/>
      </w:rPr>
      <w:tblPr/>
      <w:tcPr>
        <w:shd w:val="clear" w:color="auto" w:fill="959597" w:themeFill="accent2" w:themeFillShade="BF"/>
      </w:tcPr>
    </w:tblStylePr>
    <w:tblStylePr w:type="lastCol">
      <w:rPr>
        <w:color w:val="FFFFFF" w:themeColor="background1"/>
      </w:rPr>
      <w:tblPr/>
      <w:tcPr>
        <w:shd w:val="clear" w:color="auto" w:fill="959597" w:themeFill="accent2" w:themeFillShade="BF"/>
      </w:tcPr>
    </w:tblStylePr>
    <w:tblStylePr w:type="band1Vert">
      <w:tblPr/>
      <w:tcPr>
        <w:shd w:val="clear" w:color="auto" w:fill="E4E4E4" w:themeFill="accent2" w:themeFillTint="7F"/>
      </w:tcPr>
    </w:tblStylePr>
    <w:tblStylePr w:type="band1Horz">
      <w:tblPr/>
      <w:tcPr>
        <w:shd w:val="clear" w:color="auto" w:fill="E4E4E4" w:themeFill="accent2" w:themeFillTint="7F"/>
      </w:tcPr>
    </w:tblStylePr>
  </w:style>
  <w:style w:type="table" w:styleId="ColorfulGrid-Accent3">
    <w:name w:val="Colorful Grid Accent 3"/>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DFF5F8" w:themeFill="accent3" w:themeFillTint="33"/>
    </w:tcPr>
    <w:tblStylePr w:type="firstRow">
      <w:rPr>
        <w:b/>
        <w:bCs/>
      </w:rPr>
      <w:tblPr/>
      <w:tcPr>
        <w:shd w:val="clear" w:color="auto" w:fill="C0ECF2" w:themeFill="accent3" w:themeFillTint="66"/>
      </w:tcPr>
    </w:tblStylePr>
    <w:tblStylePr w:type="lastRow">
      <w:rPr>
        <w:b/>
        <w:bCs/>
        <w:color w:val="000000" w:themeColor="text1"/>
      </w:rPr>
      <w:tblPr/>
      <w:tcPr>
        <w:shd w:val="clear" w:color="auto" w:fill="C0ECF2" w:themeFill="accent3" w:themeFillTint="66"/>
      </w:tcPr>
    </w:tblStylePr>
    <w:tblStylePr w:type="firstCol">
      <w:rPr>
        <w:color w:val="FFFFFF" w:themeColor="background1"/>
      </w:rPr>
      <w:tblPr/>
      <w:tcPr>
        <w:shd w:val="clear" w:color="auto" w:fill="29B4C7" w:themeFill="accent3" w:themeFillShade="BF"/>
      </w:tcPr>
    </w:tblStylePr>
    <w:tblStylePr w:type="lastCol">
      <w:rPr>
        <w:color w:val="FFFFFF" w:themeColor="background1"/>
      </w:rPr>
      <w:tblPr/>
      <w:tcPr>
        <w:shd w:val="clear" w:color="auto" w:fill="29B4C7" w:themeFill="accent3" w:themeFillShade="BF"/>
      </w:tcPr>
    </w:tblStylePr>
    <w:tblStylePr w:type="band1Vert">
      <w:tblPr/>
      <w:tcPr>
        <w:shd w:val="clear" w:color="auto" w:fill="B1E7EF" w:themeFill="accent3" w:themeFillTint="7F"/>
      </w:tcPr>
    </w:tblStylePr>
    <w:tblStylePr w:type="band1Horz">
      <w:tblPr/>
      <w:tcPr>
        <w:shd w:val="clear" w:color="auto" w:fill="B1E7EF" w:themeFill="accent3" w:themeFillTint="7F"/>
      </w:tcPr>
    </w:tblStylePr>
  </w:style>
  <w:style w:type="table" w:styleId="ColorfulGrid-Accent4">
    <w:name w:val="Colorful Grid Accent 4"/>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ECECEC" w:themeFill="accent4" w:themeFillTint="33"/>
    </w:tcPr>
    <w:tblStylePr w:type="firstRow">
      <w:rPr>
        <w:b/>
        <w:bCs/>
      </w:rPr>
      <w:tblPr/>
      <w:tcPr>
        <w:shd w:val="clear" w:color="auto" w:fill="D9D9D9" w:themeFill="accent4" w:themeFillTint="66"/>
      </w:tcPr>
    </w:tblStylePr>
    <w:tblStylePr w:type="lastRow">
      <w:rPr>
        <w:b/>
        <w:bCs/>
        <w:color w:val="000000" w:themeColor="text1"/>
      </w:rPr>
      <w:tblPr/>
      <w:tcPr>
        <w:shd w:val="clear" w:color="auto" w:fill="D9D9D9" w:themeFill="accent4" w:themeFillTint="66"/>
      </w:tcPr>
    </w:tblStylePr>
    <w:tblStylePr w:type="firstCol">
      <w:rPr>
        <w:color w:val="FFFFFF" w:themeColor="background1"/>
      </w:rPr>
      <w:tblPr/>
      <w:tcPr>
        <w:shd w:val="clear" w:color="auto" w:fill="787878" w:themeFill="accent4" w:themeFillShade="BF"/>
      </w:tcPr>
    </w:tblStylePr>
    <w:tblStylePr w:type="lastCol">
      <w:rPr>
        <w:color w:val="FFFFFF" w:themeColor="background1"/>
      </w:rPr>
      <w:tblPr/>
      <w:tcPr>
        <w:shd w:val="clear" w:color="auto" w:fill="787878" w:themeFill="accent4" w:themeFillShade="BF"/>
      </w:tcPr>
    </w:tblStylePr>
    <w:tblStylePr w:type="band1Vert">
      <w:tblPr/>
      <w:tcPr>
        <w:shd w:val="clear" w:color="auto" w:fill="D0D0D0" w:themeFill="accent4" w:themeFillTint="7F"/>
      </w:tcPr>
    </w:tblStylePr>
    <w:tblStylePr w:type="band1Horz">
      <w:tblPr/>
      <w:tcPr>
        <w:shd w:val="clear" w:color="auto" w:fill="D0D0D0" w:themeFill="accent4" w:themeFillTint="7F"/>
      </w:tcPr>
    </w:tblStylePr>
  </w:style>
  <w:style w:type="table" w:styleId="ColorfulGrid-Accent5">
    <w:name w:val="Colorful Grid Accent 5"/>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DFF5F8" w:themeFill="accent5" w:themeFillTint="33"/>
    </w:tcPr>
    <w:tblStylePr w:type="firstRow">
      <w:rPr>
        <w:b/>
        <w:bCs/>
      </w:rPr>
      <w:tblPr/>
      <w:tcPr>
        <w:shd w:val="clear" w:color="auto" w:fill="C0ECF2" w:themeFill="accent5" w:themeFillTint="66"/>
      </w:tcPr>
    </w:tblStylePr>
    <w:tblStylePr w:type="lastRow">
      <w:rPr>
        <w:b/>
        <w:bCs/>
        <w:color w:val="000000" w:themeColor="text1"/>
      </w:rPr>
      <w:tblPr/>
      <w:tcPr>
        <w:shd w:val="clear" w:color="auto" w:fill="C0ECF2" w:themeFill="accent5" w:themeFillTint="66"/>
      </w:tcPr>
    </w:tblStylePr>
    <w:tblStylePr w:type="firstCol">
      <w:rPr>
        <w:color w:val="FFFFFF" w:themeColor="background1"/>
      </w:rPr>
      <w:tblPr/>
      <w:tcPr>
        <w:shd w:val="clear" w:color="auto" w:fill="29B4C7" w:themeFill="accent5" w:themeFillShade="BF"/>
      </w:tcPr>
    </w:tblStylePr>
    <w:tblStylePr w:type="lastCol">
      <w:rPr>
        <w:color w:val="FFFFFF" w:themeColor="background1"/>
      </w:rPr>
      <w:tblPr/>
      <w:tcPr>
        <w:shd w:val="clear" w:color="auto" w:fill="29B4C7" w:themeFill="accent5" w:themeFillShade="BF"/>
      </w:tcPr>
    </w:tblStylePr>
    <w:tblStylePr w:type="band1Vert">
      <w:tblPr/>
      <w:tcPr>
        <w:shd w:val="clear" w:color="auto" w:fill="B1E7EF" w:themeFill="accent5" w:themeFillTint="7F"/>
      </w:tcPr>
    </w:tblStylePr>
    <w:tblStylePr w:type="band1Horz">
      <w:tblPr/>
      <w:tcPr>
        <w:shd w:val="clear" w:color="auto" w:fill="B1E7EF" w:themeFill="accent5" w:themeFillTint="7F"/>
      </w:tcPr>
    </w:tblStylePr>
  </w:style>
  <w:style w:type="table" w:styleId="ColorfulGrid-Accent6">
    <w:name w:val="Colorful Grid Accent 6"/>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ECECEC" w:themeFill="accent6" w:themeFillTint="33"/>
    </w:tcPr>
    <w:tblStylePr w:type="firstRow">
      <w:rPr>
        <w:b/>
        <w:bCs/>
      </w:rPr>
      <w:tblPr/>
      <w:tcPr>
        <w:shd w:val="clear" w:color="auto" w:fill="D9D9D9" w:themeFill="accent6" w:themeFillTint="66"/>
      </w:tcPr>
    </w:tblStylePr>
    <w:tblStylePr w:type="lastRow">
      <w:rPr>
        <w:b/>
        <w:bCs/>
        <w:color w:val="000000" w:themeColor="text1"/>
      </w:rPr>
      <w:tblPr/>
      <w:tcPr>
        <w:shd w:val="clear" w:color="auto" w:fill="D9D9D9" w:themeFill="accent6" w:themeFillTint="66"/>
      </w:tcPr>
    </w:tblStylePr>
    <w:tblStylePr w:type="firstCol">
      <w:rPr>
        <w:color w:val="FFFFFF" w:themeColor="background1"/>
      </w:rPr>
      <w:tblPr/>
      <w:tcPr>
        <w:shd w:val="clear" w:color="auto" w:fill="787878" w:themeFill="accent6" w:themeFillShade="BF"/>
      </w:tcPr>
    </w:tblStylePr>
    <w:tblStylePr w:type="lastCol">
      <w:rPr>
        <w:color w:val="FFFFFF" w:themeColor="background1"/>
      </w:rPr>
      <w:tblPr/>
      <w:tcPr>
        <w:shd w:val="clear" w:color="auto" w:fill="787878" w:themeFill="accent6" w:themeFillShade="BF"/>
      </w:tcPr>
    </w:tblStylePr>
    <w:tblStylePr w:type="band1Vert">
      <w:tblPr/>
      <w:tcPr>
        <w:shd w:val="clear" w:color="auto" w:fill="D0D0D0" w:themeFill="accent6" w:themeFillTint="7F"/>
      </w:tcPr>
    </w:tblStylePr>
    <w:tblStylePr w:type="band1Horz">
      <w:tblPr/>
      <w:tcPr>
        <w:shd w:val="clear" w:color="auto" w:fill="D0D0D0" w:themeFill="accent6" w:themeFillTint="7F"/>
      </w:tcPr>
    </w:tblStylePr>
  </w:style>
  <w:style w:type="table" w:styleId="ColorfulList">
    <w:name w:val="Colorful List"/>
    <w:basedOn w:val="TableNormal"/>
    <w:uiPriority w:val="98"/>
    <w:semiHidden/>
    <w:unhideWhenUsed/>
    <w:rsid w:val="001F6DC1"/>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A0A0A2" w:themeFill="accent2" w:themeFillShade="CC"/>
      </w:tcPr>
    </w:tblStylePr>
    <w:tblStylePr w:type="lastRow">
      <w:rPr>
        <w:b/>
        <w:bCs/>
        <w:color w:val="A0A0A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98"/>
    <w:semiHidden/>
    <w:unhideWhenUsed/>
    <w:rsid w:val="001F6DC1"/>
    <w:rPr>
      <w:color w:val="000000" w:themeColor="text1"/>
    </w:rPr>
    <w:tblPr>
      <w:tblStyleRowBandSize w:val="1"/>
      <w:tblStyleColBandSize w:val="1"/>
    </w:tblPr>
    <w:tcPr>
      <w:shd w:val="clear" w:color="auto" w:fill="EFFAFB" w:themeFill="accent1" w:themeFillTint="19"/>
    </w:tcPr>
    <w:tblStylePr w:type="firstRow">
      <w:rPr>
        <w:b/>
        <w:bCs/>
        <w:color w:val="FFFFFF" w:themeColor="background1"/>
      </w:rPr>
      <w:tblPr/>
      <w:tcPr>
        <w:tcBorders>
          <w:bottom w:val="single" w:sz="12" w:space="0" w:color="FFFFFF" w:themeColor="background1"/>
        </w:tcBorders>
        <w:shd w:val="clear" w:color="auto" w:fill="A0A0A2" w:themeFill="accent2" w:themeFillShade="CC"/>
      </w:tcPr>
    </w:tblStylePr>
    <w:tblStylePr w:type="lastRow">
      <w:rPr>
        <w:b/>
        <w:bCs/>
        <w:color w:val="A0A0A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F3F7" w:themeFill="accent1" w:themeFillTint="3F"/>
      </w:tcPr>
    </w:tblStylePr>
    <w:tblStylePr w:type="band1Horz">
      <w:tblPr/>
      <w:tcPr>
        <w:shd w:val="clear" w:color="auto" w:fill="DFF5F8" w:themeFill="accent1" w:themeFillTint="33"/>
      </w:tcPr>
    </w:tblStylePr>
  </w:style>
  <w:style w:type="table" w:styleId="ColorfulList-Accent2">
    <w:name w:val="Colorful List Accent 2"/>
    <w:basedOn w:val="TableNormal"/>
    <w:uiPriority w:val="98"/>
    <w:semiHidden/>
    <w:unhideWhenUsed/>
    <w:rsid w:val="001F6DC1"/>
    <w:rPr>
      <w:color w:val="000000" w:themeColor="text1"/>
    </w:rPr>
    <w:tblPr>
      <w:tblStyleRowBandSize w:val="1"/>
      <w:tblStyleColBandSize w:val="1"/>
    </w:tblPr>
    <w:tcPr>
      <w:shd w:val="clear" w:color="auto" w:fill="F9F9F9" w:themeFill="accent2" w:themeFillTint="19"/>
    </w:tcPr>
    <w:tblStylePr w:type="firstRow">
      <w:rPr>
        <w:b/>
        <w:bCs/>
        <w:color w:val="FFFFFF" w:themeColor="background1"/>
      </w:rPr>
      <w:tblPr/>
      <w:tcPr>
        <w:tcBorders>
          <w:bottom w:val="single" w:sz="12" w:space="0" w:color="FFFFFF" w:themeColor="background1"/>
        </w:tcBorders>
        <w:shd w:val="clear" w:color="auto" w:fill="A0A0A2" w:themeFill="accent2" w:themeFillShade="CC"/>
      </w:tcPr>
    </w:tblStylePr>
    <w:tblStylePr w:type="lastRow">
      <w:rPr>
        <w:b/>
        <w:bCs/>
        <w:color w:val="A0A0A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1F1F1" w:themeFill="accent2" w:themeFillTint="3F"/>
      </w:tcPr>
    </w:tblStylePr>
    <w:tblStylePr w:type="band1Horz">
      <w:tblPr/>
      <w:tcPr>
        <w:shd w:val="clear" w:color="auto" w:fill="F4F4F4" w:themeFill="accent2" w:themeFillTint="33"/>
      </w:tcPr>
    </w:tblStylePr>
  </w:style>
  <w:style w:type="table" w:styleId="ColorfulList-Accent3">
    <w:name w:val="Colorful List Accent 3"/>
    <w:basedOn w:val="TableNormal"/>
    <w:uiPriority w:val="98"/>
    <w:semiHidden/>
    <w:unhideWhenUsed/>
    <w:rsid w:val="001F6DC1"/>
    <w:rPr>
      <w:color w:val="000000" w:themeColor="text1"/>
    </w:rPr>
    <w:tblPr>
      <w:tblStyleRowBandSize w:val="1"/>
      <w:tblStyleColBandSize w:val="1"/>
    </w:tblPr>
    <w:tcPr>
      <w:shd w:val="clear" w:color="auto" w:fill="EFFAFB" w:themeFill="accent3" w:themeFillTint="19"/>
    </w:tcPr>
    <w:tblStylePr w:type="firstRow">
      <w:rPr>
        <w:b/>
        <w:bCs/>
        <w:color w:val="FFFFFF" w:themeColor="background1"/>
      </w:rPr>
      <w:tblPr/>
      <w:tcPr>
        <w:tcBorders>
          <w:bottom w:val="single" w:sz="12" w:space="0" w:color="FFFFFF" w:themeColor="background1"/>
        </w:tcBorders>
        <w:shd w:val="clear" w:color="auto" w:fill="808080" w:themeFill="accent4" w:themeFillShade="CC"/>
      </w:tcPr>
    </w:tblStylePr>
    <w:tblStylePr w:type="lastRow">
      <w:rPr>
        <w:b/>
        <w:bCs/>
        <w:color w:val="80808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F3F7" w:themeFill="accent3" w:themeFillTint="3F"/>
      </w:tcPr>
    </w:tblStylePr>
    <w:tblStylePr w:type="band1Horz">
      <w:tblPr/>
      <w:tcPr>
        <w:shd w:val="clear" w:color="auto" w:fill="DFF5F8" w:themeFill="accent3" w:themeFillTint="33"/>
      </w:tcPr>
    </w:tblStylePr>
  </w:style>
  <w:style w:type="table" w:styleId="ColorfulList-Accent4">
    <w:name w:val="Colorful List Accent 4"/>
    <w:basedOn w:val="TableNormal"/>
    <w:uiPriority w:val="98"/>
    <w:semiHidden/>
    <w:unhideWhenUsed/>
    <w:rsid w:val="001F6DC1"/>
    <w:rPr>
      <w:color w:val="000000" w:themeColor="text1"/>
    </w:rPr>
    <w:tblPr>
      <w:tblStyleRowBandSize w:val="1"/>
      <w:tblStyleColBandSize w:val="1"/>
    </w:tblPr>
    <w:tcPr>
      <w:shd w:val="clear" w:color="auto" w:fill="F5F5F5" w:themeFill="accent4" w:themeFillTint="19"/>
    </w:tcPr>
    <w:tblStylePr w:type="firstRow">
      <w:rPr>
        <w:b/>
        <w:bCs/>
        <w:color w:val="FFFFFF" w:themeColor="background1"/>
      </w:rPr>
      <w:tblPr/>
      <w:tcPr>
        <w:tcBorders>
          <w:bottom w:val="single" w:sz="12" w:space="0" w:color="FFFFFF" w:themeColor="background1"/>
        </w:tcBorders>
        <w:shd w:val="clear" w:color="auto" w:fill="2DBFD4" w:themeFill="accent3" w:themeFillShade="CC"/>
      </w:tcPr>
    </w:tblStylePr>
    <w:tblStylePr w:type="lastRow">
      <w:rPr>
        <w:b/>
        <w:bCs/>
        <w:color w:val="2DBFD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7E7E7" w:themeFill="accent4" w:themeFillTint="3F"/>
      </w:tcPr>
    </w:tblStylePr>
    <w:tblStylePr w:type="band1Horz">
      <w:tblPr/>
      <w:tcPr>
        <w:shd w:val="clear" w:color="auto" w:fill="ECECEC" w:themeFill="accent4" w:themeFillTint="33"/>
      </w:tcPr>
    </w:tblStylePr>
  </w:style>
  <w:style w:type="table" w:styleId="ColorfulList-Accent5">
    <w:name w:val="Colorful List Accent 5"/>
    <w:basedOn w:val="TableNormal"/>
    <w:uiPriority w:val="98"/>
    <w:semiHidden/>
    <w:unhideWhenUsed/>
    <w:rsid w:val="001F6DC1"/>
    <w:rPr>
      <w:color w:val="000000" w:themeColor="text1"/>
    </w:rPr>
    <w:tblPr>
      <w:tblStyleRowBandSize w:val="1"/>
      <w:tblStyleColBandSize w:val="1"/>
    </w:tblPr>
    <w:tcPr>
      <w:shd w:val="clear" w:color="auto" w:fill="EFFAFB" w:themeFill="accent5" w:themeFillTint="19"/>
    </w:tcPr>
    <w:tblStylePr w:type="firstRow">
      <w:rPr>
        <w:b/>
        <w:bCs/>
        <w:color w:val="FFFFFF" w:themeColor="background1"/>
      </w:rPr>
      <w:tblPr/>
      <w:tcPr>
        <w:tcBorders>
          <w:bottom w:val="single" w:sz="12" w:space="0" w:color="FFFFFF" w:themeColor="background1"/>
        </w:tcBorders>
        <w:shd w:val="clear" w:color="auto" w:fill="808080" w:themeFill="accent6" w:themeFillShade="CC"/>
      </w:tcPr>
    </w:tblStylePr>
    <w:tblStylePr w:type="lastRow">
      <w:rPr>
        <w:b/>
        <w:bCs/>
        <w:color w:val="808080"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F3F7" w:themeFill="accent5" w:themeFillTint="3F"/>
      </w:tcPr>
    </w:tblStylePr>
    <w:tblStylePr w:type="band1Horz">
      <w:tblPr/>
      <w:tcPr>
        <w:shd w:val="clear" w:color="auto" w:fill="DFF5F8" w:themeFill="accent5" w:themeFillTint="33"/>
      </w:tcPr>
    </w:tblStylePr>
  </w:style>
  <w:style w:type="table" w:styleId="ColorfulList-Accent6">
    <w:name w:val="Colorful List Accent 6"/>
    <w:basedOn w:val="TableNormal"/>
    <w:uiPriority w:val="98"/>
    <w:semiHidden/>
    <w:unhideWhenUsed/>
    <w:rsid w:val="001F6DC1"/>
    <w:rPr>
      <w:color w:val="000000" w:themeColor="text1"/>
    </w:rPr>
    <w:tblPr>
      <w:tblStyleRowBandSize w:val="1"/>
      <w:tblStyleColBandSize w:val="1"/>
    </w:tblPr>
    <w:tcPr>
      <w:shd w:val="clear" w:color="auto" w:fill="F5F5F5" w:themeFill="accent6" w:themeFillTint="19"/>
    </w:tcPr>
    <w:tblStylePr w:type="firstRow">
      <w:rPr>
        <w:b/>
        <w:bCs/>
        <w:color w:val="FFFFFF" w:themeColor="background1"/>
      </w:rPr>
      <w:tblPr/>
      <w:tcPr>
        <w:tcBorders>
          <w:bottom w:val="single" w:sz="12" w:space="0" w:color="FFFFFF" w:themeColor="background1"/>
        </w:tcBorders>
        <w:shd w:val="clear" w:color="auto" w:fill="2DBFD4" w:themeFill="accent5" w:themeFillShade="CC"/>
      </w:tcPr>
    </w:tblStylePr>
    <w:tblStylePr w:type="lastRow">
      <w:rPr>
        <w:b/>
        <w:bCs/>
        <w:color w:val="2DBFD4"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7E7E7" w:themeFill="accent6" w:themeFillTint="3F"/>
      </w:tcPr>
    </w:tblStylePr>
    <w:tblStylePr w:type="band1Horz">
      <w:tblPr/>
      <w:tcPr>
        <w:shd w:val="clear" w:color="auto" w:fill="ECECEC" w:themeFill="accent6" w:themeFillTint="33"/>
      </w:tcPr>
    </w:tblStylePr>
  </w:style>
  <w:style w:type="table" w:styleId="ColorfulShading">
    <w:name w:val="Colorful Shading"/>
    <w:basedOn w:val="TableNormal"/>
    <w:uiPriority w:val="98"/>
    <w:semiHidden/>
    <w:unhideWhenUsed/>
    <w:rsid w:val="001F6DC1"/>
    <w:rPr>
      <w:color w:val="000000" w:themeColor="text1"/>
    </w:rPr>
    <w:tblPr>
      <w:tblStyleRowBandSize w:val="1"/>
      <w:tblStyleColBandSize w:val="1"/>
      <w:tblBorders>
        <w:top w:val="single" w:sz="24" w:space="0" w:color="C9C9C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9C9C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98"/>
    <w:semiHidden/>
    <w:unhideWhenUsed/>
    <w:rsid w:val="001F6DC1"/>
    <w:rPr>
      <w:color w:val="000000" w:themeColor="text1"/>
    </w:rPr>
    <w:tblPr>
      <w:tblStyleRowBandSize w:val="1"/>
      <w:tblStyleColBandSize w:val="1"/>
      <w:tblBorders>
        <w:top w:val="single" w:sz="24" w:space="0" w:color="C9C9CA" w:themeColor="accent2"/>
        <w:left w:val="single" w:sz="4" w:space="0" w:color="63D0DF" w:themeColor="accent1"/>
        <w:bottom w:val="single" w:sz="4" w:space="0" w:color="63D0DF" w:themeColor="accent1"/>
        <w:right w:val="single" w:sz="4" w:space="0" w:color="63D0DF" w:themeColor="accent1"/>
        <w:insideH w:val="single" w:sz="4" w:space="0" w:color="FFFFFF" w:themeColor="background1"/>
        <w:insideV w:val="single" w:sz="4" w:space="0" w:color="FFFFFF" w:themeColor="background1"/>
      </w:tblBorders>
    </w:tblPr>
    <w:tcPr>
      <w:shd w:val="clear" w:color="auto" w:fill="EFFAFB" w:themeFill="accent1" w:themeFillTint="19"/>
    </w:tcPr>
    <w:tblStylePr w:type="firstRow">
      <w:rPr>
        <w:b/>
        <w:bCs/>
      </w:rPr>
      <w:tblPr/>
      <w:tcPr>
        <w:tcBorders>
          <w:top w:val="nil"/>
          <w:left w:val="nil"/>
          <w:bottom w:val="single" w:sz="24" w:space="0" w:color="C9C9C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190A0" w:themeFill="accent1" w:themeFillShade="99"/>
      </w:tcPr>
    </w:tblStylePr>
    <w:tblStylePr w:type="firstCol">
      <w:rPr>
        <w:color w:val="FFFFFF" w:themeColor="background1"/>
      </w:rPr>
      <w:tblPr/>
      <w:tcPr>
        <w:tcBorders>
          <w:top w:val="nil"/>
          <w:left w:val="nil"/>
          <w:bottom w:val="nil"/>
          <w:right w:val="nil"/>
          <w:insideH w:val="single" w:sz="4" w:space="0" w:color="2190A0" w:themeColor="accent1" w:themeShade="99"/>
          <w:insideV w:val="nil"/>
        </w:tcBorders>
        <w:shd w:val="clear" w:color="auto" w:fill="2190A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190A0" w:themeFill="accent1" w:themeFillShade="99"/>
      </w:tcPr>
    </w:tblStylePr>
    <w:tblStylePr w:type="band1Vert">
      <w:tblPr/>
      <w:tcPr>
        <w:shd w:val="clear" w:color="auto" w:fill="C0ECF2" w:themeFill="accent1" w:themeFillTint="66"/>
      </w:tcPr>
    </w:tblStylePr>
    <w:tblStylePr w:type="band1Horz">
      <w:tblPr/>
      <w:tcPr>
        <w:shd w:val="clear" w:color="auto" w:fill="B1E7E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98"/>
    <w:semiHidden/>
    <w:unhideWhenUsed/>
    <w:rsid w:val="001F6DC1"/>
    <w:rPr>
      <w:color w:val="000000" w:themeColor="text1"/>
    </w:rPr>
    <w:tblPr>
      <w:tblStyleRowBandSize w:val="1"/>
      <w:tblStyleColBandSize w:val="1"/>
      <w:tblBorders>
        <w:top w:val="single" w:sz="24" w:space="0" w:color="C9C9CA" w:themeColor="accent2"/>
        <w:left w:val="single" w:sz="4" w:space="0" w:color="C9C9CA" w:themeColor="accent2"/>
        <w:bottom w:val="single" w:sz="4" w:space="0" w:color="C9C9CA" w:themeColor="accent2"/>
        <w:right w:val="single" w:sz="4" w:space="0" w:color="C9C9CA" w:themeColor="accent2"/>
        <w:insideH w:val="single" w:sz="4" w:space="0" w:color="FFFFFF" w:themeColor="background1"/>
        <w:insideV w:val="single" w:sz="4" w:space="0" w:color="FFFFFF" w:themeColor="background1"/>
      </w:tblBorders>
    </w:tblPr>
    <w:tcPr>
      <w:shd w:val="clear" w:color="auto" w:fill="F9F9F9" w:themeFill="accent2" w:themeFillTint="19"/>
    </w:tcPr>
    <w:tblStylePr w:type="firstRow">
      <w:rPr>
        <w:b/>
        <w:bCs/>
      </w:rPr>
      <w:tblPr/>
      <w:tcPr>
        <w:tcBorders>
          <w:top w:val="nil"/>
          <w:left w:val="nil"/>
          <w:bottom w:val="single" w:sz="24" w:space="0" w:color="C9C9C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7779" w:themeFill="accent2" w:themeFillShade="99"/>
      </w:tcPr>
    </w:tblStylePr>
    <w:tblStylePr w:type="firstCol">
      <w:rPr>
        <w:color w:val="FFFFFF" w:themeColor="background1"/>
      </w:rPr>
      <w:tblPr/>
      <w:tcPr>
        <w:tcBorders>
          <w:top w:val="nil"/>
          <w:left w:val="nil"/>
          <w:bottom w:val="nil"/>
          <w:right w:val="nil"/>
          <w:insideH w:val="single" w:sz="4" w:space="0" w:color="777779" w:themeColor="accent2" w:themeShade="99"/>
          <w:insideV w:val="nil"/>
        </w:tcBorders>
        <w:shd w:val="clear" w:color="auto" w:fill="77777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7779" w:themeFill="accent2" w:themeFillShade="99"/>
      </w:tcPr>
    </w:tblStylePr>
    <w:tblStylePr w:type="band1Vert">
      <w:tblPr/>
      <w:tcPr>
        <w:shd w:val="clear" w:color="auto" w:fill="E9E9E9" w:themeFill="accent2" w:themeFillTint="66"/>
      </w:tcPr>
    </w:tblStylePr>
    <w:tblStylePr w:type="band1Horz">
      <w:tblPr/>
      <w:tcPr>
        <w:shd w:val="clear" w:color="auto" w:fill="E4E4E4"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98"/>
    <w:semiHidden/>
    <w:unhideWhenUsed/>
    <w:rsid w:val="001F6DC1"/>
    <w:rPr>
      <w:color w:val="000000" w:themeColor="text1"/>
    </w:rPr>
    <w:tblPr>
      <w:tblStyleRowBandSize w:val="1"/>
      <w:tblStyleColBandSize w:val="1"/>
      <w:tblBorders>
        <w:top w:val="single" w:sz="24" w:space="0" w:color="A1A1A1" w:themeColor="accent4"/>
        <w:left w:val="single" w:sz="4" w:space="0" w:color="63D0DF" w:themeColor="accent3"/>
        <w:bottom w:val="single" w:sz="4" w:space="0" w:color="63D0DF" w:themeColor="accent3"/>
        <w:right w:val="single" w:sz="4" w:space="0" w:color="63D0DF" w:themeColor="accent3"/>
        <w:insideH w:val="single" w:sz="4" w:space="0" w:color="FFFFFF" w:themeColor="background1"/>
        <w:insideV w:val="single" w:sz="4" w:space="0" w:color="FFFFFF" w:themeColor="background1"/>
      </w:tblBorders>
    </w:tblPr>
    <w:tcPr>
      <w:shd w:val="clear" w:color="auto" w:fill="EFFAFB" w:themeFill="accent3" w:themeFillTint="19"/>
    </w:tcPr>
    <w:tblStylePr w:type="firstRow">
      <w:rPr>
        <w:b/>
        <w:bCs/>
      </w:rPr>
      <w:tblPr/>
      <w:tcPr>
        <w:tcBorders>
          <w:top w:val="nil"/>
          <w:left w:val="nil"/>
          <w:bottom w:val="single" w:sz="24" w:space="0" w:color="A1A1A1"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190A0" w:themeFill="accent3" w:themeFillShade="99"/>
      </w:tcPr>
    </w:tblStylePr>
    <w:tblStylePr w:type="firstCol">
      <w:rPr>
        <w:color w:val="FFFFFF" w:themeColor="background1"/>
      </w:rPr>
      <w:tblPr/>
      <w:tcPr>
        <w:tcBorders>
          <w:top w:val="nil"/>
          <w:left w:val="nil"/>
          <w:bottom w:val="nil"/>
          <w:right w:val="nil"/>
          <w:insideH w:val="single" w:sz="4" w:space="0" w:color="2190A0" w:themeColor="accent3" w:themeShade="99"/>
          <w:insideV w:val="nil"/>
        </w:tcBorders>
        <w:shd w:val="clear" w:color="auto" w:fill="2190A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2190A0" w:themeFill="accent3" w:themeFillShade="99"/>
      </w:tcPr>
    </w:tblStylePr>
    <w:tblStylePr w:type="band1Vert">
      <w:tblPr/>
      <w:tcPr>
        <w:shd w:val="clear" w:color="auto" w:fill="C0ECF2" w:themeFill="accent3" w:themeFillTint="66"/>
      </w:tcPr>
    </w:tblStylePr>
    <w:tblStylePr w:type="band1Horz">
      <w:tblPr/>
      <w:tcPr>
        <w:shd w:val="clear" w:color="auto" w:fill="B1E7EF" w:themeFill="accent3" w:themeFillTint="7F"/>
      </w:tcPr>
    </w:tblStylePr>
  </w:style>
  <w:style w:type="table" w:styleId="ColorfulShading-Accent4">
    <w:name w:val="Colorful Shading Accent 4"/>
    <w:basedOn w:val="TableNormal"/>
    <w:uiPriority w:val="98"/>
    <w:semiHidden/>
    <w:unhideWhenUsed/>
    <w:rsid w:val="001F6DC1"/>
    <w:rPr>
      <w:color w:val="000000" w:themeColor="text1"/>
    </w:rPr>
    <w:tblPr>
      <w:tblStyleRowBandSize w:val="1"/>
      <w:tblStyleColBandSize w:val="1"/>
      <w:tblBorders>
        <w:top w:val="single" w:sz="24" w:space="0" w:color="63D0DF" w:themeColor="accent3"/>
        <w:left w:val="single" w:sz="4" w:space="0" w:color="A1A1A1" w:themeColor="accent4"/>
        <w:bottom w:val="single" w:sz="4" w:space="0" w:color="A1A1A1" w:themeColor="accent4"/>
        <w:right w:val="single" w:sz="4" w:space="0" w:color="A1A1A1" w:themeColor="accent4"/>
        <w:insideH w:val="single" w:sz="4" w:space="0" w:color="FFFFFF" w:themeColor="background1"/>
        <w:insideV w:val="single" w:sz="4" w:space="0" w:color="FFFFFF" w:themeColor="background1"/>
      </w:tblBorders>
    </w:tblPr>
    <w:tcPr>
      <w:shd w:val="clear" w:color="auto" w:fill="F5F5F5" w:themeFill="accent4" w:themeFillTint="19"/>
    </w:tcPr>
    <w:tblStylePr w:type="firstRow">
      <w:rPr>
        <w:b/>
        <w:bCs/>
      </w:rPr>
      <w:tblPr/>
      <w:tcPr>
        <w:tcBorders>
          <w:top w:val="nil"/>
          <w:left w:val="nil"/>
          <w:bottom w:val="single" w:sz="24" w:space="0" w:color="63D0D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06060" w:themeFill="accent4" w:themeFillShade="99"/>
      </w:tcPr>
    </w:tblStylePr>
    <w:tblStylePr w:type="firstCol">
      <w:rPr>
        <w:color w:val="FFFFFF" w:themeColor="background1"/>
      </w:rPr>
      <w:tblPr/>
      <w:tcPr>
        <w:tcBorders>
          <w:top w:val="nil"/>
          <w:left w:val="nil"/>
          <w:bottom w:val="nil"/>
          <w:right w:val="nil"/>
          <w:insideH w:val="single" w:sz="4" w:space="0" w:color="606060" w:themeColor="accent4" w:themeShade="99"/>
          <w:insideV w:val="nil"/>
        </w:tcBorders>
        <w:shd w:val="clear" w:color="auto" w:fill="60606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606060" w:themeFill="accent4" w:themeFillShade="99"/>
      </w:tcPr>
    </w:tblStylePr>
    <w:tblStylePr w:type="band1Vert">
      <w:tblPr/>
      <w:tcPr>
        <w:shd w:val="clear" w:color="auto" w:fill="D9D9D9" w:themeFill="accent4" w:themeFillTint="66"/>
      </w:tcPr>
    </w:tblStylePr>
    <w:tblStylePr w:type="band1Horz">
      <w:tblPr/>
      <w:tcPr>
        <w:shd w:val="clear" w:color="auto" w:fill="D0D0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98"/>
    <w:semiHidden/>
    <w:unhideWhenUsed/>
    <w:rsid w:val="001F6DC1"/>
    <w:rPr>
      <w:color w:val="000000" w:themeColor="text1"/>
    </w:rPr>
    <w:tblPr>
      <w:tblStyleRowBandSize w:val="1"/>
      <w:tblStyleColBandSize w:val="1"/>
      <w:tblBorders>
        <w:top w:val="single" w:sz="24" w:space="0" w:color="A1A1A1" w:themeColor="accent6"/>
        <w:left w:val="single" w:sz="4" w:space="0" w:color="63D0DF" w:themeColor="accent5"/>
        <w:bottom w:val="single" w:sz="4" w:space="0" w:color="63D0DF" w:themeColor="accent5"/>
        <w:right w:val="single" w:sz="4" w:space="0" w:color="63D0DF" w:themeColor="accent5"/>
        <w:insideH w:val="single" w:sz="4" w:space="0" w:color="FFFFFF" w:themeColor="background1"/>
        <w:insideV w:val="single" w:sz="4" w:space="0" w:color="FFFFFF" w:themeColor="background1"/>
      </w:tblBorders>
    </w:tblPr>
    <w:tcPr>
      <w:shd w:val="clear" w:color="auto" w:fill="EFFAFB" w:themeFill="accent5" w:themeFillTint="19"/>
    </w:tcPr>
    <w:tblStylePr w:type="firstRow">
      <w:rPr>
        <w:b/>
        <w:bCs/>
      </w:rPr>
      <w:tblPr/>
      <w:tcPr>
        <w:tcBorders>
          <w:top w:val="nil"/>
          <w:left w:val="nil"/>
          <w:bottom w:val="single" w:sz="24" w:space="0" w:color="A1A1A1"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190A0" w:themeFill="accent5" w:themeFillShade="99"/>
      </w:tcPr>
    </w:tblStylePr>
    <w:tblStylePr w:type="firstCol">
      <w:rPr>
        <w:color w:val="FFFFFF" w:themeColor="background1"/>
      </w:rPr>
      <w:tblPr/>
      <w:tcPr>
        <w:tcBorders>
          <w:top w:val="nil"/>
          <w:left w:val="nil"/>
          <w:bottom w:val="nil"/>
          <w:right w:val="nil"/>
          <w:insideH w:val="single" w:sz="4" w:space="0" w:color="2190A0" w:themeColor="accent5" w:themeShade="99"/>
          <w:insideV w:val="nil"/>
        </w:tcBorders>
        <w:shd w:val="clear" w:color="auto" w:fill="2190A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190A0" w:themeFill="accent5" w:themeFillShade="99"/>
      </w:tcPr>
    </w:tblStylePr>
    <w:tblStylePr w:type="band1Vert">
      <w:tblPr/>
      <w:tcPr>
        <w:shd w:val="clear" w:color="auto" w:fill="C0ECF2" w:themeFill="accent5" w:themeFillTint="66"/>
      </w:tcPr>
    </w:tblStylePr>
    <w:tblStylePr w:type="band1Horz">
      <w:tblPr/>
      <w:tcPr>
        <w:shd w:val="clear" w:color="auto" w:fill="B1E7E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98"/>
    <w:semiHidden/>
    <w:unhideWhenUsed/>
    <w:rsid w:val="001F6DC1"/>
    <w:rPr>
      <w:color w:val="000000" w:themeColor="text1"/>
    </w:rPr>
    <w:tblPr>
      <w:tblStyleRowBandSize w:val="1"/>
      <w:tblStyleColBandSize w:val="1"/>
      <w:tblBorders>
        <w:top w:val="single" w:sz="24" w:space="0" w:color="63D0DF" w:themeColor="accent5"/>
        <w:left w:val="single" w:sz="4" w:space="0" w:color="A1A1A1" w:themeColor="accent6"/>
        <w:bottom w:val="single" w:sz="4" w:space="0" w:color="A1A1A1" w:themeColor="accent6"/>
        <w:right w:val="single" w:sz="4" w:space="0" w:color="A1A1A1" w:themeColor="accent6"/>
        <w:insideH w:val="single" w:sz="4" w:space="0" w:color="FFFFFF" w:themeColor="background1"/>
        <w:insideV w:val="single" w:sz="4" w:space="0" w:color="FFFFFF" w:themeColor="background1"/>
      </w:tblBorders>
    </w:tblPr>
    <w:tcPr>
      <w:shd w:val="clear" w:color="auto" w:fill="F5F5F5" w:themeFill="accent6" w:themeFillTint="19"/>
    </w:tcPr>
    <w:tblStylePr w:type="firstRow">
      <w:rPr>
        <w:b/>
        <w:bCs/>
      </w:rPr>
      <w:tblPr/>
      <w:tcPr>
        <w:tcBorders>
          <w:top w:val="nil"/>
          <w:left w:val="nil"/>
          <w:bottom w:val="single" w:sz="24" w:space="0" w:color="63D0DF"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06060" w:themeFill="accent6" w:themeFillShade="99"/>
      </w:tcPr>
    </w:tblStylePr>
    <w:tblStylePr w:type="firstCol">
      <w:rPr>
        <w:color w:val="FFFFFF" w:themeColor="background1"/>
      </w:rPr>
      <w:tblPr/>
      <w:tcPr>
        <w:tcBorders>
          <w:top w:val="nil"/>
          <w:left w:val="nil"/>
          <w:bottom w:val="nil"/>
          <w:right w:val="nil"/>
          <w:insideH w:val="single" w:sz="4" w:space="0" w:color="606060" w:themeColor="accent6" w:themeShade="99"/>
          <w:insideV w:val="nil"/>
        </w:tcBorders>
        <w:shd w:val="clear" w:color="auto" w:fill="60606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06060" w:themeFill="accent6" w:themeFillShade="99"/>
      </w:tcPr>
    </w:tblStylePr>
    <w:tblStylePr w:type="band1Vert">
      <w:tblPr/>
      <w:tcPr>
        <w:shd w:val="clear" w:color="auto" w:fill="D9D9D9" w:themeFill="accent6" w:themeFillTint="66"/>
      </w:tcPr>
    </w:tblStylePr>
    <w:tblStylePr w:type="band1Horz">
      <w:tblPr/>
      <w:tcPr>
        <w:shd w:val="clear" w:color="auto" w:fill="D0D0D0"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98"/>
    <w:semiHidden/>
    <w:unhideWhenUsed/>
    <w:rsid w:val="001F6DC1"/>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98"/>
    <w:semiHidden/>
    <w:unhideWhenUsed/>
    <w:rsid w:val="001F6DC1"/>
    <w:rPr>
      <w:color w:val="FFFFFF" w:themeColor="background1"/>
    </w:rPr>
    <w:tblPr>
      <w:tblStyleRowBandSize w:val="1"/>
      <w:tblStyleColBandSize w:val="1"/>
    </w:tblPr>
    <w:tcPr>
      <w:shd w:val="clear" w:color="auto" w:fill="63D0D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B7885"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9B4C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9B4C7" w:themeFill="accent1" w:themeFillShade="BF"/>
      </w:tcPr>
    </w:tblStylePr>
    <w:tblStylePr w:type="band1Vert">
      <w:tblPr/>
      <w:tcPr>
        <w:tcBorders>
          <w:top w:val="nil"/>
          <w:left w:val="nil"/>
          <w:bottom w:val="nil"/>
          <w:right w:val="nil"/>
          <w:insideH w:val="nil"/>
          <w:insideV w:val="nil"/>
        </w:tcBorders>
        <w:shd w:val="clear" w:color="auto" w:fill="29B4C7" w:themeFill="accent1" w:themeFillShade="BF"/>
      </w:tcPr>
    </w:tblStylePr>
    <w:tblStylePr w:type="band1Horz">
      <w:tblPr/>
      <w:tcPr>
        <w:tcBorders>
          <w:top w:val="nil"/>
          <w:left w:val="nil"/>
          <w:bottom w:val="nil"/>
          <w:right w:val="nil"/>
          <w:insideH w:val="nil"/>
          <w:insideV w:val="nil"/>
        </w:tcBorders>
        <w:shd w:val="clear" w:color="auto" w:fill="29B4C7" w:themeFill="accent1" w:themeFillShade="BF"/>
      </w:tcPr>
    </w:tblStylePr>
  </w:style>
  <w:style w:type="table" w:styleId="DarkList-Accent2">
    <w:name w:val="Dark List Accent 2"/>
    <w:basedOn w:val="TableNormal"/>
    <w:uiPriority w:val="98"/>
    <w:semiHidden/>
    <w:unhideWhenUsed/>
    <w:rsid w:val="001F6DC1"/>
    <w:rPr>
      <w:color w:val="FFFFFF" w:themeColor="background1"/>
    </w:rPr>
    <w:tblPr>
      <w:tblStyleRowBandSize w:val="1"/>
      <w:tblStyleColBandSize w:val="1"/>
    </w:tblPr>
    <w:tcPr>
      <w:shd w:val="clear" w:color="auto" w:fill="C9C9CA"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36365"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59597"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59597" w:themeFill="accent2" w:themeFillShade="BF"/>
      </w:tcPr>
    </w:tblStylePr>
    <w:tblStylePr w:type="band1Vert">
      <w:tblPr/>
      <w:tcPr>
        <w:tcBorders>
          <w:top w:val="nil"/>
          <w:left w:val="nil"/>
          <w:bottom w:val="nil"/>
          <w:right w:val="nil"/>
          <w:insideH w:val="nil"/>
          <w:insideV w:val="nil"/>
        </w:tcBorders>
        <w:shd w:val="clear" w:color="auto" w:fill="959597" w:themeFill="accent2" w:themeFillShade="BF"/>
      </w:tcPr>
    </w:tblStylePr>
    <w:tblStylePr w:type="band1Horz">
      <w:tblPr/>
      <w:tcPr>
        <w:tcBorders>
          <w:top w:val="nil"/>
          <w:left w:val="nil"/>
          <w:bottom w:val="nil"/>
          <w:right w:val="nil"/>
          <w:insideH w:val="nil"/>
          <w:insideV w:val="nil"/>
        </w:tcBorders>
        <w:shd w:val="clear" w:color="auto" w:fill="959597" w:themeFill="accent2" w:themeFillShade="BF"/>
      </w:tcPr>
    </w:tblStylePr>
  </w:style>
  <w:style w:type="table" w:styleId="DarkList-Accent3">
    <w:name w:val="Dark List Accent 3"/>
    <w:basedOn w:val="TableNormal"/>
    <w:uiPriority w:val="98"/>
    <w:semiHidden/>
    <w:unhideWhenUsed/>
    <w:rsid w:val="001F6DC1"/>
    <w:rPr>
      <w:color w:val="FFFFFF" w:themeColor="background1"/>
    </w:rPr>
    <w:tblPr>
      <w:tblStyleRowBandSize w:val="1"/>
      <w:tblStyleColBandSize w:val="1"/>
    </w:tblPr>
    <w:tcPr>
      <w:shd w:val="clear" w:color="auto" w:fill="63D0D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B7885"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9B4C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9B4C7" w:themeFill="accent3" w:themeFillShade="BF"/>
      </w:tcPr>
    </w:tblStylePr>
    <w:tblStylePr w:type="band1Vert">
      <w:tblPr/>
      <w:tcPr>
        <w:tcBorders>
          <w:top w:val="nil"/>
          <w:left w:val="nil"/>
          <w:bottom w:val="nil"/>
          <w:right w:val="nil"/>
          <w:insideH w:val="nil"/>
          <w:insideV w:val="nil"/>
        </w:tcBorders>
        <w:shd w:val="clear" w:color="auto" w:fill="29B4C7" w:themeFill="accent3" w:themeFillShade="BF"/>
      </w:tcPr>
    </w:tblStylePr>
    <w:tblStylePr w:type="band1Horz">
      <w:tblPr/>
      <w:tcPr>
        <w:tcBorders>
          <w:top w:val="nil"/>
          <w:left w:val="nil"/>
          <w:bottom w:val="nil"/>
          <w:right w:val="nil"/>
          <w:insideH w:val="nil"/>
          <w:insideV w:val="nil"/>
        </w:tcBorders>
        <w:shd w:val="clear" w:color="auto" w:fill="29B4C7" w:themeFill="accent3" w:themeFillShade="BF"/>
      </w:tcPr>
    </w:tblStylePr>
  </w:style>
  <w:style w:type="table" w:styleId="DarkList-Accent4">
    <w:name w:val="Dark List Accent 4"/>
    <w:basedOn w:val="TableNormal"/>
    <w:uiPriority w:val="98"/>
    <w:semiHidden/>
    <w:unhideWhenUsed/>
    <w:rsid w:val="001F6DC1"/>
    <w:rPr>
      <w:color w:val="FFFFFF" w:themeColor="background1"/>
    </w:rPr>
    <w:tblPr>
      <w:tblStyleRowBandSize w:val="1"/>
      <w:tblStyleColBandSize w:val="1"/>
    </w:tblPr>
    <w:tcPr>
      <w:shd w:val="clear" w:color="auto" w:fill="A1A1A1"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0505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787878"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787878" w:themeFill="accent4" w:themeFillShade="BF"/>
      </w:tcPr>
    </w:tblStylePr>
    <w:tblStylePr w:type="band1Vert">
      <w:tblPr/>
      <w:tcPr>
        <w:tcBorders>
          <w:top w:val="nil"/>
          <w:left w:val="nil"/>
          <w:bottom w:val="nil"/>
          <w:right w:val="nil"/>
          <w:insideH w:val="nil"/>
          <w:insideV w:val="nil"/>
        </w:tcBorders>
        <w:shd w:val="clear" w:color="auto" w:fill="787878" w:themeFill="accent4" w:themeFillShade="BF"/>
      </w:tcPr>
    </w:tblStylePr>
    <w:tblStylePr w:type="band1Horz">
      <w:tblPr/>
      <w:tcPr>
        <w:tcBorders>
          <w:top w:val="nil"/>
          <w:left w:val="nil"/>
          <w:bottom w:val="nil"/>
          <w:right w:val="nil"/>
          <w:insideH w:val="nil"/>
          <w:insideV w:val="nil"/>
        </w:tcBorders>
        <w:shd w:val="clear" w:color="auto" w:fill="787878" w:themeFill="accent4" w:themeFillShade="BF"/>
      </w:tcPr>
    </w:tblStylePr>
  </w:style>
  <w:style w:type="table" w:styleId="DarkList-Accent5">
    <w:name w:val="Dark List Accent 5"/>
    <w:basedOn w:val="TableNormal"/>
    <w:uiPriority w:val="98"/>
    <w:semiHidden/>
    <w:unhideWhenUsed/>
    <w:rsid w:val="001F6DC1"/>
    <w:rPr>
      <w:color w:val="FFFFFF" w:themeColor="background1"/>
    </w:rPr>
    <w:tblPr>
      <w:tblStyleRowBandSize w:val="1"/>
      <w:tblStyleColBandSize w:val="1"/>
    </w:tblPr>
    <w:tcPr>
      <w:shd w:val="clear" w:color="auto" w:fill="63D0DF"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B788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9B4C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9B4C7" w:themeFill="accent5" w:themeFillShade="BF"/>
      </w:tcPr>
    </w:tblStylePr>
    <w:tblStylePr w:type="band1Vert">
      <w:tblPr/>
      <w:tcPr>
        <w:tcBorders>
          <w:top w:val="nil"/>
          <w:left w:val="nil"/>
          <w:bottom w:val="nil"/>
          <w:right w:val="nil"/>
          <w:insideH w:val="nil"/>
          <w:insideV w:val="nil"/>
        </w:tcBorders>
        <w:shd w:val="clear" w:color="auto" w:fill="29B4C7" w:themeFill="accent5" w:themeFillShade="BF"/>
      </w:tcPr>
    </w:tblStylePr>
    <w:tblStylePr w:type="band1Horz">
      <w:tblPr/>
      <w:tcPr>
        <w:tcBorders>
          <w:top w:val="nil"/>
          <w:left w:val="nil"/>
          <w:bottom w:val="nil"/>
          <w:right w:val="nil"/>
          <w:insideH w:val="nil"/>
          <w:insideV w:val="nil"/>
        </w:tcBorders>
        <w:shd w:val="clear" w:color="auto" w:fill="29B4C7" w:themeFill="accent5" w:themeFillShade="BF"/>
      </w:tcPr>
    </w:tblStylePr>
  </w:style>
  <w:style w:type="table" w:styleId="DarkList-Accent6">
    <w:name w:val="Dark List Accent 6"/>
    <w:basedOn w:val="TableNormal"/>
    <w:uiPriority w:val="98"/>
    <w:semiHidden/>
    <w:unhideWhenUsed/>
    <w:rsid w:val="001F6DC1"/>
    <w:rPr>
      <w:color w:val="FFFFFF" w:themeColor="background1"/>
    </w:rPr>
    <w:tblPr>
      <w:tblStyleRowBandSize w:val="1"/>
      <w:tblStyleColBandSize w:val="1"/>
    </w:tblPr>
    <w:tcPr>
      <w:shd w:val="clear" w:color="auto" w:fill="A1A1A1"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0505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87878"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87878" w:themeFill="accent6" w:themeFillShade="BF"/>
      </w:tcPr>
    </w:tblStylePr>
    <w:tblStylePr w:type="band1Vert">
      <w:tblPr/>
      <w:tcPr>
        <w:tcBorders>
          <w:top w:val="nil"/>
          <w:left w:val="nil"/>
          <w:bottom w:val="nil"/>
          <w:right w:val="nil"/>
          <w:insideH w:val="nil"/>
          <w:insideV w:val="nil"/>
        </w:tcBorders>
        <w:shd w:val="clear" w:color="auto" w:fill="787878" w:themeFill="accent6" w:themeFillShade="BF"/>
      </w:tcPr>
    </w:tblStylePr>
    <w:tblStylePr w:type="band1Horz">
      <w:tblPr/>
      <w:tcPr>
        <w:tcBorders>
          <w:top w:val="nil"/>
          <w:left w:val="nil"/>
          <w:bottom w:val="nil"/>
          <w:right w:val="nil"/>
          <w:insideH w:val="nil"/>
          <w:insideV w:val="nil"/>
        </w:tcBorders>
        <w:shd w:val="clear" w:color="auto" w:fill="787878" w:themeFill="accent6" w:themeFillShade="BF"/>
      </w:tcPr>
    </w:tblStylePr>
  </w:style>
  <w:style w:type="table" w:styleId="LightGrid">
    <w:name w:val="Light Grid"/>
    <w:basedOn w:val="TableNormal"/>
    <w:uiPriority w:val="98"/>
    <w:semiHidden/>
    <w:unhideWhenUsed/>
    <w:rsid w:val="001F6DC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98"/>
    <w:semiHidden/>
    <w:unhideWhenUsed/>
    <w:rsid w:val="001F6DC1"/>
    <w:tblPr>
      <w:tblStyleRowBandSize w:val="1"/>
      <w:tblStyleColBandSize w:val="1"/>
      <w:tblBorders>
        <w:top w:val="single" w:sz="8" w:space="0" w:color="63D0DF" w:themeColor="accent1"/>
        <w:left w:val="single" w:sz="8" w:space="0" w:color="63D0DF" w:themeColor="accent1"/>
        <w:bottom w:val="single" w:sz="8" w:space="0" w:color="63D0DF" w:themeColor="accent1"/>
        <w:right w:val="single" w:sz="8" w:space="0" w:color="63D0DF" w:themeColor="accent1"/>
        <w:insideH w:val="single" w:sz="8" w:space="0" w:color="63D0DF" w:themeColor="accent1"/>
        <w:insideV w:val="single" w:sz="8" w:space="0" w:color="63D0D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3D0DF" w:themeColor="accent1"/>
          <w:left w:val="single" w:sz="8" w:space="0" w:color="63D0DF" w:themeColor="accent1"/>
          <w:bottom w:val="single" w:sz="18" w:space="0" w:color="63D0DF" w:themeColor="accent1"/>
          <w:right w:val="single" w:sz="8" w:space="0" w:color="63D0DF" w:themeColor="accent1"/>
          <w:insideH w:val="nil"/>
          <w:insideV w:val="single" w:sz="8" w:space="0" w:color="63D0D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3D0DF" w:themeColor="accent1"/>
          <w:left w:val="single" w:sz="8" w:space="0" w:color="63D0DF" w:themeColor="accent1"/>
          <w:bottom w:val="single" w:sz="8" w:space="0" w:color="63D0DF" w:themeColor="accent1"/>
          <w:right w:val="single" w:sz="8" w:space="0" w:color="63D0DF" w:themeColor="accent1"/>
          <w:insideH w:val="nil"/>
          <w:insideV w:val="single" w:sz="8" w:space="0" w:color="63D0D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3D0DF" w:themeColor="accent1"/>
          <w:left w:val="single" w:sz="8" w:space="0" w:color="63D0DF" w:themeColor="accent1"/>
          <w:bottom w:val="single" w:sz="8" w:space="0" w:color="63D0DF" w:themeColor="accent1"/>
          <w:right w:val="single" w:sz="8" w:space="0" w:color="63D0DF" w:themeColor="accent1"/>
        </w:tcBorders>
      </w:tcPr>
    </w:tblStylePr>
    <w:tblStylePr w:type="band1Vert">
      <w:tblPr/>
      <w:tcPr>
        <w:tcBorders>
          <w:top w:val="single" w:sz="8" w:space="0" w:color="63D0DF" w:themeColor="accent1"/>
          <w:left w:val="single" w:sz="8" w:space="0" w:color="63D0DF" w:themeColor="accent1"/>
          <w:bottom w:val="single" w:sz="8" w:space="0" w:color="63D0DF" w:themeColor="accent1"/>
          <w:right w:val="single" w:sz="8" w:space="0" w:color="63D0DF" w:themeColor="accent1"/>
        </w:tcBorders>
        <w:shd w:val="clear" w:color="auto" w:fill="D8F3F7" w:themeFill="accent1" w:themeFillTint="3F"/>
      </w:tcPr>
    </w:tblStylePr>
    <w:tblStylePr w:type="band1Horz">
      <w:tblPr/>
      <w:tcPr>
        <w:tcBorders>
          <w:top w:val="single" w:sz="8" w:space="0" w:color="63D0DF" w:themeColor="accent1"/>
          <w:left w:val="single" w:sz="8" w:space="0" w:color="63D0DF" w:themeColor="accent1"/>
          <w:bottom w:val="single" w:sz="8" w:space="0" w:color="63D0DF" w:themeColor="accent1"/>
          <w:right w:val="single" w:sz="8" w:space="0" w:color="63D0DF" w:themeColor="accent1"/>
          <w:insideV w:val="single" w:sz="8" w:space="0" w:color="63D0DF" w:themeColor="accent1"/>
        </w:tcBorders>
        <w:shd w:val="clear" w:color="auto" w:fill="D8F3F7" w:themeFill="accent1" w:themeFillTint="3F"/>
      </w:tcPr>
    </w:tblStylePr>
    <w:tblStylePr w:type="band2Horz">
      <w:tblPr/>
      <w:tcPr>
        <w:tcBorders>
          <w:top w:val="single" w:sz="8" w:space="0" w:color="63D0DF" w:themeColor="accent1"/>
          <w:left w:val="single" w:sz="8" w:space="0" w:color="63D0DF" w:themeColor="accent1"/>
          <w:bottom w:val="single" w:sz="8" w:space="0" w:color="63D0DF" w:themeColor="accent1"/>
          <w:right w:val="single" w:sz="8" w:space="0" w:color="63D0DF" w:themeColor="accent1"/>
          <w:insideV w:val="single" w:sz="8" w:space="0" w:color="63D0DF" w:themeColor="accent1"/>
        </w:tcBorders>
      </w:tcPr>
    </w:tblStylePr>
  </w:style>
  <w:style w:type="table" w:styleId="LightGrid-Accent2">
    <w:name w:val="Light Grid Accent 2"/>
    <w:basedOn w:val="TableNormal"/>
    <w:uiPriority w:val="98"/>
    <w:semiHidden/>
    <w:unhideWhenUsed/>
    <w:rsid w:val="001F6DC1"/>
    <w:tblPr>
      <w:tblStyleRowBandSize w:val="1"/>
      <w:tblStyleColBandSize w:val="1"/>
      <w:tblBorders>
        <w:top w:val="single" w:sz="8" w:space="0" w:color="C9C9CA" w:themeColor="accent2"/>
        <w:left w:val="single" w:sz="8" w:space="0" w:color="C9C9CA" w:themeColor="accent2"/>
        <w:bottom w:val="single" w:sz="8" w:space="0" w:color="C9C9CA" w:themeColor="accent2"/>
        <w:right w:val="single" w:sz="8" w:space="0" w:color="C9C9CA" w:themeColor="accent2"/>
        <w:insideH w:val="single" w:sz="8" w:space="0" w:color="C9C9CA" w:themeColor="accent2"/>
        <w:insideV w:val="single" w:sz="8" w:space="0" w:color="C9C9CA"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9C9CA" w:themeColor="accent2"/>
          <w:left w:val="single" w:sz="8" w:space="0" w:color="C9C9CA" w:themeColor="accent2"/>
          <w:bottom w:val="single" w:sz="18" w:space="0" w:color="C9C9CA" w:themeColor="accent2"/>
          <w:right w:val="single" w:sz="8" w:space="0" w:color="C9C9CA" w:themeColor="accent2"/>
          <w:insideH w:val="nil"/>
          <w:insideV w:val="single" w:sz="8" w:space="0" w:color="C9C9CA"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9C9CA" w:themeColor="accent2"/>
          <w:left w:val="single" w:sz="8" w:space="0" w:color="C9C9CA" w:themeColor="accent2"/>
          <w:bottom w:val="single" w:sz="8" w:space="0" w:color="C9C9CA" w:themeColor="accent2"/>
          <w:right w:val="single" w:sz="8" w:space="0" w:color="C9C9CA" w:themeColor="accent2"/>
          <w:insideH w:val="nil"/>
          <w:insideV w:val="single" w:sz="8" w:space="0" w:color="C9C9CA"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9C9CA" w:themeColor="accent2"/>
          <w:left w:val="single" w:sz="8" w:space="0" w:color="C9C9CA" w:themeColor="accent2"/>
          <w:bottom w:val="single" w:sz="8" w:space="0" w:color="C9C9CA" w:themeColor="accent2"/>
          <w:right w:val="single" w:sz="8" w:space="0" w:color="C9C9CA" w:themeColor="accent2"/>
        </w:tcBorders>
      </w:tcPr>
    </w:tblStylePr>
    <w:tblStylePr w:type="band1Vert">
      <w:tblPr/>
      <w:tcPr>
        <w:tcBorders>
          <w:top w:val="single" w:sz="8" w:space="0" w:color="C9C9CA" w:themeColor="accent2"/>
          <w:left w:val="single" w:sz="8" w:space="0" w:color="C9C9CA" w:themeColor="accent2"/>
          <w:bottom w:val="single" w:sz="8" w:space="0" w:color="C9C9CA" w:themeColor="accent2"/>
          <w:right w:val="single" w:sz="8" w:space="0" w:color="C9C9CA" w:themeColor="accent2"/>
        </w:tcBorders>
        <w:shd w:val="clear" w:color="auto" w:fill="F1F1F1" w:themeFill="accent2" w:themeFillTint="3F"/>
      </w:tcPr>
    </w:tblStylePr>
    <w:tblStylePr w:type="band1Horz">
      <w:tblPr/>
      <w:tcPr>
        <w:tcBorders>
          <w:top w:val="single" w:sz="8" w:space="0" w:color="C9C9CA" w:themeColor="accent2"/>
          <w:left w:val="single" w:sz="8" w:space="0" w:color="C9C9CA" w:themeColor="accent2"/>
          <w:bottom w:val="single" w:sz="8" w:space="0" w:color="C9C9CA" w:themeColor="accent2"/>
          <w:right w:val="single" w:sz="8" w:space="0" w:color="C9C9CA" w:themeColor="accent2"/>
          <w:insideV w:val="single" w:sz="8" w:space="0" w:color="C9C9CA" w:themeColor="accent2"/>
        </w:tcBorders>
        <w:shd w:val="clear" w:color="auto" w:fill="F1F1F1" w:themeFill="accent2" w:themeFillTint="3F"/>
      </w:tcPr>
    </w:tblStylePr>
    <w:tblStylePr w:type="band2Horz">
      <w:tblPr/>
      <w:tcPr>
        <w:tcBorders>
          <w:top w:val="single" w:sz="8" w:space="0" w:color="C9C9CA" w:themeColor="accent2"/>
          <w:left w:val="single" w:sz="8" w:space="0" w:color="C9C9CA" w:themeColor="accent2"/>
          <w:bottom w:val="single" w:sz="8" w:space="0" w:color="C9C9CA" w:themeColor="accent2"/>
          <w:right w:val="single" w:sz="8" w:space="0" w:color="C9C9CA" w:themeColor="accent2"/>
          <w:insideV w:val="single" w:sz="8" w:space="0" w:color="C9C9CA" w:themeColor="accent2"/>
        </w:tcBorders>
      </w:tcPr>
    </w:tblStylePr>
  </w:style>
  <w:style w:type="table" w:styleId="LightGrid-Accent3">
    <w:name w:val="Light Grid Accent 3"/>
    <w:basedOn w:val="TableNormal"/>
    <w:uiPriority w:val="98"/>
    <w:semiHidden/>
    <w:unhideWhenUsed/>
    <w:rsid w:val="001F6DC1"/>
    <w:tblPr>
      <w:tblStyleRowBandSize w:val="1"/>
      <w:tblStyleColBandSize w:val="1"/>
      <w:tblBorders>
        <w:top w:val="single" w:sz="8" w:space="0" w:color="63D0DF" w:themeColor="accent3"/>
        <w:left w:val="single" w:sz="8" w:space="0" w:color="63D0DF" w:themeColor="accent3"/>
        <w:bottom w:val="single" w:sz="8" w:space="0" w:color="63D0DF" w:themeColor="accent3"/>
        <w:right w:val="single" w:sz="8" w:space="0" w:color="63D0DF" w:themeColor="accent3"/>
        <w:insideH w:val="single" w:sz="8" w:space="0" w:color="63D0DF" w:themeColor="accent3"/>
        <w:insideV w:val="single" w:sz="8" w:space="0" w:color="63D0D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3D0DF" w:themeColor="accent3"/>
          <w:left w:val="single" w:sz="8" w:space="0" w:color="63D0DF" w:themeColor="accent3"/>
          <w:bottom w:val="single" w:sz="18" w:space="0" w:color="63D0DF" w:themeColor="accent3"/>
          <w:right w:val="single" w:sz="8" w:space="0" w:color="63D0DF" w:themeColor="accent3"/>
          <w:insideH w:val="nil"/>
          <w:insideV w:val="single" w:sz="8" w:space="0" w:color="63D0D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3D0DF" w:themeColor="accent3"/>
          <w:left w:val="single" w:sz="8" w:space="0" w:color="63D0DF" w:themeColor="accent3"/>
          <w:bottom w:val="single" w:sz="8" w:space="0" w:color="63D0DF" w:themeColor="accent3"/>
          <w:right w:val="single" w:sz="8" w:space="0" w:color="63D0DF" w:themeColor="accent3"/>
          <w:insideH w:val="nil"/>
          <w:insideV w:val="single" w:sz="8" w:space="0" w:color="63D0D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3D0DF" w:themeColor="accent3"/>
          <w:left w:val="single" w:sz="8" w:space="0" w:color="63D0DF" w:themeColor="accent3"/>
          <w:bottom w:val="single" w:sz="8" w:space="0" w:color="63D0DF" w:themeColor="accent3"/>
          <w:right w:val="single" w:sz="8" w:space="0" w:color="63D0DF" w:themeColor="accent3"/>
        </w:tcBorders>
      </w:tcPr>
    </w:tblStylePr>
    <w:tblStylePr w:type="band1Vert">
      <w:tblPr/>
      <w:tcPr>
        <w:tcBorders>
          <w:top w:val="single" w:sz="8" w:space="0" w:color="63D0DF" w:themeColor="accent3"/>
          <w:left w:val="single" w:sz="8" w:space="0" w:color="63D0DF" w:themeColor="accent3"/>
          <w:bottom w:val="single" w:sz="8" w:space="0" w:color="63D0DF" w:themeColor="accent3"/>
          <w:right w:val="single" w:sz="8" w:space="0" w:color="63D0DF" w:themeColor="accent3"/>
        </w:tcBorders>
        <w:shd w:val="clear" w:color="auto" w:fill="D8F3F7" w:themeFill="accent3" w:themeFillTint="3F"/>
      </w:tcPr>
    </w:tblStylePr>
    <w:tblStylePr w:type="band1Horz">
      <w:tblPr/>
      <w:tcPr>
        <w:tcBorders>
          <w:top w:val="single" w:sz="8" w:space="0" w:color="63D0DF" w:themeColor="accent3"/>
          <w:left w:val="single" w:sz="8" w:space="0" w:color="63D0DF" w:themeColor="accent3"/>
          <w:bottom w:val="single" w:sz="8" w:space="0" w:color="63D0DF" w:themeColor="accent3"/>
          <w:right w:val="single" w:sz="8" w:space="0" w:color="63D0DF" w:themeColor="accent3"/>
          <w:insideV w:val="single" w:sz="8" w:space="0" w:color="63D0DF" w:themeColor="accent3"/>
        </w:tcBorders>
        <w:shd w:val="clear" w:color="auto" w:fill="D8F3F7" w:themeFill="accent3" w:themeFillTint="3F"/>
      </w:tcPr>
    </w:tblStylePr>
    <w:tblStylePr w:type="band2Horz">
      <w:tblPr/>
      <w:tcPr>
        <w:tcBorders>
          <w:top w:val="single" w:sz="8" w:space="0" w:color="63D0DF" w:themeColor="accent3"/>
          <w:left w:val="single" w:sz="8" w:space="0" w:color="63D0DF" w:themeColor="accent3"/>
          <w:bottom w:val="single" w:sz="8" w:space="0" w:color="63D0DF" w:themeColor="accent3"/>
          <w:right w:val="single" w:sz="8" w:space="0" w:color="63D0DF" w:themeColor="accent3"/>
          <w:insideV w:val="single" w:sz="8" w:space="0" w:color="63D0DF" w:themeColor="accent3"/>
        </w:tcBorders>
      </w:tcPr>
    </w:tblStylePr>
  </w:style>
  <w:style w:type="table" w:styleId="LightGrid-Accent4">
    <w:name w:val="Light Grid Accent 4"/>
    <w:basedOn w:val="TableNormal"/>
    <w:uiPriority w:val="98"/>
    <w:semiHidden/>
    <w:unhideWhenUsed/>
    <w:rsid w:val="001F6DC1"/>
    <w:tblPr>
      <w:tblStyleRowBandSize w:val="1"/>
      <w:tblStyleColBandSize w:val="1"/>
      <w:tblBorders>
        <w:top w:val="single" w:sz="8" w:space="0" w:color="A1A1A1" w:themeColor="accent4"/>
        <w:left w:val="single" w:sz="8" w:space="0" w:color="A1A1A1" w:themeColor="accent4"/>
        <w:bottom w:val="single" w:sz="8" w:space="0" w:color="A1A1A1" w:themeColor="accent4"/>
        <w:right w:val="single" w:sz="8" w:space="0" w:color="A1A1A1" w:themeColor="accent4"/>
        <w:insideH w:val="single" w:sz="8" w:space="0" w:color="A1A1A1" w:themeColor="accent4"/>
        <w:insideV w:val="single" w:sz="8" w:space="0" w:color="A1A1A1"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1A1A1" w:themeColor="accent4"/>
          <w:left w:val="single" w:sz="8" w:space="0" w:color="A1A1A1" w:themeColor="accent4"/>
          <w:bottom w:val="single" w:sz="18" w:space="0" w:color="A1A1A1" w:themeColor="accent4"/>
          <w:right w:val="single" w:sz="8" w:space="0" w:color="A1A1A1" w:themeColor="accent4"/>
          <w:insideH w:val="nil"/>
          <w:insideV w:val="single" w:sz="8" w:space="0" w:color="A1A1A1"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1A1A1" w:themeColor="accent4"/>
          <w:left w:val="single" w:sz="8" w:space="0" w:color="A1A1A1" w:themeColor="accent4"/>
          <w:bottom w:val="single" w:sz="8" w:space="0" w:color="A1A1A1" w:themeColor="accent4"/>
          <w:right w:val="single" w:sz="8" w:space="0" w:color="A1A1A1" w:themeColor="accent4"/>
          <w:insideH w:val="nil"/>
          <w:insideV w:val="single" w:sz="8" w:space="0" w:color="A1A1A1"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1A1A1" w:themeColor="accent4"/>
          <w:left w:val="single" w:sz="8" w:space="0" w:color="A1A1A1" w:themeColor="accent4"/>
          <w:bottom w:val="single" w:sz="8" w:space="0" w:color="A1A1A1" w:themeColor="accent4"/>
          <w:right w:val="single" w:sz="8" w:space="0" w:color="A1A1A1" w:themeColor="accent4"/>
        </w:tcBorders>
      </w:tcPr>
    </w:tblStylePr>
    <w:tblStylePr w:type="band1Vert">
      <w:tblPr/>
      <w:tcPr>
        <w:tcBorders>
          <w:top w:val="single" w:sz="8" w:space="0" w:color="A1A1A1" w:themeColor="accent4"/>
          <w:left w:val="single" w:sz="8" w:space="0" w:color="A1A1A1" w:themeColor="accent4"/>
          <w:bottom w:val="single" w:sz="8" w:space="0" w:color="A1A1A1" w:themeColor="accent4"/>
          <w:right w:val="single" w:sz="8" w:space="0" w:color="A1A1A1" w:themeColor="accent4"/>
        </w:tcBorders>
        <w:shd w:val="clear" w:color="auto" w:fill="E7E7E7" w:themeFill="accent4" w:themeFillTint="3F"/>
      </w:tcPr>
    </w:tblStylePr>
    <w:tblStylePr w:type="band1Horz">
      <w:tblPr/>
      <w:tcPr>
        <w:tcBorders>
          <w:top w:val="single" w:sz="8" w:space="0" w:color="A1A1A1" w:themeColor="accent4"/>
          <w:left w:val="single" w:sz="8" w:space="0" w:color="A1A1A1" w:themeColor="accent4"/>
          <w:bottom w:val="single" w:sz="8" w:space="0" w:color="A1A1A1" w:themeColor="accent4"/>
          <w:right w:val="single" w:sz="8" w:space="0" w:color="A1A1A1" w:themeColor="accent4"/>
          <w:insideV w:val="single" w:sz="8" w:space="0" w:color="A1A1A1" w:themeColor="accent4"/>
        </w:tcBorders>
        <w:shd w:val="clear" w:color="auto" w:fill="E7E7E7" w:themeFill="accent4" w:themeFillTint="3F"/>
      </w:tcPr>
    </w:tblStylePr>
    <w:tblStylePr w:type="band2Horz">
      <w:tblPr/>
      <w:tcPr>
        <w:tcBorders>
          <w:top w:val="single" w:sz="8" w:space="0" w:color="A1A1A1" w:themeColor="accent4"/>
          <w:left w:val="single" w:sz="8" w:space="0" w:color="A1A1A1" w:themeColor="accent4"/>
          <w:bottom w:val="single" w:sz="8" w:space="0" w:color="A1A1A1" w:themeColor="accent4"/>
          <w:right w:val="single" w:sz="8" w:space="0" w:color="A1A1A1" w:themeColor="accent4"/>
          <w:insideV w:val="single" w:sz="8" w:space="0" w:color="A1A1A1" w:themeColor="accent4"/>
        </w:tcBorders>
      </w:tcPr>
    </w:tblStylePr>
  </w:style>
  <w:style w:type="table" w:styleId="LightGrid-Accent5">
    <w:name w:val="Light Grid Accent 5"/>
    <w:basedOn w:val="TableNormal"/>
    <w:uiPriority w:val="98"/>
    <w:semiHidden/>
    <w:unhideWhenUsed/>
    <w:rsid w:val="001F6DC1"/>
    <w:tblPr>
      <w:tblStyleRowBandSize w:val="1"/>
      <w:tblStyleColBandSize w:val="1"/>
      <w:tblBorders>
        <w:top w:val="single" w:sz="8" w:space="0" w:color="63D0DF" w:themeColor="accent5"/>
        <w:left w:val="single" w:sz="8" w:space="0" w:color="63D0DF" w:themeColor="accent5"/>
        <w:bottom w:val="single" w:sz="8" w:space="0" w:color="63D0DF" w:themeColor="accent5"/>
        <w:right w:val="single" w:sz="8" w:space="0" w:color="63D0DF" w:themeColor="accent5"/>
        <w:insideH w:val="single" w:sz="8" w:space="0" w:color="63D0DF" w:themeColor="accent5"/>
        <w:insideV w:val="single" w:sz="8" w:space="0" w:color="63D0DF"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3D0DF" w:themeColor="accent5"/>
          <w:left w:val="single" w:sz="8" w:space="0" w:color="63D0DF" w:themeColor="accent5"/>
          <w:bottom w:val="single" w:sz="18" w:space="0" w:color="63D0DF" w:themeColor="accent5"/>
          <w:right w:val="single" w:sz="8" w:space="0" w:color="63D0DF" w:themeColor="accent5"/>
          <w:insideH w:val="nil"/>
          <w:insideV w:val="single" w:sz="8" w:space="0" w:color="63D0DF"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3D0DF" w:themeColor="accent5"/>
          <w:left w:val="single" w:sz="8" w:space="0" w:color="63D0DF" w:themeColor="accent5"/>
          <w:bottom w:val="single" w:sz="8" w:space="0" w:color="63D0DF" w:themeColor="accent5"/>
          <w:right w:val="single" w:sz="8" w:space="0" w:color="63D0DF" w:themeColor="accent5"/>
          <w:insideH w:val="nil"/>
          <w:insideV w:val="single" w:sz="8" w:space="0" w:color="63D0DF"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3D0DF" w:themeColor="accent5"/>
          <w:left w:val="single" w:sz="8" w:space="0" w:color="63D0DF" w:themeColor="accent5"/>
          <w:bottom w:val="single" w:sz="8" w:space="0" w:color="63D0DF" w:themeColor="accent5"/>
          <w:right w:val="single" w:sz="8" w:space="0" w:color="63D0DF" w:themeColor="accent5"/>
        </w:tcBorders>
      </w:tcPr>
    </w:tblStylePr>
    <w:tblStylePr w:type="band1Vert">
      <w:tblPr/>
      <w:tcPr>
        <w:tcBorders>
          <w:top w:val="single" w:sz="8" w:space="0" w:color="63D0DF" w:themeColor="accent5"/>
          <w:left w:val="single" w:sz="8" w:space="0" w:color="63D0DF" w:themeColor="accent5"/>
          <w:bottom w:val="single" w:sz="8" w:space="0" w:color="63D0DF" w:themeColor="accent5"/>
          <w:right w:val="single" w:sz="8" w:space="0" w:color="63D0DF" w:themeColor="accent5"/>
        </w:tcBorders>
        <w:shd w:val="clear" w:color="auto" w:fill="D8F3F7" w:themeFill="accent5" w:themeFillTint="3F"/>
      </w:tcPr>
    </w:tblStylePr>
    <w:tblStylePr w:type="band1Horz">
      <w:tblPr/>
      <w:tcPr>
        <w:tcBorders>
          <w:top w:val="single" w:sz="8" w:space="0" w:color="63D0DF" w:themeColor="accent5"/>
          <w:left w:val="single" w:sz="8" w:space="0" w:color="63D0DF" w:themeColor="accent5"/>
          <w:bottom w:val="single" w:sz="8" w:space="0" w:color="63D0DF" w:themeColor="accent5"/>
          <w:right w:val="single" w:sz="8" w:space="0" w:color="63D0DF" w:themeColor="accent5"/>
          <w:insideV w:val="single" w:sz="8" w:space="0" w:color="63D0DF" w:themeColor="accent5"/>
        </w:tcBorders>
        <w:shd w:val="clear" w:color="auto" w:fill="D8F3F7" w:themeFill="accent5" w:themeFillTint="3F"/>
      </w:tcPr>
    </w:tblStylePr>
    <w:tblStylePr w:type="band2Horz">
      <w:tblPr/>
      <w:tcPr>
        <w:tcBorders>
          <w:top w:val="single" w:sz="8" w:space="0" w:color="63D0DF" w:themeColor="accent5"/>
          <w:left w:val="single" w:sz="8" w:space="0" w:color="63D0DF" w:themeColor="accent5"/>
          <w:bottom w:val="single" w:sz="8" w:space="0" w:color="63D0DF" w:themeColor="accent5"/>
          <w:right w:val="single" w:sz="8" w:space="0" w:color="63D0DF" w:themeColor="accent5"/>
          <w:insideV w:val="single" w:sz="8" w:space="0" w:color="63D0DF" w:themeColor="accent5"/>
        </w:tcBorders>
      </w:tcPr>
    </w:tblStylePr>
  </w:style>
  <w:style w:type="table" w:styleId="LightGrid-Accent6">
    <w:name w:val="Light Grid Accent 6"/>
    <w:basedOn w:val="TableNormal"/>
    <w:uiPriority w:val="98"/>
    <w:semiHidden/>
    <w:unhideWhenUsed/>
    <w:rsid w:val="001F6DC1"/>
    <w:tblPr>
      <w:tblStyleRowBandSize w:val="1"/>
      <w:tblStyleColBandSize w:val="1"/>
      <w:tblBorders>
        <w:top w:val="single" w:sz="8" w:space="0" w:color="A1A1A1" w:themeColor="accent6"/>
        <w:left w:val="single" w:sz="8" w:space="0" w:color="A1A1A1" w:themeColor="accent6"/>
        <w:bottom w:val="single" w:sz="8" w:space="0" w:color="A1A1A1" w:themeColor="accent6"/>
        <w:right w:val="single" w:sz="8" w:space="0" w:color="A1A1A1" w:themeColor="accent6"/>
        <w:insideH w:val="single" w:sz="8" w:space="0" w:color="A1A1A1" w:themeColor="accent6"/>
        <w:insideV w:val="single" w:sz="8" w:space="0" w:color="A1A1A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1A1A1" w:themeColor="accent6"/>
          <w:left w:val="single" w:sz="8" w:space="0" w:color="A1A1A1" w:themeColor="accent6"/>
          <w:bottom w:val="single" w:sz="18" w:space="0" w:color="A1A1A1" w:themeColor="accent6"/>
          <w:right w:val="single" w:sz="8" w:space="0" w:color="A1A1A1" w:themeColor="accent6"/>
          <w:insideH w:val="nil"/>
          <w:insideV w:val="single" w:sz="8" w:space="0" w:color="A1A1A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1A1A1" w:themeColor="accent6"/>
          <w:left w:val="single" w:sz="8" w:space="0" w:color="A1A1A1" w:themeColor="accent6"/>
          <w:bottom w:val="single" w:sz="8" w:space="0" w:color="A1A1A1" w:themeColor="accent6"/>
          <w:right w:val="single" w:sz="8" w:space="0" w:color="A1A1A1" w:themeColor="accent6"/>
          <w:insideH w:val="nil"/>
          <w:insideV w:val="single" w:sz="8" w:space="0" w:color="A1A1A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1A1A1" w:themeColor="accent6"/>
          <w:left w:val="single" w:sz="8" w:space="0" w:color="A1A1A1" w:themeColor="accent6"/>
          <w:bottom w:val="single" w:sz="8" w:space="0" w:color="A1A1A1" w:themeColor="accent6"/>
          <w:right w:val="single" w:sz="8" w:space="0" w:color="A1A1A1" w:themeColor="accent6"/>
        </w:tcBorders>
      </w:tcPr>
    </w:tblStylePr>
    <w:tblStylePr w:type="band1Vert">
      <w:tblPr/>
      <w:tcPr>
        <w:tcBorders>
          <w:top w:val="single" w:sz="8" w:space="0" w:color="A1A1A1" w:themeColor="accent6"/>
          <w:left w:val="single" w:sz="8" w:space="0" w:color="A1A1A1" w:themeColor="accent6"/>
          <w:bottom w:val="single" w:sz="8" w:space="0" w:color="A1A1A1" w:themeColor="accent6"/>
          <w:right w:val="single" w:sz="8" w:space="0" w:color="A1A1A1" w:themeColor="accent6"/>
        </w:tcBorders>
        <w:shd w:val="clear" w:color="auto" w:fill="E7E7E7" w:themeFill="accent6" w:themeFillTint="3F"/>
      </w:tcPr>
    </w:tblStylePr>
    <w:tblStylePr w:type="band1Horz">
      <w:tblPr/>
      <w:tcPr>
        <w:tcBorders>
          <w:top w:val="single" w:sz="8" w:space="0" w:color="A1A1A1" w:themeColor="accent6"/>
          <w:left w:val="single" w:sz="8" w:space="0" w:color="A1A1A1" w:themeColor="accent6"/>
          <w:bottom w:val="single" w:sz="8" w:space="0" w:color="A1A1A1" w:themeColor="accent6"/>
          <w:right w:val="single" w:sz="8" w:space="0" w:color="A1A1A1" w:themeColor="accent6"/>
          <w:insideV w:val="single" w:sz="8" w:space="0" w:color="A1A1A1" w:themeColor="accent6"/>
        </w:tcBorders>
        <w:shd w:val="clear" w:color="auto" w:fill="E7E7E7" w:themeFill="accent6" w:themeFillTint="3F"/>
      </w:tcPr>
    </w:tblStylePr>
    <w:tblStylePr w:type="band2Horz">
      <w:tblPr/>
      <w:tcPr>
        <w:tcBorders>
          <w:top w:val="single" w:sz="8" w:space="0" w:color="A1A1A1" w:themeColor="accent6"/>
          <w:left w:val="single" w:sz="8" w:space="0" w:color="A1A1A1" w:themeColor="accent6"/>
          <w:bottom w:val="single" w:sz="8" w:space="0" w:color="A1A1A1" w:themeColor="accent6"/>
          <w:right w:val="single" w:sz="8" w:space="0" w:color="A1A1A1" w:themeColor="accent6"/>
          <w:insideV w:val="single" w:sz="8" w:space="0" w:color="A1A1A1" w:themeColor="accent6"/>
        </w:tcBorders>
      </w:tcPr>
    </w:tblStylePr>
  </w:style>
  <w:style w:type="table" w:styleId="LightList">
    <w:name w:val="Light List"/>
    <w:basedOn w:val="TableNormal"/>
    <w:uiPriority w:val="98"/>
    <w:semiHidden/>
    <w:unhideWhenUsed/>
    <w:rsid w:val="001F6DC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98"/>
    <w:semiHidden/>
    <w:unhideWhenUsed/>
    <w:rsid w:val="001F6DC1"/>
    <w:tblPr>
      <w:tblStyleRowBandSize w:val="1"/>
      <w:tblStyleColBandSize w:val="1"/>
      <w:tblBorders>
        <w:top w:val="single" w:sz="8" w:space="0" w:color="63D0DF" w:themeColor="accent1"/>
        <w:left w:val="single" w:sz="8" w:space="0" w:color="63D0DF" w:themeColor="accent1"/>
        <w:bottom w:val="single" w:sz="8" w:space="0" w:color="63D0DF" w:themeColor="accent1"/>
        <w:right w:val="single" w:sz="8" w:space="0" w:color="63D0DF" w:themeColor="accent1"/>
      </w:tblBorders>
    </w:tblPr>
    <w:tblStylePr w:type="firstRow">
      <w:pPr>
        <w:spacing w:before="0" w:after="0" w:line="240" w:lineRule="auto"/>
      </w:pPr>
      <w:rPr>
        <w:b/>
        <w:bCs/>
        <w:color w:val="FFFFFF" w:themeColor="background1"/>
      </w:rPr>
      <w:tblPr/>
      <w:tcPr>
        <w:shd w:val="clear" w:color="auto" w:fill="63D0DF" w:themeFill="accent1"/>
      </w:tcPr>
    </w:tblStylePr>
    <w:tblStylePr w:type="lastRow">
      <w:pPr>
        <w:spacing w:before="0" w:after="0" w:line="240" w:lineRule="auto"/>
      </w:pPr>
      <w:rPr>
        <w:b/>
        <w:bCs/>
      </w:rPr>
      <w:tblPr/>
      <w:tcPr>
        <w:tcBorders>
          <w:top w:val="double" w:sz="6" w:space="0" w:color="63D0DF" w:themeColor="accent1"/>
          <w:left w:val="single" w:sz="8" w:space="0" w:color="63D0DF" w:themeColor="accent1"/>
          <w:bottom w:val="single" w:sz="8" w:space="0" w:color="63D0DF" w:themeColor="accent1"/>
          <w:right w:val="single" w:sz="8" w:space="0" w:color="63D0DF" w:themeColor="accent1"/>
        </w:tcBorders>
      </w:tcPr>
    </w:tblStylePr>
    <w:tblStylePr w:type="firstCol">
      <w:rPr>
        <w:b/>
        <w:bCs/>
      </w:rPr>
    </w:tblStylePr>
    <w:tblStylePr w:type="lastCol">
      <w:rPr>
        <w:b/>
        <w:bCs/>
      </w:rPr>
    </w:tblStylePr>
    <w:tblStylePr w:type="band1Vert">
      <w:tblPr/>
      <w:tcPr>
        <w:tcBorders>
          <w:top w:val="single" w:sz="8" w:space="0" w:color="63D0DF" w:themeColor="accent1"/>
          <w:left w:val="single" w:sz="8" w:space="0" w:color="63D0DF" w:themeColor="accent1"/>
          <w:bottom w:val="single" w:sz="8" w:space="0" w:color="63D0DF" w:themeColor="accent1"/>
          <w:right w:val="single" w:sz="8" w:space="0" w:color="63D0DF" w:themeColor="accent1"/>
        </w:tcBorders>
      </w:tcPr>
    </w:tblStylePr>
    <w:tblStylePr w:type="band1Horz">
      <w:tblPr/>
      <w:tcPr>
        <w:tcBorders>
          <w:top w:val="single" w:sz="8" w:space="0" w:color="63D0DF" w:themeColor="accent1"/>
          <w:left w:val="single" w:sz="8" w:space="0" w:color="63D0DF" w:themeColor="accent1"/>
          <w:bottom w:val="single" w:sz="8" w:space="0" w:color="63D0DF" w:themeColor="accent1"/>
          <w:right w:val="single" w:sz="8" w:space="0" w:color="63D0DF" w:themeColor="accent1"/>
        </w:tcBorders>
      </w:tcPr>
    </w:tblStylePr>
  </w:style>
  <w:style w:type="table" w:styleId="LightList-Accent2">
    <w:name w:val="Light List Accent 2"/>
    <w:basedOn w:val="TableNormal"/>
    <w:uiPriority w:val="98"/>
    <w:semiHidden/>
    <w:unhideWhenUsed/>
    <w:rsid w:val="001F6DC1"/>
    <w:tblPr>
      <w:tblStyleRowBandSize w:val="1"/>
      <w:tblStyleColBandSize w:val="1"/>
      <w:tblBorders>
        <w:top w:val="single" w:sz="8" w:space="0" w:color="C9C9CA" w:themeColor="accent2"/>
        <w:left w:val="single" w:sz="8" w:space="0" w:color="C9C9CA" w:themeColor="accent2"/>
        <w:bottom w:val="single" w:sz="8" w:space="0" w:color="C9C9CA" w:themeColor="accent2"/>
        <w:right w:val="single" w:sz="8" w:space="0" w:color="C9C9CA" w:themeColor="accent2"/>
      </w:tblBorders>
    </w:tblPr>
    <w:tblStylePr w:type="firstRow">
      <w:pPr>
        <w:spacing w:before="0" w:after="0" w:line="240" w:lineRule="auto"/>
      </w:pPr>
      <w:rPr>
        <w:b/>
        <w:bCs/>
        <w:color w:val="FFFFFF" w:themeColor="background1"/>
      </w:rPr>
      <w:tblPr/>
      <w:tcPr>
        <w:shd w:val="clear" w:color="auto" w:fill="C9C9CA" w:themeFill="accent2"/>
      </w:tcPr>
    </w:tblStylePr>
    <w:tblStylePr w:type="lastRow">
      <w:pPr>
        <w:spacing w:before="0" w:after="0" w:line="240" w:lineRule="auto"/>
      </w:pPr>
      <w:rPr>
        <w:b/>
        <w:bCs/>
      </w:rPr>
      <w:tblPr/>
      <w:tcPr>
        <w:tcBorders>
          <w:top w:val="double" w:sz="6" w:space="0" w:color="C9C9CA" w:themeColor="accent2"/>
          <w:left w:val="single" w:sz="8" w:space="0" w:color="C9C9CA" w:themeColor="accent2"/>
          <w:bottom w:val="single" w:sz="8" w:space="0" w:color="C9C9CA" w:themeColor="accent2"/>
          <w:right w:val="single" w:sz="8" w:space="0" w:color="C9C9CA" w:themeColor="accent2"/>
        </w:tcBorders>
      </w:tcPr>
    </w:tblStylePr>
    <w:tblStylePr w:type="firstCol">
      <w:rPr>
        <w:b/>
        <w:bCs/>
      </w:rPr>
    </w:tblStylePr>
    <w:tblStylePr w:type="lastCol">
      <w:rPr>
        <w:b/>
        <w:bCs/>
      </w:rPr>
    </w:tblStylePr>
    <w:tblStylePr w:type="band1Vert">
      <w:tblPr/>
      <w:tcPr>
        <w:tcBorders>
          <w:top w:val="single" w:sz="8" w:space="0" w:color="C9C9CA" w:themeColor="accent2"/>
          <w:left w:val="single" w:sz="8" w:space="0" w:color="C9C9CA" w:themeColor="accent2"/>
          <w:bottom w:val="single" w:sz="8" w:space="0" w:color="C9C9CA" w:themeColor="accent2"/>
          <w:right w:val="single" w:sz="8" w:space="0" w:color="C9C9CA" w:themeColor="accent2"/>
        </w:tcBorders>
      </w:tcPr>
    </w:tblStylePr>
    <w:tblStylePr w:type="band1Horz">
      <w:tblPr/>
      <w:tcPr>
        <w:tcBorders>
          <w:top w:val="single" w:sz="8" w:space="0" w:color="C9C9CA" w:themeColor="accent2"/>
          <w:left w:val="single" w:sz="8" w:space="0" w:color="C9C9CA" w:themeColor="accent2"/>
          <w:bottom w:val="single" w:sz="8" w:space="0" w:color="C9C9CA" w:themeColor="accent2"/>
          <w:right w:val="single" w:sz="8" w:space="0" w:color="C9C9CA" w:themeColor="accent2"/>
        </w:tcBorders>
      </w:tcPr>
    </w:tblStylePr>
  </w:style>
  <w:style w:type="table" w:styleId="LightList-Accent3">
    <w:name w:val="Light List Accent 3"/>
    <w:basedOn w:val="TableNormal"/>
    <w:uiPriority w:val="98"/>
    <w:semiHidden/>
    <w:unhideWhenUsed/>
    <w:rsid w:val="001F6DC1"/>
    <w:tblPr>
      <w:tblStyleRowBandSize w:val="1"/>
      <w:tblStyleColBandSize w:val="1"/>
      <w:tblBorders>
        <w:top w:val="single" w:sz="8" w:space="0" w:color="63D0DF" w:themeColor="accent3"/>
        <w:left w:val="single" w:sz="8" w:space="0" w:color="63D0DF" w:themeColor="accent3"/>
        <w:bottom w:val="single" w:sz="8" w:space="0" w:color="63D0DF" w:themeColor="accent3"/>
        <w:right w:val="single" w:sz="8" w:space="0" w:color="63D0DF" w:themeColor="accent3"/>
      </w:tblBorders>
    </w:tblPr>
    <w:tblStylePr w:type="firstRow">
      <w:pPr>
        <w:spacing w:before="0" w:after="0" w:line="240" w:lineRule="auto"/>
      </w:pPr>
      <w:rPr>
        <w:b/>
        <w:bCs/>
        <w:color w:val="FFFFFF" w:themeColor="background1"/>
      </w:rPr>
      <w:tblPr/>
      <w:tcPr>
        <w:shd w:val="clear" w:color="auto" w:fill="63D0DF" w:themeFill="accent3"/>
      </w:tcPr>
    </w:tblStylePr>
    <w:tblStylePr w:type="lastRow">
      <w:pPr>
        <w:spacing w:before="0" w:after="0" w:line="240" w:lineRule="auto"/>
      </w:pPr>
      <w:rPr>
        <w:b/>
        <w:bCs/>
      </w:rPr>
      <w:tblPr/>
      <w:tcPr>
        <w:tcBorders>
          <w:top w:val="double" w:sz="6" w:space="0" w:color="63D0DF" w:themeColor="accent3"/>
          <w:left w:val="single" w:sz="8" w:space="0" w:color="63D0DF" w:themeColor="accent3"/>
          <w:bottom w:val="single" w:sz="8" w:space="0" w:color="63D0DF" w:themeColor="accent3"/>
          <w:right w:val="single" w:sz="8" w:space="0" w:color="63D0DF" w:themeColor="accent3"/>
        </w:tcBorders>
      </w:tcPr>
    </w:tblStylePr>
    <w:tblStylePr w:type="firstCol">
      <w:rPr>
        <w:b/>
        <w:bCs/>
      </w:rPr>
    </w:tblStylePr>
    <w:tblStylePr w:type="lastCol">
      <w:rPr>
        <w:b/>
        <w:bCs/>
      </w:rPr>
    </w:tblStylePr>
    <w:tblStylePr w:type="band1Vert">
      <w:tblPr/>
      <w:tcPr>
        <w:tcBorders>
          <w:top w:val="single" w:sz="8" w:space="0" w:color="63D0DF" w:themeColor="accent3"/>
          <w:left w:val="single" w:sz="8" w:space="0" w:color="63D0DF" w:themeColor="accent3"/>
          <w:bottom w:val="single" w:sz="8" w:space="0" w:color="63D0DF" w:themeColor="accent3"/>
          <w:right w:val="single" w:sz="8" w:space="0" w:color="63D0DF" w:themeColor="accent3"/>
        </w:tcBorders>
      </w:tcPr>
    </w:tblStylePr>
    <w:tblStylePr w:type="band1Horz">
      <w:tblPr/>
      <w:tcPr>
        <w:tcBorders>
          <w:top w:val="single" w:sz="8" w:space="0" w:color="63D0DF" w:themeColor="accent3"/>
          <w:left w:val="single" w:sz="8" w:space="0" w:color="63D0DF" w:themeColor="accent3"/>
          <w:bottom w:val="single" w:sz="8" w:space="0" w:color="63D0DF" w:themeColor="accent3"/>
          <w:right w:val="single" w:sz="8" w:space="0" w:color="63D0DF" w:themeColor="accent3"/>
        </w:tcBorders>
      </w:tcPr>
    </w:tblStylePr>
  </w:style>
  <w:style w:type="table" w:styleId="LightList-Accent4">
    <w:name w:val="Light List Accent 4"/>
    <w:basedOn w:val="TableNormal"/>
    <w:uiPriority w:val="98"/>
    <w:semiHidden/>
    <w:unhideWhenUsed/>
    <w:rsid w:val="001F6DC1"/>
    <w:tblPr>
      <w:tblStyleRowBandSize w:val="1"/>
      <w:tblStyleColBandSize w:val="1"/>
      <w:tblBorders>
        <w:top w:val="single" w:sz="8" w:space="0" w:color="A1A1A1" w:themeColor="accent4"/>
        <w:left w:val="single" w:sz="8" w:space="0" w:color="A1A1A1" w:themeColor="accent4"/>
        <w:bottom w:val="single" w:sz="8" w:space="0" w:color="A1A1A1" w:themeColor="accent4"/>
        <w:right w:val="single" w:sz="8" w:space="0" w:color="A1A1A1" w:themeColor="accent4"/>
      </w:tblBorders>
    </w:tblPr>
    <w:tblStylePr w:type="firstRow">
      <w:pPr>
        <w:spacing w:before="0" w:after="0" w:line="240" w:lineRule="auto"/>
      </w:pPr>
      <w:rPr>
        <w:b/>
        <w:bCs/>
        <w:color w:val="FFFFFF" w:themeColor="background1"/>
      </w:rPr>
      <w:tblPr/>
      <w:tcPr>
        <w:shd w:val="clear" w:color="auto" w:fill="A1A1A1" w:themeFill="accent4"/>
      </w:tcPr>
    </w:tblStylePr>
    <w:tblStylePr w:type="lastRow">
      <w:pPr>
        <w:spacing w:before="0" w:after="0" w:line="240" w:lineRule="auto"/>
      </w:pPr>
      <w:rPr>
        <w:b/>
        <w:bCs/>
      </w:rPr>
      <w:tblPr/>
      <w:tcPr>
        <w:tcBorders>
          <w:top w:val="double" w:sz="6" w:space="0" w:color="A1A1A1" w:themeColor="accent4"/>
          <w:left w:val="single" w:sz="8" w:space="0" w:color="A1A1A1" w:themeColor="accent4"/>
          <w:bottom w:val="single" w:sz="8" w:space="0" w:color="A1A1A1" w:themeColor="accent4"/>
          <w:right w:val="single" w:sz="8" w:space="0" w:color="A1A1A1" w:themeColor="accent4"/>
        </w:tcBorders>
      </w:tcPr>
    </w:tblStylePr>
    <w:tblStylePr w:type="firstCol">
      <w:rPr>
        <w:b/>
        <w:bCs/>
      </w:rPr>
    </w:tblStylePr>
    <w:tblStylePr w:type="lastCol">
      <w:rPr>
        <w:b/>
        <w:bCs/>
      </w:rPr>
    </w:tblStylePr>
    <w:tblStylePr w:type="band1Vert">
      <w:tblPr/>
      <w:tcPr>
        <w:tcBorders>
          <w:top w:val="single" w:sz="8" w:space="0" w:color="A1A1A1" w:themeColor="accent4"/>
          <w:left w:val="single" w:sz="8" w:space="0" w:color="A1A1A1" w:themeColor="accent4"/>
          <w:bottom w:val="single" w:sz="8" w:space="0" w:color="A1A1A1" w:themeColor="accent4"/>
          <w:right w:val="single" w:sz="8" w:space="0" w:color="A1A1A1" w:themeColor="accent4"/>
        </w:tcBorders>
      </w:tcPr>
    </w:tblStylePr>
    <w:tblStylePr w:type="band1Horz">
      <w:tblPr/>
      <w:tcPr>
        <w:tcBorders>
          <w:top w:val="single" w:sz="8" w:space="0" w:color="A1A1A1" w:themeColor="accent4"/>
          <w:left w:val="single" w:sz="8" w:space="0" w:color="A1A1A1" w:themeColor="accent4"/>
          <w:bottom w:val="single" w:sz="8" w:space="0" w:color="A1A1A1" w:themeColor="accent4"/>
          <w:right w:val="single" w:sz="8" w:space="0" w:color="A1A1A1" w:themeColor="accent4"/>
        </w:tcBorders>
      </w:tcPr>
    </w:tblStylePr>
  </w:style>
  <w:style w:type="table" w:styleId="LightList-Accent5">
    <w:name w:val="Light List Accent 5"/>
    <w:basedOn w:val="TableNormal"/>
    <w:uiPriority w:val="98"/>
    <w:semiHidden/>
    <w:unhideWhenUsed/>
    <w:rsid w:val="001F6DC1"/>
    <w:tblPr>
      <w:tblStyleRowBandSize w:val="1"/>
      <w:tblStyleColBandSize w:val="1"/>
      <w:tblBorders>
        <w:top w:val="single" w:sz="8" w:space="0" w:color="63D0DF" w:themeColor="accent5"/>
        <w:left w:val="single" w:sz="8" w:space="0" w:color="63D0DF" w:themeColor="accent5"/>
        <w:bottom w:val="single" w:sz="8" w:space="0" w:color="63D0DF" w:themeColor="accent5"/>
        <w:right w:val="single" w:sz="8" w:space="0" w:color="63D0DF" w:themeColor="accent5"/>
      </w:tblBorders>
    </w:tblPr>
    <w:tblStylePr w:type="firstRow">
      <w:pPr>
        <w:spacing w:before="0" w:after="0" w:line="240" w:lineRule="auto"/>
      </w:pPr>
      <w:rPr>
        <w:b/>
        <w:bCs/>
        <w:color w:val="FFFFFF" w:themeColor="background1"/>
      </w:rPr>
      <w:tblPr/>
      <w:tcPr>
        <w:shd w:val="clear" w:color="auto" w:fill="63D0DF" w:themeFill="accent5"/>
      </w:tcPr>
    </w:tblStylePr>
    <w:tblStylePr w:type="lastRow">
      <w:pPr>
        <w:spacing w:before="0" w:after="0" w:line="240" w:lineRule="auto"/>
      </w:pPr>
      <w:rPr>
        <w:b/>
        <w:bCs/>
      </w:rPr>
      <w:tblPr/>
      <w:tcPr>
        <w:tcBorders>
          <w:top w:val="double" w:sz="6" w:space="0" w:color="63D0DF" w:themeColor="accent5"/>
          <w:left w:val="single" w:sz="8" w:space="0" w:color="63D0DF" w:themeColor="accent5"/>
          <w:bottom w:val="single" w:sz="8" w:space="0" w:color="63D0DF" w:themeColor="accent5"/>
          <w:right w:val="single" w:sz="8" w:space="0" w:color="63D0DF" w:themeColor="accent5"/>
        </w:tcBorders>
      </w:tcPr>
    </w:tblStylePr>
    <w:tblStylePr w:type="firstCol">
      <w:rPr>
        <w:b/>
        <w:bCs/>
      </w:rPr>
    </w:tblStylePr>
    <w:tblStylePr w:type="lastCol">
      <w:rPr>
        <w:b/>
        <w:bCs/>
      </w:rPr>
    </w:tblStylePr>
    <w:tblStylePr w:type="band1Vert">
      <w:tblPr/>
      <w:tcPr>
        <w:tcBorders>
          <w:top w:val="single" w:sz="8" w:space="0" w:color="63D0DF" w:themeColor="accent5"/>
          <w:left w:val="single" w:sz="8" w:space="0" w:color="63D0DF" w:themeColor="accent5"/>
          <w:bottom w:val="single" w:sz="8" w:space="0" w:color="63D0DF" w:themeColor="accent5"/>
          <w:right w:val="single" w:sz="8" w:space="0" w:color="63D0DF" w:themeColor="accent5"/>
        </w:tcBorders>
      </w:tcPr>
    </w:tblStylePr>
    <w:tblStylePr w:type="band1Horz">
      <w:tblPr/>
      <w:tcPr>
        <w:tcBorders>
          <w:top w:val="single" w:sz="8" w:space="0" w:color="63D0DF" w:themeColor="accent5"/>
          <w:left w:val="single" w:sz="8" w:space="0" w:color="63D0DF" w:themeColor="accent5"/>
          <w:bottom w:val="single" w:sz="8" w:space="0" w:color="63D0DF" w:themeColor="accent5"/>
          <w:right w:val="single" w:sz="8" w:space="0" w:color="63D0DF" w:themeColor="accent5"/>
        </w:tcBorders>
      </w:tcPr>
    </w:tblStylePr>
  </w:style>
  <w:style w:type="table" w:styleId="LightList-Accent6">
    <w:name w:val="Light List Accent 6"/>
    <w:basedOn w:val="TableNormal"/>
    <w:uiPriority w:val="98"/>
    <w:semiHidden/>
    <w:unhideWhenUsed/>
    <w:rsid w:val="001F6DC1"/>
    <w:tblPr>
      <w:tblStyleRowBandSize w:val="1"/>
      <w:tblStyleColBandSize w:val="1"/>
      <w:tblBorders>
        <w:top w:val="single" w:sz="8" w:space="0" w:color="A1A1A1" w:themeColor="accent6"/>
        <w:left w:val="single" w:sz="8" w:space="0" w:color="A1A1A1" w:themeColor="accent6"/>
        <w:bottom w:val="single" w:sz="8" w:space="0" w:color="A1A1A1" w:themeColor="accent6"/>
        <w:right w:val="single" w:sz="8" w:space="0" w:color="A1A1A1" w:themeColor="accent6"/>
      </w:tblBorders>
    </w:tblPr>
    <w:tblStylePr w:type="firstRow">
      <w:pPr>
        <w:spacing w:before="0" w:after="0" w:line="240" w:lineRule="auto"/>
      </w:pPr>
      <w:rPr>
        <w:b/>
        <w:bCs/>
        <w:color w:val="FFFFFF" w:themeColor="background1"/>
      </w:rPr>
      <w:tblPr/>
      <w:tcPr>
        <w:shd w:val="clear" w:color="auto" w:fill="A1A1A1" w:themeFill="accent6"/>
      </w:tcPr>
    </w:tblStylePr>
    <w:tblStylePr w:type="lastRow">
      <w:pPr>
        <w:spacing w:before="0" w:after="0" w:line="240" w:lineRule="auto"/>
      </w:pPr>
      <w:rPr>
        <w:b/>
        <w:bCs/>
      </w:rPr>
      <w:tblPr/>
      <w:tcPr>
        <w:tcBorders>
          <w:top w:val="double" w:sz="6" w:space="0" w:color="A1A1A1" w:themeColor="accent6"/>
          <w:left w:val="single" w:sz="8" w:space="0" w:color="A1A1A1" w:themeColor="accent6"/>
          <w:bottom w:val="single" w:sz="8" w:space="0" w:color="A1A1A1" w:themeColor="accent6"/>
          <w:right w:val="single" w:sz="8" w:space="0" w:color="A1A1A1" w:themeColor="accent6"/>
        </w:tcBorders>
      </w:tcPr>
    </w:tblStylePr>
    <w:tblStylePr w:type="firstCol">
      <w:rPr>
        <w:b/>
        <w:bCs/>
      </w:rPr>
    </w:tblStylePr>
    <w:tblStylePr w:type="lastCol">
      <w:rPr>
        <w:b/>
        <w:bCs/>
      </w:rPr>
    </w:tblStylePr>
    <w:tblStylePr w:type="band1Vert">
      <w:tblPr/>
      <w:tcPr>
        <w:tcBorders>
          <w:top w:val="single" w:sz="8" w:space="0" w:color="A1A1A1" w:themeColor="accent6"/>
          <w:left w:val="single" w:sz="8" w:space="0" w:color="A1A1A1" w:themeColor="accent6"/>
          <w:bottom w:val="single" w:sz="8" w:space="0" w:color="A1A1A1" w:themeColor="accent6"/>
          <w:right w:val="single" w:sz="8" w:space="0" w:color="A1A1A1" w:themeColor="accent6"/>
        </w:tcBorders>
      </w:tcPr>
    </w:tblStylePr>
    <w:tblStylePr w:type="band1Horz">
      <w:tblPr/>
      <w:tcPr>
        <w:tcBorders>
          <w:top w:val="single" w:sz="8" w:space="0" w:color="A1A1A1" w:themeColor="accent6"/>
          <w:left w:val="single" w:sz="8" w:space="0" w:color="A1A1A1" w:themeColor="accent6"/>
          <w:bottom w:val="single" w:sz="8" w:space="0" w:color="A1A1A1" w:themeColor="accent6"/>
          <w:right w:val="single" w:sz="8" w:space="0" w:color="A1A1A1" w:themeColor="accent6"/>
        </w:tcBorders>
      </w:tcPr>
    </w:tblStylePr>
  </w:style>
  <w:style w:type="table" w:styleId="LightShading">
    <w:name w:val="Light Shading"/>
    <w:basedOn w:val="TableNormal"/>
    <w:uiPriority w:val="98"/>
    <w:semiHidden/>
    <w:unhideWhenUsed/>
    <w:rsid w:val="001F6DC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98"/>
    <w:semiHidden/>
    <w:unhideWhenUsed/>
    <w:rsid w:val="001F6DC1"/>
    <w:rPr>
      <w:color w:val="29B4C7" w:themeColor="accent1" w:themeShade="BF"/>
    </w:rPr>
    <w:tblPr>
      <w:tblStyleRowBandSize w:val="1"/>
      <w:tblStyleColBandSize w:val="1"/>
      <w:tblBorders>
        <w:top w:val="single" w:sz="8" w:space="0" w:color="63D0DF" w:themeColor="accent1"/>
        <w:bottom w:val="single" w:sz="8" w:space="0" w:color="63D0DF" w:themeColor="accent1"/>
      </w:tblBorders>
    </w:tblPr>
    <w:tblStylePr w:type="firstRow">
      <w:pPr>
        <w:spacing w:before="0" w:after="0" w:line="240" w:lineRule="auto"/>
      </w:pPr>
      <w:rPr>
        <w:b/>
        <w:bCs/>
      </w:rPr>
      <w:tblPr/>
      <w:tcPr>
        <w:tcBorders>
          <w:top w:val="single" w:sz="8" w:space="0" w:color="63D0DF" w:themeColor="accent1"/>
          <w:left w:val="nil"/>
          <w:bottom w:val="single" w:sz="8" w:space="0" w:color="63D0DF" w:themeColor="accent1"/>
          <w:right w:val="nil"/>
          <w:insideH w:val="nil"/>
          <w:insideV w:val="nil"/>
        </w:tcBorders>
      </w:tcPr>
    </w:tblStylePr>
    <w:tblStylePr w:type="lastRow">
      <w:pPr>
        <w:spacing w:before="0" w:after="0" w:line="240" w:lineRule="auto"/>
      </w:pPr>
      <w:rPr>
        <w:b/>
        <w:bCs/>
      </w:rPr>
      <w:tblPr/>
      <w:tcPr>
        <w:tcBorders>
          <w:top w:val="single" w:sz="8" w:space="0" w:color="63D0DF" w:themeColor="accent1"/>
          <w:left w:val="nil"/>
          <w:bottom w:val="single" w:sz="8" w:space="0" w:color="63D0D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F3F7" w:themeFill="accent1" w:themeFillTint="3F"/>
      </w:tcPr>
    </w:tblStylePr>
    <w:tblStylePr w:type="band1Horz">
      <w:tblPr/>
      <w:tcPr>
        <w:tcBorders>
          <w:left w:val="nil"/>
          <w:right w:val="nil"/>
          <w:insideH w:val="nil"/>
          <w:insideV w:val="nil"/>
        </w:tcBorders>
        <w:shd w:val="clear" w:color="auto" w:fill="D8F3F7" w:themeFill="accent1" w:themeFillTint="3F"/>
      </w:tcPr>
    </w:tblStylePr>
  </w:style>
  <w:style w:type="table" w:styleId="LightShading-Accent2">
    <w:name w:val="Light Shading Accent 2"/>
    <w:basedOn w:val="TableNormal"/>
    <w:uiPriority w:val="98"/>
    <w:semiHidden/>
    <w:unhideWhenUsed/>
    <w:rsid w:val="001F6DC1"/>
    <w:rPr>
      <w:color w:val="959597" w:themeColor="accent2" w:themeShade="BF"/>
    </w:rPr>
    <w:tblPr>
      <w:tblStyleRowBandSize w:val="1"/>
      <w:tblStyleColBandSize w:val="1"/>
      <w:tblBorders>
        <w:top w:val="single" w:sz="8" w:space="0" w:color="C9C9CA" w:themeColor="accent2"/>
        <w:bottom w:val="single" w:sz="8" w:space="0" w:color="C9C9CA" w:themeColor="accent2"/>
      </w:tblBorders>
    </w:tblPr>
    <w:tblStylePr w:type="firstRow">
      <w:pPr>
        <w:spacing w:before="0" w:after="0" w:line="240" w:lineRule="auto"/>
      </w:pPr>
      <w:rPr>
        <w:b/>
        <w:bCs/>
      </w:rPr>
      <w:tblPr/>
      <w:tcPr>
        <w:tcBorders>
          <w:top w:val="single" w:sz="8" w:space="0" w:color="C9C9CA" w:themeColor="accent2"/>
          <w:left w:val="nil"/>
          <w:bottom w:val="single" w:sz="8" w:space="0" w:color="C9C9CA" w:themeColor="accent2"/>
          <w:right w:val="nil"/>
          <w:insideH w:val="nil"/>
          <w:insideV w:val="nil"/>
        </w:tcBorders>
      </w:tcPr>
    </w:tblStylePr>
    <w:tblStylePr w:type="lastRow">
      <w:pPr>
        <w:spacing w:before="0" w:after="0" w:line="240" w:lineRule="auto"/>
      </w:pPr>
      <w:rPr>
        <w:b/>
        <w:bCs/>
      </w:rPr>
      <w:tblPr/>
      <w:tcPr>
        <w:tcBorders>
          <w:top w:val="single" w:sz="8" w:space="0" w:color="C9C9CA" w:themeColor="accent2"/>
          <w:left w:val="nil"/>
          <w:bottom w:val="single" w:sz="8" w:space="0" w:color="C9C9CA"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F1F1" w:themeFill="accent2" w:themeFillTint="3F"/>
      </w:tcPr>
    </w:tblStylePr>
    <w:tblStylePr w:type="band1Horz">
      <w:tblPr/>
      <w:tcPr>
        <w:tcBorders>
          <w:left w:val="nil"/>
          <w:right w:val="nil"/>
          <w:insideH w:val="nil"/>
          <w:insideV w:val="nil"/>
        </w:tcBorders>
        <w:shd w:val="clear" w:color="auto" w:fill="F1F1F1" w:themeFill="accent2" w:themeFillTint="3F"/>
      </w:tcPr>
    </w:tblStylePr>
  </w:style>
  <w:style w:type="table" w:styleId="LightShading-Accent3">
    <w:name w:val="Light Shading Accent 3"/>
    <w:basedOn w:val="TableNormal"/>
    <w:uiPriority w:val="98"/>
    <w:semiHidden/>
    <w:unhideWhenUsed/>
    <w:rsid w:val="001F6DC1"/>
    <w:rPr>
      <w:color w:val="29B4C7" w:themeColor="accent3" w:themeShade="BF"/>
    </w:rPr>
    <w:tblPr>
      <w:tblStyleRowBandSize w:val="1"/>
      <w:tblStyleColBandSize w:val="1"/>
      <w:tblBorders>
        <w:top w:val="single" w:sz="8" w:space="0" w:color="63D0DF" w:themeColor="accent3"/>
        <w:bottom w:val="single" w:sz="8" w:space="0" w:color="63D0DF" w:themeColor="accent3"/>
      </w:tblBorders>
    </w:tblPr>
    <w:tblStylePr w:type="firstRow">
      <w:pPr>
        <w:spacing w:before="0" w:after="0" w:line="240" w:lineRule="auto"/>
      </w:pPr>
      <w:rPr>
        <w:b/>
        <w:bCs/>
      </w:rPr>
      <w:tblPr/>
      <w:tcPr>
        <w:tcBorders>
          <w:top w:val="single" w:sz="8" w:space="0" w:color="63D0DF" w:themeColor="accent3"/>
          <w:left w:val="nil"/>
          <w:bottom w:val="single" w:sz="8" w:space="0" w:color="63D0DF" w:themeColor="accent3"/>
          <w:right w:val="nil"/>
          <w:insideH w:val="nil"/>
          <w:insideV w:val="nil"/>
        </w:tcBorders>
      </w:tcPr>
    </w:tblStylePr>
    <w:tblStylePr w:type="lastRow">
      <w:pPr>
        <w:spacing w:before="0" w:after="0" w:line="240" w:lineRule="auto"/>
      </w:pPr>
      <w:rPr>
        <w:b/>
        <w:bCs/>
      </w:rPr>
      <w:tblPr/>
      <w:tcPr>
        <w:tcBorders>
          <w:top w:val="single" w:sz="8" w:space="0" w:color="63D0DF" w:themeColor="accent3"/>
          <w:left w:val="nil"/>
          <w:bottom w:val="single" w:sz="8" w:space="0" w:color="63D0D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F3F7" w:themeFill="accent3" w:themeFillTint="3F"/>
      </w:tcPr>
    </w:tblStylePr>
    <w:tblStylePr w:type="band1Horz">
      <w:tblPr/>
      <w:tcPr>
        <w:tcBorders>
          <w:left w:val="nil"/>
          <w:right w:val="nil"/>
          <w:insideH w:val="nil"/>
          <w:insideV w:val="nil"/>
        </w:tcBorders>
        <w:shd w:val="clear" w:color="auto" w:fill="D8F3F7" w:themeFill="accent3" w:themeFillTint="3F"/>
      </w:tcPr>
    </w:tblStylePr>
  </w:style>
  <w:style w:type="table" w:styleId="LightShading-Accent4">
    <w:name w:val="Light Shading Accent 4"/>
    <w:basedOn w:val="TableNormal"/>
    <w:uiPriority w:val="98"/>
    <w:semiHidden/>
    <w:unhideWhenUsed/>
    <w:rsid w:val="001F6DC1"/>
    <w:rPr>
      <w:color w:val="787878" w:themeColor="accent4" w:themeShade="BF"/>
    </w:rPr>
    <w:tblPr>
      <w:tblStyleRowBandSize w:val="1"/>
      <w:tblStyleColBandSize w:val="1"/>
      <w:tblBorders>
        <w:top w:val="single" w:sz="8" w:space="0" w:color="A1A1A1" w:themeColor="accent4"/>
        <w:bottom w:val="single" w:sz="8" w:space="0" w:color="A1A1A1" w:themeColor="accent4"/>
      </w:tblBorders>
    </w:tblPr>
    <w:tblStylePr w:type="firstRow">
      <w:pPr>
        <w:spacing w:before="0" w:after="0" w:line="240" w:lineRule="auto"/>
      </w:pPr>
      <w:rPr>
        <w:b/>
        <w:bCs/>
      </w:rPr>
      <w:tblPr/>
      <w:tcPr>
        <w:tcBorders>
          <w:top w:val="single" w:sz="8" w:space="0" w:color="A1A1A1" w:themeColor="accent4"/>
          <w:left w:val="nil"/>
          <w:bottom w:val="single" w:sz="8" w:space="0" w:color="A1A1A1" w:themeColor="accent4"/>
          <w:right w:val="nil"/>
          <w:insideH w:val="nil"/>
          <w:insideV w:val="nil"/>
        </w:tcBorders>
      </w:tcPr>
    </w:tblStylePr>
    <w:tblStylePr w:type="lastRow">
      <w:pPr>
        <w:spacing w:before="0" w:after="0" w:line="240" w:lineRule="auto"/>
      </w:pPr>
      <w:rPr>
        <w:b/>
        <w:bCs/>
      </w:rPr>
      <w:tblPr/>
      <w:tcPr>
        <w:tcBorders>
          <w:top w:val="single" w:sz="8" w:space="0" w:color="A1A1A1" w:themeColor="accent4"/>
          <w:left w:val="nil"/>
          <w:bottom w:val="single" w:sz="8" w:space="0" w:color="A1A1A1"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E7E7" w:themeFill="accent4" w:themeFillTint="3F"/>
      </w:tcPr>
    </w:tblStylePr>
    <w:tblStylePr w:type="band1Horz">
      <w:tblPr/>
      <w:tcPr>
        <w:tcBorders>
          <w:left w:val="nil"/>
          <w:right w:val="nil"/>
          <w:insideH w:val="nil"/>
          <w:insideV w:val="nil"/>
        </w:tcBorders>
        <w:shd w:val="clear" w:color="auto" w:fill="E7E7E7" w:themeFill="accent4" w:themeFillTint="3F"/>
      </w:tcPr>
    </w:tblStylePr>
  </w:style>
  <w:style w:type="table" w:styleId="LightShading-Accent5">
    <w:name w:val="Light Shading Accent 5"/>
    <w:basedOn w:val="TableNormal"/>
    <w:uiPriority w:val="98"/>
    <w:semiHidden/>
    <w:unhideWhenUsed/>
    <w:rsid w:val="001F6DC1"/>
    <w:rPr>
      <w:color w:val="29B4C7" w:themeColor="accent5" w:themeShade="BF"/>
    </w:rPr>
    <w:tblPr>
      <w:tblStyleRowBandSize w:val="1"/>
      <w:tblStyleColBandSize w:val="1"/>
      <w:tblBorders>
        <w:top w:val="single" w:sz="8" w:space="0" w:color="63D0DF" w:themeColor="accent5"/>
        <w:bottom w:val="single" w:sz="8" w:space="0" w:color="63D0DF" w:themeColor="accent5"/>
      </w:tblBorders>
    </w:tblPr>
    <w:tblStylePr w:type="firstRow">
      <w:pPr>
        <w:spacing w:before="0" w:after="0" w:line="240" w:lineRule="auto"/>
      </w:pPr>
      <w:rPr>
        <w:b/>
        <w:bCs/>
      </w:rPr>
      <w:tblPr/>
      <w:tcPr>
        <w:tcBorders>
          <w:top w:val="single" w:sz="8" w:space="0" w:color="63D0DF" w:themeColor="accent5"/>
          <w:left w:val="nil"/>
          <w:bottom w:val="single" w:sz="8" w:space="0" w:color="63D0DF" w:themeColor="accent5"/>
          <w:right w:val="nil"/>
          <w:insideH w:val="nil"/>
          <w:insideV w:val="nil"/>
        </w:tcBorders>
      </w:tcPr>
    </w:tblStylePr>
    <w:tblStylePr w:type="lastRow">
      <w:pPr>
        <w:spacing w:before="0" w:after="0" w:line="240" w:lineRule="auto"/>
      </w:pPr>
      <w:rPr>
        <w:b/>
        <w:bCs/>
      </w:rPr>
      <w:tblPr/>
      <w:tcPr>
        <w:tcBorders>
          <w:top w:val="single" w:sz="8" w:space="0" w:color="63D0DF" w:themeColor="accent5"/>
          <w:left w:val="nil"/>
          <w:bottom w:val="single" w:sz="8" w:space="0" w:color="63D0D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F3F7" w:themeFill="accent5" w:themeFillTint="3F"/>
      </w:tcPr>
    </w:tblStylePr>
    <w:tblStylePr w:type="band1Horz">
      <w:tblPr/>
      <w:tcPr>
        <w:tcBorders>
          <w:left w:val="nil"/>
          <w:right w:val="nil"/>
          <w:insideH w:val="nil"/>
          <w:insideV w:val="nil"/>
        </w:tcBorders>
        <w:shd w:val="clear" w:color="auto" w:fill="D8F3F7" w:themeFill="accent5" w:themeFillTint="3F"/>
      </w:tcPr>
    </w:tblStylePr>
  </w:style>
  <w:style w:type="table" w:styleId="LightShading-Accent6">
    <w:name w:val="Light Shading Accent 6"/>
    <w:basedOn w:val="TableNormal"/>
    <w:uiPriority w:val="98"/>
    <w:semiHidden/>
    <w:unhideWhenUsed/>
    <w:rsid w:val="001F6DC1"/>
    <w:rPr>
      <w:color w:val="787878" w:themeColor="accent6" w:themeShade="BF"/>
    </w:rPr>
    <w:tblPr>
      <w:tblStyleRowBandSize w:val="1"/>
      <w:tblStyleColBandSize w:val="1"/>
      <w:tblBorders>
        <w:top w:val="single" w:sz="8" w:space="0" w:color="A1A1A1" w:themeColor="accent6"/>
        <w:bottom w:val="single" w:sz="8" w:space="0" w:color="A1A1A1" w:themeColor="accent6"/>
      </w:tblBorders>
    </w:tblPr>
    <w:tblStylePr w:type="firstRow">
      <w:pPr>
        <w:spacing w:before="0" w:after="0" w:line="240" w:lineRule="auto"/>
      </w:pPr>
      <w:rPr>
        <w:b/>
        <w:bCs/>
      </w:rPr>
      <w:tblPr/>
      <w:tcPr>
        <w:tcBorders>
          <w:top w:val="single" w:sz="8" w:space="0" w:color="A1A1A1" w:themeColor="accent6"/>
          <w:left w:val="nil"/>
          <w:bottom w:val="single" w:sz="8" w:space="0" w:color="A1A1A1" w:themeColor="accent6"/>
          <w:right w:val="nil"/>
          <w:insideH w:val="nil"/>
          <w:insideV w:val="nil"/>
        </w:tcBorders>
      </w:tcPr>
    </w:tblStylePr>
    <w:tblStylePr w:type="lastRow">
      <w:pPr>
        <w:spacing w:before="0" w:after="0" w:line="240" w:lineRule="auto"/>
      </w:pPr>
      <w:rPr>
        <w:b/>
        <w:bCs/>
      </w:rPr>
      <w:tblPr/>
      <w:tcPr>
        <w:tcBorders>
          <w:top w:val="single" w:sz="8" w:space="0" w:color="A1A1A1" w:themeColor="accent6"/>
          <w:left w:val="nil"/>
          <w:bottom w:val="single" w:sz="8" w:space="0" w:color="A1A1A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E7E7" w:themeFill="accent6" w:themeFillTint="3F"/>
      </w:tcPr>
    </w:tblStylePr>
    <w:tblStylePr w:type="band1Horz">
      <w:tblPr/>
      <w:tcPr>
        <w:tcBorders>
          <w:left w:val="nil"/>
          <w:right w:val="nil"/>
          <w:insideH w:val="nil"/>
          <w:insideV w:val="nil"/>
        </w:tcBorders>
        <w:shd w:val="clear" w:color="auto" w:fill="E7E7E7" w:themeFill="accent6" w:themeFillTint="3F"/>
      </w:tcPr>
    </w:tblStylePr>
  </w:style>
  <w:style w:type="table" w:styleId="ListTable7Colorful-Accent6">
    <w:name w:val="List Table 7 Colorful Accent 6"/>
    <w:basedOn w:val="TableNormal"/>
    <w:uiPriority w:val="98"/>
    <w:semiHidden/>
    <w:rsid w:val="001F6DC1"/>
    <w:rPr>
      <w:color w:val="787878"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1A1A1"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1A1A1"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1A1A1"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1A1A1" w:themeColor="accent6"/>
        </w:tcBorders>
        <w:shd w:val="clear" w:color="auto" w:fill="FFFFFF" w:themeFill="background1"/>
      </w:tcPr>
    </w:tblStylePr>
    <w:tblStylePr w:type="band1Vert">
      <w:tblPr/>
      <w:tcPr>
        <w:shd w:val="clear" w:color="auto" w:fill="ECECEC" w:themeFill="accent6" w:themeFillTint="33"/>
      </w:tcPr>
    </w:tblStylePr>
    <w:tblStylePr w:type="band1Horz">
      <w:tblPr/>
      <w:tcPr>
        <w:shd w:val="clear" w:color="auto" w:fill="ECECEC"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98"/>
    <w:semiHidden/>
    <w:unhideWhenUsed/>
    <w:rsid w:val="001F6DC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98"/>
    <w:semiHidden/>
    <w:unhideWhenUsed/>
    <w:rsid w:val="001F6DC1"/>
    <w:tblPr>
      <w:tblStyleRowBandSize w:val="1"/>
      <w:tblStyleColBandSize w:val="1"/>
      <w:tblBorders>
        <w:top w:val="single" w:sz="8" w:space="0" w:color="8ADBE7" w:themeColor="accent1" w:themeTint="BF"/>
        <w:left w:val="single" w:sz="8" w:space="0" w:color="8ADBE7" w:themeColor="accent1" w:themeTint="BF"/>
        <w:bottom w:val="single" w:sz="8" w:space="0" w:color="8ADBE7" w:themeColor="accent1" w:themeTint="BF"/>
        <w:right w:val="single" w:sz="8" w:space="0" w:color="8ADBE7" w:themeColor="accent1" w:themeTint="BF"/>
        <w:insideH w:val="single" w:sz="8" w:space="0" w:color="8ADBE7" w:themeColor="accent1" w:themeTint="BF"/>
        <w:insideV w:val="single" w:sz="8" w:space="0" w:color="8ADBE7" w:themeColor="accent1" w:themeTint="BF"/>
      </w:tblBorders>
    </w:tblPr>
    <w:tcPr>
      <w:shd w:val="clear" w:color="auto" w:fill="D8F3F7" w:themeFill="accent1" w:themeFillTint="3F"/>
    </w:tcPr>
    <w:tblStylePr w:type="firstRow">
      <w:rPr>
        <w:b/>
        <w:bCs/>
      </w:rPr>
    </w:tblStylePr>
    <w:tblStylePr w:type="lastRow">
      <w:rPr>
        <w:b/>
        <w:bCs/>
      </w:rPr>
      <w:tblPr/>
      <w:tcPr>
        <w:tcBorders>
          <w:top w:val="single" w:sz="18" w:space="0" w:color="8ADBE7" w:themeColor="accent1" w:themeTint="BF"/>
        </w:tcBorders>
      </w:tcPr>
    </w:tblStylePr>
    <w:tblStylePr w:type="firstCol">
      <w:rPr>
        <w:b/>
        <w:bCs/>
      </w:rPr>
    </w:tblStylePr>
    <w:tblStylePr w:type="lastCol">
      <w:rPr>
        <w:b/>
        <w:bCs/>
      </w:rPr>
    </w:tblStylePr>
    <w:tblStylePr w:type="band1Vert">
      <w:tblPr/>
      <w:tcPr>
        <w:shd w:val="clear" w:color="auto" w:fill="B1E7EF" w:themeFill="accent1" w:themeFillTint="7F"/>
      </w:tcPr>
    </w:tblStylePr>
    <w:tblStylePr w:type="band1Horz">
      <w:tblPr/>
      <w:tcPr>
        <w:shd w:val="clear" w:color="auto" w:fill="B1E7EF" w:themeFill="accent1" w:themeFillTint="7F"/>
      </w:tcPr>
    </w:tblStylePr>
  </w:style>
  <w:style w:type="table" w:styleId="MediumGrid1-Accent2">
    <w:name w:val="Medium Grid 1 Accent 2"/>
    <w:basedOn w:val="TableNormal"/>
    <w:uiPriority w:val="98"/>
    <w:semiHidden/>
    <w:unhideWhenUsed/>
    <w:rsid w:val="001F6DC1"/>
    <w:tblPr>
      <w:tblStyleRowBandSize w:val="1"/>
      <w:tblStyleColBandSize w:val="1"/>
      <w:tblBorders>
        <w:top w:val="single" w:sz="8" w:space="0" w:color="D6D6D7" w:themeColor="accent2" w:themeTint="BF"/>
        <w:left w:val="single" w:sz="8" w:space="0" w:color="D6D6D7" w:themeColor="accent2" w:themeTint="BF"/>
        <w:bottom w:val="single" w:sz="8" w:space="0" w:color="D6D6D7" w:themeColor="accent2" w:themeTint="BF"/>
        <w:right w:val="single" w:sz="8" w:space="0" w:color="D6D6D7" w:themeColor="accent2" w:themeTint="BF"/>
        <w:insideH w:val="single" w:sz="8" w:space="0" w:color="D6D6D7" w:themeColor="accent2" w:themeTint="BF"/>
        <w:insideV w:val="single" w:sz="8" w:space="0" w:color="D6D6D7" w:themeColor="accent2" w:themeTint="BF"/>
      </w:tblBorders>
    </w:tblPr>
    <w:tcPr>
      <w:shd w:val="clear" w:color="auto" w:fill="F1F1F1" w:themeFill="accent2" w:themeFillTint="3F"/>
    </w:tcPr>
    <w:tblStylePr w:type="firstRow">
      <w:rPr>
        <w:b/>
        <w:bCs/>
      </w:rPr>
    </w:tblStylePr>
    <w:tblStylePr w:type="lastRow">
      <w:rPr>
        <w:b/>
        <w:bCs/>
      </w:rPr>
      <w:tblPr/>
      <w:tcPr>
        <w:tcBorders>
          <w:top w:val="single" w:sz="18" w:space="0" w:color="D6D6D7" w:themeColor="accent2" w:themeTint="BF"/>
        </w:tcBorders>
      </w:tcPr>
    </w:tblStylePr>
    <w:tblStylePr w:type="firstCol">
      <w:rPr>
        <w:b/>
        <w:bCs/>
      </w:rPr>
    </w:tblStylePr>
    <w:tblStylePr w:type="lastCol">
      <w:rPr>
        <w:b/>
        <w:bCs/>
      </w:rPr>
    </w:tblStylePr>
    <w:tblStylePr w:type="band1Vert">
      <w:tblPr/>
      <w:tcPr>
        <w:shd w:val="clear" w:color="auto" w:fill="E4E4E4" w:themeFill="accent2" w:themeFillTint="7F"/>
      </w:tcPr>
    </w:tblStylePr>
    <w:tblStylePr w:type="band1Horz">
      <w:tblPr/>
      <w:tcPr>
        <w:shd w:val="clear" w:color="auto" w:fill="E4E4E4" w:themeFill="accent2" w:themeFillTint="7F"/>
      </w:tcPr>
    </w:tblStylePr>
  </w:style>
  <w:style w:type="table" w:styleId="MediumGrid1-Accent3">
    <w:name w:val="Medium Grid 1 Accent 3"/>
    <w:basedOn w:val="TableNormal"/>
    <w:uiPriority w:val="98"/>
    <w:semiHidden/>
    <w:unhideWhenUsed/>
    <w:rsid w:val="001F6DC1"/>
    <w:tblPr>
      <w:tblStyleRowBandSize w:val="1"/>
      <w:tblStyleColBandSize w:val="1"/>
      <w:tblBorders>
        <w:top w:val="single" w:sz="8" w:space="0" w:color="8ADBE7" w:themeColor="accent3" w:themeTint="BF"/>
        <w:left w:val="single" w:sz="8" w:space="0" w:color="8ADBE7" w:themeColor="accent3" w:themeTint="BF"/>
        <w:bottom w:val="single" w:sz="8" w:space="0" w:color="8ADBE7" w:themeColor="accent3" w:themeTint="BF"/>
        <w:right w:val="single" w:sz="8" w:space="0" w:color="8ADBE7" w:themeColor="accent3" w:themeTint="BF"/>
        <w:insideH w:val="single" w:sz="8" w:space="0" w:color="8ADBE7" w:themeColor="accent3" w:themeTint="BF"/>
        <w:insideV w:val="single" w:sz="8" w:space="0" w:color="8ADBE7" w:themeColor="accent3" w:themeTint="BF"/>
      </w:tblBorders>
    </w:tblPr>
    <w:tcPr>
      <w:shd w:val="clear" w:color="auto" w:fill="D8F3F7" w:themeFill="accent3" w:themeFillTint="3F"/>
    </w:tcPr>
    <w:tblStylePr w:type="firstRow">
      <w:rPr>
        <w:b/>
        <w:bCs/>
      </w:rPr>
    </w:tblStylePr>
    <w:tblStylePr w:type="lastRow">
      <w:rPr>
        <w:b/>
        <w:bCs/>
      </w:rPr>
      <w:tblPr/>
      <w:tcPr>
        <w:tcBorders>
          <w:top w:val="single" w:sz="18" w:space="0" w:color="8ADBE7" w:themeColor="accent3" w:themeTint="BF"/>
        </w:tcBorders>
      </w:tcPr>
    </w:tblStylePr>
    <w:tblStylePr w:type="firstCol">
      <w:rPr>
        <w:b/>
        <w:bCs/>
      </w:rPr>
    </w:tblStylePr>
    <w:tblStylePr w:type="lastCol">
      <w:rPr>
        <w:b/>
        <w:bCs/>
      </w:rPr>
    </w:tblStylePr>
    <w:tblStylePr w:type="band1Vert">
      <w:tblPr/>
      <w:tcPr>
        <w:shd w:val="clear" w:color="auto" w:fill="B1E7EF" w:themeFill="accent3" w:themeFillTint="7F"/>
      </w:tcPr>
    </w:tblStylePr>
    <w:tblStylePr w:type="band1Horz">
      <w:tblPr/>
      <w:tcPr>
        <w:shd w:val="clear" w:color="auto" w:fill="B1E7EF" w:themeFill="accent3" w:themeFillTint="7F"/>
      </w:tcPr>
    </w:tblStylePr>
  </w:style>
  <w:style w:type="table" w:styleId="MediumGrid1-Accent4">
    <w:name w:val="Medium Grid 1 Accent 4"/>
    <w:basedOn w:val="TableNormal"/>
    <w:uiPriority w:val="98"/>
    <w:semiHidden/>
    <w:unhideWhenUsed/>
    <w:rsid w:val="001F6DC1"/>
    <w:tblPr>
      <w:tblStyleRowBandSize w:val="1"/>
      <w:tblStyleColBandSize w:val="1"/>
      <w:tblBorders>
        <w:top w:val="single" w:sz="8" w:space="0" w:color="B8B8B8" w:themeColor="accent4" w:themeTint="BF"/>
        <w:left w:val="single" w:sz="8" w:space="0" w:color="B8B8B8" w:themeColor="accent4" w:themeTint="BF"/>
        <w:bottom w:val="single" w:sz="8" w:space="0" w:color="B8B8B8" w:themeColor="accent4" w:themeTint="BF"/>
        <w:right w:val="single" w:sz="8" w:space="0" w:color="B8B8B8" w:themeColor="accent4" w:themeTint="BF"/>
        <w:insideH w:val="single" w:sz="8" w:space="0" w:color="B8B8B8" w:themeColor="accent4" w:themeTint="BF"/>
        <w:insideV w:val="single" w:sz="8" w:space="0" w:color="B8B8B8" w:themeColor="accent4" w:themeTint="BF"/>
      </w:tblBorders>
    </w:tblPr>
    <w:tcPr>
      <w:shd w:val="clear" w:color="auto" w:fill="E7E7E7" w:themeFill="accent4" w:themeFillTint="3F"/>
    </w:tcPr>
    <w:tblStylePr w:type="firstRow">
      <w:rPr>
        <w:b/>
        <w:bCs/>
      </w:rPr>
    </w:tblStylePr>
    <w:tblStylePr w:type="lastRow">
      <w:rPr>
        <w:b/>
        <w:bCs/>
      </w:rPr>
      <w:tblPr/>
      <w:tcPr>
        <w:tcBorders>
          <w:top w:val="single" w:sz="18" w:space="0" w:color="B8B8B8" w:themeColor="accent4" w:themeTint="BF"/>
        </w:tcBorders>
      </w:tcPr>
    </w:tblStylePr>
    <w:tblStylePr w:type="firstCol">
      <w:rPr>
        <w:b/>
        <w:bCs/>
      </w:rPr>
    </w:tblStylePr>
    <w:tblStylePr w:type="lastCol">
      <w:rPr>
        <w:b/>
        <w:bCs/>
      </w:rPr>
    </w:tblStylePr>
    <w:tblStylePr w:type="band1Vert">
      <w:tblPr/>
      <w:tcPr>
        <w:shd w:val="clear" w:color="auto" w:fill="D0D0D0" w:themeFill="accent4" w:themeFillTint="7F"/>
      </w:tcPr>
    </w:tblStylePr>
    <w:tblStylePr w:type="band1Horz">
      <w:tblPr/>
      <w:tcPr>
        <w:shd w:val="clear" w:color="auto" w:fill="D0D0D0" w:themeFill="accent4" w:themeFillTint="7F"/>
      </w:tcPr>
    </w:tblStylePr>
  </w:style>
  <w:style w:type="table" w:styleId="MediumGrid1-Accent5">
    <w:name w:val="Medium Grid 1 Accent 5"/>
    <w:basedOn w:val="TableNormal"/>
    <w:uiPriority w:val="98"/>
    <w:semiHidden/>
    <w:unhideWhenUsed/>
    <w:rsid w:val="001F6DC1"/>
    <w:tblPr>
      <w:tblStyleRowBandSize w:val="1"/>
      <w:tblStyleColBandSize w:val="1"/>
      <w:tblBorders>
        <w:top w:val="single" w:sz="8" w:space="0" w:color="8ADBE7" w:themeColor="accent5" w:themeTint="BF"/>
        <w:left w:val="single" w:sz="8" w:space="0" w:color="8ADBE7" w:themeColor="accent5" w:themeTint="BF"/>
        <w:bottom w:val="single" w:sz="8" w:space="0" w:color="8ADBE7" w:themeColor="accent5" w:themeTint="BF"/>
        <w:right w:val="single" w:sz="8" w:space="0" w:color="8ADBE7" w:themeColor="accent5" w:themeTint="BF"/>
        <w:insideH w:val="single" w:sz="8" w:space="0" w:color="8ADBE7" w:themeColor="accent5" w:themeTint="BF"/>
        <w:insideV w:val="single" w:sz="8" w:space="0" w:color="8ADBE7" w:themeColor="accent5" w:themeTint="BF"/>
      </w:tblBorders>
    </w:tblPr>
    <w:tcPr>
      <w:shd w:val="clear" w:color="auto" w:fill="D8F3F7" w:themeFill="accent5" w:themeFillTint="3F"/>
    </w:tcPr>
    <w:tblStylePr w:type="firstRow">
      <w:rPr>
        <w:b/>
        <w:bCs/>
      </w:rPr>
    </w:tblStylePr>
    <w:tblStylePr w:type="lastRow">
      <w:rPr>
        <w:b/>
        <w:bCs/>
      </w:rPr>
      <w:tblPr/>
      <w:tcPr>
        <w:tcBorders>
          <w:top w:val="single" w:sz="18" w:space="0" w:color="8ADBE7" w:themeColor="accent5" w:themeTint="BF"/>
        </w:tcBorders>
      </w:tcPr>
    </w:tblStylePr>
    <w:tblStylePr w:type="firstCol">
      <w:rPr>
        <w:b/>
        <w:bCs/>
      </w:rPr>
    </w:tblStylePr>
    <w:tblStylePr w:type="lastCol">
      <w:rPr>
        <w:b/>
        <w:bCs/>
      </w:rPr>
    </w:tblStylePr>
    <w:tblStylePr w:type="band1Vert">
      <w:tblPr/>
      <w:tcPr>
        <w:shd w:val="clear" w:color="auto" w:fill="B1E7EF" w:themeFill="accent5" w:themeFillTint="7F"/>
      </w:tcPr>
    </w:tblStylePr>
    <w:tblStylePr w:type="band1Horz">
      <w:tblPr/>
      <w:tcPr>
        <w:shd w:val="clear" w:color="auto" w:fill="B1E7EF" w:themeFill="accent5" w:themeFillTint="7F"/>
      </w:tcPr>
    </w:tblStylePr>
  </w:style>
  <w:style w:type="table" w:styleId="MediumGrid1-Accent6">
    <w:name w:val="Medium Grid 1 Accent 6"/>
    <w:basedOn w:val="TableNormal"/>
    <w:uiPriority w:val="98"/>
    <w:semiHidden/>
    <w:unhideWhenUsed/>
    <w:rsid w:val="001F6DC1"/>
    <w:tblPr>
      <w:tblStyleRowBandSize w:val="1"/>
      <w:tblStyleColBandSize w:val="1"/>
      <w:tblBorders>
        <w:top w:val="single" w:sz="8" w:space="0" w:color="B8B8B8" w:themeColor="accent6" w:themeTint="BF"/>
        <w:left w:val="single" w:sz="8" w:space="0" w:color="B8B8B8" w:themeColor="accent6" w:themeTint="BF"/>
        <w:bottom w:val="single" w:sz="8" w:space="0" w:color="B8B8B8" w:themeColor="accent6" w:themeTint="BF"/>
        <w:right w:val="single" w:sz="8" w:space="0" w:color="B8B8B8" w:themeColor="accent6" w:themeTint="BF"/>
        <w:insideH w:val="single" w:sz="8" w:space="0" w:color="B8B8B8" w:themeColor="accent6" w:themeTint="BF"/>
        <w:insideV w:val="single" w:sz="8" w:space="0" w:color="B8B8B8" w:themeColor="accent6" w:themeTint="BF"/>
      </w:tblBorders>
    </w:tblPr>
    <w:tcPr>
      <w:shd w:val="clear" w:color="auto" w:fill="E7E7E7" w:themeFill="accent6" w:themeFillTint="3F"/>
    </w:tcPr>
    <w:tblStylePr w:type="firstRow">
      <w:rPr>
        <w:b/>
        <w:bCs/>
      </w:rPr>
    </w:tblStylePr>
    <w:tblStylePr w:type="lastRow">
      <w:rPr>
        <w:b/>
        <w:bCs/>
      </w:rPr>
      <w:tblPr/>
      <w:tcPr>
        <w:tcBorders>
          <w:top w:val="single" w:sz="18" w:space="0" w:color="B8B8B8" w:themeColor="accent6" w:themeTint="BF"/>
        </w:tcBorders>
      </w:tcPr>
    </w:tblStylePr>
    <w:tblStylePr w:type="firstCol">
      <w:rPr>
        <w:b/>
        <w:bCs/>
      </w:rPr>
    </w:tblStylePr>
    <w:tblStylePr w:type="lastCol">
      <w:rPr>
        <w:b/>
        <w:bCs/>
      </w:rPr>
    </w:tblStylePr>
    <w:tblStylePr w:type="band1Vert">
      <w:tblPr/>
      <w:tcPr>
        <w:shd w:val="clear" w:color="auto" w:fill="D0D0D0" w:themeFill="accent6" w:themeFillTint="7F"/>
      </w:tcPr>
    </w:tblStylePr>
    <w:tblStylePr w:type="band1Horz">
      <w:tblPr/>
      <w:tcPr>
        <w:shd w:val="clear" w:color="auto" w:fill="D0D0D0" w:themeFill="accent6" w:themeFillTint="7F"/>
      </w:tcPr>
    </w:tblStylePr>
  </w:style>
  <w:style w:type="table" w:styleId="MediumGrid2">
    <w:name w:val="Medium Grid 2"/>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63D0DF" w:themeColor="accent1"/>
        <w:left w:val="single" w:sz="8" w:space="0" w:color="63D0DF" w:themeColor="accent1"/>
        <w:bottom w:val="single" w:sz="8" w:space="0" w:color="63D0DF" w:themeColor="accent1"/>
        <w:right w:val="single" w:sz="8" w:space="0" w:color="63D0DF" w:themeColor="accent1"/>
        <w:insideH w:val="single" w:sz="8" w:space="0" w:color="63D0DF" w:themeColor="accent1"/>
        <w:insideV w:val="single" w:sz="8" w:space="0" w:color="63D0DF" w:themeColor="accent1"/>
      </w:tblBorders>
    </w:tblPr>
    <w:tcPr>
      <w:shd w:val="clear" w:color="auto" w:fill="D8F3F7" w:themeFill="accent1" w:themeFillTint="3F"/>
    </w:tcPr>
    <w:tblStylePr w:type="firstRow">
      <w:rPr>
        <w:b/>
        <w:bCs/>
        <w:color w:val="000000" w:themeColor="text1"/>
      </w:rPr>
      <w:tblPr/>
      <w:tcPr>
        <w:shd w:val="clear" w:color="auto" w:fill="EFFA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F5F8" w:themeFill="accent1" w:themeFillTint="33"/>
      </w:tcPr>
    </w:tblStylePr>
    <w:tblStylePr w:type="band1Vert">
      <w:tblPr/>
      <w:tcPr>
        <w:shd w:val="clear" w:color="auto" w:fill="B1E7EF" w:themeFill="accent1" w:themeFillTint="7F"/>
      </w:tcPr>
    </w:tblStylePr>
    <w:tblStylePr w:type="band1Horz">
      <w:tblPr/>
      <w:tcPr>
        <w:tcBorders>
          <w:insideH w:val="single" w:sz="6" w:space="0" w:color="63D0DF" w:themeColor="accent1"/>
          <w:insideV w:val="single" w:sz="6" w:space="0" w:color="63D0DF" w:themeColor="accent1"/>
        </w:tcBorders>
        <w:shd w:val="clear" w:color="auto" w:fill="B1E7E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C9C9CA" w:themeColor="accent2"/>
        <w:left w:val="single" w:sz="8" w:space="0" w:color="C9C9CA" w:themeColor="accent2"/>
        <w:bottom w:val="single" w:sz="8" w:space="0" w:color="C9C9CA" w:themeColor="accent2"/>
        <w:right w:val="single" w:sz="8" w:space="0" w:color="C9C9CA" w:themeColor="accent2"/>
        <w:insideH w:val="single" w:sz="8" w:space="0" w:color="C9C9CA" w:themeColor="accent2"/>
        <w:insideV w:val="single" w:sz="8" w:space="0" w:color="C9C9CA" w:themeColor="accent2"/>
      </w:tblBorders>
    </w:tblPr>
    <w:tcPr>
      <w:shd w:val="clear" w:color="auto" w:fill="F1F1F1" w:themeFill="accent2" w:themeFillTint="3F"/>
    </w:tcPr>
    <w:tblStylePr w:type="firstRow">
      <w:rPr>
        <w:b/>
        <w:bCs/>
        <w:color w:val="000000" w:themeColor="text1"/>
      </w:rPr>
      <w:tblPr/>
      <w:tcPr>
        <w:shd w:val="clear" w:color="auto" w:fill="F9F9F9"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4" w:themeFill="accent2" w:themeFillTint="33"/>
      </w:tcPr>
    </w:tblStylePr>
    <w:tblStylePr w:type="band1Vert">
      <w:tblPr/>
      <w:tcPr>
        <w:shd w:val="clear" w:color="auto" w:fill="E4E4E4" w:themeFill="accent2" w:themeFillTint="7F"/>
      </w:tcPr>
    </w:tblStylePr>
    <w:tblStylePr w:type="band1Horz">
      <w:tblPr/>
      <w:tcPr>
        <w:tcBorders>
          <w:insideH w:val="single" w:sz="6" w:space="0" w:color="C9C9CA" w:themeColor="accent2"/>
          <w:insideV w:val="single" w:sz="6" w:space="0" w:color="C9C9CA" w:themeColor="accent2"/>
        </w:tcBorders>
        <w:shd w:val="clear" w:color="auto" w:fill="E4E4E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63D0DF" w:themeColor="accent3"/>
        <w:left w:val="single" w:sz="8" w:space="0" w:color="63D0DF" w:themeColor="accent3"/>
        <w:bottom w:val="single" w:sz="8" w:space="0" w:color="63D0DF" w:themeColor="accent3"/>
        <w:right w:val="single" w:sz="8" w:space="0" w:color="63D0DF" w:themeColor="accent3"/>
        <w:insideH w:val="single" w:sz="8" w:space="0" w:color="63D0DF" w:themeColor="accent3"/>
        <w:insideV w:val="single" w:sz="8" w:space="0" w:color="63D0DF" w:themeColor="accent3"/>
      </w:tblBorders>
    </w:tblPr>
    <w:tcPr>
      <w:shd w:val="clear" w:color="auto" w:fill="D8F3F7" w:themeFill="accent3" w:themeFillTint="3F"/>
    </w:tcPr>
    <w:tblStylePr w:type="firstRow">
      <w:rPr>
        <w:b/>
        <w:bCs/>
        <w:color w:val="000000" w:themeColor="text1"/>
      </w:rPr>
      <w:tblPr/>
      <w:tcPr>
        <w:shd w:val="clear" w:color="auto" w:fill="EFFAFB"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F5F8" w:themeFill="accent3" w:themeFillTint="33"/>
      </w:tcPr>
    </w:tblStylePr>
    <w:tblStylePr w:type="band1Vert">
      <w:tblPr/>
      <w:tcPr>
        <w:shd w:val="clear" w:color="auto" w:fill="B1E7EF" w:themeFill="accent3" w:themeFillTint="7F"/>
      </w:tcPr>
    </w:tblStylePr>
    <w:tblStylePr w:type="band1Horz">
      <w:tblPr/>
      <w:tcPr>
        <w:tcBorders>
          <w:insideH w:val="single" w:sz="6" w:space="0" w:color="63D0DF" w:themeColor="accent3"/>
          <w:insideV w:val="single" w:sz="6" w:space="0" w:color="63D0DF" w:themeColor="accent3"/>
        </w:tcBorders>
        <w:shd w:val="clear" w:color="auto" w:fill="B1E7E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A1A1A1" w:themeColor="accent4"/>
        <w:left w:val="single" w:sz="8" w:space="0" w:color="A1A1A1" w:themeColor="accent4"/>
        <w:bottom w:val="single" w:sz="8" w:space="0" w:color="A1A1A1" w:themeColor="accent4"/>
        <w:right w:val="single" w:sz="8" w:space="0" w:color="A1A1A1" w:themeColor="accent4"/>
        <w:insideH w:val="single" w:sz="8" w:space="0" w:color="A1A1A1" w:themeColor="accent4"/>
        <w:insideV w:val="single" w:sz="8" w:space="0" w:color="A1A1A1" w:themeColor="accent4"/>
      </w:tblBorders>
    </w:tblPr>
    <w:tcPr>
      <w:shd w:val="clear" w:color="auto" w:fill="E7E7E7" w:themeFill="accent4" w:themeFillTint="3F"/>
    </w:tcPr>
    <w:tblStylePr w:type="firstRow">
      <w:rPr>
        <w:b/>
        <w:bCs/>
        <w:color w:val="000000" w:themeColor="text1"/>
      </w:rPr>
      <w:tblPr/>
      <w:tcPr>
        <w:shd w:val="clear" w:color="auto" w:fill="F5F5F5"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CECEC" w:themeFill="accent4" w:themeFillTint="33"/>
      </w:tcPr>
    </w:tblStylePr>
    <w:tblStylePr w:type="band1Vert">
      <w:tblPr/>
      <w:tcPr>
        <w:shd w:val="clear" w:color="auto" w:fill="D0D0D0" w:themeFill="accent4" w:themeFillTint="7F"/>
      </w:tcPr>
    </w:tblStylePr>
    <w:tblStylePr w:type="band1Horz">
      <w:tblPr/>
      <w:tcPr>
        <w:tcBorders>
          <w:insideH w:val="single" w:sz="6" w:space="0" w:color="A1A1A1" w:themeColor="accent4"/>
          <w:insideV w:val="single" w:sz="6" w:space="0" w:color="A1A1A1" w:themeColor="accent4"/>
        </w:tcBorders>
        <w:shd w:val="clear" w:color="auto" w:fill="D0D0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63D0DF" w:themeColor="accent5"/>
        <w:left w:val="single" w:sz="8" w:space="0" w:color="63D0DF" w:themeColor="accent5"/>
        <w:bottom w:val="single" w:sz="8" w:space="0" w:color="63D0DF" w:themeColor="accent5"/>
        <w:right w:val="single" w:sz="8" w:space="0" w:color="63D0DF" w:themeColor="accent5"/>
        <w:insideH w:val="single" w:sz="8" w:space="0" w:color="63D0DF" w:themeColor="accent5"/>
        <w:insideV w:val="single" w:sz="8" w:space="0" w:color="63D0DF" w:themeColor="accent5"/>
      </w:tblBorders>
    </w:tblPr>
    <w:tcPr>
      <w:shd w:val="clear" w:color="auto" w:fill="D8F3F7" w:themeFill="accent5" w:themeFillTint="3F"/>
    </w:tcPr>
    <w:tblStylePr w:type="firstRow">
      <w:rPr>
        <w:b/>
        <w:bCs/>
        <w:color w:val="000000" w:themeColor="text1"/>
      </w:rPr>
      <w:tblPr/>
      <w:tcPr>
        <w:shd w:val="clear" w:color="auto" w:fill="EFFA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F5F8" w:themeFill="accent5" w:themeFillTint="33"/>
      </w:tcPr>
    </w:tblStylePr>
    <w:tblStylePr w:type="band1Vert">
      <w:tblPr/>
      <w:tcPr>
        <w:shd w:val="clear" w:color="auto" w:fill="B1E7EF" w:themeFill="accent5" w:themeFillTint="7F"/>
      </w:tcPr>
    </w:tblStylePr>
    <w:tblStylePr w:type="band1Horz">
      <w:tblPr/>
      <w:tcPr>
        <w:tcBorders>
          <w:insideH w:val="single" w:sz="6" w:space="0" w:color="63D0DF" w:themeColor="accent5"/>
          <w:insideV w:val="single" w:sz="6" w:space="0" w:color="63D0DF" w:themeColor="accent5"/>
        </w:tcBorders>
        <w:shd w:val="clear" w:color="auto" w:fill="B1E7E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A1A1A1" w:themeColor="accent6"/>
        <w:left w:val="single" w:sz="8" w:space="0" w:color="A1A1A1" w:themeColor="accent6"/>
        <w:bottom w:val="single" w:sz="8" w:space="0" w:color="A1A1A1" w:themeColor="accent6"/>
        <w:right w:val="single" w:sz="8" w:space="0" w:color="A1A1A1" w:themeColor="accent6"/>
        <w:insideH w:val="single" w:sz="8" w:space="0" w:color="A1A1A1" w:themeColor="accent6"/>
        <w:insideV w:val="single" w:sz="8" w:space="0" w:color="A1A1A1" w:themeColor="accent6"/>
      </w:tblBorders>
    </w:tblPr>
    <w:tcPr>
      <w:shd w:val="clear" w:color="auto" w:fill="E7E7E7" w:themeFill="accent6" w:themeFillTint="3F"/>
    </w:tcPr>
    <w:tblStylePr w:type="firstRow">
      <w:rPr>
        <w:b/>
        <w:bCs/>
        <w:color w:val="000000" w:themeColor="text1"/>
      </w:rPr>
      <w:tblPr/>
      <w:tcPr>
        <w:shd w:val="clear" w:color="auto" w:fill="F5F5F5"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CECEC" w:themeFill="accent6" w:themeFillTint="33"/>
      </w:tcPr>
    </w:tblStylePr>
    <w:tblStylePr w:type="band1Vert">
      <w:tblPr/>
      <w:tcPr>
        <w:shd w:val="clear" w:color="auto" w:fill="D0D0D0" w:themeFill="accent6" w:themeFillTint="7F"/>
      </w:tcPr>
    </w:tblStylePr>
    <w:tblStylePr w:type="band1Horz">
      <w:tblPr/>
      <w:tcPr>
        <w:tcBorders>
          <w:insideH w:val="single" w:sz="6" w:space="0" w:color="A1A1A1" w:themeColor="accent6"/>
          <w:insideV w:val="single" w:sz="6" w:space="0" w:color="A1A1A1" w:themeColor="accent6"/>
        </w:tcBorders>
        <w:shd w:val="clear" w:color="auto" w:fill="D0D0D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F3F7"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3D0D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3D0D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3D0D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3D0D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E7E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E7EF" w:themeFill="accent1" w:themeFillTint="7F"/>
      </w:tcPr>
    </w:tblStylePr>
  </w:style>
  <w:style w:type="table" w:styleId="MediumGrid3-Accent2">
    <w:name w:val="Medium Grid 3 Accent 2"/>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1F1F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9C9CA"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9C9CA"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9C9CA"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9C9CA"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4E4E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4E4E4" w:themeFill="accent2" w:themeFillTint="7F"/>
      </w:tcPr>
    </w:tblStylePr>
  </w:style>
  <w:style w:type="table" w:styleId="MediumGrid3-Accent3">
    <w:name w:val="Medium Grid 3 Accent 3"/>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F3F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3D0D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3D0D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3D0D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3D0D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E7E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E7EF" w:themeFill="accent3" w:themeFillTint="7F"/>
      </w:tcPr>
    </w:tblStylePr>
  </w:style>
  <w:style w:type="table" w:styleId="MediumGrid3-Accent4">
    <w:name w:val="Medium Grid 3 Accent 4"/>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7E7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1A1A1"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1A1A1"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1A1A1"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1A1A1"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D0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D0D0" w:themeFill="accent4" w:themeFillTint="7F"/>
      </w:tcPr>
    </w:tblStylePr>
  </w:style>
  <w:style w:type="table" w:styleId="MediumGrid3-Accent5">
    <w:name w:val="Medium Grid 3 Accent 5"/>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F3F7"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3D0DF"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3D0DF"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3D0DF"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3D0DF"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E7E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E7EF" w:themeFill="accent5" w:themeFillTint="7F"/>
      </w:tcPr>
    </w:tblStylePr>
  </w:style>
  <w:style w:type="table" w:styleId="MediumGrid3-Accent6">
    <w:name w:val="Medium Grid 3 Accent 6"/>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7E7E7"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1A1A1"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1A1A1"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1A1A1"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1A1A1"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D0D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D0D0" w:themeFill="accent6" w:themeFillTint="7F"/>
      </w:tcPr>
    </w:tblStylePr>
  </w:style>
  <w:style w:type="table" w:styleId="MediumList1">
    <w:name w:val="Medium List 1"/>
    <w:basedOn w:val="TableNormal"/>
    <w:uiPriority w:val="98"/>
    <w:semiHidden/>
    <w:unhideWhenUsed/>
    <w:rsid w:val="001F6DC1"/>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585858"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98"/>
    <w:semiHidden/>
    <w:unhideWhenUsed/>
    <w:rsid w:val="001F6DC1"/>
    <w:rPr>
      <w:color w:val="000000" w:themeColor="text1"/>
    </w:rPr>
    <w:tblPr>
      <w:tblStyleRowBandSize w:val="1"/>
      <w:tblStyleColBandSize w:val="1"/>
      <w:tblBorders>
        <w:top w:val="single" w:sz="8" w:space="0" w:color="63D0DF" w:themeColor="accent1"/>
        <w:bottom w:val="single" w:sz="8" w:space="0" w:color="63D0DF" w:themeColor="accent1"/>
      </w:tblBorders>
    </w:tblPr>
    <w:tblStylePr w:type="firstRow">
      <w:rPr>
        <w:rFonts w:asciiTheme="majorHAnsi" w:eastAsiaTheme="majorEastAsia" w:hAnsiTheme="majorHAnsi" w:cstheme="majorBidi"/>
      </w:rPr>
      <w:tblPr/>
      <w:tcPr>
        <w:tcBorders>
          <w:top w:val="nil"/>
          <w:bottom w:val="single" w:sz="8" w:space="0" w:color="63D0DF" w:themeColor="accent1"/>
        </w:tcBorders>
      </w:tcPr>
    </w:tblStylePr>
    <w:tblStylePr w:type="lastRow">
      <w:rPr>
        <w:b/>
        <w:bCs/>
        <w:color w:val="585858" w:themeColor="text2"/>
      </w:rPr>
      <w:tblPr/>
      <w:tcPr>
        <w:tcBorders>
          <w:top w:val="single" w:sz="8" w:space="0" w:color="63D0DF" w:themeColor="accent1"/>
          <w:bottom w:val="single" w:sz="8" w:space="0" w:color="63D0DF" w:themeColor="accent1"/>
        </w:tcBorders>
      </w:tcPr>
    </w:tblStylePr>
    <w:tblStylePr w:type="firstCol">
      <w:rPr>
        <w:b/>
        <w:bCs/>
      </w:rPr>
    </w:tblStylePr>
    <w:tblStylePr w:type="lastCol">
      <w:rPr>
        <w:b/>
        <w:bCs/>
      </w:rPr>
      <w:tblPr/>
      <w:tcPr>
        <w:tcBorders>
          <w:top w:val="single" w:sz="8" w:space="0" w:color="63D0DF" w:themeColor="accent1"/>
          <w:bottom w:val="single" w:sz="8" w:space="0" w:color="63D0DF" w:themeColor="accent1"/>
        </w:tcBorders>
      </w:tcPr>
    </w:tblStylePr>
    <w:tblStylePr w:type="band1Vert">
      <w:tblPr/>
      <w:tcPr>
        <w:shd w:val="clear" w:color="auto" w:fill="D8F3F7" w:themeFill="accent1" w:themeFillTint="3F"/>
      </w:tcPr>
    </w:tblStylePr>
    <w:tblStylePr w:type="band1Horz">
      <w:tblPr/>
      <w:tcPr>
        <w:shd w:val="clear" w:color="auto" w:fill="D8F3F7" w:themeFill="accent1" w:themeFillTint="3F"/>
      </w:tcPr>
    </w:tblStylePr>
  </w:style>
  <w:style w:type="table" w:styleId="MediumList1-Accent2">
    <w:name w:val="Medium List 1 Accent 2"/>
    <w:basedOn w:val="TableNormal"/>
    <w:uiPriority w:val="98"/>
    <w:semiHidden/>
    <w:unhideWhenUsed/>
    <w:rsid w:val="001F6DC1"/>
    <w:rPr>
      <w:color w:val="000000" w:themeColor="text1"/>
    </w:rPr>
    <w:tblPr>
      <w:tblStyleRowBandSize w:val="1"/>
      <w:tblStyleColBandSize w:val="1"/>
      <w:tblBorders>
        <w:top w:val="single" w:sz="8" w:space="0" w:color="C9C9CA" w:themeColor="accent2"/>
        <w:bottom w:val="single" w:sz="8" w:space="0" w:color="C9C9CA" w:themeColor="accent2"/>
      </w:tblBorders>
    </w:tblPr>
    <w:tblStylePr w:type="firstRow">
      <w:rPr>
        <w:rFonts w:asciiTheme="majorHAnsi" w:eastAsiaTheme="majorEastAsia" w:hAnsiTheme="majorHAnsi" w:cstheme="majorBidi"/>
      </w:rPr>
      <w:tblPr/>
      <w:tcPr>
        <w:tcBorders>
          <w:top w:val="nil"/>
          <w:bottom w:val="single" w:sz="8" w:space="0" w:color="C9C9CA" w:themeColor="accent2"/>
        </w:tcBorders>
      </w:tcPr>
    </w:tblStylePr>
    <w:tblStylePr w:type="lastRow">
      <w:rPr>
        <w:b/>
        <w:bCs/>
        <w:color w:val="585858" w:themeColor="text2"/>
      </w:rPr>
      <w:tblPr/>
      <w:tcPr>
        <w:tcBorders>
          <w:top w:val="single" w:sz="8" w:space="0" w:color="C9C9CA" w:themeColor="accent2"/>
          <w:bottom w:val="single" w:sz="8" w:space="0" w:color="C9C9CA" w:themeColor="accent2"/>
        </w:tcBorders>
      </w:tcPr>
    </w:tblStylePr>
    <w:tblStylePr w:type="firstCol">
      <w:rPr>
        <w:b/>
        <w:bCs/>
      </w:rPr>
    </w:tblStylePr>
    <w:tblStylePr w:type="lastCol">
      <w:rPr>
        <w:b/>
        <w:bCs/>
      </w:rPr>
      <w:tblPr/>
      <w:tcPr>
        <w:tcBorders>
          <w:top w:val="single" w:sz="8" w:space="0" w:color="C9C9CA" w:themeColor="accent2"/>
          <w:bottom w:val="single" w:sz="8" w:space="0" w:color="C9C9CA" w:themeColor="accent2"/>
        </w:tcBorders>
      </w:tcPr>
    </w:tblStylePr>
    <w:tblStylePr w:type="band1Vert">
      <w:tblPr/>
      <w:tcPr>
        <w:shd w:val="clear" w:color="auto" w:fill="F1F1F1" w:themeFill="accent2" w:themeFillTint="3F"/>
      </w:tcPr>
    </w:tblStylePr>
    <w:tblStylePr w:type="band1Horz">
      <w:tblPr/>
      <w:tcPr>
        <w:shd w:val="clear" w:color="auto" w:fill="F1F1F1" w:themeFill="accent2" w:themeFillTint="3F"/>
      </w:tcPr>
    </w:tblStylePr>
  </w:style>
  <w:style w:type="table" w:styleId="MediumList1-Accent3">
    <w:name w:val="Medium List 1 Accent 3"/>
    <w:basedOn w:val="TableNormal"/>
    <w:uiPriority w:val="98"/>
    <w:semiHidden/>
    <w:unhideWhenUsed/>
    <w:rsid w:val="001F6DC1"/>
    <w:rPr>
      <w:color w:val="000000" w:themeColor="text1"/>
    </w:rPr>
    <w:tblPr>
      <w:tblStyleRowBandSize w:val="1"/>
      <w:tblStyleColBandSize w:val="1"/>
      <w:tblBorders>
        <w:top w:val="single" w:sz="8" w:space="0" w:color="63D0DF" w:themeColor="accent3"/>
        <w:bottom w:val="single" w:sz="8" w:space="0" w:color="63D0DF" w:themeColor="accent3"/>
      </w:tblBorders>
    </w:tblPr>
    <w:tblStylePr w:type="firstRow">
      <w:rPr>
        <w:rFonts w:asciiTheme="majorHAnsi" w:eastAsiaTheme="majorEastAsia" w:hAnsiTheme="majorHAnsi" w:cstheme="majorBidi"/>
      </w:rPr>
      <w:tblPr/>
      <w:tcPr>
        <w:tcBorders>
          <w:top w:val="nil"/>
          <w:bottom w:val="single" w:sz="8" w:space="0" w:color="63D0DF" w:themeColor="accent3"/>
        </w:tcBorders>
      </w:tcPr>
    </w:tblStylePr>
    <w:tblStylePr w:type="lastRow">
      <w:rPr>
        <w:b/>
        <w:bCs/>
        <w:color w:val="585858" w:themeColor="text2"/>
      </w:rPr>
      <w:tblPr/>
      <w:tcPr>
        <w:tcBorders>
          <w:top w:val="single" w:sz="8" w:space="0" w:color="63D0DF" w:themeColor="accent3"/>
          <w:bottom w:val="single" w:sz="8" w:space="0" w:color="63D0DF" w:themeColor="accent3"/>
        </w:tcBorders>
      </w:tcPr>
    </w:tblStylePr>
    <w:tblStylePr w:type="firstCol">
      <w:rPr>
        <w:b/>
        <w:bCs/>
      </w:rPr>
    </w:tblStylePr>
    <w:tblStylePr w:type="lastCol">
      <w:rPr>
        <w:b/>
        <w:bCs/>
      </w:rPr>
      <w:tblPr/>
      <w:tcPr>
        <w:tcBorders>
          <w:top w:val="single" w:sz="8" w:space="0" w:color="63D0DF" w:themeColor="accent3"/>
          <w:bottom w:val="single" w:sz="8" w:space="0" w:color="63D0DF" w:themeColor="accent3"/>
        </w:tcBorders>
      </w:tcPr>
    </w:tblStylePr>
    <w:tblStylePr w:type="band1Vert">
      <w:tblPr/>
      <w:tcPr>
        <w:shd w:val="clear" w:color="auto" w:fill="D8F3F7" w:themeFill="accent3" w:themeFillTint="3F"/>
      </w:tcPr>
    </w:tblStylePr>
    <w:tblStylePr w:type="band1Horz">
      <w:tblPr/>
      <w:tcPr>
        <w:shd w:val="clear" w:color="auto" w:fill="D8F3F7" w:themeFill="accent3" w:themeFillTint="3F"/>
      </w:tcPr>
    </w:tblStylePr>
  </w:style>
  <w:style w:type="table" w:styleId="MediumList1-Accent4">
    <w:name w:val="Medium List 1 Accent 4"/>
    <w:basedOn w:val="TableNormal"/>
    <w:uiPriority w:val="98"/>
    <w:semiHidden/>
    <w:unhideWhenUsed/>
    <w:rsid w:val="001F6DC1"/>
    <w:rPr>
      <w:color w:val="000000" w:themeColor="text1"/>
    </w:rPr>
    <w:tblPr>
      <w:tblStyleRowBandSize w:val="1"/>
      <w:tblStyleColBandSize w:val="1"/>
      <w:tblBorders>
        <w:top w:val="single" w:sz="8" w:space="0" w:color="A1A1A1" w:themeColor="accent4"/>
        <w:bottom w:val="single" w:sz="8" w:space="0" w:color="A1A1A1" w:themeColor="accent4"/>
      </w:tblBorders>
    </w:tblPr>
    <w:tblStylePr w:type="firstRow">
      <w:rPr>
        <w:rFonts w:asciiTheme="majorHAnsi" w:eastAsiaTheme="majorEastAsia" w:hAnsiTheme="majorHAnsi" w:cstheme="majorBidi"/>
      </w:rPr>
      <w:tblPr/>
      <w:tcPr>
        <w:tcBorders>
          <w:top w:val="nil"/>
          <w:bottom w:val="single" w:sz="8" w:space="0" w:color="A1A1A1" w:themeColor="accent4"/>
        </w:tcBorders>
      </w:tcPr>
    </w:tblStylePr>
    <w:tblStylePr w:type="lastRow">
      <w:rPr>
        <w:b/>
        <w:bCs/>
        <w:color w:val="585858" w:themeColor="text2"/>
      </w:rPr>
      <w:tblPr/>
      <w:tcPr>
        <w:tcBorders>
          <w:top w:val="single" w:sz="8" w:space="0" w:color="A1A1A1" w:themeColor="accent4"/>
          <w:bottom w:val="single" w:sz="8" w:space="0" w:color="A1A1A1" w:themeColor="accent4"/>
        </w:tcBorders>
      </w:tcPr>
    </w:tblStylePr>
    <w:tblStylePr w:type="firstCol">
      <w:rPr>
        <w:b/>
        <w:bCs/>
      </w:rPr>
    </w:tblStylePr>
    <w:tblStylePr w:type="lastCol">
      <w:rPr>
        <w:b/>
        <w:bCs/>
      </w:rPr>
      <w:tblPr/>
      <w:tcPr>
        <w:tcBorders>
          <w:top w:val="single" w:sz="8" w:space="0" w:color="A1A1A1" w:themeColor="accent4"/>
          <w:bottom w:val="single" w:sz="8" w:space="0" w:color="A1A1A1" w:themeColor="accent4"/>
        </w:tcBorders>
      </w:tcPr>
    </w:tblStylePr>
    <w:tblStylePr w:type="band1Vert">
      <w:tblPr/>
      <w:tcPr>
        <w:shd w:val="clear" w:color="auto" w:fill="E7E7E7" w:themeFill="accent4" w:themeFillTint="3F"/>
      </w:tcPr>
    </w:tblStylePr>
    <w:tblStylePr w:type="band1Horz">
      <w:tblPr/>
      <w:tcPr>
        <w:shd w:val="clear" w:color="auto" w:fill="E7E7E7" w:themeFill="accent4" w:themeFillTint="3F"/>
      </w:tcPr>
    </w:tblStylePr>
  </w:style>
  <w:style w:type="table" w:styleId="MediumList1-Accent5">
    <w:name w:val="Medium List 1 Accent 5"/>
    <w:basedOn w:val="TableNormal"/>
    <w:uiPriority w:val="98"/>
    <w:semiHidden/>
    <w:unhideWhenUsed/>
    <w:rsid w:val="001F6DC1"/>
    <w:rPr>
      <w:color w:val="000000" w:themeColor="text1"/>
    </w:rPr>
    <w:tblPr>
      <w:tblStyleRowBandSize w:val="1"/>
      <w:tblStyleColBandSize w:val="1"/>
      <w:tblBorders>
        <w:top w:val="single" w:sz="8" w:space="0" w:color="63D0DF" w:themeColor="accent5"/>
        <w:bottom w:val="single" w:sz="8" w:space="0" w:color="63D0DF" w:themeColor="accent5"/>
      </w:tblBorders>
    </w:tblPr>
    <w:tblStylePr w:type="firstRow">
      <w:rPr>
        <w:rFonts w:asciiTheme="majorHAnsi" w:eastAsiaTheme="majorEastAsia" w:hAnsiTheme="majorHAnsi" w:cstheme="majorBidi"/>
      </w:rPr>
      <w:tblPr/>
      <w:tcPr>
        <w:tcBorders>
          <w:top w:val="nil"/>
          <w:bottom w:val="single" w:sz="8" w:space="0" w:color="63D0DF" w:themeColor="accent5"/>
        </w:tcBorders>
      </w:tcPr>
    </w:tblStylePr>
    <w:tblStylePr w:type="lastRow">
      <w:rPr>
        <w:b/>
        <w:bCs/>
        <w:color w:val="585858" w:themeColor="text2"/>
      </w:rPr>
      <w:tblPr/>
      <w:tcPr>
        <w:tcBorders>
          <w:top w:val="single" w:sz="8" w:space="0" w:color="63D0DF" w:themeColor="accent5"/>
          <w:bottom w:val="single" w:sz="8" w:space="0" w:color="63D0DF" w:themeColor="accent5"/>
        </w:tcBorders>
      </w:tcPr>
    </w:tblStylePr>
    <w:tblStylePr w:type="firstCol">
      <w:rPr>
        <w:b/>
        <w:bCs/>
      </w:rPr>
    </w:tblStylePr>
    <w:tblStylePr w:type="lastCol">
      <w:rPr>
        <w:b/>
        <w:bCs/>
      </w:rPr>
      <w:tblPr/>
      <w:tcPr>
        <w:tcBorders>
          <w:top w:val="single" w:sz="8" w:space="0" w:color="63D0DF" w:themeColor="accent5"/>
          <w:bottom w:val="single" w:sz="8" w:space="0" w:color="63D0DF" w:themeColor="accent5"/>
        </w:tcBorders>
      </w:tcPr>
    </w:tblStylePr>
    <w:tblStylePr w:type="band1Vert">
      <w:tblPr/>
      <w:tcPr>
        <w:shd w:val="clear" w:color="auto" w:fill="D8F3F7" w:themeFill="accent5" w:themeFillTint="3F"/>
      </w:tcPr>
    </w:tblStylePr>
    <w:tblStylePr w:type="band1Horz">
      <w:tblPr/>
      <w:tcPr>
        <w:shd w:val="clear" w:color="auto" w:fill="D8F3F7" w:themeFill="accent5" w:themeFillTint="3F"/>
      </w:tcPr>
    </w:tblStylePr>
  </w:style>
  <w:style w:type="table" w:styleId="MediumList1-Accent6">
    <w:name w:val="Medium List 1 Accent 6"/>
    <w:basedOn w:val="TableNormal"/>
    <w:uiPriority w:val="98"/>
    <w:semiHidden/>
    <w:unhideWhenUsed/>
    <w:rsid w:val="001F6DC1"/>
    <w:rPr>
      <w:color w:val="000000" w:themeColor="text1"/>
    </w:rPr>
    <w:tblPr>
      <w:tblStyleRowBandSize w:val="1"/>
      <w:tblStyleColBandSize w:val="1"/>
      <w:tblBorders>
        <w:top w:val="single" w:sz="8" w:space="0" w:color="A1A1A1" w:themeColor="accent6"/>
        <w:bottom w:val="single" w:sz="8" w:space="0" w:color="A1A1A1" w:themeColor="accent6"/>
      </w:tblBorders>
    </w:tblPr>
    <w:tblStylePr w:type="firstRow">
      <w:rPr>
        <w:rFonts w:asciiTheme="majorHAnsi" w:eastAsiaTheme="majorEastAsia" w:hAnsiTheme="majorHAnsi" w:cstheme="majorBidi"/>
      </w:rPr>
      <w:tblPr/>
      <w:tcPr>
        <w:tcBorders>
          <w:top w:val="nil"/>
          <w:bottom w:val="single" w:sz="8" w:space="0" w:color="A1A1A1" w:themeColor="accent6"/>
        </w:tcBorders>
      </w:tcPr>
    </w:tblStylePr>
    <w:tblStylePr w:type="lastRow">
      <w:rPr>
        <w:b/>
        <w:bCs/>
        <w:color w:val="585858" w:themeColor="text2"/>
      </w:rPr>
      <w:tblPr/>
      <w:tcPr>
        <w:tcBorders>
          <w:top w:val="single" w:sz="8" w:space="0" w:color="A1A1A1" w:themeColor="accent6"/>
          <w:bottom w:val="single" w:sz="8" w:space="0" w:color="A1A1A1" w:themeColor="accent6"/>
        </w:tcBorders>
      </w:tcPr>
    </w:tblStylePr>
    <w:tblStylePr w:type="firstCol">
      <w:rPr>
        <w:b/>
        <w:bCs/>
      </w:rPr>
    </w:tblStylePr>
    <w:tblStylePr w:type="lastCol">
      <w:rPr>
        <w:b/>
        <w:bCs/>
      </w:rPr>
      <w:tblPr/>
      <w:tcPr>
        <w:tcBorders>
          <w:top w:val="single" w:sz="8" w:space="0" w:color="A1A1A1" w:themeColor="accent6"/>
          <w:bottom w:val="single" w:sz="8" w:space="0" w:color="A1A1A1" w:themeColor="accent6"/>
        </w:tcBorders>
      </w:tcPr>
    </w:tblStylePr>
    <w:tblStylePr w:type="band1Vert">
      <w:tblPr/>
      <w:tcPr>
        <w:shd w:val="clear" w:color="auto" w:fill="E7E7E7" w:themeFill="accent6" w:themeFillTint="3F"/>
      </w:tcPr>
    </w:tblStylePr>
    <w:tblStylePr w:type="band1Horz">
      <w:tblPr/>
      <w:tcPr>
        <w:shd w:val="clear" w:color="auto" w:fill="E7E7E7" w:themeFill="accent6" w:themeFillTint="3F"/>
      </w:tcPr>
    </w:tblStylePr>
  </w:style>
  <w:style w:type="table" w:styleId="MediumList2">
    <w:name w:val="Medium List 2"/>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63D0DF" w:themeColor="accent1"/>
        <w:left w:val="single" w:sz="8" w:space="0" w:color="63D0DF" w:themeColor="accent1"/>
        <w:bottom w:val="single" w:sz="8" w:space="0" w:color="63D0DF" w:themeColor="accent1"/>
        <w:right w:val="single" w:sz="8" w:space="0" w:color="63D0DF" w:themeColor="accent1"/>
      </w:tblBorders>
    </w:tblPr>
    <w:tblStylePr w:type="firstRow">
      <w:rPr>
        <w:sz w:val="24"/>
        <w:szCs w:val="24"/>
      </w:rPr>
      <w:tblPr/>
      <w:tcPr>
        <w:tcBorders>
          <w:top w:val="nil"/>
          <w:left w:val="nil"/>
          <w:bottom w:val="single" w:sz="24" w:space="0" w:color="63D0DF"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3D0DF" w:themeColor="accent1"/>
          <w:insideH w:val="nil"/>
          <w:insideV w:val="nil"/>
        </w:tcBorders>
        <w:shd w:val="clear" w:color="auto" w:fill="FFFFFF" w:themeFill="background1"/>
      </w:tcPr>
    </w:tblStylePr>
    <w:tblStylePr w:type="lastCol">
      <w:tblPr/>
      <w:tcPr>
        <w:tcBorders>
          <w:top w:val="nil"/>
          <w:left w:val="single" w:sz="8" w:space="0" w:color="63D0D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F3F7" w:themeFill="accent1" w:themeFillTint="3F"/>
      </w:tcPr>
    </w:tblStylePr>
    <w:tblStylePr w:type="band1Horz">
      <w:tblPr/>
      <w:tcPr>
        <w:tcBorders>
          <w:top w:val="nil"/>
          <w:bottom w:val="nil"/>
          <w:insideH w:val="nil"/>
          <w:insideV w:val="nil"/>
        </w:tcBorders>
        <w:shd w:val="clear" w:color="auto" w:fill="D8F3F7"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C9C9CA" w:themeColor="accent2"/>
        <w:left w:val="single" w:sz="8" w:space="0" w:color="C9C9CA" w:themeColor="accent2"/>
        <w:bottom w:val="single" w:sz="8" w:space="0" w:color="C9C9CA" w:themeColor="accent2"/>
        <w:right w:val="single" w:sz="8" w:space="0" w:color="C9C9CA" w:themeColor="accent2"/>
      </w:tblBorders>
    </w:tblPr>
    <w:tblStylePr w:type="firstRow">
      <w:rPr>
        <w:sz w:val="24"/>
        <w:szCs w:val="24"/>
      </w:rPr>
      <w:tblPr/>
      <w:tcPr>
        <w:tcBorders>
          <w:top w:val="nil"/>
          <w:left w:val="nil"/>
          <w:bottom w:val="single" w:sz="24" w:space="0" w:color="C9C9CA"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9C9CA" w:themeColor="accent2"/>
          <w:insideH w:val="nil"/>
          <w:insideV w:val="nil"/>
        </w:tcBorders>
        <w:shd w:val="clear" w:color="auto" w:fill="FFFFFF" w:themeFill="background1"/>
      </w:tcPr>
    </w:tblStylePr>
    <w:tblStylePr w:type="lastCol">
      <w:tblPr/>
      <w:tcPr>
        <w:tcBorders>
          <w:top w:val="nil"/>
          <w:left w:val="single" w:sz="8" w:space="0" w:color="C9C9CA"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1F1F1" w:themeFill="accent2" w:themeFillTint="3F"/>
      </w:tcPr>
    </w:tblStylePr>
    <w:tblStylePr w:type="band1Horz">
      <w:tblPr/>
      <w:tcPr>
        <w:tcBorders>
          <w:top w:val="nil"/>
          <w:bottom w:val="nil"/>
          <w:insideH w:val="nil"/>
          <w:insideV w:val="nil"/>
        </w:tcBorders>
        <w:shd w:val="clear" w:color="auto" w:fill="F1F1F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63D0DF" w:themeColor="accent3"/>
        <w:left w:val="single" w:sz="8" w:space="0" w:color="63D0DF" w:themeColor="accent3"/>
        <w:bottom w:val="single" w:sz="8" w:space="0" w:color="63D0DF" w:themeColor="accent3"/>
        <w:right w:val="single" w:sz="8" w:space="0" w:color="63D0DF" w:themeColor="accent3"/>
      </w:tblBorders>
    </w:tblPr>
    <w:tblStylePr w:type="firstRow">
      <w:rPr>
        <w:sz w:val="24"/>
        <w:szCs w:val="24"/>
      </w:rPr>
      <w:tblPr/>
      <w:tcPr>
        <w:tcBorders>
          <w:top w:val="nil"/>
          <w:left w:val="nil"/>
          <w:bottom w:val="single" w:sz="24" w:space="0" w:color="63D0DF"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3D0DF" w:themeColor="accent3"/>
          <w:insideH w:val="nil"/>
          <w:insideV w:val="nil"/>
        </w:tcBorders>
        <w:shd w:val="clear" w:color="auto" w:fill="FFFFFF" w:themeFill="background1"/>
      </w:tcPr>
    </w:tblStylePr>
    <w:tblStylePr w:type="lastCol">
      <w:tblPr/>
      <w:tcPr>
        <w:tcBorders>
          <w:top w:val="nil"/>
          <w:left w:val="single" w:sz="8" w:space="0" w:color="63D0D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F3F7" w:themeFill="accent3" w:themeFillTint="3F"/>
      </w:tcPr>
    </w:tblStylePr>
    <w:tblStylePr w:type="band1Horz">
      <w:tblPr/>
      <w:tcPr>
        <w:tcBorders>
          <w:top w:val="nil"/>
          <w:bottom w:val="nil"/>
          <w:insideH w:val="nil"/>
          <w:insideV w:val="nil"/>
        </w:tcBorders>
        <w:shd w:val="clear" w:color="auto" w:fill="D8F3F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A1A1A1" w:themeColor="accent4"/>
        <w:left w:val="single" w:sz="8" w:space="0" w:color="A1A1A1" w:themeColor="accent4"/>
        <w:bottom w:val="single" w:sz="8" w:space="0" w:color="A1A1A1" w:themeColor="accent4"/>
        <w:right w:val="single" w:sz="8" w:space="0" w:color="A1A1A1" w:themeColor="accent4"/>
      </w:tblBorders>
    </w:tblPr>
    <w:tblStylePr w:type="firstRow">
      <w:rPr>
        <w:sz w:val="24"/>
        <w:szCs w:val="24"/>
      </w:rPr>
      <w:tblPr/>
      <w:tcPr>
        <w:tcBorders>
          <w:top w:val="nil"/>
          <w:left w:val="nil"/>
          <w:bottom w:val="single" w:sz="24" w:space="0" w:color="A1A1A1"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1A1A1" w:themeColor="accent4"/>
          <w:insideH w:val="nil"/>
          <w:insideV w:val="nil"/>
        </w:tcBorders>
        <w:shd w:val="clear" w:color="auto" w:fill="FFFFFF" w:themeFill="background1"/>
      </w:tcPr>
    </w:tblStylePr>
    <w:tblStylePr w:type="lastCol">
      <w:tblPr/>
      <w:tcPr>
        <w:tcBorders>
          <w:top w:val="nil"/>
          <w:left w:val="single" w:sz="8" w:space="0" w:color="A1A1A1"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E7E7" w:themeFill="accent4" w:themeFillTint="3F"/>
      </w:tcPr>
    </w:tblStylePr>
    <w:tblStylePr w:type="band1Horz">
      <w:tblPr/>
      <w:tcPr>
        <w:tcBorders>
          <w:top w:val="nil"/>
          <w:bottom w:val="nil"/>
          <w:insideH w:val="nil"/>
          <w:insideV w:val="nil"/>
        </w:tcBorders>
        <w:shd w:val="clear" w:color="auto" w:fill="E7E7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63D0DF" w:themeColor="accent5"/>
        <w:left w:val="single" w:sz="8" w:space="0" w:color="63D0DF" w:themeColor="accent5"/>
        <w:bottom w:val="single" w:sz="8" w:space="0" w:color="63D0DF" w:themeColor="accent5"/>
        <w:right w:val="single" w:sz="8" w:space="0" w:color="63D0DF" w:themeColor="accent5"/>
      </w:tblBorders>
    </w:tblPr>
    <w:tblStylePr w:type="firstRow">
      <w:rPr>
        <w:sz w:val="24"/>
        <w:szCs w:val="24"/>
      </w:rPr>
      <w:tblPr/>
      <w:tcPr>
        <w:tcBorders>
          <w:top w:val="nil"/>
          <w:left w:val="nil"/>
          <w:bottom w:val="single" w:sz="24" w:space="0" w:color="63D0DF"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3D0DF" w:themeColor="accent5"/>
          <w:insideH w:val="nil"/>
          <w:insideV w:val="nil"/>
        </w:tcBorders>
        <w:shd w:val="clear" w:color="auto" w:fill="FFFFFF" w:themeFill="background1"/>
      </w:tcPr>
    </w:tblStylePr>
    <w:tblStylePr w:type="lastCol">
      <w:tblPr/>
      <w:tcPr>
        <w:tcBorders>
          <w:top w:val="nil"/>
          <w:left w:val="single" w:sz="8" w:space="0" w:color="63D0D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F3F7" w:themeFill="accent5" w:themeFillTint="3F"/>
      </w:tcPr>
    </w:tblStylePr>
    <w:tblStylePr w:type="band1Horz">
      <w:tblPr/>
      <w:tcPr>
        <w:tcBorders>
          <w:top w:val="nil"/>
          <w:bottom w:val="nil"/>
          <w:insideH w:val="nil"/>
          <w:insideV w:val="nil"/>
        </w:tcBorders>
        <w:shd w:val="clear" w:color="auto" w:fill="D8F3F7"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A1A1A1" w:themeColor="accent6"/>
        <w:left w:val="single" w:sz="8" w:space="0" w:color="A1A1A1" w:themeColor="accent6"/>
        <w:bottom w:val="single" w:sz="8" w:space="0" w:color="A1A1A1" w:themeColor="accent6"/>
        <w:right w:val="single" w:sz="8" w:space="0" w:color="A1A1A1" w:themeColor="accent6"/>
      </w:tblBorders>
    </w:tblPr>
    <w:tblStylePr w:type="firstRow">
      <w:rPr>
        <w:sz w:val="24"/>
        <w:szCs w:val="24"/>
      </w:rPr>
      <w:tblPr/>
      <w:tcPr>
        <w:tcBorders>
          <w:top w:val="nil"/>
          <w:left w:val="nil"/>
          <w:bottom w:val="single" w:sz="24" w:space="0" w:color="A1A1A1"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1A1A1" w:themeColor="accent6"/>
          <w:insideH w:val="nil"/>
          <w:insideV w:val="nil"/>
        </w:tcBorders>
        <w:shd w:val="clear" w:color="auto" w:fill="FFFFFF" w:themeFill="background1"/>
      </w:tcPr>
    </w:tblStylePr>
    <w:tblStylePr w:type="lastCol">
      <w:tblPr/>
      <w:tcPr>
        <w:tcBorders>
          <w:top w:val="nil"/>
          <w:left w:val="single" w:sz="8" w:space="0" w:color="A1A1A1"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E7E7" w:themeFill="accent6" w:themeFillTint="3F"/>
      </w:tcPr>
    </w:tblStylePr>
    <w:tblStylePr w:type="band1Horz">
      <w:tblPr/>
      <w:tcPr>
        <w:tcBorders>
          <w:top w:val="nil"/>
          <w:bottom w:val="nil"/>
          <w:insideH w:val="nil"/>
          <w:insideV w:val="nil"/>
        </w:tcBorders>
        <w:shd w:val="clear" w:color="auto" w:fill="E7E7E7"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98"/>
    <w:semiHidden/>
    <w:unhideWhenUsed/>
    <w:rsid w:val="001F6DC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98"/>
    <w:semiHidden/>
    <w:unhideWhenUsed/>
    <w:rsid w:val="001F6DC1"/>
    <w:tblPr>
      <w:tblStyleRowBandSize w:val="1"/>
      <w:tblStyleColBandSize w:val="1"/>
      <w:tblBorders>
        <w:top w:val="single" w:sz="8" w:space="0" w:color="8ADBE7" w:themeColor="accent1" w:themeTint="BF"/>
        <w:left w:val="single" w:sz="8" w:space="0" w:color="8ADBE7" w:themeColor="accent1" w:themeTint="BF"/>
        <w:bottom w:val="single" w:sz="8" w:space="0" w:color="8ADBE7" w:themeColor="accent1" w:themeTint="BF"/>
        <w:right w:val="single" w:sz="8" w:space="0" w:color="8ADBE7" w:themeColor="accent1" w:themeTint="BF"/>
        <w:insideH w:val="single" w:sz="8" w:space="0" w:color="8ADBE7" w:themeColor="accent1" w:themeTint="BF"/>
      </w:tblBorders>
    </w:tblPr>
    <w:tblStylePr w:type="firstRow">
      <w:pPr>
        <w:spacing w:before="0" w:after="0" w:line="240" w:lineRule="auto"/>
      </w:pPr>
      <w:rPr>
        <w:b/>
        <w:bCs/>
        <w:color w:val="FFFFFF" w:themeColor="background1"/>
      </w:rPr>
      <w:tblPr/>
      <w:tcPr>
        <w:tcBorders>
          <w:top w:val="single" w:sz="8" w:space="0" w:color="8ADBE7" w:themeColor="accent1" w:themeTint="BF"/>
          <w:left w:val="single" w:sz="8" w:space="0" w:color="8ADBE7" w:themeColor="accent1" w:themeTint="BF"/>
          <w:bottom w:val="single" w:sz="8" w:space="0" w:color="8ADBE7" w:themeColor="accent1" w:themeTint="BF"/>
          <w:right w:val="single" w:sz="8" w:space="0" w:color="8ADBE7" w:themeColor="accent1" w:themeTint="BF"/>
          <w:insideH w:val="nil"/>
          <w:insideV w:val="nil"/>
        </w:tcBorders>
        <w:shd w:val="clear" w:color="auto" w:fill="63D0DF" w:themeFill="accent1"/>
      </w:tcPr>
    </w:tblStylePr>
    <w:tblStylePr w:type="lastRow">
      <w:pPr>
        <w:spacing w:before="0" w:after="0" w:line="240" w:lineRule="auto"/>
      </w:pPr>
      <w:rPr>
        <w:b/>
        <w:bCs/>
      </w:rPr>
      <w:tblPr/>
      <w:tcPr>
        <w:tcBorders>
          <w:top w:val="double" w:sz="6" w:space="0" w:color="8ADBE7" w:themeColor="accent1" w:themeTint="BF"/>
          <w:left w:val="single" w:sz="8" w:space="0" w:color="8ADBE7" w:themeColor="accent1" w:themeTint="BF"/>
          <w:bottom w:val="single" w:sz="8" w:space="0" w:color="8ADBE7" w:themeColor="accent1" w:themeTint="BF"/>
          <w:right w:val="single" w:sz="8" w:space="0" w:color="8ADBE7" w:themeColor="accent1" w:themeTint="BF"/>
          <w:insideH w:val="nil"/>
          <w:insideV w:val="nil"/>
        </w:tcBorders>
      </w:tcPr>
    </w:tblStylePr>
    <w:tblStylePr w:type="firstCol">
      <w:rPr>
        <w:b/>
        <w:bCs/>
      </w:rPr>
    </w:tblStylePr>
    <w:tblStylePr w:type="lastCol">
      <w:rPr>
        <w:b/>
        <w:bCs/>
      </w:rPr>
    </w:tblStylePr>
    <w:tblStylePr w:type="band1Vert">
      <w:tblPr/>
      <w:tcPr>
        <w:shd w:val="clear" w:color="auto" w:fill="D8F3F7" w:themeFill="accent1" w:themeFillTint="3F"/>
      </w:tcPr>
    </w:tblStylePr>
    <w:tblStylePr w:type="band1Horz">
      <w:tblPr/>
      <w:tcPr>
        <w:tcBorders>
          <w:insideH w:val="nil"/>
          <w:insideV w:val="nil"/>
        </w:tcBorders>
        <w:shd w:val="clear" w:color="auto" w:fill="D8F3F7"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98"/>
    <w:semiHidden/>
    <w:unhideWhenUsed/>
    <w:rsid w:val="001F6DC1"/>
    <w:tblPr>
      <w:tblStyleRowBandSize w:val="1"/>
      <w:tblStyleColBandSize w:val="1"/>
      <w:tblBorders>
        <w:top w:val="single" w:sz="8" w:space="0" w:color="D6D6D7" w:themeColor="accent2" w:themeTint="BF"/>
        <w:left w:val="single" w:sz="8" w:space="0" w:color="D6D6D7" w:themeColor="accent2" w:themeTint="BF"/>
        <w:bottom w:val="single" w:sz="8" w:space="0" w:color="D6D6D7" w:themeColor="accent2" w:themeTint="BF"/>
        <w:right w:val="single" w:sz="8" w:space="0" w:color="D6D6D7" w:themeColor="accent2" w:themeTint="BF"/>
        <w:insideH w:val="single" w:sz="8" w:space="0" w:color="D6D6D7" w:themeColor="accent2" w:themeTint="BF"/>
      </w:tblBorders>
    </w:tblPr>
    <w:tblStylePr w:type="firstRow">
      <w:pPr>
        <w:spacing w:before="0" w:after="0" w:line="240" w:lineRule="auto"/>
      </w:pPr>
      <w:rPr>
        <w:b/>
        <w:bCs/>
        <w:color w:val="FFFFFF" w:themeColor="background1"/>
      </w:rPr>
      <w:tblPr/>
      <w:tcPr>
        <w:tcBorders>
          <w:top w:val="single" w:sz="8" w:space="0" w:color="D6D6D7" w:themeColor="accent2" w:themeTint="BF"/>
          <w:left w:val="single" w:sz="8" w:space="0" w:color="D6D6D7" w:themeColor="accent2" w:themeTint="BF"/>
          <w:bottom w:val="single" w:sz="8" w:space="0" w:color="D6D6D7" w:themeColor="accent2" w:themeTint="BF"/>
          <w:right w:val="single" w:sz="8" w:space="0" w:color="D6D6D7" w:themeColor="accent2" w:themeTint="BF"/>
          <w:insideH w:val="nil"/>
          <w:insideV w:val="nil"/>
        </w:tcBorders>
        <w:shd w:val="clear" w:color="auto" w:fill="C9C9CA" w:themeFill="accent2"/>
      </w:tcPr>
    </w:tblStylePr>
    <w:tblStylePr w:type="lastRow">
      <w:pPr>
        <w:spacing w:before="0" w:after="0" w:line="240" w:lineRule="auto"/>
      </w:pPr>
      <w:rPr>
        <w:b/>
        <w:bCs/>
      </w:rPr>
      <w:tblPr/>
      <w:tcPr>
        <w:tcBorders>
          <w:top w:val="double" w:sz="6" w:space="0" w:color="D6D6D7" w:themeColor="accent2" w:themeTint="BF"/>
          <w:left w:val="single" w:sz="8" w:space="0" w:color="D6D6D7" w:themeColor="accent2" w:themeTint="BF"/>
          <w:bottom w:val="single" w:sz="8" w:space="0" w:color="D6D6D7" w:themeColor="accent2" w:themeTint="BF"/>
          <w:right w:val="single" w:sz="8" w:space="0" w:color="D6D6D7" w:themeColor="accent2" w:themeTint="BF"/>
          <w:insideH w:val="nil"/>
          <w:insideV w:val="nil"/>
        </w:tcBorders>
      </w:tcPr>
    </w:tblStylePr>
    <w:tblStylePr w:type="firstCol">
      <w:rPr>
        <w:b/>
        <w:bCs/>
      </w:rPr>
    </w:tblStylePr>
    <w:tblStylePr w:type="lastCol">
      <w:rPr>
        <w:b/>
        <w:bCs/>
      </w:rPr>
    </w:tblStylePr>
    <w:tblStylePr w:type="band1Vert">
      <w:tblPr/>
      <w:tcPr>
        <w:shd w:val="clear" w:color="auto" w:fill="F1F1F1" w:themeFill="accent2" w:themeFillTint="3F"/>
      </w:tcPr>
    </w:tblStylePr>
    <w:tblStylePr w:type="band1Horz">
      <w:tblPr/>
      <w:tcPr>
        <w:tcBorders>
          <w:insideH w:val="nil"/>
          <w:insideV w:val="nil"/>
        </w:tcBorders>
        <w:shd w:val="clear" w:color="auto" w:fill="F1F1F1"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98"/>
    <w:semiHidden/>
    <w:unhideWhenUsed/>
    <w:rsid w:val="001F6DC1"/>
    <w:tblPr>
      <w:tblStyleRowBandSize w:val="1"/>
      <w:tblStyleColBandSize w:val="1"/>
      <w:tblBorders>
        <w:top w:val="single" w:sz="8" w:space="0" w:color="8ADBE7" w:themeColor="accent3" w:themeTint="BF"/>
        <w:left w:val="single" w:sz="8" w:space="0" w:color="8ADBE7" w:themeColor="accent3" w:themeTint="BF"/>
        <w:bottom w:val="single" w:sz="8" w:space="0" w:color="8ADBE7" w:themeColor="accent3" w:themeTint="BF"/>
        <w:right w:val="single" w:sz="8" w:space="0" w:color="8ADBE7" w:themeColor="accent3" w:themeTint="BF"/>
        <w:insideH w:val="single" w:sz="8" w:space="0" w:color="8ADBE7" w:themeColor="accent3" w:themeTint="BF"/>
      </w:tblBorders>
    </w:tblPr>
    <w:tblStylePr w:type="firstRow">
      <w:pPr>
        <w:spacing w:before="0" w:after="0" w:line="240" w:lineRule="auto"/>
      </w:pPr>
      <w:rPr>
        <w:b/>
        <w:bCs/>
        <w:color w:val="FFFFFF" w:themeColor="background1"/>
      </w:rPr>
      <w:tblPr/>
      <w:tcPr>
        <w:tcBorders>
          <w:top w:val="single" w:sz="8" w:space="0" w:color="8ADBE7" w:themeColor="accent3" w:themeTint="BF"/>
          <w:left w:val="single" w:sz="8" w:space="0" w:color="8ADBE7" w:themeColor="accent3" w:themeTint="BF"/>
          <w:bottom w:val="single" w:sz="8" w:space="0" w:color="8ADBE7" w:themeColor="accent3" w:themeTint="BF"/>
          <w:right w:val="single" w:sz="8" w:space="0" w:color="8ADBE7" w:themeColor="accent3" w:themeTint="BF"/>
          <w:insideH w:val="nil"/>
          <w:insideV w:val="nil"/>
        </w:tcBorders>
        <w:shd w:val="clear" w:color="auto" w:fill="63D0DF" w:themeFill="accent3"/>
      </w:tcPr>
    </w:tblStylePr>
    <w:tblStylePr w:type="lastRow">
      <w:pPr>
        <w:spacing w:before="0" w:after="0" w:line="240" w:lineRule="auto"/>
      </w:pPr>
      <w:rPr>
        <w:b/>
        <w:bCs/>
      </w:rPr>
      <w:tblPr/>
      <w:tcPr>
        <w:tcBorders>
          <w:top w:val="double" w:sz="6" w:space="0" w:color="8ADBE7" w:themeColor="accent3" w:themeTint="BF"/>
          <w:left w:val="single" w:sz="8" w:space="0" w:color="8ADBE7" w:themeColor="accent3" w:themeTint="BF"/>
          <w:bottom w:val="single" w:sz="8" w:space="0" w:color="8ADBE7" w:themeColor="accent3" w:themeTint="BF"/>
          <w:right w:val="single" w:sz="8" w:space="0" w:color="8ADBE7" w:themeColor="accent3" w:themeTint="BF"/>
          <w:insideH w:val="nil"/>
          <w:insideV w:val="nil"/>
        </w:tcBorders>
      </w:tcPr>
    </w:tblStylePr>
    <w:tblStylePr w:type="firstCol">
      <w:rPr>
        <w:b/>
        <w:bCs/>
      </w:rPr>
    </w:tblStylePr>
    <w:tblStylePr w:type="lastCol">
      <w:rPr>
        <w:b/>
        <w:bCs/>
      </w:rPr>
    </w:tblStylePr>
    <w:tblStylePr w:type="band1Vert">
      <w:tblPr/>
      <w:tcPr>
        <w:shd w:val="clear" w:color="auto" w:fill="D8F3F7" w:themeFill="accent3" w:themeFillTint="3F"/>
      </w:tcPr>
    </w:tblStylePr>
    <w:tblStylePr w:type="band1Horz">
      <w:tblPr/>
      <w:tcPr>
        <w:tcBorders>
          <w:insideH w:val="nil"/>
          <w:insideV w:val="nil"/>
        </w:tcBorders>
        <w:shd w:val="clear" w:color="auto" w:fill="D8F3F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98"/>
    <w:semiHidden/>
    <w:unhideWhenUsed/>
    <w:rsid w:val="001F6DC1"/>
    <w:tblPr>
      <w:tblStyleRowBandSize w:val="1"/>
      <w:tblStyleColBandSize w:val="1"/>
      <w:tblBorders>
        <w:top w:val="single" w:sz="8" w:space="0" w:color="B8B8B8" w:themeColor="accent4" w:themeTint="BF"/>
        <w:left w:val="single" w:sz="8" w:space="0" w:color="B8B8B8" w:themeColor="accent4" w:themeTint="BF"/>
        <w:bottom w:val="single" w:sz="8" w:space="0" w:color="B8B8B8" w:themeColor="accent4" w:themeTint="BF"/>
        <w:right w:val="single" w:sz="8" w:space="0" w:color="B8B8B8" w:themeColor="accent4" w:themeTint="BF"/>
        <w:insideH w:val="single" w:sz="8" w:space="0" w:color="B8B8B8" w:themeColor="accent4" w:themeTint="BF"/>
      </w:tblBorders>
    </w:tblPr>
    <w:tblStylePr w:type="firstRow">
      <w:pPr>
        <w:spacing w:before="0" w:after="0" w:line="240" w:lineRule="auto"/>
      </w:pPr>
      <w:rPr>
        <w:b/>
        <w:bCs/>
        <w:color w:val="FFFFFF" w:themeColor="background1"/>
      </w:rPr>
      <w:tblPr/>
      <w:tcPr>
        <w:tcBorders>
          <w:top w:val="single" w:sz="8" w:space="0" w:color="B8B8B8" w:themeColor="accent4" w:themeTint="BF"/>
          <w:left w:val="single" w:sz="8" w:space="0" w:color="B8B8B8" w:themeColor="accent4" w:themeTint="BF"/>
          <w:bottom w:val="single" w:sz="8" w:space="0" w:color="B8B8B8" w:themeColor="accent4" w:themeTint="BF"/>
          <w:right w:val="single" w:sz="8" w:space="0" w:color="B8B8B8" w:themeColor="accent4" w:themeTint="BF"/>
          <w:insideH w:val="nil"/>
          <w:insideV w:val="nil"/>
        </w:tcBorders>
        <w:shd w:val="clear" w:color="auto" w:fill="A1A1A1" w:themeFill="accent4"/>
      </w:tcPr>
    </w:tblStylePr>
    <w:tblStylePr w:type="lastRow">
      <w:pPr>
        <w:spacing w:before="0" w:after="0" w:line="240" w:lineRule="auto"/>
      </w:pPr>
      <w:rPr>
        <w:b/>
        <w:bCs/>
      </w:rPr>
      <w:tblPr/>
      <w:tcPr>
        <w:tcBorders>
          <w:top w:val="double" w:sz="6" w:space="0" w:color="B8B8B8" w:themeColor="accent4" w:themeTint="BF"/>
          <w:left w:val="single" w:sz="8" w:space="0" w:color="B8B8B8" w:themeColor="accent4" w:themeTint="BF"/>
          <w:bottom w:val="single" w:sz="8" w:space="0" w:color="B8B8B8" w:themeColor="accent4" w:themeTint="BF"/>
          <w:right w:val="single" w:sz="8" w:space="0" w:color="B8B8B8" w:themeColor="accent4" w:themeTint="BF"/>
          <w:insideH w:val="nil"/>
          <w:insideV w:val="nil"/>
        </w:tcBorders>
      </w:tcPr>
    </w:tblStylePr>
    <w:tblStylePr w:type="firstCol">
      <w:rPr>
        <w:b/>
        <w:bCs/>
      </w:rPr>
    </w:tblStylePr>
    <w:tblStylePr w:type="lastCol">
      <w:rPr>
        <w:b/>
        <w:bCs/>
      </w:rPr>
    </w:tblStylePr>
    <w:tblStylePr w:type="band1Vert">
      <w:tblPr/>
      <w:tcPr>
        <w:shd w:val="clear" w:color="auto" w:fill="E7E7E7" w:themeFill="accent4" w:themeFillTint="3F"/>
      </w:tcPr>
    </w:tblStylePr>
    <w:tblStylePr w:type="band1Horz">
      <w:tblPr/>
      <w:tcPr>
        <w:tcBorders>
          <w:insideH w:val="nil"/>
          <w:insideV w:val="nil"/>
        </w:tcBorders>
        <w:shd w:val="clear" w:color="auto" w:fill="E7E7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98"/>
    <w:semiHidden/>
    <w:unhideWhenUsed/>
    <w:rsid w:val="001F6DC1"/>
    <w:tblPr>
      <w:tblStyleRowBandSize w:val="1"/>
      <w:tblStyleColBandSize w:val="1"/>
      <w:tblBorders>
        <w:top w:val="single" w:sz="8" w:space="0" w:color="8ADBE7" w:themeColor="accent5" w:themeTint="BF"/>
        <w:left w:val="single" w:sz="8" w:space="0" w:color="8ADBE7" w:themeColor="accent5" w:themeTint="BF"/>
        <w:bottom w:val="single" w:sz="8" w:space="0" w:color="8ADBE7" w:themeColor="accent5" w:themeTint="BF"/>
        <w:right w:val="single" w:sz="8" w:space="0" w:color="8ADBE7" w:themeColor="accent5" w:themeTint="BF"/>
        <w:insideH w:val="single" w:sz="8" w:space="0" w:color="8ADBE7" w:themeColor="accent5" w:themeTint="BF"/>
      </w:tblBorders>
    </w:tblPr>
    <w:tblStylePr w:type="firstRow">
      <w:pPr>
        <w:spacing w:before="0" w:after="0" w:line="240" w:lineRule="auto"/>
      </w:pPr>
      <w:rPr>
        <w:b/>
        <w:bCs/>
        <w:color w:val="FFFFFF" w:themeColor="background1"/>
      </w:rPr>
      <w:tblPr/>
      <w:tcPr>
        <w:tcBorders>
          <w:top w:val="single" w:sz="8" w:space="0" w:color="8ADBE7" w:themeColor="accent5" w:themeTint="BF"/>
          <w:left w:val="single" w:sz="8" w:space="0" w:color="8ADBE7" w:themeColor="accent5" w:themeTint="BF"/>
          <w:bottom w:val="single" w:sz="8" w:space="0" w:color="8ADBE7" w:themeColor="accent5" w:themeTint="BF"/>
          <w:right w:val="single" w:sz="8" w:space="0" w:color="8ADBE7" w:themeColor="accent5" w:themeTint="BF"/>
          <w:insideH w:val="nil"/>
          <w:insideV w:val="nil"/>
        </w:tcBorders>
        <w:shd w:val="clear" w:color="auto" w:fill="63D0DF" w:themeFill="accent5"/>
      </w:tcPr>
    </w:tblStylePr>
    <w:tblStylePr w:type="lastRow">
      <w:pPr>
        <w:spacing w:before="0" w:after="0" w:line="240" w:lineRule="auto"/>
      </w:pPr>
      <w:rPr>
        <w:b/>
        <w:bCs/>
      </w:rPr>
      <w:tblPr/>
      <w:tcPr>
        <w:tcBorders>
          <w:top w:val="double" w:sz="6" w:space="0" w:color="8ADBE7" w:themeColor="accent5" w:themeTint="BF"/>
          <w:left w:val="single" w:sz="8" w:space="0" w:color="8ADBE7" w:themeColor="accent5" w:themeTint="BF"/>
          <w:bottom w:val="single" w:sz="8" w:space="0" w:color="8ADBE7" w:themeColor="accent5" w:themeTint="BF"/>
          <w:right w:val="single" w:sz="8" w:space="0" w:color="8ADBE7" w:themeColor="accent5" w:themeTint="BF"/>
          <w:insideH w:val="nil"/>
          <w:insideV w:val="nil"/>
        </w:tcBorders>
      </w:tcPr>
    </w:tblStylePr>
    <w:tblStylePr w:type="firstCol">
      <w:rPr>
        <w:b/>
        <w:bCs/>
      </w:rPr>
    </w:tblStylePr>
    <w:tblStylePr w:type="lastCol">
      <w:rPr>
        <w:b/>
        <w:bCs/>
      </w:rPr>
    </w:tblStylePr>
    <w:tblStylePr w:type="band1Vert">
      <w:tblPr/>
      <w:tcPr>
        <w:shd w:val="clear" w:color="auto" w:fill="D8F3F7" w:themeFill="accent5" w:themeFillTint="3F"/>
      </w:tcPr>
    </w:tblStylePr>
    <w:tblStylePr w:type="band1Horz">
      <w:tblPr/>
      <w:tcPr>
        <w:tcBorders>
          <w:insideH w:val="nil"/>
          <w:insideV w:val="nil"/>
        </w:tcBorders>
        <w:shd w:val="clear" w:color="auto" w:fill="D8F3F7"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98"/>
    <w:semiHidden/>
    <w:unhideWhenUsed/>
    <w:rsid w:val="001F6DC1"/>
    <w:tblPr>
      <w:tblStyleRowBandSize w:val="1"/>
      <w:tblStyleColBandSize w:val="1"/>
      <w:tblBorders>
        <w:top w:val="single" w:sz="8" w:space="0" w:color="B8B8B8" w:themeColor="accent6" w:themeTint="BF"/>
        <w:left w:val="single" w:sz="8" w:space="0" w:color="B8B8B8" w:themeColor="accent6" w:themeTint="BF"/>
        <w:bottom w:val="single" w:sz="8" w:space="0" w:color="B8B8B8" w:themeColor="accent6" w:themeTint="BF"/>
        <w:right w:val="single" w:sz="8" w:space="0" w:color="B8B8B8" w:themeColor="accent6" w:themeTint="BF"/>
        <w:insideH w:val="single" w:sz="8" w:space="0" w:color="B8B8B8" w:themeColor="accent6" w:themeTint="BF"/>
      </w:tblBorders>
    </w:tblPr>
    <w:tblStylePr w:type="firstRow">
      <w:pPr>
        <w:spacing w:before="0" w:after="0" w:line="240" w:lineRule="auto"/>
      </w:pPr>
      <w:rPr>
        <w:b/>
        <w:bCs/>
        <w:color w:val="FFFFFF" w:themeColor="background1"/>
      </w:rPr>
      <w:tblPr/>
      <w:tcPr>
        <w:tcBorders>
          <w:top w:val="single" w:sz="8" w:space="0" w:color="B8B8B8" w:themeColor="accent6" w:themeTint="BF"/>
          <w:left w:val="single" w:sz="8" w:space="0" w:color="B8B8B8" w:themeColor="accent6" w:themeTint="BF"/>
          <w:bottom w:val="single" w:sz="8" w:space="0" w:color="B8B8B8" w:themeColor="accent6" w:themeTint="BF"/>
          <w:right w:val="single" w:sz="8" w:space="0" w:color="B8B8B8" w:themeColor="accent6" w:themeTint="BF"/>
          <w:insideH w:val="nil"/>
          <w:insideV w:val="nil"/>
        </w:tcBorders>
        <w:shd w:val="clear" w:color="auto" w:fill="A1A1A1" w:themeFill="accent6"/>
      </w:tcPr>
    </w:tblStylePr>
    <w:tblStylePr w:type="lastRow">
      <w:pPr>
        <w:spacing w:before="0" w:after="0" w:line="240" w:lineRule="auto"/>
      </w:pPr>
      <w:rPr>
        <w:b/>
        <w:bCs/>
      </w:rPr>
      <w:tblPr/>
      <w:tcPr>
        <w:tcBorders>
          <w:top w:val="double" w:sz="6" w:space="0" w:color="B8B8B8" w:themeColor="accent6" w:themeTint="BF"/>
          <w:left w:val="single" w:sz="8" w:space="0" w:color="B8B8B8" w:themeColor="accent6" w:themeTint="BF"/>
          <w:bottom w:val="single" w:sz="8" w:space="0" w:color="B8B8B8" w:themeColor="accent6" w:themeTint="BF"/>
          <w:right w:val="single" w:sz="8" w:space="0" w:color="B8B8B8" w:themeColor="accent6" w:themeTint="BF"/>
          <w:insideH w:val="nil"/>
          <w:insideV w:val="nil"/>
        </w:tcBorders>
      </w:tcPr>
    </w:tblStylePr>
    <w:tblStylePr w:type="firstCol">
      <w:rPr>
        <w:b/>
        <w:bCs/>
      </w:rPr>
    </w:tblStylePr>
    <w:tblStylePr w:type="lastCol">
      <w:rPr>
        <w:b/>
        <w:bCs/>
      </w:rPr>
    </w:tblStylePr>
    <w:tblStylePr w:type="band1Vert">
      <w:tblPr/>
      <w:tcPr>
        <w:shd w:val="clear" w:color="auto" w:fill="E7E7E7" w:themeFill="accent6" w:themeFillTint="3F"/>
      </w:tcPr>
    </w:tblStylePr>
    <w:tblStylePr w:type="band1Horz">
      <w:tblPr/>
      <w:tcPr>
        <w:tcBorders>
          <w:insideH w:val="nil"/>
          <w:insideV w:val="nil"/>
        </w:tcBorders>
        <w:shd w:val="clear" w:color="auto" w:fill="E7E7E7"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3D0D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3D0DF" w:themeFill="accent1"/>
      </w:tcPr>
    </w:tblStylePr>
    <w:tblStylePr w:type="lastCol">
      <w:rPr>
        <w:b/>
        <w:bCs/>
        <w:color w:val="FFFFFF" w:themeColor="background1"/>
      </w:rPr>
      <w:tblPr/>
      <w:tcPr>
        <w:tcBorders>
          <w:left w:val="nil"/>
          <w:right w:val="nil"/>
          <w:insideH w:val="nil"/>
          <w:insideV w:val="nil"/>
        </w:tcBorders>
        <w:shd w:val="clear" w:color="auto" w:fill="63D0D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9C9CA"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9C9CA" w:themeFill="accent2"/>
      </w:tcPr>
    </w:tblStylePr>
    <w:tblStylePr w:type="lastCol">
      <w:rPr>
        <w:b/>
        <w:bCs/>
        <w:color w:val="FFFFFF" w:themeColor="background1"/>
      </w:rPr>
      <w:tblPr/>
      <w:tcPr>
        <w:tcBorders>
          <w:left w:val="nil"/>
          <w:right w:val="nil"/>
          <w:insideH w:val="nil"/>
          <w:insideV w:val="nil"/>
        </w:tcBorders>
        <w:shd w:val="clear" w:color="auto" w:fill="C9C9CA"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3D0D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3D0DF" w:themeFill="accent3"/>
      </w:tcPr>
    </w:tblStylePr>
    <w:tblStylePr w:type="lastCol">
      <w:rPr>
        <w:b/>
        <w:bCs/>
        <w:color w:val="FFFFFF" w:themeColor="background1"/>
      </w:rPr>
      <w:tblPr/>
      <w:tcPr>
        <w:tcBorders>
          <w:left w:val="nil"/>
          <w:right w:val="nil"/>
          <w:insideH w:val="nil"/>
          <w:insideV w:val="nil"/>
        </w:tcBorders>
        <w:shd w:val="clear" w:color="auto" w:fill="63D0D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1A1A1"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1A1A1" w:themeFill="accent4"/>
      </w:tcPr>
    </w:tblStylePr>
    <w:tblStylePr w:type="lastCol">
      <w:rPr>
        <w:b/>
        <w:bCs/>
        <w:color w:val="FFFFFF" w:themeColor="background1"/>
      </w:rPr>
      <w:tblPr/>
      <w:tcPr>
        <w:tcBorders>
          <w:left w:val="nil"/>
          <w:right w:val="nil"/>
          <w:insideH w:val="nil"/>
          <w:insideV w:val="nil"/>
        </w:tcBorders>
        <w:shd w:val="clear" w:color="auto" w:fill="A1A1A1"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3D0D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3D0DF" w:themeFill="accent5"/>
      </w:tcPr>
    </w:tblStylePr>
    <w:tblStylePr w:type="lastCol">
      <w:rPr>
        <w:b/>
        <w:bCs/>
        <w:color w:val="FFFFFF" w:themeColor="background1"/>
      </w:rPr>
      <w:tblPr/>
      <w:tcPr>
        <w:tcBorders>
          <w:left w:val="nil"/>
          <w:right w:val="nil"/>
          <w:insideH w:val="nil"/>
          <w:insideV w:val="nil"/>
        </w:tcBorders>
        <w:shd w:val="clear" w:color="auto" w:fill="63D0D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1A1A1"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1A1A1" w:themeFill="accent6"/>
      </w:tcPr>
    </w:tblStylePr>
    <w:tblStylePr w:type="lastCol">
      <w:rPr>
        <w:b/>
        <w:bCs/>
        <w:color w:val="FFFFFF" w:themeColor="background1"/>
      </w:rPr>
      <w:tblPr/>
      <w:tcPr>
        <w:tcBorders>
          <w:left w:val="nil"/>
          <w:right w:val="nil"/>
          <w:insideH w:val="nil"/>
          <w:insideV w:val="nil"/>
        </w:tcBorders>
        <w:shd w:val="clear" w:color="auto" w:fill="A1A1A1"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Table3Deffects1">
    <w:name w:val="Table 3D effects 1"/>
    <w:basedOn w:val="TableNormal"/>
    <w:uiPriority w:val="98"/>
    <w:semiHidden/>
    <w:unhideWhenUsed/>
    <w:rsid w:val="001F6DC1"/>
    <w:pPr>
      <w:spacing w:after="227" w:line="22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8"/>
    <w:semiHidden/>
    <w:unhideWhenUsed/>
    <w:rsid w:val="001F6DC1"/>
    <w:pPr>
      <w:spacing w:after="227" w:line="22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8"/>
    <w:semiHidden/>
    <w:unhideWhenUsed/>
    <w:rsid w:val="001F6DC1"/>
    <w:pPr>
      <w:spacing w:after="227" w:line="22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8"/>
    <w:semiHidden/>
    <w:unhideWhenUsed/>
    <w:rsid w:val="001F6DC1"/>
    <w:pPr>
      <w:spacing w:after="227" w:line="22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8"/>
    <w:semiHidden/>
    <w:unhideWhenUsed/>
    <w:rsid w:val="001F6DC1"/>
    <w:pPr>
      <w:spacing w:after="227" w:line="22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8"/>
    <w:semiHidden/>
    <w:unhideWhenUsed/>
    <w:rsid w:val="001F6DC1"/>
    <w:pPr>
      <w:spacing w:after="227" w:line="22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8"/>
    <w:semiHidden/>
    <w:unhideWhenUsed/>
    <w:rsid w:val="001F6DC1"/>
    <w:pPr>
      <w:spacing w:after="227" w:line="22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8"/>
    <w:semiHidden/>
    <w:unhideWhenUsed/>
    <w:rsid w:val="001F6DC1"/>
    <w:pPr>
      <w:spacing w:after="227" w:line="22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8"/>
    <w:semiHidden/>
    <w:unhideWhenUsed/>
    <w:rsid w:val="001F6DC1"/>
    <w:pPr>
      <w:spacing w:after="227" w:line="22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8"/>
    <w:semiHidden/>
    <w:unhideWhenUsed/>
    <w:rsid w:val="001F6DC1"/>
    <w:pPr>
      <w:spacing w:after="227" w:line="22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8"/>
    <w:semiHidden/>
    <w:unhideWhenUsed/>
    <w:rsid w:val="001F6DC1"/>
    <w:pPr>
      <w:spacing w:after="227" w:line="22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8"/>
    <w:semiHidden/>
    <w:unhideWhenUsed/>
    <w:rsid w:val="001F6DC1"/>
    <w:pPr>
      <w:spacing w:after="227" w:line="22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8"/>
    <w:semiHidden/>
    <w:unhideWhenUsed/>
    <w:rsid w:val="001F6DC1"/>
    <w:pPr>
      <w:spacing w:after="227" w:line="22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8"/>
    <w:semiHidden/>
    <w:unhideWhenUsed/>
    <w:rsid w:val="001F6DC1"/>
    <w:pPr>
      <w:spacing w:after="227" w:line="22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8"/>
    <w:semiHidden/>
    <w:unhideWhenUsed/>
    <w:rsid w:val="001F6DC1"/>
    <w:pPr>
      <w:spacing w:after="227" w:line="22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8"/>
    <w:semiHidden/>
    <w:unhideWhenUsed/>
    <w:rsid w:val="001F6DC1"/>
    <w:pPr>
      <w:spacing w:after="227" w:line="22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8"/>
    <w:semiHidden/>
    <w:unhideWhenUsed/>
    <w:rsid w:val="001F6DC1"/>
    <w:pPr>
      <w:spacing w:after="227" w:line="22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8"/>
    <w:semiHidden/>
    <w:unhideWhenUsed/>
    <w:rsid w:val="001F6DC1"/>
    <w:pPr>
      <w:spacing w:after="227" w:line="22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8"/>
    <w:semiHidden/>
    <w:unhideWhenUsed/>
    <w:rsid w:val="001F6DC1"/>
    <w:pPr>
      <w:spacing w:after="227" w:line="22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8"/>
    <w:semiHidden/>
    <w:unhideWhenUsed/>
    <w:rsid w:val="001F6DC1"/>
    <w:pPr>
      <w:spacing w:after="227" w:line="22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8"/>
    <w:semiHidden/>
    <w:unhideWhenUsed/>
    <w:rsid w:val="001F6DC1"/>
    <w:pPr>
      <w:spacing w:after="227" w:line="22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8"/>
    <w:semiHidden/>
    <w:unhideWhenUsed/>
    <w:rsid w:val="001F6DC1"/>
    <w:pPr>
      <w:spacing w:after="227" w:line="22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8"/>
    <w:semiHidden/>
    <w:unhideWhenUsed/>
    <w:rsid w:val="001F6DC1"/>
    <w:pPr>
      <w:spacing w:after="227" w:line="22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8"/>
    <w:semiHidden/>
    <w:unhideWhenUsed/>
    <w:rsid w:val="001F6DC1"/>
    <w:pPr>
      <w:spacing w:after="227" w:line="22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8"/>
    <w:semiHidden/>
    <w:unhideWhenUsed/>
    <w:rsid w:val="001F6DC1"/>
    <w:pPr>
      <w:spacing w:after="227" w:line="22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98"/>
    <w:semiHidden/>
    <w:rsid w:val="001F6DC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8"/>
    <w:semiHidden/>
    <w:unhideWhenUsed/>
    <w:rsid w:val="001F6DC1"/>
    <w:pPr>
      <w:spacing w:after="227" w:line="22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8"/>
    <w:semiHidden/>
    <w:unhideWhenUsed/>
    <w:rsid w:val="001F6DC1"/>
    <w:pPr>
      <w:spacing w:after="227" w:line="22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8"/>
    <w:semiHidden/>
    <w:unhideWhenUsed/>
    <w:rsid w:val="001F6DC1"/>
    <w:pPr>
      <w:spacing w:after="227" w:line="22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8"/>
    <w:semiHidden/>
    <w:unhideWhenUsed/>
    <w:rsid w:val="001F6DC1"/>
    <w:pPr>
      <w:spacing w:after="227" w:line="22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8"/>
    <w:semiHidden/>
    <w:unhideWhenUsed/>
    <w:rsid w:val="001F6DC1"/>
    <w:pPr>
      <w:spacing w:after="227" w:line="22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8"/>
    <w:semiHidden/>
    <w:unhideWhenUsed/>
    <w:rsid w:val="001F6DC1"/>
    <w:pPr>
      <w:spacing w:after="227" w:line="22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8"/>
    <w:semiHidden/>
    <w:unhideWhenUsed/>
    <w:rsid w:val="001F6DC1"/>
    <w:pPr>
      <w:spacing w:after="227" w:line="22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8"/>
    <w:semiHidden/>
    <w:unhideWhenUsed/>
    <w:rsid w:val="001F6DC1"/>
    <w:pPr>
      <w:spacing w:after="227" w:line="22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8"/>
    <w:semiHidden/>
    <w:unhideWhenUsed/>
    <w:rsid w:val="001F6DC1"/>
    <w:pPr>
      <w:spacing w:after="227" w:line="22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8"/>
    <w:semiHidden/>
    <w:unhideWhenUsed/>
    <w:rsid w:val="001F6DC1"/>
    <w:pPr>
      <w:spacing w:after="227" w:line="22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8"/>
    <w:semiHidden/>
    <w:unhideWhenUsed/>
    <w:rsid w:val="001F6DC1"/>
    <w:pPr>
      <w:spacing w:after="227" w:line="22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8"/>
    <w:semiHidden/>
    <w:unhideWhenUsed/>
    <w:rsid w:val="001F6DC1"/>
    <w:pPr>
      <w:spacing w:after="227" w:line="22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8"/>
    <w:semiHidden/>
    <w:unhideWhenUsed/>
    <w:rsid w:val="001F6DC1"/>
    <w:pPr>
      <w:spacing w:after="227" w:line="22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8"/>
    <w:semiHidden/>
    <w:unhideWhenUsed/>
    <w:rsid w:val="001F6DC1"/>
    <w:pPr>
      <w:spacing w:after="227" w:line="22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8"/>
    <w:semiHidden/>
    <w:unhideWhenUsed/>
    <w:rsid w:val="001F6DC1"/>
    <w:pPr>
      <w:spacing w:after="227" w:line="22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8"/>
    <w:semiHidden/>
    <w:unhideWhenUsed/>
    <w:rsid w:val="001F6DC1"/>
    <w:pPr>
      <w:spacing w:after="227" w:line="22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8"/>
    <w:semiHidden/>
    <w:unhideWhenUsed/>
    <w:rsid w:val="001F6DC1"/>
    <w:pPr>
      <w:spacing w:after="227" w:line="22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8"/>
    <w:semiHidden/>
    <w:unhideWhenUsed/>
    <w:rsid w:val="001F6DC1"/>
    <w:pPr>
      <w:spacing w:after="227" w:line="22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Heading">
    <w:name w:val="TOC Heading"/>
    <w:basedOn w:val="Title"/>
    <w:next w:val="Normal"/>
    <w:uiPriority w:val="39"/>
    <w:semiHidden/>
    <w:qFormat/>
    <w:rsid w:val="00145656"/>
    <w:pPr>
      <w:framePr w:w="0" w:wrap="auto" w:vAnchor="margin" w:yAlign="inline"/>
      <w:spacing w:before="0" w:after="720" w:line="240" w:lineRule="auto"/>
      <w:outlineLvl w:val="9"/>
    </w:pPr>
    <w:rPr>
      <w:b w:val="0"/>
      <w:caps/>
      <w:color w:val="1D336D" w:themeColor="background2"/>
    </w:rPr>
  </w:style>
  <w:style w:type="character" w:customStyle="1" w:styleId="Heading8Char">
    <w:name w:val="Heading 8 Char"/>
    <w:basedOn w:val="DefaultParagraphFont"/>
    <w:link w:val="Heading8"/>
    <w:uiPriority w:val="1"/>
    <w:semiHidden/>
    <w:rsid w:val="000E3939"/>
    <w:rPr>
      <w:rFonts w:asciiTheme="majorHAnsi" w:eastAsiaTheme="majorEastAsia" w:hAnsiTheme="majorHAnsi" w:cstheme="majorBidi"/>
      <w:i/>
      <w:color w:val="1D336D" w:themeColor="background2"/>
      <w:szCs w:val="21"/>
    </w:rPr>
  </w:style>
  <w:style w:type="character" w:customStyle="1" w:styleId="Heading9Char">
    <w:name w:val="Heading 9 Char"/>
    <w:basedOn w:val="DefaultParagraphFont"/>
    <w:link w:val="Heading9"/>
    <w:uiPriority w:val="1"/>
    <w:semiHidden/>
    <w:rsid w:val="000E3939"/>
    <w:rPr>
      <w:rFonts w:asciiTheme="majorHAnsi" w:eastAsiaTheme="majorEastAsia" w:hAnsiTheme="majorHAnsi" w:cstheme="majorBidi"/>
      <w:i/>
      <w:iCs/>
      <w:color w:val="000000"/>
      <w:szCs w:val="21"/>
    </w:rPr>
  </w:style>
  <w:style w:type="paragraph" w:customStyle="1" w:styleId="HeaderText">
    <w:name w:val="Header Text"/>
    <w:basedOn w:val="Normal"/>
    <w:uiPriority w:val="12"/>
    <w:semiHidden/>
    <w:rsid w:val="00692E69"/>
    <w:pPr>
      <w:spacing w:line="204" w:lineRule="auto"/>
    </w:pPr>
    <w:rPr>
      <w:rFonts w:asciiTheme="majorHAnsi" w:hAnsiTheme="majorHAnsi"/>
      <w:b/>
      <w:color w:val="585858" w:themeColor="text2"/>
      <w:sz w:val="40"/>
    </w:rPr>
  </w:style>
  <w:style w:type="paragraph" w:customStyle="1" w:styleId="IntroCopy">
    <w:name w:val="Intro Copy"/>
    <w:basedOn w:val="Normal"/>
    <w:uiPriority w:val="2"/>
    <w:qFormat/>
    <w:rsid w:val="006E5C00"/>
    <w:pPr>
      <w:spacing w:before="240" w:after="240" w:line="340" w:lineRule="atLeast"/>
    </w:pPr>
    <w:rPr>
      <w:i/>
      <w:color w:val="2294CD"/>
      <w:sz w:val="24"/>
    </w:rPr>
  </w:style>
  <w:style w:type="paragraph" w:customStyle="1" w:styleId="SourceNotes">
    <w:name w:val="Source Notes"/>
    <w:basedOn w:val="Normal"/>
    <w:uiPriority w:val="12"/>
    <w:qFormat/>
    <w:rsid w:val="002637CE"/>
    <w:pPr>
      <w:spacing w:before="40" w:line="240" w:lineRule="atLeast"/>
    </w:pPr>
    <w:rPr>
      <w:color w:val="507CB9"/>
      <w:sz w:val="18"/>
    </w:rPr>
  </w:style>
  <w:style w:type="paragraph" w:styleId="FootnoteText">
    <w:name w:val="footnote text"/>
    <w:basedOn w:val="Normal"/>
    <w:link w:val="FootnoteTextChar"/>
    <w:uiPriority w:val="99"/>
    <w:rsid w:val="00847E29"/>
    <w:pPr>
      <w:spacing w:after="20" w:line="160" w:lineRule="atLeast"/>
    </w:pPr>
    <w:rPr>
      <w:sz w:val="14"/>
      <w:szCs w:val="20"/>
    </w:rPr>
  </w:style>
  <w:style w:type="table" w:customStyle="1" w:styleId="TableGrid20">
    <w:name w:val="Table Grid2"/>
    <w:basedOn w:val="TableNormal"/>
    <w:next w:val="TableGrid"/>
    <w:uiPriority w:val="39"/>
    <w:rsid w:val="0012294A"/>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Plain">
    <w:name w:val="_Table Plain"/>
    <w:basedOn w:val="TableNormal"/>
    <w:uiPriority w:val="99"/>
    <w:rsid w:val="00AF488E"/>
    <w:rPr>
      <w:rFonts w:asciiTheme="minorHAnsi" w:hAnsiTheme="minorHAnsi"/>
    </w:rPr>
    <w:tblPr>
      <w:tblStyleRowBandSize w:val="1"/>
      <w:tblBorders>
        <w:top w:val="single" w:sz="4" w:space="0" w:color="2294CD"/>
        <w:bottom w:val="single" w:sz="4" w:space="0" w:color="2294CD"/>
        <w:insideH w:val="single" w:sz="4" w:space="0" w:color="2294CD"/>
      </w:tblBorders>
      <w:tblCellMar>
        <w:top w:w="85" w:type="dxa"/>
        <w:left w:w="85" w:type="dxa"/>
        <w:bottom w:w="85" w:type="dxa"/>
        <w:right w:w="85" w:type="dxa"/>
      </w:tblCellMar>
    </w:tblPr>
    <w:tblStylePr w:type="firstRow">
      <w:rPr>
        <w:rFonts w:asciiTheme="majorHAnsi" w:hAnsiTheme="majorHAnsi"/>
        <w:b w:val="0"/>
        <w:color w:val="1D336D" w:themeColor="background2"/>
      </w:rPr>
      <w:tblPr/>
      <w:tcPr>
        <w:tcBorders>
          <w:top w:val="nil"/>
          <w:bottom w:val="single" w:sz="12" w:space="0" w:color="2294CD"/>
        </w:tcBorders>
      </w:tcPr>
    </w:tblStylePr>
    <w:tblStylePr w:type="firstCol">
      <w:tblPr/>
      <w:tcPr>
        <w:shd w:val="clear" w:color="auto" w:fill="F2F2F2" w:themeFill="background1" w:themeFillShade="F2"/>
      </w:tcPr>
    </w:tblStylePr>
    <w:tblStylePr w:type="lastCol">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NumberedHeading1">
    <w:name w:val="Numbered Heading 1"/>
    <w:basedOn w:val="Heading1"/>
    <w:next w:val="Normal"/>
    <w:link w:val="NumberedHeading1Char"/>
    <w:uiPriority w:val="1"/>
    <w:rsid w:val="008A735F"/>
    <w:pPr>
      <w:numPr>
        <w:ilvl w:val="1"/>
        <w:numId w:val="13"/>
      </w:numPr>
    </w:pPr>
  </w:style>
  <w:style w:type="paragraph" w:customStyle="1" w:styleId="NumberedHeading2">
    <w:name w:val="Numbered Heading 2"/>
    <w:basedOn w:val="Heading2"/>
    <w:link w:val="NumberedHeading2Char"/>
    <w:uiPriority w:val="1"/>
    <w:rsid w:val="008A735F"/>
    <w:pPr>
      <w:numPr>
        <w:ilvl w:val="2"/>
        <w:numId w:val="13"/>
      </w:numPr>
    </w:pPr>
  </w:style>
  <w:style w:type="character" w:customStyle="1" w:styleId="NumberedHeading1Char">
    <w:name w:val="Numbered Heading 1 Char"/>
    <w:basedOn w:val="Heading1Char"/>
    <w:link w:val="NumberedHeading1"/>
    <w:uiPriority w:val="1"/>
    <w:rsid w:val="008D395E"/>
    <w:rPr>
      <w:rFonts w:asciiTheme="minorHAnsi" w:eastAsiaTheme="majorEastAsia" w:hAnsiTheme="minorHAnsi" w:cs="Calibri"/>
      <w:b w:val="0"/>
      <w:bCs/>
      <w:iCs/>
      <w:caps/>
      <w:color w:val="585858" w:themeColor="text2"/>
      <w:sz w:val="32"/>
      <w:szCs w:val="28"/>
    </w:rPr>
  </w:style>
  <w:style w:type="paragraph" w:customStyle="1" w:styleId="NumberedHeading3">
    <w:name w:val="Numbered Heading 3"/>
    <w:basedOn w:val="Heading3"/>
    <w:next w:val="NormalIndented3"/>
    <w:link w:val="NumberedHeading3Char"/>
    <w:uiPriority w:val="1"/>
    <w:rsid w:val="008A735F"/>
    <w:pPr>
      <w:numPr>
        <w:ilvl w:val="3"/>
        <w:numId w:val="13"/>
      </w:numPr>
    </w:pPr>
  </w:style>
  <w:style w:type="numbering" w:customStyle="1" w:styleId="MasterHeadings">
    <w:name w:val="_MasterHeadings"/>
    <w:uiPriority w:val="99"/>
    <w:rsid w:val="008A735F"/>
    <w:pPr>
      <w:numPr>
        <w:numId w:val="9"/>
      </w:numPr>
    </w:pPr>
  </w:style>
  <w:style w:type="character" w:customStyle="1" w:styleId="Heading3Char">
    <w:name w:val="Heading 3 Char"/>
    <w:basedOn w:val="Heading1Char"/>
    <w:link w:val="Heading3"/>
    <w:uiPriority w:val="1"/>
    <w:rsid w:val="00B653D6"/>
    <w:rPr>
      <w:rFonts w:asciiTheme="minorHAnsi" w:eastAsiaTheme="majorEastAsia" w:hAnsiTheme="minorHAnsi" w:cs="Calibri"/>
      <w:b/>
      <w:bCs w:val="0"/>
      <w:iCs/>
      <w:caps w:val="0"/>
      <w:color w:val="1D336D" w:themeColor="background2"/>
      <w:sz w:val="24"/>
      <w:szCs w:val="26"/>
    </w:rPr>
  </w:style>
  <w:style w:type="character" w:customStyle="1" w:styleId="NumberedHeading3Char">
    <w:name w:val="Numbered Heading 3 Char"/>
    <w:basedOn w:val="Heading3Char"/>
    <w:link w:val="NumberedHeading3"/>
    <w:uiPriority w:val="1"/>
    <w:rsid w:val="00CE5852"/>
    <w:rPr>
      <w:rFonts w:asciiTheme="minorHAnsi" w:eastAsiaTheme="majorEastAsia" w:hAnsiTheme="minorHAnsi" w:cs="Calibri"/>
      <w:b/>
      <w:bCs w:val="0"/>
      <w:iCs/>
      <w:caps w:val="0"/>
      <w:color w:val="000000"/>
      <w:sz w:val="22"/>
      <w:szCs w:val="26"/>
    </w:rPr>
  </w:style>
  <w:style w:type="character" w:customStyle="1" w:styleId="Heading2Char">
    <w:name w:val="Heading 2 Char"/>
    <w:basedOn w:val="Heading1Char"/>
    <w:link w:val="Heading2"/>
    <w:uiPriority w:val="1"/>
    <w:rsid w:val="003A5075"/>
    <w:rPr>
      <w:rFonts w:asciiTheme="minorHAnsi" w:eastAsiaTheme="majorEastAsia" w:hAnsiTheme="minorHAnsi" w:cs="Calibri"/>
      <w:b/>
      <w:bCs/>
      <w:iCs/>
      <w:caps/>
      <w:color w:val="C9C9CA" w:themeColor="accent2"/>
      <w:sz w:val="28"/>
      <w:szCs w:val="26"/>
    </w:rPr>
  </w:style>
  <w:style w:type="character" w:customStyle="1" w:styleId="NumberedHeading2Char">
    <w:name w:val="Numbered Heading 2 Char"/>
    <w:basedOn w:val="Heading2Char"/>
    <w:link w:val="NumberedHeading2"/>
    <w:uiPriority w:val="1"/>
    <w:rsid w:val="009761FA"/>
    <w:rPr>
      <w:rFonts w:asciiTheme="minorHAnsi" w:eastAsiaTheme="majorEastAsia" w:hAnsiTheme="minorHAnsi" w:cs="Calibri"/>
      <w:b/>
      <w:bCs/>
      <w:iCs/>
      <w:caps/>
      <w:color w:val="000000" w:themeColor="text1"/>
      <w:sz w:val="24"/>
      <w:szCs w:val="26"/>
    </w:rPr>
  </w:style>
  <w:style w:type="table" w:customStyle="1" w:styleId="TableGrid30">
    <w:name w:val="Table Grid3"/>
    <w:basedOn w:val="TableNormal"/>
    <w:next w:val="TableGrid"/>
    <w:uiPriority w:val="39"/>
    <w:rsid w:val="0012294A"/>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Indented1">
    <w:name w:val="Normal Indented 1"/>
    <w:basedOn w:val="Normal"/>
    <w:uiPriority w:val="2"/>
    <w:rsid w:val="00DD18C7"/>
    <w:pPr>
      <w:ind w:left="284"/>
    </w:pPr>
  </w:style>
  <w:style w:type="paragraph" w:customStyle="1" w:styleId="NormalIndented2">
    <w:name w:val="Normal Indented 2"/>
    <w:basedOn w:val="NormalIndented1"/>
    <w:uiPriority w:val="2"/>
    <w:rsid w:val="00301A3A"/>
    <w:pPr>
      <w:ind w:left="567"/>
    </w:pPr>
  </w:style>
  <w:style w:type="paragraph" w:customStyle="1" w:styleId="NormalIndented3">
    <w:name w:val="Normal Indented 3"/>
    <w:basedOn w:val="Normal"/>
    <w:uiPriority w:val="2"/>
    <w:rsid w:val="00301A3A"/>
    <w:pPr>
      <w:ind w:left="851"/>
    </w:pPr>
  </w:style>
  <w:style w:type="paragraph" w:customStyle="1" w:styleId="Date-FooterLink">
    <w:name w:val="Date - Footer Link"/>
    <w:basedOn w:val="Normal"/>
    <w:semiHidden/>
    <w:qFormat/>
    <w:rsid w:val="00217E6A"/>
    <w:rPr>
      <w:rFonts w:asciiTheme="majorHAnsi" w:hAnsiTheme="majorHAnsi"/>
      <w:b/>
      <w:color w:val="585858" w:themeColor="text2"/>
      <w:sz w:val="24"/>
    </w:rPr>
  </w:style>
  <w:style w:type="paragraph" w:customStyle="1" w:styleId="TableHeadingBlue">
    <w:name w:val="Table Heading Blue"/>
    <w:basedOn w:val="TableHeading"/>
    <w:next w:val="TableText"/>
    <w:link w:val="TableHeadingBlueChar"/>
    <w:uiPriority w:val="9"/>
    <w:qFormat/>
    <w:rsid w:val="003423F2"/>
    <w:rPr>
      <w:color w:val="1D336D" w:themeColor="background2"/>
    </w:rPr>
  </w:style>
  <w:style w:type="character" w:customStyle="1" w:styleId="TableHeadingChar">
    <w:name w:val="Table Heading Char"/>
    <w:basedOn w:val="DefaultParagraphFont"/>
    <w:link w:val="TableHeading"/>
    <w:uiPriority w:val="9"/>
    <w:rsid w:val="00885AF8"/>
    <w:rPr>
      <w:rFonts w:asciiTheme="minorHAnsi" w:eastAsia="Century Gothic" w:hAnsiTheme="minorHAnsi" w:cs="Calibri"/>
      <w:b/>
      <w:bCs/>
      <w:color w:val="FFFFFF"/>
      <w:sz w:val="22"/>
      <w:szCs w:val="24"/>
      <w:lang w:eastAsia="en-US"/>
    </w:rPr>
  </w:style>
  <w:style w:type="character" w:customStyle="1" w:styleId="TableHeadingBlueChar">
    <w:name w:val="Table Heading Blue Char"/>
    <w:basedOn w:val="TableHeadingChar"/>
    <w:link w:val="TableHeadingBlue"/>
    <w:uiPriority w:val="9"/>
    <w:rsid w:val="003423F2"/>
    <w:rPr>
      <w:rFonts w:asciiTheme="minorHAnsi" w:eastAsia="Century Gothic" w:hAnsiTheme="minorHAnsi" w:cs="Calibri"/>
      <w:b/>
      <w:bCs/>
      <w:color w:val="1D336D" w:themeColor="background2"/>
      <w:sz w:val="22"/>
      <w:szCs w:val="24"/>
      <w:lang w:eastAsia="en-US"/>
    </w:rPr>
  </w:style>
  <w:style w:type="paragraph" w:customStyle="1" w:styleId="Heading1NOTOC">
    <w:name w:val="Heading 1 NO TOC"/>
    <w:basedOn w:val="Heading1"/>
    <w:uiPriority w:val="1"/>
    <w:qFormat/>
    <w:rsid w:val="0004770B"/>
    <w:pPr>
      <w:outlineLvl w:val="9"/>
    </w:pPr>
  </w:style>
  <w:style w:type="paragraph" w:customStyle="1" w:styleId="IntroCopySolid">
    <w:name w:val="Intro Copy Solid"/>
    <w:basedOn w:val="IntroCopy"/>
    <w:uiPriority w:val="2"/>
    <w:qFormat/>
    <w:rsid w:val="006E5C00"/>
    <w:pPr>
      <w:pBdr>
        <w:top w:val="single" w:sz="8" w:space="8" w:color="2294CD"/>
        <w:left w:val="single" w:sz="8" w:space="8" w:color="2294CD"/>
        <w:bottom w:val="single" w:sz="8" w:space="8" w:color="2294CD"/>
        <w:right w:val="single" w:sz="8" w:space="8" w:color="2294CD"/>
      </w:pBdr>
      <w:shd w:val="clear" w:color="auto" w:fill="2294CD"/>
      <w:spacing w:line="276" w:lineRule="auto"/>
      <w:ind w:left="159" w:right="159"/>
      <w:contextualSpacing/>
    </w:pPr>
    <w:rPr>
      <w:color w:val="FFFFFF" w:themeColor="background1"/>
    </w:rPr>
  </w:style>
  <w:style w:type="table" w:customStyle="1" w:styleId="TableGrid10">
    <w:name w:val="Table Grid1"/>
    <w:basedOn w:val="TableNormal"/>
    <w:next w:val="TableGrid"/>
    <w:uiPriority w:val="59"/>
    <w:semiHidden/>
    <w:rsid w:val="000819EE"/>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pterHeading">
    <w:name w:val="Chapter Heading"/>
    <w:next w:val="Normal"/>
    <w:link w:val="ChapterHeadingChar"/>
    <w:qFormat/>
    <w:rsid w:val="004218C3"/>
    <w:pPr>
      <w:pageBreakBefore/>
      <w:pBdr>
        <w:top w:val="single" w:sz="2" w:space="6" w:color="1D336D" w:themeColor="background2"/>
        <w:left w:val="single" w:sz="2" w:space="6" w:color="1D336D" w:themeColor="background2"/>
        <w:bottom w:val="single" w:sz="2" w:space="6" w:color="1D336D" w:themeColor="background2"/>
        <w:right w:val="single" w:sz="2" w:space="6" w:color="1D336D" w:themeColor="background2"/>
      </w:pBdr>
      <w:shd w:val="clear" w:color="auto" w:fill="1D336D" w:themeFill="background2"/>
      <w:spacing w:after="240"/>
    </w:pPr>
    <w:rPr>
      <w:rFonts w:asciiTheme="minorHAnsi" w:eastAsiaTheme="majorEastAsia" w:hAnsiTheme="minorHAnsi" w:cs="Calibri"/>
      <w:bCs/>
      <w:iCs/>
      <w:caps/>
      <w:color w:val="FFFFFF" w:themeColor="background1"/>
      <w:sz w:val="44"/>
      <w:szCs w:val="28"/>
    </w:rPr>
  </w:style>
  <w:style w:type="paragraph" w:styleId="TOC5">
    <w:name w:val="toc 5"/>
    <w:basedOn w:val="Normal"/>
    <w:next w:val="Normal"/>
    <w:uiPriority w:val="39"/>
    <w:semiHidden/>
    <w:rsid w:val="00FE707F"/>
    <w:pPr>
      <w:tabs>
        <w:tab w:val="left" w:pos="1134"/>
        <w:tab w:val="right" w:leader="dot" w:pos="9628"/>
      </w:tabs>
      <w:spacing w:after="100"/>
      <w:ind w:left="1701" w:hanging="567"/>
      <w:contextualSpacing/>
    </w:pPr>
    <w:rPr>
      <w:i/>
    </w:rPr>
  </w:style>
  <w:style w:type="paragraph" w:styleId="TOC6">
    <w:name w:val="toc 6"/>
    <w:basedOn w:val="Normal"/>
    <w:next w:val="Normal"/>
    <w:autoRedefine/>
    <w:uiPriority w:val="39"/>
    <w:semiHidden/>
    <w:rsid w:val="00FE707F"/>
    <w:pPr>
      <w:tabs>
        <w:tab w:val="left" w:pos="1760"/>
        <w:tab w:val="right" w:leader="dot" w:pos="9628"/>
      </w:tabs>
      <w:spacing w:after="100"/>
      <w:ind w:left="1000"/>
    </w:pPr>
    <w:rPr>
      <w:noProof/>
    </w:rPr>
  </w:style>
  <w:style w:type="paragraph" w:styleId="Caption">
    <w:name w:val="caption"/>
    <w:basedOn w:val="Normal"/>
    <w:next w:val="Normal"/>
    <w:uiPriority w:val="8"/>
    <w:rsid w:val="004B1446"/>
    <w:pPr>
      <w:spacing w:before="240" w:after="120" w:line="240" w:lineRule="auto"/>
    </w:pPr>
    <w:rPr>
      <w:b/>
      <w:iCs/>
      <w:color w:val="507CB9"/>
      <w:sz w:val="22"/>
      <w:szCs w:val="18"/>
    </w:rPr>
  </w:style>
  <w:style w:type="character" w:customStyle="1" w:styleId="FootnoteTextChar">
    <w:name w:val="Footnote Text Char"/>
    <w:basedOn w:val="DefaultParagraphFont"/>
    <w:link w:val="FootnoteText"/>
    <w:uiPriority w:val="99"/>
    <w:rsid w:val="00847E29"/>
    <w:rPr>
      <w:rFonts w:asciiTheme="minorHAnsi" w:eastAsiaTheme="majorEastAsia" w:hAnsiTheme="minorHAnsi" w:cs="Calibri"/>
      <w:color w:val="000000" w:themeColor="text1"/>
      <w:sz w:val="14"/>
    </w:rPr>
  </w:style>
  <w:style w:type="character" w:styleId="FootnoteReference">
    <w:name w:val="footnote reference"/>
    <w:basedOn w:val="DefaultParagraphFont"/>
    <w:uiPriority w:val="50"/>
    <w:semiHidden/>
    <w:rsid w:val="003337B3"/>
    <w:rPr>
      <w:vertAlign w:val="superscript"/>
    </w:rPr>
  </w:style>
  <w:style w:type="paragraph" w:customStyle="1" w:styleId="CVBody">
    <w:name w:val="CV Body"/>
    <w:basedOn w:val="Normal"/>
    <w:uiPriority w:val="13"/>
    <w:qFormat/>
    <w:rsid w:val="00D4310E"/>
    <w:pPr>
      <w:spacing w:after="60" w:line="200" w:lineRule="atLeast"/>
    </w:pPr>
    <w:rPr>
      <w:rFonts w:eastAsia="Arial" w:cs="Times New Roman"/>
      <w:color w:val="auto"/>
      <w:sz w:val="18"/>
      <w:szCs w:val="22"/>
      <w:lang w:eastAsia="en-US"/>
    </w:rPr>
  </w:style>
  <w:style w:type="paragraph" w:customStyle="1" w:styleId="CoverSubtitle">
    <w:name w:val="Cover Subtitle"/>
    <w:basedOn w:val="CoverTitle"/>
    <w:uiPriority w:val="19"/>
    <w:semiHidden/>
    <w:qFormat/>
    <w:rsid w:val="0081223D"/>
    <w:pPr>
      <w:spacing w:before="240"/>
    </w:pPr>
    <w:rPr>
      <w:b/>
      <w:caps/>
      <w:sz w:val="48"/>
    </w:rPr>
  </w:style>
  <w:style w:type="character" w:customStyle="1" w:styleId="ListNumberChar">
    <w:name w:val="List Number Char"/>
    <w:basedOn w:val="DefaultParagraphFont"/>
    <w:link w:val="ListNumber"/>
    <w:uiPriority w:val="3"/>
    <w:rsid w:val="00596177"/>
    <w:rPr>
      <w:rFonts w:asciiTheme="minorHAnsi" w:eastAsia="Century Gothic" w:hAnsiTheme="minorHAnsi" w:cstheme="minorBidi"/>
      <w:color w:val="000000" w:themeColor="text1"/>
      <w:lang w:eastAsia="en-US"/>
    </w:rPr>
  </w:style>
  <w:style w:type="paragraph" w:customStyle="1" w:styleId="CVLabel">
    <w:name w:val="CV Label"/>
    <w:basedOn w:val="Normal"/>
    <w:uiPriority w:val="13"/>
    <w:qFormat/>
    <w:rsid w:val="00AF488E"/>
    <w:pPr>
      <w:spacing w:after="0" w:line="240" w:lineRule="exact"/>
      <w:ind w:left="-6" w:right="-45"/>
    </w:pPr>
    <w:rPr>
      <w:rFonts w:eastAsia="Arial" w:cs="Times New Roman"/>
      <w:b/>
      <w:bCs/>
      <w:color w:val="2294CD"/>
      <w:sz w:val="19"/>
      <w:szCs w:val="20"/>
      <w:lang w:eastAsia="en-US"/>
    </w:rPr>
  </w:style>
  <w:style w:type="paragraph" w:customStyle="1" w:styleId="CVHeading">
    <w:name w:val="CV Heading"/>
    <w:basedOn w:val="Normal"/>
    <w:uiPriority w:val="13"/>
    <w:qFormat/>
    <w:rsid w:val="0052426B"/>
    <w:pPr>
      <w:spacing w:after="60" w:line="200" w:lineRule="atLeast"/>
    </w:pPr>
    <w:rPr>
      <w:rFonts w:eastAsia="Arial" w:cs="Times New Roman"/>
      <w:b/>
      <w:color w:val="1D336D" w:themeColor="background2"/>
      <w:sz w:val="28"/>
      <w:szCs w:val="22"/>
      <w:lang w:eastAsia="en-US"/>
    </w:rPr>
  </w:style>
  <w:style w:type="paragraph" w:customStyle="1" w:styleId="TableBullets">
    <w:name w:val="Table Bullets"/>
    <w:basedOn w:val="TableText"/>
    <w:uiPriority w:val="10"/>
    <w:qFormat/>
    <w:rsid w:val="009E7E5E"/>
    <w:pPr>
      <w:numPr>
        <w:numId w:val="17"/>
      </w:numPr>
      <w:spacing w:before="0" w:after="80"/>
      <w:ind w:left="284" w:hanging="284"/>
    </w:pPr>
  </w:style>
  <w:style w:type="paragraph" w:customStyle="1" w:styleId="Heading2NOTOC">
    <w:name w:val="Heading 2 NO TOC"/>
    <w:basedOn w:val="Heading2"/>
    <w:uiPriority w:val="1"/>
    <w:qFormat/>
    <w:rsid w:val="004A4416"/>
    <w:pPr>
      <w:outlineLvl w:val="9"/>
    </w:pPr>
  </w:style>
  <w:style w:type="paragraph" w:styleId="TableofFigures">
    <w:name w:val="table of figures"/>
    <w:basedOn w:val="Normal"/>
    <w:next w:val="Normal"/>
    <w:uiPriority w:val="99"/>
    <w:unhideWhenUsed/>
    <w:rsid w:val="00C126D8"/>
    <w:pPr>
      <w:spacing w:after="0"/>
    </w:pPr>
  </w:style>
  <w:style w:type="paragraph" w:styleId="ListParagraph">
    <w:name w:val="List Paragraph"/>
    <w:basedOn w:val="Normal"/>
    <w:uiPriority w:val="1"/>
    <w:qFormat/>
    <w:rsid w:val="00EE1892"/>
    <w:pPr>
      <w:ind w:left="720"/>
      <w:contextualSpacing/>
    </w:pPr>
  </w:style>
  <w:style w:type="paragraph" w:customStyle="1" w:styleId="CoverDetail">
    <w:name w:val="Cover Detail"/>
    <w:basedOn w:val="CoverSubtitle"/>
    <w:uiPriority w:val="19"/>
    <w:semiHidden/>
    <w:qFormat/>
    <w:rsid w:val="0081223D"/>
    <w:pPr>
      <w:contextualSpacing/>
    </w:pPr>
    <w:rPr>
      <w:color w:val="B1B2B6"/>
      <w:sz w:val="24"/>
    </w:rPr>
  </w:style>
  <w:style w:type="paragraph" w:customStyle="1" w:styleId="CoverInsideDetail">
    <w:name w:val="Cover Inside Detail"/>
    <w:basedOn w:val="CoverDetail"/>
    <w:uiPriority w:val="19"/>
    <w:semiHidden/>
    <w:qFormat/>
    <w:rsid w:val="002C5C7C"/>
    <w:pPr>
      <w:spacing w:before="360"/>
    </w:pPr>
    <w:rPr>
      <w:color w:val="FFFFFF" w:themeColor="background1"/>
      <w:sz w:val="28"/>
    </w:rPr>
  </w:style>
  <w:style w:type="paragraph" w:customStyle="1" w:styleId="CoverDetailWhite">
    <w:name w:val="Cover Detail White"/>
    <w:basedOn w:val="CoverDetail"/>
    <w:uiPriority w:val="19"/>
    <w:semiHidden/>
    <w:qFormat/>
    <w:rsid w:val="00145656"/>
    <w:pPr>
      <w:spacing w:before="120" w:line="280" w:lineRule="atLeast"/>
    </w:pPr>
    <w:rPr>
      <w:b w:val="0"/>
      <w:caps w:val="0"/>
      <w:color w:val="FFFFFF" w:themeColor="background1"/>
    </w:rPr>
  </w:style>
  <w:style w:type="paragraph" w:customStyle="1" w:styleId="CVMainHeading">
    <w:name w:val="CV Main Heading"/>
    <w:basedOn w:val="CVHeading"/>
    <w:uiPriority w:val="13"/>
    <w:qFormat/>
    <w:rsid w:val="00D70725"/>
    <w:rPr>
      <w:sz w:val="20"/>
    </w:rPr>
  </w:style>
  <w:style w:type="paragraph" w:customStyle="1" w:styleId="TableBullet">
    <w:name w:val="Table Bullet"/>
    <w:basedOn w:val="TableText"/>
    <w:uiPriority w:val="10"/>
    <w:qFormat/>
    <w:rsid w:val="00802A4E"/>
    <w:pPr>
      <w:spacing w:before="0" w:after="0"/>
      <w:ind w:left="170" w:hanging="170"/>
    </w:pPr>
    <w:rPr>
      <w:sz w:val="18"/>
    </w:rPr>
  </w:style>
  <w:style w:type="paragraph" w:customStyle="1" w:styleId="InfoBoxDarkText">
    <w:name w:val="Info Box Dark Text"/>
    <w:basedOn w:val="IntroCopy"/>
    <w:uiPriority w:val="2"/>
    <w:qFormat/>
    <w:rsid w:val="00985D63"/>
    <w:pPr>
      <w:spacing w:before="60" w:after="60" w:line="276" w:lineRule="auto"/>
      <w:ind w:left="113" w:right="113"/>
    </w:pPr>
    <w:rPr>
      <w:i w:val="0"/>
      <w:color w:val="1D336D" w:themeColor="background2"/>
      <w:sz w:val="20"/>
    </w:rPr>
  </w:style>
  <w:style w:type="paragraph" w:customStyle="1" w:styleId="InfoBoxLightText">
    <w:name w:val="Info Box Light Text"/>
    <w:basedOn w:val="InfoBoxDarkText"/>
    <w:uiPriority w:val="2"/>
    <w:qFormat/>
    <w:rsid w:val="009473BB"/>
    <w:rPr>
      <w:color w:val="FFFFFF" w:themeColor="background1"/>
    </w:rPr>
  </w:style>
  <w:style w:type="paragraph" w:customStyle="1" w:styleId="NumberedHeadingChapter">
    <w:name w:val="Numbered Heading Chapter"/>
    <w:basedOn w:val="NumberedHeading1"/>
    <w:link w:val="NumberedHeadingChapterChar"/>
    <w:uiPriority w:val="2"/>
    <w:qFormat/>
    <w:rsid w:val="00726D77"/>
    <w:pPr>
      <w:pBdr>
        <w:top w:val="single" w:sz="2" w:space="6" w:color="2294CD"/>
        <w:left w:val="single" w:sz="2" w:space="6" w:color="2294CD"/>
        <w:bottom w:val="single" w:sz="2" w:space="6" w:color="2294CD"/>
        <w:right w:val="single" w:sz="2" w:space="6" w:color="2294CD"/>
      </w:pBdr>
      <w:shd w:val="clear" w:color="auto" w:fill="2294CD"/>
      <w:spacing w:before="160" w:after="240"/>
    </w:pPr>
    <w:rPr>
      <w:b/>
      <w:color w:val="FFFFFF" w:themeColor="background1"/>
      <w:sz w:val="44"/>
    </w:rPr>
  </w:style>
  <w:style w:type="paragraph" w:customStyle="1" w:styleId="SourceNotesV2">
    <w:name w:val="Source Notes V2"/>
    <w:basedOn w:val="SourceNotes"/>
    <w:uiPriority w:val="2"/>
    <w:qFormat/>
    <w:rsid w:val="009473BB"/>
    <w:pPr>
      <w:spacing w:after="0" w:line="200" w:lineRule="atLeast"/>
      <w:jc w:val="right"/>
    </w:pPr>
    <w:rPr>
      <w:color w:val="A1D5EF"/>
      <w:sz w:val="16"/>
    </w:rPr>
  </w:style>
  <w:style w:type="character" w:customStyle="1" w:styleId="NumberedHeadingChapterChar">
    <w:name w:val="Numbered Heading Chapter Char"/>
    <w:basedOn w:val="NumberedHeading1Char"/>
    <w:link w:val="NumberedHeadingChapter"/>
    <w:uiPriority w:val="2"/>
    <w:rsid w:val="00726D77"/>
    <w:rPr>
      <w:rFonts w:asciiTheme="minorHAnsi" w:eastAsiaTheme="majorEastAsia" w:hAnsiTheme="minorHAnsi" w:cs="Calibri"/>
      <w:b/>
      <w:bCs/>
      <w:iCs/>
      <w:caps/>
      <w:color w:val="FFFFFF" w:themeColor="background1"/>
      <w:sz w:val="44"/>
      <w:szCs w:val="28"/>
      <w:shd w:val="clear" w:color="auto" w:fill="2294CD"/>
    </w:rPr>
  </w:style>
  <w:style w:type="paragraph" w:customStyle="1" w:styleId="Heading3NOTOC">
    <w:name w:val="Heading 3 NO TOC"/>
    <w:basedOn w:val="Heading3"/>
    <w:uiPriority w:val="2"/>
    <w:qFormat/>
    <w:rsid w:val="003A5075"/>
    <w:pPr>
      <w:outlineLvl w:val="9"/>
    </w:pPr>
  </w:style>
  <w:style w:type="paragraph" w:customStyle="1" w:styleId="CVHeadingSmall">
    <w:name w:val="CV Heading Small"/>
    <w:basedOn w:val="CVHeading"/>
    <w:uiPriority w:val="2"/>
    <w:qFormat/>
    <w:rsid w:val="0052426B"/>
    <w:rPr>
      <w:sz w:val="20"/>
    </w:rPr>
  </w:style>
  <w:style w:type="paragraph" w:customStyle="1" w:styleId="Default">
    <w:name w:val="Default"/>
    <w:rsid w:val="00780F05"/>
    <w:pPr>
      <w:autoSpaceDE w:val="0"/>
      <w:autoSpaceDN w:val="0"/>
      <w:adjustRightInd w:val="0"/>
    </w:pPr>
    <w:rPr>
      <w:rFonts w:ascii="Calibri" w:hAnsi="Calibri" w:cs="Calibri"/>
      <w:color w:val="000000"/>
      <w:sz w:val="24"/>
      <w:szCs w:val="24"/>
    </w:rPr>
  </w:style>
  <w:style w:type="paragraph" w:customStyle="1" w:styleId="Style1">
    <w:name w:val="Style1"/>
    <w:basedOn w:val="ChapterHeading"/>
    <w:link w:val="Style1Char"/>
    <w:uiPriority w:val="2"/>
    <w:qFormat/>
    <w:rsid w:val="004218C3"/>
  </w:style>
  <w:style w:type="character" w:customStyle="1" w:styleId="ChapterHeadingChar">
    <w:name w:val="Chapter Heading Char"/>
    <w:basedOn w:val="DefaultParagraphFont"/>
    <w:link w:val="ChapterHeading"/>
    <w:rsid w:val="004218C3"/>
    <w:rPr>
      <w:rFonts w:asciiTheme="minorHAnsi" w:eastAsiaTheme="majorEastAsia" w:hAnsiTheme="minorHAnsi" w:cs="Calibri"/>
      <w:bCs/>
      <w:iCs/>
      <w:caps/>
      <w:color w:val="FFFFFF" w:themeColor="background1"/>
      <w:sz w:val="44"/>
      <w:szCs w:val="28"/>
      <w:shd w:val="clear" w:color="auto" w:fill="1D336D" w:themeFill="background2"/>
    </w:rPr>
  </w:style>
  <w:style w:type="character" w:customStyle="1" w:styleId="Style1Char">
    <w:name w:val="Style1 Char"/>
    <w:basedOn w:val="ChapterHeadingChar"/>
    <w:link w:val="Style1"/>
    <w:uiPriority w:val="2"/>
    <w:rsid w:val="004218C3"/>
    <w:rPr>
      <w:rFonts w:asciiTheme="minorHAnsi" w:eastAsiaTheme="majorEastAsia" w:hAnsiTheme="minorHAnsi" w:cs="Calibri"/>
      <w:bCs/>
      <w:iCs/>
      <w:caps/>
      <w:color w:val="FFFFFF" w:themeColor="background1"/>
      <w:sz w:val="44"/>
      <w:szCs w:val="28"/>
      <w:shd w:val="clear" w:color="auto" w:fill="1D336D" w:themeFill="background2"/>
    </w:rPr>
  </w:style>
  <w:style w:type="paragraph" w:customStyle="1" w:styleId="TableParagraph">
    <w:name w:val="Table Paragraph"/>
    <w:basedOn w:val="Normal"/>
    <w:uiPriority w:val="1"/>
    <w:qFormat/>
    <w:rsid w:val="000A62D2"/>
    <w:pPr>
      <w:widowControl w:val="0"/>
      <w:autoSpaceDE w:val="0"/>
      <w:autoSpaceDN w:val="0"/>
      <w:spacing w:before="136" w:after="0" w:line="240" w:lineRule="auto"/>
      <w:ind w:left="86"/>
    </w:pPr>
    <w:rPr>
      <w:rFonts w:ascii="Arial" w:eastAsia="Arial" w:hAnsi="Arial" w:cs="Arial"/>
      <w:color w:val="auto"/>
      <w:sz w:val="22"/>
      <w:szCs w:val="22"/>
      <w:lang w:val="en-US" w:eastAsia="en-US"/>
    </w:rPr>
  </w:style>
  <w:style w:type="paragraph" w:styleId="NormalWeb">
    <w:name w:val="Normal (Web)"/>
    <w:basedOn w:val="Normal"/>
    <w:uiPriority w:val="99"/>
    <w:unhideWhenUsed/>
    <w:rsid w:val="00F15B51"/>
    <w:pPr>
      <w:spacing w:before="100" w:beforeAutospacing="1" w:after="100" w:afterAutospacing="1" w:line="240" w:lineRule="auto"/>
    </w:pPr>
    <w:rPr>
      <w:rFonts w:ascii="Times New Roman" w:eastAsia="Times New Roman" w:hAnsi="Times New Roman" w:cs="Times New Roman"/>
      <w:color w:val="auto"/>
      <w:sz w:val="24"/>
    </w:rPr>
  </w:style>
  <w:style w:type="paragraph" w:styleId="Revision">
    <w:name w:val="Revision"/>
    <w:hidden/>
    <w:uiPriority w:val="99"/>
    <w:semiHidden/>
    <w:rsid w:val="008E4908"/>
    <w:rPr>
      <w:rFonts w:asciiTheme="minorHAnsi" w:eastAsiaTheme="majorEastAsia" w:hAnsiTheme="minorHAnsi" w:cs="Calibri"/>
      <w:color w:val="000000" w:themeColor="text1"/>
      <w:szCs w:val="24"/>
    </w:rPr>
  </w:style>
  <w:style w:type="character" w:styleId="CommentReference">
    <w:name w:val="annotation reference"/>
    <w:basedOn w:val="DefaultParagraphFont"/>
    <w:uiPriority w:val="29"/>
    <w:semiHidden/>
    <w:rsid w:val="006551F0"/>
    <w:rPr>
      <w:sz w:val="16"/>
      <w:szCs w:val="16"/>
    </w:rPr>
  </w:style>
  <w:style w:type="paragraph" w:styleId="CommentText">
    <w:name w:val="annotation text"/>
    <w:basedOn w:val="Normal"/>
    <w:link w:val="CommentTextChar"/>
    <w:uiPriority w:val="29"/>
    <w:semiHidden/>
    <w:rsid w:val="006551F0"/>
    <w:pPr>
      <w:spacing w:line="240" w:lineRule="auto"/>
    </w:pPr>
    <w:rPr>
      <w:szCs w:val="20"/>
    </w:rPr>
  </w:style>
  <w:style w:type="character" w:customStyle="1" w:styleId="CommentTextChar">
    <w:name w:val="Comment Text Char"/>
    <w:basedOn w:val="DefaultParagraphFont"/>
    <w:link w:val="CommentText"/>
    <w:uiPriority w:val="29"/>
    <w:semiHidden/>
    <w:rsid w:val="006551F0"/>
    <w:rPr>
      <w:rFonts w:asciiTheme="minorHAnsi" w:eastAsiaTheme="majorEastAsia" w:hAnsiTheme="minorHAnsi" w:cs="Calibri"/>
      <w:color w:val="000000" w:themeColor="text1"/>
    </w:rPr>
  </w:style>
  <w:style w:type="paragraph" w:styleId="CommentSubject">
    <w:name w:val="annotation subject"/>
    <w:basedOn w:val="CommentText"/>
    <w:next w:val="CommentText"/>
    <w:link w:val="CommentSubjectChar"/>
    <w:uiPriority w:val="29"/>
    <w:semiHidden/>
    <w:rsid w:val="006551F0"/>
    <w:rPr>
      <w:b/>
      <w:bCs/>
    </w:rPr>
  </w:style>
  <w:style w:type="character" w:customStyle="1" w:styleId="CommentSubjectChar">
    <w:name w:val="Comment Subject Char"/>
    <w:basedOn w:val="CommentTextChar"/>
    <w:link w:val="CommentSubject"/>
    <w:uiPriority w:val="29"/>
    <w:semiHidden/>
    <w:rsid w:val="006551F0"/>
    <w:rPr>
      <w:rFonts w:asciiTheme="minorHAnsi" w:eastAsiaTheme="majorEastAsia" w:hAnsiTheme="minorHAnsi" w:cs="Calibri"/>
      <w:b/>
      <w:bCs/>
      <w:color w:val="000000" w:themeColor="text1"/>
    </w:rPr>
  </w:style>
  <w:style w:type="character" w:customStyle="1" w:styleId="cf11">
    <w:name w:val="cf11"/>
    <w:basedOn w:val="DefaultParagraphFont"/>
    <w:rsid w:val="00CF4AAF"/>
    <w:rPr>
      <w:rFonts w:ascii="Segoe UI" w:hAnsi="Segoe UI" w:cs="Segoe UI" w:hint="default"/>
      <w:sz w:val="18"/>
      <w:szCs w:val="18"/>
    </w:rPr>
  </w:style>
  <w:style w:type="character" w:customStyle="1" w:styleId="cf01">
    <w:name w:val="cf01"/>
    <w:basedOn w:val="DefaultParagraphFont"/>
    <w:rsid w:val="00CC095D"/>
    <w:rPr>
      <w:rFonts w:ascii="Segoe UI" w:hAnsi="Segoe UI" w:cs="Segoe UI" w:hint="default"/>
      <w:b/>
      <w:bCs/>
      <w:i/>
      <w:i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773215">
      <w:bodyDiv w:val="1"/>
      <w:marLeft w:val="0"/>
      <w:marRight w:val="0"/>
      <w:marTop w:val="0"/>
      <w:marBottom w:val="0"/>
      <w:divBdr>
        <w:top w:val="none" w:sz="0" w:space="0" w:color="auto"/>
        <w:left w:val="none" w:sz="0" w:space="0" w:color="auto"/>
        <w:bottom w:val="none" w:sz="0" w:space="0" w:color="auto"/>
        <w:right w:val="none" w:sz="0" w:space="0" w:color="auto"/>
      </w:divBdr>
    </w:div>
    <w:div w:id="693188822">
      <w:bodyDiv w:val="1"/>
      <w:marLeft w:val="0"/>
      <w:marRight w:val="0"/>
      <w:marTop w:val="0"/>
      <w:marBottom w:val="0"/>
      <w:divBdr>
        <w:top w:val="none" w:sz="0" w:space="0" w:color="auto"/>
        <w:left w:val="none" w:sz="0" w:space="0" w:color="auto"/>
        <w:bottom w:val="none" w:sz="0" w:space="0" w:color="auto"/>
        <w:right w:val="none" w:sz="0" w:space="0" w:color="auto"/>
      </w:divBdr>
    </w:div>
    <w:div w:id="948121627">
      <w:bodyDiv w:val="1"/>
      <w:marLeft w:val="0"/>
      <w:marRight w:val="0"/>
      <w:marTop w:val="0"/>
      <w:marBottom w:val="0"/>
      <w:divBdr>
        <w:top w:val="none" w:sz="0" w:space="0" w:color="auto"/>
        <w:left w:val="none" w:sz="0" w:space="0" w:color="auto"/>
        <w:bottom w:val="none" w:sz="0" w:space="0" w:color="auto"/>
        <w:right w:val="none" w:sz="0" w:space="0" w:color="auto"/>
      </w:divBdr>
    </w:div>
    <w:div w:id="981545115">
      <w:bodyDiv w:val="1"/>
      <w:marLeft w:val="0"/>
      <w:marRight w:val="0"/>
      <w:marTop w:val="0"/>
      <w:marBottom w:val="0"/>
      <w:divBdr>
        <w:top w:val="none" w:sz="0" w:space="0" w:color="auto"/>
        <w:left w:val="none" w:sz="0" w:space="0" w:color="auto"/>
        <w:bottom w:val="none" w:sz="0" w:space="0" w:color="auto"/>
        <w:right w:val="none" w:sz="0" w:space="0" w:color="auto"/>
      </w:divBdr>
    </w:div>
    <w:div w:id="1294797326">
      <w:bodyDiv w:val="1"/>
      <w:marLeft w:val="0"/>
      <w:marRight w:val="0"/>
      <w:marTop w:val="0"/>
      <w:marBottom w:val="0"/>
      <w:divBdr>
        <w:top w:val="none" w:sz="0" w:space="0" w:color="auto"/>
        <w:left w:val="none" w:sz="0" w:space="0" w:color="auto"/>
        <w:bottom w:val="none" w:sz="0" w:space="0" w:color="auto"/>
        <w:right w:val="none" w:sz="0" w:space="0" w:color="auto"/>
      </w:divBdr>
    </w:div>
    <w:div w:id="1547376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yperlink" Target="https://www.w3.org/WAI/standards-guidelines/wcag/" TargetMode="External"/><Relationship Id="rId39" Type="http://schemas.openxmlformats.org/officeDocument/2006/relationships/hyperlink" Target="https://doi.org/10.2305/IUCN.CH.2020.09.en" TargetMode="External"/><Relationship Id="rId21" Type="http://schemas.openxmlformats.org/officeDocument/2006/relationships/image" Target="media/image5.png"/><Relationship Id="rId34" Type="http://schemas.openxmlformats.org/officeDocument/2006/relationships/hyperlink" Target="https://devnet.org.nz/wp-content/uploads/2018/07/Farrelly,%20Trisia%20&amp;%20Nabobo-Baba,%20Unaisi%20Talanoa%20as%20Empathic%20Research%20%5Bpaper%5D_0.pdf" TargetMode="External"/><Relationship Id="rId42" Type="http://schemas.openxmlformats.org/officeDocument/2006/relationships/hyperlink" Target="https://static1.squarespace.com/static/61550b857c23a97e20827357/t/64758fe106f8617328ed0fd8/1685426150928/WWF_CRxN_CMWorkshop1LearningBrief.pdf" TargetMode="External"/><Relationship Id="rId47" Type="http://schemas.openxmlformats.org/officeDocument/2006/relationships/hyperlink" Target="https://unfccc.int/sites/default/files/resource/Considerations%20regarding%20vulnerable.pdf" TargetMode="External"/><Relationship Id="rId50" Type="http://schemas.openxmlformats.org/officeDocument/2006/relationships/hyperlink" Target="https://unfccc.int/sites/default/files/resource/Considerations%20regarding%20vulnerable.pdf" TargetMode="External"/><Relationship Id="rId55"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nbi.iisd.org/wp-content/uploads/2021/10/investment-in-nature-close-infrastructure-gap.pdf" TargetMode="External"/><Relationship Id="rId33" Type="http://schemas.openxmlformats.org/officeDocument/2006/relationships/hyperlink" Target="https://www.nature.com/articles/ngeo1123" TargetMode="External"/><Relationship Id="rId38" Type="http://schemas.openxmlformats.org/officeDocument/2006/relationships/hyperlink" Target="https://www.icriforum.org/climatepapers" TargetMode="External"/><Relationship Id="rId46" Type="http://schemas.openxmlformats.org/officeDocument/2006/relationships/hyperlink" Target="https://pacificsecurity.net/resource/the-2050-strategy-for-the-blue-pacific-continent/" TargetMode="Externa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4.png"/><Relationship Id="rId29" Type="http://schemas.openxmlformats.org/officeDocument/2006/relationships/hyperlink" Target="https://www.dfat.gov.au/development/new-international-development-policy" TargetMode="External"/><Relationship Id="rId41" Type="http://schemas.openxmlformats.org/officeDocument/2006/relationships/hyperlink" Target="https://static1.squarespace.com/static/61550b857c23a97e20827357/t/65a071a16220087003b3042d/1705013680428/WWF_CRxN+Event+2_Demand+for+high+integrity+projects+in+the+Pacific.pdf" TargetMode="External"/><Relationship Id="rId54"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file:///C:\Users\cowers\AppData\Local\Microsoft\Windows\INetCache\Content.Outlook\WBKQSLJ8\alineainternational.com" TargetMode="External"/><Relationship Id="rId24" Type="http://schemas.openxmlformats.org/officeDocument/2006/relationships/hyperlink" Target="https://nbi.iisd.org/wp-content/uploads/2021/10/investment-in-nature-close-infrastructure-gap.pdf" TargetMode="External"/><Relationship Id="rId32" Type="http://schemas.openxmlformats.org/officeDocument/2006/relationships/hyperlink" Target="https://www.dfat.gov.au/about-us/publications/climate-change-action-strategy" TargetMode="External"/><Relationship Id="rId37" Type="http://schemas.openxmlformats.org/officeDocument/2006/relationships/hyperlink" Target="https://www.peiglobal.org/sites/pei/themes/pei/kc_files/Goldman%202010.pdf" TargetMode="External"/><Relationship Id="rId40" Type="http://schemas.openxmlformats.org/officeDocument/2006/relationships/hyperlink" Target="https://assets.publishing.service.gov.uk/media/639c931ae90e075878e523ff/joint-statement-on-nature-finance.pdf" TargetMode="External"/><Relationship Id="rId45" Type="http://schemas.openxmlformats.org/officeDocument/2006/relationships/hyperlink" Target="https://oceanobs19.net/sites/default/files/2023-03/Indigenous-Ocean-Obs19Declaration_8.5x15_Final.pdf" TargetMode="External"/><Relationship Id="rId53"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https://unfccc.int/files/meetings/paris_nov_2015/application/pdf/paris_agreement_english_.pdf" TargetMode="External"/><Relationship Id="rId28" Type="http://schemas.openxmlformats.org/officeDocument/2006/relationships/hyperlink" Target="https://www.dfat.gov.au/publications/development/australias-development-policy-performance-and-delivery-framework" TargetMode="External"/><Relationship Id="rId36" Type="http://schemas.openxmlformats.org/officeDocument/2006/relationships/hyperlink" Target="https://doi.org/10.1016/j.spc.2023.02.011" TargetMode="External"/><Relationship Id="rId49" Type="http://schemas.openxmlformats.org/officeDocument/2006/relationships/hyperlink" Target="https://www.un.org/development/desa/indigenouspeoples/publications/2016/10/free-prior-and-informed-consent-an-indigenous-peoples-right-and-a-good-practice-for-local-communities-fao/" TargetMode="External"/><Relationship Id="rId57"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hyperlink" Target="https://www.climateactive.org.au/sites/default/files/2023-04/Standards_Organisation.pdf" TargetMode="External"/><Relationship Id="rId44" Type="http://schemas.openxmlformats.org/officeDocument/2006/relationships/hyperlink" Target="https://www.unep.org/about-un-environment/intergovernmental-consultations-nbs" TargetMode="External"/><Relationship Id="rId52" Type="http://schemas.openxmlformats.org/officeDocument/2006/relationships/hyperlink" Target="https://www.peiglobal.org/sites/pei/themes/pei/kc_files/Goldman%202010.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6.png"/><Relationship Id="rId27" Type="http://schemas.openxmlformats.org/officeDocument/2006/relationships/hyperlink" Target="https://www.dfat.gov.au/publications/indigenous-diplomacy-agenda" TargetMode="External"/><Relationship Id="rId30" Type="http://schemas.openxmlformats.org/officeDocument/2006/relationships/hyperlink" Target="https://www.dfat.gov.au/sites/default/files/development-finance-review-2023.pdf" TargetMode="External"/><Relationship Id="rId35" Type="http://schemas.openxmlformats.org/officeDocument/2006/relationships/hyperlink" Target="https://doi.org/10.1177/14687941221087863" TargetMode="External"/><Relationship Id="rId43" Type="http://schemas.openxmlformats.org/officeDocument/2006/relationships/hyperlink" Target="https://static1.squarespace.com/static/61550b857c23a97e20827357/t/64758fb121106c4820f903dd/1685426103693/CRxN_the+state+of+voluntary+carbon+markets+in+the+Pacific.pdf" TargetMode="External"/><Relationship Id="rId48" Type="http://schemas.openxmlformats.org/officeDocument/2006/relationships/hyperlink" Target="https://doi.org/10.1371/journal.pclm.0000124" TargetMode="External"/><Relationship Id="rId56" Type="http://schemas.openxmlformats.org/officeDocument/2006/relationships/glossaryDocument" Target="glossary/document.xml"/><Relationship Id="rId8" Type="http://schemas.openxmlformats.org/officeDocument/2006/relationships/webSettings" Target="webSettings.xml"/><Relationship Id="rId51" Type="http://schemas.openxmlformats.org/officeDocument/2006/relationships/hyperlink" Target="https://doi.org/10.1111/1752-1688.12320" TargetMode="Externa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s://www.planvivo.org/" TargetMode="External"/><Relationship Id="rId2" Type="http://schemas.openxmlformats.org/officeDocument/2006/relationships/hyperlink" Target="https://www.dfat.gov.au/development/new-international-development-policy" TargetMode="External"/><Relationship Id="rId1" Type="http://schemas.openxmlformats.org/officeDocument/2006/relationships/hyperlink" Target="https://www.dfat.gov.au/sites/default/files/australias-official-development-assistance-statistical-summary-2022-23.pdf" TargetMode="External"/><Relationship Id="rId5" Type="http://schemas.openxmlformats.org/officeDocument/2006/relationships/hyperlink" Target="https://oceanobs19.net/sites/default/files/2023-03/Indigenous-Ocean-Obs19-Declaration_8.5x15_Final.pdf" TargetMode="External"/><Relationship Id="rId4" Type="http://schemas.openxmlformats.org/officeDocument/2006/relationships/hyperlink" Target="https://www.w3.org/WAI/standards-guidelines/wca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DF8B1BBD3CC46DAA7F269F0C03109D7"/>
        <w:category>
          <w:name w:val="General"/>
          <w:gallery w:val="placeholder"/>
        </w:category>
        <w:types>
          <w:type w:val="bbPlcHdr"/>
        </w:types>
        <w:behaviors>
          <w:behavior w:val="content"/>
        </w:behaviors>
        <w:guid w:val="{5AFEC119-2971-4093-9ED6-BDA956346733}"/>
      </w:docPartPr>
      <w:docPartBody>
        <w:p w:rsidR="00C32585" w:rsidRDefault="00DF6C11">
          <w:pPr>
            <w:pStyle w:val="8DF8B1BBD3CC46DAA7F269F0C03109D7"/>
          </w:pPr>
          <w:r w:rsidRPr="003725EF">
            <w:rPr>
              <w:rStyle w:val="PlaceholderText"/>
            </w:rPr>
            <w:t>Click or tap here to enter text.</w:t>
          </w:r>
        </w:p>
      </w:docPartBody>
    </w:docPart>
    <w:docPart>
      <w:docPartPr>
        <w:name w:val="90C9AB529EC74C27B5A1BBACBE49F285"/>
        <w:category>
          <w:name w:val="General"/>
          <w:gallery w:val="placeholder"/>
        </w:category>
        <w:types>
          <w:type w:val="bbPlcHdr"/>
        </w:types>
        <w:behaviors>
          <w:behavior w:val="content"/>
        </w:behaviors>
        <w:guid w:val="{F04E1324-9495-4088-82AD-30DCBFF24218}"/>
      </w:docPartPr>
      <w:docPartBody>
        <w:p w:rsidR="002F7A4E" w:rsidRDefault="0006434B" w:rsidP="0006434B">
          <w:pPr>
            <w:pStyle w:val="90C9AB529EC74C27B5A1BBACBE49F285"/>
          </w:pPr>
          <w: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rpid C1 SCd Regular">
    <w:altName w:val="Arial"/>
    <w:charset w:val="00"/>
    <w:family w:val="swiss"/>
    <w:pitch w:val="variable"/>
    <w:sig w:usb0="A00000EF" w:usb1="5000205B" w:usb2="00000000" w:usb3="00000000" w:csb0="0000009B"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6C11"/>
    <w:rsid w:val="0006434B"/>
    <w:rsid w:val="000B35F0"/>
    <w:rsid w:val="002F7A4E"/>
    <w:rsid w:val="00435024"/>
    <w:rsid w:val="005777D7"/>
    <w:rsid w:val="0088777C"/>
    <w:rsid w:val="00A319E1"/>
    <w:rsid w:val="00BA5B04"/>
    <w:rsid w:val="00C32585"/>
    <w:rsid w:val="00C718C3"/>
    <w:rsid w:val="00D2440E"/>
    <w:rsid w:val="00D91996"/>
    <w:rsid w:val="00DF6C11"/>
    <w:rsid w:val="00F1476C"/>
    <w:rsid w:val="00F317BE"/>
    <w:rsid w:val="00F5575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78E7E38D"/>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718C3"/>
    <w:rPr>
      <w:vanish w:val="0"/>
      <w:color w:val="FF0000"/>
    </w:rPr>
  </w:style>
  <w:style w:type="paragraph" w:customStyle="1" w:styleId="8DF8B1BBD3CC46DAA7F269F0C03109D7">
    <w:name w:val="8DF8B1BBD3CC46DAA7F269F0C03109D7"/>
  </w:style>
  <w:style w:type="paragraph" w:customStyle="1" w:styleId="90C9AB529EC74C27B5A1BBACBE49F285">
    <w:name w:val="90C9AB529EC74C27B5A1BBACBE49F285"/>
    <w:rsid w:val="0006434B"/>
    <w:pPr>
      <w:spacing w:line="278" w:lineRule="auto"/>
    </w:pPr>
    <w:rPr>
      <w:kern w:val="2"/>
      <w:sz w:val="24"/>
      <w:szCs w:val="24"/>
      <w14:ligatures w14:val="standardContextual"/>
    </w:rPr>
  </w:style>
  <w:style w:type="paragraph" w:customStyle="1" w:styleId="E8ED861B154B403EBDAB45E8533C245F">
    <w:name w:val="E8ED861B154B403EBDAB45E8533C245F"/>
    <w:rsid w:val="00C718C3"/>
    <w:rPr>
      <w:kern w:val="2"/>
      <w14:ligatures w14:val="standardContextual"/>
    </w:rPr>
  </w:style>
  <w:style w:type="paragraph" w:customStyle="1" w:styleId="24744A12175249C780A9CABF798380AE">
    <w:name w:val="24744A12175249C780A9CABF798380AE"/>
    <w:rsid w:val="00C718C3"/>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ustom 51">
      <a:dk1>
        <a:srgbClr val="000000"/>
      </a:dk1>
      <a:lt1>
        <a:srgbClr val="FFFFFF"/>
      </a:lt1>
      <a:dk2>
        <a:srgbClr val="585858"/>
      </a:dk2>
      <a:lt2>
        <a:srgbClr val="1D336D"/>
      </a:lt2>
      <a:accent1>
        <a:srgbClr val="63D0DF"/>
      </a:accent1>
      <a:accent2>
        <a:srgbClr val="C9C9CA"/>
      </a:accent2>
      <a:accent3>
        <a:srgbClr val="63D0DF"/>
      </a:accent3>
      <a:accent4>
        <a:srgbClr val="A1A1A1"/>
      </a:accent4>
      <a:accent5>
        <a:srgbClr val="63D0DF"/>
      </a:accent5>
      <a:accent6>
        <a:srgbClr val="A1A1A1"/>
      </a:accent6>
      <a:hlink>
        <a:srgbClr val="000000"/>
      </a:hlink>
      <a:folHlink>
        <a:srgbClr val="FFFFFF"/>
      </a:folHlink>
    </a:clrScheme>
    <a:fontScheme name="a">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1AACD07ACBEB5438CB94AD5EBBA7491" ma:contentTypeVersion="18" ma:contentTypeDescription="Create a new document." ma:contentTypeScope="" ma:versionID="c7d94459571bc4b90a0c862ebf6c031a">
  <xsd:schema xmlns:xsd="http://www.w3.org/2001/XMLSchema" xmlns:xs="http://www.w3.org/2001/XMLSchema" xmlns:p="http://schemas.microsoft.com/office/2006/metadata/properties" xmlns:ns2="03091ed5-728e-4880-8821-7360d998a1ce" xmlns:ns3="4980a12c-f7c5-4adc-b1ed-d30e576e1cfd" targetNamespace="http://schemas.microsoft.com/office/2006/metadata/properties" ma:root="true" ma:fieldsID="3b93a84087d0e1741e3c174ab3624b59" ns2:_="" ns3:_="">
    <xsd:import namespace="03091ed5-728e-4880-8821-7360d998a1ce"/>
    <xsd:import namespace="4980a12c-f7c5-4adc-b1ed-d30e576e1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MediaServiceOCR" minOccurs="0"/>
                <xsd:element ref="ns2:MediaServiceLocation"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091ed5-728e-4880-8821-7360d998a1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00eb7d5-ca27-4af2-baac-ce4379253668"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80a12c-f7c5-4adc-b1ed-d30e576e1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7a10b09-ddd3-465b-b1c4-0f022381f3c8}" ma:internalName="TaxCatchAll" ma:showField="CatchAllData" ma:web="4980a12c-f7c5-4adc-b1ed-d30e576e1cf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 StyleName=""/>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3091ed5-728e-4880-8821-7360d998a1ce">
      <Terms xmlns="http://schemas.microsoft.com/office/infopath/2007/PartnerControls"/>
    </lcf76f155ced4ddcb4097134ff3c332f>
    <TaxCatchAll xmlns="4980a12c-f7c5-4adc-b1ed-d30e576e1cfd" xsi:nil="true"/>
  </documentManagement>
</p:properties>
</file>

<file path=customXml/itemProps1.xml><?xml version="1.0" encoding="utf-8"?>
<ds:datastoreItem xmlns:ds="http://schemas.openxmlformats.org/officeDocument/2006/customXml" ds:itemID="{C755BBB4-A3E0-438F-B009-8C9802679445}">
  <ds:schemaRefs>
    <ds:schemaRef ds:uri="http://schemas.microsoft.com/sharepoint/v3/contenttype/forms"/>
  </ds:schemaRefs>
</ds:datastoreItem>
</file>

<file path=customXml/itemProps2.xml><?xml version="1.0" encoding="utf-8"?>
<ds:datastoreItem xmlns:ds="http://schemas.openxmlformats.org/officeDocument/2006/customXml" ds:itemID="{A73A0A69-7841-49B2-8740-2EBE81AF2C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091ed5-728e-4880-8821-7360d998a1ce"/>
    <ds:schemaRef ds:uri="4980a12c-f7c5-4adc-b1ed-d30e576e1c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B4C25D3-CF97-4309-855D-EE60A5384A91}">
  <ds:schemaRefs>
    <ds:schemaRef ds:uri="http://schemas.openxmlformats.org/officeDocument/2006/bibliography"/>
  </ds:schemaRefs>
</ds:datastoreItem>
</file>

<file path=customXml/itemProps4.xml><?xml version="1.0" encoding="utf-8"?>
<ds:datastoreItem xmlns:ds="http://schemas.openxmlformats.org/officeDocument/2006/customXml" ds:itemID="{701EA482-17C4-4504-8730-65B8995DFA32}">
  <ds:schemaRefs>
    <ds:schemaRef ds:uri="http://purl.org/dc/elements/1.1/"/>
    <ds:schemaRef ds:uri="http://schemas.microsoft.com/office/2006/metadata/properties"/>
    <ds:schemaRef ds:uri="03091ed5-728e-4880-8821-7360d998a1ce"/>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4980a12c-f7c5-4adc-b1ed-d30e576e1cfd"/>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31944</Words>
  <Characters>197134</Characters>
  <Application>Microsoft Office Word</Application>
  <DocSecurity>0</DocSecurity>
  <Lines>3471</Lines>
  <Paragraphs>1335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228015</CharactersWithSpaces>
  <SharedDoc>false</SharedDoc>
  <HLinks>
    <vt:vector size="594" baseType="variant">
      <vt:variant>
        <vt:i4>7995412</vt:i4>
      </vt:variant>
      <vt:variant>
        <vt:i4>495</vt:i4>
      </vt:variant>
      <vt:variant>
        <vt:i4>0</vt:i4>
      </vt:variant>
      <vt:variant>
        <vt:i4>5</vt:i4>
      </vt:variant>
      <vt:variant>
        <vt:lpwstr>https://www.peiglobal.org/sites/pei/themes/pei/kc_files/Goldman 2010.pdf</vt:lpwstr>
      </vt:variant>
      <vt:variant>
        <vt:lpwstr/>
      </vt:variant>
      <vt:variant>
        <vt:i4>3145855</vt:i4>
      </vt:variant>
      <vt:variant>
        <vt:i4>492</vt:i4>
      </vt:variant>
      <vt:variant>
        <vt:i4>0</vt:i4>
      </vt:variant>
      <vt:variant>
        <vt:i4>5</vt:i4>
      </vt:variant>
      <vt:variant>
        <vt:lpwstr>https://doi.org/10.1111/1752-1688.12320</vt:lpwstr>
      </vt:variant>
      <vt:variant>
        <vt:lpwstr/>
      </vt:variant>
      <vt:variant>
        <vt:i4>6750322</vt:i4>
      </vt:variant>
      <vt:variant>
        <vt:i4>489</vt:i4>
      </vt:variant>
      <vt:variant>
        <vt:i4>0</vt:i4>
      </vt:variant>
      <vt:variant>
        <vt:i4>5</vt:i4>
      </vt:variant>
      <vt:variant>
        <vt:lpwstr>https://unfccc.int/sites/default/files/resource/Considerations regarding vulnerable.pdf</vt:lpwstr>
      </vt:variant>
      <vt:variant>
        <vt:lpwstr/>
      </vt:variant>
      <vt:variant>
        <vt:i4>1441812</vt:i4>
      </vt:variant>
      <vt:variant>
        <vt:i4>486</vt:i4>
      </vt:variant>
      <vt:variant>
        <vt:i4>0</vt:i4>
      </vt:variant>
      <vt:variant>
        <vt:i4>5</vt:i4>
      </vt:variant>
      <vt:variant>
        <vt:lpwstr>https://www.un.org/development/desa/indigenouspeoples/publications/2016/10/free-prior-and-informed-consent-an-indigenous-peoples-right-and-a-good-practice-for-local-communities-fao/</vt:lpwstr>
      </vt:variant>
      <vt:variant>
        <vt:lpwstr/>
      </vt:variant>
      <vt:variant>
        <vt:i4>5046341</vt:i4>
      </vt:variant>
      <vt:variant>
        <vt:i4>483</vt:i4>
      </vt:variant>
      <vt:variant>
        <vt:i4>0</vt:i4>
      </vt:variant>
      <vt:variant>
        <vt:i4>5</vt:i4>
      </vt:variant>
      <vt:variant>
        <vt:lpwstr>https://doi.org/10.1371/journal.pclm.0000124</vt:lpwstr>
      </vt:variant>
      <vt:variant>
        <vt:lpwstr/>
      </vt:variant>
      <vt:variant>
        <vt:i4>6750322</vt:i4>
      </vt:variant>
      <vt:variant>
        <vt:i4>480</vt:i4>
      </vt:variant>
      <vt:variant>
        <vt:i4>0</vt:i4>
      </vt:variant>
      <vt:variant>
        <vt:i4>5</vt:i4>
      </vt:variant>
      <vt:variant>
        <vt:lpwstr>https://unfccc.int/sites/default/files/resource/Considerations regarding vulnerable.pdf</vt:lpwstr>
      </vt:variant>
      <vt:variant>
        <vt:lpwstr/>
      </vt:variant>
      <vt:variant>
        <vt:i4>6946915</vt:i4>
      </vt:variant>
      <vt:variant>
        <vt:i4>477</vt:i4>
      </vt:variant>
      <vt:variant>
        <vt:i4>0</vt:i4>
      </vt:variant>
      <vt:variant>
        <vt:i4>5</vt:i4>
      </vt:variant>
      <vt:variant>
        <vt:lpwstr>https://pacificsecurity.net/resource/the-2050-strategy-for-the-blue-pacific-continent/</vt:lpwstr>
      </vt:variant>
      <vt:variant>
        <vt:lpwstr/>
      </vt:variant>
      <vt:variant>
        <vt:i4>3997759</vt:i4>
      </vt:variant>
      <vt:variant>
        <vt:i4>474</vt:i4>
      </vt:variant>
      <vt:variant>
        <vt:i4>0</vt:i4>
      </vt:variant>
      <vt:variant>
        <vt:i4>5</vt:i4>
      </vt:variant>
      <vt:variant>
        <vt:lpwstr>https://oceanobs19.net/sites/default/files/2023-03/Indigenous-Ocean-Obs19Declaration_8.5x15_Final.pdf</vt:lpwstr>
      </vt:variant>
      <vt:variant>
        <vt:lpwstr/>
      </vt:variant>
      <vt:variant>
        <vt:i4>6815792</vt:i4>
      </vt:variant>
      <vt:variant>
        <vt:i4>471</vt:i4>
      </vt:variant>
      <vt:variant>
        <vt:i4>0</vt:i4>
      </vt:variant>
      <vt:variant>
        <vt:i4>5</vt:i4>
      </vt:variant>
      <vt:variant>
        <vt:lpwstr>https://www.unep.org/about-un-environment/intergovernmental-consultations-nbs</vt:lpwstr>
      </vt:variant>
      <vt:variant>
        <vt:lpwstr>:~:text=The%20resolution%20provides%20the%20first%20multilaterally%20agreed%20definition,human%20well-being%2C%20ecosystem%20services%2C%20resilience%20and%20biodiversity%20benefits%E2%80%9D</vt:lpwstr>
      </vt:variant>
      <vt:variant>
        <vt:i4>5374057</vt:i4>
      </vt:variant>
      <vt:variant>
        <vt:i4>468</vt:i4>
      </vt:variant>
      <vt:variant>
        <vt:i4>0</vt:i4>
      </vt:variant>
      <vt:variant>
        <vt:i4>5</vt:i4>
      </vt:variant>
      <vt:variant>
        <vt:lpwstr>https://static1.squarespace.com/static/61550b857c23a97e20827357/t/64758fb121106c4820f903dd/1685426103693/CRxN_the+state+of+voluntary+carbon+markets+in+the+Pacific.pdf</vt:lpwstr>
      </vt:variant>
      <vt:variant>
        <vt:lpwstr/>
      </vt:variant>
      <vt:variant>
        <vt:i4>5374031</vt:i4>
      </vt:variant>
      <vt:variant>
        <vt:i4>465</vt:i4>
      </vt:variant>
      <vt:variant>
        <vt:i4>0</vt:i4>
      </vt:variant>
      <vt:variant>
        <vt:i4>5</vt:i4>
      </vt:variant>
      <vt:variant>
        <vt:lpwstr>https://static1.squarespace.com/static/61550b857c23a97e20827357/t/64758fe106f8617328ed0fd8/1685426150928/WWF_CRxN_CMWorkshop1LearningBrief.pdf</vt:lpwstr>
      </vt:variant>
      <vt:variant>
        <vt:lpwstr/>
      </vt:variant>
      <vt:variant>
        <vt:i4>1507334</vt:i4>
      </vt:variant>
      <vt:variant>
        <vt:i4>462</vt:i4>
      </vt:variant>
      <vt:variant>
        <vt:i4>0</vt:i4>
      </vt:variant>
      <vt:variant>
        <vt:i4>5</vt:i4>
      </vt:variant>
      <vt:variant>
        <vt:lpwstr>https://static1.squarespace.com/static/61550b857c23a97e20827357/t/65a071a16220087003b3042d/1705013680428/WWF_CRxN+Event+2_Demand+for+high+integrity+projects+in+the+Pacific.pdf</vt:lpwstr>
      </vt:variant>
      <vt:variant>
        <vt:lpwstr/>
      </vt:variant>
      <vt:variant>
        <vt:i4>5046353</vt:i4>
      </vt:variant>
      <vt:variant>
        <vt:i4>459</vt:i4>
      </vt:variant>
      <vt:variant>
        <vt:i4>0</vt:i4>
      </vt:variant>
      <vt:variant>
        <vt:i4>5</vt:i4>
      </vt:variant>
      <vt:variant>
        <vt:lpwstr>https://assets.publishing.service.gov.uk/media/639c931ae90e075878e523ff/joint-statement-on-nature-finance.pdf</vt:lpwstr>
      </vt:variant>
      <vt:variant>
        <vt:lpwstr/>
      </vt:variant>
      <vt:variant>
        <vt:i4>3539042</vt:i4>
      </vt:variant>
      <vt:variant>
        <vt:i4>456</vt:i4>
      </vt:variant>
      <vt:variant>
        <vt:i4>0</vt:i4>
      </vt:variant>
      <vt:variant>
        <vt:i4>5</vt:i4>
      </vt:variant>
      <vt:variant>
        <vt:lpwstr>https://doi.org/10.2305/IUCN.CH.2020.09.en</vt:lpwstr>
      </vt:variant>
      <vt:variant>
        <vt:lpwstr/>
      </vt:variant>
      <vt:variant>
        <vt:i4>2883616</vt:i4>
      </vt:variant>
      <vt:variant>
        <vt:i4>453</vt:i4>
      </vt:variant>
      <vt:variant>
        <vt:i4>0</vt:i4>
      </vt:variant>
      <vt:variant>
        <vt:i4>5</vt:i4>
      </vt:variant>
      <vt:variant>
        <vt:lpwstr>https://www.icriforum.org/climatepapers</vt:lpwstr>
      </vt:variant>
      <vt:variant>
        <vt:lpwstr/>
      </vt:variant>
      <vt:variant>
        <vt:i4>7995412</vt:i4>
      </vt:variant>
      <vt:variant>
        <vt:i4>450</vt:i4>
      </vt:variant>
      <vt:variant>
        <vt:i4>0</vt:i4>
      </vt:variant>
      <vt:variant>
        <vt:i4>5</vt:i4>
      </vt:variant>
      <vt:variant>
        <vt:lpwstr>https://www.peiglobal.org/sites/pei/themes/pei/kc_files/Goldman 2010.pdf</vt:lpwstr>
      </vt:variant>
      <vt:variant>
        <vt:lpwstr/>
      </vt:variant>
      <vt:variant>
        <vt:i4>5111818</vt:i4>
      </vt:variant>
      <vt:variant>
        <vt:i4>447</vt:i4>
      </vt:variant>
      <vt:variant>
        <vt:i4>0</vt:i4>
      </vt:variant>
      <vt:variant>
        <vt:i4>5</vt:i4>
      </vt:variant>
      <vt:variant>
        <vt:lpwstr>https://doi.org/10.1016/j.spc.2023.02.011</vt:lpwstr>
      </vt:variant>
      <vt:variant>
        <vt:lpwstr/>
      </vt:variant>
      <vt:variant>
        <vt:i4>1245275</vt:i4>
      </vt:variant>
      <vt:variant>
        <vt:i4>444</vt:i4>
      </vt:variant>
      <vt:variant>
        <vt:i4>0</vt:i4>
      </vt:variant>
      <vt:variant>
        <vt:i4>5</vt:i4>
      </vt:variant>
      <vt:variant>
        <vt:lpwstr>https://doi.org/10.1177/14687941221087863</vt:lpwstr>
      </vt:variant>
      <vt:variant>
        <vt:lpwstr/>
      </vt:variant>
      <vt:variant>
        <vt:i4>4063236</vt:i4>
      </vt:variant>
      <vt:variant>
        <vt:i4>441</vt:i4>
      </vt:variant>
      <vt:variant>
        <vt:i4>0</vt:i4>
      </vt:variant>
      <vt:variant>
        <vt:i4>5</vt:i4>
      </vt:variant>
      <vt:variant>
        <vt:lpwstr>https://devnet.org.nz/wp-content/uploads/2018/07/Farrelly, Trisia &amp; Nabobo-Baba, Unaisi Talanoa as Empathic Research %5Bpaper%5D_0.pdf</vt:lpwstr>
      </vt:variant>
      <vt:variant>
        <vt:lpwstr/>
      </vt:variant>
      <vt:variant>
        <vt:i4>65610</vt:i4>
      </vt:variant>
      <vt:variant>
        <vt:i4>438</vt:i4>
      </vt:variant>
      <vt:variant>
        <vt:i4>0</vt:i4>
      </vt:variant>
      <vt:variant>
        <vt:i4>5</vt:i4>
      </vt:variant>
      <vt:variant>
        <vt:lpwstr>https://www.nature.com/articles/ngeo1123</vt:lpwstr>
      </vt:variant>
      <vt:variant>
        <vt:lpwstr/>
      </vt:variant>
      <vt:variant>
        <vt:i4>1769565</vt:i4>
      </vt:variant>
      <vt:variant>
        <vt:i4>435</vt:i4>
      </vt:variant>
      <vt:variant>
        <vt:i4>0</vt:i4>
      </vt:variant>
      <vt:variant>
        <vt:i4>5</vt:i4>
      </vt:variant>
      <vt:variant>
        <vt:lpwstr>https://www.dfat.gov.au/about-us/publications/climate-change-action-strategy</vt:lpwstr>
      </vt:variant>
      <vt:variant>
        <vt:lpwstr/>
      </vt:variant>
      <vt:variant>
        <vt:i4>8192016</vt:i4>
      </vt:variant>
      <vt:variant>
        <vt:i4>432</vt:i4>
      </vt:variant>
      <vt:variant>
        <vt:i4>0</vt:i4>
      </vt:variant>
      <vt:variant>
        <vt:i4>5</vt:i4>
      </vt:variant>
      <vt:variant>
        <vt:lpwstr>https://www.climateactive.org.au/sites/default/files/2023-04/Standards_Organisation.pdf</vt:lpwstr>
      </vt:variant>
      <vt:variant>
        <vt:lpwstr/>
      </vt:variant>
      <vt:variant>
        <vt:i4>7602290</vt:i4>
      </vt:variant>
      <vt:variant>
        <vt:i4>429</vt:i4>
      </vt:variant>
      <vt:variant>
        <vt:i4>0</vt:i4>
      </vt:variant>
      <vt:variant>
        <vt:i4>5</vt:i4>
      </vt:variant>
      <vt:variant>
        <vt:lpwstr>https://www.dfat.gov.au/sites/default/files/development-finance-review-2023.pdf</vt:lpwstr>
      </vt:variant>
      <vt:variant>
        <vt:lpwstr/>
      </vt:variant>
      <vt:variant>
        <vt:i4>131164</vt:i4>
      </vt:variant>
      <vt:variant>
        <vt:i4>426</vt:i4>
      </vt:variant>
      <vt:variant>
        <vt:i4>0</vt:i4>
      </vt:variant>
      <vt:variant>
        <vt:i4>5</vt:i4>
      </vt:variant>
      <vt:variant>
        <vt:lpwstr>https://www.dfat.gov.au/development/new-international-development-policy</vt:lpwstr>
      </vt:variant>
      <vt:variant>
        <vt:lpwstr/>
      </vt:variant>
      <vt:variant>
        <vt:i4>4390937</vt:i4>
      </vt:variant>
      <vt:variant>
        <vt:i4>423</vt:i4>
      </vt:variant>
      <vt:variant>
        <vt:i4>0</vt:i4>
      </vt:variant>
      <vt:variant>
        <vt:i4>5</vt:i4>
      </vt:variant>
      <vt:variant>
        <vt:lpwstr>https://www.dfat.gov.au/publications/development/australias-development-policy-performance-and-delivery-framework</vt:lpwstr>
      </vt:variant>
      <vt:variant>
        <vt:lpwstr/>
      </vt:variant>
      <vt:variant>
        <vt:i4>327696</vt:i4>
      </vt:variant>
      <vt:variant>
        <vt:i4>420</vt:i4>
      </vt:variant>
      <vt:variant>
        <vt:i4>0</vt:i4>
      </vt:variant>
      <vt:variant>
        <vt:i4>5</vt:i4>
      </vt:variant>
      <vt:variant>
        <vt:lpwstr>https://www.dfat.gov.au/publications/indigenous-diplomacy-agenda</vt:lpwstr>
      </vt:variant>
      <vt:variant>
        <vt:lpwstr/>
      </vt:variant>
      <vt:variant>
        <vt:i4>5636174</vt:i4>
      </vt:variant>
      <vt:variant>
        <vt:i4>417</vt:i4>
      </vt:variant>
      <vt:variant>
        <vt:i4>0</vt:i4>
      </vt:variant>
      <vt:variant>
        <vt:i4>5</vt:i4>
      </vt:variant>
      <vt:variant>
        <vt:lpwstr>https://www.w3.org/WAI/standards-guidelines/wcag/</vt:lpwstr>
      </vt:variant>
      <vt:variant>
        <vt:lpwstr/>
      </vt:variant>
      <vt:variant>
        <vt:i4>5111812</vt:i4>
      </vt:variant>
      <vt:variant>
        <vt:i4>414</vt:i4>
      </vt:variant>
      <vt:variant>
        <vt:i4>0</vt:i4>
      </vt:variant>
      <vt:variant>
        <vt:i4>5</vt:i4>
      </vt:variant>
      <vt:variant>
        <vt:lpwstr>https://nbi.iisd.org/wp-content/uploads/2021/10/investment-in-nature-close-infrastructure-gap.pdf</vt:lpwstr>
      </vt:variant>
      <vt:variant>
        <vt:lpwstr/>
      </vt:variant>
      <vt:variant>
        <vt:i4>5111812</vt:i4>
      </vt:variant>
      <vt:variant>
        <vt:i4>411</vt:i4>
      </vt:variant>
      <vt:variant>
        <vt:i4>0</vt:i4>
      </vt:variant>
      <vt:variant>
        <vt:i4>5</vt:i4>
      </vt:variant>
      <vt:variant>
        <vt:lpwstr>https://nbi.iisd.org/wp-content/uploads/2021/10/investment-in-nature-close-infrastructure-gap.pdf</vt:lpwstr>
      </vt:variant>
      <vt:variant>
        <vt:lpwstr/>
      </vt:variant>
      <vt:variant>
        <vt:i4>458850</vt:i4>
      </vt:variant>
      <vt:variant>
        <vt:i4>408</vt:i4>
      </vt:variant>
      <vt:variant>
        <vt:i4>0</vt:i4>
      </vt:variant>
      <vt:variant>
        <vt:i4>5</vt:i4>
      </vt:variant>
      <vt:variant>
        <vt:lpwstr>https://unfccc.int/files/meetings/paris_nov_2015/application/pdf/paris_agreement_english_.pdf</vt:lpwstr>
      </vt:variant>
      <vt:variant>
        <vt:lpwstr/>
      </vt:variant>
      <vt:variant>
        <vt:i4>1114162</vt:i4>
      </vt:variant>
      <vt:variant>
        <vt:i4>368</vt:i4>
      </vt:variant>
      <vt:variant>
        <vt:i4>0</vt:i4>
      </vt:variant>
      <vt:variant>
        <vt:i4>5</vt:i4>
      </vt:variant>
      <vt:variant>
        <vt:lpwstr/>
      </vt:variant>
      <vt:variant>
        <vt:lpwstr>_Toc159338988</vt:lpwstr>
      </vt:variant>
      <vt:variant>
        <vt:i4>1114162</vt:i4>
      </vt:variant>
      <vt:variant>
        <vt:i4>362</vt:i4>
      </vt:variant>
      <vt:variant>
        <vt:i4>0</vt:i4>
      </vt:variant>
      <vt:variant>
        <vt:i4>5</vt:i4>
      </vt:variant>
      <vt:variant>
        <vt:lpwstr/>
      </vt:variant>
      <vt:variant>
        <vt:lpwstr>_Toc159338987</vt:lpwstr>
      </vt:variant>
      <vt:variant>
        <vt:i4>1114162</vt:i4>
      </vt:variant>
      <vt:variant>
        <vt:i4>356</vt:i4>
      </vt:variant>
      <vt:variant>
        <vt:i4>0</vt:i4>
      </vt:variant>
      <vt:variant>
        <vt:i4>5</vt:i4>
      </vt:variant>
      <vt:variant>
        <vt:lpwstr/>
      </vt:variant>
      <vt:variant>
        <vt:lpwstr>_Toc159338986</vt:lpwstr>
      </vt:variant>
      <vt:variant>
        <vt:i4>1114162</vt:i4>
      </vt:variant>
      <vt:variant>
        <vt:i4>350</vt:i4>
      </vt:variant>
      <vt:variant>
        <vt:i4>0</vt:i4>
      </vt:variant>
      <vt:variant>
        <vt:i4>5</vt:i4>
      </vt:variant>
      <vt:variant>
        <vt:lpwstr/>
      </vt:variant>
      <vt:variant>
        <vt:lpwstr>_Toc159338985</vt:lpwstr>
      </vt:variant>
      <vt:variant>
        <vt:i4>1114162</vt:i4>
      </vt:variant>
      <vt:variant>
        <vt:i4>344</vt:i4>
      </vt:variant>
      <vt:variant>
        <vt:i4>0</vt:i4>
      </vt:variant>
      <vt:variant>
        <vt:i4>5</vt:i4>
      </vt:variant>
      <vt:variant>
        <vt:lpwstr/>
      </vt:variant>
      <vt:variant>
        <vt:lpwstr>_Toc159338984</vt:lpwstr>
      </vt:variant>
      <vt:variant>
        <vt:i4>1114162</vt:i4>
      </vt:variant>
      <vt:variant>
        <vt:i4>338</vt:i4>
      </vt:variant>
      <vt:variant>
        <vt:i4>0</vt:i4>
      </vt:variant>
      <vt:variant>
        <vt:i4>5</vt:i4>
      </vt:variant>
      <vt:variant>
        <vt:lpwstr/>
      </vt:variant>
      <vt:variant>
        <vt:lpwstr>_Toc159338983</vt:lpwstr>
      </vt:variant>
      <vt:variant>
        <vt:i4>1114162</vt:i4>
      </vt:variant>
      <vt:variant>
        <vt:i4>332</vt:i4>
      </vt:variant>
      <vt:variant>
        <vt:i4>0</vt:i4>
      </vt:variant>
      <vt:variant>
        <vt:i4>5</vt:i4>
      </vt:variant>
      <vt:variant>
        <vt:lpwstr/>
      </vt:variant>
      <vt:variant>
        <vt:lpwstr>_Toc159338982</vt:lpwstr>
      </vt:variant>
      <vt:variant>
        <vt:i4>1114162</vt:i4>
      </vt:variant>
      <vt:variant>
        <vt:i4>326</vt:i4>
      </vt:variant>
      <vt:variant>
        <vt:i4>0</vt:i4>
      </vt:variant>
      <vt:variant>
        <vt:i4>5</vt:i4>
      </vt:variant>
      <vt:variant>
        <vt:lpwstr/>
      </vt:variant>
      <vt:variant>
        <vt:lpwstr>_Toc159338981</vt:lpwstr>
      </vt:variant>
      <vt:variant>
        <vt:i4>1114162</vt:i4>
      </vt:variant>
      <vt:variant>
        <vt:i4>320</vt:i4>
      </vt:variant>
      <vt:variant>
        <vt:i4>0</vt:i4>
      </vt:variant>
      <vt:variant>
        <vt:i4>5</vt:i4>
      </vt:variant>
      <vt:variant>
        <vt:lpwstr/>
      </vt:variant>
      <vt:variant>
        <vt:lpwstr>_Toc159338980</vt:lpwstr>
      </vt:variant>
      <vt:variant>
        <vt:i4>1966130</vt:i4>
      </vt:variant>
      <vt:variant>
        <vt:i4>314</vt:i4>
      </vt:variant>
      <vt:variant>
        <vt:i4>0</vt:i4>
      </vt:variant>
      <vt:variant>
        <vt:i4>5</vt:i4>
      </vt:variant>
      <vt:variant>
        <vt:lpwstr/>
      </vt:variant>
      <vt:variant>
        <vt:lpwstr>_Toc159338979</vt:lpwstr>
      </vt:variant>
      <vt:variant>
        <vt:i4>1966130</vt:i4>
      </vt:variant>
      <vt:variant>
        <vt:i4>308</vt:i4>
      </vt:variant>
      <vt:variant>
        <vt:i4>0</vt:i4>
      </vt:variant>
      <vt:variant>
        <vt:i4>5</vt:i4>
      </vt:variant>
      <vt:variant>
        <vt:lpwstr/>
      </vt:variant>
      <vt:variant>
        <vt:lpwstr>_Toc159338978</vt:lpwstr>
      </vt:variant>
      <vt:variant>
        <vt:i4>1966130</vt:i4>
      </vt:variant>
      <vt:variant>
        <vt:i4>302</vt:i4>
      </vt:variant>
      <vt:variant>
        <vt:i4>0</vt:i4>
      </vt:variant>
      <vt:variant>
        <vt:i4>5</vt:i4>
      </vt:variant>
      <vt:variant>
        <vt:lpwstr/>
      </vt:variant>
      <vt:variant>
        <vt:lpwstr>_Toc159338977</vt:lpwstr>
      </vt:variant>
      <vt:variant>
        <vt:i4>1966130</vt:i4>
      </vt:variant>
      <vt:variant>
        <vt:i4>296</vt:i4>
      </vt:variant>
      <vt:variant>
        <vt:i4>0</vt:i4>
      </vt:variant>
      <vt:variant>
        <vt:i4>5</vt:i4>
      </vt:variant>
      <vt:variant>
        <vt:lpwstr/>
      </vt:variant>
      <vt:variant>
        <vt:lpwstr>_Toc159338976</vt:lpwstr>
      </vt:variant>
      <vt:variant>
        <vt:i4>1966130</vt:i4>
      </vt:variant>
      <vt:variant>
        <vt:i4>290</vt:i4>
      </vt:variant>
      <vt:variant>
        <vt:i4>0</vt:i4>
      </vt:variant>
      <vt:variant>
        <vt:i4>5</vt:i4>
      </vt:variant>
      <vt:variant>
        <vt:lpwstr/>
      </vt:variant>
      <vt:variant>
        <vt:lpwstr>_Toc159338975</vt:lpwstr>
      </vt:variant>
      <vt:variant>
        <vt:i4>1966130</vt:i4>
      </vt:variant>
      <vt:variant>
        <vt:i4>284</vt:i4>
      </vt:variant>
      <vt:variant>
        <vt:i4>0</vt:i4>
      </vt:variant>
      <vt:variant>
        <vt:i4>5</vt:i4>
      </vt:variant>
      <vt:variant>
        <vt:lpwstr/>
      </vt:variant>
      <vt:variant>
        <vt:lpwstr>_Toc159338974</vt:lpwstr>
      </vt:variant>
      <vt:variant>
        <vt:i4>1966130</vt:i4>
      </vt:variant>
      <vt:variant>
        <vt:i4>278</vt:i4>
      </vt:variant>
      <vt:variant>
        <vt:i4>0</vt:i4>
      </vt:variant>
      <vt:variant>
        <vt:i4>5</vt:i4>
      </vt:variant>
      <vt:variant>
        <vt:lpwstr/>
      </vt:variant>
      <vt:variant>
        <vt:lpwstr>_Toc159338973</vt:lpwstr>
      </vt:variant>
      <vt:variant>
        <vt:i4>1966130</vt:i4>
      </vt:variant>
      <vt:variant>
        <vt:i4>272</vt:i4>
      </vt:variant>
      <vt:variant>
        <vt:i4>0</vt:i4>
      </vt:variant>
      <vt:variant>
        <vt:i4>5</vt:i4>
      </vt:variant>
      <vt:variant>
        <vt:lpwstr/>
      </vt:variant>
      <vt:variant>
        <vt:lpwstr>_Toc159338972</vt:lpwstr>
      </vt:variant>
      <vt:variant>
        <vt:i4>1966130</vt:i4>
      </vt:variant>
      <vt:variant>
        <vt:i4>266</vt:i4>
      </vt:variant>
      <vt:variant>
        <vt:i4>0</vt:i4>
      </vt:variant>
      <vt:variant>
        <vt:i4>5</vt:i4>
      </vt:variant>
      <vt:variant>
        <vt:lpwstr/>
      </vt:variant>
      <vt:variant>
        <vt:lpwstr>_Toc159338971</vt:lpwstr>
      </vt:variant>
      <vt:variant>
        <vt:i4>1966130</vt:i4>
      </vt:variant>
      <vt:variant>
        <vt:i4>260</vt:i4>
      </vt:variant>
      <vt:variant>
        <vt:i4>0</vt:i4>
      </vt:variant>
      <vt:variant>
        <vt:i4>5</vt:i4>
      </vt:variant>
      <vt:variant>
        <vt:lpwstr/>
      </vt:variant>
      <vt:variant>
        <vt:lpwstr>_Toc159338970</vt:lpwstr>
      </vt:variant>
      <vt:variant>
        <vt:i4>2031666</vt:i4>
      </vt:variant>
      <vt:variant>
        <vt:i4>254</vt:i4>
      </vt:variant>
      <vt:variant>
        <vt:i4>0</vt:i4>
      </vt:variant>
      <vt:variant>
        <vt:i4>5</vt:i4>
      </vt:variant>
      <vt:variant>
        <vt:lpwstr/>
      </vt:variant>
      <vt:variant>
        <vt:lpwstr>_Toc159338969</vt:lpwstr>
      </vt:variant>
      <vt:variant>
        <vt:i4>2031666</vt:i4>
      </vt:variant>
      <vt:variant>
        <vt:i4>248</vt:i4>
      </vt:variant>
      <vt:variant>
        <vt:i4>0</vt:i4>
      </vt:variant>
      <vt:variant>
        <vt:i4>5</vt:i4>
      </vt:variant>
      <vt:variant>
        <vt:lpwstr/>
      </vt:variant>
      <vt:variant>
        <vt:lpwstr>_Toc159338968</vt:lpwstr>
      </vt:variant>
      <vt:variant>
        <vt:i4>2031666</vt:i4>
      </vt:variant>
      <vt:variant>
        <vt:i4>242</vt:i4>
      </vt:variant>
      <vt:variant>
        <vt:i4>0</vt:i4>
      </vt:variant>
      <vt:variant>
        <vt:i4>5</vt:i4>
      </vt:variant>
      <vt:variant>
        <vt:lpwstr/>
      </vt:variant>
      <vt:variant>
        <vt:lpwstr>_Toc159338967</vt:lpwstr>
      </vt:variant>
      <vt:variant>
        <vt:i4>2031666</vt:i4>
      </vt:variant>
      <vt:variant>
        <vt:i4>236</vt:i4>
      </vt:variant>
      <vt:variant>
        <vt:i4>0</vt:i4>
      </vt:variant>
      <vt:variant>
        <vt:i4>5</vt:i4>
      </vt:variant>
      <vt:variant>
        <vt:lpwstr/>
      </vt:variant>
      <vt:variant>
        <vt:lpwstr>_Toc159338966</vt:lpwstr>
      </vt:variant>
      <vt:variant>
        <vt:i4>2031666</vt:i4>
      </vt:variant>
      <vt:variant>
        <vt:i4>230</vt:i4>
      </vt:variant>
      <vt:variant>
        <vt:i4>0</vt:i4>
      </vt:variant>
      <vt:variant>
        <vt:i4>5</vt:i4>
      </vt:variant>
      <vt:variant>
        <vt:lpwstr/>
      </vt:variant>
      <vt:variant>
        <vt:lpwstr>_Toc159338965</vt:lpwstr>
      </vt:variant>
      <vt:variant>
        <vt:i4>2031666</vt:i4>
      </vt:variant>
      <vt:variant>
        <vt:i4>224</vt:i4>
      </vt:variant>
      <vt:variant>
        <vt:i4>0</vt:i4>
      </vt:variant>
      <vt:variant>
        <vt:i4>5</vt:i4>
      </vt:variant>
      <vt:variant>
        <vt:lpwstr/>
      </vt:variant>
      <vt:variant>
        <vt:lpwstr>_Toc159338964</vt:lpwstr>
      </vt:variant>
      <vt:variant>
        <vt:i4>2031666</vt:i4>
      </vt:variant>
      <vt:variant>
        <vt:i4>218</vt:i4>
      </vt:variant>
      <vt:variant>
        <vt:i4>0</vt:i4>
      </vt:variant>
      <vt:variant>
        <vt:i4>5</vt:i4>
      </vt:variant>
      <vt:variant>
        <vt:lpwstr/>
      </vt:variant>
      <vt:variant>
        <vt:lpwstr>_Toc159338963</vt:lpwstr>
      </vt:variant>
      <vt:variant>
        <vt:i4>2031666</vt:i4>
      </vt:variant>
      <vt:variant>
        <vt:i4>212</vt:i4>
      </vt:variant>
      <vt:variant>
        <vt:i4>0</vt:i4>
      </vt:variant>
      <vt:variant>
        <vt:i4>5</vt:i4>
      </vt:variant>
      <vt:variant>
        <vt:lpwstr/>
      </vt:variant>
      <vt:variant>
        <vt:lpwstr>_Toc159338962</vt:lpwstr>
      </vt:variant>
      <vt:variant>
        <vt:i4>2031666</vt:i4>
      </vt:variant>
      <vt:variant>
        <vt:i4>206</vt:i4>
      </vt:variant>
      <vt:variant>
        <vt:i4>0</vt:i4>
      </vt:variant>
      <vt:variant>
        <vt:i4>5</vt:i4>
      </vt:variant>
      <vt:variant>
        <vt:lpwstr/>
      </vt:variant>
      <vt:variant>
        <vt:lpwstr>_Toc159338961</vt:lpwstr>
      </vt:variant>
      <vt:variant>
        <vt:i4>2031666</vt:i4>
      </vt:variant>
      <vt:variant>
        <vt:i4>200</vt:i4>
      </vt:variant>
      <vt:variant>
        <vt:i4>0</vt:i4>
      </vt:variant>
      <vt:variant>
        <vt:i4>5</vt:i4>
      </vt:variant>
      <vt:variant>
        <vt:lpwstr/>
      </vt:variant>
      <vt:variant>
        <vt:lpwstr>_Toc159338960</vt:lpwstr>
      </vt:variant>
      <vt:variant>
        <vt:i4>1835058</vt:i4>
      </vt:variant>
      <vt:variant>
        <vt:i4>194</vt:i4>
      </vt:variant>
      <vt:variant>
        <vt:i4>0</vt:i4>
      </vt:variant>
      <vt:variant>
        <vt:i4>5</vt:i4>
      </vt:variant>
      <vt:variant>
        <vt:lpwstr/>
      </vt:variant>
      <vt:variant>
        <vt:lpwstr>_Toc159338959</vt:lpwstr>
      </vt:variant>
      <vt:variant>
        <vt:i4>1835058</vt:i4>
      </vt:variant>
      <vt:variant>
        <vt:i4>188</vt:i4>
      </vt:variant>
      <vt:variant>
        <vt:i4>0</vt:i4>
      </vt:variant>
      <vt:variant>
        <vt:i4>5</vt:i4>
      </vt:variant>
      <vt:variant>
        <vt:lpwstr/>
      </vt:variant>
      <vt:variant>
        <vt:lpwstr>_Toc159338958</vt:lpwstr>
      </vt:variant>
      <vt:variant>
        <vt:i4>1835058</vt:i4>
      </vt:variant>
      <vt:variant>
        <vt:i4>182</vt:i4>
      </vt:variant>
      <vt:variant>
        <vt:i4>0</vt:i4>
      </vt:variant>
      <vt:variant>
        <vt:i4>5</vt:i4>
      </vt:variant>
      <vt:variant>
        <vt:lpwstr/>
      </vt:variant>
      <vt:variant>
        <vt:lpwstr>_Toc159338957</vt:lpwstr>
      </vt:variant>
      <vt:variant>
        <vt:i4>1835058</vt:i4>
      </vt:variant>
      <vt:variant>
        <vt:i4>176</vt:i4>
      </vt:variant>
      <vt:variant>
        <vt:i4>0</vt:i4>
      </vt:variant>
      <vt:variant>
        <vt:i4>5</vt:i4>
      </vt:variant>
      <vt:variant>
        <vt:lpwstr/>
      </vt:variant>
      <vt:variant>
        <vt:lpwstr>_Toc159338956</vt:lpwstr>
      </vt:variant>
      <vt:variant>
        <vt:i4>1835058</vt:i4>
      </vt:variant>
      <vt:variant>
        <vt:i4>170</vt:i4>
      </vt:variant>
      <vt:variant>
        <vt:i4>0</vt:i4>
      </vt:variant>
      <vt:variant>
        <vt:i4>5</vt:i4>
      </vt:variant>
      <vt:variant>
        <vt:lpwstr/>
      </vt:variant>
      <vt:variant>
        <vt:lpwstr>_Toc159338955</vt:lpwstr>
      </vt:variant>
      <vt:variant>
        <vt:i4>1835058</vt:i4>
      </vt:variant>
      <vt:variant>
        <vt:i4>164</vt:i4>
      </vt:variant>
      <vt:variant>
        <vt:i4>0</vt:i4>
      </vt:variant>
      <vt:variant>
        <vt:i4>5</vt:i4>
      </vt:variant>
      <vt:variant>
        <vt:lpwstr/>
      </vt:variant>
      <vt:variant>
        <vt:lpwstr>_Toc159338954</vt:lpwstr>
      </vt:variant>
      <vt:variant>
        <vt:i4>1835058</vt:i4>
      </vt:variant>
      <vt:variant>
        <vt:i4>158</vt:i4>
      </vt:variant>
      <vt:variant>
        <vt:i4>0</vt:i4>
      </vt:variant>
      <vt:variant>
        <vt:i4>5</vt:i4>
      </vt:variant>
      <vt:variant>
        <vt:lpwstr/>
      </vt:variant>
      <vt:variant>
        <vt:lpwstr>_Toc159338953</vt:lpwstr>
      </vt:variant>
      <vt:variant>
        <vt:i4>1835058</vt:i4>
      </vt:variant>
      <vt:variant>
        <vt:i4>152</vt:i4>
      </vt:variant>
      <vt:variant>
        <vt:i4>0</vt:i4>
      </vt:variant>
      <vt:variant>
        <vt:i4>5</vt:i4>
      </vt:variant>
      <vt:variant>
        <vt:lpwstr/>
      </vt:variant>
      <vt:variant>
        <vt:lpwstr>_Toc159338952</vt:lpwstr>
      </vt:variant>
      <vt:variant>
        <vt:i4>1835058</vt:i4>
      </vt:variant>
      <vt:variant>
        <vt:i4>146</vt:i4>
      </vt:variant>
      <vt:variant>
        <vt:i4>0</vt:i4>
      </vt:variant>
      <vt:variant>
        <vt:i4>5</vt:i4>
      </vt:variant>
      <vt:variant>
        <vt:lpwstr/>
      </vt:variant>
      <vt:variant>
        <vt:lpwstr>_Toc159338951</vt:lpwstr>
      </vt:variant>
      <vt:variant>
        <vt:i4>1835058</vt:i4>
      </vt:variant>
      <vt:variant>
        <vt:i4>140</vt:i4>
      </vt:variant>
      <vt:variant>
        <vt:i4>0</vt:i4>
      </vt:variant>
      <vt:variant>
        <vt:i4>5</vt:i4>
      </vt:variant>
      <vt:variant>
        <vt:lpwstr/>
      </vt:variant>
      <vt:variant>
        <vt:lpwstr>_Toc159338950</vt:lpwstr>
      </vt:variant>
      <vt:variant>
        <vt:i4>1900594</vt:i4>
      </vt:variant>
      <vt:variant>
        <vt:i4>134</vt:i4>
      </vt:variant>
      <vt:variant>
        <vt:i4>0</vt:i4>
      </vt:variant>
      <vt:variant>
        <vt:i4>5</vt:i4>
      </vt:variant>
      <vt:variant>
        <vt:lpwstr/>
      </vt:variant>
      <vt:variant>
        <vt:lpwstr>_Toc159338949</vt:lpwstr>
      </vt:variant>
      <vt:variant>
        <vt:i4>1900594</vt:i4>
      </vt:variant>
      <vt:variant>
        <vt:i4>128</vt:i4>
      </vt:variant>
      <vt:variant>
        <vt:i4>0</vt:i4>
      </vt:variant>
      <vt:variant>
        <vt:i4>5</vt:i4>
      </vt:variant>
      <vt:variant>
        <vt:lpwstr/>
      </vt:variant>
      <vt:variant>
        <vt:lpwstr>_Toc159338948</vt:lpwstr>
      </vt:variant>
      <vt:variant>
        <vt:i4>1900594</vt:i4>
      </vt:variant>
      <vt:variant>
        <vt:i4>122</vt:i4>
      </vt:variant>
      <vt:variant>
        <vt:i4>0</vt:i4>
      </vt:variant>
      <vt:variant>
        <vt:i4>5</vt:i4>
      </vt:variant>
      <vt:variant>
        <vt:lpwstr/>
      </vt:variant>
      <vt:variant>
        <vt:lpwstr>_Toc159338947</vt:lpwstr>
      </vt:variant>
      <vt:variant>
        <vt:i4>1900594</vt:i4>
      </vt:variant>
      <vt:variant>
        <vt:i4>116</vt:i4>
      </vt:variant>
      <vt:variant>
        <vt:i4>0</vt:i4>
      </vt:variant>
      <vt:variant>
        <vt:i4>5</vt:i4>
      </vt:variant>
      <vt:variant>
        <vt:lpwstr/>
      </vt:variant>
      <vt:variant>
        <vt:lpwstr>_Toc159338946</vt:lpwstr>
      </vt:variant>
      <vt:variant>
        <vt:i4>1900594</vt:i4>
      </vt:variant>
      <vt:variant>
        <vt:i4>110</vt:i4>
      </vt:variant>
      <vt:variant>
        <vt:i4>0</vt:i4>
      </vt:variant>
      <vt:variant>
        <vt:i4>5</vt:i4>
      </vt:variant>
      <vt:variant>
        <vt:lpwstr/>
      </vt:variant>
      <vt:variant>
        <vt:lpwstr>_Toc159338945</vt:lpwstr>
      </vt:variant>
      <vt:variant>
        <vt:i4>1900594</vt:i4>
      </vt:variant>
      <vt:variant>
        <vt:i4>104</vt:i4>
      </vt:variant>
      <vt:variant>
        <vt:i4>0</vt:i4>
      </vt:variant>
      <vt:variant>
        <vt:i4>5</vt:i4>
      </vt:variant>
      <vt:variant>
        <vt:lpwstr/>
      </vt:variant>
      <vt:variant>
        <vt:lpwstr>_Toc159338944</vt:lpwstr>
      </vt:variant>
      <vt:variant>
        <vt:i4>1900594</vt:i4>
      </vt:variant>
      <vt:variant>
        <vt:i4>98</vt:i4>
      </vt:variant>
      <vt:variant>
        <vt:i4>0</vt:i4>
      </vt:variant>
      <vt:variant>
        <vt:i4>5</vt:i4>
      </vt:variant>
      <vt:variant>
        <vt:lpwstr/>
      </vt:variant>
      <vt:variant>
        <vt:lpwstr>_Toc159338943</vt:lpwstr>
      </vt:variant>
      <vt:variant>
        <vt:i4>1900594</vt:i4>
      </vt:variant>
      <vt:variant>
        <vt:i4>92</vt:i4>
      </vt:variant>
      <vt:variant>
        <vt:i4>0</vt:i4>
      </vt:variant>
      <vt:variant>
        <vt:i4>5</vt:i4>
      </vt:variant>
      <vt:variant>
        <vt:lpwstr/>
      </vt:variant>
      <vt:variant>
        <vt:lpwstr>_Toc159338942</vt:lpwstr>
      </vt:variant>
      <vt:variant>
        <vt:i4>1900594</vt:i4>
      </vt:variant>
      <vt:variant>
        <vt:i4>86</vt:i4>
      </vt:variant>
      <vt:variant>
        <vt:i4>0</vt:i4>
      </vt:variant>
      <vt:variant>
        <vt:i4>5</vt:i4>
      </vt:variant>
      <vt:variant>
        <vt:lpwstr/>
      </vt:variant>
      <vt:variant>
        <vt:lpwstr>_Toc159338941</vt:lpwstr>
      </vt:variant>
      <vt:variant>
        <vt:i4>1900594</vt:i4>
      </vt:variant>
      <vt:variant>
        <vt:i4>80</vt:i4>
      </vt:variant>
      <vt:variant>
        <vt:i4>0</vt:i4>
      </vt:variant>
      <vt:variant>
        <vt:i4>5</vt:i4>
      </vt:variant>
      <vt:variant>
        <vt:lpwstr/>
      </vt:variant>
      <vt:variant>
        <vt:lpwstr>_Toc159338940</vt:lpwstr>
      </vt:variant>
      <vt:variant>
        <vt:i4>1703986</vt:i4>
      </vt:variant>
      <vt:variant>
        <vt:i4>74</vt:i4>
      </vt:variant>
      <vt:variant>
        <vt:i4>0</vt:i4>
      </vt:variant>
      <vt:variant>
        <vt:i4>5</vt:i4>
      </vt:variant>
      <vt:variant>
        <vt:lpwstr/>
      </vt:variant>
      <vt:variant>
        <vt:lpwstr>_Toc159338939</vt:lpwstr>
      </vt:variant>
      <vt:variant>
        <vt:i4>1703986</vt:i4>
      </vt:variant>
      <vt:variant>
        <vt:i4>68</vt:i4>
      </vt:variant>
      <vt:variant>
        <vt:i4>0</vt:i4>
      </vt:variant>
      <vt:variant>
        <vt:i4>5</vt:i4>
      </vt:variant>
      <vt:variant>
        <vt:lpwstr/>
      </vt:variant>
      <vt:variant>
        <vt:lpwstr>_Toc159338938</vt:lpwstr>
      </vt:variant>
      <vt:variant>
        <vt:i4>1703986</vt:i4>
      </vt:variant>
      <vt:variant>
        <vt:i4>62</vt:i4>
      </vt:variant>
      <vt:variant>
        <vt:i4>0</vt:i4>
      </vt:variant>
      <vt:variant>
        <vt:i4>5</vt:i4>
      </vt:variant>
      <vt:variant>
        <vt:lpwstr/>
      </vt:variant>
      <vt:variant>
        <vt:lpwstr>_Toc159338937</vt:lpwstr>
      </vt:variant>
      <vt:variant>
        <vt:i4>1703986</vt:i4>
      </vt:variant>
      <vt:variant>
        <vt:i4>56</vt:i4>
      </vt:variant>
      <vt:variant>
        <vt:i4>0</vt:i4>
      </vt:variant>
      <vt:variant>
        <vt:i4>5</vt:i4>
      </vt:variant>
      <vt:variant>
        <vt:lpwstr/>
      </vt:variant>
      <vt:variant>
        <vt:lpwstr>_Toc159338936</vt:lpwstr>
      </vt:variant>
      <vt:variant>
        <vt:i4>1703986</vt:i4>
      </vt:variant>
      <vt:variant>
        <vt:i4>50</vt:i4>
      </vt:variant>
      <vt:variant>
        <vt:i4>0</vt:i4>
      </vt:variant>
      <vt:variant>
        <vt:i4>5</vt:i4>
      </vt:variant>
      <vt:variant>
        <vt:lpwstr/>
      </vt:variant>
      <vt:variant>
        <vt:lpwstr>_Toc159338935</vt:lpwstr>
      </vt:variant>
      <vt:variant>
        <vt:i4>1703986</vt:i4>
      </vt:variant>
      <vt:variant>
        <vt:i4>44</vt:i4>
      </vt:variant>
      <vt:variant>
        <vt:i4>0</vt:i4>
      </vt:variant>
      <vt:variant>
        <vt:i4>5</vt:i4>
      </vt:variant>
      <vt:variant>
        <vt:lpwstr/>
      </vt:variant>
      <vt:variant>
        <vt:lpwstr>_Toc159338934</vt:lpwstr>
      </vt:variant>
      <vt:variant>
        <vt:i4>1703986</vt:i4>
      </vt:variant>
      <vt:variant>
        <vt:i4>38</vt:i4>
      </vt:variant>
      <vt:variant>
        <vt:i4>0</vt:i4>
      </vt:variant>
      <vt:variant>
        <vt:i4>5</vt:i4>
      </vt:variant>
      <vt:variant>
        <vt:lpwstr/>
      </vt:variant>
      <vt:variant>
        <vt:lpwstr>_Toc159338933</vt:lpwstr>
      </vt:variant>
      <vt:variant>
        <vt:i4>1703986</vt:i4>
      </vt:variant>
      <vt:variant>
        <vt:i4>32</vt:i4>
      </vt:variant>
      <vt:variant>
        <vt:i4>0</vt:i4>
      </vt:variant>
      <vt:variant>
        <vt:i4>5</vt:i4>
      </vt:variant>
      <vt:variant>
        <vt:lpwstr/>
      </vt:variant>
      <vt:variant>
        <vt:lpwstr>_Toc159338932</vt:lpwstr>
      </vt:variant>
      <vt:variant>
        <vt:i4>1703986</vt:i4>
      </vt:variant>
      <vt:variant>
        <vt:i4>26</vt:i4>
      </vt:variant>
      <vt:variant>
        <vt:i4>0</vt:i4>
      </vt:variant>
      <vt:variant>
        <vt:i4>5</vt:i4>
      </vt:variant>
      <vt:variant>
        <vt:lpwstr/>
      </vt:variant>
      <vt:variant>
        <vt:lpwstr>_Toc159338931</vt:lpwstr>
      </vt:variant>
      <vt:variant>
        <vt:i4>1703986</vt:i4>
      </vt:variant>
      <vt:variant>
        <vt:i4>20</vt:i4>
      </vt:variant>
      <vt:variant>
        <vt:i4>0</vt:i4>
      </vt:variant>
      <vt:variant>
        <vt:i4>5</vt:i4>
      </vt:variant>
      <vt:variant>
        <vt:lpwstr/>
      </vt:variant>
      <vt:variant>
        <vt:lpwstr>_Toc159338930</vt:lpwstr>
      </vt:variant>
      <vt:variant>
        <vt:i4>1769522</vt:i4>
      </vt:variant>
      <vt:variant>
        <vt:i4>14</vt:i4>
      </vt:variant>
      <vt:variant>
        <vt:i4>0</vt:i4>
      </vt:variant>
      <vt:variant>
        <vt:i4>5</vt:i4>
      </vt:variant>
      <vt:variant>
        <vt:lpwstr/>
      </vt:variant>
      <vt:variant>
        <vt:lpwstr>_Toc159338929</vt:lpwstr>
      </vt:variant>
      <vt:variant>
        <vt:i4>1769522</vt:i4>
      </vt:variant>
      <vt:variant>
        <vt:i4>8</vt:i4>
      </vt:variant>
      <vt:variant>
        <vt:i4>0</vt:i4>
      </vt:variant>
      <vt:variant>
        <vt:i4>5</vt:i4>
      </vt:variant>
      <vt:variant>
        <vt:lpwstr/>
      </vt:variant>
      <vt:variant>
        <vt:lpwstr>_Toc159338928</vt:lpwstr>
      </vt:variant>
      <vt:variant>
        <vt:i4>1769522</vt:i4>
      </vt:variant>
      <vt:variant>
        <vt:i4>2</vt:i4>
      </vt:variant>
      <vt:variant>
        <vt:i4>0</vt:i4>
      </vt:variant>
      <vt:variant>
        <vt:i4>5</vt:i4>
      </vt:variant>
      <vt:variant>
        <vt:lpwstr/>
      </vt:variant>
      <vt:variant>
        <vt:lpwstr>_Toc159338927</vt:lpwstr>
      </vt:variant>
      <vt:variant>
        <vt:i4>2031702</vt:i4>
      </vt:variant>
      <vt:variant>
        <vt:i4>15</vt:i4>
      </vt:variant>
      <vt:variant>
        <vt:i4>0</vt:i4>
      </vt:variant>
      <vt:variant>
        <vt:i4>5</vt:i4>
      </vt:variant>
      <vt:variant>
        <vt:lpwstr>https://oceanobs19.net/sites/default/files/2023-03/Indigenous-Ocean-Obs19-Declaration_8.5x15_Final.pdf</vt:lpwstr>
      </vt:variant>
      <vt:variant>
        <vt:lpwstr/>
      </vt:variant>
      <vt:variant>
        <vt:i4>5636174</vt:i4>
      </vt:variant>
      <vt:variant>
        <vt:i4>12</vt:i4>
      </vt:variant>
      <vt:variant>
        <vt:i4>0</vt:i4>
      </vt:variant>
      <vt:variant>
        <vt:i4>5</vt:i4>
      </vt:variant>
      <vt:variant>
        <vt:lpwstr>https://www.w3.org/WAI/standards-guidelines/wcag/</vt:lpwstr>
      </vt:variant>
      <vt:variant>
        <vt:lpwstr/>
      </vt:variant>
      <vt:variant>
        <vt:i4>4456461</vt:i4>
      </vt:variant>
      <vt:variant>
        <vt:i4>9</vt:i4>
      </vt:variant>
      <vt:variant>
        <vt:i4>0</vt:i4>
      </vt:variant>
      <vt:variant>
        <vt:i4>5</vt:i4>
      </vt:variant>
      <vt:variant>
        <vt:lpwstr>https://www.planvivo.org/</vt:lpwstr>
      </vt:variant>
      <vt:variant>
        <vt:lpwstr/>
      </vt:variant>
      <vt:variant>
        <vt:i4>5570635</vt:i4>
      </vt:variant>
      <vt:variant>
        <vt:i4>6</vt:i4>
      </vt:variant>
      <vt:variant>
        <vt:i4>0</vt:i4>
      </vt:variant>
      <vt:variant>
        <vt:i4>5</vt:i4>
      </vt:variant>
      <vt:variant>
        <vt:lpwstr>https://www.oxfordlearnersdictionaries.com/definition/english/livelihood?q=livelihood</vt:lpwstr>
      </vt:variant>
      <vt:variant>
        <vt:lpwstr/>
      </vt:variant>
      <vt:variant>
        <vt:i4>131164</vt:i4>
      </vt:variant>
      <vt:variant>
        <vt:i4>3</vt:i4>
      </vt:variant>
      <vt:variant>
        <vt:i4>0</vt:i4>
      </vt:variant>
      <vt:variant>
        <vt:i4>5</vt:i4>
      </vt:variant>
      <vt:variant>
        <vt:lpwstr>https://www.dfat.gov.au/development/new-international-development-policy</vt:lpwstr>
      </vt:variant>
      <vt:variant>
        <vt:lpwstr/>
      </vt:variant>
      <vt:variant>
        <vt:i4>3407905</vt:i4>
      </vt:variant>
      <vt:variant>
        <vt:i4>0</vt:i4>
      </vt:variant>
      <vt:variant>
        <vt:i4>0</vt:i4>
      </vt:variant>
      <vt:variant>
        <vt:i4>5</vt:i4>
      </vt:variant>
      <vt:variant>
        <vt:lpwstr>https://www.dfat.gov.au/sites/default/files/australias-official-development-assistance-statistical-summary-2022-23.pdf</vt:lpwstr>
      </vt:variant>
      <vt:variant>
        <vt:lpwstr/>
      </vt:variant>
      <vt:variant>
        <vt:i4>3407905</vt:i4>
      </vt:variant>
      <vt:variant>
        <vt:i4>0</vt:i4>
      </vt:variant>
      <vt:variant>
        <vt:i4>0</vt:i4>
      </vt:variant>
      <vt:variant>
        <vt:i4>5</vt:i4>
      </vt:variant>
      <vt:variant>
        <vt:lpwstr>https://www.dfat.gov.au/sites/default/files/australias-official-development-assistance-statistical-summary-2022-23.pdf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Nature-Based Solutions Evaluation - Evaluation Report</dc:title>
  <dc:subject/>
  <dc:creator/>
  <cp:keywords>[SEC=OFFICIAL]</cp:keywords>
  <dc:description/>
  <cp:lastModifiedBy/>
  <cp:revision>1</cp:revision>
  <dcterms:created xsi:type="dcterms:W3CDTF">2024-04-25T22:23:00Z</dcterms:created>
  <dcterms:modified xsi:type="dcterms:W3CDTF">2024-04-25T22:30:00Z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Version">
    <vt:lpwstr>2018.4</vt:lpwstr>
  </property>
  <property fmtid="{D5CDD505-2E9C-101B-9397-08002B2CF9AE}" pid="4" name="PM_SecurityClassification">
    <vt:lpwstr>OFFICIAL</vt:lpwstr>
  </property>
  <property fmtid="{D5CDD505-2E9C-101B-9397-08002B2CF9AE}" pid="5" name="PMHMAC">
    <vt:lpwstr>v=2022.1;a=SHA256;h=7993627C8380553E48A6DD0213E47AF2DA8CC99D18D1CFB0715280E3948DF79A</vt:lpwstr>
  </property>
  <property fmtid="{D5CDD505-2E9C-101B-9397-08002B2CF9AE}" pid="6" name="PM_Qualifier">
    <vt:lpwstr/>
  </property>
  <property fmtid="{D5CDD505-2E9C-101B-9397-08002B2CF9AE}" pid="7" name="PM_Note">
    <vt:lpwstr/>
  </property>
  <property fmtid="{D5CDD505-2E9C-101B-9397-08002B2CF9AE}" pid="8" name="PM_ProtectiveMarkingValue_Header">
    <vt:lpwstr>OFFICIAL</vt:lpwstr>
  </property>
  <property fmtid="{D5CDD505-2E9C-101B-9397-08002B2CF9AE}" pid="9" name="PM_OriginationTimeStamp">
    <vt:lpwstr>2024-02-27T00:30:27Z</vt:lpwstr>
  </property>
  <property fmtid="{D5CDD505-2E9C-101B-9397-08002B2CF9AE}" pid="10" name="PM_Markers">
    <vt:lpwstr/>
  </property>
  <property fmtid="{D5CDD505-2E9C-101B-9397-08002B2CF9AE}" pid="11" name="PM_InsertionValue">
    <vt:lpwstr>OFFICIAL</vt:lpwstr>
  </property>
  <property fmtid="{D5CDD505-2E9C-101B-9397-08002B2CF9AE}" pid="12" name="PM_Originator_Hash_SHA1">
    <vt:lpwstr>D9F6E5C82DFAF7AB6E3D596D48DD43C72EDFDAB4</vt:lpwstr>
  </property>
  <property fmtid="{D5CDD505-2E9C-101B-9397-08002B2CF9AE}" pid="13" name="PM_DisplayValueSecClassificationWithQualifier">
    <vt:lpwstr>OFFICIAL</vt:lpwstr>
  </property>
  <property fmtid="{D5CDD505-2E9C-101B-9397-08002B2CF9AE}" pid="14" name="PM_ProtectiveMarkingValue_Footer">
    <vt:lpwstr>OFFICIAL</vt:lpwstr>
  </property>
  <property fmtid="{D5CDD505-2E9C-101B-9397-08002B2CF9AE}" pid="15" name="PM_Originating_FileId">
    <vt:lpwstr>41462183FAF54B8C85350123E97EF0FF</vt:lpwstr>
  </property>
  <property fmtid="{D5CDD505-2E9C-101B-9397-08002B2CF9AE}" pid="16" name="PM_ProtectiveMarkingImage_Header">
    <vt:lpwstr>C:\Program Files (x86)\Common Files\janusNET Shared\janusSEAL\Images\DocumentSlashBlue.png</vt:lpwstr>
  </property>
  <property fmtid="{D5CDD505-2E9C-101B-9397-08002B2CF9AE}" pid="17" name="PM_ProtectiveMarkingImage_Footer">
    <vt:lpwstr>C:\Program Files (x86)\Common Files\janusNET Shared\janusSEAL\Images\DocumentSlashBlue.png</vt:lpwstr>
  </property>
  <property fmtid="{D5CDD505-2E9C-101B-9397-08002B2CF9AE}" pid="18" name="PM_Display">
    <vt:lpwstr>OFFICIAL</vt:lpwstr>
  </property>
  <property fmtid="{D5CDD505-2E9C-101B-9397-08002B2CF9AE}" pid="19" name="PM_OriginatorUserAccountName_SHA256">
    <vt:lpwstr>3E9DB5AB808CA91EB3E8EC398CDB7F67B110581D6BB28BC88565729DCE387350</vt:lpwstr>
  </property>
  <property fmtid="{D5CDD505-2E9C-101B-9397-08002B2CF9AE}" pid="20" name="PM_OriginatorDomainName_SHA256">
    <vt:lpwstr>6F3591835F3B2A8A025B00B5BA6418010DA3A17C9C26EA9C049FFD28039489A2</vt:lpwstr>
  </property>
  <property fmtid="{D5CDD505-2E9C-101B-9397-08002B2CF9AE}" pid="21" name="PMUuid">
    <vt:lpwstr>v=2022.2;d=gov.au;g=46DD6D7C-8107-577B-BC6E-F348953B2E44</vt:lpwstr>
  </property>
  <property fmtid="{D5CDD505-2E9C-101B-9397-08002B2CF9AE}" pid="22" name="PM_Hash_Version">
    <vt:lpwstr>2022.1</vt:lpwstr>
  </property>
  <property fmtid="{D5CDD505-2E9C-101B-9397-08002B2CF9AE}" pid="23" name="PM_Hash_Salt_Prev">
    <vt:lpwstr>7F78E1E09001D0F9664EC7AC92A89F5D</vt:lpwstr>
  </property>
  <property fmtid="{D5CDD505-2E9C-101B-9397-08002B2CF9AE}" pid="24" name="PM_Hash_Salt">
    <vt:lpwstr>59A0D02AD77CC04F045F0F2FD50720F0</vt:lpwstr>
  </property>
  <property fmtid="{D5CDD505-2E9C-101B-9397-08002B2CF9AE}" pid="25" name="PM_Hash_SHA1">
    <vt:lpwstr>D65D33BCB3B6194E6424857799E76D65536ADB58</vt:lpwstr>
  </property>
  <property fmtid="{D5CDD505-2E9C-101B-9397-08002B2CF9AE}" pid="26" name="PM_SecurityClassification_Prev">
    <vt:lpwstr>OFFICIAL</vt:lpwstr>
  </property>
  <property fmtid="{D5CDD505-2E9C-101B-9397-08002B2CF9AE}" pid="27" name="PM_Qualifier_Prev">
    <vt:lpwstr/>
  </property>
  <property fmtid="{D5CDD505-2E9C-101B-9397-08002B2CF9AE}" pid="28" name="PM_Caveats_Count">
    <vt:lpwstr>0</vt:lpwstr>
  </property>
  <property fmtid="{D5CDD505-2E9C-101B-9397-08002B2CF9AE}" pid="29" name="Order">
    <vt:r8>10300</vt:r8>
  </property>
  <property fmtid="{D5CDD505-2E9C-101B-9397-08002B2CF9AE}" pid="30" name="MediaServiceImageTags">
    <vt:lpwstr/>
  </property>
  <property fmtid="{D5CDD505-2E9C-101B-9397-08002B2CF9AE}" pid="31" name="ContentTypeId">
    <vt:lpwstr>0x01010071AACD07ACBEB5438CB94AD5EBBA7491</vt:lpwstr>
  </property>
  <property fmtid="{D5CDD505-2E9C-101B-9397-08002B2CF9AE}" pid="32" name="cdpStatus">
    <vt:lpwstr>DRAFT</vt:lpwstr>
  </property>
  <property fmtid="{D5CDD505-2E9C-101B-9397-08002B2CF9AE}" pid="33" name="cdpDateDivider">
    <vt:lpwstr>|</vt:lpwstr>
  </property>
  <property fmtid="{D5CDD505-2E9C-101B-9397-08002B2CF9AE}" pid="34" name="Document Type">
    <vt:lpwstr/>
  </property>
  <property fmtid="{D5CDD505-2E9C-101B-9397-08002B2CF9AE}" pid="35" name="HeaderTitle">
    <vt:lpwstr>HeaderTitle</vt:lpwstr>
  </property>
  <property fmtid="{D5CDD505-2E9C-101B-9397-08002B2CF9AE}" pid="36" name="Document Type (Projects)">
    <vt:lpwstr/>
  </property>
  <property fmtid="{D5CDD505-2E9C-101B-9397-08002B2CF9AE}" pid="37" name="FirstRun">
    <vt:lpwstr>True</vt:lpwstr>
  </property>
</Properties>
</file>