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WithEffects.xml" ContentType="application/vnd.ms-word.stylesWithEffect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2B" w:rsidRPr="007A3576" w:rsidRDefault="005E0927" w:rsidP="00204937">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7A3576">
        <w:rPr>
          <w:rFonts w:asciiTheme="minorHAnsi" w:hAnsiTheme="minorHAnsi" w:cstheme="minorHAnsi"/>
          <w:b/>
          <w:caps/>
          <w:sz w:val="28"/>
          <w:szCs w:val="28"/>
          <w:lang w:val="en-AU"/>
        </w:rPr>
        <w:t xml:space="preserve">chapter summary: </w:t>
      </w:r>
      <w:r w:rsidR="00BE37EF">
        <w:rPr>
          <w:rFonts w:asciiTheme="minorHAnsi" w:hAnsiTheme="minorHAnsi" w:cstheme="minorHAnsi"/>
          <w:b/>
          <w:caps/>
          <w:sz w:val="28"/>
          <w:szCs w:val="28"/>
          <w:lang w:val="en-AU"/>
        </w:rPr>
        <w:t xml:space="preserve">national treatment and market access for </w:t>
      </w:r>
      <w:r w:rsidR="0014480C" w:rsidRPr="007A3576">
        <w:rPr>
          <w:rFonts w:asciiTheme="minorHAnsi" w:hAnsiTheme="minorHAnsi" w:cstheme="minorHAnsi"/>
          <w:b/>
          <w:caps/>
          <w:sz w:val="28"/>
          <w:szCs w:val="28"/>
          <w:lang w:val="en-AU"/>
        </w:rPr>
        <w:t>goods</w:t>
      </w:r>
      <w:r w:rsidR="0052077E" w:rsidRPr="007A3576">
        <w:rPr>
          <w:rFonts w:asciiTheme="minorHAnsi" w:hAnsiTheme="minorHAnsi" w:cstheme="minorHAnsi"/>
          <w:b/>
          <w:caps/>
          <w:sz w:val="28"/>
          <w:szCs w:val="28"/>
          <w:lang w:val="en-AU"/>
        </w:rPr>
        <w:t xml:space="preserve"> </w:t>
      </w:r>
    </w:p>
    <w:p w:rsidR="00615F99" w:rsidRPr="007A3576" w:rsidRDefault="00407231"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The </w:t>
      </w:r>
      <w:r w:rsidR="0014480C" w:rsidRPr="007A3576">
        <w:rPr>
          <w:rFonts w:asciiTheme="minorHAnsi" w:hAnsiTheme="minorHAnsi" w:cstheme="minorHAnsi"/>
          <w:sz w:val="22"/>
        </w:rPr>
        <w:t>National Treatment and Market Access for Goods</w:t>
      </w:r>
      <w:r w:rsidR="00C74DD7" w:rsidRPr="007A3576">
        <w:rPr>
          <w:rFonts w:asciiTheme="minorHAnsi" w:hAnsiTheme="minorHAnsi" w:cstheme="minorHAnsi"/>
          <w:sz w:val="22"/>
        </w:rPr>
        <w:t xml:space="preserve"> Chapter</w:t>
      </w:r>
      <w:r w:rsidR="00C76C72" w:rsidRPr="007A3576">
        <w:rPr>
          <w:rFonts w:asciiTheme="minorHAnsi" w:hAnsiTheme="minorHAnsi" w:cstheme="minorHAnsi"/>
          <w:sz w:val="22"/>
        </w:rPr>
        <w:t xml:space="preserve"> </w:t>
      </w:r>
      <w:r w:rsidR="0014480C" w:rsidRPr="007A3576">
        <w:rPr>
          <w:rFonts w:asciiTheme="minorHAnsi" w:hAnsiTheme="minorHAnsi" w:cstheme="minorHAnsi"/>
          <w:sz w:val="22"/>
        </w:rPr>
        <w:t xml:space="preserve">is one of a suite of chapters that will govern the treatment of manufactured and agricultural goods traded between the TPP </w:t>
      </w:r>
      <w:r w:rsidR="00E0711D" w:rsidRPr="007A3576">
        <w:rPr>
          <w:rFonts w:asciiTheme="minorHAnsi" w:hAnsiTheme="minorHAnsi" w:cstheme="minorHAnsi"/>
          <w:sz w:val="22"/>
        </w:rPr>
        <w:t>Parties</w:t>
      </w:r>
      <w:r w:rsidR="0014480C" w:rsidRPr="007A3576">
        <w:rPr>
          <w:rFonts w:asciiTheme="minorHAnsi" w:hAnsiTheme="minorHAnsi" w:cstheme="minorHAnsi"/>
          <w:sz w:val="22"/>
        </w:rPr>
        <w:t xml:space="preserve">. </w:t>
      </w:r>
      <w:r w:rsidR="00615F99" w:rsidRPr="007A3576">
        <w:rPr>
          <w:rFonts w:asciiTheme="minorHAnsi" w:hAnsiTheme="minorHAnsi" w:cstheme="minorHAnsi"/>
          <w:sz w:val="22"/>
        </w:rPr>
        <w:t xml:space="preserve">Those chapters establish a framework of rules that will make trade in goods between TPP Parties easier, cheaper and fairer. </w:t>
      </w:r>
    </w:p>
    <w:p w:rsidR="0014480C" w:rsidRPr="007A3576" w:rsidRDefault="0014480C"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The </w:t>
      </w:r>
      <w:r w:rsidR="00615F99" w:rsidRPr="007A3576">
        <w:rPr>
          <w:rFonts w:asciiTheme="minorHAnsi" w:hAnsiTheme="minorHAnsi" w:cstheme="minorHAnsi"/>
          <w:sz w:val="22"/>
        </w:rPr>
        <w:t xml:space="preserve">National Treatment and Market Access for Goods </w:t>
      </w:r>
      <w:r w:rsidR="00C74DD7" w:rsidRPr="007A3576">
        <w:rPr>
          <w:rFonts w:asciiTheme="minorHAnsi" w:hAnsiTheme="minorHAnsi" w:cstheme="minorHAnsi"/>
          <w:sz w:val="22"/>
        </w:rPr>
        <w:t xml:space="preserve">Chapter </w:t>
      </w:r>
      <w:r w:rsidRPr="007A3576">
        <w:rPr>
          <w:rFonts w:asciiTheme="minorHAnsi" w:hAnsiTheme="minorHAnsi" w:cstheme="minorHAnsi"/>
          <w:sz w:val="22"/>
        </w:rPr>
        <w:t xml:space="preserve">covers tariff reduction commitments, imposes disciplines on import and export restrictions, and clarifies </w:t>
      </w:r>
      <w:r w:rsidR="00C745A8" w:rsidRPr="007A3576">
        <w:rPr>
          <w:rFonts w:asciiTheme="minorHAnsi" w:hAnsiTheme="minorHAnsi" w:cstheme="minorHAnsi"/>
          <w:sz w:val="22"/>
        </w:rPr>
        <w:t xml:space="preserve">import and export </w:t>
      </w:r>
      <w:r w:rsidRPr="007A3576">
        <w:rPr>
          <w:rFonts w:asciiTheme="minorHAnsi" w:hAnsiTheme="minorHAnsi" w:cstheme="minorHAnsi"/>
          <w:sz w:val="22"/>
        </w:rPr>
        <w:t xml:space="preserve">licencing procedures. The </w:t>
      </w:r>
      <w:r w:rsidR="00C74DD7" w:rsidRPr="007A3576">
        <w:rPr>
          <w:rFonts w:asciiTheme="minorHAnsi" w:hAnsiTheme="minorHAnsi" w:cstheme="minorHAnsi"/>
          <w:sz w:val="22"/>
        </w:rPr>
        <w:t xml:space="preserve">Chapter </w:t>
      </w:r>
      <w:r w:rsidRPr="007A3576">
        <w:rPr>
          <w:rFonts w:asciiTheme="minorHAnsi" w:hAnsiTheme="minorHAnsi" w:cstheme="minorHAnsi"/>
          <w:sz w:val="22"/>
        </w:rPr>
        <w:t>also seeks to curb the use of government policies that distort markets</w:t>
      </w:r>
      <w:r w:rsidR="00407231" w:rsidRPr="007A3576">
        <w:rPr>
          <w:rFonts w:asciiTheme="minorHAnsi" w:hAnsiTheme="minorHAnsi" w:cstheme="minorHAnsi"/>
          <w:sz w:val="22"/>
        </w:rPr>
        <w:t>,</w:t>
      </w:r>
      <w:r w:rsidRPr="007A3576">
        <w:rPr>
          <w:rFonts w:asciiTheme="minorHAnsi" w:hAnsiTheme="minorHAnsi" w:cstheme="minorHAnsi"/>
          <w:sz w:val="22"/>
        </w:rPr>
        <w:t xml:space="preserve"> including export taxes and duties, and export subsidies.</w:t>
      </w:r>
      <w:r w:rsidR="00AF6B73" w:rsidRPr="007A3576">
        <w:rPr>
          <w:rFonts w:asciiTheme="minorHAnsi" w:hAnsiTheme="minorHAnsi" w:cstheme="minorHAnsi"/>
          <w:sz w:val="22"/>
        </w:rPr>
        <w:t xml:space="preserve"> TPP Parties commit to complying with and implementing relevant WTO Agreements, and to working together in the WTO to develop further disciplines on trade in goods.</w:t>
      </w:r>
    </w:p>
    <w:p w:rsidR="00C76C72" w:rsidRPr="00204937" w:rsidRDefault="00C76C72" w:rsidP="00204937">
      <w:pPr>
        <w:pStyle w:val="Heading1"/>
        <w:spacing w:before="0" w:after="200" w:line="276" w:lineRule="auto"/>
        <w:jc w:val="both"/>
        <w:rPr>
          <w:rFonts w:asciiTheme="minorHAnsi" w:hAnsiTheme="minorHAnsi" w:cstheme="minorHAnsi"/>
          <w:b/>
          <w:caps/>
          <w:sz w:val="24"/>
          <w:szCs w:val="24"/>
          <w:lang w:val="en-AU"/>
        </w:rPr>
      </w:pPr>
      <w:r w:rsidRPr="00204937">
        <w:rPr>
          <w:rFonts w:asciiTheme="minorHAnsi" w:hAnsiTheme="minorHAnsi" w:cstheme="minorHAnsi"/>
          <w:b/>
          <w:caps/>
          <w:sz w:val="24"/>
          <w:szCs w:val="24"/>
          <w:lang w:val="en-AU"/>
        </w:rPr>
        <w:t xml:space="preserve">more information on the chapter  </w:t>
      </w:r>
    </w:p>
    <w:p w:rsidR="0014480C" w:rsidRPr="00204937" w:rsidRDefault="0014480C" w:rsidP="00204937">
      <w:pPr>
        <w:pStyle w:val="Heading3"/>
      </w:pPr>
      <w:r w:rsidRPr="00204937">
        <w:t>Commitments on tariffs and fees</w:t>
      </w:r>
    </w:p>
    <w:p w:rsidR="00407231" w:rsidRPr="007A3576" w:rsidRDefault="00407231"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TPP Parties commit to progressively lower their respective customs duties, in accordance with a</w:t>
      </w:r>
      <w:r w:rsidR="0014480C" w:rsidRPr="007A3576">
        <w:rPr>
          <w:rFonts w:asciiTheme="minorHAnsi" w:hAnsiTheme="minorHAnsi" w:cstheme="minorHAnsi"/>
          <w:sz w:val="22"/>
        </w:rPr>
        <w:t xml:space="preserve"> schedule of commitments </w:t>
      </w:r>
      <w:r w:rsidRPr="007A3576">
        <w:rPr>
          <w:rFonts w:asciiTheme="minorHAnsi" w:hAnsiTheme="minorHAnsi" w:cstheme="minorHAnsi"/>
          <w:sz w:val="22"/>
        </w:rPr>
        <w:t>a</w:t>
      </w:r>
      <w:r w:rsidR="0014480C" w:rsidRPr="007A3576">
        <w:rPr>
          <w:rFonts w:asciiTheme="minorHAnsi" w:hAnsiTheme="minorHAnsi" w:cstheme="minorHAnsi"/>
          <w:sz w:val="22"/>
        </w:rPr>
        <w:t>nnex</w:t>
      </w:r>
      <w:r w:rsidRPr="007A3576">
        <w:rPr>
          <w:rFonts w:asciiTheme="minorHAnsi" w:hAnsiTheme="minorHAnsi" w:cstheme="minorHAnsi"/>
          <w:sz w:val="22"/>
        </w:rPr>
        <w:t>ed</w:t>
      </w:r>
      <w:r w:rsidR="0014480C" w:rsidRPr="007A3576">
        <w:rPr>
          <w:rFonts w:asciiTheme="minorHAnsi" w:hAnsiTheme="minorHAnsi" w:cstheme="minorHAnsi"/>
          <w:sz w:val="22"/>
        </w:rPr>
        <w:t xml:space="preserve"> to the </w:t>
      </w:r>
      <w:r w:rsidR="00C74DD7" w:rsidRPr="007A3576">
        <w:rPr>
          <w:rFonts w:asciiTheme="minorHAnsi" w:hAnsiTheme="minorHAnsi" w:cstheme="minorHAnsi"/>
          <w:sz w:val="22"/>
        </w:rPr>
        <w:t>Chapter</w:t>
      </w:r>
      <w:r w:rsidR="0014480C" w:rsidRPr="007A3576">
        <w:rPr>
          <w:rFonts w:asciiTheme="minorHAnsi" w:hAnsiTheme="minorHAnsi" w:cstheme="minorHAnsi"/>
          <w:sz w:val="22"/>
        </w:rPr>
        <w:t xml:space="preserve">.  </w:t>
      </w:r>
    </w:p>
    <w:p w:rsidR="0014480C" w:rsidRPr="007A3576" w:rsidRDefault="0014480C"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The </w:t>
      </w:r>
      <w:r w:rsidR="00C74DD7" w:rsidRPr="007A3576">
        <w:rPr>
          <w:rFonts w:asciiTheme="minorHAnsi" w:hAnsiTheme="minorHAnsi" w:cstheme="minorHAnsi"/>
          <w:sz w:val="22"/>
        </w:rPr>
        <w:t xml:space="preserve">Chapter </w:t>
      </w:r>
      <w:r w:rsidRPr="007A3576">
        <w:rPr>
          <w:rFonts w:asciiTheme="minorHAnsi" w:hAnsiTheme="minorHAnsi" w:cstheme="minorHAnsi"/>
          <w:sz w:val="22"/>
        </w:rPr>
        <w:t xml:space="preserve">sets </w:t>
      </w:r>
      <w:r w:rsidR="00407231" w:rsidRPr="007A3576">
        <w:rPr>
          <w:rFonts w:asciiTheme="minorHAnsi" w:hAnsiTheme="minorHAnsi" w:cstheme="minorHAnsi"/>
          <w:sz w:val="22"/>
        </w:rPr>
        <w:t xml:space="preserve">out </w:t>
      </w:r>
      <w:r w:rsidRPr="007A3576">
        <w:rPr>
          <w:rFonts w:asciiTheme="minorHAnsi" w:hAnsiTheme="minorHAnsi" w:cstheme="minorHAnsi"/>
          <w:sz w:val="22"/>
        </w:rPr>
        <w:t xml:space="preserve">rules guiding tariff cuts, and </w:t>
      </w:r>
      <w:r w:rsidR="00407231" w:rsidRPr="007A3576">
        <w:rPr>
          <w:rFonts w:asciiTheme="minorHAnsi" w:hAnsiTheme="minorHAnsi" w:cstheme="minorHAnsi"/>
          <w:sz w:val="22"/>
        </w:rPr>
        <w:t xml:space="preserve">the </w:t>
      </w:r>
      <w:r w:rsidRPr="007A3576">
        <w:rPr>
          <w:rFonts w:asciiTheme="minorHAnsi" w:hAnsiTheme="minorHAnsi" w:cstheme="minorHAnsi"/>
          <w:sz w:val="22"/>
        </w:rPr>
        <w:t xml:space="preserve">circumstances under which a waiver of customs duties </w:t>
      </w:r>
      <w:r w:rsidR="00407231" w:rsidRPr="007A3576">
        <w:rPr>
          <w:rFonts w:asciiTheme="minorHAnsi" w:hAnsiTheme="minorHAnsi" w:cstheme="minorHAnsi"/>
          <w:sz w:val="22"/>
        </w:rPr>
        <w:t xml:space="preserve">will be </w:t>
      </w:r>
      <w:r w:rsidRPr="007A3576">
        <w:rPr>
          <w:rFonts w:asciiTheme="minorHAnsi" w:hAnsiTheme="minorHAnsi" w:cstheme="minorHAnsi"/>
          <w:sz w:val="22"/>
        </w:rPr>
        <w:t>permitted.</w:t>
      </w:r>
    </w:p>
    <w:p w:rsidR="00407231" w:rsidRPr="007A3576" w:rsidRDefault="0014480C"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The </w:t>
      </w:r>
      <w:r w:rsidR="00C74DD7" w:rsidRPr="007A3576">
        <w:rPr>
          <w:rFonts w:asciiTheme="minorHAnsi" w:hAnsiTheme="minorHAnsi" w:cstheme="minorHAnsi"/>
          <w:sz w:val="22"/>
        </w:rPr>
        <w:t xml:space="preserve">Chapter </w:t>
      </w:r>
      <w:r w:rsidRPr="007A3576">
        <w:rPr>
          <w:rFonts w:asciiTheme="minorHAnsi" w:hAnsiTheme="minorHAnsi" w:cstheme="minorHAnsi"/>
          <w:sz w:val="22"/>
        </w:rPr>
        <w:t xml:space="preserve">sets </w:t>
      </w:r>
      <w:r w:rsidR="00C76C72" w:rsidRPr="007A3576">
        <w:rPr>
          <w:rFonts w:asciiTheme="minorHAnsi" w:hAnsiTheme="minorHAnsi" w:cstheme="minorHAnsi"/>
          <w:sz w:val="22"/>
        </w:rPr>
        <w:t xml:space="preserve">out </w:t>
      </w:r>
      <w:r w:rsidRPr="007A3576">
        <w:rPr>
          <w:rFonts w:asciiTheme="minorHAnsi" w:hAnsiTheme="minorHAnsi" w:cstheme="minorHAnsi"/>
          <w:sz w:val="22"/>
        </w:rPr>
        <w:t xml:space="preserve">circumstances under which </w:t>
      </w:r>
      <w:r w:rsidR="00E0711D" w:rsidRPr="007A3576">
        <w:rPr>
          <w:rFonts w:asciiTheme="minorHAnsi" w:hAnsiTheme="minorHAnsi" w:cstheme="minorHAnsi"/>
          <w:sz w:val="22"/>
        </w:rPr>
        <w:t xml:space="preserve">TPP </w:t>
      </w:r>
      <w:r w:rsidR="00C76C72" w:rsidRPr="007A3576">
        <w:rPr>
          <w:rFonts w:asciiTheme="minorHAnsi" w:hAnsiTheme="minorHAnsi" w:cstheme="minorHAnsi"/>
          <w:sz w:val="22"/>
        </w:rPr>
        <w:t xml:space="preserve">Parties </w:t>
      </w:r>
      <w:r w:rsidR="00407231" w:rsidRPr="007A3576">
        <w:rPr>
          <w:rFonts w:asciiTheme="minorHAnsi" w:hAnsiTheme="minorHAnsi" w:cstheme="minorHAnsi"/>
          <w:sz w:val="22"/>
        </w:rPr>
        <w:t xml:space="preserve">may </w:t>
      </w:r>
      <w:r w:rsidRPr="007A3576">
        <w:rPr>
          <w:rFonts w:asciiTheme="minorHAnsi" w:hAnsiTheme="minorHAnsi" w:cstheme="minorHAnsi"/>
          <w:sz w:val="22"/>
        </w:rPr>
        <w:t>allow goods to enter o</w:t>
      </w:r>
      <w:r w:rsidR="00FF0D56" w:rsidRPr="007A3576">
        <w:rPr>
          <w:rFonts w:asciiTheme="minorHAnsi" w:hAnsiTheme="minorHAnsi" w:cstheme="minorHAnsi"/>
          <w:sz w:val="22"/>
        </w:rPr>
        <w:t xml:space="preserve">r re-enter a market duty free. </w:t>
      </w:r>
      <w:r w:rsidRPr="007A3576">
        <w:rPr>
          <w:rFonts w:asciiTheme="minorHAnsi" w:hAnsiTheme="minorHAnsi" w:cstheme="minorHAnsi"/>
          <w:sz w:val="22"/>
        </w:rPr>
        <w:t>This includes goods exported temporarily for repair or alteration</w:t>
      </w:r>
      <w:r w:rsidR="00705A22" w:rsidRPr="007A3576">
        <w:rPr>
          <w:rFonts w:asciiTheme="minorHAnsi" w:hAnsiTheme="minorHAnsi" w:cstheme="minorHAnsi"/>
          <w:sz w:val="22"/>
        </w:rPr>
        <w:t>;</w:t>
      </w:r>
      <w:r w:rsidR="00E0711D" w:rsidRPr="007A3576">
        <w:rPr>
          <w:rFonts w:asciiTheme="minorHAnsi" w:hAnsiTheme="minorHAnsi" w:cstheme="minorHAnsi"/>
          <w:sz w:val="22"/>
        </w:rPr>
        <w:t xml:space="preserve"> </w:t>
      </w:r>
      <w:r w:rsidR="00407231" w:rsidRPr="007A3576">
        <w:rPr>
          <w:rFonts w:asciiTheme="minorHAnsi" w:hAnsiTheme="minorHAnsi" w:cstheme="minorHAnsi"/>
          <w:sz w:val="22"/>
        </w:rPr>
        <w:t xml:space="preserve">commercial </w:t>
      </w:r>
      <w:r w:rsidRPr="007A3576">
        <w:rPr>
          <w:rFonts w:asciiTheme="minorHAnsi" w:hAnsiTheme="minorHAnsi" w:cstheme="minorHAnsi"/>
          <w:sz w:val="22"/>
        </w:rPr>
        <w:t>samples and printed advertising material; and professional equipment temporarily entering markets</w:t>
      </w:r>
      <w:r w:rsidR="00E871B7" w:rsidRPr="007A3576">
        <w:rPr>
          <w:rFonts w:asciiTheme="minorHAnsi" w:hAnsiTheme="minorHAnsi" w:cstheme="minorHAnsi"/>
          <w:sz w:val="22"/>
        </w:rPr>
        <w:t>,</w:t>
      </w:r>
      <w:r w:rsidRPr="007A3576">
        <w:rPr>
          <w:rFonts w:asciiTheme="minorHAnsi" w:hAnsiTheme="minorHAnsi" w:cstheme="minorHAnsi"/>
          <w:sz w:val="22"/>
        </w:rPr>
        <w:t xml:space="preserve"> such as television production equipment, software</w:t>
      </w:r>
      <w:r w:rsidR="00407231" w:rsidRPr="007A3576">
        <w:rPr>
          <w:rFonts w:asciiTheme="minorHAnsi" w:hAnsiTheme="minorHAnsi" w:cstheme="minorHAnsi"/>
          <w:sz w:val="22"/>
        </w:rPr>
        <w:t>,</w:t>
      </w:r>
      <w:r w:rsidRPr="007A3576">
        <w:rPr>
          <w:rFonts w:asciiTheme="minorHAnsi" w:hAnsiTheme="minorHAnsi" w:cstheme="minorHAnsi"/>
          <w:sz w:val="22"/>
        </w:rPr>
        <w:t xml:space="preserve"> goods intended for display</w:t>
      </w:r>
      <w:r w:rsidR="00407231" w:rsidRPr="007A3576">
        <w:rPr>
          <w:rFonts w:asciiTheme="minorHAnsi" w:hAnsiTheme="minorHAnsi" w:cstheme="minorHAnsi"/>
          <w:sz w:val="22"/>
        </w:rPr>
        <w:t>,</w:t>
      </w:r>
      <w:r w:rsidRPr="007A3576">
        <w:rPr>
          <w:rFonts w:asciiTheme="minorHAnsi" w:hAnsiTheme="minorHAnsi" w:cstheme="minorHAnsi"/>
          <w:sz w:val="22"/>
        </w:rPr>
        <w:t xml:space="preserve"> and sporting goods. </w:t>
      </w:r>
    </w:p>
    <w:p w:rsidR="0014480C" w:rsidRPr="007A3576" w:rsidRDefault="0014480C" w:rsidP="00204937">
      <w:pPr>
        <w:spacing w:after="200" w:line="276" w:lineRule="auto"/>
        <w:jc w:val="both"/>
        <w:rPr>
          <w:rFonts w:asciiTheme="minorHAnsi" w:hAnsiTheme="minorHAnsi" w:cstheme="minorHAnsi"/>
          <w:b/>
          <w:sz w:val="22"/>
        </w:rPr>
      </w:pPr>
      <w:r w:rsidRPr="007A3576">
        <w:rPr>
          <w:rFonts w:asciiTheme="minorHAnsi" w:hAnsiTheme="minorHAnsi" w:cstheme="minorHAnsi"/>
          <w:sz w:val="22"/>
        </w:rPr>
        <w:t xml:space="preserve">The TPP </w:t>
      </w:r>
      <w:r w:rsidR="00407231" w:rsidRPr="007A3576">
        <w:rPr>
          <w:rFonts w:asciiTheme="minorHAnsi" w:hAnsiTheme="minorHAnsi" w:cstheme="minorHAnsi"/>
          <w:sz w:val="22"/>
        </w:rPr>
        <w:t xml:space="preserve">is the first Australian trade agreement to </w:t>
      </w:r>
      <w:r w:rsidRPr="007A3576">
        <w:rPr>
          <w:rFonts w:asciiTheme="minorHAnsi" w:hAnsiTheme="minorHAnsi" w:cstheme="minorHAnsi"/>
          <w:sz w:val="22"/>
        </w:rPr>
        <w:t>afford duty free entry to the temporary entry of containers and pallets involved in transporting goods</w:t>
      </w:r>
      <w:r w:rsidR="00407231" w:rsidRPr="007A3576">
        <w:rPr>
          <w:rFonts w:asciiTheme="minorHAnsi" w:hAnsiTheme="minorHAnsi" w:cstheme="minorHAnsi"/>
          <w:sz w:val="22"/>
        </w:rPr>
        <w:t>. This will</w:t>
      </w:r>
      <w:r w:rsidRPr="007A3576">
        <w:rPr>
          <w:rFonts w:asciiTheme="minorHAnsi" w:hAnsiTheme="minorHAnsi" w:cstheme="minorHAnsi"/>
          <w:sz w:val="22"/>
        </w:rPr>
        <w:t xml:space="preserve"> </w:t>
      </w:r>
      <w:r w:rsidR="00407231" w:rsidRPr="007A3576">
        <w:rPr>
          <w:rFonts w:asciiTheme="minorHAnsi" w:hAnsiTheme="minorHAnsi" w:cstheme="minorHAnsi"/>
          <w:sz w:val="22"/>
        </w:rPr>
        <w:t xml:space="preserve">eliminate </w:t>
      </w:r>
      <w:r w:rsidRPr="007A3576">
        <w:rPr>
          <w:rFonts w:asciiTheme="minorHAnsi" w:hAnsiTheme="minorHAnsi" w:cstheme="minorHAnsi"/>
          <w:sz w:val="22"/>
        </w:rPr>
        <w:t xml:space="preserve">considerable costs for a number of Australian exporters and transport companies. </w:t>
      </w:r>
      <w:r w:rsidR="00E871B7" w:rsidRPr="007A3576">
        <w:rPr>
          <w:rFonts w:asciiTheme="minorHAnsi" w:hAnsiTheme="minorHAnsi" w:cstheme="minorHAnsi"/>
          <w:sz w:val="22"/>
        </w:rPr>
        <w:t>Until now</w:t>
      </w:r>
      <w:r w:rsidR="00C76C72" w:rsidRPr="007A3576">
        <w:rPr>
          <w:rFonts w:asciiTheme="minorHAnsi" w:hAnsiTheme="minorHAnsi" w:cstheme="minorHAnsi"/>
          <w:sz w:val="22"/>
        </w:rPr>
        <w:t>,</w:t>
      </w:r>
      <w:r w:rsidRPr="007A3576">
        <w:rPr>
          <w:rFonts w:asciiTheme="minorHAnsi" w:hAnsiTheme="minorHAnsi" w:cstheme="minorHAnsi"/>
          <w:sz w:val="22"/>
        </w:rPr>
        <w:t xml:space="preserve"> a number of TPP </w:t>
      </w:r>
      <w:r w:rsidR="00C74DD7" w:rsidRPr="007A3576">
        <w:rPr>
          <w:rFonts w:asciiTheme="minorHAnsi" w:hAnsiTheme="minorHAnsi" w:cstheme="minorHAnsi"/>
          <w:sz w:val="22"/>
        </w:rPr>
        <w:t xml:space="preserve">Parties </w:t>
      </w:r>
      <w:r w:rsidR="00E871B7" w:rsidRPr="007A3576">
        <w:rPr>
          <w:rFonts w:asciiTheme="minorHAnsi" w:hAnsiTheme="minorHAnsi" w:cstheme="minorHAnsi"/>
          <w:sz w:val="22"/>
        </w:rPr>
        <w:t xml:space="preserve">have </w:t>
      </w:r>
      <w:r w:rsidRPr="007A3576">
        <w:rPr>
          <w:rFonts w:asciiTheme="minorHAnsi" w:hAnsiTheme="minorHAnsi" w:cstheme="minorHAnsi"/>
          <w:sz w:val="22"/>
        </w:rPr>
        <w:t>charge</w:t>
      </w:r>
      <w:r w:rsidR="00E871B7" w:rsidRPr="007A3576">
        <w:rPr>
          <w:rFonts w:asciiTheme="minorHAnsi" w:hAnsiTheme="minorHAnsi" w:cstheme="minorHAnsi"/>
          <w:sz w:val="22"/>
        </w:rPr>
        <w:t>d</w:t>
      </w:r>
      <w:r w:rsidRPr="007A3576">
        <w:rPr>
          <w:rFonts w:asciiTheme="minorHAnsi" w:hAnsiTheme="minorHAnsi" w:cstheme="minorHAnsi"/>
          <w:sz w:val="22"/>
        </w:rPr>
        <w:t xml:space="preserve"> exporters </w:t>
      </w:r>
      <w:r w:rsidR="00C76C72" w:rsidRPr="007A3576">
        <w:rPr>
          <w:rFonts w:asciiTheme="minorHAnsi" w:hAnsiTheme="minorHAnsi" w:cstheme="minorHAnsi"/>
          <w:sz w:val="22"/>
        </w:rPr>
        <w:t xml:space="preserve">a </w:t>
      </w:r>
      <w:r w:rsidRPr="007A3576">
        <w:rPr>
          <w:rFonts w:asciiTheme="minorHAnsi" w:hAnsiTheme="minorHAnsi" w:cstheme="minorHAnsi"/>
          <w:sz w:val="22"/>
        </w:rPr>
        <w:t>duty on the containers and pallets entering temporarily for shipping purposes</w:t>
      </w:r>
      <w:r w:rsidR="00E871B7" w:rsidRPr="007A3576">
        <w:rPr>
          <w:rFonts w:asciiTheme="minorHAnsi" w:hAnsiTheme="minorHAnsi" w:cstheme="minorHAnsi"/>
          <w:sz w:val="22"/>
        </w:rPr>
        <w:t>, and those</w:t>
      </w:r>
      <w:r w:rsidRPr="007A3576">
        <w:rPr>
          <w:rFonts w:asciiTheme="minorHAnsi" w:hAnsiTheme="minorHAnsi" w:cstheme="minorHAnsi"/>
          <w:sz w:val="22"/>
        </w:rPr>
        <w:t xml:space="preserve"> duties </w:t>
      </w:r>
      <w:r w:rsidR="00E871B7" w:rsidRPr="007A3576">
        <w:rPr>
          <w:rFonts w:asciiTheme="minorHAnsi" w:hAnsiTheme="minorHAnsi" w:cstheme="minorHAnsi"/>
          <w:sz w:val="22"/>
        </w:rPr>
        <w:t>have been</w:t>
      </w:r>
      <w:r w:rsidRPr="007A3576">
        <w:rPr>
          <w:rFonts w:asciiTheme="minorHAnsi" w:hAnsiTheme="minorHAnsi" w:cstheme="minorHAnsi"/>
          <w:sz w:val="22"/>
        </w:rPr>
        <w:t xml:space="preserve"> as high as 20 per cent. </w:t>
      </w:r>
    </w:p>
    <w:p w:rsidR="00AF6B73" w:rsidRPr="00204937" w:rsidRDefault="00931EDE" w:rsidP="00204937">
      <w:pPr>
        <w:pStyle w:val="Heading3"/>
      </w:pPr>
      <w:r w:rsidRPr="00204937">
        <w:t>Commitments on customs and other duties on information technology products</w:t>
      </w:r>
    </w:p>
    <w:p w:rsidR="00AF6B73" w:rsidRPr="007A3576" w:rsidRDefault="00AF6B73"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TPP Parties have agreed to implement the WTO </w:t>
      </w:r>
      <w:r w:rsidRPr="00204937">
        <w:rPr>
          <w:rFonts w:asciiTheme="minorHAnsi" w:hAnsiTheme="minorHAnsi" w:cstheme="minorHAnsi"/>
          <w:i/>
          <w:sz w:val="22"/>
        </w:rPr>
        <w:t>Information Technology Agreement</w:t>
      </w:r>
      <w:r w:rsidRPr="007A3576">
        <w:rPr>
          <w:rFonts w:asciiTheme="minorHAnsi" w:hAnsiTheme="minorHAnsi" w:cstheme="minorHAnsi"/>
          <w:sz w:val="22"/>
        </w:rPr>
        <w:t xml:space="preserve">, which requires customs and other duties to be eliminated from information technology products, including computers, telecommunication equipment, semiconductors, semiconductor manufacturing and testing equipment, </w:t>
      </w:r>
      <w:r w:rsidRPr="007A3576">
        <w:rPr>
          <w:rFonts w:asciiTheme="minorHAnsi" w:hAnsiTheme="minorHAnsi" w:cstheme="minorHAnsi"/>
          <w:sz w:val="22"/>
        </w:rPr>
        <w:lastRenderedPageBreak/>
        <w:t xml:space="preserve">software, scientific instruments, as well as most of the parts and accessories of these products. Some TPP Parties have been granted longer implementation times for this commitment. </w:t>
      </w:r>
    </w:p>
    <w:p w:rsidR="00C745A8" w:rsidRPr="00204937" w:rsidRDefault="00C745A8" w:rsidP="00204937">
      <w:pPr>
        <w:pStyle w:val="Heading3"/>
      </w:pPr>
      <w:r w:rsidRPr="00204937">
        <w:t>Treatment no less favourable than “like” domestic goods</w:t>
      </w:r>
    </w:p>
    <w:p w:rsidR="00C745A8" w:rsidRPr="007A3576" w:rsidRDefault="00C745A8"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The Chapter’s </w:t>
      </w:r>
      <w:r w:rsidRPr="007A3576">
        <w:rPr>
          <w:rFonts w:asciiTheme="minorHAnsi" w:hAnsiTheme="minorHAnsi" w:cstheme="minorHAnsi"/>
          <w:b/>
          <w:sz w:val="22"/>
        </w:rPr>
        <w:t xml:space="preserve">national treatment </w:t>
      </w:r>
      <w:r w:rsidRPr="007A3576">
        <w:rPr>
          <w:rFonts w:asciiTheme="minorHAnsi" w:hAnsiTheme="minorHAnsi" w:cstheme="minorHAnsi"/>
          <w:sz w:val="22"/>
        </w:rPr>
        <w:t>provisions</w:t>
      </w:r>
      <w:r w:rsidRPr="007A3576">
        <w:rPr>
          <w:rFonts w:asciiTheme="minorHAnsi" w:hAnsiTheme="minorHAnsi" w:cstheme="minorHAnsi"/>
          <w:b/>
          <w:sz w:val="22"/>
        </w:rPr>
        <w:t xml:space="preserve"> </w:t>
      </w:r>
      <w:r w:rsidRPr="007A3576">
        <w:rPr>
          <w:rFonts w:asciiTheme="minorHAnsi" w:hAnsiTheme="minorHAnsi" w:cstheme="minorHAnsi"/>
          <w:sz w:val="22"/>
        </w:rPr>
        <w:t xml:space="preserve">reinforce the WTO obligation in Article III of the </w:t>
      </w:r>
      <w:r w:rsidRPr="007A3576">
        <w:rPr>
          <w:rFonts w:asciiTheme="minorHAnsi" w:hAnsiTheme="minorHAnsi" w:cstheme="minorHAnsi"/>
          <w:i/>
          <w:sz w:val="22"/>
        </w:rPr>
        <w:t xml:space="preserve">General Agreement on Tariffs and Trade 1994 </w:t>
      </w:r>
      <w:r w:rsidRPr="007A3576">
        <w:rPr>
          <w:rFonts w:asciiTheme="minorHAnsi" w:hAnsiTheme="minorHAnsi" w:cstheme="minorHAnsi"/>
          <w:sz w:val="22"/>
        </w:rPr>
        <w:t>(GATT 1994), that imported goods are not be treated less favourably than “like” domestic goods.</w:t>
      </w:r>
    </w:p>
    <w:p w:rsidR="0014480C" w:rsidRPr="00204937" w:rsidRDefault="0014480C" w:rsidP="00204937">
      <w:pPr>
        <w:pStyle w:val="Heading3"/>
      </w:pPr>
      <w:r w:rsidRPr="00204937">
        <w:t xml:space="preserve">Import and export restrictions </w:t>
      </w:r>
      <w:r w:rsidR="00931EDE" w:rsidRPr="00204937">
        <w:t>and other non-tariff barriers to trade</w:t>
      </w:r>
    </w:p>
    <w:p w:rsidR="0014480C" w:rsidRPr="007A3576" w:rsidRDefault="0014480C"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The </w:t>
      </w:r>
      <w:r w:rsidR="00C74DD7" w:rsidRPr="007A3576">
        <w:rPr>
          <w:rFonts w:asciiTheme="minorHAnsi" w:hAnsiTheme="minorHAnsi" w:cstheme="minorHAnsi"/>
          <w:sz w:val="22"/>
        </w:rPr>
        <w:t xml:space="preserve">Chapter </w:t>
      </w:r>
      <w:r w:rsidRPr="007A3576">
        <w:rPr>
          <w:rFonts w:asciiTheme="minorHAnsi" w:hAnsiTheme="minorHAnsi" w:cstheme="minorHAnsi"/>
          <w:sz w:val="22"/>
        </w:rPr>
        <w:t xml:space="preserve">includes commitments on import and export restrictions and other non-tariff barriers that may </w:t>
      </w:r>
      <w:r w:rsidR="00E871B7" w:rsidRPr="007A3576">
        <w:rPr>
          <w:rFonts w:asciiTheme="minorHAnsi" w:hAnsiTheme="minorHAnsi" w:cstheme="minorHAnsi"/>
          <w:sz w:val="22"/>
        </w:rPr>
        <w:t xml:space="preserve">otherwise </w:t>
      </w:r>
      <w:r w:rsidRPr="007A3576">
        <w:rPr>
          <w:rFonts w:asciiTheme="minorHAnsi" w:hAnsiTheme="minorHAnsi" w:cstheme="minorHAnsi"/>
          <w:sz w:val="22"/>
        </w:rPr>
        <w:t xml:space="preserve">present hurdles to Australian goods entering TPP markets.  </w:t>
      </w:r>
    </w:p>
    <w:p w:rsidR="0014480C" w:rsidRPr="00204937" w:rsidRDefault="0014480C" w:rsidP="00204937">
      <w:pPr>
        <w:pStyle w:val="ListParagraph"/>
        <w:numPr>
          <w:ilvl w:val="0"/>
          <w:numId w:val="10"/>
        </w:numPr>
        <w:spacing w:after="200" w:line="276" w:lineRule="auto"/>
        <w:ind w:left="714" w:hanging="357"/>
        <w:contextualSpacing w:val="0"/>
        <w:jc w:val="both"/>
        <w:rPr>
          <w:rFonts w:asciiTheme="minorHAnsi" w:hAnsiTheme="minorHAnsi" w:cstheme="minorHAnsi"/>
          <w:sz w:val="22"/>
        </w:rPr>
      </w:pPr>
      <w:r w:rsidRPr="00204937">
        <w:rPr>
          <w:rFonts w:asciiTheme="minorHAnsi" w:hAnsiTheme="minorHAnsi" w:cstheme="minorHAnsi"/>
          <w:sz w:val="22"/>
        </w:rPr>
        <w:t xml:space="preserve">The </w:t>
      </w:r>
      <w:r w:rsidR="00C74DD7" w:rsidRPr="00204937">
        <w:rPr>
          <w:rFonts w:asciiTheme="minorHAnsi" w:hAnsiTheme="minorHAnsi" w:cstheme="minorHAnsi"/>
          <w:sz w:val="22"/>
        </w:rPr>
        <w:t>C</w:t>
      </w:r>
      <w:r w:rsidRPr="00204937">
        <w:rPr>
          <w:rFonts w:asciiTheme="minorHAnsi" w:hAnsiTheme="minorHAnsi" w:cstheme="minorHAnsi"/>
          <w:sz w:val="22"/>
        </w:rPr>
        <w:t xml:space="preserve">hapter reaffirms TPP </w:t>
      </w:r>
      <w:r w:rsidR="00C76C72" w:rsidRPr="00204937">
        <w:rPr>
          <w:rFonts w:asciiTheme="minorHAnsi" w:hAnsiTheme="minorHAnsi" w:cstheme="minorHAnsi"/>
          <w:sz w:val="22"/>
        </w:rPr>
        <w:t xml:space="preserve">Parties’ </w:t>
      </w:r>
      <w:r w:rsidRPr="00204937">
        <w:rPr>
          <w:rFonts w:asciiTheme="minorHAnsi" w:hAnsiTheme="minorHAnsi" w:cstheme="minorHAnsi"/>
          <w:sz w:val="22"/>
        </w:rPr>
        <w:t xml:space="preserve">WTO commitments not to impose </w:t>
      </w:r>
      <w:r w:rsidRPr="00204937">
        <w:rPr>
          <w:rFonts w:asciiTheme="minorHAnsi" w:hAnsiTheme="minorHAnsi" w:cstheme="minorHAnsi"/>
          <w:b/>
          <w:sz w:val="22"/>
        </w:rPr>
        <w:t>import restrictions or export restrictions</w:t>
      </w:r>
      <w:r w:rsidRPr="00204937">
        <w:rPr>
          <w:rFonts w:asciiTheme="minorHAnsi" w:hAnsiTheme="minorHAnsi" w:cstheme="minorHAnsi"/>
          <w:sz w:val="22"/>
        </w:rPr>
        <w:t xml:space="preserve"> for goods bound for another </w:t>
      </w:r>
      <w:r w:rsidR="00BD608A" w:rsidRPr="00204937">
        <w:rPr>
          <w:rFonts w:asciiTheme="minorHAnsi" w:hAnsiTheme="minorHAnsi" w:cstheme="minorHAnsi"/>
          <w:sz w:val="22"/>
        </w:rPr>
        <w:t xml:space="preserve">TPP Party </w:t>
      </w:r>
      <w:r w:rsidRPr="00204937">
        <w:rPr>
          <w:rFonts w:asciiTheme="minorHAnsi" w:hAnsiTheme="minorHAnsi" w:cstheme="minorHAnsi"/>
          <w:sz w:val="22"/>
        </w:rPr>
        <w:t>except as outlined by Article XI of GATT 1994</w:t>
      </w:r>
      <w:r w:rsidR="00A828F9" w:rsidRPr="00204937">
        <w:rPr>
          <w:rFonts w:asciiTheme="minorHAnsi" w:hAnsiTheme="minorHAnsi" w:cstheme="minorHAnsi"/>
          <w:sz w:val="22"/>
        </w:rPr>
        <w:t xml:space="preserve">.  </w:t>
      </w:r>
      <w:r w:rsidRPr="00204937">
        <w:rPr>
          <w:rFonts w:asciiTheme="minorHAnsi" w:hAnsiTheme="minorHAnsi" w:cstheme="minorHAnsi"/>
          <w:sz w:val="22"/>
        </w:rPr>
        <w:t xml:space="preserve">The </w:t>
      </w:r>
      <w:r w:rsidR="00C74DD7" w:rsidRPr="00204937">
        <w:rPr>
          <w:rFonts w:asciiTheme="minorHAnsi" w:hAnsiTheme="minorHAnsi" w:cstheme="minorHAnsi"/>
          <w:sz w:val="22"/>
        </w:rPr>
        <w:t>Chapter</w:t>
      </w:r>
      <w:r w:rsidR="00E871B7" w:rsidRPr="00204937">
        <w:rPr>
          <w:rFonts w:asciiTheme="minorHAnsi" w:hAnsiTheme="minorHAnsi" w:cstheme="minorHAnsi"/>
          <w:sz w:val="22"/>
        </w:rPr>
        <w:t xml:space="preserve"> also</w:t>
      </w:r>
      <w:r w:rsidR="00C74DD7" w:rsidRPr="00204937">
        <w:rPr>
          <w:rFonts w:asciiTheme="minorHAnsi" w:hAnsiTheme="minorHAnsi" w:cstheme="minorHAnsi"/>
          <w:sz w:val="22"/>
        </w:rPr>
        <w:t xml:space="preserve"> </w:t>
      </w:r>
      <w:r w:rsidRPr="00204937">
        <w:rPr>
          <w:rFonts w:asciiTheme="minorHAnsi" w:hAnsiTheme="minorHAnsi" w:cstheme="minorHAnsi"/>
          <w:sz w:val="22"/>
        </w:rPr>
        <w:t xml:space="preserve">clarifies that these provisions apply to </w:t>
      </w:r>
      <w:r w:rsidRPr="00204937">
        <w:rPr>
          <w:rFonts w:asciiTheme="minorHAnsi" w:hAnsiTheme="minorHAnsi" w:cstheme="minorHAnsi"/>
          <w:b/>
          <w:sz w:val="22"/>
        </w:rPr>
        <w:t>remanufactured goods</w:t>
      </w:r>
      <w:r w:rsidRPr="00204937">
        <w:rPr>
          <w:rFonts w:asciiTheme="minorHAnsi" w:hAnsiTheme="minorHAnsi" w:cstheme="minorHAnsi"/>
          <w:sz w:val="22"/>
        </w:rPr>
        <w:t xml:space="preserve">. Remanufacturing is the rebuilding or refurbishment of a good to the original specifications using new or used parts. </w:t>
      </w:r>
    </w:p>
    <w:p w:rsidR="00E871B7" w:rsidRPr="00204937" w:rsidRDefault="00E871B7" w:rsidP="00204937">
      <w:pPr>
        <w:pStyle w:val="ListParagraph"/>
        <w:numPr>
          <w:ilvl w:val="0"/>
          <w:numId w:val="10"/>
        </w:numPr>
        <w:spacing w:after="200" w:line="276" w:lineRule="auto"/>
        <w:ind w:left="714" w:hanging="357"/>
        <w:contextualSpacing w:val="0"/>
        <w:jc w:val="both"/>
        <w:rPr>
          <w:rFonts w:asciiTheme="minorHAnsi" w:hAnsiTheme="minorHAnsi" w:cstheme="minorHAnsi"/>
          <w:sz w:val="22"/>
        </w:rPr>
      </w:pPr>
      <w:r w:rsidRPr="00204937">
        <w:rPr>
          <w:rFonts w:asciiTheme="minorHAnsi" w:hAnsiTheme="minorHAnsi" w:cstheme="minorHAnsi"/>
          <w:sz w:val="22"/>
        </w:rPr>
        <w:t>The Chapter includes p</w:t>
      </w:r>
      <w:r w:rsidR="0014480C" w:rsidRPr="00204937">
        <w:rPr>
          <w:rFonts w:asciiTheme="minorHAnsi" w:hAnsiTheme="minorHAnsi" w:cstheme="minorHAnsi"/>
          <w:sz w:val="22"/>
        </w:rPr>
        <w:t>rovisions on</w:t>
      </w:r>
      <w:r w:rsidR="0014480C" w:rsidRPr="00204937">
        <w:rPr>
          <w:rFonts w:asciiTheme="minorHAnsi" w:hAnsiTheme="minorHAnsi" w:cstheme="minorHAnsi"/>
          <w:b/>
          <w:sz w:val="22"/>
        </w:rPr>
        <w:t xml:space="preserve"> import </w:t>
      </w:r>
      <w:proofErr w:type="spellStart"/>
      <w:r w:rsidR="0014480C" w:rsidRPr="00204937">
        <w:rPr>
          <w:rFonts w:asciiTheme="minorHAnsi" w:hAnsiTheme="minorHAnsi" w:cstheme="minorHAnsi"/>
          <w:b/>
          <w:sz w:val="22"/>
        </w:rPr>
        <w:t>licencing</w:t>
      </w:r>
      <w:proofErr w:type="spellEnd"/>
      <w:r w:rsidR="0014480C" w:rsidRPr="00204937">
        <w:rPr>
          <w:rFonts w:asciiTheme="minorHAnsi" w:hAnsiTheme="minorHAnsi" w:cstheme="minorHAnsi"/>
          <w:sz w:val="22"/>
        </w:rPr>
        <w:t xml:space="preserve"> </w:t>
      </w:r>
      <w:r w:rsidRPr="00204937">
        <w:rPr>
          <w:rFonts w:asciiTheme="minorHAnsi" w:hAnsiTheme="minorHAnsi" w:cstheme="minorHAnsi"/>
          <w:sz w:val="22"/>
        </w:rPr>
        <w:t xml:space="preserve">that </w:t>
      </w:r>
      <w:r w:rsidR="0014480C" w:rsidRPr="00204937">
        <w:rPr>
          <w:rFonts w:asciiTheme="minorHAnsi" w:hAnsiTheme="minorHAnsi" w:cstheme="minorHAnsi"/>
          <w:sz w:val="22"/>
        </w:rPr>
        <w:t xml:space="preserve">prevent </w:t>
      </w:r>
      <w:r w:rsidR="00E0711D" w:rsidRPr="00204937">
        <w:rPr>
          <w:rFonts w:asciiTheme="minorHAnsi" w:hAnsiTheme="minorHAnsi" w:cstheme="minorHAnsi"/>
          <w:sz w:val="22"/>
        </w:rPr>
        <w:t xml:space="preserve">TPP </w:t>
      </w:r>
      <w:r w:rsidR="00C76C72" w:rsidRPr="00204937">
        <w:rPr>
          <w:rFonts w:asciiTheme="minorHAnsi" w:hAnsiTheme="minorHAnsi" w:cstheme="minorHAnsi"/>
          <w:sz w:val="22"/>
        </w:rPr>
        <w:t>P</w:t>
      </w:r>
      <w:r w:rsidR="0014480C" w:rsidRPr="00204937">
        <w:rPr>
          <w:rFonts w:asciiTheme="minorHAnsi" w:hAnsiTheme="minorHAnsi" w:cstheme="minorHAnsi"/>
          <w:sz w:val="22"/>
        </w:rPr>
        <w:t xml:space="preserve">arties from adopting or maintaining measures inconsistent with the WTO </w:t>
      </w:r>
      <w:r w:rsidR="0014480C" w:rsidRPr="00204937">
        <w:rPr>
          <w:rFonts w:asciiTheme="minorHAnsi" w:hAnsiTheme="minorHAnsi" w:cstheme="minorHAnsi"/>
          <w:i/>
          <w:sz w:val="22"/>
        </w:rPr>
        <w:t xml:space="preserve">Agreement on Import </w:t>
      </w:r>
      <w:proofErr w:type="spellStart"/>
      <w:r w:rsidR="0014480C" w:rsidRPr="00204937">
        <w:rPr>
          <w:rFonts w:asciiTheme="minorHAnsi" w:hAnsiTheme="minorHAnsi" w:cstheme="minorHAnsi"/>
          <w:i/>
          <w:sz w:val="22"/>
        </w:rPr>
        <w:t>Licencing</w:t>
      </w:r>
      <w:proofErr w:type="spellEnd"/>
      <w:r w:rsidR="0014480C" w:rsidRPr="00204937">
        <w:rPr>
          <w:rFonts w:asciiTheme="minorHAnsi" w:hAnsiTheme="minorHAnsi" w:cstheme="minorHAnsi"/>
          <w:i/>
          <w:sz w:val="22"/>
        </w:rPr>
        <w:t xml:space="preserve"> Procedures</w:t>
      </w:r>
      <w:r w:rsidR="00615F99" w:rsidRPr="007A3576">
        <w:rPr>
          <w:rFonts w:asciiTheme="minorHAnsi" w:hAnsiTheme="minorHAnsi" w:cstheme="minorHAnsi"/>
          <w:sz w:val="22"/>
        </w:rPr>
        <w:t xml:space="preserve">, </w:t>
      </w:r>
      <w:r w:rsidR="00C76C72" w:rsidRPr="00204937">
        <w:rPr>
          <w:rFonts w:asciiTheme="minorHAnsi" w:hAnsiTheme="minorHAnsi" w:cstheme="minorHAnsi"/>
          <w:sz w:val="22"/>
        </w:rPr>
        <w:t>an agreement that</w:t>
      </w:r>
      <w:r w:rsidR="0014480C" w:rsidRPr="00204937">
        <w:rPr>
          <w:rFonts w:asciiTheme="minorHAnsi" w:hAnsiTheme="minorHAnsi" w:cstheme="minorHAnsi"/>
          <w:sz w:val="22"/>
        </w:rPr>
        <w:t xml:space="preserve"> sets out the parameters to which </w:t>
      </w:r>
      <w:r w:rsidR="00E0711D" w:rsidRPr="00204937">
        <w:rPr>
          <w:rFonts w:asciiTheme="minorHAnsi" w:hAnsiTheme="minorHAnsi" w:cstheme="minorHAnsi"/>
          <w:sz w:val="22"/>
        </w:rPr>
        <w:t xml:space="preserve">TPP Parties </w:t>
      </w:r>
      <w:r w:rsidR="0014480C" w:rsidRPr="00204937">
        <w:rPr>
          <w:rFonts w:asciiTheme="minorHAnsi" w:hAnsiTheme="minorHAnsi" w:cstheme="minorHAnsi"/>
          <w:sz w:val="22"/>
        </w:rPr>
        <w:t xml:space="preserve">must adhere in designing import </w:t>
      </w:r>
      <w:proofErr w:type="spellStart"/>
      <w:r w:rsidR="0014480C" w:rsidRPr="00204937">
        <w:rPr>
          <w:rFonts w:asciiTheme="minorHAnsi" w:hAnsiTheme="minorHAnsi" w:cstheme="minorHAnsi"/>
          <w:sz w:val="22"/>
        </w:rPr>
        <w:t>licencing</w:t>
      </w:r>
      <w:proofErr w:type="spellEnd"/>
      <w:r w:rsidR="0014480C" w:rsidRPr="00204937">
        <w:rPr>
          <w:rFonts w:asciiTheme="minorHAnsi" w:hAnsiTheme="minorHAnsi" w:cstheme="minorHAnsi"/>
          <w:sz w:val="22"/>
        </w:rPr>
        <w:t xml:space="preserve"> requirements. Key among </w:t>
      </w:r>
      <w:r w:rsidR="00615F99" w:rsidRPr="00204937">
        <w:rPr>
          <w:rFonts w:asciiTheme="minorHAnsi" w:hAnsiTheme="minorHAnsi" w:cstheme="minorHAnsi"/>
          <w:sz w:val="22"/>
        </w:rPr>
        <w:t xml:space="preserve">the </w:t>
      </w:r>
      <w:r w:rsidR="0014480C" w:rsidRPr="00204937">
        <w:rPr>
          <w:rFonts w:asciiTheme="minorHAnsi" w:hAnsiTheme="minorHAnsi" w:cstheme="minorHAnsi"/>
          <w:sz w:val="22"/>
        </w:rPr>
        <w:t>requirements</w:t>
      </w:r>
      <w:r w:rsidR="00615F99" w:rsidRPr="007A3576">
        <w:rPr>
          <w:rFonts w:asciiTheme="minorHAnsi" w:hAnsiTheme="minorHAnsi" w:cstheme="minorHAnsi"/>
          <w:sz w:val="22"/>
        </w:rPr>
        <w:t xml:space="preserve"> of that WTO agreement</w:t>
      </w:r>
      <w:r w:rsidR="0014480C" w:rsidRPr="00204937">
        <w:rPr>
          <w:rFonts w:asciiTheme="minorHAnsi" w:hAnsiTheme="minorHAnsi" w:cstheme="minorHAnsi"/>
          <w:sz w:val="22"/>
        </w:rPr>
        <w:t xml:space="preserve"> is </w:t>
      </w:r>
      <w:r w:rsidR="00615F99" w:rsidRPr="007A3576">
        <w:rPr>
          <w:rFonts w:asciiTheme="minorHAnsi" w:hAnsiTheme="minorHAnsi" w:cstheme="minorHAnsi"/>
          <w:sz w:val="22"/>
        </w:rPr>
        <w:t>that parties must ensure that</w:t>
      </w:r>
      <w:r w:rsidR="00615F99" w:rsidRPr="00204937">
        <w:rPr>
          <w:rFonts w:asciiTheme="minorHAnsi" w:hAnsiTheme="minorHAnsi" w:cstheme="minorHAnsi"/>
          <w:sz w:val="22"/>
        </w:rPr>
        <w:t xml:space="preserve"> </w:t>
      </w:r>
      <w:r w:rsidR="0014480C" w:rsidRPr="00204937">
        <w:rPr>
          <w:rFonts w:asciiTheme="minorHAnsi" w:hAnsiTheme="minorHAnsi" w:cstheme="minorHAnsi"/>
          <w:sz w:val="22"/>
        </w:rPr>
        <w:t>the</w:t>
      </w:r>
      <w:r w:rsidR="00615F99" w:rsidRPr="007A3576">
        <w:rPr>
          <w:rFonts w:asciiTheme="minorHAnsi" w:hAnsiTheme="minorHAnsi" w:cstheme="minorHAnsi"/>
          <w:sz w:val="22"/>
        </w:rPr>
        <w:t>ir</w:t>
      </w:r>
      <w:r w:rsidR="0014480C" w:rsidRPr="00204937">
        <w:rPr>
          <w:rFonts w:asciiTheme="minorHAnsi" w:hAnsiTheme="minorHAnsi" w:cstheme="minorHAnsi"/>
          <w:sz w:val="22"/>
        </w:rPr>
        <w:t xml:space="preserve"> </w:t>
      </w:r>
      <w:proofErr w:type="spellStart"/>
      <w:r w:rsidR="0014480C" w:rsidRPr="00204937">
        <w:rPr>
          <w:rFonts w:asciiTheme="minorHAnsi" w:hAnsiTheme="minorHAnsi" w:cstheme="minorHAnsi"/>
          <w:sz w:val="22"/>
        </w:rPr>
        <w:t>licencing</w:t>
      </w:r>
      <w:proofErr w:type="spellEnd"/>
      <w:r w:rsidR="0014480C" w:rsidRPr="00204937">
        <w:rPr>
          <w:rFonts w:asciiTheme="minorHAnsi" w:hAnsiTheme="minorHAnsi" w:cstheme="minorHAnsi"/>
          <w:sz w:val="22"/>
        </w:rPr>
        <w:t xml:space="preserve"> procedures are neutral in application and administered in a fair and equitable manner. </w:t>
      </w:r>
      <w:r w:rsidR="00E0711D" w:rsidRPr="00204937">
        <w:rPr>
          <w:rFonts w:asciiTheme="minorHAnsi" w:hAnsiTheme="minorHAnsi" w:cstheme="minorHAnsi"/>
          <w:sz w:val="22"/>
        </w:rPr>
        <w:t xml:space="preserve">TPP Parties </w:t>
      </w:r>
      <w:r w:rsidR="00615F99" w:rsidRPr="007A3576">
        <w:rPr>
          <w:rFonts w:asciiTheme="minorHAnsi" w:hAnsiTheme="minorHAnsi" w:cstheme="minorHAnsi"/>
          <w:sz w:val="22"/>
        </w:rPr>
        <w:t xml:space="preserve">will be required to notify </w:t>
      </w:r>
      <w:r w:rsidR="00AF6B73" w:rsidRPr="007A3576">
        <w:rPr>
          <w:rFonts w:asciiTheme="minorHAnsi" w:hAnsiTheme="minorHAnsi" w:cstheme="minorHAnsi"/>
          <w:sz w:val="22"/>
        </w:rPr>
        <w:t xml:space="preserve">other TPP Parties </w:t>
      </w:r>
      <w:r w:rsidR="0014480C" w:rsidRPr="00204937">
        <w:rPr>
          <w:rFonts w:asciiTheme="minorHAnsi" w:hAnsiTheme="minorHAnsi" w:cstheme="minorHAnsi"/>
          <w:sz w:val="22"/>
        </w:rPr>
        <w:t xml:space="preserve">of changes to </w:t>
      </w:r>
      <w:proofErr w:type="spellStart"/>
      <w:r w:rsidR="0014480C" w:rsidRPr="00204937">
        <w:rPr>
          <w:rFonts w:asciiTheme="minorHAnsi" w:hAnsiTheme="minorHAnsi" w:cstheme="minorHAnsi"/>
          <w:sz w:val="22"/>
        </w:rPr>
        <w:t>licencing</w:t>
      </w:r>
      <w:proofErr w:type="spellEnd"/>
      <w:r w:rsidR="0014480C" w:rsidRPr="00204937">
        <w:rPr>
          <w:rFonts w:asciiTheme="minorHAnsi" w:hAnsiTheme="minorHAnsi" w:cstheme="minorHAnsi"/>
          <w:sz w:val="22"/>
        </w:rPr>
        <w:t xml:space="preserve"> requirements before they take effect</w:t>
      </w:r>
      <w:r w:rsidR="00AF6B73" w:rsidRPr="007A3576">
        <w:rPr>
          <w:rFonts w:asciiTheme="minorHAnsi" w:hAnsiTheme="minorHAnsi" w:cstheme="minorHAnsi"/>
          <w:sz w:val="22"/>
        </w:rPr>
        <w:t>, which</w:t>
      </w:r>
      <w:r w:rsidR="0014480C" w:rsidRPr="00204937">
        <w:rPr>
          <w:rFonts w:asciiTheme="minorHAnsi" w:hAnsiTheme="minorHAnsi" w:cstheme="minorHAnsi"/>
          <w:sz w:val="22"/>
        </w:rPr>
        <w:t xml:space="preserve"> w</w:t>
      </w:r>
      <w:r w:rsidRPr="00204937">
        <w:rPr>
          <w:rFonts w:asciiTheme="minorHAnsi" w:hAnsiTheme="minorHAnsi" w:cstheme="minorHAnsi"/>
          <w:sz w:val="22"/>
        </w:rPr>
        <w:t>ill</w:t>
      </w:r>
      <w:r w:rsidR="0014480C" w:rsidRPr="00204937">
        <w:rPr>
          <w:rFonts w:asciiTheme="minorHAnsi" w:hAnsiTheme="minorHAnsi" w:cstheme="minorHAnsi"/>
          <w:sz w:val="22"/>
        </w:rPr>
        <w:t xml:space="preserve"> reduce the chance of products being held up unnecessarily when crossing borders. </w:t>
      </w:r>
    </w:p>
    <w:p w:rsidR="0014480C" w:rsidRPr="00204937" w:rsidRDefault="00AF6B73" w:rsidP="00204937">
      <w:pPr>
        <w:pStyle w:val="ListParagraph"/>
        <w:numPr>
          <w:ilvl w:val="0"/>
          <w:numId w:val="10"/>
        </w:numPr>
        <w:spacing w:after="200" w:line="276" w:lineRule="auto"/>
        <w:ind w:left="714" w:hanging="357"/>
        <w:contextualSpacing w:val="0"/>
        <w:jc w:val="both"/>
        <w:rPr>
          <w:rFonts w:asciiTheme="minorHAnsi" w:hAnsiTheme="minorHAnsi" w:cstheme="minorHAnsi"/>
          <w:sz w:val="22"/>
        </w:rPr>
      </w:pPr>
      <w:r w:rsidRPr="007A3576">
        <w:rPr>
          <w:rFonts w:asciiTheme="minorHAnsi" w:hAnsiTheme="minorHAnsi" w:cstheme="minorHAnsi"/>
          <w:sz w:val="22"/>
        </w:rPr>
        <w:t xml:space="preserve">The Chapter requires </w:t>
      </w:r>
      <w:r w:rsidR="00E0711D" w:rsidRPr="00204937">
        <w:rPr>
          <w:rFonts w:asciiTheme="minorHAnsi" w:hAnsiTheme="minorHAnsi" w:cstheme="minorHAnsi"/>
          <w:sz w:val="22"/>
        </w:rPr>
        <w:t xml:space="preserve">TPP </w:t>
      </w:r>
      <w:r w:rsidR="0014480C" w:rsidRPr="00204937">
        <w:rPr>
          <w:rFonts w:asciiTheme="minorHAnsi" w:hAnsiTheme="minorHAnsi" w:cstheme="minorHAnsi"/>
          <w:sz w:val="22"/>
        </w:rPr>
        <w:t xml:space="preserve">Parties that maintain </w:t>
      </w:r>
      <w:r w:rsidR="0014480C" w:rsidRPr="00204937">
        <w:rPr>
          <w:rFonts w:asciiTheme="minorHAnsi" w:hAnsiTheme="minorHAnsi" w:cstheme="minorHAnsi"/>
          <w:b/>
          <w:sz w:val="22"/>
        </w:rPr>
        <w:t>export licensing procedures</w:t>
      </w:r>
      <w:r w:rsidR="0014480C" w:rsidRPr="00204937">
        <w:rPr>
          <w:rFonts w:asciiTheme="minorHAnsi" w:hAnsiTheme="minorHAnsi" w:cstheme="minorHAnsi"/>
          <w:sz w:val="22"/>
        </w:rPr>
        <w:t xml:space="preserve"> to notify others of </w:t>
      </w:r>
      <w:r w:rsidR="00C76C72" w:rsidRPr="00204937">
        <w:rPr>
          <w:rFonts w:asciiTheme="minorHAnsi" w:hAnsiTheme="minorHAnsi" w:cstheme="minorHAnsi"/>
          <w:sz w:val="22"/>
        </w:rPr>
        <w:t xml:space="preserve">their </w:t>
      </w:r>
      <w:r w:rsidR="0014480C" w:rsidRPr="00204937">
        <w:rPr>
          <w:rFonts w:asciiTheme="minorHAnsi" w:hAnsiTheme="minorHAnsi" w:cstheme="minorHAnsi"/>
          <w:sz w:val="22"/>
        </w:rPr>
        <w:t>procedures</w:t>
      </w:r>
      <w:r w:rsidR="00E871B7" w:rsidRPr="00204937">
        <w:rPr>
          <w:rFonts w:asciiTheme="minorHAnsi" w:hAnsiTheme="minorHAnsi" w:cstheme="minorHAnsi"/>
          <w:sz w:val="22"/>
        </w:rPr>
        <w:t>.</w:t>
      </w:r>
      <w:r w:rsidR="0014480C" w:rsidRPr="00204937">
        <w:rPr>
          <w:rFonts w:asciiTheme="minorHAnsi" w:hAnsiTheme="minorHAnsi" w:cstheme="minorHAnsi"/>
          <w:sz w:val="22"/>
        </w:rPr>
        <w:t xml:space="preserve">  </w:t>
      </w:r>
    </w:p>
    <w:p w:rsidR="00E871B7" w:rsidRPr="00204937" w:rsidRDefault="0014480C" w:rsidP="00204937">
      <w:pPr>
        <w:pStyle w:val="ListParagraph"/>
        <w:numPr>
          <w:ilvl w:val="0"/>
          <w:numId w:val="10"/>
        </w:numPr>
        <w:spacing w:after="200" w:line="276" w:lineRule="auto"/>
        <w:ind w:left="714" w:hanging="357"/>
        <w:contextualSpacing w:val="0"/>
        <w:jc w:val="both"/>
        <w:rPr>
          <w:rFonts w:asciiTheme="minorHAnsi" w:hAnsiTheme="minorHAnsi" w:cstheme="minorHAnsi"/>
          <w:sz w:val="22"/>
        </w:rPr>
      </w:pPr>
      <w:r w:rsidRPr="00204937">
        <w:rPr>
          <w:rFonts w:asciiTheme="minorHAnsi" w:hAnsiTheme="minorHAnsi" w:cstheme="minorHAnsi"/>
          <w:sz w:val="22"/>
        </w:rPr>
        <w:t xml:space="preserve">The </w:t>
      </w:r>
      <w:r w:rsidR="00C74DD7" w:rsidRPr="00204937">
        <w:rPr>
          <w:rFonts w:asciiTheme="minorHAnsi" w:hAnsiTheme="minorHAnsi" w:cstheme="minorHAnsi"/>
          <w:sz w:val="22"/>
        </w:rPr>
        <w:t xml:space="preserve">Chapter </w:t>
      </w:r>
      <w:r w:rsidR="003659D3" w:rsidRPr="00204937">
        <w:rPr>
          <w:rFonts w:asciiTheme="minorHAnsi" w:hAnsiTheme="minorHAnsi" w:cstheme="minorHAnsi"/>
          <w:sz w:val="22"/>
        </w:rPr>
        <w:t xml:space="preserve">requires </w:t>
      </w:r>
      <w:r w:rsidRPr="00204937">
        <w:rPr>
          <w:rFonts w:asciiTheme="minorHAnsi" w:hAnsiTheme="minorHAnsi" w:cstheme="minorHAnsi"/>
          <w:sz w:val="22"/>
        </w:rPr>
        <w:t xml:space="preserve">any </w:t>
      </w:r>
      <w:r w:rsidRPr="00204937">
        <w:rPr>
          <w:rFonts w:asciiTheme="minorHAnsi" w:hAnsiTheme="minorHAnsi" w:cstheme="minorHAnsi"/>
          <w:b/>
          <w:sz w:val="22"/>
        </w:rPr>
        <w:t>administrative fees and formalities</w:t>
      </w:r>
      <w:r w:rsidRPr="00204937">
        <w:rPr>
          <w:rFonts w:asciiTheme="minorHAnsi" w:hAnsiTheme="minorHAnsi" w:cstheme="minorHAnsi"/>
          <w:sz w:val="22"/>
        </w:rPr>
        <w:t xml:space="preserve"> </w:t>
      </w:r>
      <w:r w:rsidR="008A5F2F" w:rsidRPr="00204937">
        <w:rPr>
          <w:rFonts w:asciiTheme="minorHAnsi" w:hAnsiTheme="minorHAnsi" w:cstheme="minorHAnsi"/>
          <w:sz w:val="22"/>
        </w:rPr>
        <w:t xml:space="preserve">imposed on imports by Customs or other Government agencies must </w:t>
      </w:r>
      <w:r w:rsidRPr="00204937">
        <w:rPr>
          <w:rFonts w:asciiTheme="minorHAnsi" w:hAnsiTheme="minorHAnsi" w:cstheme="minorHAnsi"/>
          <w:sz w:val="22"/>
        </w:rPr>
        <w:t xml:space="preserve">be limited to the </w:t>
      </w:r>
      <w:r w:rsidR="008A5F2F" w:rsidRPr="00204937">
        <w:rPr>
          <w:rFonts w:asciiTheme="minorHAnsi" w:hAnsiTheme="minorHAnsi" w:cstheme="minorHAnsi"/>
          <w:sz w:val="22"/>
        </w:rPr>
        <w:t xml:space="preserve">actual </w:t>
      </w:r>
      <w:r w:rsidRPr="00204937">
        <w:rPr>
          <w:rFonts w:asciiTheme="minorHAnsi" w:hAnsiTheme="minorHAnsi" w:cstheme="minorHAnsi"/>
          <w:sz w:val="22"/>
        </w:rPr>
        <w:t>cost of the service</w:t>
      </w:r>
      <w:r w:rsidR="008A5F2F" w:rsidRPr="00204937">
        <w:rPr>
          <w:rFonts w:asciiTheme="minorHAnsi" w:hAnsiTheme="minorHAnsi" w:cstheme="minorHAnsi"/>
          <w:sz w:val="22"/>
        </w:rPr>
        <w:t xml:space="preserve"> rendered</w:t>
      </w:r>
      <w:r w:rsidR="00E871B7" w:rsidRPr="00204937">
        <w:rPr>
          <w:rFonts w:asciiTheme="minorHAnsi" w:hAnsiTheme="minorHAnsi" w:cstheme="minorHAnsi"/>
          <w:sz w:val="22"/>
        </w:rPr>
        <w:t xml:space="preserve"> by the agency</w:t>
      </w:r>
      <w:r w:rsidRPr="00204937">
        <w:rPr>
          <w:rFonts w:asciiTheme="minorHAnsi" w:hAnsiTheme="minorHAnsi" w:cstheme="minorHAnsi"/>
          <w:sz w:val="22"/>
        </w:rPr>
        <w:t xml:space="preserve">. This </w:t>
      </w:r>
      <w:r w:rsidR="00AF6B73" w:rsidRPr="007A3576">
        <w:rPr>
          <w:rFonts w:asciiTheme="minorHAnsi" w:hAnsiTheme="minorHAnsi" w:cstheme="minorHAnsi"/>
          <w:sz w:val="22"/>
        </w:rPr>
        <w:t xml:space="preserve">will </w:t>
      </w:r>
      <w:r w:rsidRPr="00204937">
        <w:rPr>
          <w:rFonts w:asciiTheme="minorHAnsi" w:hAnsiTheme="minorHAnsi" w:cstheme="minorHAnsi"/>
          <w:sz w:val="22"/>
        </w:rPr>
        <w:t xml:space="preserve">prevent governments imposing additional arbitrary costs on exporters. </w:t>
      </w:r>
    </w:p>
    <w:p w:rsidR="0014480C" w:rsidRPr="00204937" w:rsidRDefault="0014480C" w:rsidP="00204937">
      <w:pPr>
        <w:pStyle w:val="ListParagraph"/>
        <w:numPr>
          <w:ilvl w:val="0"/>
          <w:numId w:val="10"/>
        </w:numPr>
        <w:spacing w:after="200" w:line="276" w:lineRule="auto"/>
        <w:ind w:left="714" w:hanging="357"/>
        <w:contextualSpacing w:val="0"/>
        <w:jc w:val="both"/>
        <w:rPr>
          <w:rFonts w:asciiTheme="minorHAnsi" w:hAnsiTheme="minorHAnsi" w:cstheme="minorHAnsi"/>
          <w:sz w:val="22"/>
        </w:rPr>
      </w:pPr>
      <w:r w:rsidRPr="00204937">
        <w:rPr>
          <w:rFonts w:asciiTheme="minorHAnsi" w:hAnsiTheme="minorHAnsi" w:cstheme="minorHAnsi"/>
          <w:sz w:val="22"/>
        </w:rPr>
        <w:t xml:space="preserve">TPP </w:t>
      </w:r>
      <w:r w:rsidR="00E0711D" w:rsidRPr="00204937">
        <w:rPr>
          <w:rFonts w:asciiTheme="minorHAnsi" w:hAnsiTheme="minorHAnsi" w:cstheme="minorHAnsi"/>
          <w:sz w:val="22"/>
        </w:rPr>
        <w:t xml:space="preserve">Parties </w:t>
      </w:r>
      <w:r w:rsidRPr="00204937">
        <w:rPr>
          <w:rFonts w:asciiTheme="minorHAnsi" w:hAnsiTheme="minorHAnsi" w:cstheme="minorHAnsi"/>
          <w:sz w:val="22"/>
        </w:rPr>
        <w:t xml:space="preserve">have agreed that </w:t>
      </w:r>
      <w:r w:rsidRPr="00204937">
        <w:rPr>
          <w:rFonts w:asciiTheme="minorHAnsi" w:hAnsiTheme="minorHAnsi" w:cstheme="minorHAnsi"/>
          <w:b/>
          <w:sz w:val="22"/>
        </w:rPr>
        <w:t>export duties and taxes</w:t>
      </w:r>
      <w:r w:rsidRPr="00204937">
        <w:rPr>
          <w:rFonts w:asciiTheme="minorHAnsi" w:hAnsiTheme="minorHAnsi" w:cstheme="minorHAnsi"/>
          <w:sz w:val="22"/>
        </w:rPr>
        <w:t xml:space="preserve"> are not permitted other than </w:t>
      </w:r>
      <w:r w:rsidR="00C76C72" w:rsidRPr="00204937">
        <w:rPr>
          <w:rFonts w:asciiTheme="minorHAnsi" w:hAnsiTheme="minorHAnsi" w:cstheme="minorHAnsi"/>
          <w:sz w:val="22"/>
        </w:rPr>
        <w:t xml:space="preserve">in </w:t>
      </w:r>
      <w:r w:rsidRPr="00204937">
        <w:rPr>
          <w:rFonts w:asciiTheme="minorHAnsi" w:hAnsiTheme="minorHAnsi" w:cstheme="minorHAnsi"/>
          <w:sz w:val="22"/>
        </w:rPr>
        <w:t xml:space="preserve">limited circumstances. Export taxes increase the cost of </w:t>
      </w:r>
      <w:r w:rsidR="00C76C72" w:rsidRPr="00204937">
        <w:rPr>
          <w:rFonts w:asciiTheme="minorHAnsi" w:hAnsiTheme="minorHAnsi" w:cstheme="minorHAnsi"/>
          <w:sz w:val="22"/>
        </w:rPr>
        <w:t xml:space="preserve">a </w:t>
      </w:r>
      <w:r w:rsidRPr="00204937">
        <w:rPr>
          <w:rFonts w:asciiTheme="minorHAnsi" w:hAnsiTheme="minorHAnsi" w:cstheme="minorHAnsi"/>
          <w:sz w:val="22"/>
        </w:rPr>
        <w:t xml:space="preserve">product on the international market, effectively restricting exports and lowering the cost of input to further domestic production or consumption. This disadvantages foreign exporters of the same product that might otherwise compete to sell into that market and can distort world prices for different goods. </w:t>
      </w:r>
    </w:p>
    <w:p w:rsidR="00931EDE" w:rsidRPr="00204937" w:rsidRDefault="00931EDE" w:rsidP="00204937">
      <w:pPr>
        <w:pStyle w:val="Heading3"/>
      </w:pPr>
      <w:r w:rsidRPr="00204937">
        <w:t>Export Restrictions – Food Security</w:t>
      </w:r>
    </w:p>
    <w:p w:rsidR="00931EDE" w:rsidRPr="007A3576" w:rsidRDefault="00931EDE"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The Chapter </w:t>
      </w:r>
      <w:proofErr w:type="spellStart"/>
      <w:r w:rsidRPr="007A3576">
        <w:rPr>
          <w:rFonts w:asciiTheme="minorHAnsi" w:hAnsiTheme="minorHAnsi" w:cstheme="minorHAnsi"/>
          <w:sz w:val="22"/>
        </w:rPr>
        <w:t>recognises</w:t>
      </w:r>
      <w:proofErr w:type="spellEnd"/>
      <w:r w:rsidRPr="007A3576">
        <w:rPr>
          <w:rFonts w:asciiTheme="minorHAnsi" w:hAnsiTheme="minorHAnsi" w:cstheme="minorHAnsi"/>
          <w:sz w:val="22"/>
        </w:rPr>
        <w:t xml:space="preserve"> the rights of TPP Parties to apply temporary </w:t>
      </w:r>
      <w:r w:rsidRPr="007A3576">
        <w:rPr>
          <w:rFonts w:asciiTheme="minorHAnsi" w:hAnsiTheme="minorHAnsi" w:cstheme="minorHAnsi"/>
          <w:b/>
          <w:sz w:val="22"/>
        </w:rPr>
        <w:t>export restrictions</w:t>
      </w:r>
      <w:r w:rsidRPr="007A3576">
        <w:rPr>
          <w:rFonts w:asciiTheme="minorHAnsi" w:hAnsiTheme="minorHAnsi" w:cstheme="minorHAnsi"/>
          <w:sz w:val="22"/>
        </w:rPr>
        <w:t xml:space="preserve"> for reasons of </w:t>
      </w:r>
      <w:r w:rsidRPr="007A3576">
        <w:rPr>
          <w:rFonts w:asciiTheme="minorHAnsi" w:hAnsiTheme="minorHAnsi" w:cstheme="minorHAnsi"/>
          <w:b/>
          <w:sz w:val="22"/>
        </w:rPr>
        <w:t>food security</w:t>
      </w:r>
      <w:r w:rsidRPr="007A3576">
        <w:rPr>
          <w:rFonts w:asciiTheme="minorHAnsi" w:hAnsiTheme="minorHAnsi" w:cstheme="minorHAnsi"/>
          <w:sz w:val="22"/>
        </w:rPr>
        <w:t xml:space="preserve"> to address critical food shortages consistent with WTO commitments. However, the Chapter places additional obligations on parties to improve the transparency of any such measures, including timelines in which they should be reviewed. </w:t>
      </w:r>
    </w:p>
    <w:p w:rsidR="0014480C" w:rsidRPr="00204937" w:rsidRDefault="0014480C" w:rsidP="00204937">
      <w:pPr>
        <w:pStyle w:val="Heading3"/>
      </w:pPr>
      <w:r w:rsidRPr="00204937">
        <w:lastRenderedPageBreak/>
        <w:t>Agricultural Export Subsidies</w:t>
      </w:r>
    </w:p>
    <w:p w:rsidR="0014480C" w:rsidRPr="007A3576" w:rsidRDefault="0014480C"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TPP </w:t>
      </w:r>
      <w:r w:rsidR="00E0711D" w:rsidRPr="007A3576">
        <w:rPr>
          <w:rFonts w:asciiTheme="minorHAnsi" w:hAnsiTheme="minorHAnsi" w:cstheme="minorHAnsi"/>
          <w:sz w:val="22"/>
        </w:rPr>
        <w:t xml:space="preserve">Parties </w:t>
      </w:r>
      <w:r w:rsidRPr="007A3576">
        <w:rPr>
          <w:rFonts w:asciiTheme="minorHAnsi" w:hAnsiTheme="minorHAnsi" w:cstheme="minorHAnsi"/>
          <w:sz w:val="22"/>
        </w:rPr>
        <w:t xml:space="preserve">have agreed not to maintain or adopt </w:t>
      </w:r>
      <w:r w:rsidRPr="00204937">
        <w:rPr>
          <w:rFonts w:asciiTheme="minorHAnsi" w:hAnsiTheme="minorHAnsi" w:cstheme="minorHAnsi"/>
          <w:b/>
          <w:sz w:val="22"/>
        </w:rPr>
        <w:t xml:space="preserve">export </w:t>
      </w:r>
      <w:r w:rsidR="00AF6B73" w:rsidRPr="00204937">
        <w:rPr>
          <w:rFonts w:asciiTheme="minorHAnsi" w:hAnsiTheme="minorHAnsi" w:cstheme="minorHAnsi"/>
          <w:b/>
          <w:sz w:val="22"/>
        </w:rPr>
        <w:t xml:space="preserve">subsidies </w:t>
      </w:r>
      <w:r w:rsidRPr="00204937">
        <w:rPr>
          <w:rFonts w:asciiTheme="minorHAnsi" w:hAnsiTheme="minorHAnsi" w:cstheme="minorHAnsi"/>
          <w:b/>
          <w:sz w:val="22"/>
        </w:rPr>
        <w:t>on agricultural good</w:t>
      </w:r>
      <w:r w:rsidR="00AF6B73" w:rsidRPr="00204937">
        <w:rPr>
          <w:rFonts w:asciiTheme="minorHAnsi" w:hAnsiTheme="minorHAnsi" w:cstheme="minorHAnsi"/>
          <w:b/>
          <w:sz w:val="22"/>
        </w:rPr>
        <w:t>s</w:t>
      </w:r>
      <w:r w:rsidRPr="007A3576">
        <w:rPr>
          <w:rFonts w:asciiTheme="minorHAnsi" w:hAnsiTheme="minorHAnsi" w:cstheme="minorHAnsi"/>
          <w:sz w:val="22"/>
        </w:rPr>
        <w:t xml:space="preserve"> destined for the market of another </w:t>
      </w:r>
      <w:r w:rsidR="00E0711D" w:rsidRPr="007A3576">
        <w:rPr>
          <w:rFonts w:asciiTheme="minorHAnsi" w:hAnsiTheme="minorHAnsi" w:cstheme="minorHAnsi"/>
          <w:sz w:val="22"/>
        </w:rPr>
        <w:t>TPP Party</w:t>
      </w:r>
      <w:r w:rsidRPr="007A3576">
        <w:rPr>
          <w:rFonts w:asciiTheme="minorHAnsi" w:hAnsiTheme="minorHAnsi" w:cstheme="minorHAnsi"/>
          <w:sz w:val="22"/>
        </w:rPr>
        <w:t>.</w:t>
      </w:r>
      <w:r w:rsidR="00CD5C9B" w:rsidRPr="007A3576">
        <w:rPr>
          <w:rFonts w:asciiTheme="minorHAnsi" w:hAnsiTheme="minorHAnsi" w:cstheme="minorHAnsi"/>
          <w:sz w:val="22"/>
        </w:rPr>
        <w:t xml:space="preserve"> Also, </w:t>
      </w:r>
      <w:r w:rsidR="00E0711D" w:rsidRPr="007A3576">
        <w:rPr>
          <w:rFonts w:asciiTheme="minorHAnsi" w:hAnsiTheme="minorHAnsi" w:cstheme="minorHAnsi"/>
          <w:sz w:val="22"/>
        </w:rPr>
        <w:t xml:space="preserve">TPP </w:t>
      </w:r>
      <w:r w:rsidR="00CD5C9B" w:rsidRPr="007A3576">
        <w:rPr>
          <w:rFonts w:asciiTheme="minorHAnsi" w:hAnsiTheme="minorHAnsi" w:cstheme="minorHAnsi"/>
          <w:sz w:val="22"/>
        </w:rPr>
        <w:t xml:space="preserve">Parties have for the first time agreed to work together in the WTO to develop disciplines on </w:t>
      </w:r>
      <w:r w:rsidR="00CD5C9B" w:rsidRPr="00204937">
        <w:rPr>
          <w:rFonts w:asciiTheme="minorHAnsi" w:hAnsiTheme="minorHAnsi" w:cstheme="minorHAnsi"/>
          <w:b/>
          <w:sz w:val="22"/>
        </w:rPr>
        <w:t>export credits, guarantees and insurance programs</w:t>
      </w:r>
      <w:r w:rsidR="00CD5C9B" w:rsidRPr="007A3576">
        <w:rPr>
          <w:rFonts w:asciiTheme="minorHAnsi" w:hAnsiTheme="minorHAnsi" w:cstheme="minorHAnsi"/>
          <w:sz w:val="22"/>
        </w:rPr>
        <w:t xml:space="preserve">. </w:t>
      </w:r>
    </w:p>
    <w:p w:rsidR="0014480C" w:rsidRPr="00204937" w:rsidRDefault="0014480C" w:rsidP="00204937">
      <w:pPr>
        <w:pStyle w:val="Heading3"/>
      </w:pPr>
      <w:r w:rsidRPr="00204937">
        <w:t>Agricultural Export State Trading Enterprises</w:t>
      </w:r>
    </w:p>
    <w:p w:rsidR="0014480C" w:rsidRPr="007A3576" w:rsidRDefault="00E0711D"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TPP Parties </w:t>
      </w:r>
      <w:r w:rsidR="00E871B7" w:rsidRPr="007A3576">
        <w:rPr>
          <w:rFonts w:asciiTheme="minorHAnsi" w:hAnsiTheme="minorHAnsi" w:cstheme="minorHAnsi"/>
          <w:sz w:val="22"/>
        </w:rPr>
        <w:t xml:space="preserve">commit </w:t>
      </w:r>
      <w:r w:rsidR="0014480C" w:rsidRPr="007A3576">
        <w:rPr>
          <w:rFonts w:asciiTheme="minorHAnsi" w:hAnsiTheme="minorHAnsi" w:cstheme="minorHAnsi"/>
          <w:sz w:val="22"/>
        </w:rPr>
        <w:t>to</w:t>
      </w:r>
      <w:r w:rsidR="0014480C" w:rsidRPr="007A3576">
        <w:rPr>
          <w:rFonts w:asciiTheme="minorHAnsi" w:hAnsiTheme="minorHAnsi" w:cstheme="minorHAnsi"/>
          <w:b/>
          <w:sz w:val="22"/>
        </w:rPr>
        <w:t xml:space="preserve"> </w:t>
      </w:r>
      <w:r w:rsidR="0014480C" w:rsidRPr="007A3576">
        <w:rPr>
          <w:rFonts w:asciiTheme="minorHAnsi" w:hAnsiTheme="minorHAnsi" w:cstheme="minorHAnsi"/>
          <w:sz w:val="22"/>
        </w:rPr>
        <w:t>work together toward an agreement in the WTO</w:t>
      </w:r>
      <w:r w:rsidR="0014480C" w:rsidRPr="007A3576">
        <w:rPr>
          <w:rFonts w:asciiTheme="minorHAnsi" w:hAnsiTheme="minorHAnsi" w:cstheme="minorHAnsi"/>
          <w:b/>
          <w:sz w:val="22"/>
        </w:rPr>
        <w:t xml:space="preserve"> </w:t>
      </w:r>
      <w:r w:rsidR="0014480C" w:rsidRPr="007A3576">
        <w:rPr>
          <w:rFonts w:asciiTheme="minorHAnsi" w:hAnsiTheme="minorHAnsi" w:cstheme="minorHAnsi"/>
          <w:sz w:val="22"/>
        </w:rPr>
        <w:t>on</w:t>
      </w:r>
      <w:r w:rsidR="0014480C" w:rsidRPr="007A3576">
        <w:rPr>
          <w:rFonts w:asciiTheme="minorHAnsi" w:hAnsiTheme="minorHAnsi" w:cstheme="minorHAnsi"/>
          <w:b/>
          <w:sz w:val="22"/>
        </w:rPr>
        <w:t xml:space="preserve"> </w:t>
      </w:r>
      <w:r w:rsidR="0014480C" w:rsidRPr="007A3576">
        <w:rPr>
          <w:rFonts w:asciiTheme="minorHAnsi" w:hAnsiTheme="minorHAnsi" w:cstheme="minorHAnsi"/>
          <w:sz w:val="22"/>
        </w:rPr>
        <w:t xml:space="preserve">curbing the trade distorting </w:t>
      </w:r>
      <w:proofErr w:type="spellStart"/>
      <w:r w:rsidR="0014480C" w:rsidRPr="007A3576">
        <w:rPr>
          <w:rFonts w:asciiTheme="minorHAnsi" w:hAnsiTheme="minorHAnsi" w:cstheme="minorHAnsi"/>
          <w:sz w:val="22"/>
        </w:rPr>
        <w:t>behaviour</w:t>
      </w:r>
      <w:proofErr w:type="spellEnd"/>
      <w:r w:rsidR="0014480C" w:rsidRPr="007A3576">
        <w:rPr>
          <w:rFonts w:asciiTheme="minorHAnsi" w:hAnsiTheme="minorHAnsi" w:cstheme="minorHAnsi"/>
          <w:sz w:val="22"/>
        </w:rPr>
        <w:t xml:space="preserve"> of</w:t>
      </w:r>
      <w:r w:rsidR="0014480C" w:rsidRPr="007A3576">
        <w:rPr>
          <w:rFonts w:asciiTheme="minorHAnsi" w:hAnsiTheme="minorHAnsi" w:cstheme="minorHAnsi"/>
          <w:b/>
          <w:sz w:val="22"/>
        </w:rPr>
        <w:t xml:space="preserve"> agricultural export state trading enterprises (STEs), </w:t>
      </w:r>
      <w:r w:rsidR="0014480C" w:rsidRPr="007A3576">
        <w:rPr>
          <w:rFonts w:asciiTheme="minorHAnsi" w:hAnsiTheme="minorHAnsi" w:cstheme="minorHAnsi"/>
          <w:sz w:val="22"/>
        </w:rPr>
        <w:t>eliminating any special financing by a WTO member, and requiring greater transparency in the operations of STEs.</w:t>
      </w:r>
    </w:p>
    <w:p w:rsidR="0014480C" w:rsidRPr="00204937" w:rsidRDefault="0014480C" w:rsidP="00204937">
      <w:pPr>
        <w:pStyle w:val="Heading3"/>
      </w:pPr>
      <w:r w:rsidRPr="00204937">
        <w:t xml:space="preserve">Tariff rate quota administration </w:t>
      </w:r>
    </w:p>
    <w:p w:rsidR="0014480C" w:rsidRPr="007A3576" w:rsidRDefault="00E871B7"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For the first time in a multilateral agreement, TPP Parties have agreed to a common set of principles guiding the management of tariff rate quotas (TRQs) in the TPP. </w:t>
      </w:r>
      <w:r w:rsidR="0014480C" w:rsidRPr="007A3576">
        <w:rPr>
          <w:rFonts w:asciiTheme="minorHAnsi" w:hAnsiTheme="minorHAnsi" w:cstheme="minorHAnsi"/>
          <w:sz w:val="22"/>
        </w:rPr>
        <w:t xml:space="preserve">A number of TPP </w:t>
      </w:r>
      <w:r w:rsidR="00E0711D" w:rsidRPr="007A3576">
        <w:rPr>
          <w:rFonts w:asciiTheme="minorHAnsi" w:hAnsiTheme="minorHAnsi" w:cstheme="minorHAnsi"/>
          <w:sz w:val="22"/>
        </w:rPr>
        <w:t xml:space="preserve">Parties </w:t>
      </w:r>
      <w:r w:rsidR="0014480C" w:rsidRPr="007A3576">
        <w:rPr>
          <w:rFonts w:asciiTheme="minorHAnsi" w:hAnsiTheme="minorHAnsi" w:cstheme="minorHAnsi"/>
          <w:sz w:val="22"/>
        </w:rPr>
        <w:t>manage access to their agricultural markets through</w:t>
      </w:r>
      <w:r w:rsidRPr="007A3576">
        <w:rPr>
          <w:rFonts w:asciiTheme="minorHAnsi" w:hAnsiTheme="minorHAnsi" w:cstheme="minorHAnsi"/>
          <w:sz w:val="22"/>
        </w:rPr>
        <w:t xml:space="preserve"> TRQs</w:t>
      </w:r>
      <w:r w:rsidR="0014480C" w:rsidRPr="007A3576">
        <w:rPr>
          <w:rFonts w:asciiTheme="minorHAnsi" w:hAnsiTheme="minorHAnsi" w:cstheme="minorHAnsi"/>
          <w:sz w:val="22"/>
        </w:rPr>
        <w:t xml:space="preserve">. </w:t>
      </w:r>
      <w:r w:rsidR="00615F99" w:rsidRPr="007A3576">
        <w:rPr>
          <w:rFonts w:asciiTheme="minorHAnsi" w:hAnsiTheme="minorHAnsi" w:cstheme="minorHAnsi"/>
          <w:sz w:val="22"/>
        </w:rPr>
        <w:t>T</w:t>
      </w:r>
      <w:r w:rsidRPr="007A3576">
        <w:rPr>
          <w:rFonts w:asciiTheme="minorHAnsi" w:hAnsiTheme="minorHAnsi" w:cstheme="minorHAnsi"/>
          <w:sz w:val="22"/>
        </w:rPr>
        <w:t>he</w:t>
      </w:r>
      <w:r w:rsidR="0014480C" w:rsidRPr="007A3576">
        <w:rPr>
          <w:rFonts w:asciiTheme="minorHAnsi" w:hAnsiTheme="minorHAnsi" w:cstheme="minorHAnsi"/>
          <w:sz w:val="22"/>
        </w:rPr>
        <w:t>se principles</w:t>
      </w:r>
      <w:r w:rsidRPr="007A3576">
        <w:rPr>
          <w:rFonts w:asciiTheme="minorHAnsi" w:hAnsiTheme="minorHAnsi" w:cstheme="minorHAnsi"/>
          <w:sz w:val="22"/>
        </w:rPr>
        <w:t xml:space="preserve"> in the TPP will</w:t>
      </w:r>
      <w:r w:rsidR="0014480C" w:rsidRPr="007A3576">
        <w:rPr>
          <w:rFonts w:asciiTheme="minorHAnsi" w:hAnsiTheme="minorHAnsi" w:cstheme="minorHAnsi"/>
          <w:sz w:val="22"/>
        </w:rPr>
        <w:t xml:space="preserve"> </w:t>
      </w:r>
      <w:proofErr w:type="spellStart"/>
      <w:r w:rsidR="0014480C" w:rsidRPr="007A3576">
        <w:rPr>
          <w:rFonts w:asciiTheme="minorHAnsi" w:hAnsiTheme="minorHAnsi" w:cstheme="minorHAnsi"/>
          <w:sz w:val="22"/>
        </w:rPr>
        <w:t>maximise</w:t>
      </w:r>
      <w:proofErr w:type="spellEnd"/>
      <w:r w:rsidR="0014480C" w:rsidRPr="007A3576">
        <w:rPr>
          <w:rFonts w:asciiTheme="minorHAnsi" w:hAnsiTheme="minorHAnsi" w:cstheme="minorHAnsi"/>
          <w:sz w:val="22"/>
        </w:rPr>
        <w:t xml:space="preserve"> the opportunities for Australian </w:t>
      </w:r>
      <w:r w:rsidR="008A5F2F" w:rsidRPr="007A3576">
        <w:rPr>
          <w:rFonts w:asciiTheme="minorHAnsi" w:hAnsiTheme="minorHAnsi" w:cstheme="minorHAnsi"/>
          <w:sz w:val="22"/>
        </w:rPr>
        <w:t>exporters</w:t>
      </w:r>
      <w:r w:rsidR="0014480C" w:rsidRPr="007A3576">
        <w:rPr>
          <w:rFonts w:asciiTheme="minorHAnsi" w:hAnsiTheme="minorHAnsi" w:cstheme="minorHAnsi"/>
          <w:sz w:val="22"/>
        </w:rPr>
        <w:t xml:space="preserve"> to take full advantage of the market access openings presented by TRQs in the TPP. </w:t>
      </w:r>
      <w:r w:rsidR="00615F99" w:rsidRPr="007A3576">
        <w:rPr>
          <w:rFonts w:asciiTheme="minorHAnsi" w:hAnsiTheme="minorHAnsi" w:cstheme="minorHAnsi"/>
          <w:sz w:val="22"/>
        </w:rPr>
        <w:t xml:space="preserve">The </w:t>
      </w:r>
      <w:r w:rsidR="003E2E25">
        <w:rPr>
          <w:rFonts w:asciiTheme="minorHAnsi" w:hAnsiTheme="minorHAnsi" w:cstheme="minorHAnsi"/>
          <w:sz w:val="22"/>
        </w:rPr>
        <w:t>T</w:t>
      </w:r>
      <w:r w:rsidR="00615F99" w:rsidRPr="007A3576">
        <w:rPr>
          <w:rFonts w:asciiTheme="minorHAnsi" w:hAnsiTheme="minorHAnsi" w:cstheme="minorHAnsi"/>
          <w:sz w:val="22"/>
        </w:rPr>
        <w:t xml:space="preserve">PP principles on TRQs will </w:t>
      </w:r>
      <w:r w:rsidR="0014480C" w:rsidRPr="007A3576">
        <w:rPr>
          <w:rFonts w:asciiTheme="minorHAnsi" w:hAnsiTheme="minorHAnsi" w:cstheme="minorHAnsi"/>
          <w:sz w:val="22"/>
        </w:rPr>
        <w:t xml:space="preserve">ensure a level playing field for all TPP </w:t>
      </w:r>
      <w:r w:rsidR="00E0711D" w:rsidRPr="007A3576">
        <w:rPr>
          <w:rFonts w:asciiTheme="minorHAnsi" w:hAnsiTheme="minorHAnsi" w:cstheme="minorHAnsi"/>
          <w:sz w:val="22"/>
        </w:rPr>
        <w:t>Parties</w:t>
      </w:r>
      <w:r w:rsidR="0014480C" w:rsidRPr="007A3576">
        <w:rPr>
          <w:rFonts w:asciiTheme="minorHAnsi" w:hAnsiTheme="minorHAnsi" w:cstheme="minorHAnsi"/>
          <w:sz w:val="22"/>
        </w:rPr>
        <w:t xml:space="preserve"> and provide transparency in quota administration. </w:t>
      </w:r>
    </w:p>
    <w:p w:rsidR="00615F99" w:rsidRPr="00204937" w:rsidRDefault="0014480C" w:rsidP="00204937">
      <w:pPr>
        <w:pStyle w:val="ListParagraph"/>
        <w:numPr>
          <w:ilvl w:val="0"/>
          <w:numId w:val="12"/>
        </w:numPr>
        <w:spacing w:after="200" w:line="276" w:lineRule="auto"/>
        <w:ind w:left="714" w:hanging="357"/>
        <w:contextualSpacing w:val="0"/>
        <w:jc w:val="both"/>
        <w:rPr>
          <w:rFonts w:asciiTheme="minorHAnsi" w:hAnsiTheme="minorHAnsi" w:cstheme="minorHAnsi"/>
          <w:sz w:val="22"/>
        </w:rPr>
      </w:pPr>
      <w:r w:rsidRPr="00204937">
        <w:rPr>
          <w:rFonts w:asciiTheme="minorHAnsi" w:hAnsiTheme="minorHAnsi" w:cstheme="minorHAnsi"/>
          <w:sz w:val="22"/>
        </w:rPr>
        <w:t xml:space="preserve">The </w:t>
      </w:r>
      <w:r w:rsidR="00C74DD7" w:rsidRPr="00204937">
        <w:rPr>
          <w:rFonts w:asciiTheme="minorHAnsi" w:hAnsiTheme="minorHAnsi" w:cstheme="minorHAnsi"/>
          <w:sz w:val="22"/>
        </w:rPr>
        <w:t xml:space="preserve">Chapter </w:t>
      </w:r>
      <w:r w:rsidRPr="00204937">
        <w:rPr>
          <w:rFonts w:asciiTheme="minorHAnsi" w:hAnsiTheme="minorHAnsi" w:cstheme="minorHAnsi"/>
          <w:sz w:val="22"/>
        </w:rPr>
        <w:t xml:space="preserve">promotes fairness and equity, information </w:t>
      </w:r>
      <w:r w:rsidR="00FF0D56" w:rsidRPr="00204937">
        <w:rPr>
          <w:rFonts w:asciiTheme="minorHAnsi" w:hAnsiTheme="minorHAnsi" w:cstheme="minorHAnsi"/>
          <w:sz w:val="22"/>
        </w:rPr>
        <w:t>sharing, timeliness</w:t>
      </w:r>
      <w:r w:rsidRPr="00204937">
        <w:rPr>
          <w:rFonts w:asciiTheme="minorHAnsi" w:hAnsiTheme="minorHAnsi" w:cstheme="minorHAnsi"/>
          <w:sz w:val="22"/>
        </w:rPr>
        <w:t xml:space="preserve">, and efficiency in quota management. </w:t>
      </w:r>
    </w:p>
    <w:p w:rsidR="00615F99" w:rsidRPr="007A3576" w:rsidRDefault="0014480C" w:rsidP="00204937">
      <w:pPr>
        <w:pStyle w:val="ListParagraph"/>
        <w:numPr>
          <w:ilvl w:val="0"/>
          <w:numId w:val="11"/>
        </w:numPr>
        <w:spacing w:after="200" w:line="276" w:lineRule="auto"/>
        <w:ind w:left="714" w:hanging="357"/>
        <w:contextualSpacing w:val="0"/>
        <w:jc w:val="both"/>
        <w:rPr>
          <w:rFonts w:asciiTheme="minorHAnsi" w:hAnsiTheme="minorHAnsi" w:cstheme="minorHAnsi"/>
          <w:sz w:val="22"/>
        </w:rPr>
      </w:pPr>
      <w:r w:rsidRPr="00204937">
        <w:rPr>
          <w:rFonts w:asciiTheme="minorHAnsi" w:hAnsiTheme="minorHAnsi" w:cstheme="minorHAnsi"/>
          <w:sz w:val="22"/>
        </w:rPr>
        <w:t xml:space="preserve">Parties </w:t>
      </w:r>
      <w:r w:rsidR="00CE0F4C" w:rsidRPr="00204937">
        <w:rPr>
          <w:rFonts w:asciiTheme="minorHAnsi" w:hAnsiTheme="minorHAnsi" w:cstheme="minorHAnsi"/>
          <w:sz w:val="22"/>
        </w:rPr>
        <w:t xml:space="preserve">are </w:t>
      </w:r>
      <w:r w:rsidRPr="00204937">
        <w:rPr>
          <w:rFonts w:asciiTheme="minorHAnsi" w:hAnsiTheme="minorHAnsi" w:cstheme="minorHAnsi"/>
          <w:sz w:val="22"/>
        </w:rPr>
        <w:t>required to publish relevant information relating to quota administration, including quota sizes and eligibility, and application procedures and deadlines</w:t>
      </w:r>
      <w:r w:rsidR="00CE0F4C" w:rsidRPr="00204937">
        <w:rPr>
          <w:rFonts w:asciiTheme="minorHAnsi" w:hAnsiTheme="minorHAnsi" w:cstheme="minorHAnsi"/>
          <w:sz w:val="22"/>
        </w:rPr>
        <w:t xml:space="preserve"> in advance of the opening of the quota for applications</w:t>
      </w:r>
      <w:r w:rsidRPr="00204937">
        <w:rPr>
          <w:rFonts w:asciiTheme="minorHAnsi" w:hAnsiTheme="minorHAnsi" w:cstheme="minorHAnsi"/>
          <w:sz w:val="22"/>
        </w:rPr>
        <w:t xml:space="preserve">. </w:t>
      </w:r>
    </w:p>
    <w:p w:rsidR="00615F99" w:rsidRPr="007A3576" w:rsidRDefault="0014480C" w:rsidP="00204937">
      <w:pPr>
        <w:pStyle w:val="ListParagraph"/>
        <w:numPr>
          <w:ilvl w:val="0"/>
          <w:numId w:val="11"/>
        </w:numPr>
        <w:spacing w:after="200" w:line="276" w:lineRule="auto"/>
        <w:ind w:left="714" w:hanging="357"/>
        <w:contextualSpacing w:val="0"/>
        <w:jc w:val="both"/>
        <w:rPr>
          <w:rFonts w:asciiTheme="minorHAnsi" w:hAnsiTheme="minorHAnsi" w:cstheme="minorHAnsi"/>
          <w:sz w:val="22"/>
        </w:rPr>
      </w:pPr>
      <w:r w:rsidRPr="00204937">
        <w:rPr>
          <w:rFonts w:asciiTheme="minorHAnsi" w:hAnsiTheme="minorHAnsi" w:cstheme="minorHAnsi"/>
          <w:sz w:val="22"/>
        </w:rPr>
        <w:t xml:space="preserve">The </w:t>
      </w:r>
      <w:r w:rsidR="00C74DD7" w:rsidRPr="00204937">
        <w:rPr>
          <w:rFonts w:asciiTheme="minorHAnsi" w:hAnsiTheme="minorHAnsi" w:cstheme="minorHAnsi"/>
          <w:sz w:val="22"/>
        </w:rPr>
        <w:t xml:space="preserve">Chapter </w:t>
      </w:r>
      <w:r w:rsidRPr="00204937">
        <w:rPr>
          <w:rFonts w:asciiTheme="minorHAnsi" w:hAnsiTheme="minorHAnsi" w:cstheme="minorHAnsi"/>
          <w:sz w:val="22"/>
        </w:rPr>
        <w:t xml:space="preserve">encourages </w:t>
      </w:r>
      <w:r w:rsidR="003659D3" w:rsidRPr="00204937">
        <w:rPr>
          <w:rFonts w:asciiTheme="minorHAnsi" w:hAnsiTheme="minorHAnsi" w:cstheme="minorHAnsi"/>
          <w:sz w:val="22"/>
        </w:rPr>
        <w:t>the</w:t>
      </w:r>
      <w:r w:rsidRPr="00204937">
        <w:rPr>
          <w:rFonts w:asciiTheme="minorHAnsi" w:hAnsiTheme="minorHAnsi" w:cstheme="minorHAnsi"/>
          <w:sz w:val="22"/>
        </w:rPr>
        <w:t xml:space="preserve"> administ</w:t>
      </w:r>
      <w:r w:rsidR="003659D3" w:rsidRPr="00204937">
        <w:rPr>
          <w:rFonts w:asciiTheme="minorHAnsi" w:hAnsiTheme="minorHAnsi" w:cstheme="minorHAnsi"/>
          <w:sz w:val="22"/>
        </w:rPr>
        <w:t>ration</w:t>
      </w:r>
      <w:r w:rsidRPr="00204937">
        <w:rPr>
          <w:rFonts w:asciiTheme="minorHAnsi" w:hAnsiTheme="minorHAnsi" w:cstheme="minorHAnsi"/>
          <w:sz w:val="22"/>
        </w:rPr>
        <w:t xml:space="preserve"> </w:t>
      </w:r>
      <w:r w:rsidR="003659D3" w:rsidRPr="00204937">
        <w:rPr>
          <w:rFonts w:asciiTheme="minorHAnsi" w:hAnsiTheme="minorHAnsi" w:cstheme="minorHAnsi"/>
          <w:sz w:val="22"/>
        </w:rPr>
        <w:t xml:space="preserve">of </w:t>
      </w:r>
      <w:r w:rsidRPr="00204937">
        <w:rPr>
          <w:rFonts w:asciiTheme="minorHAnsi" w:hAnsiTheme="minorHAnsi" w:cstheme="minorHAnsi"/>
          <w:sz w:val="22"/>
        </w:rPr>
        <w:t xml:space="preserve">quotas in a manner that enables importers to </w:t>
      </w:r>
      <w:proofErr w:type="spellStart"/>
      <w:r w:rsidRPr="00204937">
        <w:rPr>
          <w:rFonts w:asciiTheme="minorHAnsi" w:hAnsiTheme="minorHAnsi" w:cstheme="minorHAnsi"/>
          <w:sz w:val="22"/>
        </w:rPr>
        <w:t>utilise</w:t>
      </w:r>
      <w:proofErr w:type="spellEnd"/>
      <w:r w:rsidRPr="00204937">
        <w:rPr>
          <w:rFonts w:asciiTheme="minorHAnsi" w:hAnsiTheme="minorHAnsi" w:cstheme="minorHAnsi"/>
          <w:sz w:val="22"/>
        </w:rPr>
        <w:t xml:space="preserve"> fully TRQ quantities, including, for example, by </w:t>
      </w:r>
      <w:r w:rsidR="001E3998" w:rsidRPr="00204937">
        <w:rPr>
          <w:rFonts w:asciiTheme="minorHAnsi" w:hAnsiTheme="minorHAnsi" w:cstheme="minorHAnsi"/>
          <w:sz w:val="22"/>
        </w:rPr>
        <w:t xml:space="preserve">providing at least </w:t>
      </w:r>
      <w:r w:rsidR="00C171C5" w:rsidRPr="00204937">
        <w:rPr>
          <w:rFonts w:asciiTheme="minorHAnsi" w:hAnsiTheme="minorHAnsi" w:cstheme="minorHAnsi"/>
          <w:sz w:val="22"/>
        </w:rPr>
        <w:t xml:space="preserve">a four week window </w:t>
      </w:r>
      <w:r w:rsidR="001E3998" w:rsidRPr="00204937">
        <w:rPr>
          <w:rFonts w:asciiTheme="minorHAnsi" w:hAnsiTheme="minorHAnsi" w:cstheme="minorHAnsi"/>
          <w:sz w:val="22"/>
        </w:rPr>
        <w:t xml:space="preserve">in which to lodge </w:t>
      </w:r>
      <w:r w:rsidRPr="00204937">
        <w:rPr>
          <w:rFonts w:asciiTheme="minorHAnsi" w:hAnsiTheme="minorHAnsi" w:cstheme="minorHAnsi"/>
          <w:sz w:val="22"/>
        </w:rPr>
        <w:t>application</w:t>
      </w:r>
      <w:r w:rsidR="001E3998" w:rsidRPr="00204937">
        <w:rPr>
          <w:rFonts w:asciiTheme="minorHAnsi" w:hAnsiTheme="minorHAnsi" w:cstheme="minorHAnsi"/>
          <w:sz w:val="22"/>
        </w:rPr>
        <w:t>s</w:t>
      </w:r>
      <w:r w:rsidRPr="00204937">
        <w:rPr>
          <w:rFonts w:asciiTheme="minorHAnsi" w:hAnsiTheme="minorHAnsi" w:cstheme="minorHAnsi"/>
          <w:sz w:val="22"/>
        </w:rPr>
        <w:t xml:space="preserve"> </w:t>
      </w:r>
      <w:r w:rsidR="00C171C5" w:rsidRPr="00204937">
        <w:rPr>
          <w:rFonts w:asciiTheme="minorHAnsi" w:hAnsiTheme="minorHAnsi" w:cstheme="minorHAnsi"/>
          <w:sz w:val="22"/>
        </w:rPr>
        <w:t xml:space="preserve">and that quotas be allocated no later than four weeks </w:t>
      </w:r>
      <w:r w:rsidRPr="00204937">
        <w:rPr>
          <w:rFonts w:asciiTheme="minorHAnsi" w:hAnsiTheme="minorHAnsi" w:cstheme="minorHAnsi"/>
          <w:sz w:val="22"/>
        </w:rPr>
        <w:t xml:space="preserve">in advance of the opening of the quota year. </w:t>
      </w:r>
    </w:p>
    <w:p w:rsidR="0014480C" w:rsidRPr="00204937" w:rsidRDefault="00CE0F4C" w:rsidP="00204937">
      <w:pPr>
        <w:pStyle w:val="ListParagraph"/>
        <w:numPr>
          <w:ilvl w:val="0"/>
          <w:numId w:val="11"/>
        </w:numPr>
        <w:spacing w:after="200" w:line="276" w:lineRule="auto"/>
        <w:ind w:left="714" w:hanging="357"/>
        <w:contextualSpacing w:val="0"/>
        <w:jc w:val="both"/>
        <w:rPr>
          <w:rFonts w:asciiTheme="minorHAnsi" w:hAnsiTheme="minorHAnsi" w:cstheme="minorHAnsi"/>
          <w:sz w:val="22"/>
        </w:rPr>
      </w:pPr>
      <w:r w:rsidRPr="00204937">
        <w:rPr>
          <w:rFonts w:asciiTheme="minorHAnsi" w:hAnsiTheme="minorHAnsi" w:cstheme="minorHAnsi"/>
          <w:sz w:val="22"/>
        </w:rPr>
        <w:t xml:space="preserve">It </w:t>
      </w:r>
      <w:r w:rsidR="00FF0D56" w:rsidRPr="00204937">
        <w:rPr>
          <w:rFonts w:asciiTheme="minorHAnsi" w:hAnsiTheme="minorHAnsi" w:cstheme="minorHAnsi"/>
          <w:sz w:val="22"/>
        </w:rPr>
        <w:t>further</w:t>
      </w:r>
      <w:r w:rsidRPr="00204937">
        <w:rPr>
          <w:rFonts w:asciiTheme="minorHAnsi" w:hAnsiTheme="minorHAnsi" w:cstheme="minorHAnsi"/>
          <w:sz w:val="22"/>
        </w:rPr>
        <w:t xml:space="preserve"> stipulates that q</w:t>
      </w:r>
      <w:r w:rsidR="0014480C" w:rsidRPr="00204937">
        <w:rPr>
          <w:rFonts w:asciiTheme="minorHAnsi" w:hAnsiTheme="minorHAnsi" w:cstheme="minorHAnsi"/>
          <w:sz w:val="22"/>
        </w:rPr>
        <w:t xml:space="preserve">uota allocations need to be made in commercially viable shipping quantities, and, to the extent possible, in amounts requested by importers. </w:t>
      </w:r>
    </w:p>
    <w:p w:rsidR="0014480C" w:rsidRPr="00204937" w:rsidRDefault="0014480C" w:rsidP="00204937">
      <w:pPr>
        <w:pStyle w:val="ListParagraph"/>
        <w:numPr>
          <w:ilvl w:val="0"/>
          <w:numId w:val="11"/>
        </w:numPr>
        <w:spacing w:after="200" w:line="276" w:lineRule="auto"/>
        <w:ind w:left="714" w:hanging="357"/>
        <w:contextualSpacing w:val="0"/>
        <w:jc w:val="both"/>
        <w:rPr>
          <w:rFonts w:asciiTheme="minorHAnsi" w:hAnsiTheme="minorHAnsi" w:cstheme="minorHAnsi"/>
          <w:sz w:val="22"/>
        </w:rPr>
      </w:pPr>
      <w:r w:rsidRPr="00204937">
        <w:rPr>
          <w:rFonts w:asciiTheme="minorHAnsi" w:hAnsiTheme="minorHAnsi" w:cstheme="minorHAnsi"/>
          <w:sz w:val="22"/>
        </w:rPr>
        <w:t xml:space="preserve">The </w:t>
      </w:r>
      <w:r w:rsidR="00C74DD7" w:rsidRPr="00204937">
        <w:rPr>
          <w:rFonts w:asciiTheme="minorHAnsi" w:hAnsiTheme="minorHAnsi" w:cstheme="minorHAnsi"/>
          <w:sz w:val="22"/>
        </w:rPr>
        <w:t xml:space="preserve">Chapter </w:t>
      </w:r>
      <w:r w:rsidRPr="00204937">
        <w:rPr>
          <w:rFonts w:asciiTheme="minorHAnsi" w:hAnsiTheme="minorHAnsi" w:cstheme="minorHAnsi"/>
          <w:sz w:val="22"/>
        </w:rPr>
        <w:t xml:space="preserve">also outlines principles and procedures for the return and reallocation of quota volumes, should initial quota allocations not be fully </w:t>
      </w:r>
      <w:proofErr w:type="spellStart"/>
      <w:r w:rsidRPr="00204937">
        <w:rPr>
          <w:rFonts w:asciiTheme="minorHAnsi" w:hAnsiTheme="minorHAnsi" w:cstheme="minorHAnsi"/>
          <w:sz w:val="22"/>
        </w:rPr>
        <w:t>utilised</w:t>
      </w:r>
      <w:proofErr w:type="spellEnd"/>
      <w:r w:rsidRPr="00204937">
        <w:rPr>
          <w:rFonts w:asciiTheme="minorHAnsi" w:hAnsiTheme="minorHAnsi" w:cstheme="minorHAnsi"/>
          <w:sz w:val="22"/>
        </w:rPr>
        <w:t xml:space="preserve">. These principles encourage timeliness and transparency to </w:t>
      </w:r>
      <w:proofErr w:type="spellStart"/>
      <w:r w:rsidRPr="00204937">
        <w:rPr>
          <w:rFonts w:asciiTheme="minorHAnsi" w:hAnsiTheme="minorHAnsi" w:cstheme="minorHAnsi"/>
          <w:sz w:val="22"/>
        </w:rPr>
        <w:t>maximise</w:t>
      </w:r>
      <w:proofErr w:type="spellEnd"/>
      <w:r w:rsidRPr="00204937">
        <w:rPr>
          <w:rFonts w:asciiTheme="minorHAnsi" w:hAnsiTheme="minorHAnsi" w:cstheme="minorHAnsi"/>
          <w:sz w:val="22"/>
        </w:rPr>
        <w:t xml:space="preserve"> opportunities for full quota </w:t>
      </w:r>
      <w:proofErr w:type="spellStart"/>
      <w:r w:rsidRPr="00204937">
        <w:rPr>
          <w:rFonts w:asciiTheme="minorHAnsi" w:hAnsiTheme="minorHAnsi" w:cstheme="minorHAnsi"/>
          <w:sz w:val="22"/>
        </w:rPr>
        <w:t>utilisation</w:t>
      </w:r>
      <w:proofErr w:type="spellEnd"/>
      <w:r w:rsidRPr="00204937">
        <w:rPr>
          <w:rFonts w:asciiTheme="minorHAnsi" w:hAnsiTheme="minorHAnsi" w:cstheme="minorHAnsi"/>
          <w:sz w:val="22"/>
        </w:rPr>
        <w:t xml:space="preserve">. </w:t>
      </w:r>
    </w:p>
    <w:p w:rsidR="0014480C" w:rsidRPr="00204937" w:rsidRDefault="0014480C" w:rsidP="00204937">
      <w:pPr>
        <w:pStyle w:val="Heading3"/>
      </w:pPr>
      <w:r w:rsidRPr="00204937">
        <w:t>Trade in Products of Modern Biotechnology</w:t>
      </w:r>
    </w:p>
    <w:p w:rsidR="00615F99" w:rsidRPr="007A3576" w:rsidRDefault="0014480C"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The </w:t>
      </w:r>
      <w:r w:rsidR="00C74DD7" w:rsidRPr="007A3576">
        <w:rPr>
          <w:rFonts w:asciiTheme="minorHAnsi" w:hAnsiTheme="minorHAnsi" w:cstheme="minorHAnsi"/>
          <w:sz w:val="22"/>
        </w:rPr>
        <w:t xml:space="preserve">Chapter </w:t>
      </w:r>
      <w:r w:rsidRPr="007A3576">
        <w:rPr>
          <w:rFonts w:asciiTheme="minorHAnsi" w:hAnsiTheme="minorHAnsi" w:cstheme="minorHAnsi"/>
          <w:sz w:val="22"/>
        </w:rPr>
        <w:t xml:space="preserve">includes </w:t>
      </w:r>
      <w:r w:rsidR="00CE0F4C" w:rsidRPr="007A3576">
        <w:rPr>
          <w:rFonts w:asciiTheme="minorHAnsi" w:hAnsiTheme="minorHAnsi" w:cstheme="minorHAnsi"/>
          <w:sz w:val="22"/>
        </w:rPr>
        <w:t xml:space="preserve">a provision relating to </w:t>
      </w:r>
      <w:r w:rsidRPr="007A3576">
        <w:rPr>
          <w:rFonts w:asciiTheme="minorHAnsi" w:hAnsiTheme="minorHAnsi" w:cstheme="minorHAnsi"/>
          <w:b/>
          <w:sz w:val="22"/>
        </w:rPr>
        <w:t>trade in biotechnology products</w:t>
      </w:r>
      <w:r w:rsidRPr="007A3576">
        <w:rPr>
          <w:rFonts w:asciiTheme="minorHAnsi" w:hAnsiTheme="minorHAnsi" w:cstheme="minorHAnsi"/>
          <w:sz w:val="22"/>
        </w:rPr>
        <w:t xml:space="preserve"> (genetically modified products). </w:t>
      </w:r>
    </w:p>
    <w:p w:rsidR="00615F99" w:rsidRPr="007A3576" w:rsidRDefault="0014480C" w:rsidP="00204937">
      <w:pPr>
        <w:pStyle w:val="ListParagraph"/>
        <w:numPr>
          <w:ilvl w:val="0"/>
          <w:numId w:val="13"/>
        </w:numPr>
        <w:spacing w:after="200" w:line="276" w:lineRule="auto"/>
        <w:contextualSpacing w:val="0"/>
        <w:jc w:val="both"/>
        <w:rPr>
          <w:rFonts w:asciiTheme="minorHAnsi" w:hAnsiTheme="minorHAnsi" w:cstheme="minorHAnsi"/>
          <w:sz w:val="22"/>
        </w:rPr>
      </w:pPr>
      <w:r w:rsidRPr="00204937">
        <w:rPr>
          <w:rFonts w:asciiTheme="minorHAnsi" w:hAnsiTheme="minorHAnsi" w:cstheme="minorHAnsi"/>
          <w:sz w:val="22"/>
        </w:rPr>
        <w:t xml:space="preserve">The </w:t>
      </w:r>
      <w:r w:rsidR="00C74DD7" w:rsidRPr="00204937">
        <w:rPr>
          <w:rFonts w:asciiTheme="minorHAnsi" w:hAnsiTheme="minorHAnsi" w:cstheme="minorHAnsi"/>
          <w:sz w:val="22"/>
        </w:rPr>
        <w:t>provision</w:t>
      </w:r>
      <w:r w:rsidR="00CE0F4C" w:rsidRPr="00204937">
        <w:rPr>
          <w:rFonts w:asciiTheme="minorHAnsi" w:hAnsiTheme="minorHAnsi" w:cstheme="minorHAnsi"/>
          <w:sz w:val="22"/>
        </w:rPr>
        <w:t xml:space="preserve"> does not </w:t>
      </w:r>
      <w:r w:rsidRPr="00204937">
        <w:rPr>
          <w:rFonts w:asciiTheme="minorHAnsi" w:hAnsiTheme="minorHAnsi" w:cstheme="minorHAnsi"/>
          <w:sz w:val="22"/>
        </w:rPr>
        <w:t xml:space="preserve">oblige parties to change the way in which they regulate the development of, or trade in, goods containing genetically modified products. </w:t>
      </w:r>
    </w:p>
    <w:p w:rsidR="00615F99" w:rsidRPr="007A3576" w:rsidRDefault="0014480C" w:rsidP="00204937">
      <w:pPr>
        <w:pStyle w:val="ListParagraph"/>
        <w:numPr>
          <w:ilvl w:val="0"/>
          <w:numId w:val="13"/>
        </w:numPr>
        <w:spacing w:after="200" w:line="276" w:lineRule="auto"/>
        <w:contextualSpacing w:val="0"/>
        <w:jc w:val="both"/>
        <w:rPr>
          <w:rFonts w:asciiTheme="minorHAnsi" w:hAnsiTheme="minorHAnsi" w:cstheme="minorHAnsi"/>
          <w:sz w:val="22"/>
        </w:rPr>
      </w:pPr>
      <w:r w:rsidRPr="00204937">
        <w:rPr>
          <w:rFonts w:asciiTheme="minorHAnsi" w:hAnsiTheme="minorHAnsi" w:cstheme="minorHAnsi"/>
          <w:sz w:val="22"/>
        </w:rPr>
        <w:lastRenderedPageBreak/>
        <w:t>Th</w:t>
      </w:r>
      <w:r w:rsidR="00CE0F4C" w:rsidRPr="00204937">
        <w:rPr>
          <w:rFonts w:asciiTheme="minorHAnsi" w:hAnsiTheme="minorHAnsi" w:cstheme="minorHAnsi"/>
          <w:sz w:val="22"/>
        </w:rPr>
        <w:t>e</w:t>
      </w:r>
      <w:r w:rsidRPr="00204937">
        <w:rPr>
          <w:rFonts w:asciiTheme="minorHAnsi" w:hAnsiTheme="minorHAnsi" w:cstheme="minorHAnsi"/>
          <w:sz w:val="22"/>
        </w:rPr>
        <w:t xml:space="preserve"> </w:t>
      </w:r>
      <w:r w:rsidR="00C74DD7" w:rsidRPr="00204937">
        <w:rPr>
          <w:rFonts w:asciiTheme="minorHAnsi" w:hAnsiTheme="minorHAnsi" w:cstheme="minorHAnsi"/>
          <w:sz w:val="22"/>
        </w:rPr>
        <w:t>provision</w:t>
      </w:r>
      <w:r w:rsidR="00CE0F4C" w:rsidRPr="00204937">
        <w:rPr>
          <w:rFonts w:asciiTheme="minorHAnsi" w:hAnsiTheme="minorHAnsi" w:cstheme="minorHAnsi"/>
          <w:sz w:val="22"/>
        </w:rPr>
        <w:t xml:space="preserve"> </w:t>
      </w:r>
      <w:r w:rsidRPr="00204937">
        <w:rPr>
          <w:rFonts w:asciiTheme="minorHAnsi" w:hAnsiTheme="minorHAnsi" w:cstheme="minorHAnsi"/>
          <w:sz w:val="22"/>
        </w:rPr>
        <w:t>aims to improve the flow of information between those parties that trade in such products, including</w:t>
      </w:r>
      <w:r w:rsidR="003659D3" w:rsidRPr="00204937">
        <w:rPr>
          <w:rFonts w:asciiTheme="minorHAnsi" w:hAnsiTheme="minorHAnsi" w:cstheme="minorHAnsi"/>
          <w:sz w:val="22"/>
        </w:rPr>
        <w:t xml:space="preserve"> </w:t>
      </w:r>
      <w:r w:rsidRPr="00204937">
        <w:rPr>
          <w:rFonts w:asciiTheme="minorHAnsi" w:hAnsiTheme="minorHAnsi" w:cstheme="minorHAnsi"/>
          <w:sz w:val="22"/>
        </w:rPr>
        <w:t xml:space="preserve">encouraging the creation of contact points in relevant agencies to share information on decisions and regulatory requirements. </w:t>
      </w:r>
    </w:p>
    <w:p w:rsidR="00615F99" w:rsidRPr="007A3576" w:rsidRDefault="0014480C" w:rsidP="00204937">
      <w:pPr>
        <w:pStyle w:val="ListParagraph"/>
        <w:numPr>
          <w:ilvl w:val="0"/>
          <w:numId w:val="13"/>
        </w:numPr>
        <w:spacing w:after="200" w:line="276" w:lineRule="auto"/>
        <w:contextualSpacing w:val="0"/>
        <w:jc w:val="both"/>
        <w:rPr>
          <w:rFonts w:asciiTheme="minorHAnsi" w:hAnsiTheme="minorHAnsi" w:cstheme="minorHAnsi"/>
          <w:sz w:val="22"/>
        </w:rPr>
      </w:pPr>
      <w:r w:rsidRPr="00204937">
        <w:rPr>
          <w:rFonts w:asciiTheme="minorHAnsi" w:hAnsiTheme="minorHAnsi" w:cstheme="minorHAnsi"/>
          <w:sz w:val="22"/>
        </w:rPr>
        <w:t xml:space="preserve">The </w:t>
      </w:r>
      <w:r w:rsidR="00615F99" w:rsidRPr="007A3576">
        <w:rPr>
          <w:rFonts w:asciiTheme="minorHAnsi" w:hAnsiTheme="minorHAnsi" w:cstheme="minorHAnsi"/>
          <w:sz w:val="22"/>
        </w:rPr>
        <w:t>provision</w:t>
      </w:r>
      <w:r w:rsidR="00615F99" w:rsidRPr="00204937">
        <w:rPr>
          <w:rFonts w:asciiTheme="minorHAnsi" w:hAnsiTheme="minorHAnsi" w:cstheme="minorHAnsi"/>
          <w:sz w:val="22"/>
        </w:rPr>
        <w:t xml:space="preserve"> </w:t>
      </w:r>
      <w:r w:rsidRPr="00204937">
        <w:rPr>
          <w:rFonts w:asciiTheme="minorHAnsi" w:hAnsiTheme="minorHAnsi" w:cstheme="minorHAnsi"/>
          <w:sz w:val="22"/>
        </w:rPr>
        <w:t>also encourage</w:t>
      </w:r>
      <w:r w:rsidR="00CE0F4C" w:rsidRPr="00204937">
        <w:rPr>
          <w:rFonts w:asciiTheme="minorHAnsi" w:hAnsiTheme="minorHAnsi" w:cstheme="minorHAnsi"/>
          <w:sz w:val="22"/>
        </w:rPr>
        <w:t>s</w:t>
      </w:r>
      <w:r w:rsidRPr="00204937">
        <w:rPr>
          <w:rFonts w:asciiTheme="minorHAnsi" w:hAnsiTheme="minorHAnsi" w:cstheme="minorHAnsi"/>
          <w:sz w:val="22"/>
        </w:rPr>
        <w:t xml:space="preserve"> information sharing </w:t>
      </w:r>
      <w:r w:rsidR="008A5F2F" w:rsidRPr="00204937">
        <w:rPr>
          <w:rFonts w:asciiTheme="minorHAnsi" w:hAnsiTheme="minorHAnsi" w:cstheme="minorHAnsi"/>
          <w:sz w:val="22"/>
        </w:rPr>
        <w:t>if</w:t>
      </w:r>
      <w:r w:rsidRPr="00204937">
        <w:rPr>
          <w:rFonts w:asciiTheme="minorHAnsi" w:hAnsiTheme="minorHAnsi" w:cstheme="minorHAnsi"/>
          <w:sz w:val="22"/>
        </w:rPr>
        <w:t xml:space="preserve"> a “low level presence” of genetically modified plant material </w:t>
      </w:r>
      <w:r w:rsidR="008A5F2F" w:rsidRPr="00204937">
        <w:rPr>
          <w:rFonts w:asciiTheme="minorHAnsi" w:hAnsiTheme="minorHAnsi" w:cstheme="minorHAnsi"/>
          <w:sz w:val="22"/>
        </w:rPr>
        <w:t xml:space="preserve">is detected </w:t>
      </w:r>
      <w:r w:rsidRPr="00204937">
        <w:rPr>
          <w:rFonts w:asciiTheme="minorHAnsi" w:hAnsiTheme="minorHAnsi" w:cstheme="minorHAnsi"/>
          <w:sz w:val="22"/>
        </w:rPr>
        <w:t>in a</w:t>
      </w:r>
      <w:r w:rsidR="008A5F2F" w:rsidRPr="00204937">
        <w:rPr>
          <w:rFonts w:asciiTheme="minorHAnsi" w:hAnsiTheme="minorHAnsi" w:cstheme="minorHAnsi"/>
          <w:sz w:val="22"/>
        </w:rPr>
        <w:t>n otherwise</w:t>
      </w:r>
      <w:r w:rsidRPr="00204937">
        <w:rPr>
          <w:rFonts w:asciiTheme="minorHAnsi" w:hAnsiTheme="minorHAnsi" w:cstheme="minorHAnsi"/>
          <w:sz w:val="22"/>
        </w:rPr>
        <w:t xml:space="preserve"> non-GM shipment of plant products (such as a bulk grain shipment). </w:t>
      </w:r>
    </w:p>
    <w:p w:rsidR="00615F99" w:rsidRPr="007A3576" w:rsidRDefault="0014480C" w:rsidP="00204937">
      <w:pPr>
        <w:pStyle w:val="ListParagraph"/>
        <w:numPr>
          <w:ilvl w:val="0"/>
          <w:numId w:val="13"/>
        </w:numPr>
        <w:spacing w:after="200" w:line="276" w:lineRule="auto"/>
        <w:contextualSpacing w:val="0"/>
        <w:jc w:val="both"/>
        <w:rPr>
          <w:rFonts w:asciiTheme="minorHAnsi" w:hAnsiTheme="minorHAnsi" w:cstheme="minorHAnsi"/>
          <w:sz w:val="22"/>
        </w:rPr>
      </w:pPr>
      <w:r w:rsidRPr="00204937">
        <w:rPr>
          <w:rFonts w:asciiTheme="minorHAnsi" w:hAnsiTheme="minorHAnsi" w:cstheme="minorHAnsi"/>
          <w:sz w:val="22"/>
        </w:rPr>
        <w:t xml:space="preserve">The </w:t>
      </w:r>
      <w:r w:rsidR="00C74DD7" w:rsidRPr="00204937">
        <w:rPr>
          <w:rFonts w:asciiTheme="minorHAnsi" w:hAnsiTheme="minorHAnsi" w:cstheme="minorHAnsi"/>
          <w:sz w:val="22"/>
        </w:rPr>
        <w:t xml:space="preserve">Chapter </w:t>
      </w:r>
      <w:r w:rsidR="003E2E25">
        <w:rPr>
          <w:rFonts w:asciiTheme="minorHAnsi" w:hAnsiTheme="minorHAnsi" w:cstheme="minorHAnsi"/>
          <w:sz w:val="22"/>
        </w:rPr>
        <w:t>urges TPP P</w:t>
      </w:r>
      <w:r w:rsidRPr="00204937">
        <w:rPr>
          <w:rFonts w:asciiTheme="minorHAnsi" w:hAnsiTheme="minorHAnsi" w:cstheme="minorHAnsi"/>
          <w:sz w:val="22"/>
        </w:rPr>
        <w:t xml:space="preserve">arties, to encourage developers of genetically modified products to submit applications to other parties for </w:t>
      </w:r>
      <w:proofErr w:type="spellStart"/>
      <w:r w:rsidRPr="00204937">
        <w:rPr>
          <w:rFonts w:asciiTheme="minorHAnsi" w:hAnsiTheme="minorHAnsi" w:cstheme="minorHAnsi"/>
          <w:sz w:val="22"/>
        </w:rPr>
        <w:t>authorisation</w:t>
      </w:r>
      <w:proofErr w:type="spellEnd"/>
      <w:r w:rsidRPr="00204937">
        <w:rPr>
          <w:rFonts w:asciiTheme="minorHAnsi" w:hAnsiTheme="minorHAnsi" w:cstheme="minorHAnsi"/>
          <w:sz w:val="22"/>
        </w:rPr>
        <w:t xml:space="preserve"> of plant and plant products. </w:t>
      </w:r>
      <w:r w:rsidR="00BD608A" w:rsidRPr="00204937">
        <w:rPr>
          <w:rFonts w:asciiTheme="minorHAnsi" w:hAnsiTheme="minorHAnsi" w:cstheme="minorHAnsi"/>
          <w:sz w:val="22"/>
        </w:rPr>
        <w:t xml:space="preserve">TPP </w:t>
      </w:r>
      <w:r w:rsidRPr="00204937">
        <w:rPr>
          <w:rFonts w:asciiTheme="minorHAnsi" w:hAnsiTheme="minorHAnsi" w:cstheme="minorHAnsi"/>
          <w:sz w:val="22"/>
        </w:rPr>
        <w:t xml:space="preserve">Parties that accept </w:t>
      </w:r>
      <w:r w:rsidR="003659D3" w:rsidRPr="00204937">
        <w:rPr>
          <w:rFonts w:asciiTheme="minorHAnsi" w:hAnsiTheme="minorHAnsi" w:cstheme="minorHAnsi"/>
          <w:sz w:val="22"/>
        </w:rPr>
        <w:t xml:space="preserve">trade in GM </w:t>
      </w:r>
      <w:r w:rsidRPr="00204937">
        <w:rPr>
          <w:rFonts w:asciiTheme="minorHAnsi" w:hAnsiTheme="minorHAnsi" w:cstheme="minorHAnsi"/>
          <w:sz w:val="22"/>
        </w:rPr>
        <w:t xml:space="preserve">products are encouraged to accept such applications year round, as well as to increase communication among parties regarding the </w:t>
      </w:r>
      <w:proofErr w:type="spellStart"/>
      <w:r w:rsidRPr="00204937">
        <w:rPr>
          <w:rFonts w:asciiTheme="minorHAnsi" w:hAnsiTheme="minorHAnsi" w:cstheme="minorHAnsi"/>
          <w:sz w:val="22"/>
        </w:rPr>
        <w:t>authorisation</w:t>
      </w:r>
      <w:proofErr w:type="spellEnd"/>
      <w:r w:rsidRPr="00204937">
        <w:rPr>
          <w:rFonts w:asciiTheme="minorHAnsi" w:hAnsiTheme="minorHAnsi" w:cstheme="minorHAnsi"/>
          <w:sz w:val="22"/>
        </w:rPr>
        <w:t xml:space="preserve"> of new plant and plant products. </w:t>
      </w:r>
    </w:p>
    <w:p w:rsidR="0014480C" w:rsidRPr="00204937" w:rsidRDefault="00615F99"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The provision does not</w:t>
      </w:r>
      <w:r w:rsidR="0014480C" w:rsidRPr="00204937">
        <w:rPr>
          <w:rFonts w:asciiTheme="minorHAnsi" w:hAnsiTheme="minorHAnsi" w:cstheme="minorHAnsi"/>
          <w:sz w:val="22"/>
        </w:rPr>
        <w:t xml:space="preserve"> go beyond Australia’s current regulatory practices.</w:t>
      </w:r>
    </w:p>
    <w:p w:rsidR="0014480C" w:rsidRPr="00204937" w:rsidRDefault="0014480C" w:rsidP="00204937">
      <w:pPr>
        <w:pStyle w:val="Heading3"/>
      </w:pPr>
      <w:r w:rsidRPr="00204937">
        <w:t>Transparency and consultation</w:t>
      </w:r>
    </w:p>
    <w:p w:rsidR="00615F99" w:rsidRPr="007A3576" w:rsidRDefault="00BD608A"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The</w:t>
      </w:r>
      <w:r w:rsidR="0014480C" w:rsidRPr="007A3576">
        <w:rPr>
          <w:rFonts w:asciiTheme="minorHAnsi" w:hAnsiTheme="minorHAnsi" w:cstheme="minorHAnsi"/>
          <w:sz w:val="22"/>
        </w:rPr>
        <w:t xml:space="preserve"> </w:t>
      </w:r>
      <w:r w:rsidR="00C74DD7" w:rsidRPr="007A3576">
        <w:rPr>
          <w:rFonts w:asciiTheme="minorHAnsi" w:hAnsiTheme="minorHAnsi" w:cstheme="minorHAnsi"/>
          <w:sz w:val="22"/>
        </w:rPr>
        <w:t xml:space="preserve">Chapter </w:t>
      </w:r>
      <w:proofErr w:type="spellStart"/>
      <w:r w:rsidR="0014480C" w:rsidRPr="007A3576">
        <w:rPr>
          <w:rFonts w:asciiTheme="minorHAnsi" w:hAnsiTheme="minorHAnsi" w:cstheme="minorHAnsi"/>
          <w:sz w:val="22"/>
        </w:rPr>
        <w:t>emphasis</w:t>
      </w:r>
      <w:r w:rsidRPr="007A3576">
        <w:rPr>
          <w:rFonts w:asciiTheme="minorHAnsi" w:hAnsiTheme="minorHAnsi" w:cstheme="minorHAnsi"/>
          <w:sz w:val="22"/>
        </w:rPr>
        <w:t>es</w:t>
      </w:r>
      <w:proofErr w:type="spellEnd"/>
      <w:r w:rsidR="0014480C" w:rsidRPr="007A3576">
        <w:rPr>
          <w:rFonts w:asciiTheme="minorHAnsi" w:hAnsiTheme="minorHAnsi" w:cstheme="minorHAnsi"/>
          <w:sz w:val="22"/>
        </w:rPr>
        <w:t xml:space="preserve"> </w:t>
      </w:r>
      <w:r w:rsidR="00615F99" w:rsidRPr="007A3576">
        <w:rPr>
          <w:rFonts w:asciiTheme="minorHAnsi" w:hAnsiTheme="minorHAnsi" w:cstheme="minorHAnsi"/>
          <w:sz w:val="22"/>
        </w:rPr>
        <w:t xml:space="preserve">transparency, </w:t>
      </w:r>
      <w:r w:rsidR="0014480C" w:rsidRPr="007A3576">
        <w:rPr>
          <w:rFonts w:asciiTheme="minorHAnsi" w:hAnsiTheme="minorHAnsi" w:cstheme="minorHAnsi"/>
          <w:sz w:val="22"/>
        </w:rPr>
        <w:t xml:space="preserve">cooperation and consultation mechanisms. </w:t>
      </w:r>
    </w:p>
    <w:p w:rsidR="00615F99" w:rsidRPr="007A3576" w:rsidRDefault="00615F99"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Building on WTO rules, the Chapter includes an obligation to </w:t>
      </w:r>
      <w:r w:rsidRPr="007A3576">
        <w:rPr>
          <w:rFonts w:asciiTheme="minorHAnsi" w:hAnsiTheme="minorHAnsi" w:cstheme="minorHAnsi"/>
          <w:b/>
          <w:sz w:val="22"/>
        </w:rPr>
        <w:t>publish</w:t>
      </w:r>
      <w:r w:rsidRPr="007A3576">
        <w:rPr>
          <w:rFonts w:asciiTheme="minorHAnsi" w:hAnsiTheme="minorHAnsi" w:cstheme="minorHAnsi"/>
          <w:sz w:val="22"/>
        </w:rPr>
        <w:t xml:space="preserve"> any requirements that may be relevant to trade, including changes to import and export procedures, taxes, fees, laws and administrative rulings, prohibitions or appeal procedures. </w:t>
      </w:r>
    </w:p>
    <w:p w:rsidR="0014480C" w:rsidRPr="007A3576" w:rsidRDefault="00615F99"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A</w:t>
      </w:r>
      <w:r w:rsidR="0014480C" w:rsidRPr="007A3576">
        <w:rPr>
          <w:rFonts w:asciiTheme="minorHAnsi" w:hAnsiTheme="minorHAnsi" w:cstheme="minorHAnsi"/>
          <w:sz w:val="22"/>
        </w:rPr>
        <w:t xml:space="preserve"> </w:t>
      </w:r>
      <w:r w:rsidR="00BD608A" w:rsidRPr="007A3576">
        <w:rPr>
          <w:rFonts w:asciiTheme="minorHAnsi" w:hAnsiTheme="minorHAnsi" w:cstheme="minorHAnsi"/>
          <w:b/>
          <w:sz w:val="22"/>
        </w:rPr>
        <w:t xml:space="preserve">Committee </w:t>
      </w:r>
      <w:r w:rsidR="0014480C" w:rsidRPr="007A3576">
        <w:rPr>
          <w:rFonts w:asciiTheme="minorHAnsi" w:hAnsiTheme="minorHAnsi" w:cstheme="minorHAnsi"/>
          <w:b/>
          <w:sz w:val="22"/>
        </w:rPr>
        <w:t xml:space="preserve">on </w:t>
      </w:r>
      <w:r w:rsidR="00BD608A" w:rsidRPr="007A3576">
        <w:rPr>
          <w:rFonts w:asciiTheme="minorHAnsi" w:hAnsiTheme="minorHAnsi" w:cstheme="minorHAnsi"/>
          <w:b/>
          <w:sz w:val="22"/>
        </w:rPr>
        <w:t xml:space="preserve">Trade </w:t>
      </w:r>
      <w:r w:rsidR="0014480C" w:rsidRPr="007A3576">
        <w:rPr>
          <w:rFonts w:asciiTheme="minorHAnsi" w:hAnsiTheme="minorHAnsi" w:cstheme="minorHAnsi"/>
          <w:b/>
          <w:sz w:val="22"/>
        </w:rPr>
        <w:t xml:space="preserve">in </w:t>
      </w:r>
      <w:r w:rsidR="00BD608A" w:rsidRPr="007A3576">
        <w:rPr>
          <w:rFonts w:asciiTheme="minorHAnsi" w:hAnsiTheme="minorHAnsi" w:cstheme="minorHAnsi"/>
          <w:b/>
          <w:sz w:val="22"/>
        </w:rPr>
        <w:t>Goods</w:t>
      </w:r>
      <w:r w:rsidR="0014480C" w:rsidRPr="007A3576">
        <w:rPr>
          <w:rFonts w:asciiTheme="minorHAnsi" w:hAnsiTheme="minorHAnsi" w:cstheme="minorHAnsi"/>
          <w:b/>
          <w:sz w:val="22"/>
        </w:rPr>
        <w:t xml:space="preserve"> </w:t>
      </w:r>
      <w:r w:rsidRPr="00204937">
        <w:rPr>
          <w:rFonts w:asciiTheme="minorHAnsi" w:hAnsiTheme="minorHAnsi" w:cstheme="minorHAnsi"/>
          <w:sz w:val="22"/>
        </w:rPr>
        <w:t>will be established,</w:t>
      </w:r>
      <w:r w:rsidRPr="007A3576">
        <w:rPr>
          <w:rFonts w:asciiTheme="minorHAnsi" w:hAnsiTheme="minorHAnsi" w:cstheme="minorHAnsi"/>
          <w:b/>
          <w:sz w:val="22"/>
        </w:rPr>
        <w:t xml:space="preserve"> </w:t>
      </w:r>
      <w:r w:rsidR="0014480C" w:rsidRPr="007A3576">
        <w:rPr>
          <w:rFonts w:asciiTheme="minorHAnsi" w:hAnsiTheme="minorHAnsi" w:cstheme="minorHAnsi"/>
          <w:sz w:val="22"/>
        </w:rPr>
        <w:t xml:space="preserve">comprised of representatives from all </w:t>
      </w:r>
      <w:r w:rsidR="00BD608A" w:rsidRPr="007A3576">
        <w:rPr>
          <w:rFonts w:asciiTheme="minorHAnsi" w:hAnsiTheme="minorHAnsi" w:cstheme="minorHAnsi"/>
          <w:sz w:val="22"/>
        </w:rPr>
        <w:t>TPP Parties</w:t>
      </w:r>
      <w:r w:rsidR="0014480C" w:rsidRPr="007A3576">
        <w:rPr>
          <w:rFonts w:asciiTheme="minorHAnsi" w:hAnsiTheme="minorHAnsi" w:cstheme="minorHAnsi"/>
          <w:sz w:val="22"/>
        </w:rPr>
        <w:t xml:space="preserve">. The </w:t>
      </w:r>
      <w:r w:rsidR="00BD608A" w:rsidRPr="007A3576">
        <w:rPr>
          <w:rFonts w:asciiTheme="minorHAnsi" w:hAnsiTheme="minorHAnsi" w:cstheme="minorHAnsi"/>
          <w:sz w:val="22"/>
        </w:rPr>
        <w:t xml:space="preserve">Committee’s </w:t>
      </w:r>
      <w:r w:rsidR="0014480C" w:rsidRPr="007A3576">
        <w:rPr>
          <w:rFonts w:asciiTheme="minorHAnsi" w:hAnsiTheme="minorHAnsi" w:cstheme="minorHAnsi"/>
          <w:sz w:val="22"/>
        </w:rPr>
        <w:t xml:space="preserve">functions </w:t>
      </w:r>
      <w:r w:rsidRPr="007A3576">
        <w:rPr>
          <w:rFonts w:asciiTheme="minorHAnsi" w:hAnsiTheme="minorHAnsi" w:cstheme="minorHAnsi"/>
          <w:sz w:val="22"/>
        </w:rPr>
        <w:t xml:space="preserve">will </w:t>
      </w:r>
      <w:r w:rsidR="0014480C" w:rsidRPr="007A3576">
        <w:rPr>
          <w:rFonts w:asciiTheme="minorHAnsi" w:hAnsiTheme="minorHAnsi" w:cstheme="minorHAnsi"/>
          <w:sz w:val="22"/>
        </w:rPr>
        <w:t xml:space="preserve">include promoting trade in goods, including through consultation on accelerating the elimination of tariffs; addressing barriers to trade, particularly non-tariff barriers; and reviewing future amendments to the </w:t>
      </w:r>
      <w:r w:rsidR="00BD608A" w:rsidRPr="007A3576">
        <w:rPr>
          <w:rFonts w:asciiTheme="minorHAnsi" w:hAnsiTheme="minorHAnsi" w:cstheme="minorHAnsi"/>
          <w:sz w:val="22"/>
        </w:rPr>
        <w:t>internationally standardized system of names and number used to classify traded goods</w:t>
      </w:r>
      <w:r w:rsidR="0014480C" w:rsidRPr="007A3576">
        <w:rPr>
          <w:rFonts w:asciiTheme="minorHAnsi" w:hAnsiTheme="minorHAnsi" w:cstheme="minorHAnsi"/>
          <w:sz w:val="22"/>
        </w:rPr>
        <w:t xml:space="preserve">. </w:t>
      </w:r>
    </w:p>
    <w:p w:rsidR="009E727B" w:rsidRPr="007A3576" w:rsidRDefault="0014480C" w:rsidP="00204937">
      <w:pPr>
        <w:spacing w:after="200" w:line="276" w:lineRule="auto"/>
        <w:jc w:val="both"/>
        <w:rPr>
          <w:rFonts w:asciiTheme="minorHAnsi" w:hAnsiTheme="minorHAnsi" w:cstheme="minorHAnsi"/>
          <w:sz w:val="22"/>
        </w:rPr>
      </w:pPr>
      <w:r w:rsidRPr="007A3576">
        <w:rPr>
          <w:rFonts w:asciiTheme="minorHAnsi" w:hAnsiTheme="minorHAnsi" w:cstheme="minorHAnsi"/>
          <w:sz w:val="22"/>
        </w:rPr>
        <w:t xml:space="preserve">A </w:t>
      </w:r>
      <w:r w:rsidR="00BD608A" w:rsidRPr="007A3576">
        <w:rPr>
          <w:rFonts w:asciiTheme="minorHAnsi" w:hAnsiTheme="minorHAnsi" w:cstheme="minorHAnsi"/>
          <w:b/>
          <w:sz w:val="22"/>
        </w:rPr>
        <w:t>C</w:t>
      </w:r>
      <w:r w:rsidRPr="007A3576">
        <w:rPr>
          <w:rFonts w:asciiTheme="minorHAnsi" w:hAnsiTheme="minorHAnsi" w:cstheme="minorHAnsi"/>
          <w:b/>
          <w:sz w:val="22"/>
        </w:rPr>
        <w:t xml:space="preserve">ommittee on </w:t>
      </w:r>
      <w:r w:rsidR="00204937">
        <w:rPr>
          <w:rFonts w:asciiTheme="minorHAnsi" w:hAnsiTheme="minorHAnsi" w:cstheme="minorHAnsi"/>
          <w:b/>
          <w:sz w:val="22"/>
        </w:rPr>
        <w:t>A</w:t>
      </w:r>
      <w:r w:rsidRPr="007A3576">
        <w:rPr>
          <w:rFonts w:asciiTheme="minorHAnsi" w:hAnsiTheme="minorHAnsi" w:cstheme="minorHAnsi"/>
          <w:b/>
          <w:sz w:val="22"/>
        </w:rPr>
        <w:t xml:space="preserve">gricultural </w:t>
      </w:r>
      <w:r w:rsidR="00204937">
        <w:rPr>
          <w:rFonts w:asciiTheme="minorHAnsi" w:hAnsiTheme="minorHAnsi" w:cstheme="minorHAnsi"/>
          <w:b/>
          <w:sz w:val="22"/>
        </w:rPr>
        <w:t>T</w:t>
      </w:r>
      <w:r w:rsidRPr="007A3576">
        <w:rPr>
          <w:rFonts w:asciiTheme="minorHAnsi" w:hAnsiTheme="minorHAnsi" w:cstheme="minorHAnsi"/>
          <w:b/>
          <w:sz w:val="22"/>
        </w:rPr>
        <w:t>rade</w:t>
      </w:r>
      <w:r w:rsidRPr="007A3576">
        <w:rPr>
          <w:rFonts w:asciiTheme="minorHAnsi" w:hAnsiTheme="minorHAnsi" w:cstheme="minorHAnsi"/>
          <w:sz w:val="22"/>
        </w:rPr>
        <w:t xml:space="preserve"> </w:t>
      </w:r>
      <w:r w:rsidR="00BD608A" w:rsidRPr="007A3576">
        <w:rPr>
          <w:rFonts w:asciiTheme="minorHAnsi" w:hAnsiTheme="minorHAnsi" w:cstheme="minorHAnsi"/>
          <w:sz w:val="22"/>
        </w:rPr>
        <w:t>is also</w:t>
      </w:r>
      <w:r w:rsidRPr="007A3576">
        <w:rPr>
          <w:rFonts w:asciiTheme="minorHAnsi" w:hAnsiTheme="minorHAnsi" w:cstheme="minorHAnsi"/>
          <w:sz w:val="22"/>
        </w:rPr>
        <w:t xml:space="preserve"> established to provide an additional forum through which to promote agricultural goods trade between the parties, promote cooperation and monitor the implementation of the agriculture specific elements of the </w:t>
      </w:r>
      <w:r w:rsidR="00BD608A" w:rsidRPr="007A3576">
        <w:rPr>
          <w:rFonts w:asciiTheme="minorHAnsi" w:hAnsiTheme="minorHAnsi" w:cstheme="minorHAnsi"/>
          <w:sz w:val="22"/>
        </w:rPr>
        <w:t>chapter</w:t>
      </w:r>
      <w:r w:rsidRPr="007A3576">
        <w:rPr>
          <w:rFonts w:asciiTheme="minorHAnsi" w:hAnsiTheme="minorHAnsi" w:cstheme="minorHAnsi"/>
          <w:sz w:val="22"/>
        </w:rPr>
        <w:t xml:space="preserve">. </w:t>
      </w:r>
    </w:p>
    <w:sectPr w:rsidR="009E727B" w:rsidRPr="007A3576" w:rsidSect="00032CE3">
      <w:headerReference w:type="even" r:id="rId10"/>
      <w:headerReference w:type="default" r:id="rId11"/>
      <w:footerReference w:type="even" r:id="rId12"/>
      <w:footerReference w:type="default" r:id="rId13"/>
      <w:headerReference w:type="first" r:id="rId14"/>
      <w:footerReference w:type="first" r:id="rId15"/>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CC" w:rsidRDefault="00161ACC" w:rsidP="00E8641D">
      <w:pPr>
        <w:spacing w:line="240" w:lineRule="auto"/>
      </w:pPr>
      <w:r>
        <w:separator/>
      </w:r>
    </w:p>
  </w:endnote>
  <w:endnote w:type="continuationSeparator" w:id="0">
    <w:p w:rsidR="00161ACC" w:rsidRDefault="00161AC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413">
      <w:rPr>
        <w:rStyle w:val="PageNumber"/>
        <w:noProof/>
      </w:rPr>
      <w:t>4</w:t>
    </w:r>
    <w:r>
      <w:rPr>
        <w:rStyle w:val="PageNumber"/>
      </w:rPr>
      <w:fldChar w:fldCharType="end"/>
    </w:r>
  </w:p>
  <w:p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115413">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115413">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CC" w:rsidRDefault="00161ACC" w:rsidP="00E8641D">
      <w:pPr>
        <w:spacing w:line="240" w:lineRule="auto"/>
      </w:pPr>
      <w:r>
        <w:separator/>
      </w:r>
    </w:p>
  </w:footnote>
  <w:footnote w:type="continuationSeparator" w:id="0">
    <w:p w:rsidR="00161ACC" w:rsidRDefault="00161ACC"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nsid w:val="2B947EFC"/>
    <w:multiLevelType w:val="hybridMultilevel"/>
    <w:tmpl w:val="CCF6A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FD5FDF"/>
    <w:multiLevelType w:val="hybridMultilevel"/>
    <w:tmpl w:val="7110D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5C1B98"/>
    <w:multiLevelType w:val="hybridMultilevel"/>
    <w:tmpl w:val="9B98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514D0A"/>
    <w:multiLevelType w:val="hybridMultilevel"/>
    <w:tmpl w:val="CDF0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nsid w:val="6DD9638B"/>
    <w:multiLevelType w:val="hybridMultilevel"/>
    <w:tmpl w:val="C518B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8"/>
  </w:num>
  <w:num w:numId="5">
    <w:abstractNumId w:val="1"/>
  </w:num>
  <w:num w:numId="6">
    <w:abstractNumId w:val="9"/>
  </w:num>
  <w:num w:numId="7">
    <w:abstractNumId w:val="2"/>
  </w:num>
  <w:num w:numId="8">
    <w:abstractNumId w:val="11"/>
  </w:num>
  <w:num w:numId="9">
    <w:abstractNumId w:val="3"/>
  </w:num>
  <w:num w:numId="10">
    <w:abstractNumId w:val="10"/>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378CB"/>
    <w:rsid w:val="0009261C"/>
    <w:rsid w:val="00115413"/>
    <w:rsid w:val="0014480C"/>
    <w:rsid w:val="00161ACC"/>
    <w:rsid w:val="001C13A2"/>
    <w:rsid w:val="001E3998"/>
    <w:rsid w:val="00204937"/>
    <w:rsid w:val="002E1149"/>
    <w:rsid w:val="00306851"/>
    <w:rsid w:val="003659D3"/>
    <w:rsid w:val="003E2E25"/>
    <w:rsid w:val="00401E7C"/>
    <w:rsid w:val="00407231"/>
    <w:rsid w:val="00423641"/>
    <w:rsid w:val="00430646"/>
    <w:rsid w:val="004B1B67"/>
    <w:rsid w:val="004B2171"/>
    <w:rsid w:val="004B41B1"/>
    <w:rsid w:val="004C1D59"/>
    <w:rsid w:val="0052077E"/>
    <w:rsid w:val="00576FDA"/>
    <w:rsid w:val="0057768B"/>
    <w:rsid w:val="005E0927"/>
    <w:rsid w:val="00615F99"/>
    <w:rsid w:val="006570E8"/>
    <w:rsid w:val="006F4F7E"/>
    <w:rsid w:val="00705A22"/>
    <w:rsid w:val="00734E00"/>
    <w:rsid w:val="0079782B"/>
    <w:rsid w:val="007A3576"/>
    <w:rsid w:val="007A6F6F"/>
    <w:rsid w:val="007C57D5"/>
    <w:rsid w:val="0089567B"/>
    <w:rsid w:val="008A5F2F"/>
    <w:rsid w:val="00931EDE"/>
    <w:rsid w:val="009606BB"/>
    <w:rsid w:val="009E727B"/>
    <w:rsid w:val="00A17E97"/>
    <w:rsid w:val="00A261E4"/>
    <w:rsid w:val="00A828F9"/>
    <w:rsid w:val="00AD4C0C"/>
    <w:rsid w:val="00AF6B73"/>
    <w:rsid w:val="00B95C02"/>
    <w:rsid w:val="00BD608A"/>
    <w:rsid w:val="00BE37EF"/>
    <w:rsid w:val="00C14483"/>
    <w:rsid w:val="00C171C5"/>
    <w:rsid w:val="00C745A8"/>
    <w:rsid w:val="00C74DD7"/>
    <w:rsid w:val="00C76C72"/>
    <w:rsid w:val="00C81FC7"/>
    <w:rsid w:val="00C939D5"/>
    <w:rsid w:val="00CD5C9B"/>
    <w:rsid w:val="00CE0F4C"/>
    <w:rsid w:val="00DC5B75"/>
    <w:rsid w:val="00E0711D"/>
    <w:rsid w:val="00E8641D"/>
    <w:rsid w:val="00E871B7"/>
    <w:rsid w:val="00EC62D6"/>
    <w:rsid w:val="00EE7A01"/>
    <w:rsid w:val="00F14C62"/>
    <w:rsid w:val="00F202F2"/>
    <w:rsid w:val="00FF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paragraph" w:styleId="Revision">
    <w:name w:val="Revision"/>
    <w:hidden/>
    <w:uiPriority w:val="99"/>
    <w:semiHidden/>
    <w:rsid w:val="00E0711D"/>
    <w:rPr>
      <w:color w:val="auto"/>
      <w:sz w:val="20"/>
    </w:rPr>
  </w:style>
  <w:style w:type="character" w:styleId="CommentReference">
    <w:name w:val="annotation reference"/>
    <w:basedOn w:val="DefaultParagraphFont"/>
    <w:uiPriority w:val="99"/>
    <w:semiHidden/>
    <w:unhideWhenUsed/>
    <w:rsid w:val="008A5F2F"/>
    <w:rPr>
      <w:sz w:val="16"/>
      <w:szCs w:val="16"/>
    </w:rPr>
  </w:style>
  <w:style w:type="paragraph" w:styleId="CommentText">
    <w:name w:val="annotation text"/>
    <w:basedOn w:val="Normal"/>
    <w:link w:val="CommentTextChar"/>
    <w:uiPriority w:val="99"/>
    <w:semiHidden/>
    <w:unhideWhenUsed/>
    <w:rsid w:val="008A5F2F"/>
    <w:pPr>
      <w:spacing w:line="240" w:lineRule="auto"/>
    </w:pPr>
    <w:rPr>
      <w:szCs w:val="20"/>
    </w:rPr>
  </w:style>
  <w:style w:type="character" w:customStyle="1" w:styleId="CommentTextChar">
    <w:name w:val="Comment Text Char"/>
    <w:basedOn w:val="DefaultParagraphFont"/>
    <w:link w:val="CommentText"/>
    <w:uiPriority w:val="99"/>
    <w:semiHidden/>
    <w:rsid w:val="008A5F2F"/>
    <w:rPr>
      <w:color w:val="auto"/>
      <w:sz w:val="20"/>
      <w:szCs w:val="20"/>
    </w:rPr>
  </w:style>
  <w:style w:type="paragraph" w:styleId="CommentSubject">
    <w:name w:val="annotation subject"/>
    <w:basedOn w:val="CommentText"/>
    <w:next w:val="CommentText"/>
    <w:link w:val="CommentSubjectChar"/>
    <w:uiPriority w:val="99"/>
    <w:semiHidden/>
    <w:unhideWhenUsed/>
    <w:rsid w:val="008A5F2F"/>
    <w:rPr>
      <w:b/>
      <w:bCs/>
    </w:rPr>
  </w:style>
  <w:style w:type="character" w:customStyle="1" w:styleId="CommentSubjectChar">
    <w:name w:val="Comment Subject Char"/>
    <w:basedOn w:val="CommentTextChar"/>
    <w:link w:val="CommentSubject"/>
    <w:uiPriority w:val="99"/>
    <w:semiHidden/>
    <w:rsid w:val="008A5F2F"/>
    <w:rPr>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paragraph" w:styleId="Revision">
    <w:name w:val="Revision"/>
    <w:hidden/>
    <w:uiPriority w:val="99"/>
    <w:semiHidden/>
    <w:rsid w:val="00E0711D"/>
    <w:rPr>
      <w:color w:val="auto"/>
      <w:sz w:val="20"/>
    </w:rPr>
  </w:style>
  <w:style w:type="character" w:styleId="CommentReference">
    <w:name w:val="annotation reference"/>
    <w:basedOn w:val="DefaultParagraphFont"/>
    <w:uiPriority w:val="99"/>
    <w:semiHidden/>
    <w:unhideWhenUsed/>
    <w:rsid w:val="008A5F2F"/>
    <w:rPr>
      <w:sz w:val="16"/>
      <w:szCs w:val="16"/>
    </w:rPr>
  </w:style>
  <w:style w:type="paragraph" w:styleId="CommentText">
    <w:name w:val="annotation text"/>
    <w:basedOn w:val="Normal"/>
    <w:link w:val="CommentTextChar"/>
    <w:uiPriority w:val="99"/>
    <w:semiHidden/>
    <w:unhideWhenUsed/>
    <w:rsid w:val="008A5F2F"/>
    <w:pPr>
      <w:spacing w:line="240" w:lineRule="auto"/>
    </w:pPr>
    <w:rPr>
      <w:szCs w:val="20"/>
    </w:rPr>
  </w:style>
  <w:style w:type="character" w:customStyle="1" w:styleId="CommentTextChar">
    <w:name w:val="Comment Text Char"/>
    <w:basedOn w:val="DefaultParagraphFont"/>
    <w:link w:val="CommentText"/>
    <w:uiPriority w:val="99"/>
    <w:semiHidden/>
    <w:rsid w:val="008A5F2F"/>
    <w:rPr>
      <w:color w:val="auto"/>
      <w:sz w:val="20"/>
      <w:szCs w:val="20"/>
    </w:rPr>
  </w:style>
  <w:style w:type="paragraph" w:styleId="CommentSubject">
    <w:name w:val="annotation subject"/>
    <w:basedOn w:val="CommentText"/>
    <w:next w:val="CommentText"/>
    <w:link w:val="CommentSubjectChar"/>
    <w:uiPriority w:val="99"/>
    <w:semiHidden/>
    <w:unhideWhenUsed/>
    <w:rsid w:val="008A5F2F"/>
    <w:rPr>
      <w:b/>
      <w:bCs/>
    </w:rPr>
  </w:style>
  <w:style w:type="character" w:customStyle="1" w:styleId="CommentSubjectChar">
    <w:name w:val="Comment Subject Char"/>
    <w:basedOn w:val="CommentTextChar"/>
    <w:link w:val="CommentSubject"/>
    <w:uiPriority w:val="99"/>
    <w:semiHidden/>
    <w:rsid w:val="008A5F2F"/>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1729">
      <w:bodyDiv w:val="1"/>
      <w:marLeft w:val="0"/>
      <w:marRight w:val="0"/>
      <w:marTop w:val="0"/>
      <w:marBottom w:val="0"/>
      <w:divBdr>
        <w:top w:val="none" w:sz="0" w:space="0" w:color="auto"/>
        <w:left w:val="none" w:sz="0" w:space="0" w:color="auto"/>
        <w:bottom w:val="none" w:sz="0" w:space="0" w:color="auto"/>
        <w:right w:val="none" w:sz="0" w:space="0" w:color="auto"/>
      </w:divBdr>
    </w:div>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953025475">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2C6D11-A601-4EBF-8BDB-F0AB48B0D42C}"/>
</file>

<file path=customXml/itemProps2.xml><?xml version="1.0" encoding="utf-8"?>
<ds:datastoreItem xmlns:ds="http://schemas.openxmlformats.org/officeDocument/2006/customXml" ds:itemID="{19940263-3384-4A65-A201-69142CAC69C1}"/>
</file>

<file path=customXml/itemProps3.xml><?xml version="1.0" encoding="utf-8"?>
<ds:datastoreItem xmlns:ds="http://schemas.openxmlformats.org/officeDocument/2006/customXml" ds:itemID="{0A1E42F6-DDD9-4FCC-A1B9-488C2067D84E}"/>
</file>

<file path=customXml/itemProps4.xml><?xml version="1.0" encoding="utf-8"?>
<ds:datastoreItem xmlns:ds="http://schemas.openxmlformats.org/officeDocument/2006/customXml" ds:itemID="{CD06CE1C-FDC1-4F21-91CF-2A5980A10F07}"/>
</file>

<file path=docProps/app.xml><?xml version="1.0" encoding="utf-8"?>
<Properties xmlns="http://schemas.openxmlformats.org/officeDocument/2006/extended-properties" xmlns:vt="http://schemas.openxmlformats.org/officeDocument/2006/docPropsVTypes">
  <Template>4A935FA7.dotm</Template>
  <TotalTime>0</TotalTime>
  <Pages>4</Pages>
  <Words>1448</Words>
  <Characters>8632</Characters>
  <Application>Microsoft Office Word</Application>
  <DocSecurity>0</DocSecurity>
  <Lines>125</Lines>
  <Paragraphs>66</Paragraphs>
  <ScaleCrop>false</ScaleCrop>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2015-11-12T04:17:00Z</dcterms:created>
  <dcterms:modified xsi:type="dcterms:W3CDTF">2015-11-12T04:17:00Z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