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95A9" w14:textId="501D6770" w:rsidR="004E6B4B" w:rsidRDefault="004E6B4B" w:rsidP="004E6B4B">
      <w:pPr>
        <w:pStyle w:val="Heading1"/>
      </w:pPr>
      <w:r>
        <w:t xml:space="preserve">Nabilan 2024 Phase III Mid-Term Review: DFAT and The Asia Foundation Joint Management Response </w:t>
      </w:r>
    </w:p>
    <w:p w14:paraId="0E4293F7" w14:textId="57BFE1B9" w:rsidR="004E6B4B" w:rsidRDefault="004E6B4B" w:rsidP="004E6B4B">
      <w:r>
        <w:t xml:space="preserve">The Nabilan Phase III Mid-Term Review was completed over October – December 2024 by Strategic Development Group (Anna Trembath, Elsa Pinto and Catherine Renshaw). The Mid-Term Review was a </w:t>
      </w:r>
      <w:proofErr w:type="gramStart"/>
      <w:r>
        <w:t>high quality</w:t>
      </w:r>
      <w:proofErr w:type="gramEnd"/>
      <w:r>
        <w:t xml:space="preserve"> independent evaluation, which found that i</w:t>
      </w:r>
      <w:r w:rsidRPr="004E6B4B">
        <w:t>n Phase III, ten years into the life of the program, Nabilan continues to represent an exceptional quality, high-value, critically relevant investment in ending violence against women and children (EVAWC) in Timor-Leste</w:t>
      </w:r>
      <w:r>
        <w:t xml:space="preserve">. </w:t>
      </w:r>
    </w:p>
    <w:p w14:paraId="6C1231A6" w14:textId="61A84642" w:rsidR="004E6B4B" w:rsidRDefault="004E6B4B" w:rsidP="004E6B4B">
      <w:r>
        <w:t xml:space="preserve">This Management Response has been jointly developed by DFAT and </w:t>
      </w:r>
      <w:r w:rsidR="00240704">
        <w:t xml:space="preserve">The Asia Foundation (TAF). Responses to the evaluation’s 20 recommendations are listed below. </w:t>
      </w:r>
      <w:r w:rsidR="00401D1D">
        <w:t xml:space="preserve">DFAT and TAF agree to 19 of the </w:t>
      </w:r>
      <w:proofErr w:type="gramStart"/>
      <w:r w:rsidR="00401D1D">
        <w:t>recommendations, and</w:t>
      </w:r>
      <w:proofErr w:type="gramEnd"/>
      <w:r w:rsidR="00401D1D">
        <w:t xml:space="preserve"> partially agree to 1. </w:t>
      </w:r>
    </w:p>
    <w:p w14:paraId="06C8DC47" w14:textId="77777777" w:rsidR="00442D6D" w:rsidRPr="00442D6D" w:rsidRDefault="00442D6D" w:rsidP="00442D6D">
      <w:pPr>
        <w:pStyle w:val="Heading2"/>
      </w:pPr>
      <w:r w:rsidRPr="00442D6D">
        <w:t xml:space="preserve">Overall findings </w:t>
      </w:r>
    </w:p>
    <w:tbl>
      <w:tblPr>
        <w:tblStyle w:val="TableGrid"/>
        <w:tblW w:w="0" w:type="auto"/>
        <w:tblLook w:val="04A0" w:firstRow="1" w:lastRow="0" w:firstColumn="1" w:lastColumn="0" w:noHBand="0" w:noVBand="1"/>
      </w:tblPr>
      <w:tblGrid>
        <w:gridCol w:w="846"/>
        <w:gridCol w:w="5245"/>
        <w:gridCol w:w="7512"/>
      </w:tblGrid>
      <w:tr w:rsidR="00240704" w14:paraId="476AEAF9" w14:textId="77777777" w:rsidTr="00442D6D">
        <w:trPr>
          <w:tblHeader/>
        </w:trPr>
        <w:tc>
          <w:tcPr>
            <w:tcW w:w="846" w:type="dxa"/>
            <w:shd w:val="clear" w:color="auto" w:fill="D9D9D9" w:themeFill="background1" w:themeFillShade="D9"/>
          </w:tcPr>
          <w:p w14:paraId="2E5D7669" w14:textId="38636039" w:rsidR="00240704" w:rsidRPr="00240704" w:rsidRDefault="00240704" w:rsidP="004E6B4B">
            <w:pPr>
              <w:rPr>
                <w:sz w:val="20"/>
                <w:szCs w:val="20"/>
              </w:rPr>
            </w:pPr>
            <w:r w:rsidRPr="00240704">
              <w:rPr>
                <w:sz w:val="20"/>
                <w:szCs w:val="20"/>
              </w:rPr>
              <w:t>No.</w:t>
            </w:r>
          </w:p>
        </w:tc>
        <w:tc>
          <w:tcPr>
            <w:tcW w:w="5245" w:type="dxa"/>
            <w:shd w:val="clear" w:color="auto" w:fill="D9D9D9" w:themeFill="background1" w:themeFillShade="D9"/>
          </w:tcPr>
          <w:p w14:paraId="52945D34" w14:textId="54FE98A5" w:rsidR="00240704" w:rsidRPr="00240704" w:rsidRDefault="00240704" w:rsidP="004E6B4B">
            <w:pPr>
              <w:rPr>
                <w:sz w:val="20"/>
                <w:szCs w:val="20"/>
              </w:rPr>
            </w:pPr>
            <w:r w:rsidRPr="00240704">
              <w:rPr>
                <w:sz w:val="20"/>
                <w:szCs w:val="20"/>
              </w:rPr>
              <w:t>Recommendation</w:t>
            </w:r>
          </w:p>
        </w:tc>
        <w:tc>
          <w:tcPr>
            <w:tcW w:w="7512" w:type="dxa"/>
            <w:shd w:val="clear" w:color="auto" w:fill="D9D9D9" w:themeFill="background1" w:themeFillShade="D9"/>
          </w:tcPr>
          <w:p w14:paraId="20C88389" w14:textId="6BBDB481" w:rsidR="00240704" w:rsidRPr="00240704" w:rsidRDefault="00240704" w:rsidP="004E6B4B">
            <w:pPr>
              <w:rPr>
                <w:sz w:val="20"/>
                <w:szCs w:val="20"/>
              </w:rPr>
            </w:pPr>
            <w:r w:rsidRPr="00240704">
              <w:rPr>
                <w:sz w:val="20"/>
                <w:szCs w:val="20"/>
              </w:rPr>
              <w:t xml:space="preserve">Management </w:t>
            </w:r>
            <w:r w:rsidR="00443A35">
              <w:rPr>
                <w:sz w:val="20"/>
                <w:szCs w:val="20"/>
              </w:rPr>
              <w:t>r</w:t>
            </w:r>
            <w:r w:rsidRPr="00240704">
              <w:rPr>
                <w:sz w:val="20"/>
                <w:szCs w:val="20"/>
              </w:rPr>
              <w:t>esponse</w:t>
            </w:r>
          </w:p>
        </w:tc>
      </w:tr>
      <w:tr w:rsidR="00240704" w14:paraId="43D9CCC5" w14:textId="77777777" w:rsidTr="00443A35">
        <w:tc>
          <w:tcPr>
            <w:tcW w:w="846" w:type="dxa"/>
          </w:tcPr>
          <w:p w14:paraId="6BC521E1" w14:textId="11691A40" w:rsidR="00240704" w:rsidRPr="00240704" w:rsidRDefault="00240704" w:rsidP="004E6B4B">
            <w:pPr>
              <w:rPr>
                <w:sz w:val="20"/>
                <w:szCs w:val="20"/>
              </w:rPr>
            </w:pPr>
            <w:r w:rsidRPr="00240704">
              <w:rPr>
                <w:sz w:val="20"/>
                <w:szCs w:val="20"/>
              </w:rPr>
              <w:t>1</w:t>
            </w:r>
          </w:p>
        </w:tc>
        <w:tc>
          <w:tcPr>
            <w:tcW w:w="5245" w:type="dxa"/>
          </w:tcPr>
          <w:p w14:paraId="04B1A343" w14:textId="343DAC3C" w:rsidR="00240704" w:rsidRPr="00240704" w:rsidRDefault="00240704" w:rsidP="004E6B4B">
            <w:pPr>
              <w:rPr>
                <w:sz w:val="20"/>
                <w:szCs w:val="20"/>
              </w:rPr>
            </w:pPr>
            <w:r w:rsidRPr="00240704">
              <w:rPr>
                <w:sz w:val="20"/>
                <w:szCs w:val="20"/>
              </w:rPr>
              <w:t>It is recommended that the Nabilan program be extended into Phase IV.</w:t>
            </w:r>
          </w:p>
        </w:tc>
        <w:tc>
          <w:tcPr>
            <w:tcW w:w="7512" w:type="dxa"/>
          </w:tcPr>
          <w:p w14:paraId="2DD0F1D2" w14:textId="0F69F3EA" w:rsidR="00240704" w:rsidRPr="00240704" w:rsidRDefault="00240704" w:rsidP="00442D6D">
            <w:pPr>
              <w:rPr>
                <w:sz w:val="20"/>
                <w:szCs w:val="20"/>
              </w:rPr>
            </w:pPr>
            <w:r w:rsidRPr="00240704">
              <w:rPr>
                <w:sz w:val="20"/>
                <w:szCs w:val="20"/>
              </w:rPr>
              <w:t xml:space="preserve">Agree. Both DFAT and TAF agree to extend Nabilan into Phase IV (2026-2030) through utilising the current extension option available in Phase III. </w:t>
            </w:r>
          </w:p>
        </w:tc>
      </w:tr>
      <w:tr w:rsidR="00240704" w14:paraId="62ABA23C" w14:textId="77777777" w:rsidTr="00443A35">
        <w:tc>
          <w:tcPr>
            <w:tcW w:w="846" w:type="dxa"/>
          </w:tcPr>
          <w:p w14:paraId="15918659" w14:textId="0820C905" w:rsidR="00240704" w:rsidRPr="00240704" w:rsidRDefault="00240704" w:rsidP="004E6B4B">
            <w:pPr>
              <w:rPr>
                <w:sz w:val="20"/>
                <w:szCs w:val="20"/>
              </w:rPr>
            </w:pPr>
            <w:r w:rsidRPr="00240704">
              <w:rPr>
                <w:sz w:val="20"/>
                <w:szCs w:val="20"/>
              </w:rPr>
              <w:t>2</w:t>
            </w:r>
          </w:p>
        </w:tc>
        <w:tc>
          <w:tcPr>
            <w:tcW w:w="5245" w:type="dxa"/>
          </w:tcPr>
          <w:p w14:paraId="0ADBC393" w14:textId="3A5F06B9" w:rsidR="00240704" w:rsidRPr="00240704" w:rsidRDefault="00240704" w:rsidP="004E6B4B">
            <w:pPr>
              <w:rPr>
                <w:sz w:val="20"/>
                <w:szCs w:val="20"/>
              </w:rPr>
            </w:pPr>
            <w:r w:rsidRPr="00240704">
              <w:rPr>
                <w:sz w:val="20"/>
                <w:szCs w:val="20"/>
              </w:rPr>
              <w:t>It is recommended that the level of investment be increased for Phase IV. Two options for investment increase are included below, with the MTR supportive of Option B.</w:t>
            </w:r>
          </w:p>
        </w:tc>
        <w:tc>
          <w:tcPr>
            <w:tcW w:w="7512" w:type="dxa"/>
          </w:tcPr>
          <w:p w14:paraId="2BEA9D92" w14:textId="1B11A815" w:rsidR="00240704" w:rsidRPr="00240704" w:rsidRDefault="00240704" w:rsidP="00442D6D">
            <w:pPr>
              <w:rPr>
                <w:sz w:val="20"/>
                <w:szCs w:val="20"/>
              </w:rPr>
            </w:pPr>
            <w:r w:rsidRPr="00240704">
              <w:rPr>
                <w:sz w:val="20"/>
                <w:szCs w:val="20"/>
              </w:rPr>
              <w:t xml:space="preserve">Agree. DFAT seeks to increase the level of investment for Nabilan Phase IV. Exact budget will be subject to availability, and a ‘design refresh’ process over 2025-26, with a refreshed design submitted to DFAT </w:t>
            </w:r>
            <w:r w:rsidR="00B32680">
              <w:rPr>
                <w:sz w:val="20"/>
                <w:szCs w:val="20"/>
              </w:rPr>
              <w:t>by early 2026.</w:t>
            </w:r>
          </w:p>
        </w:tc>
      </w:tr>
    </w:tbl>
    <w:p w14:paraId="578811BE" w14:textId="77777777" w:rsidR="00442D6D" w:rsidRPr="00240704" w:rsidRDefault="00442D6D" w:rsidP="00442D6D">
      <w:pPr>
        <w:pStyle w:val="Heading2"/>
      </w:pPr>
      <w:r w:rsidRPr="00240704">
        <w:t>Relevance</w:t>
      </w:r>
    </w:p>
    <w:tbl>
      <w:tblPr>
        <w:tblStyle w:val="TableGrid"/>
        <w:tblW w:w="0" w:type="auto"/>
        <w:tblLook w:val="04A0" w:firstRow="1" w:lastRow="0" w:firstColumn="1" w:lastColumn="0" w:noHBand="0" w:noVBand="1"/>
      </w:tblPr>
      <w:tblGrid>
        <w:gridCol w:w="846"/>
        <w:gridCol w:w="5245"/>
        <w:gridCol w:w="7512"/>
      </w:tblGrid>
      <w:tr w:rsidR="00240704" w14:paraId="025A4326" w14:textId="77777777" w:rsidTr="00442D6D">
        <w:trPr>
          <w:tblHeader/>
        </w:trPr>
        <w:tc>
          <w:tcPr>
            <w:tcW w:w="846" w:type="dxa"/>
            <w:shd w:val="clear" w:color="auto" w:fill="D9D9D9" w:themeFill="background1" w:themeFillShade="D9"/>
          </w:tcPr>
          <w:p w14:paraId="57EE437B" w14:textId="61F9D398" w:rsidR="00240704" w:rsidRDefault="00240704" w:rsidP="004E6B4B">
            <w:pPr>
              <w:rPr>
                <w:sz w:val="20"/>
                <w:szCs w:val="20"/>
              </w:rPr>
            </w:pPr>
            <w:r>
              <w:rPr>
                <w:sz w:val="20"/>
                <w:szCs w:val="20"/>
              </w:rPr>
              <w:t>No.</w:t>
            </w:r>
          </w:p>
        </w:tc>
        <w:tc>
          <w:tcPr>
            <w:tcW w:w="5245" w:type="dxa"/>
            <w:shd w:val="clear" w:color="auto" w:fill="D9D9D9" w:themeFill="background1" w:themeFillShade="D9"/>
          </w:tcPr>
          <w:p w14:paraId="6A9FB985" w14:textId="33E00935" w:rsidR="00240704" w:rsidRPr="00240704" w:rsidRDefault="00240704" w:rsidP="004E6B4B">
            <w:pPr>
              <w:rPr>
                <w:sz w:val="20"/>
                <w:szCs w:val="20"/>
              </w:rPr>
            </w:pPr>
            <w:r>
              <w:rPr>
                <w:sz w:val="20"/>
                <w:szCs w:val="20"/>
              </w:rPr>
              <w:t>Recommendation</w:t>
            </w:r>
          </w:p>
        </w:tc>
        <w:tc>
          <w:tcPr>
            <w:tcW w:w="7512" w:type="dxa"/>
            <w:shd w:val="clear" w:color="auto" w:fill="D9D9D9" w:themeFill="background1" w:themeFillShade="D9"/>
          </w:tcPr>
          <w:p w14:paraId="0C9D1C7B" w14:textId="33739C3C" w:rsidR="00240704" w:rsidRPr="00240704" w:rsidRDefault="00240704" w:rsidP="00240704">
            <w:pPr>
              <w:rPr>
                <w:sz w:val="20"/>
                <w:szCs w:val="20"/>
              </w:rPr>
            </w:pPr>
            <w:r>
              <w:rPr>
                <w:sz w:val="20"/>
                <w:szCs w:val="20"/>
              </w:rPr>
              <w:t xml:space="preserve">Management </w:t>
            </w:r>
            <w:r w:rsidR="00443A35">
              <w:rPr>
                <w:sz w:val="20"/>
                <w:szCs w:val="20"/>
              </w:rPr>
              <w:t>r</w:t>
            </w:r>
            <w:r>
              <w:rPr>
                <w:sz w:val="20"/>
                <w:szCs w:val="20"/>
              </w:rPr>
              <w:t>esponse</w:t>
            </w:r>
          </w:p>
        </w:tc>
      </w:tr>
      <w:tr w:rsidR="00240704" w14:paraId="06A0C1B5" w14:textId="77777777" w:rsidTr="00443A35">
        <w:tc>
          <w:tcPr>
            <w:tcW w:w="846" w:type="dxa"/>
          </w:tcPr>
          <w:p w14:paraId="22CC2F51" w14:textId="548C162D" w:rsidR="00240704" w:rsidRPr="00240704" w:rsidRDefault="00240704" w:rsidP="004E6B4B">
            <w:pPr>
              <w:rPr>
                <w:sz w:val="20"/>
                <w:szCs w:val="20"/>
              </w:rPr>
            </w:pPr>
            <w:r>
              <w:rPr>
                <w:sz w:val="20"/>
                <w:szCs w:val="20"/>
              </w:rPr>
              <w:t>3</w:t>
            </w:r>
          </w:p>
        </w:tc>
        <w:tc>
          <w:tcPr>
            <w:tcW w:w="5245" w:type="dxa"/>
          </w:tcPr>
          <w:p w14:paraId="0E3FF3DF" w14:textId="1CFDD17A" w:rsidR="00240704" w:rsidRPr="00240704" w:rsidRDefault="00240704" w:rsidP="004E6B4B">
            <w:pPr>
              <w:rPr>
                <w:sz w:val="20"/>
                <w:szCs w:val="20"/>
              </w:rPr>
            </w:pPr>
            <w:r w:rsidRPr="00240704">
              <w:rPr>
                <w:sz w:val="20"/>
                <w:szCs w:val="20"/>
              </w:rPr>
              <w:t>It is recommended that all key interventions and components of the Nabilan Phase III design retain relevance for the current environment, though as the Nabilan team recognises and is actioning, V</w:t>
            </w:r>
            <w:r>
              <w:rPr>
                <w:sz w:val="20"/>
                <w:szCs w:val="20"/>
              </w:rPr>
              <w:t>iolence Against Children (VAC)</w:t>
            </w:r>
            <w:r w:rsidRPr="00240704">
              <w:rPr>
                <w:sz w:val="20"/>
                <w:szCs w:val="20"/>
              </w:rPr>
              <w:t xml:space="preserve"> service response capacity needs to be strengthened. Key interventions should be continued across Phases III and IV.</w:t>
            </w:r>
          </w:p>
        </w:tc>
        <w:tc>
          <w:tcPr>
            <w:tcW w:w="7512" w:type="dxa"/>
          </w:tcPr>
          <w:p w14:paraId="467B6364" w14:textId="17B085B9" w:rsidR="00240704" w:rsidRPr="00240704" w:rsidRDefault="00240704" w:rsidP="004E6B4B">
            <w:pPr>
              <w:rPr>
                <w:sz w:val="20"/>
                <w:szCs w:val="20"/>
              </w:rPr>
            </w:pPr>
            <w:r w:rsidRPr="00240704">
              <w:rPr>
                <w:sz w:val="20"/>
                <w:szCs w:val="20"/>
              </w:rPr>
              <w:t xml:space="preserve">Agree. Key interventions will be continued across Phases III and IV. In </w:t>
            </w:r>
            <w:r w:rsidR="00513FA8">
              <w:rPr>
                <w:sz w:val="20"/>
                <w:szCs w:val="20"/>
              </w:rPr>
              <w:t xml:space="preserve">the remainder of </w:t>
            </w:r>
            <w:r w:rsidRPr="00240704">
              <w:rPr>
                <w:sz w:val="20"/>
                <w:szCs w:val="20"/>
              </w:rPr>
              <w:t xml:space="preserve">Phase III (2025), the Nabilan team will workshop and articulate a strategy for </w:t>
            </w:r>
            <w:r w:rsidR="00A542A6">
              <w:rPr>
                <w:sz w:val="20"/>
                <w:szCs w:val="20"/>
              </w:rPr>
              <w:t xml:space="preserve">further </w:t>
            </w:r>
            <w:r w:rsidRPr="00240704">
              <w:rPr>
                <w:sz w:val="20"/>
                <w:szCs w:val="20"/>
              </w:rPr>
              <w:t xml:space="preserve">addressing VAC in the program. This will draw on external VAC expertise and will inform </w:t>
            </w:r>
            <w:r w:rsidR="00A771DC">
              <w:rPr>
                <w:sz w:val="20"/>
                <w:szCs w:val="20"/>
              </w:rPr>
              <w:t>VAC activities through the remainder of</w:t>
            </w:r>
            <w:r w:rsidR="009A4B39">
              <w:rPr>
                <w:sz w:val="20"/>
                <w:szCs w:val="20"/>
              </w:rPr>
              <w:t xml:space="preserve"> Phase III, as well as </w:t>
            </w:r>
            <w:r w:rsidRPr="00240704">
              <w:rPr>
                <w:sz w:val="20"/>
                <w:szCs w:val="20"/>
              </w:rPr>
              <w:t xml:space="preserve">the design refresh for Phase IV. Some elements of this will be able to be actioned in the remainder of Phase III: for example, deepening the approach to child-friendly counselling; </w:t>
            </w:r>
            <w:r>
              <w:rPr>
                <w:sz w:val="20"/>
                <w:szCs w:val="20"/>
              </w:rPr>
              <w:t>strengthening</w:t>
            </w:r>
            <w:r w:rsidRPr="00240704">
              <w:rPr>
                <w:sz w:val="20"/>
                <w:szCs w:val="20"/>
                <w:lang w:val="en-US"/>
              </w:rPr>
              <w:t xml:space="preserve"> child protection practices through review of services key policies and support for partners to review and strengthen their systems</w:t>
            </w:r>
            <w:r w:rsidR="00497F3D">
              <w:rPr>
                <w:sz w:val="20"/>
                <w:szCs w:val="20"/>
                <w:lang w:val="en-US"/>
              </w:rPr>
              <w:t xml:space="preserve"> that respond to VAC</w:t>
            </w:r>
            <w:r w:rsidRPr="00240704">
              <w:rPr>
                <w:sz w:val="20"/>
                <w:szCs w:val="20"/>
                <w:lang w:val="en-US"/>
              </w:rPr>
              <w:t xml:space="preserve">. </w:t>
            </w:r>
          </w:p>
        </w:tc>
      </w:tr>
      <w:tr w:rsidR="00240704" w14:paraId="08E7645A" w14:textId="77777777" w:rsidTr="00443A35">
        <w:tc>
          <w:tcPr>
            <w:tcW w:w="846" w:type="dxa"/>
          </w:tcPr>
          <w:p w14:paraId="6033F014" w14:textId="65FEE64C" w:rsidR="00240704" w:rsidRPr="00240704" w:rsidRDefault="00240704" w:rsidP="004E6B4B">
            <w:pPr>
              <w:rPr>
                <w:sz w:val="20"/>
                <w:szCs w:val="20"/>
              </w:rPr>
            </w:pPr>
            <w:r>
              <w:rPr>
                <w:sz w:val="20"/>
                <w:szCs w:val="20"/>
              </w:rPr>
              <w:lastRenderedPageBreak/>
              <w:t>4</w:t>
            </w:r>
          </w:p>
        </w:tc>
        <w:tc>
          <w:tcPr>
            <w:tcW w:w="5245" w:type="dxa"/>
          </w:tcPr>
          <w:p w14:paraId="438E195D" w14:textId="2087B6E1" w:rsidR="00240704" w:rsidRPr="00240704" w:rsidRDefault="00240704" w:rsidP="004E6B4B">
            <w:pPr>
              <w:rPr>
                <w:sz w:val="20"/>
                <w:szCs w:val="20"/>
              </w:rPr>
            </w:pPr>
            <w:r w:rsidRPr="00240704">
              <w:rPr>
                <w:sz w:val="20"/>
                <w:szCs w:val="20"/>
              </w:rPr>
              <w:t xml:space="preserve">It is recommended that to support program responsiveness to forthcoming contextual changes (such as high-speed internet) and to maximise systems impact, the program invests in improving its Theory of Change for Phase IV, including systems analysis and future forecasting. A strengthened </w:t>
            </w:r>
            <w:proofErr w:type="spellStart"/>
            <w:r w:rsidRPr="00240704">
              <w:rPr>
                <w:sz w:val="20"/>
                <w:szCs w:val="20"/>
              </w:rPr>
              <w:t>ToC</w:t>
            </w:r>
            <w:proofErr w:type="spellEnd"/>
            <w:r w:rsidRPr="00240704">
              <w:rPr>
                <w:sz w:val="20"/>
                <w:szCs w:val="20"/>
              </w:rPr>
              <w:t xml:space="preserve"> should also be clearer about which forms of violence experienced by whom are addressed through which program strategies, and specifically how the program responds to VAC.</w:t>
            </w:r>
          </w:p>
        </w:tc>
        <w:tc>
          <w:tcPr>
            <w:tcW w:w="7512" w:type="dxa"/>
          </w:tcPr>
          <w:p w14:paraId="3D6FE66B" w14:textId="6EBF1A04" w:rsidR="00240704" w:rsidRPr="00240704" w:rsidRDefault="00443A35" w:rsidP="00442D6D">
            <w:pPr>
              <w:rPr>
                <w:sz w:val="20"/>
                <w:szCs w:val="20"/>
              </w:rPr>
            </w:pPr>
            <w:r w:rsidRPr="00443A35">
              <w:rPr>
                <w:sz w:val="20"/>
                <w:szCs w:val="20"/>
              </w:rPr>
              <w:t xml:space="preserve">Agree. In 2025, DFAT will resource </w:t>
            </w:r>
            <w:r w:rsidR="002243FC">
              <w:rPr>
                <w:sz w:val="20"/>
                <w:szCs w:val="20"/>
              </w:rPr>
              <w:t>Nabilan</w:t>
            </w:r>
            <w:r w:rsidRPr="00443A35">
              <w:rPr>
                <w:sz w:val="20"/>
                <w:szCs w:val="20"/>
              </w:rPr>
              <w:t xml:space="preserve"> to engage external expertise to assist with strengthening </w:t>
            </w:r>
            <w:r w:rsidR="00EC4759">
              <w:rPr>
                <w:sz w:val="20"/>
                <w:szCs w:val="20"/>
              </w:rPr>
              <w:t>the program</w:t>
            </w:r>
            <w:r w:rsidR="007E23B0">
              <w:rPr>
                <w:sz w:val="20"/>
                <w:szCs w:val="20"/>
              </w:rPr>
              <w:t xml:space="preserve">’s </w:t>
            </w:r>
            <w:r w:rsidR="00725B54" w:rsidRPr="00443A35">
              <w:rPr>
                <w:sz w:val="20"/>
                <w:szCs w:val="20"/>
              </w:rPr>
              <w:t>systems analysis and</w:t>
            </w:r>
            <w:r w:rsidRPr="00443A35">
              <w:rPr>
                <w:sz w:val="20"/>
                <w:szCs w:val="20"/>
              </w:rPr>
              <w:t xml:space="preserve"> refreshing the program’s theory of change. This will be a collaborative DFAT – TAF </w:t>
            </w:r>
            <w:r w:rsidR="00725B54" w:rsidRPr="00443A35">
              <w:rPr>
                <w:sz w:val="20"/>
                <w:szCs w:val="20"/>
              </w:rPr>
              <w:t>exercise and</w:t>
            </w:r>
            <w:r w:rsidRPr="00443A35">
              <w:rPr>
                <w:sz w:val="20"/>
                <w:szCs w:val="20"/>
              </w:rPr>
              <w:t xml:space="preserve"> will feed into a refreshed design for Phase IV. </w:t>
            </w:r>
          </w:p>
        </w:tc>
      </w:tr>
      <w:tr w:rsidR="00240704" w14:paraId="3FB5BD66" w14:textId="77777777" w:rsidTr="00443A35">
        <w:tc>
          <w:tcPr>
            <w:tcW w:w="846" w:type="dxa"/>
          </w:tcPr>
          <w:p w14:paraId="30017D21" w14:textId="1D1CD2BB" w:rsidR="00240704" w:rsidRPr="00240704" w:rsidRDefault="00443A35" w:rsidP="004E6B4B">
            <w:pPr>
              <w:rPr>
                <w:sz w:val="20"/>
                <w:szCs w:val="20"/>
              </w:rPr>
            </w:pPr>
            <w:r>
              <w:rPr>
                <w:sz w:val="20"/>
                <w:szCs w:val="20"/>
              </w:rPr>
              <w:t>5</w:t>
            </w:r>
          </w:p>
        </w:tc>
        <w:tc>
          <w:tcPr>
            <w:tcW w:w="5245" w:type="dxa"/>
          </w:tcPr>
          <w:p w14:paraId="442A29D0" w14:textId="71F8119A" w:rsidR="00240704" w:rsidRPr="00240704" w:rsidRDefault="00443A35" w:rsidP="004E6B4B">
            <w:pPr>
              <w:rPr>
                <w:sz w:val="20"/>
                <w:szCs w:val="20"/>
              </w:rPr>
            </w:pPr>
            <w:r w:rsidRPr="00443A35">
              <w:rPr>
                <w:sz w:val="20"/>
                <w:szCs w:val="20"/>
              </w:rPr>
              <w:t xml:space="preserve">It is recommended that DP coordination and liaison continue to be improved within the Phase III period, particularly with UN agencies. This could take the shape of more regular Nabilan-DFAT-UN agencies meetings, as well as direct meetings with </w:t>
            </w:r>
            <w:proofErr w:type="gramStart"/>
            <w:r w:rsidRPr="00443A35">
              <w:rPr>
                <w:sz w:val="20"/>
                <w:szCs w:val="20"/>
              </w:rPr>
              <w:t>particular agencies</w:t>
            </w:r>
            <w:proofErr w:type="gramEnd"/>
            <w:r w:rsidRPr="00443A35">
              <w:rPr>
                <w:sz w:val="20"/>
                <w:szCs w:val="20"/>
              </w:rPr>
              <w:t xml:space="preserve"> such as UNFPA. This increased engagement should also focus on supporting DPs to better understand the Nabilan program approach and evidence, especially in the prevention space</w:t>
            </w:r>
          </w:p>
        </w:tc>
        <w:tc>
          <w:tcPr>
            <w:tcW w:w="7512" w:type="dxa"/>
          </w:tcPr>
          <w:p w14:paraId="2092EDB3" w14:textId="283BD972" w:rsidR="00240704" w:rsidRPr="00240704" w:rsidRDefault="00443A35" w:rsidP="00DC06D5">
            <w:pPr>
              <w:rPr>
                <w:sz w:val="20"/>
                <w:szCs w:val="20"/>
              </w:rPr>
            </w:pPr>
            <w:r w:rsidRPr="00443A35">
              <w:rPr>
                <w:sz w:val="20"/>
                <w:szCs w:val="20"/>
              </w:rPr>
              <w:t xml:space="preserve">Agree. DFAT and the Nabilan team recognise the need to </w:t>
            </w:r>
            <w:r w:rsidR="00302936">
              <w:rPr>
                <w:sz w:val="20"/>
                <w:szCs w:val="20"/>
              </w:rPr>
              <w:t>continue expanding engagement and coordination with</w:t>
            </w:r>
            <w:r w:rsidRPr="00443A35">
              <w:rPr>
                <w:sz w:val="20"/>
                <w:szCs w:val="20"/>
              </w:rPr>
              <w:t xml:space="preserve"> development partner</w:t>
            </w:r>
            <w:r w:rsidR="00302936">
              <w:rPr>
                <w:sz w:val="20"/>
                <w:szCs w:val="20"/>
              </w:rPr>
              <w:t>s,</w:t>
            </w:r>
            <w:r w:rsidRPr="00443A35">
              <w:rPr>
                <w:sz w:val="20"/>
                <w:szCs w:val="20"/>
              </w:rPr>
              <w:t xml:space="preserve"> including UN Agencies.</w:t>
            </w:r>
            <w:r w:rsidR="00813E60">
              <w:rPr>
                <w:sz w:val="20"/>
                <w:szCs w:val="20"/>
              </w:rPr>
              <w:t xml:space="preserve"> </w:t>
            </w:r>
            <w:r w:rsidR="008241AD">
              <w:rPr>
                <w:sz w:val="20"/>
                <w:szCs w:val="20"/>
              </w:rPr>
              <w:t>Through the remainder of Phase III</w:t>
            </w:r>
            <w:r w:rsidR="00133451">
              <w:rPr>
                <w:sz w:val="20"/>
                <w:szCs w:val="20"/>
              </w:rPr>
              <w:t xml:space="preserve"> and in Phase IV</w:t>
            </w:r>
            <w:r w:rsidR="008241AD">
              <w:rPr>
                <w:sz w:val="20"/>
                <w:szCs w:val="20"/>
              </w:rPr>
              <w:t xml:space="preserve"> Nabilan will </w:t>
            </w:r>
            <w:r w:rsidR="004E5269">
              <w:rPr>
                <w:sz w:val="20"/>
                <w:szCs w:val="20"/>
              </w:rPr>
              <w:t>continue to engage with regular inter-</w:t>
            </w:r>
            <w:r w:rsidRPr="00443A35">
              <w:rPr>
                <w:sz w:val="20"/>
                <w:szCs w:val="20"/>
              </w:rPr>
              <w:t xml:space="preserve">partner </w:t>
            </w:r>
            <w:r w:rsidR="004E5269">
              <w:rPr>
                <w:sz w:val="20"/>
                <w:szCs w:val="20"/>
              </w:rPr>
              <w:t xml:space="preserve">working groups </w:t>
            </w:r>
            <w:r w:rsidR="009F597E">
              <w:rPr>
                <w:sz w:val="20"/>
                <w:szCs w:val="20"/>
              </w:rPr>
              <w:t>and seek opportunities to formalise ongoing technical cooperation with UN agencies</w:t>
            </w:r>
            <w:r w:rsidR="002B3772">
              <w:rPr>
                <w:sz w:val="20"/>
                <w:szCs w:val="20"/>
              </w:rPr>
              <w:t xml:space="preserve"> </w:t>
            </w:r>
            <w:r w:rsidR="00A04954">
              <w:rPr>
                <w:sz w:val="20"/>
                <w:szCs w:val="20"/>
              </w:rPr>
              <w:t xml:space="preserve">to grow </w:t>
            </w:r>
            <w:r w:rsidR="00F83870">
              <w:rPr>
                <w:sz w:val="20"/>
                <w:szCs w:val="20"/>
              </w:rPr>
              <w:t xml:space="preserve">coordination and </w:t>
            </w:r>
            <w:r w:rsidR="00A04954">
              <w:rPr>
                <w:sz w:val="20"/>
                <w:szCs w:val="20"/>
              </w:rPr>
              <w:t xml:space="preserve">amplification of evidence-based prevention initiatives. </w:t>
            </w:r>
          </w:p>
        </w:tc>
      </w:tr>
    </w:tbl>
    <w:p w14:paraId="4B162557" w14:textId="77777777" w:rsidR="00442D6D" w:rsidRPr="00443A35" w:rsidRDefault="00442D6D" w:rsidP="00442D6D">
      <w:pPr>
        <w:pStyle w:val="Heading2"/>
      </w:pPr>
      <w:r w:rsidRPr="00443A35">
        <w:t>Coherence</w:t>
      </w:r>
    </w:p>
    <w:tbl>
      <w:tblPr>
        <w:tblStyle w:val="TableGrid"/>
        <w:tblW w:w="0" w:type="auto"/>
        <w:tblLook w:val="04A0" w:firstRow="1" w:lastRow="0" w:firstColumn="1" w:lastColumn="0" w:noHBand="0" w:noVBand="1"/>
      </w:tblPr>
      <w:tblGrid>
        <w:gridCol w:w="846"/>
        <w:gridCol w:w="5245"/>
        <w:gridCol w:w="7512"/>
      </w:tblGrid>
      <w:tr w:rsidR="00443A35" w14:paraId="3F876393" w14:textId="77777777" w:rsidTr="00442D6D">
        <w:trPr>
          <w:tblHeader/>
        </w:trPr>
        <w:tc>
          <w:tcPr>
            <w:tcW w:w="846" w:type="dxa"/>
            <w:shd w:val="clear" w:color="auto" w:fill="D9D9D9" w:themeFill="background1" w:themeFillShade="D9"/>
          </w:tcPr>
          <w:p w14:paraId="0B933168" w14:textId="551CB1BB" w:rsidR="00443A35" w:rsidRDefault="00443A35" w:rsidP="004E6B4B">
            <w:pPr>
              <w:rPr>
                <w:sz w:val="20"/>
                <w:szCs w:val="20"/>
              </w:rPr>
            </w:pPr>
            <w:r>
              <w:rPr>
                <w:sz w:val="20"/>
                <w:szCs w:val="20"/>
              </w:rPr>
              <w:t>No.</w:t>
            </w:r>
          </w:p>
        </w:tc>
        <w:tc>
          <w:tcPr>
            <w:tcW w:w="5245" w:type="dxa"/>
            <w:shd w:val="clear" w:color="auto" w:fill="D9D9D9" w:themeFill="background1" w:themeFillShade="D9"/>
          </w:tcPr>
          <w:p w14:paraId="28DB1F40" w14:textId="57FF57CA" w:rsidR="00443A35" w:rsidRPr="00443A35" w:rsidRDefault="00443A35" w:rsidP="004E6B4B">
            <w:pPr>
              <w:rPr>
                <w:sz w:val="20"/>
                <w:szCs w:val="20"/>
              </w:rPr>
            </w:pPr>
            <w:r>
              <w:rPr>
                <w:sz w:val="20"/>
                <w:szCs w:val="20"/>
              </w:rPr>
              <w:t>Recommendation</w:t>
            </w:r>
          </w:p>
        </w:tc>
        <w:tc>
          <w:tcPr>
            <w:tcW w:w="7512" w:type="dxa"/>
            <w:shd w:val="clear" w:color="auto" w:fill="D9D9D9" w:themeFill="background1" w:themeFillShade="D9"/>
          </w:tcPr>
          <w:p w14:paraId="794AA420" w14:textId="6CEA7282" w:rsidR="00443A35" w:rsidRPr="00240704" w:rsidRDefault="00443A35" w:rsidP="004E6B4B">
            <w:pPr>
              <w:rPr>
                <w:sz w:val="20"/>
                <w:szCs w:val="20"/>
              </w:rPr>
            </w:pPr>
            <w:r>
              <w:rPr>
                <w:sz w:val="20"/>
                <w:szCs w:val="20"/>
              </w:rPr>
              <w:t>Management response</w:t>
            </w:r>
          </w:p>
        </w:tc>
      </w:tr>
      <w:tr w:rsidR="00240704" w14:paraId="54181A3E" w14:textId="77777777" w:rsidTr="00443A35">
        <w:tc>
          <w:tcPr>
            <w:tcW w:w="846" w:type="dxa"/>
          </w:tcPr>
          <w:p w14:paraId="3A2FD5EF" w14:textId="34F9CF01" w:rsidR="00240704" w:rsidRPr="00240704" w:rsidRDefault="00443A35" w:rsidP="004E6B4B">
            <w:pPr>
              <w:rPr>
                <w:sz w:val="20"/>
                <w:szCs w:val="20"/>
              </w:rPr>
            </w:pPr>
            <w:r>
              <w:rPr>
                <w:sz w:val="20"/>
                <w:szCs w:val="20"/>
              </w:rPr>
              <w:t>6</w:t>
            </w:r>
          </w:p>
        </w:tc>
        <w:tc>
          <w:tcPr>
            <w:tcW w:w="5245" w:type="dxa"/>
          </w:tcPr>
          <w:p w14:paraId="582F1088" w14:textId="15DF1526" w:rsidR="00240704" w:rsidRPr="00240704" w:rsidRDefault="00443A35" w:rsidP="004E6B4B">
            <w:pPr>
              <w:rPr>
                <w:sz w:val="20"/>
                <w:szCs w:val="20"/>
              </w:rPr>
            </w:pPr>
            <w:r w:rsidRPr="00443A35">
              <w:rPr>
                <w:sz w:val="20"/>
                <w:szCs w:val="20"/>
              </w:rPr>
              <w:t xml:space="preserve">It is recommended that, within Phases III and IV, the Nabilan team address the sense of siloing between program pillars and their partners, and the tension felt between older, more established partners and newer partners. Renewing of a shared program purpose could be supported through learning visits to each other’s work, practicing sharing stories of change including collaborations, and, in Phase IV, providing older partners with more opportunities to engage in the community-based prevention work. This could look like the careful incorporation of the most prevention-ready service partner into KOKOSA! scale up in the coming years, and </w:t>
            </w:r>
            <w:r w:rsidRPr="00443A35">
              <w:rPr>
                <w:sz w:val="20"/>
                <w:szCs w:val="20"/>
              </w:rPr>
              <w:lastRenderedPageBreak/>
              <w:t>opportunities for occasional training and accompaniment of community engagement for other partners.</w:t>
            </w:r>
          </w:p>
        </w:tc>
        <w:tc>
          <w:tcPr>
            <w:tcW w:w="7512" w:type="dxa"/>
          </w:tcPr>
          <w:p w14:paraId="209A2207" w14:textId="34560CA1" w:rsidR="00240704" w:rsidRPr="00240704" w:rsidRDefault="00443A35" w:rsidP="00442D6D">
            <w:pPr>
              <w:rPr>
                <w:sz w:val="20"/>
                <w:szCs w:val="20"/>
              </w:rPr>
            </w:pPr>
            <w:r w:rsidRPr="00443A35">
              <w:rPr>
                <w:sz w:val="20"/>
                <w:szCs w:val="20"/>
              </w:rPr>
              <w:lastRenderedPageBreak/>
              <w:t>Agree. During Phase III, the Nabilan team will explore options</w:t>
            </w:r>
            <w:r w:rsidR="0065703C">
              <w:rPr>
                <w:sz w:val="20"/>
                <w:szCs w:val="20"/>
              </w:rPr>
              <w:t xml:space="preserve"> to </w:t>
            </w:r>
            <w:r w:rsidR="001A3963">
              <w:rPr>
                <w:sz w:val="20"/>
                <w:szCs w:val="20"/>
              </w:rPr>
              <w:t>continue</w:t>
            </w:r>
            <w:r w:rsidR="001A3963" w:rsidRPr="00443A35">
              <w:rPr>
                <w:sz w:val="20"/>
                <w:szCs w:val="20"/>
              </w:rPr>
              <w:t xml:space="preserve"> building</w:t>
            </w:r>
            <w:r w:rsidRPr="00443A35">
              <w:rPr>
                <w:sz w:val="20"/>
                <w:szCs w:val="20"/>
              </w:rPr>
              <w:t xml:space="preserve"> a shared sense of program purpose between partners, as well as exploring options for expanding the prevention work to include services partners, where appropriate and as funding allows. </w:t>
            </w:r>
          </w:p>
        </w:tc>
      </w:tr>
      <w:tr w:rsidR="00443A35" w14:paraId="0567CAFC" w14:textId="77777777" w:rsidTr="00443A35">
        <w:tc>
          <w:tcPr>
            <w:tcW w:w="846" w:type="dxa"/>
          </w:tcPr>
          <w:p w14:paraId="0DB1BCFD" w14:textId="1C46C4C8" w:rsidR="00443A35" w:rsidRDefault="00443A35" w:rsidP="004E6B4B">
            <w:pPr>
              <w:rPr>
                <w:sz w:val="20"/>
                <w:szCs w:val="20"/>
              </w:rPr>
            </w:pPr>
            <w:r>
              <w:rPr>
                <w:sz w:val="20"/>
                <w:szCs w:val="20"/>
              </w:rPr>
              <w:t>7</w:t>
            </w:r>
          </w:p>
        </w:tc>
        <w:tc>
          <w:tcPr>
            <w:tcW w:w="5245" w:type="dxa"/>
          </w:tcPr>
          <w:p w14:paraId="76ABF17A" w14:textId="0EEF5184" w:rsidR="00443A35" w:rsidRPr="00443A35" w:rsidRDefault="00443A35" w:rsidP="004E6B4B">
            <w:pPr>
              <w:rPr>
                <w:sz w:val="20"/>
                <w:szCs w:val="20"/>
              </w:rPr>
            </w:pPr>
            <w:r w:rsidRPr="00443A35">
              <w:rPr>
                <w:sz w:val="20"/>
                <w:szCs w:val="20"/>
              </w:rPr>
              <w:t>It is recommended that, within Phase III, Nabilan creates structured opportunities for HDS and HAMNASA to learn from one another’s positive parenting interventions</w:t>
            </w:r>
            <w:r>
              <w:rPr>
                <w:sz w:val="20"/>
                <w:szCs w:val="20"/>
              </w:rPr>
              <w:t>.</w:t>
            </w:r>
          </w:p>
        </w:tc>
        <w:tc>
          <w:tcPr>
            <w:tcW w:w="7512" w:type="dxa"/>
          </w:tcPr>
          <w:p w14:paraId="3D5BCA2C" w14:textId="12A4A2A4" w:rsidR="00443A35" w:rsidRPr="00443A35" w:rsidRDefault="00443A35" w:rsidP="00443A35">
            <w:pPr>
              <w:rPr>
                <w:sz w:val="20"/>
                <w:szCs w:val="20"/>
              </w:rPr>
            </w:pPr>
            <w:r w:rsidRPr="00443A35">
              <w:rPr>
                <w:sz w:val="20"/>
                <w:szCs w:val="20"/>
              </w:rPr>
              <w:t xml:space="preserve">Agree. In early 2025, HAMNASA has shared lessons with HDS, and this will continue. </w:t>
            </w:r>
          </w:p>
        </w:tc>
      </w:tr>
      <w:tr w:rsidR="00443A35" w14:paraId="34F0BD8D" w14:textId="77777777" w:rsidTr="00443A35">
        <w:tc>
          <w:tcPr>
            <w:tcW w:w="846" w:type="dxa"/>
          </w:tcPr>
          <w:p w14:paraId="06F3D10D" w14:textId="0E16FC10" w:rsidR="00443A35" w:rsidRDefault="00443A35" w:rsidP="004E6B4B">
            <w:pPr>
              <w:rPr>
                <w:sz w:val="20"/>
                <w:szCs w:val="20"/>
              </w:rPr>
            </w:pPr>
            <w:r>
              <w:rPr>
                <w:sz w:val="20"/>
                <w:szCs w:val="20"/>
              </w:rPr>
              <w:t>8</w:t>
            </w:r>
          </w:p>
        </w:tc>
        <w:tc>
          <w:tcPr>
            <w:tcW w:w="5245" w:type="dxa"/>
          </w:tcPr>
          <w:p w14:paraId="52A7A495" w14:textId="094BC376" w:rsidR="00443A35" w:rsidRPr="00443A35" w:rsidRDefault="00443A35" w:rsidP="00443A35">
            <w:pPr>
              <w:rPr>
                <w:sz w:val="20"/>
                <w:szCs w:val="20"/>
              </w:rPr>
            </w:pPr>
            <w:r w:rsidRPr="00443A35">
              <w:rPr>
                <w:sz w:val="20"/>
                <w:szCs w:val="20"/>
              </w:rPr>
              <w:t>It is recommended that the Nabilan team consider more municipal visits and opportunities for municipal staff to engage in Dili-based reflective learning processes.</w:t>
            </w:r>
          </w:p>
        </w:tc>
        <w:tc>
          <w:tcPr>
            <w:tcW w:w="7512" w:type="dxa"/>
          </w:tcPr>
          <w:p w14:paraId="7D8EA767" w14:textId="74B48FFC" w:rsidR="00443A35" w:rsidRPr="00443A35" w:rsidRDefault="00443A35" w:rsidP="00443A35">
            <w:pPr>
              <w:rPr>
                <w:sz w:val="20"/>
                <w:szCs w:val="20"/>
              </w:rPr>
            </w:pPr>
            <w:r w:rsidRPr="00443A35">
              <w:rPr>
                <w:sz w:val="20"/>
                <w:szCs w:val="20"/>
              </w:rPr>
              <w:t xml:space="preserve">Agree. The Nabilan team will increase efforts to reach out </w:t>
            </w:r>
            <w:r w:rsidRPr="00443A35">
              <w:rPr>
                <w:sz w:val="20"/>
                <w:szCs w:val="20"/>
                <w:lang w:val="en-US"/>
              </w:rPr>
              <w:t>to municipality-based staff, while balancing</w:t>
            </w:r>
            <w:r w:rsidR="000109BC">
              <w:rPr>
                <w:sz w:val="20"/>
                <w:szCs w:val="20"/>
                <w:lang w:val="en-US"/>
              </w:rPr>
              <w:t xml:space="preserve"> direct </w:t>
            </w:r>
            <w:r w:rsidR="002B41A1">
              <w:rPr>
                <w:sz w:val="20"/>
                <w:szCs w:val="20"/>
                <w:lang w:val="en-US"/>
              </w:rPr>
              <w:t>engagement</w:t>
            </w:r>
            <w:r w:rsidR="000109BC">
              <w:rPr>
                <w:sz w:val="20"/>
                <w:szCs w:val="20"/>
                <w:lang w:val="en-US"/>
              </w:rPr>
              <w:t xml:space="preserve"> with </w:t>
            </w:r>
            <w:r w:rsidR="002B41A1">
              <w:rPr>
                <w:sz w:val="20"/>
                <w:szCs w:val="20"/>
                <w:lang w:val="en-US"/>
              </w:rPr>
              <w:t>staff of satellite centres</w:t>
            </w:r>
            <w:r w:rsidRPr="00443A35">
              <w:rPr>
                <w:sz w:val="20"/>
                <w:szCs w:val="20"/>
                <w:lang w:val="en-US"/>
              </w:rPr>
              <w:t xml:space="preserve"> </w:t>
            </w:r>
            <w:r w:rsidR="002B41A1">
              <w:rPr>
                <w:sz w:val="20"/>
                <w:szCs w:val="20"/>
                <w:lang w:val="en-US"/>
              </w:rPr>
              <w:t xml:space="preserve">with </w:t>
            </w:r>
            <w:r w:rsidR="0012490A">
              <w:rPr>
                <w:sz w:val="20"/>
                <w:szCs w:val="20"/>
                <w:lang w:val="en-US"/>
              </w:rPr>
              <w:t>partner</w:t>
            </w:r>
            <w:r w:rsidR="002B41A1">
              <w:rPr>
                <w:sz w:val="20"/>
                <w:szCs w:val="20"/>
                <w:lang w:val="en-US"/>
              </w:rPr>
              <w:t xml:space="preserve"> </w:t>
            </w:r>
            <w:r w:rsidRPr="00443A35">
              <w:rPr>
                <w:sz w:val="20"/>
                <w:szCs w:val="20"/>
                <w:lang w:val="en-US"/>
              </w:rPr>
              <w:t xml:space="preserve">organisations’ own management systems. </w:t>
            </w:r>
          </w:p>
          <w:p w14:paraId="0461BF33" w14:textId="77777777" w:rsidR="00443A35" w:rsidRPr="00443A35" w:rsidRDefault="00443A35" w:rsidP="00443A35">
            <w:pPr>
              <w:rPr>
                <w:sz w:val="20"/>
                <w:szCs w:val="20"/>
              </w:rPr>
            </w:pPr>
          </w:p>
        </w:tc>
      </w:tr>
      <w:tr w:rsidR="00443A35" w14:paraId="61971D98" w14:textId="77777777" w:rsidTr="00443A35">
        <w:tc>
          <w:tcPr>
            <w:tcW w:w="846" w:type="dxa"/>
          </w:tcPr>
          <w:p w14:paraId="54D0775D" w14:textId="7D574AA6" w:rsidR="00443A35" w:rsidRDefault="00443A35" w:rsidP="004E6B4B">
            <w:pPr>
              <w:rPr>
                <w:sz w:val="20"/>
                <w:szCs w:val="20"/>
              </w:rPr>
            </w:pPr>
            <w:r>
              <w:rPr>
                <w:sz w:val="20"/>
                <w:szCs w:val="20"/>
              </w:rPr>
              <w:t>9</w:t>
            </w:r>
          </w:p>
        </w:tc>
        <w:tc>
          <w:tcPr>
            <w:tcW w:w="5245" w:type="dxa"/>
          </w:tcPr>
          <w:p w14:paraId="5C800D77" w14:textId="0F9C4166" w:rsidR="00443A35" w:rsidRPr="00443A35" w:rsidRDefault="00443A35" w:rsidP="00442D6D">
            <w:pPr>
              <w:rPr>
                <w:sz w:val="20"/>
                <w:szCs w:val="20"/>
              </w:rPr>
            </w:pPr>
            <w:r>
              <w:rPr>
                <w:sz w:val="20"/>
                <w:szCs w:val="20"/>
              </w:rPr>
              <w:t>I</w:t>
            </w:r>
            <w:r w:rsidRPr="00443A35">
              <w:rPr>
                <w:sz w:val="20"/>
                <w:szCs w:val="20"/>
              </w:rPr>
              <w:t xml:space="preserve">t is recommended that the program undertake systems analysis, potentially with some limited external expertise, to support its systems-level </w:t>
            </w:r>
            <w:proofErr w:type="spellStart"/>
            <w:r w:rsidRPr="00443A35">
              <w:rPr>
                <w:sz w:val="20"/>
                <w:szCs w:val="20"/>
              </w:rPr>
              <w:t>strategising</w:t>
            </w:r>
            <w:proofErr w:type="spellEnd"/>
            <w:r w:rsidRPr="00443A35">
              <w:rPr>
                <w:sz w:val="20"/>
                <w:szCs w:val="20"/>
              </w:rPr>
              <w:t xml:space="preserve"> and to inform Phase IV design and MEL.</w:t>
            </w:r>
          </w:p>
        </w:tc>
        <w:tc>
          <w:tcPr>
            <w:tcW w:w="7512" w:type="dxa"/>
          </w:tcPr>
          <w:p w14:paraId="3791708A" w14:textId="642F5C05" w:rsidR="00443A35" w:rsidRPr="00443A35" w:rsidRDefault="00443A35" w:rsidP="00442D6D">
            <w:pPr>
              <w:rPr>
                <w:sz w:val="20"/>
                <w:szCs w:val="20"/>
              </w:rPr>
            </w:pPr>
            <w:r>
              <w:rPr>
                <w:sz w:val="20"/>
                <w:szCs w:val="20"/>
              </w:rPr>
              <w:t>Agree. As above.</w:t>
            </w:r>
          </w:p>
        </w:tc>
      </w:tr>
    </w:tbl>
    <w:p w14:paraId="7172F9DB" w14:textId="77777777" w:rsidR="00442D6D" w:rsidRPr="00443A35" w:rsidRDefault="00442D6D" w:rsidP="00442D6D">
      <w:pPr>
        <w:pStyle w:val="Heading2"/>
      </w:pPr>
      <w:r>
        <w:t>Effectiveness</w:t>
      </w:r>
    </w:p>
    <w:tbl>
      <w:tblPr>
        <w:tblStyle w:val="TableGrid"/>
        <w:tblW w:w="0" w:type="auto"/>
        <w:tblLook w:val="04A0" w:firstRow="1" w:lastRow="0" w:firstColumn="1" w:lastColumn="0" w:noHBand="0" w:noVBand="1"/>
      </w:tblPr>
      <w:tblGrid>
        <w:gridCol w:w="846"/>
        <w:gridCol w:w="5245"/>
        <w:gridCol w:w="7512"/>
      </w:tblGrid>
      <w:tr w:rsidR="00443A35" w14:paraId="18F74DF4" w14:textId="77777777" w:rsidTr="00442D6D">
        <w:trPr>
          <w:tblHeader/>
        </w:trPr>
        <w:tc>
          <w:tcPr>
            <w:tcW w:w="846" w:type="dxa"/>
            <w:shd w:val="clear" w:color="auto" w:fill="D9D9D9" w:themeFill="background1" w:themeFillShade="D9"/>
          </w:tcPr>
          <w:p w14:paraId="721FE436" w14:textId="20296DF1" w:rsidR="00443A35" w:rsidRDefault="00443A35" w:rsidP="004E6B4B">
            <w:pPr>
              <w:rPr>
                <w:sz w:val="20"/>
                <w:szCs w:val="20"/>
              </w:rPr>
            </w:pPr>
            <w:r>
              <w:rPr>
                <w:sz w:val="20"/>
                <w:szCs w:val="20"/>
              </w:rPr>
              <w:t>No.</w:t>
            </w:r>
          </w:p>
        </w:tc>
        <w:tc>
          <w:tcPr>
            <w:tcW w:w="5245" w:type="dxa"/>
            <w:shd w:val="clear" w:color="auto" w:fill="D9D9D9" w:themeFill="background1" w:themeFillShade="D9"/>
          </w:tcPr>
          <w:p w14:paraId="4C82D7D0" w14:textId="314C5B48" w:rsidR="00443A35" w:rsidRPr="00443A35" w:rsidRDefault="00443A35" w:rsidP="00443A35">
            <w:pPr>
              <w:rPr>
                <w:sz w:val="20"/>
                <w:szCs w:val="20"/>
              </w:rPr>
            </w:pPr>
            <w:r>
              <w:rPr>
                <w:sz w:val="20"/>
                <w:szCs w:val="20"/>
              </w:rPr>
              <w:t>Recommendation</w:t>
            </w:r>
          </w:p>
        </w:tc>
        <w:tc>
          <w:tcPr>
            <w:tcW w:w="7512" w:type="dxa"/>
            <w:shd w:val="clear" w:color="auto" w:fill="D9D9D9" w:themeFill="background1" w:themeFillShade="D9"/>
          </w:tcPr>
          <w:p w14:paraId="529E2B7D" w14:textId="3CC6FFC0" w:rsidR="00443A35" w:rsidRDefault="00443A35" w:rsidP="00443A35">
            <w:pPr>
              <w:rPr>
                <w:sz w:val="20"/>
                <w:szCs w:val="20"/>
              </w:rPr>
            </w:pPr>
            <w:r>
              <w:rPr>
                <w:sz w:val="20"/>
                <w:szCs w:val="20"/>
              </w:rPr>
              <w:t xml:space="preserve">Management response </w:t>
            </w:r>
          </w:p>
        </w:tc>
      </w:tr>
      <w:tr w:rsidR="00443A35" w14:paraId="3B7A7D70" w14:textId="77777777" w:rsidTr="00443A35">
        <w:tc>
          <w:tcPr>
            <w:tcW w:w="846" w:type="dxa"/>
          </w:tcPr>
          <w:p w14:paraId="7E39A039" w14:textId="3FBC47D6" w:rsidR="00443A35" w:rsidRDefault="00443A35" w:rsidP="004E6B4B">
            <w:pPr>
              <w:rPr>
                <w:sz w:val="20"/>
                <w:szCs w:val="20"/>
              </w:rPr>
            </w:pPr>
            <w:r>
              <w:rPr>
                <w:sz w:val="20"/>
                <w:szCs w:val="20"/>
              </w:rPr>
              <w:t>10</w:t>
            </w:r>
          </w:p>
        </w:tc>
        <w:tc>
          <w:tcPr>
            <w:tcW w:w="5245" w:type="dxa"/>
          </w:tcPr>
          <w:p w14:paraId="03C4AE83" w14:textId="45929927" w:rsidR="00443A35" w:rsidRDefault="00443A35" w:rsidP="00442D6D">
            <w:pPr>
              <w:rPr>
                <w:sz w:val="20"/>
                <w:szCs w:val="20"/>
              </w:rPr>
            </w:pPr>
            <w:r w:rsidRPr="00443A35">
              <w:rPr>
                <w:sz w:val="20"/>
                <w:szCs w:val="20"/>
              </w:rPr>
              <w:t xml:space="preserve">It is recommended that as interventions mature and cohorts exit, outcomes evaluations are undertaken of </w:t>
            </w:r>
            <w:proofErr w:type="spellStart"/>
            <w:r w:rsidRPr="00443A35">
              <w:rPr>
                <w:sz w:val="20"/>
                <w:szCs w:val="20"/>
              </w:rPr>
              <w:t>NeNaMu</w:t>
            </w:r>
            <w:proofErr w:type="spellEnd"/>
            <w:r w:rsidRPr="00443A35">
              <w:rPr>
                <w:sz w:val="20"/>
                <w:szCs w:val="20"/>
              </w:rPr>
              <w:t xml:space="preserve"> and the positive parenting initiatives to fully understand their potential, including six-month post-exit follow up. This should include the partners of incarcerated men in the context of HDS’s ways of working with men.</w:t>
            </w:r>
          </w:p>
        </w:tc>
        <w:tc>
          <w:tcPr>
            <w:tcW w:w="7512" w:type="dxa"/>
          </w:tcPr>
          <w:p w14:paraId="2B67782F" w14:textId="07EA1C5D" w:rsidR="00443A35" w:rsidRDefault="00952638" w:rsidP="00442D6D">
            <w:pPr>
              <w:rPr>
                <w:sz w:val="20"/>
                <w:szCs w:val="20"/>
              </w:rPr>
            </w:pPr>
            <w:r w:rsidRPr="00952638">
              <w:rPr>
                <w:sz w:val="20"/>
                <w:szCs w:val="20"/>
              </w:rPr>
              <w:t>Agree</w:t>
            </w:r>
            <w:r w:rsidR="00900582">
              <w:rPr>
                <w:sz w:val="20"/>
                <w:szCs w:val="20"/>
              </w:rPr>
              <w:t>.</w:t>
            </w:r>
            <w:r w:rsidRPr="00952638">
              <w:rPr>
                <w:sz w:val="20"/>
                <w:szCs w:val="20"/>
              </w:rPr>
              <w:t xml:space="preserve"> DFAT and TAF value in outcome evaluations </w:t>
            </w:r>
            <w:r w:rsidR="00666084">
              <w:rPr>
                <w:sz w:val="20"/>
                <w:szCs w:val="20"/>
              </w:rPr>
              <w:t xml:space="preserve">of Nabilan prevention programming </w:t>
            </w:r>
            <w:r w:rsidRPr="00952638">
              <w:rPr>
                <w:sz w:val="20"/>
                <w:szCs w:val="20"/>
              </w:rPr>
              <w:t>and are committed to continually building the evidence base for Nabilan’s program approaches</w:t>
            </w:r>
            <w:r w:rsidR="0010204D">
              <w:rPr>
                <w:sz w:val="20"/>
                <w:szCs w:val="20"/>
              </w:rPr>
              <w:t xml:space="preserve">. </w:t>
            </w:r>
            <w:r w:rsidR="008E310B">
              <w:rPr>
                <w:sz w:val="20"/>
                <w:szCs w:val="20"/>
              </w:rPr>
              <w:t xml:space="preserve">Outcome evaluation methods and approaches will be commensurate with </w:t>
            </w:r>
            <w:r w:rsidRPr="00952638">
              <w:rPr>
                <w:sz w:val="20"/>
                <w:szCs w:val="20"/>
              </w:rPr>
              <w:t xml:space="preserve">budget availability in Phase III, and the design refresh process for Phase IV. </w:t>
            </w:r>
          </w:p>
        </w:tc>
      </w:tr>
      <w:tr w:rsidR="00443A35" w14:paraId="5F81F434" w14:textId="77777777" w:rsidTr="00443A35">
        <w:tc>
          <w:tcPr>
            <w:tcW w:w="846" w:type="dxa"/>
          </w:tcPr>
          <w:p w14:paraId="28F1CA44" w14:textId="0C28AFAE" w:rsidR="00443A35" w:rsidRDefault="00952638" w:rsidP="004E6B4B">
            <w:pPr>
              <w:rPr>
                <w:sz w:val="20"/>
                <w:szCs w:val="20"/>
              </w:rPr>
            </w:pPr>
            <w:r>
              <w:rPr>
                <w:sz w:val="20"/>
                <w:szCs w:val="20"/>
              </w:rPr>
              <w:t>11</w:t>
            </w:r>
          </w:p>
        </w:tc>
        <w:tc>
          <w:tcPr>
            <w:tcW w:w="5245" w:type="dxa"/>
          </w:tcPr>
          <w:p w14:paraId="5EE95889" w14:textId="6257989A" w:rsidR="00443A35" w:rsidRPr="00443A35" w:rsidRDefault="00952638" w:rsidP="00443A35">
            <w:pPr>
              <w:rPr>
                <w:sz w:val="20"/>
                <w:szCs w:val="20"/>
              </w:rPr>
            </w:pPr>
            <w:r w:rsidRPr="00952638">
              <w:rPr>
                <w:sz w:val="20"/>
                <w:szCs w:val="20"/>
              </w:rPr>
              <w:t>It is recommended that as soon as possible, the formal bilateral governance gap should be addressed – acknowledging that this may not be feasible in the short term. Current pragmatic solutions are appropriate, in the absence of alternatives, and TAF is taking steps within its control to give some formality and</w:t>
            </w:r>
            <w:r>
              <w:rPr>
                <w:sz w:val="20"/>
                <w:szCs w:val="20"/>
              </w:rPr>
              <w:t xml:space="preserve"> Government of Timor-Leste</w:t>
            </w:r>
            <w:r w:rsidRPr="00952638">
              <w:rPr>
                <w:sz w:val="20"/>
                <w:szCs w:val="20"/>
              </w:rPr>
              <w:t xml:space="preserve"> </w:t>
            </w:r>
            <w:r>
              <w:rPr>
                <w:sz w:val="20"/>
                <w:szCs w:val="20"/>
              </w:rPr>
              <w:t>(</w:t>
            </w:r>
            <w:r w:rsidRPr="00952638">
              <w:rPr>
                <w:sz w:val="20"/>
                <w:szCs w:val="20"/>
              </w:rPr>
              <w:t>GoTL</w:t>
            </w:r>
            <w:r>
              <w:rPr>
                <w:sz w:val="20"/>
                <w:szCs w:val="20"/>
              </w:rPr>
              <w:t>)</w:t>
            </w:r>
            <w:r w:rsidRPr="00952638">
              <w:rPr>
                <w:sz w:val="20"/>
                <w:szCs w:val="20"/>
              </w:rPr>
              <w:t xml:space="preserve"> oversight to Nabilan’s GoTL partnership by establishing a technical-level agreement with MSSI. However, a longer-term solution whereby DFAT, MSSI and SEI can come together is necessary for good governance. One suggestion – that there is a Nabilan Working Group comprising MSSI, SEI and DFAT attached to the </w:t>
            </w:r>
            <w:r w:rsidRPr="00952638">
              <w:rPr>
                <w:sz w:val="20"/>
                <w:szCs w:val="20"/>
              </w:rPr>
              <w:lastRenderedPageBreak/>
              <w:t>Interministerial Steering Committee for the NAP-GBV – could be further explored with SEI.</w:t>
            </w:r>
          </w:p>
        </w:tc>
        <w:tc>
          <w:tcPr>
            <w:tcW w:w="7512" w:type="dxa"/>
          </w:tcPr>
          <w:p w14:paraId="38F664B3" w14:textId="644CA9EF" w:rsidR="003E02B4" w:rsidRDefault="00952638" w:rsidP="00443A35">
            <w:pPr>
              <w:rPr>
                <w:sz w:val="20"/>
                <w:szCs w:val="20"/>
              </w:rPr>
            </w:pPr>
            <w:r w:rsidRPr="00952638">
              <w:rPr>
                <w:sz w:val="20"/>
                <w:szCs w:val="20"/>
              </w:rPr>
              <w:lastRenderedPageBreak/>
              <w:t xml:space="preserve">Agree. DFAT and TAF both note the critical importance of appropriate and effective governance arrangements with GoTL. A formal GoTL – DFAT governance mechanism will be re-established as soon as possible. In addition, </w:t>
            </w:r>
            <w:r w:rsidR="00D2483E">
              <w:rPr>
                <w:sz w:val="20"/>
                <w:szCs w:val="20"/>
              </w:rPr>
              <w:t>TAF will continue exploring the possibility of</w:t>
            </w:r>
            <w:r w:rsidRPr="00952638">
              <w:rPr>
                <w:sz w:val="20"/>
                <w:szCs w:val="20"/>
              </w:rPr>
              <w:t xml:space="preserve"> Technical Cooperation Agreement</w:t>
            </w:r>
            <w:r w:rsidR="00D2483E">
              <w:rPr>
                <w:sz w:val="20"/>
                <w:szCs w:val="20"/>
              </w:rPr>
              <w:t>s</w:t>
            </w:r>
            <w:r w:rsidRPr="00952638">
              <w:rPr>
                <w:sz w:val="20"/>
                <w:szCs w:val="20"/>
              </w:rPr>
              <w:t xml:space="preserve"> </w:t>
            </w:r>
            <w:r w:rsidR="00D2483E">
              <w:rPr>
                <w:sz w:val="20"/>
                <w:szCs w:val="20"/>
              </w:rPr>
              <w:t xml:space="preserve">with relevant </w:t>
            </w:r>
            <w:proofErr w:type="spellStart"/>
            <w:r w:rsidR="00D2483E">
              <w:rPr>
                <w:sz w:val="20"/>
                <w:szCs w:val="20"/>
              </w:rPr>
              <w:t>GoTL</w:t>
            </w:r>
            <w:proofErr w:type="spellEnd"/>
            <w:r w:rsidR="00D2483E">
              <w:rPr>
                <w:sz w:val="20"/>
                <w:szCs w:val="20"/>
              </w:rPr>
              <w:t xml:space="preserve"> counterparts.</w:t>
            </w:r>
            <w:r w:rsidRPr="00952638">
              <w:rPr>
                <w:sz w:val="20"/>
                <w:szCs w:val="20"/>
              </w:rPr>
              <w:t xml:space="preserve"> </w:t>
            </w:r>
            <w:r w:rsidR="00F22E66">
              <w:rPr>
                <w:sz w:val="20"/>
                <w:szCs w:val="20"/>
              </w:rPr>
              <w:t>Likewise, Na</w:t>
            </w:r>
            <w:r w:rsidR="00821FFA">
              <w:rPr>
                <w:sz w:val="20"/>
                <w:szCs w:val="20"/>
              </w:rPr>
              <w:t>bilan will continue exploring ways to contribute to the</w:t>
            </w:r>
            <w:r w:rsidR="00450A1C">
              <w:rPr>
                <w:sz w:val="20"/>
                <w:szCs w:val="20"/>
              </w:rPr>
              <w:t xml:space="preserve"> recently established </w:t>
            </w:r>
            <w:r w:rsidR="00D2483E">
              <w:rPr>
                <w:sz w:val="20"/>
                <w:szCs w:val="20"/>
              </w:rPr>
              <w:t xml:space="preserve">interministerial committee for the NAP-GBV. </w:t>
            </w:r>
          </w:p>
        </w:tc>
      </w:tr>
    </w:tbl>
    <w:p w14:paraId="1CC9C490" w14:textId="77777777" w:rsidR="00442D6D" w:rsidRPr="00952638" w:rsidRDefault="00442D6D" w:rsidP="00442D6D">
      <w:pPr>
        <w:pStyle w:val="Heading2"/>
      </w:pPr>
      <w:r>
        <w:t>Efficiency</w:t>
      </w:r>
    </w:p>
    <w:tbl>
      <w:tblPr>
        <w:tblStyle w:val="TableGrid"/>
        <w:tblW w:w="0" w:type="auto"/>
        <w:tblLook w:val="04A0" w:firstRow="1" w:lastRow="0" w:firstColumn="1" w:lastColumn="0" w:noHBand="0" w:noVBand="1"/>
      </w:tblPr>
      <w:tblGrid>
        <w:gridCol w:w="846"/>
        <w:gridCol w:w="5245"/>
        <w:gridCol w:w="7512"/>
      </w:tblGrid>
      <w:tr w:rsidR="00952638" w14:paraId="496FF030" w14:textId="77777777" w:rsidTr="00442D6D">
        <w:trPr>
          <w:tblHeader/>
        </w:trPr>
        <w:tc>
          <w:tcPr>
            <w:tcW w:w="846" w:type="dxa"/>
            <w:shd w:val="clear" w:color="auto" w:fill="D9D9D9" w:themeFill="background1" w:themeFillShade="D9"/>
          </w:tcPr>
          <w:p w14:paraId="18E9A8EE" w14:textId="20AD63B8" w:rsidR="00952638" w:rsidRDefault="00952638" w:rsidP="004E6B4B">
            <w:pPr>
              <w:rPr>
                <w:sz w:val="20"/>
                <w:szCs w:val="20"/>
              </w:rPr>
            </w:pPr>
            <w:r>
              <w:rPr>
                <w:sz w:val="20"/>
                <w:szCs w:val="20"/>
              </w:rPr>
              <w:t>No.</w:t>
            </w:r>
          </w:p>
        </w:tc>
        <w:tc>
          <w:tcPr>
            <w:tcW w:w="5245" w:type="dxa"/>
            <w:shd w:val="clear" w:color="auto" w:fill="D9D9D9" w:themeFill="background1" w:themeFillShade="D9"/>
          </w:tcPr>
          <w:p w14:paraId="57026A22" w14:textId="1E29D846" w:rsidR="00952638" w:rsidRPr="00952638" w:rsidRDefault="00952638" w:rsidP="00443A35">
            <w:pPr>
              <w:rPr>
                <w:sz w:val="20"/>
                <w:szCs w:val="20"/>
              </w:rPr>
            </w:pPr>
            <w:r>
              <w:rPr>
                <w:sz w:val="20"/>
                <w:szCs w:val="20"/>
              </w:rPr>
              <w:t>Recommendation</w:t>
            </w:r>
          </w:p>
        </w:tc>
        <w:tc>
          <w:tcPr>
            <w:tcW w:w="7512" w:type="dxa"/>
            <w:shd w:val="clear" w:color="auto" w:fill="D9D9D9" w:themeFill="background1" w:themeFillShade="D9"/>
          </w:tcPr>
          <w:p w14:paraId="12AE729F" w14:textId="1ED81AE2" w:rsidR="00952638" w:rsidRDefault="00952638" w:rsidP="00443A35">
            <w:pPr>
              <w:rPr>
                <w:sz w:val="20"/>
                <w:szCs w:val="20"/>
              </w:rPr>
            </w:pPr>
            <w:r>
              <w:rPr>
                <w:sz w:val="20"/>
                <w:szCs w:val="20"/>
              </w:rPr>
              <w:t>Management response</w:t>
            </w:r>
          </w:p>
        </w:tc>
      </w:tr>
      <w:tr w:rsidR="00443A35" w14:paraId="40D1E9D1" w14:textId="77777777" w:rsidTr="00443A35">
        <w:tc>
          <w:tcPr>
            <w:tcW w:w="846" w:type="dxa"/>
          </w:tcPr>
          <w:p w14:paraId="626228A7" w14:textId="1E47AFCA" w:rsidR="00443A35" w:rsidRDefault="00952638" w:rsidP="004E6B4B">
            <w:pPr>
              <w:rPr>
                <w:sz w:val="20"/>
                <w:szCs w:val="20"/>
              </w:rPr>
            </w:pPr>
            <w:r>
              <w:rPr>
                <w:sz w:val="20"/>
                <w:szCs w:val="20"/>
              </w:rPr>
              <w:t>12</w:t>
            </w:r>
          </w:p>
        </w:tc>
        <w:tc>
          <w:tcPr>
            <w:tcW w:w="5245" w:type="dxa"/>
          </w:tcPr>
          <w:p w14:paraId="6ABE7F35" w14:textId="4A8AA437" w:rsidR="00443A35" w:rsidRPr="00443A35" w:rsidRDefault="00952638" w:rsidP="00443A35">
            <w:pPr>
              <w:rPr>
                <w:sz w:val="20"/>
                <w:szCs w:val="20"/>
              </w:rPr>
            </w:pPr>
            <w:r w:rsidRPr="00952638">
              <w:rPr>
                <w:sz w:val="20"/>
                <w:szCs w:val="20"/>
              </w:rPr>
              <w:t xml:space="preserve">It is recommended that the program should not be expected to do a significant amount of additional activity </w:t>
            </w:r>
            <w:proofErr w:type="gramStart"/>
            <w:r w:rsidRPr="00952638">
              <w:rPr>
                <w:sz w:val="20"/>
                <w:szCs w:val="20"/>
              </w:rPr>
              <w:t>on the basis of</w:t>
            </w:r>
            <w:proofErr w:type="gramEnd"/>
            <w:r w:rsidRPr="00952638">
              <w:rPr>
                <w:sz w:val="20"/>
                <w:szCs w:val="20"/>
              </w:rPr>
              <w:t xml:space="preserve"> the current resourcing envelope.</w:t>
            </w:r>
          </w:p>
        </w:tc>
        <w:tc>
          <w:tcPr>
            <w:tcW w:w="7512" w:type="dxa"/>
          </w:tcPr>
          <w:p w14:paraId="7B65E4BB" w14:textId="066D1AD3" w:rsidR="00952638" w:rsidRPr="00952638" w:rsidRDefault="00952638" w:rsidP="00952638">
            <w:pPr>
              <w:rPr>
                <w:sz w:val="20"/>
                <w:szCs w:val="20"/>
              </w:rPr>
            </w:pPr>
            <w:r w:rsidRPr="00952638">
              <w:rPr>
                <w:sz w:val="20"/>
                <w:szCs w:val="20"/>
              </w:rPr>
              <w:t xml:space="preserve">Agree. DFAT and TAF both recognise the critical importance of quality, sustainable growth, and the risk of team burn-out </w:t>
            </w:r>
            <w:r w:rsidR="001D1A8B">
              <w:rPr>
                <w:sz w:val="20"/>
                <w:szCs w:val="20"/>
              </w:rPr>
              <w:t xml:space="preserve">when resources are limited </w:t>
            </w:r>
            <w:r w:rsidRPr="00952638">
              <w:rPr>
                <w:sz w:val="20"/>
                <w:szCs w:val="20"/>
              </w:rPr>
              <w:t xml:space="preserve">in this challenging field of work. DFAT and TAF are committed to open, ongoing communication about prioritisation of activities within available resourcing. </w:t>
            </w:r>
          </w:p>
          <w:p w14:paraId="29230DB7" w14:textId="77777777" w:rsidR="00443A35" w:rsidRDefault="00443A35" w:rsidP="00443A35">
            <w:pPr>
              <w:rPr>
                <w:sz w:val="20"/>
                <w:szCs w:val="20"/>
              </w:rPr>
            </w:pPr>
          </w:p>
        </w:tc>
      </w:tr>
      <w:tr w:rsidR="00443A35" w14:paraId="1D619034" w14:textId="77777777" w:rsidTr="00443A35">
        <w:tc>
          <w:tcPr>
            <w:tcW w:w="846" w:type="dxa"/>
          </w:tcPr>
          <w:p w14:paraId="5E6E4BBD" w14:textId="078D7DA1" w:rsidR="00443A35" w:rsidRDefault="00952638" w:rsidP="004E6B4B">
            <w:pPr>
              <w:rPr>
                <w:sz w:val="20"/>
                <w:szCs w:val="20"/>
              </w:rPr>
            </w:pPr>
            <w:r>
              <w:rPr>
                <w:sz w:val="20"/>
                <w:szCs w:val="20"/>
              </w:rPr>
              <w:t>13</w:t>
            </w:r>
          </w:p>
        </w:tc>
        <w:tc>
          <w:tcPr>
            <w:tcW w:w="5245" w:type="dxa"/>
          </w:tcPr>
          <w:p w14:paraId="485C89C5" w14:textId="0FF183C3" w:rsidR="00443A35" w:rsidRPr="00443A35" w:rsidRDefault="00952638" w:rsidP="00443A35">
            <w:pPr>
              <w:rPr>
                <w:sz w:val="20"/>
                <w:szCs w:val="20"/>
              </w:rPr>
            </w:pPr>
            <w:r w:rsidRPr="00952638">
              <w:rPr>
                <w:sz w:val="20"/>
                <w:szCs w:val="20"/>
              </w:rPr>
              <w:t>It is recommended that the extent and servicing of DFAT requests for Nabilan engagement across the broader aid program be considered strategically in terms of their relative cost-benefit, including Nabilan resource usage and unintended impacts upon inhibiting localisation of leadership.</w:t>
            </w:r>
          </w:p>
        </w:tc>
        <w:tc>
          <w:tcPr>
            <w:tcW w:w="7512" w:type="dxa"/>
          </w:tcPr>
          <w:p w14:paraId="6F394FD2" w14:textId="3B4EC885" w:rsidR="00952638" w:rsidRDefault="00952638" w:rsidP="00442D6D">
            <w:pPr>
              <w:rPr>
                <w:sz w:val="20"/>
                <w:szCs w:val="20"/>
              </w:rPr>
            </w:pPr>
            <w:r w:rsidRPr="00952638">
              <w:rPr>
                <w:sz w:val="20"/>
                <w:szCs w:val="20"/>
              </w:rPr>
              <w:t>Agree. Requests for Nabilan engagement across DFAT’s broader development program footprint in Timor-Leste (and beyond) should always be considered strategically in terms of their relative cost-benefit and DFAT and TAF commit to ongoing, open communication about this. In Phase IV, DFAT will look to resource a position</w:t>
            </w:r>
            <w:r w:rsidR="00502474">
              <w:rPr>
                <w:sz w:val="20"/>
                <w:szCs w:val="20"/>
              </w:rPr>
              <w:t xml:space="preserve"> within the Nabilan team</w:t>
            </w:r>
            <w:r w:rsidRPr="00952638">
              <w:rPr>
                <w:sz w:val="20"/>
                <w:szCs w:val="20"/>
              </w:rPr>
              <w:t xml:space="preserve"> specifically dedicated to Advisory support on EVAWC across DFAT programs and in the VAWC system more broadly.</w:t>
            </w:r>
            <w:r>
              <w:rPr>
                <w:sz w:val="20"/>
                <w:szCs w:val="20"/>
              </w:rPr>
              <w:t xml:space="preserve"> </w:t>
            </w:r>
          </w:p>
          <w:p w14:paraId="211E2AED" w14:textId="59809BAD" w:rsidR="00443A35" w:rsidRDefault="00B305E6" w:rsidP="00442D6D">
            <w:pPr>
              <w:spacing w:before="240"/>
              <w:rPr>
                <w:sz w:val="20"/>
                <w:szCs w:val="20"/>
              </w:rPr>
            </w:pPr>
            <w:r>
              <w:rPr>
                <w:sz w:val="20"/>
                <w:szCs w:val="20"/>
              </w:rPr>
              <w:t xml:space="preserve">The </w:t>
            </w:r>
            <w:proofErr w:type="gramStart"/>
            <w:r>
              <w:rPr>
                <w:sz w:val="20"/>
                <w:szCs w:val="20"/>
              </w:rPr>
              <w:t>locally-led</w:t>
            </w:r>
            <w:proofErr w:type="gramEnd"/>
            <w:r>
              <w:rPr>
                <w:sz w:val="20"/>
                <w:szCs w:val="20"/>
              </w:rPr>
              <w:t xml:space="preserve"> development agenda is important to both DFAT and TAF. </w:t>
            </w:r>
            <w:r w:rsidR="00D92041">
              <w:rPr>
                <w:sz w:val="20"/>
                <w:szCs w:val="20"/>
              </w:rPr>
              <w:t xml:space="preserve">Opportunities for </w:t>
            </w:r>
            <w:r w:rsidR="00AD0138">
              <w:rPr>
                <w:sz w:val="20"/>
                <w:szCs w:val="20"/>
              </w:rPr>
              <w:t>continuing to build</w:t>
            </w:r>
            <w:r w:rsidR="00D92041">
              <w:rPr>
                <w:sz w:val="20"/>
                <w:szCs w:val="20"/>
              </w:rPr>
              <w:t xml:space="preserve"> Timorese leadership, both within DFAT’s Embassy team working with TAF and within the Nabilan team, </w:t>
            </w:r>
            <w:r w:rsidR="00B734F2">
              <w:rPr>
                <w:sz w:val="20"/>
                <w:szCs w:val="20"/>
              </w:rPr>
              <w:t xml:space="preserve">will continue to be </w:t>
            </w:r>
            <w:r w:rsidR="009A76E8">
              <w:rPr>
                <w:sz w:val="20"/>
                <w:szCs w:val="20"/>
              </w:rPr>
              <w:t>prioritised</w:t>
            </w:r>
            <w:r w:rsidR="00B734F2">
              <w:rPr>
                <w:sz w:val="20"/>
                <w:szCs w:val="20"/>
              </w:rPr>
              <w:t>.</w:t>
            </w:r>
            <w:r w:rsidR="00BE0B98">
              <w:rPr>
                <w:sz w:val="20"/>
                <w:szCs w:val="20"/>
              </w:rPr>
              <w:t xml:space="preserve"> </w:t>
            </w:r>
          </w:p>
        </w:tc>
      </w:tr>
    </w:tbl>
    <w:p w14:paraId="4B567B0E" w14:textId="77777777" w:rsidR="00442D6D" w:rsidRPr="004F1FA9" w:rsidRDefault="00442D6D" w:rsidP="00442D6D">
      <w:pPr>
        <w:pStyle w:val="Heading2"/>
      </w:pPr>
      <w:r w:rsidRPr="004F1FA9">
        <w:t>Impact</w:t>
      </w:r>
    </w:p>
    <w:tbl>
      <w:tblPr>
        <w:tblStyle w:val="TableGrid"/>
        <w:tblW w:w="0" w:type="auto"/>
        <w:tblLook w:val="04A0" w:firstRow="1" w:lastRow="0" w:firstColumn="1" w:lastColumn="0" w:noHBand="0" w:noVBand="1"/>
      </w:tblPr>
      <w:tblGrid>
        <w:gridCol w:w="846"/>
        <w:gridCol w:w="5245"/>
        <w:gridCol w:w="7512"/>
      </w:tblGrid>
      <w:tr w:rsidR="00BA13A7" w14:paraId="0089A1F9" w14:textId="77777777" w:rsidTr="00442D6D">
        <w:trPr>
          <w:tblHeader/>
        </w:trPr>
        <w:tc>
          <w:tcPr>
            <w:tcW w:w="846" w:type="dxa"/>
            <w:shd w:val="clear" w:color="auto" w:fill="D9D9D9" w:themeFill="background1" w:themeFillShade="D9"/>
          </w:tcPr>
          <w:p w14:paraId="0EF3FAD7" w14:textId="26CE43E5" w:rsidR="00BA13A7" w:rsidRDefault="00BA13A7" w:rsidP="004E6B4B">
            <w:pPr>
              <w:rPr>
                <w:sz w:val="20"/>
                <w:szCs w:val="20"/>
              </w:rPr>
            </w:pPr>
            <w:r>
              <w:rPr>
                <w:sz w:val="20"/>
                <w:szCs w:val="20"/>
              </w:rPr>
              <w:t>No.</w:t>
            </w:r>
          </w:p>
        </w:tc>
        <w:tc>
          <w:tcPr>
            <w:tcW w:w="5245" w:type="dxa"/>
            <w:shd w:val="clear" w:color="auto" w:fill="D9D9D9" w:themeFill="background1" w:themeFillShade="D9"/>
          </w:tcPr>
          <w:p w14:paraId="40EAD4CF" w14:textId="4652D45E" w:rsidR="00BA13A7" w:rsidRPr="00BA13A7" w:rsidRDefault="00BA13A7" w:rsidP="00443A35">
            <w:pPr>
              <w:rPr>
                <w:sz w:val="20"/>
                <w:szCs w:val="20"/>
              </w:rPr>
            </w:pPr>
            <w:r>
              <w:rPr>
                <w:sz w:val="20"/>
                <w:szCs w:val="20"/>
              </w:rPr>
              <w:t>Recommendation</w:t>
            </w:r>
          </w:p>
        </w:tc>
        <w:tc>
          <w:tcPr>
            <w:tcW w:w="7512" w:type="dxa"/>
            <w:shd w:val="clear" w:color="auto" w:fill="D9D9D9" w:themeFill="background1" w:themeFillShade="D9"/>
          </w:tcPr>
          <w:p w14:paraId="0BF2E6B7" w14:textId="3D13AC28" w:rsidR="00BA13A7" w:rsidRDefault="00BA13A7" w:rsidP="00443A35">
            <w:pPr>
              <w:rPr>
                <w:sz w:val="20"/>
                <w:szCs w:val="20"/>
              </w:rPr>
            </w:pPr>
            <w:r>
              <w:rPr>
                <w:sz w:val="20"/>
                <w:szCs w:val="20"/>
              </w:rPr>
              <w:t>Management response</w:t>
            </w:r>
          </w:p>
        </w:tc>
      </w:tr>
      <w:tr w:rsidR="00443A35" w14:paraId="3871823E" w14:textId="77777777" w:rsidTr="00443A35">
        <w:tc>
          <w:tcPr>
            <w:tcW w:w="846" w:type="dxa"/>
          </w:tcPr>
          <w:p w14:paraId="6A70C625" w14:textId="25EABAB2" w:rsidR="00443A35" w:rsidRDefault="00BA13A7" w:rsidP="004E6B4B">
            <w:pPr>
              <w:rPr>
                <w:sz w:val="20"/>
                <w:szCs w:val="20"/>
              </w:rPr>
            </w:pPr>
            <w:r>
              <w:rPr>
                <w:sz w:val="20"/>
                <w:szCs w:val="20"/>
              </w:rPr>
              <w:t>14</w:t>
            </w:r>
          </w:p>
        </w:tc>
        <w:tc>
          <w:tcPr>
            <w:tcW w:w="5245" w:type="dxa"/>
          </w:tcPr>
          <w:p w14:paraId="036E63D8" w14:textId="2ED758DD" w:rsidR="00443A35" w:rsidRPr="00443A35" w:rsidRDefault="00BA13A7" w:rsidP="00443A35">
            <w:pPr>
              <w:rPr>
                <w:sz w:val="20"/>
                <w:szCs w:val="20"/>
              </w:rPr>
            </w:pPr>
            <w:r w:rsidRPr="00BA13A7">
              <w:rPr>
                <w:sz w:val="20"/>
                <w:szCs w:val="20"/>
              </w:rPr>
              <w:t xml:space="preserve">It is recommended that in Phase IV investment be made in carefully designed, robust impact evaluations of KOKOSA! and </w:t>
            </w:r>
            <w:proofErr w:type="spellStart"/>
            <w:r w:rsidRPr="00BA13A7">
              <w:rPr>
                <w:sz w:val="20"/>
                <w:szCs w:val="20"/>
              </w:rPr>
              <w:t>NeNaMu</w:t>
            </w:r>
            <w:proofErr w:type="spellEnd"/>
            <w:r w:rsidRPr="00BA13A7">
              <w:rPr>
                <w:sz w:val="20"/>
                <w:szCs w:val="20"/>
              </w:rPr>
              <w:t xml:space="preserve"> as Nabilan’s leading community-based primary prevention initiatives.</w:t>
            </w:r>
          </w:p>
        </w:tc>
        <w:tc>
          <w:tcPr>
            <w:tcW w:w="7512" w:type="dxa"/>
          </w:tcPr>
          <w:p w14:paraId="3CF9063F" w14:textId="004485B9" w:rsidR="00443A35" w:rsidRDefault="00895EDB" w:rsidP="00443A35">
            <w:pPr>
              <w:rPr>
                <w:sz w:val="20"/>
                <w:szCs w:val="20"/>
              </w:rPr>
            </w:pPr>
            <w:r>
              <w:rPr>
                <w:sz w:val="20"/>
                <w:szCs w:val="20"/>
              </w:rPr>
              <w:t>A</w:t>
            </w:r>
            <w:r w:rsidR="004F1FA9" w:rsidRPr="004F1FA9">
              <w:rPr>
                <w:sz w:val="20"/>
                <w:szCs w:val="20"/>
              </w:rPr>
              <w:t xml:space="preserve">gree – </w:t>
            </w:r>
            <w:r>
              <w:rPr>
                <w:sz w:val="20"/>
                <w:szCs w:val="20"/>
              </w:rPr>
              <w:t xml:space="preserve">however </w:t>
            </w:r>
            <w:r w:rsidR="008A5274">
              <w:rPr>
                <w:sz w:val="20"/>
                <w:szCs w:val="20"/>
              </w:rPr>
              <w:t xml:space="preserve">feasibility, </w:t>
            </w:r>
            <w:r w:rsidR="00B95B0F">
              <w:rPr>
                <w:sz w:val="20"/>
                <w:szCs w:val="20"/>
              </w:rPr>
              <w:t xml:space="preserve">timing and modality will be </w:t>
            </w:r>
            <w:r>
              <w:rPr>
                <w:sz w:val="20"/>
                <w:szCs w:val="20"/>
              </w:rPr>
              <w:t xml:space="preserve">subject to budget availability. </w:t>
            </w:r>
          </w:p>
        </w:tc>
      </w:tr>
      <w:tr w:rsidR="004F1FA9" w14:paraId="301BE980" w14:textId="77777777" w:rsidTr="00443A35">
        <w:tc>
          <w:tcPr>
            <w:tcW w:w="846" w:type="dxa"/>
          </w:tcPr>
          <w:p w14:paraId="06FA0FF1" w14:textId="4899A861" w:rsidR="004F1FA9" w:rsidRDefault="00554339" w:rsidP="004E6B4B">
            <w:pPr>
              <w:rPr>
                <w:sz w:val="20"/>
                <w:szCs w:val="20"/>
              </w:rPr>
            </w:pPr>
            <w:r>
              <w:rPr>
                <w:sz w:val="20"/>
                <w:szCs w:val="20"/>
              </w:rPr>
              <w:t>15</w:t>
            </w:r>
          </w:p>
        </w:tc>
        <w:tc>
          <w:tcPr>
            <w:tcW w:w="5245" w:type="dxa"/>
          </w:tcPr>
          <w:p w14:paraId="4242496C" w14:textId="38F2617C" w:rsidR="004F1FA9" w:rsidRPr="00BA13A7" w:rsidRDefault="00554339" w:rsidP="00442D6D">
            <w:pPr>
              <w:rPr>
                <w:sz w:val="20"/>
                <w:szCs w:val="20"/>
              </w:rPr>
            </w:pPr>
            <w:r w:rsidRPr="00554339">
              <w:rPr>
                <w:sz w:val="20"/>
                <w:szCs w:val="20"/>
              </w:rPr>
              <w:t>It is recommended that in Phase IV investment be made in systems impact evaluation to further explore and document how Nabilan is effecting change at that level</w:t>
            </w:r>
            <w:r w:rsidR="008A5274">
              <w:rPr>
                <w:sz w:val="20"/>
                <w:szCs w:val="20"/>
              </w:rPr>
              <w:t>.</w:t>
            </w:r>
          </w:p>
        </w:tc>
        <w:tc>
          <w:tcPr>
            <w:tcW w:w="7512" w:type="dxa"/>
          </w:tcPr>
          <w:p w14:paraId="040788E8" w14:textId="2D573FC6" w:rsidR="004F1FA9" w:rsidRPr="004F1FA9" w:rsidRDefault="008A5274" w:rsidP="008A5274">
            <w:pPr>
              <w:rPr>
                <w:sz w:val="20"/>
                <w:szCs w:val="20"/>
              </w:rPr>
            </w:pPr>
            <w:r>
              <w:rPr>
                <w:sz w:val="20"/>
                <w:szCs w:val="20"/>
              </w:rPr>
              <w:t>A</w:t>
            </w:r>
            <w:r w:rsidR="00554339" w:rsidRPr="00554339">
              <w:rPr>
                <w:sz w:val="20"/>
                <w:szCs w:val="20"/>
              </w:rPr>
              <w:t xml:space="preserve">gree – </w:t>
            </w:r>
            <w:r>
              <w:rPr>
                <w:sz w:val="20"/>
                <w:szCs w:val="20"/>
              </w:rPr>
              <w:t xml:space="preserve">however feasibility, timing and modality will be subject to budget availability. DFAT and TAF will aim to implement this towards the end of Phase IV. </w:t>
            </w:r>
          </w:p>
        </w:tc>
      </w:tr>
      <w:tr w:rsidR="004F1FA9" w14:paraId="7DD4D6CD" w14:textId="77777777" w:rsidTr="00443A35">
        <w:tc>
          <w:tcPr>
            <w:tcW w:w="846" w:type="dxa"/>
          </w:tcPr>
          <w:p w14:paraId="050A6834" w14:textId="44E1D4E7" w:rsidR="004F1FA9" w:rsidRDefault="001F1418" w:rsidP="004E6B4B">
            <w:pPr>
              <w:rPr>
                <w:sz w:val="20"/>
                <w:szCs w:val="20"/>
              </w:rPr>
            </w:pPr>
            <w:r>
              <w:rPr>
                <w:sz w:val="20"/>
                <w:szCs w:val="20"/>
              </w:rPr>
              <w:t>16</w:t>
            </w:r>
          </w:p>
        </w:tc>
        <w:tc>
          <w:tcPr>
            <w:tcW w:w="5245" w:type="dxa"/>
          </w:tcPr>
          <w:p w14:paraId="7B4C4D2E" w14:textId="459CF9AD" w:rsidR="004F1FA9" w:rsidRPr="00BA13A7" w:rsidRDefault="001F1418" w:rsidP="00443A35">
            <w:pPr>
              <w:rPr>
                <w:sz w:val="20"/>
                <w:szCs w:val="20"/>
              </w:rPr>
            </w:pPr>
            <w:r w:rsidRPr="001F1418">
              <w:rPr>
                <w:sz w:val="20"/>
                <w:szCs w:val="20"/>
              </w:rPr>
              <w:t>It is recommended that Nabilan maintain and seek to expand stress management training and other trauma-</w:t>
            </w:r>
            <w:r w:rsidRPr="001F1418">
              <w:rPr>
                <w:sz w:val="20"/>
                <w:szCs w:val="20"/>
              </w:rPr>
              <w:lastRenderedPageBreak/>
              <w:t>responsive strategies that support the VAWC workforce to sustain (Phase IV recommendation).</w:t>
            </w:r>
          </w:p>
        </w:tc>
        <w:tc>
          <w:tcPr>
            <w:tcW w:w="7512" w:type="dxa"/>
          </w:tcPr>
          <w:p w14:paraId="043C370B" w14:textId="24AD6E17" w:rsidR="00F5513E" w:rsidRPr="00F5513E" w:rsidRDefault="00002925" w:rsidP="00F5513E">
            <w:pPr>
              <w:rPr>
                <w:sz w:val="20"/>
                <w:szCs w:val="20"/>
              </w:rPr>
            </w:pPr>
            <w:r>
              <w:rPr>
                <w:sz w:val="20"/>
                <w:szCs w:val="20"/>
                <w:lang w:val="en-US"/>
              </w:rPr>
              <w:lastRenderedPageBreak/>
              <w:t xml:space="preserve">Agree. </w:t>
            </w:r>
            <w:r w:rsidR="00F5513E" w:rsidRPr="00F5513E">
              <w:rPr>
                <w:sz w:val="20"/>
                <w:szCs w:val="20"/>
                <w:lang w:val="en-US"/>
              </w:rPr>
              <w:t xml:space="preserve">Nabilan continues to provide stress management </w:t>
            </w:r>
            <w:proofErr w:type="gramStart"/>
            <w:r w:rsidR="00F5513E" w:rsidRPr="00F5513E">
              <w:rPr>
                <w:sz w:val="20"/>
                <w:szCs w:val="20"/>
                <w:lang w:val="en-US"/>
              </w:rPr>
              <w:t>trainings</w:t>
            </w:r>
            <w:proofErr w:type="gramEnd"/>
            <w:r w:rsidR="00F5513E" w:rsidRPr="00F5513E">
              <w:rPr>
                <w:sz w:val="20"/>
                <w:szCs w:val="20"/>
                <w:lang w:val="en-US"/>
              </w:rPr>
              <w:t xml:space="preserve"> to partners and non-partners and </w:t>
            </w:r>
            <w:r w:rsidR="00156359">
              <w:rPr>
                <w:sz w:val="20"/>
                <w:szCs w:val="20"/>
                <w:lang w:val="en-US"/>
              </w:rPr>
              <w:t>will</w:t>
            </w:r>
            <w:r w:rsidR="00F5513E" w:rsidRPr="00F5513E">
              <w:rPr>
                <w:sz w:val="20"/>
                <w:szCs w:val="20"/>
                <w:lang w:val="en-US"/>
              </w:rPr>
              <w:t xml:space="preserve"> continue to do so in Phase IV</w:t>
            </w:r>
            <w:r w:rsidR="000649B3">
              <w:rPr>
                <w:sz w:val="20"/>
                <w:szCs w:val="20"/>
                <w:lang w:val="en-US"/>
              </w:rPr>
              <w:t>, with the aim of expanding and deepening these</w:t>
            </w:r>
            <w:r w:rsidR="006B70D3">
              <w:rPr>
                <w:sz w:val="20"/>
                <w:szCs w:val="20"/>
                <w:lang w:val="en-US"/>
              </w:rPr>
              <w:t xml:space="preserve"> </w:t>
            </w:r>
            <w:r w:rsidR="006371E3">
              <w:rPr>
                <w:sz w:val="20"/>
                <w:szCs w:val="20"/>
                <w:lang w:val="en-US"/>
              </w:rPr>
              <w:t>approaches</w:t>
            </w:r>
            <w:r w:rsidR="000649B3">
              <w:rPr>
                <w:sz w:val="20"/>
                <w:szCs w:val="20"/>
                <w:lang w:val="en-US"/>
              </w:rPr>
              <w:t>.</w:t>
            </w:r>
          </w:p>
          <w:p w14:paraId="3939EA0D" w14:textId="78859D59" w:rsidR="004F1FA9" w:rsidRPr="004F1FA9" w:rsidRDefault="000649B3" w:rsidP="00442D6D">
            <w:pPr>
              <w:rPr>
                <w:sz w:val="20"/>
                <w:szCs w:val="20"/>
              </w:rPr>
            </w:pPr>
            <w:r>
              <w:rPr>
                <w:sz w:val="20"/>
                <w:szCs w:val="20"/>
                <w:lang w:val="en-US"/>
              </w:rPr>
              <w:lastRenderedPageBreak/>
              <w:t xml:space="preserve">Nabilan will aim to further integrate </w:t>
            </w:r>
            <w:r w:rsidR="003D1823">
              <w:rPr>
                <w:sz w:val="20"/>
                <w:szCs w:val="20"/>
                <w:lang w:val="en-US"/>
              </w:rPr>
              <w:t xml:space="preserve">stress management and trauma response strategies into other activities (trainings, curriculum development) with a range of partners, alongside </w:t>
            </w:r>
            <w:r w:rsidR="004541EF">
              <w:rPr>
                <w:sz w:val="20"/>
                <w:szCs w:val="20"/>
                <w:lang w:val="en-US"/>
              </w:rPr>
              <w:t>Safeguarding and Do No Harm responses.</w:t>
            </w:r>
          </w:p>
        </w:tc>
      </w:tr>
    </w:tbl>
    <w:p w14:paraId="1F859FB5" w14:textId="77777777" w:rsidR="00442D6D" w:rsidRPr="00E719B6" w:rsidRDefault="00442D6D" w:rsidP="00442D6D">
      <w:pPr>
        <w:pStyle w:val="Heading2"/>
        <w:rPr>
          <w:lang w:val="en-US"/>
        </w:rPr>
      </w:pPr>
      <w:r>
        <w:rPr>
          <w:lang w:val="en-US"/>
        </w:rPr>
        <w:lastRenderedPageBreak/>
        <w:t xml:space="preserve">Sustainability </w:t>
      </w:r>
    </w:p>
    <w:tbl>
      <w:tblPr>
        <w:tblStyle w:val="TableGrid"/>
        <w:tblW w:w="0" w:type="auto"/>
        <w:tblLook w:val="04A0" w:firstRow="1" w:lastRow="0" w:firstColumn="1" w:lastColumn="0" w:noHBand="0" w:noVBand="1"/>
      </w:tblPr>
      <w:tblGrid>
        <w:gridCol w:w="846"/>
        <w:gridCol w:w="5245"/>
        <w:gridCol w:w="7512"/>
      </w:tblGrid>
      <w:tr w:rsidR="00D64602" w14:paraId="2D3E19EA" w14:textId="77777777" w:rsidTr="00442D6D">
        <w:trPr>
          <w:tblHeader/>
        </w:trPr>
        <w:tc>
          <w:tcPr>
            <w:tcW w:w="846" w:type="dxa"/>
            <w:shd w:val="clear" w:color="auto" w:fill="D9D9D9" w:themeFill="background1" w:themeFillShade="D9"/>
          </w:tcPr>
          <w:p w14:paraId="72CE4ACE" w14:textId="6C29DC59" w:rsidR="00D64602" w:rsidRDefault="00E719B6" w:rsidP="004E6B4B">
            <w:pPr>
              <w:rPr>
                <w:sz w:val="20"/>
                <w:szCs w:val="20"/>
              </w:rPr>
            </w:pPr>
            <w:r>
              <w:rPr>
                <w:sz w:val="20"/>
                <w:szCs w:val="20"/>
              </w:rPr>
              <w:t>No.</w:t>
            </w:r>
          </w:p>
        </w:tc>
        <w:tc>
          <w:tcPr>
            <w:tcW w:w="5245" w:type="dxa"/>
            <w:shd w:val="clear" w:color="auto" w:fill="D9D9D9" w:themeFill="background1" w:themeFillShade="D9"/>
          </w:tcPr>
          <w:p w14:paraId="6F18AF0E" w14:textId="1062AD14" w:rsidR="00D64602" w:rsidRPr="00D64602" w:rsidRDefault="00E719B6" w:rsidP="00D64602">
            <w:pPr>
              <w:rPr>
                <w:sz w:val="20"/>
                <w:szCs w:val="20"/>
              </w:rPr>
            </w:pPr>
            <w:r>
              <w:rPr>
                <w:sz w:val="20"/>
                <w:szCs w:val="20"/>
              </w:rPr>
              <w:t>Recommendation</w:t>
            </w:r>
          </w:p>
        </w:tc>
        <w:tc>
          <w:tcPr>
            <w:tcW w:w="7512" w:type="dxa"/>
            <w:shd w:val="clear" w:color="auto" w:fill="D9D9D9" w:themeFill="background1" w:themeFillShade="D9"/>
          </w:tcPr>
          <w:p w14:paraId="21008D6C" w14:textId="7AE37282" w:rsidR="00D64602" w:rsidRPr="00F5513E" w:rsidRDefault="00E719B6" w:rsidP="00F5513E">
            <w:pPr>
              <w:rPr>
                <w:sz w:val="20"/>
                <w:szCs w:val="20"/>
                <w:lang w:val="en-US"/>
              </w:rPr>
            </w:pPr>
            <w:r>
              <w:rPr>
                <w:sz w:val="20"/>
                <w:szCs w:val="20"/>
                <w:lang w:val="en-US"/>
              </w:rPr>
              <w:t>Management response</w:t>
            </w:r>
          </w:p>
        </w:tc>
      </w:tr>
      <w:tr w:rsidR="00D64602" w14:paraId="1713AB9B" w14:textId="77777777" w:rsidTr="00443A35">
        <w:tc>
          <w:tcPr>
            <w:tcW w:w="846" w:type="dxa"/>
          </w:tcPr>
          <w:p w14:paraId="19454E25" w14:textId="5238F900" w:rsidR="00D64602" w:rsidRDefault="00D64602" w:rsidP="004E6B4B">
            <w:pPr>
              <w:rPr>
                <w:sz w:val="20"/>
                <w:szCs w:val="20"/>
              </w:rPr>
            </w:pPr>
            <w:r>
              <w:rPr>
                <w:sz w:val="20"/>
                <w:szCs w:val="20"/>
              </w:rPr>
              <w:t>17</w:t>
            </w:r>
          </w:p>
        </w:tc>
        <w:tc>
          <w:tcPr>
            <w:tcW w:w="5245" w:type="dxa"/>
          </w:tcPr>
          <w:p w14:paraId="0918CBDD" w14:textId="7C7E6C47" w:rsidR="00D64602" w:rsidRPr="00D64602" w:rsidRDefault="00D64602" w:rsidP="00D64602">
            <w:pPr>
              <w:rPr>
                <w:sz w:val="20"/>
                <w:szCs w:val="20"/>
              </w:rPr>
            </w:pPr>
            <w:r w:rsidRPr="00D64602">
              <w:rPr>
                <w:sz w:val="20"/>
                <w:szCs w:val="20"/>
              </w:rPr>
              <w:t xml:space="preserve">It is recommended that consideration is given to resourcing two Raising Voices Technical Advisors to visit Timor-Leste, </w:t>
            </w:r>
            <w:r w:rsidR="00E719B6">
              <w:rPr>
                <w:sz w:val="20"/>
                <w:szCs w:val="20"/>
              </w:rPr>
              <w:t xml:space="preserve">to </w:t>
            </w:r>
            <w:r w:rsidRPr="00D64602">
              <w:rPr>
                <w:sz w:val="20"/>
                <w:szCs w:val="20"/>
              </w:rPr>
              <w:t xml:space="preserve">engage with the Nabilan team and PRADET including in community exit </w:t>
            </w:r>
            <w:r w:rsidR="00FE0187" w:rsidRPr="00D64602">
              <w:rPr>
                <w:sz w:val="20"/>
                <w:szCs w:val="20"/>
              </w:rPr>
              <w:t>planning and</w:t>
            </w:r>
            <w:r w:rsidRPr="00D64602">
              <w:rPr>
                <w:sz w:val="20"/>
                <w:szCs w:val="20"/>
              </w:rPr>
              <w:t xml:space="preserve"> undertake community observations. </w:t>
            </w:r>
          </w:p>
          <w:p w14:paraId="12D38FFA" w14:textId="77777777" w:rsidR="00D64602" w:rsidRPr="001F1418" w:rsidRDefault="00D64602" w:rsidP="00443A35">
            <w:pPr>
              <w:rPr>
                <w:sz w:val="20"/>
                <w:szCs w:val="20"/>
              </w:rPr>
            </w:pPr>
          </w:p>
        </w:tc>
        <w:tc>
          <w:tcPr>
            <w:tcW w:w="7512" w:type="dxa"/>
          </w:tcPr>
          <w:p w14:paraId="59471594" w14:textId="35E1287F" w:rsidR="00D64602" w:rsidRPr="00F5513E" w:rsidRDefault="008B5ACE" w:rsidP="00442D6D">
            <w:pPr>
              <w:rPr>
                <w:sz w:val="20"/>
                <w:szCs w:val="20"/>
                <w:lang w:val="en-US"/>
              </w:rPr>
            </w:pPr>
            <w:r w:rsidRPr="008B5ACE">
              <w:rPr>
                <w:sz w:val="20"/>
                <w:szCs w:val="20"/>
              </w:rPr>
              <w:t xml:space="preserve">Agree. The Nabilan team has scheduled this for mid-2025. </w:t>
            </w:r>
          </w:p>
        </w:tc>
      </w:tr>
      <w:tr w:rsidR="008B5ACE" w14:paraId="404A3DAC" w14:textId="77777777" w:rsidTr="00443A35">
        <w:tc>
          <w:tcPr>
            <w:tcW w:w="846" w:type="dxa"/>
          </w:tcPr>
          <w:p w14:paraId="35A9ECE0" w14:textId="4C5C473D" w:rsidR="008B5ACE" w:rsidRDefault="005317E7" w:rsidP="004E6B4B">
            <w:pPr>
              <w:rPr>
                <w:sz w:val="20"/>
                <w:szCs w:val="20"/>
              </w:rPr>
            </w:pPr>
            <w:r>
              <w:rPr>
                <w:sz w:val="20"/>
                <w:szCs w:val="20"/>
              </w:rPr>
              <w:t xml:space="preserve">18 </w:t>
            </w:r>
          </w:p>
        </w:tc>
        <w:tc>
          <w:tcPr>
            <w:tcW w:w="5245" w:type="dxa"/>
          </w:tcPr>
          <w:p w14:paraId="3B9C34F6" w14:textId="6DC0804E" w:rsidR="005317E7" w:rsidRPr="005317E7" w:rsidRDefault="005317E7" w:rsidP="005317E7">
            <w:pPr>
              <w:rPr>
                <w:sz w:val="20"/>
                <w:szCs w:val="20"/>
              </w:rPr>
            </w:pPr>
            <w:r w:rsidRPr="005317E7">
              <w:rPr>
                <w:sz w:val="20"/>
                <w:szCs w:val="20"/>
              </w:rPr>
              <w:t>It is recommended that Nabilan support partners to undertake their own risk management plans</w:t>
            </w:r>
            <w:r>
              <w:rPr>
                <w:sz w:val="20"/>
                <w:szCs w:val="20"/>
              </w:rPr>
              <w:t>.</w:t>
            </w:r>
          </w:p>
          <w:p w14:paraId="52F12E55" w14:textId="77777777" w:rsidR="008B5ACE" w:rsidRPr="00D64602" w:rsidRDefault="008B5ACE" w:rsidP="00D64602">
            <w:pPr>
              <w:rPr>
                <w:sz w:val="20"/>
                <w:szCs w:val="20"/>
              </w:rPr>
            </w:pPr>
          </w:p>
        </w:tc>
        <w:tc>
          <w:tcPr>
            <w:tcW w:w="7512" w:type="dxa"/>
          </w:tcPr>
          <w:p w14:paraId="098B4E5F" w14:textId="2D4C9970" w:rsidR="008B5ACE" w:rsidRPr="008B5ACE" w:rsidRDefault="005317E7" w:rsidP="008B5ACE">
            <w:pPr>
              <w:rPr>
                <w:sz w:val="20"/>
                <w:szCs w:val="20"/>
              </w:rPr>
            </w:pPr>
            <w:r w:rsidRPr="005317E7">
              <w:rPr>
                <w:sz w:val="20"/>
                <w:szCs w:val="20"/>
              </w:rPr>
              <w:t>Agree. The Nabilan team will support partners to undertake their own risk assessments and risk management plans in 2025</w:t>
            </w:r>
            <w:r w:rsidR="000E3281">
              <w:rPr>
                <w:sz w:val="20"/>
                <w:szCs w:val="20"/>
              </w:rPr>
              <w:t>.</w:t>
            </w:r>
          </w:p>
        </w:tc>
      </w:tr>
      <w:tr w:rsidR="008B5ACE" w14:paraId="13E302A4" w14:textId="77777777" w:rsidTr="00443A35">
        <w:tc>
          <w:tcPr>
            <w:tcW w:w="846" w:type="dxa"/>
          </w:tcPr>
          <w:p w14:paraId="15889B1C" w14:textId="1EFEB3BF" w:rsidR="008B5ACE" w:rsidRDefault="000E3281" w:rsidP="004E6B4B">
            <w:pPr>
              <w:rPr>
                <w:sz w:val="20"/>
                <w:szCs w:val="20"/>
              </w:rPr>
            </w:pPr>
            <w:r>
              <w:rPr>
                <w:sz w:val="20"/>
                <w:szCs w:val="20"/>
              </w:rPr>
              <w:t>19</w:t>
            </w:r>
          </w:p>
        </w:tc>
        <w:tc>
          <w:tcPr>
            <w:tcW w:w="5245" w:type="dxa"/>
          </w:tcPr>
          <w:p w14:paraId="6452DD48" w14:textId="77777777" w:rsidR="000E3281" w:rsidRPr="000E3281" w:rsidRDefault="000E3281" w:rsidP="000E3281">
            <w:pPr>
              <w:rPr>
                <w:sz w:val="20"/>
                <w:szCs w:val="20"/>
              </w:rPr>
            </w:pPr>
            <w:r w:rsidRPr="000E3281">
              <w:rPr>
                <w:sz w:val="20"/>
                <w:szCs w:val="20"/>
              </w:rPr>
              <w:t>It is recommended that DFAT and TAF undertake a reflection on the current level and requirements of DFAT engagement and determine a strategy to strategically prioritise and/or manage</w:t>
            </w:r>
          </w:p>
          <w:p w14:paraId="34B33D44" w14:textId="77777777" w:rsidR="008B5ACE" w:rsidRPr="00D64602" w:rsidRDefault="008B5ACE" w:rsidP="00D64602">
            <w:pPr>
              <w:rPr>
                <w:sz w:val="20"/>
                <w:szCs w:val="20"/>
              </w:rPr>
            </w:pPr>
          </w:p>
        </w:tc>
        <w:tc>
          <w:tcPr>
            <w:tcW w:w="7512" w:type="dxa"/>
          </w:tcPr>
          <w:p w14:paraId="41C1D904" w14:textId="1CF9E1DB" w:rsidR="008B5ACE" w:rsidRDefault="00192780" w:rsidP="008B5ACE">
            <w:pPr>
              <w:rPr>
                <w:sz w:val="20"/>
                <w:szCs w:val="20"/>
              </w:rPr>
            </w:pPr>
            <w:r>
              <w:rPr>
                <w:sz w:val="20"/>
                <w:szCs w:val="20"/>
              </w:rPr>
              <w:t xml:space="preserve">Agree. </w:t>
            </w:r>
            <w:r w:rsidR="002464AE">
              <w:rPr>
                <w:sz w:val="20"/>
                <w:szCs w:val="20"/>
              </w:rPr>
              <w:t xml:space="preserve">DFAT and TAF have undertaken a reflection exercise together on the </w:t>
            </w:r>
            <w:r w:rsidR="00F12928">
              <w:rPr>
                <w:sz w:val="20"/>
                <w:szCs w:val="20"/>
              </w:rPr>
              <w:t xml:space="preserve">current </w:t>
            </w:r>
            <w:r w:rsidR="002464AE">
              <w:rPr>
                <w:sz w:val="20"/>
                <w:szCs w:val="20"/>
              </w:rPr>
              <w:t>level of DFAT engagement in the program. It is mutually determined t</w:t>
            </w:r>
            <w:r w:rsidR="001B4F91">
              <w:rPr>
                <w:sz w:val="20"/>
                <w:szCs w:val="20"/>
              </w:rPr>
              <w:t>o be largely appropriate</w:t>
            </w:r>
            <w:r w:rsidR="00F12928">
              <w:rPr>
                <w:sz w:val="20"/>
                <w:szCs w:val="20"/>
              </w:rPr>
              <w:t xml:space="preserve"> and necessary, with some areas identified for streamlining. </w:t>
            </w:r>
            <w:r w:rsidR="001B4F91">
              <w:rPr>
                <w:sz w:val="20"/>
                <w:szCs w:val="20"/>
              </w:rPr>
              <w:t xml:space="preserve"> </w:t>
            </w:r>
          </w:p>
          <w:p w14:paraId="5B42271A" w14:textId="19DB5227" w:rsidR="00614170" w:rsidRPr="008B5ACE" w:rsidRDefault="00614170" w:rsidP="00442D6D">
            <w:pPr>
              <w:rPr>
                <w:sz w:val="20"/>
                <w:szCs w:val="20"/>
              </w:rPr>
            </w:pPr>
            <w:r w:rsidRPr="00952638">
              <w:rPr>
                <w:sz w:val="20"/>
                <w:szCs w:val="20"/>
              </w:rPr>
              <w:t>In Phase IV, DFAT will look to resource a position</w:t>
            </w:r>
            <w:r>
              <w:rPr>
                <w:sz w:val="20"/>
                <w:szCs w:val="20"/>
              </w:rPr>
              <w:t xml:space="preserve"> within the Nabilan team</w:t>
            </w:r>
            <w:r w:rsidRPr="00952638">
              <w:rPr>
                <w:sz w:val="20"/>
                <w:szCs w:val="20"/>
              </w:rPr>
              <w:t xml:space="preserve"> specifically dedicated to Advisory support on EVAWC across DFAT programs and in the VAWC system more broadly</w:t>
            </w:r>
            <w:r>
              <w:rPr>
                <w:sz w:val="20"/>
                <w:szCs w:val="20"/>
              </w:rPr>
              <w:t xml:space="preserve">, which should assist with </w:t>
            </w:r>
            <w:r w:rsidR="00755EEA">
              <w:rPr>
                <w:sz w:val="20"/>
                <w:szCs w:val="20"/>
              </w:rPr>
              <w:t xml:space="preserve">ensuring Nabilan’s </w:t>
            </w:r>
            <w:r w:rsidR="0066605B">
              <w:rPr>
                <w:sz w:val="20"/>
                <w:szCs w:val="20"/>
              </w:rPr>
              <w:t>technical support</w:t>
            </w:r>
            <w:r w:rsidR="00755EEA">
              <w:rPr>
                <w:sz w:val="20"/>
                <w:szCs w:val="20"/>
              </w:rPr>
              <w:t xml:space="preserve"> on EVAWC in Timor-Leste is properly resourced and sustainable. </w:t>
            </w:r>
          </w:p>
        </w:tc>
      </w:tr>
      <w:tr w:rsidR="0032127D" w14:paraId="61B6BB54" w14:textId="77777777" w:rsidTr="00443A35">
        <w:tc>
          <w:tcPr>
            <w:tcW w:w="846" w:type="dxa"/>
          </w:tcPr>
          <w:p w14:paraId="3BB859BF" w14:textId="492B0C0E" w:rsidR="0032127D" w:rsidRDefault="0032127D" w:rsidP="004E6B4B">
            <w:pPr>
              <w:rPr>
                <w:sz w:val="20"/>
                <w:szCs w:val="20"/>
              </w:rPr>
            </w:pPr>
            <w:r>
              <w:rPr>
                <w:sz w:val="20"/>
                <w:szCs w:val="20"/>
              </w:rPr>
              <w:t>20</w:t>
            </w:r>
          </w:p>
        </w:tc>
        <w:tc>
          <w:tcPr>
            <w:tcW w:w="5245" w:type="dxa"/>
          </w:tcPr>
          <w:p w14:paraId="2A57C144" w14:textId="66A71BE0" w:rsidR="0032127D" w:rsidRPr="000E3281" w:rsidRDefault="0032127D" w:rsidP="000E3281">
            <w:pPr>
              <w:rPr>
                <w:sz w:val="20"/>
                <w:szCs w:val="20"/>
              </w:rPr>
            </w:pPr>
            <w:r w:rsidRPr="0032127D">
              <w:rPr>
                <w:sz w:val="20"/>
                <w:szCs w:val="20"/>
              </w:rPr>
              <w:t>It is recommended that a co-Team Leader arrangement is considered to support national leadership of the program.</w:t>
            </w:r>
          </w:p>
        </w:tc>
        <w:tc>
          <w:tcPr>
            <w:tcW w:w="7512" w:type="dxa"/>
          </w:tcPr>
          <w:p w14:paraId="58132E17" w14:textId="6063D467" w:rsidR="00C339A2" w:rsidRDefault="000324DE" w:rsidP="00622363">
            <w:pPr>
              <w:rPr>
                <w:sz w:val="20"/>
                <w:szCs w:val="20"/>
              </w:rPr>
            </w:pPr>
            <w:r w:rsidRPr="009D03C3">
              <w:rPr>
                <w:sz w:val="20"/>
                <w:szCs w:val="20"/>
              </w:rPr>
              <w:t xml:space="preserve">Partially agree. </w:t>
            </w:r>
            <w:r w:rsidR="0041252D">
              <w:rPr>
                <w:sz w:val="20"/>
                <w:szCs w:val="20"/>
              </w:rPr>
              <w:t>DFAT and Nabilan are committed to expanding the</w:t>
            </w:r>
            <w:r w:rsidR="002D1F76">
              <w:rPr>
                <w:sz w:val="20"/>
                <w:szCs w:val="20"/>
              </w:rPr>
              <w:t xml:space="preserve"> skills and leadership of staff. </w:t>
            </w:r>
            <w:r w:rsidR="00A16D2E">
              <w:rPr>
                <w:sz w:val="20"/>
                <w:szCs w:val="20"/>
              </w:rPr>
              <w:t>Th</w:t>
            </w:r>
            <w:r w:rsidR="00D4358C">
              <w:rPr>
                <w:sz w:val="20"/>
                <w:szCs w:val="20"/>
              </w:rPr>
              <w:t>e</w:t>
            </w:r>
            <w:r w:rsidR="00A16D2E">
              <w:rPr>
                <w:sz w:val="20"/>
                <w:szCs w:val="20"/>
              </w:rPr>
              <w:t xml:space="preserve"> current Nabilan team structure is </w:t>
            </w:r>
            <w:r w:rsidR="00A16D2E" w:rsidRPr="009D03C3">
              <w:rPr>
                <w:sz w:val="20"/>
                <w:szCs w:val="20"/>
              </w:rPr>
              <w:t>highly effective</w:t>
            </w:r>
            <w:r w:rsidR="00A16D2E">
              <w:rPr>
                <w:sz w:val="20"/>
                <w:szCs w:val="20"/>
              </w:rPr>
              <w:t xml:space="preserve"> and is maximising the leadership strengths of </w:t>
            </w:r>
            <w:r w:rsidR="00766A76">
              <w:rPr>
                <w:sz w:val="20"/>
                <w:szCs w:val="20"/>
              </w:rPr>
              <w:t>its</w:t>
            </w:r>
            <w:r w:rsidR="00A16D2E">
              <w:rPr>
                <w:sz w:val="20"/>
                <w:szCs w:val="20"/>
              </w:rPr>
              <w:t xml:space="preserve"> team members</w:t>
            </w:r>
            <w:r w:rsidR="00B32680">
              <w:rPr>
                <w:sz w:val="20"/>
                <w:szCs w:val="20"/>
              </w:rPr>
              <w:t>, including on the leadership team</w:t>
            </w:r>
            <w:r w:rsidR="00A16D2E">
              <w:rPr>
                <w:sz w:val="20"/>
                <w:szCs w:val="20"/>
              </w:rPr>
              <w:t>.</w:t>
            </w:r>
            <w:r w:rsidR="002D1F76">
              <w:rPr>
                <w:sz w:val="20"/>
                <w:szCs w:val="20"/>
              </w:rPr>
              <w:t xml:space="preserve"> </w:t>
            </w:r>
            <w:r w:rsidR="00D97DA7">
              <w:rPr>
                <w:sz w:val="20"/>
                <w:szCs w:val="20"/>
              </w:rPr>
              <w:t xml:space="preserve">Throughout the remainder of Phase III and Phase IV, DFAT and TAF will </w:t>
            </w:r>
            <w:r w:rsidR="0088179B">
              <w:rPr>
                <w:sz w:val="20"/>
                <w:szCs w:val="20"/>
              </w:rPr>
              <w:t xml:space="preserve">continue to </w:t>
            </w:r>
            <w:r w:rsidR="002D029B">
              <w:rPr>
                <w:sz w:val="20"/>
                <w:szCs w:val="20"/>
              </w:rPr>
              <w:t xml:space="preserve">calibrate </w:t>
            </w:r>
            <w:r w:rsidR="00425BF9">
              <w:rPr>
                <w:sz w:val="20"/>
                <w:szCs w:val="20"/>
              </w:rPr>
              <w:t xml:space="preserve">approaches to </w:t>
            </w:r>
            <w:r w:rsidR="00AC1D9C">
              <w:rPr>
                <w:sz w:val="20"/>
                <w:szCs w:val="20"/>
              </w:rPr>
              <w:t xml:space="preserve">maximise </w:t>
            </w:r>
            <w:r w:rsidR="00AC1D9C" w:rsidRPr="009D03C3">
              <w:rPr>
                <w:sz w:val="20"/>
                <w:szCs w:val="20"/>
              </w:rPr>
              <w:t>Timorese leadership of Nabila</w:t>
            </w:r>
            <w:r w:rsidR="00766A76">
              <w:rPr>
                <w:sz w:val="20"/>
                <w:szCs w:val="20"/>
              </w:rPr>
              <w:t>n.</w:t>
            </w:r>
            <w:r w:rsidR="001F6DFE">
              <w:rPr>
                <w:sz w:val="20"/>
                <w:szCs w:val="20"/>
              </w:rPr>
              <w:t xml:space="preserve"> </w:t>
            </w:r>
          </w:p>
          <w:p w14:paraId="039E0F1F" w14:textId="1866CAEF" w:rsidR="0032127D" w:rsidRPr="008B5ACE" w:rsidRDefault="00295928" w:rsidP="00442D6D">
            <w:pPr>
              <w:spacing w:before="240"/>
              <w:rPr>
                <w:sz w:val="20"/>
                <w:szCs w:val="20"/>
              </w:rPr>
            </w:pPr>
            <w:r>
              <w:rPr>
                <w:sz w:val="20"/>
                <w:szCs w:val="20"/>
              </w:rPr>
              <w:t>B</w:t>
            </w:r>
            <w:r w:rsidR="000324DE" w:rsidRPr="009D03C3">
              <w:rPr>
                <w:sz w:val="20"/>
                <w:szCs w:val="20"/>
              </w:rPr>
              <w:t xml:space="preserve">oth agree to </w:t>
            </w:r>
            <w:r w:rsidR="00C51E0C" w:rsidRPr="009D03C3">
              <w:rPr>
                <w:sz w:val="20"/>
                <w:szCs w:val="20"/>
              </w:rPr>
              <w:t>reconsider at appropriate points the question</w:t>
            </w:r>
            <w:r w:rsidR="006B70B5" w:rsidRPr="009D03C3">
              <w:rPr>
                <w:sz w:val="20"/>
                <w:szCs w:val="20"/>
              </w:rPr>
              <w:t>s</w:t>
            </w:r>
            <w:r w:rsidR="00C51E0C" w:rsidRPr="009D03C3">
              <w:rPr>
                <w:sz w:val="20"/>
                <w:szCs w:val="20"/>
              </w:rPr>
              <w:t xml:space="preserve"> of</w:t>
            </w:r>
            <w:r w:rsidR="00054329" w:rsidRPr="009D03C3">
              <w:rPr>
                <w:sz w:val="20"/>
                <w:szCs w:val="20"/>
              </w:rPr>
              <w:t xml:space="preserve"> ‘how can we maximise Timorese leadership of Nabilan’ and ‘how can we ensure Nabilan has </w:t>
            </w:r>
            <w:r w:rsidR="0003505D" w:rsidRPr="009D03C3">
              <w:rPr>
                <w:sz w:val="20"/>
                <w:szCs w:val="20"/>
              </w:rPr>
              <w:t xml:space="preserve">the right skillset in the </w:t>
            </w:r>
            <w:r w:rsidR="009D03C3" w:rsidRPr="009D03C3">
              <w:rPr>
                <w:sz w:val="20"/>
                <w:szCs w:val="20"/>
              </w:rPr>
              <w:t>E</w:t>
            </w:r>
            <w:r w:rsidR="0003505D" w:rsidRPr="009D03C3">
              <w:rPr>
                <w:sz w:val="20"/>
                <w:szCs w:val="20"/>
              </w:rPr>
              <w:t xml:space="preserve">xecutive </w:t>
            </w:r>
            <w:r w:rsidR="009D03C3" w:rsidRPr="009D03C3">
              <w:rPr>
                <w:sz w:val="20"/>
                <w:szCs w:val="20"/>
              </w:rPr>
              <w:t>Le</w:t>
            </w:r>
            <w:r w:rsidR="0003505D" w:rsidRPr="009D03C3">
              <w:rPr>
                <w:sz w:val="20"/>
                <w:szCs w:val="20"/>
              </w:rPr>
              <w:t xml:space="preserve">adership </w:t>
            </w:r>
            <w:r w:rsidR="009D03C3" w:rsidRPr="009D03C3">
              <w:rPr>
                <w:sz w:val="20"/>
                <w:szCs w:val="20"/>
              </w:rPr>
              <w:t>T</w:t>
            </w:r>
            <w:r w:rsidR="0003505D" w:rsidRPr="009D03C3">
              <w:rPr>
                <w:sz w:val="20"/>
                <w:szCs w:val="20"/>
              </w:rPr>
              <w:t xml:space="preserve">eam as it grows and expands’. </w:t>
            </w:r>
          </w:p>
        </w:tc>
      </w:tr>
    </w:tbl>
    <w:p w14:paraId="7143C533" w14:textId="77777777" w:rsidR="00240704" w:rsidRDefault="00240704" w:rsidP="004E6B4B"/>
    <w:sectPr w:rsidR="00240704" w:rsidSect="00240704">
      <w:foot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F558" w14:textId="77777777" w:rsidR="007179E5" w:rsidRDefault="007179E5" w:rsidP="00952638">
      <w:pPr>
        <w:spacing w:after="0" w:line="240" w:lineRule="auto"/>
      </w:pPr>
      <w:r>
        <w:separator/>
      </w:r>
    </w:p>
  </w:endnote>
  <w:endnote w:type="continuationSeparator" w:id="0">
    <w:p w14:paraId="188A1CC1" w14:textId="77777777" w:rsidR="007179E5" w:rsidRDefault="007179E5" w:rsidP="00952638">
      <w:pPr>
        <w:spacing w:after="0" w:line="240" w:lineRule="auto"/>
      </w:pPr>
      <w:r>
        <w:continuationSeparator/>
      </w:r>
    </w:p>
  </w:endnote>
  <w:endnote w:type="continuationNotice" w:id="1">
    <w:p w14:paraId="4A4DBF9B" w14:textId="77777777" w:rsidR="007179E5" w:rsidRDefault="00717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092442"/>
      <w:docPartObj>
        <w:docPartGallery w:val="Page Numbers (Bottom of Page)"/>
        <w:docPartUnique/>
      </w:docPartObj>
    </w:sdtPr>
    <w:sdtEndPr>
      <w:rPr>
        <w:noProof/>
      </w:rPr>
    </w:sdtEndPr>
    <w:sdtContent>
      <w:p w14:paraId="7AFC30DE" w14:textId="6951F7D5" w:rsidR="0023680E" w:rsidRDefault="002368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1BC0D" w14:textId="77777777" w:rsidR="0023680E" w:rsidRDefault="00236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FE61E" w14:textId="77777777" w:rsidR="007179E5" w:rsidRDefault="007179E5" w:rsidP="00952638">
      <w:pPr>
        <w:spacing w:after="0" w:line="240" w:lineRule="auto"/>
      </w:pPr>
      <w:r>
        <w:separator/>
      </w:r>
    </w:p>
  </w:footnote>
  <w:footnote w:type="continuationSeparator" w:id="0">
    <w:p w14:paraId="445836FD" w14:textId="77777777" w:rsidR="007179E5" w:rsidRDefault="007179E5" w:rsidP="00952638">
      <w:pPr>
        <w:spacing w:after="0" w:line="240" w:lineRule="auto"/>
      </w:pPr>
      <w:r>
        <w:continuationSeparator/>
      </w:r>
    </w:p>
  </w:footnote>
  <w:footnote w:type="continuationNotice" w:id="1">
    <w:p w14:paraId="17D81DFF" w14:textId="77777777" w:rsidR="007179E5" w:rsidRDefault="007179E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4B"/>
    <w:rsid w:val="00002925"/>
    <w:rsid w:val="000109BC"/>
    <w:rsid w:val="000324DE"/>
    <w:rsid w:val="0003505D"/>
    <w:rsid w:val="00054329"/>
    <w:rsid w:val="00056D47"/>
    <w:rsid w:val="00057209"/>
    <w:rsid w:val="000649B3"/>
    <w:rsid w:val="000E31CA"/>
    <w:rsid w:val="000E3281"/>
    <w:rsid w:val="000F6982"/>
    <w:rsid w:val="000F78C8"/>
    <w:rsid w:val="0010204D"/>
    <w:rsid w:val="00123EA2"/>
    <w:rsid w:val="0012490A"/>
    <w:rsid w:val="00133451"/>
    <w:rsid w:val="00152171"/>
    <w:rsid w:val="00156359"/>
    <w:rsid w:val="001750AE"/>
    <w:rsid w:val="00180210"/>
    <w:rsid w:val="0018506A"/>
    <w:rsid w:val="00192780"/>
    <w:rsid w:val="001A3963"/>
    <w:rsid w:val="001A4F7F"/>
    <w:rsid w:val="001B4F91"/>
    <w:rsid w:val="001D1A8B"/>
    <w:rsid w:val="001D4547"/>
    <w:rsid w:val="001F1418"/>
    <w:rsid w:val="001F6DFE"/>
    <w:rsid w:val="002243FC"/>
    <w:rsid w:val="0023680E"/>
    <w:rsid w:val="00240704"/>
    <w:rsid w:val="002464AE"/>
    <w:rsid w:val="002719F1"/>
    <w:rsid w:val="00294AF5"/>
    <w:rsid w:val="00295928"/>
    <w:rsid w:val="002B3772"/>
    <w:rsid w:val="002B41A1"/>
    <w:rsid w:val="002D029B"/>
    <w:rsid w:val="002D1F76"/>
    <w:rsid w:val="00300040"/>
    <w:rsid w:val="00302936"/>
    <w:rsid w:val="0032127D"/>
    <w:rsid w:val="0033623F"/>
    <w:rsid w:val="003567B8"/>
    <w:rsid w:val="00362A28"/>
    <w:rsid w:val="00363262"/>
    <w:rsid w:val="00380019"/>
    <w:rsid w:val="003C527A"/>
    <w:rsid w:val="003D1823"/>
    <w:rsid w:val="003E02B4"/>
    <w:rsid w:val="003F5B6B"/>
    <w:rsid w:val="00401D1D"/>
    <w:rsid w:val="0041252D"/>
    <w:rsid w:val="00425BF9"/>
    <w:rsid w:val="00442D6D"/>
    <w:rsid w:val="00443A35"/>
    <w:rsid w:val="00450A1C"/>
    <w:rsid w:val="004541EF"/>
    <w:rsid w:val="00471794"/>
    <w:rsid w:val="00482969"/>
    <w:rsid w:val="00497F3D"/>
    <w:rsid w:val="004D66B5"/>
    <w:rsid w:val="004E5269"/>
    <w:rsid w:val="004E6B4B"/>
    <w:rsid w:val="004F1FA9"/>
    <w:rsid w:val="00502474"/>
    <w:rsid w:val="00513FA8"/>
    <w:rsid w:val="005240AE"/>
    <w:rsid w:val="005317E7"/>
    <w:rsid w:val="00554339"/>
    <w:rsid w:val="00590199"/>
    <w:rsid w:val="005C459B"/>
    <w:rsid w:val="005D3A93"/>
    <w:rsid w:val="005F7E03"/>
    <w:rsid w:val="00602141"/>
    <w:rsid w:val="00614170"/>
    <w:rsid w:val="00622363"/>
    <w:rsid w:val="006371E3"/>
    <w:rsid w:val="00640423"/>
    <w:rsid w:val="006529E7"/>
    <w:rsid w:val="0065703C"/>
    <w:rsid w:val="0066605B"/>
    <w:rsid w:val="00666084"/>
    <w:rsid w:val="00667FB2"/>
    <w:rsid w:val="006B70B5"/>
    <w:rsid w:val="006B70D3"/>
    <w:rsid w:val="00711174"/>
    <w:rsid w:val="007179E5"/>
    <w:rsid w:val="007231BB"/>
    <w:rsid w:val="00725B54"/>
    <w:rsid w:val="00755EEA"/>
    <w:rsid w:val="0076647F"/>
    <w:rsid w:val="00766A76"/>
    <w:rsid w:val="007833C1"/>
    <w:rsid w:val="007C0B94"/>
    <w:rsid w:val="007E23B0"/>
    <w:rsid w:val="007E7CBA"/>
    <w:rsid w:val="007F253B"/>
    <w:rsid w:val="00801A9A"/>
    <w:rsid w:val="00811751"/>
    <w:rsid w:val="00813E60"/>
    <w:rsid w:val="00821FFA"/>
    <w:rsid w:val="008241AD"/>
    <w:rsid w:val="00827BBA"/>
    <w:rsid w:val="0088179B"/>
    <w:rsid w:val="00893982"/>
    <w:rsid w:val="00895EDB"/>
    <w:rsid w:val="008A5274"/>
    <w:rsid w:val="008B5ACE"/>
    <w:rsid w:val="008E310B"/>
    <w:rsid w:val="00900582"/>
    <w:rsid w:val="00933C2F"/>
    <w:rsid w:val="00952638"/>
    <w:rsid w:val="009556B7"/>
    <w:rsid w:val="009A4B39"/>
    <w:rsid w:val="009A76E8"/>
    <w:rsid w:val="009D03C3"/>
    <w:rsid w:val="009F597E"/>
    <w:rsid w:val="00A04954"/>
    <w:rsid w:val="00A160CB"/>
    <w:rsid w:val="00A16D2E"/>
    <w:rsid w:val="00A2682C"/>
    <w:rsid w:val="00A416F2"/>
    <w:rsid w:val="00A53292"/>
    <w:rsid w:val="00A542A6"/>
    <w:rsid w:val="00A771DC"/>
    <w:rsid w:val="00AA3531"/>
    <w:rsid w:val="00AB7374"/>
    <w:rsid w:val="00AC19CD"/>
    <w:rsid w:val="00AC1D9C"/>
    <w:rsid w:val="00AD0138"/>
    <w:rsid w:val="00AF0330"/>
    <w:rsid w:val="00B217C9"/>
    <w:rsid w:val="00B305E6"/>
    <w:rsid w:val="00B32680"/>
    <w:rsid w:val="00B734F2"/>
    <w:rsid w:val="00B85910"/>
    <w:rsid w:val="00B95B0F"/>
    <w:rsid w:val="00B975B3"/>
    <w:rsid w:val="00BA13A7"/>
    <w:rsid w:val="00BB3812"/>
    <w:rsid w:val="00BB3F69"/>
    <w:rsid w:val="00BC1D34"/>
    <w:rsid w:val="00BE0B98"/>
    <w:rsid w:val="00C151DA"/>
    <w:rsid w:val="00C339A2"/>
    <w:rsid w:val="00C51E0C"/>
    <w:rsid w:val="00C53266"/>
    <w:rsid w:val="00C92623"/>
    <w:rsid w:val="00CA0C6F"/>
    <w:rsid w:val="00CE752D"/>
    <w:rsid w:val="00D20179"/>
    <w:rsid w:val="00D2483E"/>
    <w:rsid w:val="00D27A19"/>
    <w:rsid w:val="00D4358C"/>
    <w:rsid w:val="00D46E9D"/>
    <w:rsid w:val="00D64602"/>
    <w:rsid w:val="00D6468E"/>
    <w:rsid w:val="00D8129D"/>
    <w:rsid w:val="00D92041"/>
    <w:rsid w:val="00D97DA7"/>
    <w:rsid w:val="00DC06D5"/>
    <w:rsid w:val="00E31C7D"/>
    <w:rsid w:val="00E719B6"/>
    <w:rsid w:val="00E807C6"/>
    <w:rsid w:val="00E920FC"/>
    <w:rsid w:val="00EA6CA4"/>
    <w:rsid w:val="00EC4759"/>
    <w:rsid w:val="00ED4A77"/>
    <w:rsid w:val="00ED633C"/>
    <w:rsid w:val="00EF1B68"/>
    <w:rsid w:val="00F01857"/>
    <w:rsid w:val="00F03D4D"/>
    <w:rsid w:val="00F12928"/>
    <w:rsid w:val="00F21BEC"/>
    <w:rsid w:val="00F22E66"/>
    <w:rsid w:val="00F31120"/>
    <w:rsid w:val="00F5513E"/>
    <w:rsid w:val="00F62BC9"/>
    <w:rsid w:val="00F83870"/>
    <w:rsid w:val="00FD5502"/>
    <w:rsid w:val="00FE0187"/>
    <w:rsid w:val="00FE79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3F9C5"/>
  <w15:chartTrackingRefBased/>
  <w15:docId w15:val="{CCD498CF-E052-46AB-874F-6442F8D6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2D6D"/>
    <w:pPr>
      <w:spacing w:before="240"/>
      <w:outlineLvl w:val="1"/>
    </w:pPr>
    <w:rPr>
      <w:b/>
      <w:bCs/>
      <w:i/>
      <w:iCs/>
      <w:sz w:val="20"/>
      <w:szCs w:val="20"/>
    </w:rPr>
  </w:style>
  <w:style w:type="paragraph" w:styleId="Heading3">
    <w:name w:val="heading 3"/>
    <w:basedOn w:val="Normal"/>
    <w:next w:val="Normal"/>
    <w:link w:val="Heading3Char"/>
    <w:uiPriority w:val="9"/>
    <w:semiHidden/>
    <w:unhideWhenUsed/>
    <w:qFormat/>
    <w:rsid w:val="004E6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2D6D"/>
    <w:rPr>
      <w:b/>
      <w:bCs/>
      <w:i/>
      <w:iCs/>
      <w:sz w:val="20"/>
      <w:szCs w:val="20"/>
    </w:rPr>
  </w:style>
  <w:style w:type="character" w:customStyle="1" w:styleId="Heading3Char">
    <w:name w:val="Heading 3 Char"/>
    <w:basedOn w:val="DefaultParagraphFont"/>
    <w:link w:val="Heading3"/>
    <w:uiPriority w:val="9"/>
    <w:semiHidden/>
    <w:rsid w:val="004E6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B4B"/>
    <w:rPr>
      <w:rFonts w:eastAsiaTheme="majorEastAsia" w:cstheme="majorBidi"/>
      <w:color w:val="272727" w:themeColor="text1" w:themeTint="D8"/>
    </w:rPr>
  </w:style>
  <w:style w:type="paragraph" w:styleId="Title">
    <w:name w:val="Title"/>
    <w:basedOn w:val="Normal"/>
    <w:next w:val="Normal"/>
    <w:link w:val="TitleChar"/>
    <w:uiPriority w:val="10"/>
    <w:qFormat/>
    <w:rsid w:val="004E6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B4B"/>
    <w:pPr>
      <w:spacing w:before="160"/>
      <w:jc w:val="center"/>
    </w:pPr>
    <w:rPr>
      <w:i/>
      <w:iCs/>
      <w:color w:val="404040" w:themeColor="text1" w:themeTint="BF"/>
    </w:rPr>
  </w:style>
  <w:style w:type="character" w:customStyle="1" w:styleId="QuoteChar">
    <w:name w:val="Quote Char"/>
    <w:basedOn w:val="DefaultParagraphFont"/>
    <w:link w:val="Quote"/>
    <w:uiPriority w:val="29"/>
    <w:rsid w:val="004E6B4B"/>
    <w:rPr>
      <w:i/>
      <w:iCs/>
      <w:color w:val="404040" w:themeColor="text1" w:themeTint="BF"/>
    </w:rPr>
  </w:style>
  <w:style w:type="paragraph" w:styleId="ListParagraph">
    <w:name w:val="List Paragraph"/>
    <w:basedOn w:val="Normal"/>
    <w:uiPriority w:val="34"/>
    <w:qFormat/>
    <w:rsid w:val="004E6B4B"/>
    <w:pPr>
      <w:ind w:left="720"/>
      <w:contextualSpacing/>
    </w:pPr>
  </w:style>
  <w:style w:type="character" w:styleId="IntenseEmphasis">
    <w:name w:val="Intense Emphasis"/>
    <w:basedOn w:val="DefaultParagraphFont"/>
    <w:uiPriority w:val="21"/>
    <w:qFormat/>
    <w:rsid w:val="004E6B4B"/>
    <w:rPr>
      <w:i/>
      <w:iCs/>
      <w:color w:val="0F4761" w:themeColor="accent1" w:themeShade="BF"/>
    </w:rPr>
  </w:style>
  <w:style w:type="paragraph" w:styleId="IntenseQuote">
    <w:name w:val="Intense Quote"/>
    <w:basedOn w:val="Normal"/>
    <w:next w:val="Normal"/>
    <w:link w:val="IntenseQuoteChar"/>
    <w:uiPriority w:val="30"/>
    <w:qFormat/>
    <w:rsid w:val="004E6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B4B"/>
    <w:rPr>
      <w:i/>
      <w:iCs/>
      <w:color w:val="0F4761" w:themeColor="accent1" w:themeShade="BF"/>
    </w:rPr>
  </w:style>
  <w:style w:type="character" w:styleId="IntenseReference">
    <w:name w:val="Intense Reference"/>
    <w:basedOn w:val="DefaultParagraphFont"/>
    <w:uiPriority w:val="32"/>
    <w:qFormat/>
    <w:rsid w:val="004E6B4B"/>
    <w:rPr>
      <w:b/>
      <w:bCs/>
      <w:smallCaps/>
      <w:color w:val="0F4761" w:themeColor="accent1" w:themeShade="BF"/>
      <w:spacing w:val="5"/>
    </w:rPr>
  </w:style>
  <w:style w:type="table" w:styleId="TableGrid">
    <w:name w:val="Table Grid"/>
    <w:basedOn w:val="TableNormal"/>
    <w:uiPriority w:val="39"/>
    <w:rsid w:val="00240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703C"/>
    <w:pPr>
      <w:spacing w:after="0" w:line="240" w:lineRule="auto"/>
    </w:pPr>
  </w:style>
  <w:style w:type="character" w:styleId="CommentReference">
    <w:name w:val="annotation reference"/>
    <w:basedOn w:val="DefaultParagraphFont"/>
    <w:uiPriority w:val="99"/>
    <w:semiHidden/>
    <w:unhideWhenUsed/>
    <w:rsid w:val="0065703C"/>
    <w:rPr>
      <w:sz w:val="16"/>
      <w:szCs w:val="16"/>
    </w:rPr>
  </w:style>
  <w:style w:type="paragraph" w:styleId="CommentText">
    <w:name w:val="annotation text"/>
    <w:basedOn w:val="Normal"/>
    <w:link w:val="CommentTextChar"/>
    <w:uiPriority w:val="99"/>
    <w:unhideWhenUsed/>
    <w:rsid w:val="0065703C"/>
    <w:pPr>
      <w:spacing w:line="240" w:lineRule="auto"/>
    </w:pPr>
    <w:rPr>
      <w:sz w:val="20"/>
      <w:szCs w:val="20"/>
    </w:rPr>
  </w:style>
  <w:style w:type="character" w:customStyle="1" w:styleId="CommentTextChar">
    <w:name w:val="Comment Text Char"/>
    <w:basedOn w:val="DefaultParagraphFont"/>
    <w:link w:val="CommentText"/>
    <w:uiPriority w:val="99"/>
    <w:rsid w:val="0065703C"/>
    <w:rPr>
      <w:sz w:val="20"/>
      <w:szCs w:val="20"/>
    </w:rPr>
  </w:style>
  <w:style w:type="paragraph" w:styleId="CommentSubject">
    <w:name w:val="annotation subject"/>
    <w:basedOn w:val="CommentText"/>
    <w:next w:val="CommentText"/>
    <w:link w:val="CommentSubjectChar"/>
    <w:uiPriority w:val="99"/>
    <w:semiHidden/>
    <w:unhideWhenUsed/>
    <w:rsid w:val="0065703C"/>
    <w:rPr>
      <w:b/>
      <w:bCs/>
    </w:rPr>
  </w:style>
  <w:style w:type="character" w:customStyle="1" w:styleId="CommentSubjectChar">
    <w:name w:val="Comment Subject Char"/>
    <w:basedOn w:val="CommentTextChar"/>
    <w:link w:val="CommentSubject"/>
    <w:uiPriority w:val="99"/>
    <w:semiHidden/>
    <w:rsid w:val="0065703C"/>
    <w:rPr>
      <w:b/>
      <w:bCs/>
      <w:sz w:val="20"/>
      <w:szCs w:val="20"/>
    </w:rPr>
  </w:style>
  <w:style w:type="paragraph" w:styleId="Header">
    <w:name w:val="header"/>
    <w:basedOn w:val="Normal"/>
    <w:link w:val="HeaderChar"/>
    <w:uiPriority w:val="99"/>
    <w:unhideWhenUsed/>
    <w:rsid w:val="00C92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623"/>
  </w:style>
  <w:style w:type="paragraph" w:styleId="Footer">
    <w:name w:val="footer"/>
    <w:basedOn w:val="Normal"/>
    <w:link w:val="FooterChar"/>
    <w:uiPriority w:val="99"/>
    <w:unhideWhenUsed/>
    <w:rsid w:val="00C92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0465">
      <w:bodyDiv w:val="1"/>
      <w:marLeft w:val="0"/>
      <w:marRight w:val="0"/>
      <w:marTop w:val="0"/>
      <w:marBottom w:val="0"/>
      <w:divBdr>
        <w:top w:val="none" w:sz="0" w:space="0" w:color="auto"/>
        <w:left w:val="none" w:sz="0" w:space="0" w:color="auto"/>
        <w:bottom w:val="none" w:sz="0" w:space="0" w:color="auto"/>
        <w:right w:val="none" w:sz="0" w:space="0" w:color="auto"/>
      </w:divBdr>
    </w:div>
    <w:div w:id="107552908">
      <w:bodyDiv w:val="1"/>
      <w:marLeft w:val="0"/>
      <w:marRight w:val="0"/>
      <w:marTop w:val="0"/>
      <w:marBottom w:val="0"/>
      <w:divBdr>
        <w:top w:val="none" w:sz="0" w:space="0" w:color="auto"/>
        <w:left w:val="none" w:sz="0" w:space="0" w:color="auto"/>
        <w:bottom w:val="none" w:sz="0" w:space="0" w:color="auto"/>
        <w:right w:val="none" w:sz="0" w:space="0" w:color="auto"/>
      </w:divBdr>
    </w:div>
    <w:div w:id="142550232">
      <w:bodyDiv w:val="1"/>
      <w:marLeft w:val="0"/>
      <w:marRight w:val="0"/>
      <w:marTop w:val="0"/>
      <w:marBottom w:val="0"/>
      <w:divBdr>
        <w:top w:val="none" w:sz="0" w:space="0" w:color="auto"/>
        <w:left w:val="none" w:sz="0" w:space="0" w:color="auto"/>
        <w:bottom w:val="none" w:sz="0" w:space="0" w:color="auto"/>
        <w:right w:val="none" w:sz="0" w:space="0" w:color="auto"/>
      </w:divBdr>
    </w:div>
    <w:div w:id="357586613">
      <w:bodyDiv w:val="1"/>
      <w:marLeft w:val="0"/>
      <w:marRight w:val="0"/>
      <w:marTop w:val="0"/>
      <w:marBottom w:val="0"/>
      <w:divBdr>
        <w:top w:val="none" w:sz="0" w:space="0" w:color="auto"/>
        <w:left w:val="none" w:sz="0" w:space="0" w:color="auto"/>
        <w:bottom w:val="none" w:sz="0" w:space="0" w:color="auto"/>
        <w:right w:val="none" w:sz="0" w:space="0" w:color="auto"/>
      </w:divBdr>
    </w:div>
    <w:div w:id="471990451">
      <w:bodyDiv w:val="1"/>
      <w:marLeft w:val="0"/>
      <w:marRight w:val="0"/>
      <w:marTop w:val="0"/>
      <w:marBottom w:val="0"/>
      <w:divBdr>
        <w:top w:val="none" w:sz="0" w:space="0" w:color="auto"/>
        <w:left w:val="none" w:sz="0" w:space="0" w:color="auto"/>
        <w:bottom w:val="none" w:sz="0" w:space="0" w:color="auto"/>
        <w:right w:val="none" w:sz="0" w:space="0" w:color="auto"/>
      </w:divBdr>
    </w:div>
    <w:div w:id="528681689">
      <w:bodyDiv w:val="1"/>
      <w:marLeft w:val="0"/>
      <w:marRight w:val="0"/>
      <w:marTop w:val="0"/>
      <w:marBottom w:val="0"/>
      <w:divBdr>
        <w:top w:val="none" w:sz="0" w:space="0" w:color="auto"/>
        <w:left w:val="none" w:sz="0" w:space="0" w:color="auto"/>
        <w:bottom w:val="none" w:sz="0" w:space="0" w:color="auto"/>
        <w:right w:val="none" w:sz="0" w:space="0" w:color="auto"/>
      </w:divBdr>
    </w:div>
    <w:div w:id="532621013">
      <w:bodyDiv w:val="1"/>
      <w:marLeft w:val="0"/>
      <w:marRight w:val="0"/>
      <w:marTop w:val="0"/>
      <w:marBottom w:val="0"/>
      <w:divBdr>
        <w:top w:val="none" w:sz="0" w:space="0" w:color="auto"/>
        <w:left w:val="none" w:sz="0" w:space="0" w:color="auto"/>
        <w:bottom w:val="none" w:sz="0" w:space="0" w:color="auto"/>
        <w:right w:val="none" w:sz="0" w:space="0" w:color="auto"/>
      </w:divBdr>
    </w:div>
    <w:div w:id="543643097">
      <w:bodyDiv w:val="1"/>
      <w:marLeft w:val="0"/>
      <w:marRight w:val="0"/>
      <w:marTop w:val="0"/>
      <w:marBottom w:val="0"/>
      <w:divBdr>
        <w:top w:val="none" w:sz="0" w:space="0" w:color="auto"/>
        <w:left w:val="none" w:sz="0" w:space="0" w:color="auto"/>
        <w:bottom w:val="none" w:sz="0" w:space="0" w:color="auto"/>
        <w:right w:val="none" w:sz="0" w:space="0" w:color="auto"/>
      </w:divBdr>
    </w:div>
    <w:div w:id="569851141">
      <w:bodyDiv w:val="1"/>
      <w:marLeft w:val="0"/>
      <w:marRight w:val="0"/>
      <w:marTop w:val="0"/>
      <w:marBottom w:val="0"/>
      <w:divBdr>
        <w:top w:val="none" w:sz="0" w:space="0" w:color="auto"/>
        <w:left w:val="none" w:sz="0" w:space="0" w:color="auto"/>
        <w:bottom w:val="none" w:sz="0" w:space="0" w:color="auto"/>
        <w:right w:val="none" w:sz="0" w:space="0" w:color="auto"/>
      </w:divBdr>
    </w:div>
    <w:div w:id="612714690">
      <w:bodyDiv w:val="1"/>
      <w:marLeft w:val="0"/>
      <w:marRight w:val="0"/>
      <w:marTop w:val="0"/>
      <w:marBottom w:val="0"/>
      <w:divBdr>
        <w:top w:val="none" w:sz="0" w:space="0" w:color="auto"/>
        <w:left w:val="none" w:sz="0" w:space="0" w:color="auto"/>
        <w:bottom w:val="none" w:sz="0" w:space="0" w:color="auto"/>
        <w:right w:val="none" w:sz="0" w:space="0" w:color="auto"/>
      </w:divBdr>
    </w:div>
    <w:div w:id="664014223">
      <w:bodyDiv w:val="1"/>
      <w:marLeft w:val="0"/>
      <w:marRight w:val="0"/>
      <w:marTop w:val="0"/>
      <w:marBottom w:val="0"/>
      <w:divBdr>
        <w:top w:val="none" w:sz="0" w:space="0" w:color="auto"/>
        <w:left w:val="none" w:sz="0" w:space="0" w:color="auto"/>
        <w:bottom w:val="none" w:sz="0" w:space="0" w:color="auto"/>
        <w:right w:val="none" w:sz="0" w:space="0" w:color="auto"/>
      </w:divBdr>
    </w:div>
    <w:div w:id="692921363">
      <w:bodyDiv w:val="1"/>
      <w:marLeft w:val="0"/>
      <w:marRight w:val="0"/>
      <w:marTop w:val="0"/>
      <w:marBottom w:val="0"/>
      <w:divBdr>
        <w:top w:val="none" w:sz="0" w:space="0" w:color="auto"/>
        <w:left w:val="none" w:sz="0" w:space="0" w:color="auto"/>
        <w:bottom w:val="none" w:sz="0" w:space="0" w:color="auto"/>
        <w:right w:val="none" w:sz="0" w:space="0" w:color="auto"/>
      </w:divBdr>
    </w:div>
    <w:div w:id="713505044">
      <w:bodyDiv w:val="1"/>
      <w:marLeft w:val="0"/>
      <w:marRight w:val="0"/>
      <w:marTop w:val="0"/>
      <w:marBottom w:val="0"/>
      <w:divBdr>
        <w:top w:val="none" w:sz="0" w:space="0" w:color="auto"/>
        <w:left w:val="none" w:sz="0" w:space="0" w:color="auto"/>
        <w:bottom w:val="none" w:sz="0" w:space="0" w:color="auto"/>
        <w:right w:val="none" w:sz="0" w:space="0" w:color="auto"/>
      </w:divBdr>
    </w:div>
    <w:div w:id="760494955">
      <w:bodyDiv w:val="1"/>
      <w:marLeft w:val="0"/>
      <w:marRight w:val="0"/>
      <w:marTop w:val="0"/>
      <w:marBottom w:val="0"/>
      <w:divBdr>
        <w:top w:val="none" w:sz="0" w:space="0" w:color="auto"/>
        <w:left w:val="none" w:sz="0" w:space="0" w:color="auto"/>
        <w:bottom w:val="none" w:sz="0" w:space="0" w:color="auto"/>
        <w:right w:val="none" w:sz="0" w:space="0" w:color="auto"/>
      </w:divBdr>
    </w:div>
    <w:div w:id="1004282253">
      <w:bodyDiv w:val="1"/>
      <w:marLeft w:val="0"/>
      <w:marRight w:val="0"/>
      <w:marTop w:val="0"/>
      <w:marBottom w:val="0"/>
      <w:divBdr>
        <w:top w:val="none" w:sz="0" w:space="0" w:color="auto"/>
        <w:left w:val="none" w:sz="0" w:space="0" w:color="auto"/>
        <w:bottom w:val="none" w:sz="0" w:space="0" w:color="auto"/>
        <w:right w:val="none" w:sz="0" w:space="0" w:color="auto"/>
      </w:divBdr>
    </w:div>
    <w:div w:id="1184635391">
      <w:bodyDiv w:val="1"/>
      <w:marLeft w:val="0"/>
      <w:marRight w:val="0"/>
      <w:marTop w:val="0"/>
      <w:marBottom w:val="0"/>
      <w:divBdr>
        <w:top w:val="none" w:sz="0" w:space="0" w:color="auto"/>
        <w:left w:val="none" w:sz="0" w:space="0" w:color="auto"/>
        <w:bottom w:val="none" w:sz="0" w:space="0" w:color="auto"/>
        <w:right w:val="none" w:sz="0" w:space="0" w:color="auto"/>
      </w:divBdr>
    </w:div>
    <w:div w:id="1274557626">
      <w:bodyDiv w:val="1"/>
      <w:marLeft w:val="0"/>
      <w:marRight w:val="0"/>
      <w:marTop w:val="0"/>
      <w:marBottom w:val="0"/>
      <w:divBdr>
        <w:top w:val="none" w:sz="0" w:space="0" w:color="auto"/>
        <w:left w:val="none" w:sz="0" w:space="0" w:color="auto"/>
        <w:bottom w:val="none" w:sz="0" w:space="0" w:color="auto"/>
        <w:right w:val="none" w:sz="0" w:space="0" w:color="auto"/>
      </w:divBdr>
    </w:div>
    <w:div w:id="1367097067">
      <w:bodyDiv w:val="1"/>
      <w:marLeft w:val="0"/>
      <w:marRight w:val="0"/>
      <w:marTop w:val="0"/>
      <w:marBottom w:val="0"/>
      <w:divBdr>
        <w:top w:val="none" w:sz="0" w:space="0" w:color="auto"/>
        <w:left w:val="none" w:sz="0" w:space="0" w:color="auto"/>
        <w:bottom w:val="none" w:sz="0" w:space="0" w:color="auto"/>
        <w:right w:val="none" w:sz="0" w:space="0" w:color="auto"/>
      </w:divBdr>
    </w:div>
    <w:div w:id="1386754543">
      <w:bodyDiv w:val="1"/>
      <w:marLeft w:val="0"/>
      <w:marRight w:val="0"/>
      <w:marTop w:val="0"/>
      <w:marBottom w:val="0"/>
      <w:divBdr>
        <w:top w:val="none" w:sz="0" w:space="0" w:color="auto"/>
        <w:left w:val="none" w:sz="0" w:space="0" w:color="auto"/>
        <w:bottom w:val="none" w:sz="0" w:space="0" w:color="auto"/>
        <w:right w:val="none" w:sz="0" w:space="0" w:color="auto"/>
      </w:divBdr>
    </w:div>
    <w:div w:id="1519737568">
      <w:bodyDiv w:val="1"/>
      <w:marLeft w:val="0"/>
      <w:marRight w:val="0"/>
      <w:marTop w:val="0"/>
      <w:marBottom w:val="0"/>
      <w:divBdr>
        <w:top w:val="none" w:sz="0" w:space="0" w:color="auto"/>
        <w:left w:val="none" w:sz="0" w:space="0" w:color="auto"/>
        <w:bottom w:val="none" w:sz="0" w:space="0" w:color="auto"/>
        <w:right w:val="none" w:sz="0" w:space="0" w:color="auto"/>
      </w:divBdr>
    </w:div>
    <w:div w:id="1523083614">
      <w:bodyDiv w:val="1"/>
      <w:marLeft w:val="0"/>
      <w:marRight w:val="0"/>
      <w:marTop w:val="0"/>
      <w:marBottom w:val="0"/>
      <w:divBdr>
        <w:top w:val="none" w:sz="0" w:space="0" w:color="auto"/>
        <w:left w:val="none" w:sz="0" w:space="0" w:color="auto"/>
        <w:bottom w:val="none" w:sz="0" w:space="0" w:color="auto"/>
        <w:right w:val="none" w:sz="0" w:space="0" w:color="auto"/>
      </w:divBdr>
    </w:div>
    <w:div w:id="209840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533a42-52d5-4c95-8236-ef8e332e1b09}" enabled="1" method="Standard" siteId="{ba456844-44ef-4bd8-8efe-beca529e0771}"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1911</Words>
  <Characters>10859</Characters>
  <Application>Microsoft Office Word</Application>
  <DocSecurity>0</DocSecurity>
  <Lines>254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Nabilan 2024 Phase III Mid-Term Review: DFAT and The Asia Foundation Joint Management Response</dc:title>
  <dc:subject/>
  <cp:keywords>[SEC=OFFICIAL]</cp:keywords>
  <dc:description/>
  <cp:revision>3</cp:revision>
  <dcterms:created xsi:type="dcterms:W3CDTF">2025-09-21T23:56:00Z</dcterms:created>
  <dcterms:modified xsi:type="dcterms:W3CDTF">2025-09-21T23:57:00Z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v=2022.1;a=SHA256;h=EB898343CCB242377D08105794840ED09A04B91C81CC1679CC07F469F5839413</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2025-04-07T01:24:52Z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E5329D78ADFF18985C404F3A4015F7B7C209C4C5</vt:lpwstr>
  </property>
  <property fmtid="{D5CDD505-2E9C-101B-9397-08002B2CF9AE}" pid="14" name="PM_DisplayValueSecClassificationWithQualifier">
    <vt:lpwstr>OFFICIAL</vt:lpwstr>
  </property>
  <property fmtid="{D5CDD505-2E9C-101B-9397-08002B2CF9AE}" pid="15" name="PM_Originating_FileId">
    <vt:lpwstr>4B9B105B144F4E14BF7F26DA544EFCFB</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C427463A240001568B1E728057080C091949066E05DD342FA6B5B9F6FF33F8D6</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EBB3C242B08031E3CAB8EE8CF535D018</vt:lpwstr>
  </property>
  <property fmtid="{D5CDD505-2E9C-101B-9397-08002B2CF9AE}" pid="25" name="PM_Hash_Salt">
    <vt:lpwstr>C412894A7F03181946E5D802945B3D68</vt:lpwstr>
  </property>
  <property fmtid="{D5CDD505-2E9C-101B-9397-08002B2CF9AE}" pid="26" name="PM_Hash_SHA1">
    <vt:lpwstr>0E70EED285569C63C350F55E6BD3222B2A867ABE</vt:lpwstr>
  </property>
  <property fmtid="{D5CDD505-2E9C-101B-9397-08002B2CF9AE}" pid="27" name="PM_SecurityClassification_Prev">
    <vt:lpwstr>OFFICIAL</vt:lpwstr>
  </property>
  <property fmtid="{D5CDD505-2E9C-101B-9397-08002B2CF9AE}" pid="28" name="PM_Qualifier_Prev">
    <vt:lpwstr/>
  </property>
</Properties>
</file>