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B2E46" w14:textId="77777777" w:rsidR="00230777" w:rsidRPr="00867443" w:rsidRDefault="00230777" w:rsidP="00230777">
      <w:pPr>
        <w:pStyle w:val="Title"/>
        <w:rPr>
          <w:sz w:val="16"/>
          <w:szCs w:val="16"/>
        </w:rPr>
      </w:pPr>
    </w:p>
    <w:p w14:paraId="029902DA" w14:textId="79D73258" w:rsidR="00EB398C" w:rsidRDefault="00494F98" w:rsidP="00EB398C">
      <w:pPr>
        <w:pStyle w:val="Title"/>
        <w:rPr>
          <w:sz w:val="36"/>
          <w:szCs w:val="36"/>
        </w:rPr>
      </w:pPr>
      <w:r>
        <w:rPr>
          <w:sz w:val="36"/>
          <w:szCs w:val="36"/>
        </w:rPr>
        <w:t xml:space="preserve">2019-20 </w:t>
      </w:r>
      <w:r w:rsidR="00C17E15">
        <w:rPr>
          <w:sz w:val="36"/>
          <w:szCs w:val="36"/>
        </w:rPr>
        <w:t>Myanmar</w:t>
      </w:r>
      <w:r w:rsidR="00235EAB">
        <w:rPr>
          <w:sz w:val="36"/>
          <w:szCs w:val="36"/>
        </w:rPr>
        <w:t xml:space="preserve"> </w:t>
      </w:r>
      <w:r w:rsidR="004C5598">
        <w:rPr>
          <w:sz w:val="36"/>
          <w:szCs w:val="36"/>
        </w:rPr>
        <w:t>development program progress report</w:t>
      </w:r>
      <w:r w:rsidR="00660121">
        <w:rPr>
          <w:sz w:val="36"/>
          <w:szCs w:val="36"/>
        </w:rPr>
        <w:t xml:space="preserve">  </w:t>
      </w:r>
    </w:p>
    <w:p w14:paraId="430F050A" w14:textId="77777777" w:rsidR="00452298" w:rsidRDefault="00230777" w:rsidP="00EB398C">
      <w:pPr>
        <w:pStyle w:val="Title"/>
        <w:rPr>
          <w:noProof/>
          <w:sz w:val="36"/>
          <w:szCs w:val="36"/>
          <w:lang w:val="en-AU" w:eastAsia="en-AU"/>
        </w:rPr>
        <w:sectPr w:rsidR="00452298" w:rsidSect="0013191D">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66"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42.1&#10;Regional – 8.8&#10;Global – 29.5&#10;Other Government Departments – 3.5&#10;Total Australian ODA – 84.0&#10;Note. Actual expenditure is expected to be available in December 2020&#10;"/>
      </w:tblPr>
      <w:tblGrid>
        <w:gridCol w:w="3715"/>
        <w:gridCol w:w="1551"/>
      </w:tblGrid>
      <w:tr w:rsidR="004E65E9" w14:paraId="07044C83" w14:textId="77777777" w:rsidTr="00F857E7">
        <w:trPr>
          <w:trHeight w:hRule="exact" w:val="680"/>
        </w:trPr>
        <w:tc>
          <w:tcPr>
            <w:tcW w:w="3715" w:type="dxa"/>
            <w:shd w:val="clear" w:color="auto" w:fill="C1E7E0" w:themeFill="accent1" w:themeFillTint="66"/>
            <w:vAlign w:val="center"/>
          </w:tcPr>
          <w:p w14:paraId="7BBCF70A" w14:textId="77777777" w:rsidR="004E65E9" w:rsidRPr="0025673B" w:rsidRDefault="004E65E9" w:rsidP="00F857E7">
            <w:pPr>
              <w:pStyle w:val="NormalWeb"/>
              <w:spacing w:before="120" w:beforeAutospacing="0" w:after="60" w:afterAutospacing="0" w:line="200" w:lineRule="exact"/>
              <w:jc w:val="center"/>
              <w:rPr>
                <w:rFonts w:asciiTheme="minorHAnsi" w:hAnsiTheme="minorHAnsi" w:cs="Calibri"/>
                <w:b/>
                <w:bCs/>
                <w:kern w:val="24"/>
                <w:sz w:val="22"/>
                <w:szCs w:val="22"/>
              </w:rPr>
            </w:pPr>
            <w:r w:rsidRPr="0025673B">
              <w:rPr>
                <w:rFonts w:asciiTheme="minorHAnsi" w:hAnsiTheme="minorHAnsi"/>
                <w:b/>
                <w:sz w:val="22"/>
                <w:szCs w:val="22"/>
              </w:rPr>
              <w:t>Program Budget</w:t>
            </w:r>
          </w:p>
        </w:tc>
        <w:tc>
          <w:tcPr>
            <w:tcW w:w="1551" w:type="dxa"/>
            <w:shd w:val="clear" w:color="auto" w:fill="C1E7E0" w:themeFill="accent1" w:themeFillTint="66"/>
            <w:vAlign w:val="bottom"/>
          </w:tcPr>
          <w:p w14:paraId="1B5E2D80" w14:textId="77777777" w:rsidR="004E65E9" w:rsidRPr="0025673B" w:rsidRDefault="004E65E9" w:rsidP="00F857E7">
            <w:pPr>
              <w:pStyle w:val="NormalWeb"/>
              <w:spacing w:before="120" w:beforeAutospacing="0" w:after="60" w:afterAutospacing="0" w:line="200" w:lineRule="exact"/>
              <w:jc w:val="center"/>
              <w:rPr>
                <w:rFonts w:asciiTheme="minorHAnsi" w:hAnsiTheme="minorHAnsi" w:cs="Calibri"/>
                <w:b/>
                <w:bCs/>
                <w:kern w:val="24"/>
                <w:sz w:val="20"/>
                <w:szCs w:val="20"/>
              </w:rPr>
            </w:pPr>
            <w:r w:rsidRPr="0025673B">
              <w:rPr>
                <w:rFonts w:asciiTheme="minorHAnsi" w:hAnsiTheme="minorHAnsi" w:cs="Calibri"/>
                <w:b/>
                <w:bCs/>
                <w:kern w:val="24"/>
                <w:sz w:val="20"/>
                <w:szCs w:val="20"/>
              </w:rPr>
              <w:t>2019-20 Budget Estimate ($m)</w:t>
            </w:r>
            <w:r w:rsidRPr="0025673B">
              <w:rPr>
                <w:rFonts w:asciiTheme="minorHAnsi" w:hAnsiTheme="minorHAnsi" w:cs="Calibri"/>
                <w:b/>
                <w:bCs/>
                <w:kern w:val="24"/>
                <w:sz w:val="20"/>
                <w:szCs w:val="20"/>
                <w:vertAlign w:val="superscript"/>
              </w:rPr>
              <w:t>*</w:t>
            </w:r>
          </w:p>
        </w:tc>
      </w:tr>
      <w:tr w:rsidR="004E65E9" w14:paraId="1F2501EF" w14:textId="77777777" w:rsidTr="00F857E7">
        <w:trPr>
          <w:trHeight w:hRule="exact" w:val="454"/>
        </w:trPr>
        <w:tc>
          <w:tcPr>
            <w:tcW w:w="3715" w:type="dxa"/>
            <w:shd w:val="clear" w:color="auto" w:fill="auto"/>
            <w:vAlign w:val="bottom"/>
          </w:tcPr>
          <w:p w14:paraId="4AF7FC3B" w14:textId="77777777" w:rsidR="004E65E9" w:rsidRDefault="004E65E9"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Bilateral</w:t>
            </w:r>
          </w:p>
        </w:tc>
        <w:tc>
          <w:tcPr>
            <w:tcW w:w="1551" w:type="dxa"/>
            <w:vAlign w:val="bottom"/>
          </w:tcPr>
          <w:p w14:paraId="26943794" w14:textId="77777777" w:rsidR="004E65E9" w:rsidRDefault="004E65E9"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42.1</w:t>
            </w:r>
          </w:p>
        </w:tc>
      </w:tr>
      <w:tr w:rsidR="004E65E9" w14:paraId="28018ECE" w14:textId="77777777" w:rsidTr="00F857E7">
        <w:trPr>
          <w:trHeight w:hRule="exact" w:val="454"/>
        </w:trPr>
        <w:tc>
          <w:tcPr>
            <w:tcW w:w="3715" w:type="dxa"/>
            <w:shd w:val="clear" w:color="auto" w:fill="auto"/>
            <w:vAlign w:val="bottom"/>
          </w:tcPr>
          <w:p w14:paraId="69C7E724" w14:textId="77777777" w:rsidR="004E65E9" w:rsidRDefault="004E65E9"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Regional</w:t>
            </w:r>
          </w:p>
        </w:tc>
        <w:tc>
          <w:tcPr>
            <w:tcW w:w="1551" w:type="dxa"/>
            <w:vAlign w:val="bottom"/>
          </w:tcPr>
          <w:p w14:paraId="34FB4E8F" w14:textId="77777777" w:rsidR="004E65E9" w:rsidRDefault="004E65E9"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8.8</w:t>
            </w:r>
          </w:p>
        </w:tc>
      </w:tr>
      <w:tr w:rsidR="004E65E9" w14:paraId="535A77FE" w14:textId="77777777" w:rsidTr="00F857E7">
        <w:trPr>
          <w:trHeight w:hRule="exact" w:val="454"/>
        </w:trPr>
        <w:tc>
          <w:tcPr>
            <w:tcW w:w="3715" w:type="dxa"/>
            <w:shd w:val="clear" w:color="auto" w:fill="auto"/>
            <w:vAlign w:val="bottom"/>
          </w:tcPr>
          <w:p w14:paraId="5ED039EB" w14:textId="77777777" w:rsidR="004E65E9" w:rsidRDefault="004E65E9"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Global</w:t>
            </w:r>
          </w:p>
        </w:tc>
        <w:tc>
          <w:tcPr>
            <w:tcW w:w="1551" w:type="dxa"/>
            <w:vAlign w:val="bottom"/>
          </w:tcPr>
          <w:p w14:paraId="754AD857" w14:textId="77777777" w:rsidR="004E65E9" w:rsidRDefault="004E65E9"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29.5</w:t>
            </w:r>
          </w:p>
        </w:tc>
      </w:tr>
      <w:tr w:rsidR="004E65E9" w14:paraId="2DEB7215" w14:textId="77777777" w:rsidTr="00F857E7">
        <w:trPr>
          <w:trHeight w:hRule="exact" w:val="454"/>
        </w:trPr>
        <w:tc>
          <w:tcPr>
            <w:tcW w:w="3715" w:type="dxa"/>
            <w:shd w:val="clear" w:color="auto" w:fill="auto"/>
            <w:vAlign w:val="bottom"/>
          </w:tcPr>
          <w:p w14:paraId="50BA24D0" w14:textId="77777777" w:rsidR="004E65E9" w:rsidRDefault="004E65E9"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Other Government Departments</w:t>
            </w:r>
          </w:p>
        </w:tc>
        <w:tc>
          <w:tcPr>
            <w:tcW w:w="1551" w:type="dxa"/>
            <w:vAlign w:val="bottom"/>
          </w:tcPr>
          <w:p w14:paraId="10231BBA" w14:textId="77777777" w:rsidR="004E65E9" w:rsidRDefault="004E65E9"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3.5</w:t>
            </w:r>
          </w:p>
        </w:tc>
      </w:tr>
      <w:tr w:rsidR="004E65E9" w14:paraId="420E913A" w14:textId="77777777" w:rsidTr="00F857E7">
        <w:trPr>
          <w:trHeight w:hRule="exact" w:val="454"/>
        </w:trPr>
        <w:tc>
          <w:tcPr>
            <w:tcW w:w="3715" w:type="dxa"/>
            <w:tcBorders>
              <w:bottom w:val="single" w:sz="2" w:space="0" w:color="65C5B4" w:themeColor="accent1"/>
            </w:tcBorders>
            <w:shd w:val="clear" w:color="auto" w:fill="auto"/>
            <w:vAlign w:val="bottom"/>
          </w:tcPr>
          <w:p w14:paraId="3C845C5B" w14:textId="77777777" w:rsidR="004E65E9" w:rsidRDefault="004E65E9" w:rsidP="00F857E7">
            <w:pPr>
              <w:pStyle w:val="NormalWeb"/>
              <w:spacing w:before="20" w:beforeAutospacing="0" w:after="20" w:afterAutospacing="0"/>
              <w:rPr>
                <w:rFonts w:ascii="Arial" w:hAnsi="Arial" w:cs="Arial"/>
                <w:sz w:val="36"/>
                <w:szCs w:val="36"/>
              </w:rPr>
            </w:pPr>
            <w:r>
              <w:rPr>
                <w:rFonts w:ascii="Calibri" w:hAnsi="Calibri" w:cs="Calibri"/>
                <w:b/>
                <w:bCs/>
                <w:color w:val="000000" w:themeColor="dark1"/>
                <w:kern w:val="24"/>
                <w:sz w:val="20"/>
                <w:szCs w:val="20"/>
              </w:rPr>
              <w:t>Total Australian ODA to Myanmar</w:t>
            </w:r>
          </w:p>
        </w:tc>
        <w:tc>
          <w:tcPr>
            <w:tcW w:w="1551" w:type="dxa"/>
            <w:tcBorders>
              <w:bottom w:val="single" w:sz="2" w:space="0" w:color="65C5B4" w:themeColor="accent1"/>
            </w:tcBorders>
            <w:vAlign w:val="bottom"/>
          </w:tcPr>
          <w:p w14:paraId="3CD7E8E6" w14:textId="77777777" w:rsidR="004E65E9" w:rsidRDefault="004E65E9" w:rsidP="00F857E7">
            <w:pPr>
              <w:pStyle w:val="NormalWeb"/>
              <w:spacing w:before="20" w:beforeAutospacing="0" w:after="20" w:afterAutospacing="0"/>
              <w:ind w:right="172"/>
              <w:jc w:val="right"/>
              <w:rPr>
                <w:rFonts w:ascii="Arial" w:hAnsi="Arial" w:cs="Arial"/>
                <w:sz w:val="36"/>
                <w:szCs w:val="36"/>
              </w:rPr>
            </w:pPr>
            <w:r w:rsidRPr="00C641BB">
              <w:rPr>
                <w:rFonts w:ascii="Calibri" w:hAnsi="Calibri" w:cs="Calibri"/>
                <w:b/>
                <w:bCs/>
                <w:color w:val="000000" w:themeColor="dark1"/>
                <w:kern w:val="24"/>
                <w:sz w:val="20"/>
                <w:szCs w:val="20"/>
              </w:rPr>
              <w:t>84.0</w:t>
            </w:r>
          </w:p>
        </w:tc>
      </w:tr>
    </w:tbl>
    <w:p w14:paraId="535037E9" w14:textId="77777777" w:rsidR="004E65E9" w:rsidRPr="00FC11B9" w:rsidRDefault="004E65E9" w:rsidP="004E65E9">
      <w:pPr>
        <w:spacing w:before="0" w:line="240" w:lineRule="auto"/>
        <w:rPr>
          <w:rFonts w:cstheme="minorHAnsi"/>
          <w:sz w:val="14"/>
        </w:rPr>
      </w:pPr>
      <w:r w:rsidRPr="00FC11B9">
        <w:rPr>
          <w:rFonts w:cstheme="minorHAnsi"/>
          <w:bCs/>
          <w:color w:val="000000" w:themeColor="dark1"/>
          <w:kern w:val="24"/>
          <w:sz w:val="16"/>
          <w:szCs w:val="20"/>
        </w:rPr>
        <w:t>*Actual expenditure is expected to be available in December 2020</w:t>
      </w:r>
    </w:p>
    <w:p w14:paraId="43D6A2F9" w14:textId="273F7700" w:rsidR="00452298" w:rsidRDefault="004E65E9" w:rsidP="00494F98">
      <w:pPr>
        <w:spacing w:before="0" w:after="0"/>
      </w:pPr>
      <w:r>
        <w:rPr>
          <w:noProof/>
          <w:lang w:val="en-AU" w:eastAsia="en-AU"/>
        </w:rPr>
        <w:drawing>
          <wp:inline distT="0" distB="0" distL="0" distR="0" wp14:anchorId="48C4F4EB" wp14:editId="231CE739">
            <wp:extent cx="3319145" cy="2043599"/>
            <wp:effectExtent l="0" t="0" r="0" b="0"/>
            <wp:docPr id="2" name="Picture 2" descr="Infrastructure and trade – 3%&#10;Agriculture, fisheries and water – 8%&#10;Governance – 15%&#10;Education – 41%&#10;Health – 5%&#10;Building resilience – 28%&#10;General development support – 0.1%&#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8290" cy="2049229"/>
                    </a:xfrm>
                    <a:prstGeom prst="rect">
                      <a:avLst/>
                    </a:prstGeom>
                    <a:noFill/>
                  </pic:spPr>
                </pic:pic>
              </a:graphicData>
            </a:graphic>
          </wp:inline>
        </w:drawing>
      </w:r>
    </w:p>
    <w:p w14:paraId="066021CA" w14:textId="3E230203" w:rsidR="004E65E9" w:rsidRDefault="004E65E9" w:rsidP="00494F98">
      <w:pPr>
        <w:spacing w:before="0" w:after="0"/>
      </w:pPr>
    </w:p>
    <w:p w14:paraId="601106A1" w14:textId="77777777" w:rsidR="004E65E9" w:rsidRPr="00452298" w:rsidRDefault="004E65E9" w:rsidP="00494F98">
      <w:pPr>
        <w:spacing w:before="0" w:after="0"/>
        <w:sectPr w:rsidR="004E65E9" w:rsidRPr="00452298" w:rsidSect="004E65E9">
          <w:type w:val="continuous"/>
          <w:pgSz w:w="11906" w:h="16838" w:code="9"/>
          <w:pgMar w:top="1701" w:right="140" w:bottom="1418" w:left="709" w:header="142" w:footer="493" w:gutter="0"/>
          <w:cols w:num="2" w:space="397"/>
          <w:titlePg/>
          <w:docGrid w:linePitch="360"/>
        </w:sectPr>
      </w:pPr>
    </w:p>
    <w:p w14:paraId="5FB0A053" w14:textId="48F173AB" w:rsidR="00FF2DE5" w:rsidRPr="00093D6C" w:rsidRDefault="00651213" w:rsidP="000E2AA5">
      <w:pPr>
        <w:spacing w:before="40" w:after="40"/>
      </w:pPr>
      <w:r w:rsidRPr="00356AAB">
        <w:rPr>
          <w:rFonts w:cstheme="minorHAnsi"/>
          <w:b/>
        </w:rPr>
        <w:t>COVID-19 Development Response</w:t>
      </w:r>
    </w:p>
    <w:p w14:paraId="1DF5DB51" w14:textId="33E5CCB3" w:rsidR="00D66E75" w:rsidRPr="00093D6C" w:rsidRDefault="00C46456" w:rsidP="00816D6B">
      <w:pPr>
        <w:pStyle w:val="Default"/>
        <w:numPr>
          <w:ilvl w:val="0"/>
          <w:numId w:val="48"/>
        </w:numPr>
        <w:spacing w:before="40" w:after="40"/>
        <w:ind w:left="142" w:hanging="142"/>
        <w:rPr>
          <w:rFonts w:asciiTheme="minorHAnsi" w:hAnsiTheme="minorHAnsi" w:cstheme="minorHAnsi"/>
          <w:bCs/>
          <w:color w:val="495965" w:themeColor="text2"/>
          <w:sz w:val="22"/>
          <w:szCs w:val="22"/>
        </w:rPr>
      </w:pPr>
      <w:r w:rsidRPr="00093D6C">
        <w:rPr>
          <w:rFonts w:asciiTheme="minorHAnsi" w:hAnsiTheme="minorHAnsi" w:cstheme="minorHAnsi"/>
          <w:bCs/>
          <w:color w:val="495965" w:themeColor="text2"/>
          <w:sz w:val="22"/>
          <w:szCs w:val="22"/>
        </w:rPr>
        <w:t xml:space="preserve">As part of </w:t>
      </w:r>
      <w:r w:rsidR="00BD1A42">
        <w:rPr>
          <w:rFonts w:asciiTheme="minorHAnsi" w:hAnsiTheme="minorHAnsi" w:cstheme="minorHAnsi"/>
          <w:bCs/>
          <w:color w:val="495965" w:themeColor="text2"/>
          <w:sz w:val="22"/>
          <w:szCs w:val="22"/>
        </w:rPr>
        <w:t>our</w:t>
      </w:r>
      <w:r w:rsidR="00BD1A42" w:rsidRPr="00093D6C">
        <w:rPr>
          <w:rFonts w:asciiTheme="minorHAnsi" w:hAnsiTheme="minorHAnsi" w:cstheme="minorHAnsi"/>
          <w:bCs/>
          <w:color w:val="495965" w:themeColor="text2"/>
          <w:sz w:val="22"/>
          <w:szCs w:val="22"/>
        </w:rPr>
        <w:t xml:space="preserve"> </w:t>
      </w:r>
      <w:r w:rsidRPr="00093D6C">
        <w:rPr>
          <w:rFonts w:asciiTheme="minorHAnsi" w:hAnsiTheme="minorHAnsi" w:cstheme="minorHAnsi"/>
          <w:bCs/>
          <w:color w:val="495965" w:themeColor="text2"/>
          <w:sz w:val="22"/>
          <w:szCs w:val="22"/>
        </w:rPr>
        <w:t xml:space="preserve">health </w:t>
      </w:r>
      <w:r w:rsidR="007C0EAC" w:rsidRPr="00093D6C">
        <w:rPr>
          <w:rFonts w:asciiTheme="minorHAnsi" w:hAnsiTheme="minorHAnsi" w:cstheme="minorHAnsi"/>
          <w:bCs/>
          <w:color w:val="495965" w:themeColor="text2"/>
          <w:sz w:val="22"/>
          <w:szCs w:val="22"/>
        </w:rPr>
        <w:t>response, Australia</w:t>
      </w:r>
      <w:r w:rsidR="00DF7203" w:rsidRPr="00093D6C">
        <w:rPr>
          <w:rFonts w:asciiTheme="minorHAnsi" w:hAnsiTheme="minorHAnsi" w:cstheme="minorHAnsi"/>
          <w:bCs/>
          <w:color w:val="495965" w:themeColor="text2"/>
          <w:sz w:val="22"/>
          <w:szCs w:val="22"/>
        </w:rPr>
        <w:t xml:space="preserve"> provided $500,000 in </w:t>
      </w:r>
      <w:r w:rsidR="00834DD1" w:rsidRPr="00093D6C">
        <w:rPr>
          <w:rFonts w:asciiTheme="minorHAnsi" w:hAnsiTheme="minorHAnsi" w:cstheme="minorHAnsi"/>
          <w:bCs/>
          <w:color w:val="495965" w:themeColor="text2"/>
          <w:sz w:val="22"/>
          <w:szCs w:val="22"/>
        </w:rPr>
        <w:t xml:space="preserve">essential </w:t>
      </w:r>
      <w:r w:rsidR="007C0EAC" w:rsidRPr="00093D6C">
        <w:rPr>
          <w:rFonts w:asciiTheme="minorHAnsi" w:hAnsiTheme="minorHAnsi" w:cstheme="minorHAnsi"/>
          <w:bCs/>
          <w:color w:val="495965" w:themeColor="text2"/>
          <w:sz w:val="22"/>
          <w:szCs w:val="22"/>
        </w:rPr>
        <w:t xml:space="preserve">COVID-19 </w:t>
      </w:r>
      <w:r w:rsidR="00DF7203" w:rsidRPr="00093D6C">
        <w:rPr>
          <w:rFonts w:asciiTheme="minorHAnsi" w:hAnsiTheme="minorHAnsi" w:cstheme="minorHAnsi"/>
          <w:bCs/>
          <w:color w:val="495965" w:themeColor="text2"/>
          <w:sz w:val="22"/>
          <w:szCs w:val="22"/>
        </w:rPr>
        <w:t xml:space="preserve">medical supplies </w:t>
      </w:r>
      <w:r w:rsidR="00B9717F" w:rsidRPr="00093D6C">
        <w:rPr>
          <w:rFonts w:asciiTheme="minorHAnsi" w:hAnsiTheme="minorHAnsi" w:cstheme="minorHAnsi"/>
          <w:bCs/>
          <w:color w:val="495965" w:themeColor="text2"/>
          <w:sz w:val="22"/>
          <w:szCs w:val="22"/>
        </w:rPr>
        <w:t>and</w:t>
      </w:r>
      <w:r w:rsidR="00834DD1" w:rsidRPr="00093D6C">
        <w:rPr>
          <w:rFonts w:asciiTheme="minorHAnsi" w:hAnsiTheme="minorHAnsi" w:cstheme="minorHAnsi"/>
          <w:bCs/>
          <w:color w:val="495965" w:themeColor="text2"/>
          <w:sz w:val="22"/>
          <w:szCs w:val="22"/>
        </w:rPr>
        <w:t xml:space="preserve"> </w:t>
      </w:r>
      <w:r w:rsidR="007C0EAC" w:rsidRPr="008A1126">
        <w:rPr>
          <w:rFonts w:asciiTheme="minorHAnsi" w:hAnsiTheme="minorHAnsi" w:cstheme="minorHAnsi"/>
          <w:bCs/>
          <w:color w:val="495965" w:themeColor="text2"/>
          <w:sz w:val="22"/>
          <w:szCs w:val="22"/>
        </w:rPr>
        <w:t>$</w:t>
      </w:r>
      <w:r w:rsidR="00E11B6D">
        <w:rPr>
          <w:rFonts w:asciiTheme="minorHAnsi" w:hAnsiTheme="minorHAnsi" w:cstheme="minorHAnsi"/>
          <w:bCs/>
          <w:color w:val="495965" w:themeColor="text2"/>
          <w:sz w:val="22"/>
          <w:szCs w:val="22"/>
        </w:rPr>
        <w:t>2</w:t>
      </w:r>
      <w:r w:rsidR="007C0EAC" w:rsidRPr="008A1126">
        <w:rPr>
          <w:rFonts w:asciiTheme="minorHAnsi" w:hAnsiTheme="minorHAnsi" w:cstheme="minorHAnsi"/>
          <w:bCs/>
          <w:color w:val="495965" w:themeColor="text2"/>
          <w:sz w:val="22"/>
          <w:szCs w:val="22"/>
        </w:rPr>
        <w:t xml:space="preserve"> million</w:t>
      </w:r>
      <w:r w:rsidR="008A1126">
        <w:rPr>
          <w:rFonts w:asciiTheme="minorHAnsi" w:hAnsiTheme="minorHAnsi" w:cstheme="minorHAnsi"/>
          <w:bCs/>
          <w:color w:val="495965" w:themeColor="text2"/>
          <w:sz w:val="22"/>
          <w:szCs w:val="22"/>
        </w:rPr>
        <w:t xml:space="preserve"> (</w:t>
      </w:r>
      <w:r w:rsidR="00E11B6D">
        <w:rPr>
          <w:rFonts w:asciiTheme="minorHAnsi" w:hAnsiTheme="minorHAnsi" w:cstheme="minorHAnsi"/>
          <w:bCs/>
          <w:color w:val="495965" w:themeColor="text2"/>
          <w:sz w:val="22"/>
          <w:szCs w:val="22"/>
        </w:rPr>
        <w:t xml:space="preserve">in </w:t>
      </w:r>
      <w:r w:rsidR="008A1126">
        <w:rPr>
          <w:rFonts w:asciiTheme="minorHAnsi" w:hAnsiTheme="minorHAnsi" w:cstheme="minorHAnsi"/>
          <w:bCs/>
          <w:color w:val="495965" w:themeColor="text2"/>
          <w:sz w:val="22"/>
          <w:szCs w:val="22"/>
        </w:rPr>
        <w:t>FY19/20)</w:t>
      </w:r>
      <w:r w:rsidR="00E11B6D">
        <w:rPr>
          <w:rFonts w:asciiTheme="minorHAnsi" w:hAnsiTheme="minorHAnsi" w:cstheme="minorHAnsi"/>
          <w:bCs/>
          <w:color w:val="495965" w:themeColor="text2"/>
          <w:sz w:val="22"/>
          <w:szCs w:val="22"/>
        </w:rPr>
        <w:t xml:space="preserve"> </w:t>
      </w:r>
      <w:r w:rsidR="00834DD1" w:rsidRPr="00093D6C">
        <w:rPr>
          <w:rFonts w:asciiTheme="minorHAnsi" w:hAnsiTheme="minorHAnsi" w:cstheme="minorHAnsi"/>
          <w:bCs/>
          <w:color w:val="495965" w:themeColor="text2"/>
          <w:sz w:val="22"/>
          <w:szCs w:val="22"/>
        </w:rPr>
        <w:t xml:space="preserve">to improve Myanmar’s capacity to </w:t>
      </w:r>
      <w:r w:rsidR="00B9717F" w:rsidRPr="00093D6C">
        <w:rPr>
          <w:rFonts w:asciiTheme="minorHAnsi" w:hAnsiTheme="minorHAnsi" w:cstheme="minorHAnsi"/>
          <w:bCs/>
          <w:color w:val="495965" w:themeColor="text2"/>
          <w:sz w:val="22"/>
          <w:szCs w:val="22"/>
        </w:rPr>
        <w:t>respond to infectious diseases</w:t>
      </w:r>
      <w:r w:rsidR="00180C8F" w:rsidRPr="00093D6C">
        <w:rPr>
          <w:rFonts w:asciiTheme="minorHAnsi" w:hAnsiTheme="minorHAnsi" w:cstheme="minorHAnsi"/>
          <w:bCs/>
          <w:color w:val="495965" w:themeColor="text2"/>
          <w:sz w:val="22"/>
          <w:szCs w:val="22"/>
        </w:rPr>
        <w:t xml:space="preserve">, </w:t>
      </w:r>
      <w:r w:rsidR="00180C8F" w:rsidRPr="00093D6C">
        <w:rPr>
          <w:rFonts w:asciiTheme="minorHAnsi" w:hAnsiTheme="minorHAnsi" w:cstheme="minorHAnsi"/>
          <w:bCs/>
          <w:color w:val="495965" w:themeColor="text2"/>
          <w:sz w:val="22"/>
          <w:szCs w:val="22"/>
          <w:lang w:val="en-GB"/>
        </w:rPr>
        <w:t xml:space="preserve">including initiatives to strengthen laboratories through CSIRO and the Mérieux Foundation, and to improve capacity in health emergency operations in partnership with </w:t>
      </w:r>
      <w:r w:rsidR="00D02A8D" w:rsidRPr="00093D6C">
        <w:rPr>
          <w:rFonts w:asciiTheme="minorHAnsi" w:hAnsiTheme="minorHAnsi" w:cstheme="minorHAnsi"/>
          <w:bCs/>
          <w:color w:val="495965" w:themeColor="text2"/>
          <w:sz w:val="22"/>
          <w:szCs w:val="22"/>
          <w:lang w:val="en-GB"/>
        </w:rPr>
        <w:t xml:space="preserve">Population Services International </w:t>
      </w:r>
      <w:r w:rsidR="00180C8F" w:rsidRPr="00093D6C">
        <w:rPr>
          <w:rFonts w:asciiTheme="minorHAnsi" w:hAnsiTheme="minorHAnsi" w:cstheme="minorHAnsi"/>
          <w:bCs/>
          <w:color w:val="495965" w:themeColor="text2"/>
          <w:sz w:val="22"/>
          <w:szCs w:val="22"/>
          <w:lang w:val="en-GB"/>
        </w:rPr>
        <w:t>and the Australian Red Cross</w:t>
      </w:r>
      <w:r w:rsidR="00B9717F" w:rsidRPr="00093D6C">
        <w:rPr>
          <w:rFonts w:asciiTheme="minorHAnsi" w:hAnsiTheme="minorHAnsi" w:cstheme="minorHAnsi"/>
          <w:bCs/>
          <w:color w:val="495965" w:themeColor="text2"/>
          <w:sz w:val="22"/>
          <w:szCs w:val="22"/>
        </w:rPr>
        <w:t>.</w:t>
      </w:r>
      <w:r w:rsidRPr="00093D6C">
        <w:rPr>
          <w:rFonts w:asciiTheme="minorHAnsi" w:hAnsiTheme="minorHAnsi" w:cstheme="minorHAnsi"/>
          <w:bCs/>
          <w:color w:val="495965" w:themeColor="text2"/>
          <w:sz w:val="22"/>
          <w:szCs w:val="22"/>
        </w:rPr>
        <w:t xml:space="preserve"> </w:t>
      </w:r>
    </w:p>
    <w:p w14:paraId="5506505E" w14:textId="00C5FFF7" w:rsidR="00FF2DE5" w:rsidRPr="00093D6C" w:rsidRDefault="00834A83" w:rsidP="00816D6B">
      <w:pPr>
        <w:pStyle w:val="Default"/>
        <w:numPr>
          <w:ilvl w:val="0"/>
          <w:numId w:val="48"/>
        </w:numPr>
        <w:spacing w:before="40" w:after="40"/>
        <w:ind w:left="142" w:hanging="142"/>
        <w:rPr>
          <w:rFonts w:asciiTheme="minorHAnsi" w:hAnsiTheme="minorHAnsi" w:cstheme="minorHAnsi"/>
          <w:bCs/>
          <w:color w:val="495965" w:themeColor="text2"/>
          <w:sz w:val="22"/>
          <w:szCs w:val="22"/>
        </w:rPr>
      </w:pPr>
      <w:r w:rsidRPr="00093D6C">
        <w:rPr>
          <w:rFonts w:asciiTheme="minorHAnsi" w:hAnsiTheme="minorHAnsi" w:cstheme="minorHAnsi"/>
          <w:bCs/>
          <w:color w:val="495965" w:themeColor="text2"/>
          <w:sz w:val="22"/>
          <w:szCs w:val="22"/>
        </w:rPr>
        <w:t xml:space="preserve">With Australian support, </w:t>
      </w:r>
      <w:r w:rsidR="00AF3AEB" w:rsidRPr="00093D6C">
        <w:rPr>
          <w:rFonts w:asciiTheme="minorHAnsi" w:hAnsiTheme="minorHAnsi" w:cstheme="minorHAnsi"/>
          <w:bCs/>
          <w:color w:val="495965" w:themeColor="text2"/>
          <w:sz w:val="22"/>
          <w:szCs w:val="22"/>
        </w:rPr>
        <w:t>humanitarian</w:t>
      </w:r>
      <w:r w:rsidR="006C5879" w:rsidRPr="00093D6C">
        <w:rPr>
          <w:rFonts w:asciiTheme="minorHAnsi" w:hAnsiTheme="minorHAnsi" w:cstheme="minorHAnsi"/>
          <w:bCs/>
          <w:color w:val="495965" w:themeColor="text2"/>
          <w:sz w:val="22"/>
          <w:szCs w:val="22"/>
        </w:rPr>
        <w:t xml:space="preserve"> partners</w:t>
      </w:r>
      <w:r w:rsidR="00F62C9D" w:rsidRPr="00093D6C">
        <w:rPr>
          <w:rFonts w:asciiTheme="minorHAnsi" w:hAnsiTheme="minorHAnsi" w:cstheme="minorHAnsi"/>
          <w:bCs/>
          <w:color w:val="495965" w:themeColor="text2"/>
          <w:sz w:val="22"/>
          <w:szCs w:val="22"/>
        </w:rPr>
        <w:t xml:space="preserve"> responded </w:t>
      </w:r>
      <w:r w:rsidR="006C5879" w:rsidRPr="00093D6C">
        <w:rPr>
          <w:rFonts w:asciiTheme="minorHAnsi" w:hAnsiTheme="minorHAnsi" w:cstheme="minorHAnsi"/>
          <w:bCs/>
          <w:color w:val="495965" w:themeColor="text2"/>
          <w:sz w:val="22"/>
          <w:szCs w:val="22"/>
        </w:rPr>
        <w:t>to COVID-19 while sustaining</w:t>
      </w:r>
      <w:r w:rsidR="00A90673" w:rsidRPr="00093D6C">
        <w:rPr>
          <w:rFonts w:asciiTheme="minorHAnsi" w:hAnsiTheme="minorHAnsi" w:cstheme="minorHAnsi"/>
          <w:bCs/>
          <w:color w:val="495965" w:themeColor="text2"/>
          <w:sz w:val="22"/>
          <w:szCs w:val="22"/>
        </w:rPr>
        <w:t xml:space="preserve"> life-</w:t>
      </w:r>
      <w:r w:rsidR="005405E3" w:rsidRPr="00093D6C">
        <w:rPr>
          <w:rFonts w:asciiTheme="minorHAnsi" w:hAnsiTheme="minorHAnsi" w:cstheme="minorHAnsi"/>
          <w:bCs/>
          <w:color w:val="495965" w:themeColor="text2"/>
          <w:sz w:val="22"/>
          <w:szCs w:val="22"/>
        </w:rPr>
        <w:t>saving support</w:t>
      </w:r>
      <w:r w:rsidR="00FF2DE5" w:rsidRPr="00093D6C">
        <w:rPr>
          <w:rFonts w:asciiTheme="minorHAnsi" w:hAnsiTheme="minorHAnsi" w:cstheme="minorHAnsi"/>
          <w:bCs/>
          <w:color w:val="495965" w:themeColor="text2"/>
          <w:sz w:val="22"/>
          <w:szCs w:val="22"/>
        </w:rPr>
        <w:t xml:space="preserve"> to conflict affected communities</w:t>
      </w:r>
      <w:r w:rsidR="00356AAB" w:rsidRPr="00093D6C">
        <w:rPr>
          <w:rFonts w:asciiTheme="minorHAnsi" w:hAnsiTheme="minorHAnsi" w:cstheme="minorHAnsi"/>
          <w:bCs/>
          <w:color w:val="495965" w:themeColor="text2"/>
          <w:sz w:val="22"/>
          <w:szCs w:val="22"/>
        </w:rPr>
        <w:t>, including in Rakhine State</w:t>
      </w:r>
      <w:r w:rsidR="006C5879" w:rsidRPr="00093D6C">
        <w:rPr>
          <w:rFonts w:asciiTheme="minorHAnsi" w:hAnsiTheme="minorHAnsi" w:cstheme="minorHAnsi"/>
          <w:bCs/>
          <w:color w:val="495965" w:themeColor="text2"/>
          <w:sz w:val="22"/>
          <w:szCs w:val="22"/>
        </w:rPr>
        <w:t>.</w:t>
      </w:r>
      <w:r w:rsidR="00597F57" w:rsidRPr="00093D6C">
        <w:rPr>
          <w:rFonts w:asciiTheme="minorHAnsi" w:hAnsiTheme="minorHAnsi" w:cstheme="minorHAnsi"/>
          <w:bCs/>
          <w:color w:val="495965" w:themeColor="text2"/>
          <w:sz w:val="22"/>
          <w:szCs w:val="22"/>
        </w:rPr>
        <w:t xml:space="preserve"> </w:t>
      </w:r>
      <w:r w:rsidR="00AF3AEB" w:rsidRPr="00093D6C">
        <w:rPr>
          <w:rFonts w:asciiTheme="minorHAnsi" w:hAnsiTheme="minorHAnsi" w:cstheme="minorHAnsi"/>
          <w:bCs/>
          <w:color w:val="495965" w:themeColor="text2"/>
          <w:sz w:val="22"/>
          <w:szCs w:val="22"/>
        </w:rPr>
        <w:t>They</w:t>
      </w:r>
      <w:r w:rsidR="006C5879" w:rsidRPr="00093D6C">
        <w:rPr>
          <w:rFonts w:asciiTheme="minorHAnsi" w:hAnsiTheme="minorHAnsi" w:cstheme="minorHAnsi"/>
          <w:bCs/>
          <w:color w:val="495965" w:themeColor="text2"/>
          <w:sz w:val="22"/>
          <w:szCs w:val="22"/>
        </w:rPr>
        <w:t xml:space="preserve"> </w:t>
      </w:r>
      <w:r w:rsidR="00AF3AEB" w:rsidRPr="00093D6C">
        <w:rPr>
          <w:rFonts w:asciiTheme="minorHAnsi" w:hAnsiTheme="minorHAnsi" w:cstheme="minorHAnsi"/>
          <w:bCs/>
          <w:color w:val="495965" w:themeColor="text2"/>
          <w:sz w:val="22"/>
          <w:szCs w:val="22"/>
        </w:rPr>
        <w:t>improved</w:t>
      </w:r>
      <w:r w:rsidR="006C5879" w:rsidRPr="00093D6C">
        <w:rPr>
          <w:rFonts w:asciiTheme="minorHAnsi" w:hAnsiTheme="minorHAnsi" w:cstheme="minorHAnsi"/>
          <w:bCs/>
          <w:color w:val="495965" w:themeColor="text2"/>
          <w:sz w:val="22"/>
          <w:szCs w:val="22"/>
        </w:rPr>
        <w:t xml:space="preserve"> </w:t>
      </w:r>
      <w:r w:rsidR="00AF3AEB" w:rsidRPr="00093D6C">
        <w:rPr>
          <w:rFonts w:asciiTheme="minorHAnsi" w:hAnsiTheme="minorHAnsi" w:cstheme="minorHAnsi"/>
          <w:bCs/>
          <w:color w:val="495965" w:themeColor="text2"/>
          <w:sz w:val="22"/>
          <w:szCs w:val="22"/>
        </w:rPr>
        <w:t>water, sanitation and hygiene</w:t>
      </w:r>
      <w:r w:rsidR="006C5879" w:rsidRPr="00093D6C">
        <w:rPr>
          <w:rFonts w:asciiTheme="minorHAnsi" w:hAnsiTheme="minorHAnsi" w:cstheme="minorHAnsi"/>
          <w:bCs/>
          <w:color w:val="495965" w:themeColor="text2"/>
          <w:sz w:val="22"/>
          <w:szCs w:val="22"/>
        </w:rPr>
        <w:t xml:space="preserve"> </w:t>
      </w:r>
      <w:r w:rsidR="007C0EAC" w:rsidRPr="00093D6C">
        <w:rPr>
          <w:rFonts w:asciiTheme="minorHAnsi" w:hAnsiTheme="minorHAnsi" w:cstheme="minorHAnsi"/>
          <w:bCs/>
          <w:color w:val="495965" w:themeColor="text2"/>
          <w:sz w:val="22"/>
          <w:szCs w:val="22"/>
        </w:rPr>
        <w:t xml:space="preserve">and </w:t>
      </w:r>
      <w:r w:rsidR="00DB27D9" w:rsidRPr="00093D6C">
        <w:rPr>
          <w:rFonts w:asciiTheme="minorHAnsi" w:hAnsiTheme="minorHAnsi" w:cstheme="minorHAnsi"/>
          <w:bCs/>
          <w:color w:val="495965" w:themeColor="text2"/>
          <w:sz w:val="22"/>
          <w:szCs w:val="22"/>
        </w:rPr>
        <w:t>suppor</w:t>
      </w:r>
      <w:r w:rsidR="00834DD1" w:rsidRPr="00093D6C">
        <w:rPr>
          <w:rFonts w:asciiTheme="minorHAnsi" w:hAnsiTheme="minorHAnsi" w:cstheme="minorHAnsi"/>
          <w:bCs/>
          <w:color w:val="495965" w:themeColor="text2"/>
          <w:sz w:val="22"/>
          <w:szCs w:val="22"/>
        </w:rPr>
        <w:t>ted vulnerable women and girls, including by deliver</w:t>
      </w:r>
      <w:r w:rsidR="007C0EAC" w:rsidRPr="00093D6C">
        <w:rPr>
          <w:rFonts w:asciiTheme="minorHAnsi" w:hAnsiTheme="minorHAnsi" w:cstheme="minorHAnsi"/>
          <w:bCs/>
          <w:color w:val="495965" w:themeColor="text2"/>
          <w:sz w:val="22"/>
          <w:szCs w:val="22"/>
        </w:rPr>
        <w:t>ing</w:t>
      </w:r>
      <w:r w:rsidR="006C5879" w:rsidRPr="00093D6C">
        <w:rPr>
          <w:rFonts w:asciiTheme="minorHAnsi" w:hAnsiTheme="minorHAnsi" w:cstheme="minorHAnsi"/>
          <w:bCs/>
          <w:color w:val="495965" w:themeColor="text2"/>
          <w:sz w:val="22"/>
          <w:szCs w:val="22"/>
        </w:rPr>
        <w:t xml:space="preserve"> </w:t>
      </w:r>
      <w:r w:rsidR="000E3449" w:rsidRPr="00093D6C">
        <w:rPr>
          <w:rFonts w:asciiTheme="minorHAnsi" w:hAnsiTheme="minorHAnsi" w:cstheme="minorHAnsi"/>
          <w:bCs/>
          <w:color w:val="495965" w:themeColor="text2"/>
          <w:sz w:val="22"/>
          <w:szCs w:val="22"/>
        </w:rPr>
        <w:t xml:space="preserve">over </w:t>
      </w:r>
      <w:r w:rsidR="006C5879" w:rsidRPr="00093D6C">
        <w:rPr>
          <w:rFonts w:asciiTheme="minorHAnsi" w:hAnsiTheme="minorHAnsi" w:cstheme="minorHAnsi"/>
          <w:bCs/>
          <w:color w:val="495965" w:themeColor="text2"/>
          <w:sz w:val="22"/>
          <w:szCs w:val="22"/>
        </w:rPr>
        <w:t xml:space="preserve">24,000 </w:t>
      </w:r>
      <w:r w:rsidR="00834DD1" w:rsidRPr="00093D6C">
        <w:rPr>
          <w:rFonts w:asciiTheme="minorHAnsi" w:hAnsiTheme="minorHAnsi" w:cstheme="minorHAnsi"/>
          <w:bCs/>
          <w:color w:val="495965" w:themeColor="text2"/>
          <w:sz w:val="22"/>
          <w:szCs w:val="22"/>
        </w:rPr>
        <w:t>dignity kits</w:t>
      </w:r>
      <w:r w:rsidR="00FF2DE5" w:rsidRPr="00093D6C">
        <w:rPr>
          <w:rFonts w:asciiTheme="minorHAnsi" w:hAnsiTheme="minorHAnsi" w:cstheme="minorHAnsi"/>
          <w:bCs/>
          <w:color w:val="495965" w:themeColor="text2"/>
          <w:sz w:val="22"/>
          <w:szCs w:val="22"/>
        </w:rPr>
        <w:t xml:space="preserve"> (</w:t>
      </w:r>
      <w:r w:rsidR="00FF2DE5" w:rsidRPr="00093D6C">
        <w:rPr>
          <w:rFonts w:asciiTheme="minorHAnsi" w:hAnsiTheme="minorHAnsi" w:cstheme="minorHAnsi"/>
          <w:bCs/>
          <w:color w:val="495965" w:themeColor="text2"/>
          <w:sz w:val="22"/>
          <w:szCs w:val="22"/>
          <w:lang w:val="en-GB"/>
        </w:rPr>
        <w:t xml:space="preserve">16,000 kits </w:t>
      </w:r>
      <w:r w:rsidR="00CD0F23" w:rsidRPr="00093D6C">
        <w:rPr>
          <w:rFonts w:asciiTheme="minorHAnsi" w:hAnsiTheme="minorHAnsi" w:cstheme="minorHAnsi"/>
          <w:bCs/>
          <w:color w:val="495965" w:themeColor="text2"/>
          <w:sz w:val="22"/>
          <w:szCs w:val="22"/>
          <w:lang w:val="en-GB"/>
        </w:rPr>
        <w:t>to</w:t>
      </w:r>
      <w:r w:rsidR="00FF2DE5" w:rsidRPr="00093D6C">
        <w:rPr>
          <w:rFonts w:asciiTheme="minorHAnsi" w:hAnsiTheme="minorHAnsi" w:cstheme="minorHAnsi"/>
          <w:bCs/>
          <w:color w:val="495965" w:themeColor="text2"/>
          <w:sz w:val="22"/>
          <w:szCs w:val="22"/>
          <w:lang w:val="en-GB"/>
        </w:rPr>
        <w:t xml:space="preserve"> </w:t>
      </w:r>
      <w:r w:rsidR="000F79C9" w:rsidRPr="00093D6C">
        <w:rPr>
          <w:rFonts w:asciiTheme="minorHAnsi" w:hAnsiTheme="minorHAnsi" w:cstheme="minorHAnsi"/>
          <w:bCs/>
          <w:color w:val="495965" w:themeColor="text2"/>
          <w:sz w:val="22"/>
          <w:szCs w:val="22"/>
          <w:lang w:val="en-GB"/>
        </w:rPr>
        <w:t>those in</w:t>
      </w:r>
      <w:r w:rsidR="00FF2DE5" w:rsidRPr="00093D6C">
        <w:rPr>
          <w:rFonts w:asciiTheme="minorHAnsi" w:hAnsiTheme="minorHAnsi" w:cstheme="minorHAnsi"/>
          <w:bCs/>
          <w:color w:val="495965" w:themeColor="text2"/>
          <w:sz w:val="22"/>
          <w:szCs w:val="22"/>
          <w:lang w:val="en-GB"/>
        </w:rPr>
        <w:t xml:space="preserve"> I</w:t>
      </w:r>
      <w:r w:rsidR="00356AAB" w:rsidRPr="00093D6C">
        <w:rPr>
          <w:rFonts w:asciiTheme="minorHAnsi" w:hAnsiTheme="minorHAnsi" w:cstheme="minorHAnsi"/>
          <w:bCs/>
          <w:color w:val="495965" w:themeColor="text2"/>
          <w:sz w:val="22"/>
          <w:szCs w:val="22"/>
          <w:lang w:val="en-GB"/>
        </w:rPr>
        <w:t xml:space="preserve">nternally </w:t>
      </w:r>
      <w:r w:rsidR="00FF2DE5" w:rsidRPr="00093D6C">
        <w:rPr>
          <w:rFonts w:asciiTheme="minorHAnsi" w:hAnsiTheme="minorHAnsi" w:cstheme="minorHAnsi"/>
          <w:bCs/>
          <w:color w:val="495965" w:themeColor="text2"/>
          <w:sz w:val="22"/>
          <w:szCs w:val="22"/>
          <w:lang w:val="en-GB"/>
        </w:rPr>
        <w:t>D</w:t>
      </w:r>
      <w:r w:rsidR="00356AAB" w:rsidRPr="00093D6C">
        <w:rPr>
          <w:rFonts w:asciiTheme="minorHAnsi" w:hAnsiTheme="minorHAnsi" w:cstheme="minorHAnsi"/>
          <w:bCs/>
          <w:color w:val="495965" w:themeColor="text2"/>
          <w:sz w:val="22"/>
          <w:szCs w:val="22"/>
          <w:lang w:val="en-GB"/>
        </w:rPr>
        <w:t>isplaced People (IDP)</w:t>
      </w:r>
      <w:r w:rsidR="00FF2DE5" w:rsidRPr="00093D6C">
        <w:rPr>
          <w:rFonts w:asciiTheme="minorHAnsi" w:hAnsiTheme="minorHAnsi" w:cstheme="minorHAnsi"/>
          <w:bCs/>
          <w:color w:val="495965" w:themeColor="text2"/>
          <w:sz w:val="22"/>
          <w:szCs w:val="22"/>
          <w:lang w:val="en-GB"/>
        </w:rPr>
        <w:t xml:space="preserve"> camps)</w:t>
      </w:r>
      <w:r w:rsidR="00834DD1" w:rsidRPr="00093D6C">
        <w:rPr>
          <w:rFonts w:asciiTheme="minorHAnsi" w:hAnsiTheme="minorHAnsi" w:cstheme="minorHAnsi"/>
          <w:bCs/>
          <w:color w:val="495965" w:themeColor="text2"/>
          <w:sz w:val="22"/>
          <w:szCs w:val="22"/>
        </w:rPr>
        <w:t>.</w:t>
      </w:r>
      <w:r w:rsidR="006C5879" w:rsidRPr="00093D6C">
        <w:rPr>
          <w:rFonts w:asciiTheme="minorHAnsi" w:hAnsiTheme="minorHAnsi" w:cstheme="minorHAnsi"/>
          <w:bCs/>
          <w:color w:val="495965" w:themeColor="text2"/>
          <w:sz w:val="22"/>
          <w:szCs w:val="22"/>
        </w:rPr>
        <w:t xml:space="preserve"> </w:t>
      </w:r>
    </w:p>
    <w:p w14:paraId="0124A259" w14:textId="33BA5122" w:rsidR="00D66E75" w:rsidRPr="00093D6C" w:rsidRDefault="00B72EE2" w:rsidP="00816D6B">
      <w:pPr>
        <w:pStyle w:val="Default"/>
        <w:numPr>
          <w:ilvl w:val="0"/>
          <w:numId w:val="48"/>
        </w:numPr>
        <w:spacing w:before="40" w:after="40"/>
        <w:ind w:left="142" w:hanging="142"/>
        <w:rPr>
          <w:rFonts w:asciiTheme="minorHAnsi" w:hAnsiTheme="minorHAnsi" w:cstheme="minorHAnsi"/>
          <w:bCs/>
          <w:color w:val="495965" w:themeColor="text2"/>
          <w:sz w:val="22"/>
          <w:szCs w:val="22"/>
        </w:rPr>
      </w:pPr>
      <w:r w:rsidRPr="00093D6C">
        <w:rPr>
          <w:rFonts w:asciiTheme="minorHAnsi" w:hAnsiTheme="minorHAnsi" w:cstheme="minorHAnsi"/>
          <w:bCs/>
          <w:color w:val="495965" w:themeColor="text2"/>
          <w:sz w:val="22"/>
          <w:szCs w:val="22"/>
        </w:rPr>
        <w:t>Pe</w:t>
      </w:r>
      <w:r w:rsidR="007C0EAC" w:rsidRPr="00093D6C">
        <w:rPr>
          <w:rFonts w:asciiTheme="minorHAnsi" w:hAnsiTheme="minorHAnsi" w:cstheme="minorHAnsi"/>
          <w:bCs/>
          <w:color w:val="495965" w:themeColor="text2"/>
          <w:sz w:val="22"/>
          <w:szCs w:val="22"/>
        </w:rPr>
        <w:t xml:space="preserve">ace partners </w:t>
      </w:r>
      <w:r w:rsidR="00C46456" w:rsidRPr="00093D6C">
        <w:rPr>
          <w:rFonts w:asciiTheme="minorHAnsi" w:hAnsiTheme="minorHAnsi" w:cstheme="minorHAnsi"/>
          <w:bCs/>
          <w:color w:val="495965" w:themeColor="text2"/>
          <w:sz w:val="22"/>
          <w:szCs w:val="22"/>
        </w:rPr>
        <w:t>also</w:t>
      </w:r>
      <w:r w:rsidRPr="00093D6C">
        <w:rPr>
          <w:rFonts w:asciiTheme="minorHAnsi" w:hAnsiTheme="minorHAnsi" w:cstheme="minorHAnsi"/>
          <w:bCs/>
          <w:color w:val="495965" w:themeColor="text2"/>
          <w:sz w:val="22"/>
          <w:szCs w:val="22"/>
        </w:rPr>
        <w:t xml:space="preserve"> utilised Australian assistance to</w:t>
      </w:r>
      <w:r w:rsidR="00C46456" w:rsidRPr="00093D6C">
        <w:rPr>
          <w:rFonts w:asciiTheme="minorHAnsi" w:hAnsiTheme="minorHAnsi" w:cstheme="minorHAnsi"/>
          <w:bCs/>
          <w:color w:val="495965" w:themeColor="text2"/>
          <w:sz w:val="22"/>
          <w:szCs w:val="22"/>
        </w:rPr>
        <w:t xml:space="preserve"> pivot</w:t>
      </w:r>
      <w:r w:rsidRPr="00093D6C">
        <w:rPr>
          <w:rFonts w:asciiTheme="minorHAnsi" w:hAnsiTheme="minorHAnsi" w:cstheme="minorHAnsi"/>
          <w:bCs/>
          <w:color w:val="495965" w:themeColor="text2"/>
          <w:sz w:val="22"/>
          <w:szCs w:val="22"/>
        </w:rPr>
        <w:t xml:space="preserve"> </w:t>
      </w:r>
      <w:r w:rsidR="00C46456" w:rsidRPr="00093D6C">
        <w:rPr>
          <w:rFonts w:asciiTheme="minorHAnsi" w:hAnsiTheme="minorHAnsi" w:cstheme="minorHAnsi"/>
          <w:bCs/>
          <w:color w:val="495965" w:themeColor="text2"/>
          <w:sz w:val="22"/>
          <w:szCs w:val="22"/>
        </w:rPr>
        <w:t xml:space="preserve">to support the </w:t>
      </w:r>
      <w:r w:rsidR="000F79C9" w:rsidRPr="00093D6C">
        <w:rPr>
          <w:rFonts w:asciiTheme="minorHAnsi" w:hAnsiTheme="minorHAnsi" w:cstheme="minorHAnsi"/>
          <w:bCs/>
          <w:color w:val="495965" w:themeColor="text2"/>
          <w:sz w:val="22"/>
          <w:szCs w:val="22"/>
        </w:rPr>
        <w:t>COVID-19 r</w:t>
      </w:r>
      <w:r w:rsidR="007C0EAC" w:rsidRPr="00093D6C">
        <w:rPr>
          <w:rFonts w:asciiTheme="minorHAnsi" w:hAnsiTheme="minorHAnsi" w:cstheme="minorHAnsi"/>
          <w:bCs/>
          <w:color w:val="495965" w:themeColor="text2"/>
          <w:sz w:val="22"/>
          <w:szCs w:val="22"/>
        </w:rPr>
        <w:t>espons</w:t>
      </w:r>
      <w:r w:rsidR="003F734E" w:rsidRPr="00093D6C">
        <w:rPr>
          <w:rFonts w:asciiTheme="minorHAnsi" w:hAnsiTheme="minorHAnsi" w:cstheme="minorHAnsi"/>
          <w:bCs/>
          <w:color w:val="495965" w:themeColor="text2"/>
          <w:sz w:val="22"/>
          <w:szCs w:val="22"/>
        </w:rPr>
        <w:t>e</w:t>
      </w:r>
      <w:r w:rsidR="007C0EAC" w:rsidRPr="00093D6C">
        <w:rPr>
          <w:rFonts w:asciiTheme="minorHAnsi" w:hAnsiTheme="minorHAnsi" w:cstheme="minorHAnsi"/>
          <w:bCs/>
          <w:color w:val="495965" w:themeColor="text2"/>
          <w:sz w:val="22"/>
          <w:szCs w:val="22"/>
        </w:rPr>
        <w:t xml:space="preserve">. </w:t>
      </w:r>
      <w:r w:rsidR="00C46456" w:rsidRPr="00093D6C">
        <w:rPr>
          <w:rFonts w:asciiTheme="minorHAnsi" w:hAnsiTheme="minorHAnsi" w:cstheme="minorHAnsi"/>
          <w:bCs/>
          <w:color w:val="495965" w:themeColor="text2"/>
          <w:sz w:val="22"/>
          <w:szCs w:val="22"/>
        </w:rPr>
        <w:t>C</w:t>
      </w:r>
      <w:r w:rsidR="007C0EAC" w:rsidRPr="00093D6C">
        <w:rPr>
          <w:rFonts w:asciiTheme="minorHAnsi" w:hAnsiTheme="minorHAnsi" w:cstheme="minorHAnsi"/>
          <w:bCs/>
          <w:color w:val="495965" w:themeColor="text2"/>
          <w:sz w:val="22"/>
          <w:szCs w:val="22"/>
        </w:rPr>
        <w:t>ommunity grants ensured health assistance reached conflict areas</w:t>
      </w:r>
      <w:r w:rsidR="003307F4" w:rsidRPr="00093D6C">
        <w:rPr>
          <w:rFonts w:asciiTheme="minorHAnsi" w:hAnsiTheme="minorHAnsi" w:cstheme="minorHAnsi"/>
          <w:bCs/>
          <w:color w:val="495965" w:themeColor="text2"/>
          <w:sz w:val="22"/>
          <w:szCs w:val="22"/>
        </w:rPr>
        <w:t xml:space="preserve">, responded to </w:t>
      </w:r>
      <w:r w:rsidR="007C0EAC" w:rsidRPr="00093D6C">
        <w:rPr>
          <w:rFonts w:asciiTheme="minorHAnsi" w:hAnsiTheme="minorHAnsi" w:cstheme="minorHAnsi"/>
          <w:bCs/>
          <w:color w:val="495965" w:themeColor="text2"/>
          <w:sz w:val="22"/>
          <w:szCs w:val="22"/>
        </w:rPr>
        <w:t xml:space="preserve">gender based violence and </w:t>
      </w:r>
      <w:r w:rsidR="003307F4" w:rsidRPr="00093D6C">
        <w:rPr>
          <w:rFonts w:asciiTheme="minorHAnsi" w:hAnsiTheme="minorHAnsi" w:cstheme="minorHAnsi"/>
          <w:bCs/>
          <w:color w:val="495965" w:themeColor="text2"/>
          <w:sz w:val="22"/>
          <w:szCs w:val="22"/>
        </w:rPr>
        <w:t>led anti-‘</w:t>
      </w:r>
      <w:r w:rsidR="007C0EAC" w:rsidRPr="00093D6C">
        <w:rPr>
          <w:rFonts w:asciiTheme="minorHAnsi" w:hAnsiTheme="minorHAnsi" w:cstheme="minorHAnsi"/>
          <w:bCs/>
          <w:color w:val="495965" w:themeColor="text2"/>
          <w:sz w:val="22"/>
          <w:szCs w:val="22"/>
        </w:rPr>
        <w:t>misinformation</w:t>
      </w:r>
      <w:r w:rsidR="003307F4" w:rsidRPr="00093D6C">
        <w:rPr>
          <w:rFonts w:asciiTheme="minorHAnsi" w:hAnsiTheme="minorHAnsi" w:cstheme="minorHAnsi"/>
          <w:bCs/>
          <w:color w:val="495965" w:themeColor="text2"/>
          <w:sz w:val="22"/>
          <w:szCs w:val="22"/>
        </w:rPr>
        <w:t>’</w:t>
      </w:r>
      <w:r w:rsidR="007C0EAC" w:rsidRPr="00093D6C">
        <w:rPr>
          <w:rFonts w:asciiTheme="minorHAnsi" w:hAnsiTheme="minorHAnsi" w:cstheme="minorHAnsi"/>
          <w:bCs/>
          <w:color w:val="495965" w:themeColor="text2"/>
          <w:sz w:val="22"/>
          <w:szCs w:val="22"/>
        </w:rPr>
        <w:t xml:space="preserve"> awareness campaigns.</w:t>
      </w:r>
      <w:r w:rsidR="003307F4" w:rsidRPr="00093D6C">
        <w:rPr>
          <w:rFonts w:asciiTheme="minorHAnsi" w:hAnsiTheme="minorHAnsi" w:cstheme="minorHAnsi"/>
          <w:bCs/>
          <w:color w:val="495965" w:themeColor="text2"/>
          <w:sz w:val="22"/>
          <w:szCs w:val="22"/>
        </w:rPr>
        <w:t xml:space="preserve"> Australia also increased funding to Myanmar’s first violence against women prevalence survey. </w:t>
      </w:r>
      <w:r w:rsidR="007C0EAC" w:rsidRPr="00093D6C">
        <w:rPr>
          <w:rFonts w:asciiTheme="minorHAnsi" w:hAnsiTheme="minorHAnsi" w:cstheme="minorHAnsi"/>
          <w:bCs/>
          <w:color w:val="495965" w:themeColor="text2"/>
          <w:sz w:val="22"/>
          <w:szCs w:val="22"/>
        </w:rPr>
        <w:t xml:space="preserve"> </w:t>
      </w:r>
    </w:p>
    <w:p w14:paraId="71F7BAEA" w14:textId="046B8116" w:rsidR="00723AA6" w:rsidRPr="00F174F2" w:rsidRDefault="000F79C9" w:rsidP="00F174F2">
      <w:pPr>
        <w:pStyle w:val="Default"/>
        <w:numPr>
          <w:ilvl w:val="0"/>
          <w:numId w:val="48"/>
        </w:numPr>
        <w:spacing w:before="40" w:after="40"/>
        <w:ind w:left="142" w:hanging="142"/>
        <w:rPr>
          <w:rFonts w:asciiTheme="minorHAnsi" w:hAnsiTheme="minorHAnsi" w:cstheme="minorHAnsi"/>
          <w:bCs/>
          <w:color w:val="495965" w:themeColor="text2"/>
          <w:sz w:val="22"/>
          <w:szCs w:val="22"/>
        </w:rPr>
      </w:pPr>
      <w:r w:rsidRPr="00F174F2">
        <w:rPr>
          <w:rFonts w:asciiTheme="minorHAnsi" w:hAnsiTheme="minorHAnsi" w:cstheme="minorHAnsi"/>
          <w:bCs/>
          <w:color w:val="495965" w:themeColor="text2"/>
          <w:sz w:val="22"/>
          <w:szCs w:val="22"/>
        </w:rPr>
        <w:t>As</w:t>
      </w:r>
      <w:r w:rsidR="005868CD" w:rsidRPr="00F174F2">
        <w:rPr>
          <w:rFonts w:asciiTheme="minorHAnsi" w:hAnsiTheme="minorHAnsi" w:cstheme="minorHAnsi"/>
          <w:bCs/>
          <w:color w:val="495965" w:themeColor="text2"/>
          <w:sz w:val="22"/>
          <w:szCs w:val="22"/>
        </w:rPr>
        <w:t xml:space="preserve"> a</w:t>
      </w:r>
      <w:r w:rsidRPr="00347B29">
        <w:rPr>
          <w:rFonts w:asciiTheme="minorHAnsi" w:hAnsiTheme="minorHAnsi" w:cstheme="minorHAnsi"/>
          <w:bCs/>
          <w:color w:val="495965" w:themeColor="text2"/>
          <w:sz w:val="22"/>
          <w:szCs w:val="22"/>
        </w:rPr>
        <w:t xml:space="preserve"> lead</w:t>
      </w:r>
      <w:r w:rsidR="00C46456" w:rsidRPr="00F174F2">
        <w:rPr>
          <w:rFonts w:cstheme="minorHAnsi"/>
          <w:bCs/>
        </w:rPr>
        <w:t xml:space="preserve"> </w:t>
      </w:r>
      <w:r w:rsidR="00C46456" w:rsidRPr="000E2AA5">
        <w:rPr>
          <w:rFonts w:asciiTheme="minorHAnsi" w:hAnsiTheme="minorHAnsi" w:cstheme="minorHAnsi"/>
          <w:bCs/>
          <w:color w:val="495965" w:themeColor="text2"/>
          <w:sz w:val="22"/>
          <w:szCs w:val="22"/>
        </w:rPr>
        <w:t>partner in education, we supported Myanmar to shape its COVID-19 response to address the increase in existing inequalities</w:t>
      </w:r>
      <w:r w:rsidR="007E560A" w:rsidRPr="000E2AA5">
        <w:rPr>
          <w:rFonts w:asciiTheme="minorHAnsi" w:hAnsiTheme="minorHAnsi" w:cstheme="minorHAnsi"/>
          <w:bCs/>
          <w:color w:val="495965" w:themeColor="text2"/>
          <w:sz w:val="22"/>
          <w:szCs w:val="22"/>
        </w:rPr>
        <w:t xml:space="preserve"> and</w:t>
      </w:r>
      <w:r w:rsidR="00F57393" w:rsidRPr="000E2AA5">
        <w:rPr>
          <w:rFonts w:asciiTheme="minorHAnsi" w:hAnsiTheme="minorHAnsi" w:cstheme="minorHAnsi"/>
          <w:bCs/>
          <w:color w:val="495965" w:themeColor="text2"/>
          <w:sz w:val="22"/>
          <w:szCs w:val="22"/>
        </w:rPr>
        <w:t xml:space="preserve"> </w:t>
      </w:r>
      <w:r w:rsidR="00D02A8D" w:rsidRPr="000E2AA5">
        <w:rPr>
          <w:rFonts w:asciiTheme="minorHAnsi" w:hAnsiTheme="minorHAnsi" w:cstheme="minorHAnsi"/>
          <w:bCs/>
          <w:color w:val="495965" w:themeColor="text2"/>
          <w:sz w:val="22"/>
          <w:szCs w:val="22"/>
        </w:rPr>
        <w:t xml:space="preserve">help </w:t>
      </w:r>
      <w:r w:rsidRPr="000E2AA5">
        <w:rPr>
          <w:rFonts w:asciiTheme="minorHAnsi" w:hAnsiTheme="minorHAnsi" w:cstheme="minorHAnsi"/>
          <w:bCs/>
          <w:color w:val="495965" w:themeColor="text2"/>
          <w:sz w:val="22"/>
          <w:szCs w:val="22"/>
        </w:rPr>
        <w:t>keep</w:t>
      </w:r>
      <w:r w:rsidR="00D02A8D" w:rsidRPr="000E2AA5">
        <w:rPr>
          <w:rFonts w:asciiTheme="minorHAnsi" w:hAnsiTheme="minorHAnsi" w:cstheme="minorHAnsi"/>
          <w:bCs/>
          <w:color w:val="495965" w:themeColor="text2"/>
          <w:sz w:val="22"/>
          <w:szCs w:val="22"/>
        </w:rPr>
        <w:t xml:space="preserve"> </w:t>
      </w:r>
      <w:r w:rsidR="00F57393" w:rsidRPr="000E2AA5">
        <w:rPr>
          <w:rFonts w:asciiTheme="minorHAnsi" w:hAnsiTheme="minorHAnsi" w:cstheme="minorHAnsi"/>
          <w:bCs/>
          <w:color w:val="495965" w:themeColor="text2"/>
          <w:sz w:val="22"/>
          <w:szCs w:val="22"/>
        </w:rPr>
        <w:t>children</w:t>
      </w:r>
      <w:r w:rsidR="00F174F2" w:rsidRPr="000E2AA5">
        <w:rPr>
          <w:rFonts w:asciiTheme="minorHAnsi" w:hAnsiTheme="minorHAnsi" w:cstheme="minorHAnsi"/>
          <w:bCs/>
          <w:color w:val="495965" w:themeColor="text2"/>
          <w:sz w:val="22"/>
          <w:szCs w:val="22"/>
        </w:rPr>
        <w:t xml:space="preserve"> learning, including</w:t>
      </w:r>
      <w:r w:rsidR="00F57393" w:rsidRPr="000E2AA5">
        <w:rPr>
          <w:rFonts w:asciiTheme="minorHAnsi" w:hAnsiTheme="minorHAnsi" w:cstheme="minorHAnsi"/>
          <w:bCs/>
          <w:color w:val="495965" w:themeColor="text2"/>
          <w:sz w:val="22"/>
          <w:szCs w:val="22"/>
        </w:rPr>
        <w:t xml:space="preserve"> </w:t>
      </w:r>
      <w:r w:rsidR="00C46456" w:rsidRPr="000E2AA5">
        <w:rPr>
          <w:rFonts w:asciiTheme="minorHAnsi" w:hAnsiTheme="minorHAnsi" w:cstheme="minorHAnsi"/>
          <w:bCs/>
          <w:color w:val="495965" w:themeColor="text2"/>
          <w:sz w:val="22"/>
          <w:szCs w:val="22"/>
        </w:rPr>
        <w:t xml:space="preserve">in IDP camps </w:t>
      </w:r>
      <w:r w:rsidRPr="000E2AA5">
        <w:rPr>
          <w:rFonts w:asciiTheme="minorHAnsi" w:hAnsiTheme="minorHAnsi" w:cstheme="minorHAnsi"/>
          <w:bCs/>
          <w:color w:val="495965" w:themeColor="text2"/>
          <w:sz w:val="22"/>
          <w:szCs w:val="22"/>
        </w:rPr>
        <w:t>and conflicted-affected areas</w:t>
      </w:r>
      <w:r w:rsidR="008A7308" w:rsidRPr="000E2AA5">
        <w:rPr>
          <w:rFonts w:asciiTheme="minorHAnsi" w:hAnsiTheme="minorHAnsi" w:cstheme="minorHAnsi"/>
          <w:bCs/>
          <w:color w:val="495965" w:themeColor="text2"/>
          <w:sz w:val="22"/>
          <w:szCs w:val="22"/>
        </w:rPr>
        <w:t>.</w:t>
      </w:r>
      <w:r w:rsidR="00F174F2" w:rsidRPr="000E2AA5">
        <w:rPr>
          <w:rFonts w:asciiTheme="minorHAnsi" w:hAnsiTheme="minorHAnsi" w:cstheme="minorHAnsi"/>
          <w:bCs/>
          <w:color w:val="495965" w:themeColor="text2"/>
          <w:sz w:val="22"/>
          <w:szCs w:val="22"/>
        </w:rPr>
        <w:t xml:space="preserve"> Australia</w:t>
      </w:r>
      <w:r w:rsidR="00F174F2" w:rsidRPr="000E2AA5">
        <w:rPr>
          <w:rFonts w:cstheme="minorHAnsi"/>
          <w:bCs/>
          <w:color w:val="495965" w:themeColor="text2"/>
        </w:rPr>
        <w:t xml:space="preserve"> </w:t>
      </w:r>
      <w:r w:rsidR="00F174F2">
        <w:rPr>
          <w:rFonts w:asciiTheme="minorHAnsi" w:hAnsiTheme="minorHAnsi" w:cstheme="minorHAnsi"/>
          <w:bCs/>
          <w:color w:val="495965" w:themeColor="text2"/>
          <w:sz w:val="22"/>
          <w:szCs w:val="22"/>
          <w:lang w:val="en-GB"/>
        </w:rPr>
        <w:t>i</w:t>
      </w:r>
      <w:r w:rsidR="0085218E" w:rsidRPr="00F174F2">
        <w:rPr>
          <w:rFonts w:asciiTheme="minorHAnsi" w:hAnsiTheme="minorHAnsi" w:cstheme="minorHAnsi"/>
          <w:bCs/>
          <w:color w:val="495965" w:themeColor="text2"/>
          <w:sz w:val="22"/>
          <w:szCs w:val="22"/>
          <w:lang w:val="en-GB"/>
        </w:rPr>
        <w:t xml:space="preserve">ncreased </w:t>
      </w:r>
      <w:r w:rsidR="001039E1" w:rsidRPr="00F174F2">
        <w:rPr>
          <w:rFonts w:asciiTheme="minorHAnsi" w:hAnsiTheme="minorHAnsi" w:cstheme="minorHAnsi"/>
          <w:bCs/>
          <w:color w:val="495965" w:themeColor="text2"/>
          <w:sz w:val="22"/>
          <w:szCs w:val="22"/>
          <w:lang w:val="en-GB"/>
        </w:rPr>
        <w:t xml:space="preserve">funding </w:t>
      </w:r>
      <w:r w:rsidR="00723AA6" w:rsidRPr="00F174F2">
        <w:rPr>
          <w:rFonts w:asciiTheme="minorHAnsi" w:hAnsiTheme="minorHAnsi" w:cstheme="minorHAnsi"/>
          <w:bCs/>
          <w:color w:val="495965" w:themeColor="text2"/>
          <w:sz w:val="22"/>
          <w:szCs w:val="22"/>
          <w:lang w:val="en-GB"/>
        </w:rPr>
        <w:t>to the Livelihoods and Food Security</w:t>
      </w:r>
      <w:r w:rsidR="00723AA6" w:rsidRPr="00F174F2">
        <w:rPr>
          <w:rFonts w:asciiTheme="minorHAnsi" w:hAnsiTheme="minorHAnsi" w:cstheme="minorHAnsi"/>
          <w:bCs/>
          <w:color w:val="495965" w:themeColor="text2"/>
          <w:sz w:val="22"/>
          <w:szCs w:val="22"/>
        </w:rPr>
        <w:t xml:space="preserve"> Fund </w:t>
      </w:r>
      <w:r w:rsidR="00723AA6" w:rsidRPr="00F174F2">
        <w:rPr>
          <w:rFonts w:asciiTheme="minorHAnsi" w:hAnsiTheme="minorHAnsi" w:cstheme="minorHAnsi"/>
          <w:bCs/>
          <w:color w:val="495965" w:themeColor="text2"/>
          <w:sz w:val="22"/>
          <w:szCs w:val="22"/>
        </w:rPr>
        <w:t xml:space="preserve">(LIFT) </w:t>
      </w:r>
      <w:r w:rsidR="000E2AA5">
        <w:rPr>
          <w:rFonts w:asciiTheme="minorHAnsi" w:hAnsiTheme="minorHAnsi" w:cstheme="minorHAnsi"/>
          <w:bCs/>
          <w:color w:val="495965" w:themeColor="text2"/>
          <w:sz w:val="22"/>
          <w:szCs w:val="22"/>
        </w:rPr>
        <w:t xml:space="preserve">to </w:t>
      </w:r>
      <w:r w:rsidR="001039E1" w:rsidRPr="00F174F2">
        <w:rPr>
          <w:rFonts w:asciiTheme="minorHAnsi" w:hAnsiTheme="minorHAnsi" w:cstheme="minorHAnsi"/>
          <w:bCs/>
          <w:color w:val="495965" w:themeColor="text2"/>
          <w:sz w:val="22"/>
          <w:szCs w:val="22"/>
        </w:rPr>
        <w:t>strengthen</w:t>
      </w:r>
      <w:r w:rsidR="00C46456" w:rsidRPr="00F174F2">
        <w:rPr>
          <w:rFonts w:asciiTheme="minorHAnsi" w:hAnsiTheme="minorHAnsi" w:cstheme="minorHAnsi"/>
          <w:bCs/>
          <w:color w:val="495965" w:themeColor="text2"/>
          <w:sz w:val="22"/>
          <w:szCs w:val="22"/>
        </w:rPr>
        <w:t xml:space="preserve"> </w:t>
      </w:r>
      <w:r w:rsidR="008102BE" w:rsidRPr="00F174F2">
        <w:rPr>
          <w:rFonts w:asciiTheme="minorHAnsi" w:hAnsiTheme="minorHAnsi" w:cstheme="minorHAnsi"/>
          <w:bCs/>
          <w:color w:val="495965" w:themeColor="text2"/>
          <w:sz w:val="22"/>
          <w:szCs w:val="22"/>
        </w:rPr>
        <w:t>social protection systems</w:t>
      </w:r>
      <w:r w:rsidR="000E2AA5">
        <w:rPr>
          <w:rFonts w:asciiTheme="minorHAnsi" w:hAnsiTheme="minorHAnsi" w:cstheme="minorHAnsi"/>
          <w:bCs/>
          <w:color w:val="495965" w:themeColor="text2"/>
          <w:sz w:val="22"/>
          <w:szCs w:val="22"/>
        </w:rPr>
        <w:t xml:space="preserve">. LIFT </w:t>
      </w:r>
      <w:r w:rsidR="000E2AA5">
        <w:rPr>
          <w:rFonts w:asciiTheme="minorHAnsi" w:hAnsiTheme="minorHAnsi" w:cstheme="minorHAnsi"/>
          <w:bCs/>
          <w:color w:val="495965" w:themeColor="text2"/>
          <w:sz w:val="22"/>
          <w:szCs w:val="22"/>
          <w:lang w:val="en-GB"/>
        </w:rPr>
        <w:t xml:space="preserve"> </w:t>
      </w:r>
      <w:r w:rsidR="00FF2DE5" w:rsidRPr="00F174F2">
        <w:rPr>
          <w:rFonts w:asciiTheme="minorHAnsi" w:hAnsiTheme="minorHAnsi" w:cstheme="minorHAnsi"/>
          <w:bCs/>
          <w:color w:val="495965" w:themeColor="text2"/>
          <w:sz w:val="22"/>
          <w:szCs w:val="22"/>
          <w:lang w:val="en-GB"/>
        </w:rPr>
        <w:t>provid</w:t>
      </w:r>
      <w:r w:rsidR="000E2AA5">
        <w:rPr>
          <w:rFonts w:asciiTheme="minorHAnsi" w:hAnsiTheme="minorHAnsi" w:cstheme="minorHAnsi"/>
          <w:bCs/>
          <w:color w:val="495965" w:themeColor="text2"/>
          <w:sz w:val="22"/>
          <w:szCs w:val="22"/>
          <w:lang w:val="en-GB"/>
        </w:rPr>
        <w:t>ed</w:t>
      </w:r>
      <w:r w:rsidR="00FF2DE5" w:rsidRPr="00F174F2">
        <w:rPr>
          <w:rFonts w:asciiTheme="minorHAnsi" w:hAnsiTheme="minorHAnsi" w:cstheme="minorHAnsi"/>
          <w:bCs/>
          <w:color w:val="495965" w:themeColor="text2"/>
          <w:sz w:val="22"/>
          <w:szCs w:val="22"/>
          <w:lang w:val="en-GB"/>
        </w:rPr>
        <w:t xml:space="preserve"> cash transfers to over 400,000 </w:t>
      </w:r>
      <w:r w:rsidR="000E2AA5">
        <w:rPr>
          <w:rFonts w:asciiTheme="minorHAnsi" w:hAnsiTheme="minorHAnsi" w:cstheme="minorHAnsi"/>
          <w:bCs/>
          <w:color w:val="495965" w:themeColor="text2"/>
          <w:sz w:val="22"/>
          <w:szCs w:val="22"/>
          <w:lang w:val="en-GB"/>
        </w:rPr>
        <w:t xml:space="preserve">rural </w:t>
      </w:r>
      <w:r w:rsidR="00FF2DE5" w:rsidRPr="00F174F2">
        <w:rPr>
          <w:rFonts w:asciiTheme="minorHAnsi" w:hAnsiTheme="minorHAnsi" w:cstheme="minorHAnsi"/>
          <w:bCs/>
          <w:color w:val="495965" w:themeColor="text2"/>
          <w:sz w:val="22"/>
          <w:szCs w:val="22"/>
          <w:lang w:val="en-GB"/>
        </w:rPr>
        <w:t>households</w:t>
      </w:r>
      <w:r w:rsidR="00FF2DE5" w:rsidRPr="00347B29">
        <w:rPr>
          <w:rFonts w:asciiTheme="minorHAnsi" w:hAnsiTheme="minorHAnsi" w:cstheme="minorHAnsi"/>
          <w:bCs/>
          <w:color w:val="495965" w:themeColor="text2"/>
          <w:sz w:val="22"/>
          <w:szCs w:val="22"/>
          <w:lang w:val="en-GB"/>
        </w:rPr>
        <w:t xml:space="preserve">, with a focus on </w:t>
      </w:r>
      <w:r w:rsidR="00FF2DE5" w:rsidRPr="00F174F2">
        <w:rPr>
          <w:rFonts w:asciiTheme="minorHAnsi" w:hAnsiTheme="minorHAnsi" w:cstheme="minorHAnsi"/>
          <w:bCs/>
          <w:color w:val="495965" w:themeColor="text2"/>
          <w:sz w:val="22"/>
          <w:szCs w:val="22"/>
          <w:lang w:val="en-GB"/>
        </w:rPr>
        <w:t xml:space="preserve">the elderly, and pregnant and breastfeeding mothers country-wide. </w:t>
      </w:r>
    </w:p>
    <w:p w14:paraId="6928E19C" w14:textId="54B03C34" w:rsidR="00F57393" w:rsidRPr="00093D6C" w:rsidRDefault="00DA2DD4" w:rsidP="00816D6B">
      <w:pPr>
        <w:pStyle w:val="Default"/>
        <w:numPr>
          <w:ilvl w:val="0"/>
          <w:numId w:val="48"/>
        </w:numPr>
        <w:spacing w:before="40" w:after="40"/>
        <w:ind w:left="142" w:hanging="142"/>
        <w:rPr>
          <w:rFonts w:asciiTheme="minorHAnsi" w:hAnsiTheme="minorHAnsi"/>
          <w:bCs/>
          <w:color w:val="495965" w:themeColor="text2"/>
          <w:sz w:val="22"/>
          <w:szCs w:val="22"/>
        </w:rPr>
      </w:pPr>
      <w:r w:rsidRPr="00093D6C">
        <w:rPr>
          <w:rFonts w:asciiTheme="minorHAnsi" w:hAnsiTheme="minorHAnsi" w:cstheme="minorHAnsi"/>
          <w:bCs/>
          <w:color w:val="495965" w:themeColor="text2"/>
          <w:sz w:val="22"/>
          <w:szCs w:val="22"/>
        </w:rPr>
        <w:t xml:space="preserve">We </w:t>
      </w:r>
      <w:r w:rsidR="00F174F2">
        <w:rPr>
          <w:rFonts w:asciiTheme="minorHAnsi" w:hAnsiTheme="minorHAnsi" w:cstheme="minorHAnsi"/>
          <w:bCs/>
          <w:color w:val="495965" w:themeColor="text2"/>
          <w:sz w:val="22"/>
          <w:szCs w:val="22"/>
          <w:lang w:val="en-GB"/>
        </w:rPr>
        <w:t>assisted</w:t>
      </w:r>
      <w:r w:rsidR="00C46456" w:rsidRPr="00093D6C">
        <w:rPr>
          <w:rFonts w:asciiTheme="minorHAnsi" w:hAnsiTheme="minorHAnsi" w:cstheme="minorHAnsi"/>
          <w:bCs/>
          <w:color w:val="495965" w:themeColor="text2"/>
          <w:sz w:val="22"/>
          <w:szCs w:val="22"/>
          <w:lang w:val="en-GB"/>
        </w:rPr>
        <w:t xml:space="preserve"> Myanmar to</w:t>
      </w:r>
      <w:r w:rsidR="00F174F2">
        <w:rPr>
          <w:rFonts w:asciiTheme="minorHAnsi" w:hAnsiTheme="minorHAnsi" w:cstheme="minorHAnsi"/>
          <w:bCs/>
          <w:color w:val="495965" w:themeColor="text2"/>
          <w:sz w:val="22"/>
          <w:szCs w:val="22"/>
          <w:lang w:val="en-GB"/>
        </w:rPr>
        <w:t xml:space="preserve"> support the private sector and</w:t>
      </w:r>
      <w:r w:rsidR="00C46456" w:rsidRPr="00093D6C">
        <w:rPr>
          <w:rFonts w:asciiTheme="minorHAnsi" w:hAnsiTheme="minorHAnsi" w:cstheme="minorHAnsi"/>
          <w:bCs/>
          <w:color w:val="495965" w:themeColor="text2"/>
          <w:sz w:val="22"/>
          <w:szCs w:val="22"/>
          <w:lang w:val="en-GB"/>
        </w:rPr>
        <w:t xml:space="preserve"> deliver its COVID-19 Economic Relief Plan </w:t>
      </w:r>
      <w:r w:rsidR="00F57393" w:rsidRPr="00093D6C">
        <w:rPr>
          <w:rFonts w:asciiTheme="minorHAnsi" w:hAnsiTheme="minorHAnsi" w:cstheme="minorHAnsi"/>
          <w:bCs/>
          <w:color w:val="495965" w:themeColor="text2"/>
          <w:sz w:val="22"/>
          <w:szCs w:val="22"/>
        </w:rPr>
        <w:t xml:space="preserve">through increased analysis and data capacity, monitoring of the impacts, and management of fiscal responses. </w:t>
      </w:r>
    </w:p>
    <w:p w14:paraId="55658F84" w14:textId="100CC468" w:rsidR="00A96090" w:rsidRPr="00093D6C" w:rsidRDefault="00E13F06" w:rsidP="00816D6B">
      <w:pPr>
        <w:spacing w:before="40" w:after="40"/>
        <w:rPr>
          <w:rFonts w:cstheme="minorHAnsi"/>
          <w:b/>
          <w:bCs/>
        </w:rPr>
      </w:pPr>
      <w:r w:rsidRPr="00093D6C">
        <w:rPr>
          <w:rFonts w:cstheme="minorHAnsi"/>
          <w:b/>
          <w:bCs/>
        </w:rPr>
        <w:t>Other program highlights</w:t>
      </w:r>
    </w:p>
    <w:p w14:paraId="702F4B90" w14:textId="2377354F" w:rsidR="001F4F4F" w:rsidRPr="00093D6C" w:rsidRDefault="001F4F4F" w:rsidP="00816D6B">
      <w:pPr>
        <w:pStyle w:val="Default"/>
        <w:numPr>
          <w:ilvl w:val="0"/>
          <w:numId w:val="49"/>
        </w:numPr>
        <w:spacing w:before="40" w:after="40"/>
        <w:ind w:left="142" w:hanging="142"/>
        <w:rPr>
          <w:rFonts w:asciiTheme="minorHAnsi" w:hAnsiTheme="minorHAnsi" w:cstheme="minorHAnsi"/>
          <w:color w:val="495965" w:themeColor="text2"/>
          <w:sz w:val="22"/>
          <w:szCs w:val="22"/>
        </w:rPr>
      </w:pPr>
      <w:r w:rsidRPr="00093D6C">
        <w:rPr>
          <w:rFonts w:asciiTheme="minorHAnsi" w:hAnsiTheme="minorHAnsi" w:cstheme="minorHAnsi"/>
          <w:color w:val="495965" w:themeColor="text2"/>
          <w:sz w:val="22"/>
          <w:szCs w:val="22"/>
        </w:rPr>
        <w:t>Australia’s assistance in 2019-20 focused on improving the lives of people in Myanmar through education, livelihoods, economic and democratic governance efforts and peacebuilding. We emphasised support</w:t>
      </w:r>
      <w:r w:rsidR="00F57393" w:rsidRPr="00093D6C">
        <w:rPr>
          <w:rFonts w:asciiTheme="minorHAnsi" w:hAnsiTheme="minorHAnsi" w:cstheme="minorHAnsi"/>
          <w:color w:val="495965" w:themeColor="text2"/>
          <w:sz w:val="22"/>
          <w:szCs w:val="22"/>
        </w:rPr>
        <w:t>ing</w:t>
      </w:r>
      <w:r w:rsidRPr="00093D6C">
        <w:rPr>
          <w:rFonts w:asciiTheme="minorHAnsi" w:hAnsiTheme="minorHAnsi" w:cstheme="minorHAnsi"/>
          <w:color w:val="495965" w:themeColor="text2"/>
          <w:sz w:val="22"/>
          <w:szCs w:val="22"/>
        </w:rPr>
        <w:t xml:space="preserve"> the most vulnerable</w:t>
      </w:r>
      <w:r w:rsidR="00F57393" w:rsidRPr="00093D6C">
        <w:rPr>
          <w:rFonts w:asciiTheme="minorHAnsi" w:hAnsiTheme="minorHAnsi" w:cstheme="minorHAnsi"/>
          <w:color w:val="495965" w:themeColor="text2"/>
          <w:sz w:val="22"/>
          <w:szCs w:val="22"/>
        </w:rPr>
        <w:t>,</w:t>
      </w:r>
      <w:r w:rsidRPr="00093D6C">
        <w:rPr>
          <w:rFonts w:asciiTheme="minorHAnsi" w:hAnsiTheme="minorHAnsi" w:cstheme="minorHAnsi"/>
          <w:color w:val="495965" w:themeColor="text2"/>
          <w:sz w:val="22"/>
          <w:szCs w:val="22"/>
        </w:rPr>
        <w:t xml:space="preserve"> including conflict affected communities and women and girls. We </w:t>
      </w:r>
      <w:r w:rsidR="004C42B0" w:rsidRPr="00093D6C">
        <w:rPr>
          <w:rFonts w:asciiTheme="minorHAnsi" w:hAnsiTheme="minorHAnsi" w:cstheme="minorHAnsi"/>
          <w:color w:val="495965" w:themeColor="text2"/>
          <w:sz w:val="22"/>
          <w:szCs w:val="22"/>
        </w:rPr>
        <w:t>supported</w:t>
      </w:r>
      <w:r w:rsidRPr="00093D6C">
        <w:rPr>
          <w:rFonts w:asciiTheme="minorHAnsi" w:hAnsiTheme="minorHAnsi" w:cstheme="minorHAnsi"/>
          <w:color w:val="495965" w:themeColor="text2"/>
          <w:sz w:val="22"/>
          <w:szCs w:val="22"/>
        </w:rPr>
        <w:t xml:space="preserve"> government to deliver inclusive services and policy reforms. </w:t>
      </w:r>
    </w:p>
    <w:p w14:paraId="70539E8F" w14:textId="3007DC41" w:rsidR="00722DA6" w:rsidRPr="00093D6C" w:rsidRDefault="00C127E7" w:rsidP="00816D6B">
      <w:pPr>
        <w:pStyle w:val="ListParagraph"/>
        <w:numPr>
          <w:ilvl w:val="0"/>
          <w:numId w:val="49"/>
        </w:numPr>
        <w:suppressAutoHyphens w:val="0"/>
        <w:spacing w:before="40" w:after="40" w:line="240" w:lineRule="auto"/>
        <w:ind w:left="142" w:hanging="142"/>
        <w:contextualSpacing w:val="0"/>
        <w:rPr>
          <w:rFonts w:cstheme="minorHAnsi"/>
          <w:lang w:val="en-AU"/>
        </w:rPr>
      </w:pPr>
      <w:r w:rsidRPr="00093D6C">
        <w:rPr>
          <w:rFonts w:cstheme="minorHAnsi"/>
        </w:rPr>
        <w:t xml:space="preserve">Our </w:t>
      </w:r>
      <w:r w:rsidR="00A44DC1" w:rsidRPr="00093D6C">
        <w:rPr>
          <w:rFonts w:cstheme="minorHAnsi"/>
        </w:rPr>
        <w:t xml:space="preserve">$27.8 million </w:t>
      </w:r>
      <w:r w:rsidRPr="00093D6C">
        <w:rPr>
          <w:rFonts w:cstheme="minorHAnsi"/>
        </w:rPr>
        <w:t>humanitarian program assisted over 391,000 people in conflict-affected communities across Myanmar, including Rohingya in Rakhi</w:t>
      </w:r>
      <w:r w:rsidR="004C42B0" w:rsidRPr="00093D6C">
        <w:rPr>
          <w:rFonts w:cstheme="minorHAnsi"/>
        </w:rPr>
        <w:t>ne State and people on the Thai-</w:t>
      </w:r>
      <w:r w:rsidRPr="00093D6C">
        <w:rPr>
          <w:rFonts w:cstheme="minorHAnsi"/>
        </w:rPr>
        <w:t>Myanmar border.</w:t>
      </w:r>
      <w:r w:rsidR="003F734E" w:rsidRPr="00093D6C">
        <w:rPr>
          <w:rFonts w:cstheme="minorHAnsi"/>
        </w:rPr>
        <w:t xml:space="preserve"> </w:t>
      </w:r>
      <w:r w:rsidR="00544153" w:rsidRPr="00093D6C">
        <w:rPr>
          <w:rFonts w:cstheme="minorHAnsi"/>
        </w:rPr>
        <w:t>Australia’s</w:t>
      </w:r>
      <w:r w:rsidR="00722DA6" w:rsidRPr="00093D6C">
        <w:rPr>
          <w:rFonts w:cstheme="minorHAnsi"/>
        </w:rPr>
        <w:t xml:space="preserve"> partners delivered protection, shelter, food, water, sanitation, healthcare, education and gender-based violence services despite active conflict and </w:t>
      </w:r>
      <w:r w:rsidR="004C42B0" w:rsidRPr="00093D6C">
        <w:rPr>
          <w:rFonts w:cstheme="minorHAnsi"/>
        </w:rPr>
        <w:t>significant restrictions to access</w:t>
      </w:r>
      <w:r w:rsidR="00722DA6" w:rsidRPr="00093D6C">
        <w:rPr>
          <w:rFonts w:cstheme="minorHAnsi"/>
        </w:rPr>
        <w:t xml:space="preserve">. </w:t>
      </w:r>
    </w:p>
    <w:p w14:paraId="0D6FC557" w14:textId="50959318" w:rsidR="00E13F06" w:rsidRPr="00093D6C" w:rsidRDefault="00834DD1" w:rsidP="00816D6B">
      <w:pPr>
        <w:pStyle w:val="Default"/>
        <w:numPr>
          <w:ilvl w:val="0"/>
          <w:numId w:val="49"/>
        </w:numPr>
        <w:spacing w:before="40" w:after="40"/>
        <w:ind w:left="142" w:hanging="142"/>
        <w:rPr>
          <w:rFonts w:asciiTheme="minorHAnsi" w:hAnsiTheme="minorHAnsi" w:cstheme="minorHAnsi"/>
          <w:color w:val="495965" w:themeColor="text2"/>
          <w:sz w:val="22"/>
          <w:szCs w:val="22"/>
          <w:lang w:val="en-GB"/>
        </w:rPr>
      </w:pPr>
      <w:r w:rsidRPr="00093D6C">
        <w:rPr>
          <w:rFonts w:asciiTheme="minorHAnsi" w:hAnsiTheme="minorHAnsi" w:cstheme="minorHAnsi"/>
          <w:color w:val="495965" w:themeColor="text2"/>
          <w:sz w:val="22"/>
          <w:szCs w:val="22"/>
        </w:rPr>
        <w:t xml:space="preserve">We </w:t>
      </w:r>
      <w:r w:rsidR="00C86263" w:rsidRPr="00093D6C">
        <w:rPr>
          <w:rFonts w:asciiTheme="minorHAnsi" w:hAnsiTheme="minorHAnsi" w:cstheme="minorHAnsi"/>
          <w:color w:val="495965" w:themeColor="text2"/>
          <w:sz w:val="22"/>
          <w:szCs w:val="22"/>
        </w:rPr>
        <w:t>supported</w:t>
      </w:r>
      <w:r w:rsidR="00AD5647" w:rsidRPr="00093D6C">
        <w:rPr>
          <w:rFonts w:asciiTheme="minorHAnsi" w:hAnsiTheme="minorHAnsi" w:cstheme="minorHAnsi"/>
          <w:color w:val="495965" w:themeColor="text2"/>
          <w:sz w:val="22"/>
          <w:szCs w:val="22"/>
        </w:rPr>
        <w:t xml:space="preserve"> delivery of inclusive, quality education </w:t>
      </w:r>
      <w:r w:rsidR="000A1E4B" w:rsidRPr="00093D6C">
        <w:rPr>
          <w:rFonts w:asciiTheme="minorHAnsi" w:hAnsiTheme="minorHAnsi" w:cstheme="minorHAnsi"/>
          <w:color w:val="495965" w:themeColor="text2"/>
          <w:sz w:val="22"/>
          <w:szCs w:val="22"/>
        </w:rPr>
        <w:t>across all states and regions</w:t>
      </w:r>
      <w:r w:rsidR="00A44DC1" w:rsidRPr="00093D6C">
        <w:t xml:space="preserve"> </w:t>
      </w:r>
      <w:r w:rsidR="00A44DC1" w:rsidRPr="00093D6C">
        <w:rPr>
          <w:rFonts w:asciiTheme="minorHAnsi" w:hAnsiTheme="minorHAnsi" w:cstheme="minorHAnsi"/>
          <w:color w:val="495965" w:themeColor="text2"/>
          <w:sz w:val="22"/>
          <w:szCs w:val="22"/>
        </w:rPr>
        <w:t>and contributed to systems and policy reform</w:t>
      </w:r>
      <w:r w:rsidR="00C86263" w:rsidRPr="00093D6C">
        <w:rPr>
          <w:rFonts w:asciiTheme="minorHAnsi" w:hAnsiTheme="minorHAnsi" w:cstheme="minorHAnsi"/>
          <w:color w:val="495965" w:themeColor="text2"/>
          <w:sz w:val="22"/>
          <w:szCs w:val="22"/>
        </w:rPr>
        <w:t xml:space="preserve">. </w:t>
      </w:r>
      <w:r w:rsidR="00F174F2">
        <w:rPr>
          <w:rFonts w:asciiTheme="minorHAnsi" w:hAnsiTheme="minorHAnsi" w:cstheme="minorHAnsi"/>
          <w:color w:val="495965" w:themeColor="text2"/>
          <w:sz w:val="22"/>
          <w:szCs w:val="22"/>
        </w:rPr>
        <w:t xml:space="preserve">We </w:t>
      </w:r>
      <w:r w:rsidR="00F57393" w:rsidRPr="00093D6C">
        <w:rPr>
          <w:rFonts w:asciiTheme="minorHAnsi" w:hAnsiTheme="minorHAnsi" w:cstheme="minorHAnsi"/>
          <w:color w:val="495965" w:themeColor="text2"/>
          <w:sz w:val="22"/>
          <w:szCs w:val="22"/>
        </w:rPr>
        <w:t xml:space="preserve"> </w:t>
      </w:r>
      <w:r w:rsidR="00BD1A42">
        <w:rPr>
          <w:rFonts w:asciiTheme="minorHAnsi" w:hAnsiTheme="minorHAnsi" w:cstheme="minorHAnsi"/>
          <w:color w:val="495965" w:themeColor="text2"/>
          <w:sz w:val="22"/>
          <w:szCs w:val="22"/>
        </w:rPr>
        <w:t>financed</w:t>
      </w:r>
      <w:r w:rsidR="00F57393" w:rsidRPr="00093D6C">
        <w:rPr>
          <w:rFonts w:asciiTheme="minorHAnsi" w:hAnsiTheme="minorHAnsi" w:cstheme="minorHAnsi"/>
          <w:color w:val="495965" w:themeColor="text2"/>
          <w:sz w:val="22"/>
          <w:szCs w:val="22"/>
        </w:rPr>
        <w:t xml:space="preserve"> </w:t>
      </w:r>
      <w:r w:rsidR="005405E3" w:rsidRPr="00093D6C">
        <w:rPr>
          <w:rFonts w:asciiTheme="minorHAnsi" w:hAnsiTheme="minorHAnsi" w:cstheme="minorHAnsi"/>
          <w:color w:val="495965" w:themeColor="text2"/>
          <w:sz w:val="22"/>
          <w:szCs w:val="22"/>
        </w:rPr>
        <w:t xml:space="preserve">School Improvement Funds </w:t>
      </w:r>
      <w:r w:rsidR="00F174F2">
        <w:rPr>
          <w:rFonts w:asciiTheme="minorHAnsi" w:hAnsiTheme="minorHAnsi" w:cstheme="minorHAnsi"/>
          <w:color w:val="495965" w:themeColor="text2"/>
          <w:sz w:val="22"/>
          <w:szCs w:val="22"/>
          <w:lang w:val="en-GB"/>
        </w:rPr>
        <w:t xml:space="preserve">and </w:t>
      </w:r>
      <w:r w:rsidR="000E2AA5">
        <w:rPr>
          <w:rFonts w:asciiTheme="minorHAnsi" w:hAnsiTheme="minorHAnsi" w:cstheme="minorHAnsi"/>
          <w:color w:val="495965" w:themeColor="text2"/>
          <w:sz w:val="22"/>
          <w:szCs w:val="22"/>
          <w:lang w:val="en-GB"/>
        </w:rPr>
        <w:t xml:space="preserve">58,722 </w:t>
      </w:r>
      <w:r w:rsidR="00A44DC1" w:rsidRPr="00093D6C">
        <w:rPr>
          <w:rFonts w:asciiTheme="minorHAnsi" w:hAnsiTheme="minorHAnsi" w:cstheme="minorHAnsi"/>
          <w:color w:val="495965" w:themeColor="text2"/>
          <w:sz w:val="22"/>
          <w:szCs w:val="22"/>
          <w:lang w:val="en-GB"/>
        </w:rPr>
        <w:t xml:space="preserve">students received stipends allowing them to stay in </w:t>
      </w:r>
      <w:r w:rsidR="00A44DC1" w:rsidRPr="00093D6C">
        <w:rPr>
          <w:rFonts w:asciiTheme="minorHAnsi" w:hAnsiTheme="minorHAnsi" w:cstheme="minorHAnsi"/>
          <w:color w:val="495965" w:themeColor="text2"/>
          <w:sz w:val="22"/>
          <w:szCs w:val="22"/>
          <w:lang w:val="en-GB"/>
        </w:rPr>
        <w:lastRenderedPageBreak/>
        <w:t>school, including in Rakhine State. By delivering through</w:t>
      </w:r>
      <w:r w:rsidR="00FD2038" w:rsidRPr="00093D6C">
        <w:rPr>
          <w:rFonts w:asciiTheme="minorHAnsi" w:hAnsiTheme="minorHAnsi" w:cstheme="minorHAnsi"/>
          <w:color w:val="495965" w:themeColor="text2"/>
          <w:sz w:val="22"/>
          <w:szCs w:val="22"/>
          <w:lang w:val="en-GB"/>
        </w:rPr>
        <w:t xml:space="preserve"> and strengthening</w:t>
      </w:r>
      <w:r w:rsidR="00A44DC1" w:rsidRPr="00093D6C">
        <w:rPr>
          <w:rFonts w:asciiTheme="minorHAnsi" w:hAnsiTheme="minorHAnsi" w:cstheme="minorHAnsi"/>
          <w:color w:val="495965" w:themeColor="text2"/>
          <w:sz w:val="22"/>
          <w:szCs w:val="22"/>
          <w:lang w:val="en-GB"/>
        </w:rPr>
        <w:t xml:space="preserve"> Ministry of Education systems</w:t>
      </w:r>
      <w:r w:rsidR="00FD2038" w:rsidRPr="00093D6C">
        <w:rPr>
          <w:rFonts w:asciiTheme="minorHAnsi" w:hAnsiTheme="minorHAnsi" w:cstheme="minorHAnsi"/>
          <w:color w:val="495965" w:themeColor="text2"/>
          <w:sz w:val="22"/>
          <w:szCs w:val="22"/>
          <w:lang w:val="en-GB"/>
        </w:rPr>
        <w:t>,</w:t>
      </w:r>
      <w:r w:rsidR="00A44DC1" w:rsidRPr="00093D6C">
        <w:rPr>
          <w:rFonts w:asciiTheme="minorHAnsi" w:hAnsiTheme="minorHAnsi" w:cstheme="minorHAnsi"/>
          <w:color w:val="495965" w:themeColor="text2"/>
          <w:sz w:val="22"/>
          <w:szCs w:val="22"/>
          <w:lang w:val="en-GB"/>
        </w:rPr>
        <w:t xml:space="preserve"> our education investments built the capacity, efficiency, resilience and transparency of government education </w:t>
      </w:r>
      <w:r w:rsidR="00104CD6" w:rsidRPr="00093D6C">
        <w:rPr>
          <w:rFonts w:asciiTheme="minorHAnsi" w:hAnsiTheme="minorHAnsi" w:cstheme="minorHAnsi"/>
          <w:color w:val="495965" w:themeColor="text2"/>
          <w:sz w:val="22"/>
          <w:szCs w:val="22"/>
          <w:lang w:val="en-GB"/>
        </w:rPr>
        <w:t>provision</w:t>
      </w:r>
      <w:r w:rsidR="00A44DC1" w:rsidRPr="00093D6C">
        <w:rPr>
          <w:rFonts w:asciiTheme="minorHAnsi" w:hAnsiTheme="minorHAnsi" w:cstheme="minorHAnsi"/>
          <w:color w:val="495965" w:themeColor="text2"/>
          <w:sz w:val="22"/>
          <w:szCs w:val="22"/>
          <w:lang w:val="en-GB"/>
        </w:rPr>
        <w:t>.</w:t>
      </w:r>
    </w:p>
    <w:p w14:paraId="0FBC2801" w14:textId="4A337594" w:rsidR="00A44DC1" w:rsidRPr="00093D6C" w:rsidRDefault="00352D5A" w:rsidP="00816D6B">
      <w:pPr>
        <w:pStyle w:val="ListParagraph"/>
        <w:numPr>
          <w:ilvl w:val="0"/>
          <w:numId w:val="49"/>
        </w:numPr>
        <w:suppressAutoHyphens w:val="0"/>
        <w:spacing w:before="40" w:after="40" w:line="240" w:lineRule="auto"/>
        <w:ind w:left="142" w:hanging="142"/>
        <w:contextualSpacing w:val="0"/>
        <w:rPr>
          <w:rFonts w:cstheme="minorHAnsi"/>
        </w:rPr>
      </w:pPr>
      <w:r w:rsidRPr="00093D6C">
        <w:rPr>
          <w:rFonts w:cstheme="minorHAnsi"/>
          <w:lang w:val="en-AU"/>
        </w:rPr>
        <w:t>Our engagement with</w:t>
      </w:r>
      <w:r w:rsidR="00A44DC1" w:rsidRPr="00093D6C">
        <w:rPr>
          <w:rFonts w:cstheme="minorHAnsi"/>
          <w:lang w:val="en-AU"/>
        </w:rPr>
        <w:t xml:space="preserve"> go</w:t>
      </w:r>
      <w:r w:rsidR="00CD0F23" w:rsidRPr="00093D6C">
        <w:rPr>
          <w:rFonts w:cstheme="minorHAnsi"/>
          <w:lang w:val="en-AU"/>
        </w:rPr>
        <w:t xml:space="preserve">vernment was complemented </w:t>
      </w:r>
      <w:r w:rsidRPr="00093D6C">
        <w:rPr>
          <w:rFonts w:cstheme="minorHAnsi"/>
          <w:lang w:val="en-AU"/>
        </w:rPr>
        <w:t>by support</w:t>
      </w:r>
      <w:r w:rsidR="00A44DC1" w:rsidRPr="00093D6C">
        <w:rPr>
          <w:rFonts w:cstheme="minorHAnsi"/>
          <w:lang w:val="en-AU"/>
        </w:rPr>
        <w:t xml:space="preserve"> to over 350,000 students (over half female) in the monastic and ethnic education systems. This investment improved curriculum quality and facilitated </w:t>
      </w:r>
      <w:r w:rsidR="00A44DC1" w:rsidRPr="00093D6C">
        <w:rPr>
          <w:rFonts w:cstheme="minorHAnsi"/>
        </w:rPr>
        <w:t>dialogue between the government and ethnic organisations.</w:t>
      </w:r>
    </w:p>
    <w:p w14:paraId="4660A992" w14:textId="337AE49E" w:rsidR="00C127E7" w:rsidRPr="00093D6C" w:rsidRDefault="00E13F06" w:rsidP="00816D6B">
      <w:pPr>
        <w:pStyle w:val="Default"/>
        <w:numPr>
          <w:ilvl w:val="0"/>
          <w:numId w:val="49"/>
        </w:numPr>
        <w:spacing w:before="40" w:after="40"/>
        <w:ind w:left="142" w:hanging="142"/>
        <w:rPr>
          <w:rFonts w:asciiTheme="minorHAnsi" w:hAnsiTheme="minorHAnsi" w:cstheme="minorHAnsi"/>
          <w:color w:val="495965" w:themeColor="text2"/>
          <w:sz w:val="22"/>
          <w:szCs w:val="22"/>
        </w:rPr>
      </w:pPr>
      <w:r w:rsidRPr="00093D6C">
        <w:rPr>
          <w:rFonts w:asciiTheme="minorHAnsi" w:hAnsiTheme="minorHAnsi" w:cstheme="minorHAnsi"/>
          <w:color w:val="495965" w:themeColor="text2"/>
          <w:sz w:val="22"/>
          <w:szCs w:val="22"/>
        </w:rPr>
        <w:t xml:space="preserve">Our governance program </w:t>
      </w:r>
      <w:r w:rsidR="005868CD" w:rsidRPr="00093D6C">
        <w:rPr>
          <w:rFonts w:asciiTheme="minorHAnsi" w:hAnsiTheme="minorHAnsi" w:cstheme="minorHAnsi"/>
          <w:color w:val="495965" w:themeColor="text2"/>
          <w:sz w:val="22"/>
          <w:szCs w:val="22"/>
        </w:rPr>
        <w:t>helped</w:t>
      </w:r>
      <w:r w:rsidR="00BA4B8A" w:rsidRPr="00093D6C">
        <w:rPr>
          <w:rFonts w:asciiTheme="minorHAnsi" w:hAnsiTheme="minorHAnsi" w:cstheme="minorHAnsi"/>
          <w:color w:val="495965" w:themeColor="text2"/>
          <w:sz w:val="22"/>
          <w:szCs w:val="22"/>
        </w:rPr>
        <w:t xml:space="preserve"> </w:t>
      </w:r>
      <w:r w:rsidR="0019422C" w:rsidRPr="00093D6C">
        <w:rPr>
          <w:rFonts w:asciiTheme="minorHAnsi" w:hAnsiTheme="minorHAnsi" w:cstheme="minorHAnsi"/>
          <w:color w:val="495965" w:themeColor="text2"/>
          <w:sz w:val="22"/>
          <w:szCs w:val="22"/>
        </w:rPr>
        <w:t>Myanmar</w:t>
      </w:r>
      <w:r w:rsidR="006066AF" w:rsidRPr="00093D6C">
        <w:rPr>
          <w:rFonts w:asciiTheme="minorHAnsi" w:hAnsiTheme="minorHAnsi" w:cstheme="minorHAnsi"/>
          <w:color w:val="495965" w:themeColor="text2"/>
          <w:sz w:val="22"/>
          <w:szCs w:val="22"/>
        </w:rPr>
        <w:t xml:space="preserve"> prepare for its </w:t>
      </w:r>
      <w:r w:rsidR="0019422C" w:rsidRPr="00093D6C">
        <w:rPr>
          <w:rFonts w:asciiTheme="minorHAnsi" w:hAnsiTheme="minorHAnsi" w:cstheme="minorHAnsi"/>
          <w:color w:val="495965" w:themeColor="text2"/>
          <w:sz w:val="22"/>
          <w:szCs w:val="22"/>
        </w:rPr>
        <w:t>second democratic election</w:t>
      </w:r>
      <w:r w:rsidR="00BA4B8A" w:rsidRPr="00093D6C">
        <w:rPr>
          <w:rFonts w:asciiTheme="minorHAnsi" w:hAnsiTheme="minorHAnsi" w:cstheme="minorHAnsi"/>
          <w:color w:val="495965" w:themeColor="text2"/>
          <w:sz w:val="22"/>
          <w:szCs w:val="22"/>
        </w:rPr>
        <w:t>.</w:t>
      </w:r>
      <w:r w:rsidR="00C127E7" w:rsidRPr="00093D6C">
        <w:rPr>
          <w:rFonts w:asciiTheme="minorHAnsi" w:hAnsiTheme="minorHAnsi" w:cstheme="minorHAnsi"/>
          <w:color w:val="495965" w:themeColor="text2"/>
          <w:sz w:val="22"/>
          <w:szCs w:val="22"/>
        </w:rPr>
        <w:t xml:space="preserve"> </w:t>
      </w:r>
      <w:r w:rsidR="00722DA6" w:rsidRPr="00093D6C">
        <w:rPr>
          <w:rFonts w:asciiTheme="minorHAnsi" w:hAnsiTheme="minorHAnsi" w:cstheme="minorHAnsi"/>
          <w:color w:val="495965" w:themeColor="text2"/>
          <w:sz w:val="22"/>
          <w:szCs w:val="22"/>
          <w:lang w:val="en-GB"/>
        </w:rPr>
        <w:t xml:space="preserve">With UNDP, we </w:t>
      </w:r>
      <w:r w:rsidR="00A44DC1" w:rsidRPr="00093D6C">
        <w:rPr>
          <w:rFonts w:asciiTheme="minorHAnsi" w:hAnsiTheme="minorHAnsi" w:cstheme="minorHAnsi"/>
          <w:color w:val="495965" w:themeColor="text2"/>
          <w:sz w:val="22"/>
          <w:szCs w:val="22"/>
        </w:rPr>
        <w:t>contributed to</w:t>
      </w:r>
      <w:r w:rsidR="000A1E4B" w:rsidRPr="00093D6C">
        <w:rPr>
          <w:rFonts w:asciiTheme="minorHAnsi" w:hAnsiTheme="minorHAnsi" w:cstheme="minorHAnsi"/>
          <w:color w:val="495965" w:themeColor="text2"/>
          <w:sz w:val="22"/>
          <w:szCs w:val="22"/>
        </w:rPr>
        <w:t xml:space="preserve"> the strengthening</w:t>
      </w:r>
      <w:r w:rsidR="00432C0E" w:rsidRPr="00093D6C">
        <w:rPr>
          <w:rFonts w:asciiTheme="minorHAnsi" w:hAnsiTheme="minorHAnsi" w:cstheme="minorHAnsi"/>
          <w:color w:val="495965" w:themeColor="text2"/>
          <w:sz w:val="22"/>
          <w:szCs w:val="22"/>
        </w:rPr>
        <w:t xml:space="preserve"> of</w:t>
      </w:r>
      <w:r w:rsidR="000A1E4B" w:rsidRPr="00093D6C">
        <w:rPr>
          <w:rFonts w:asciiTheme="minorHAnsi" w:hAnsiTheme="minorHAnsi" w:cstheme="minorHAnsi"/>
          <w:color w:val="495965" w:themeColor="text2"/>
          <w:sz w:val="22"/>
          <w:szCs w:val="22"/>
        </w:rPr>
        <w:t xml:space="preserve"> </w:t>
      </w:r>
      <w:r w:rsidR="00B70C9A" w:rsidRPr="00093D6C">
        <w:rPr>
          <w:rFonts w:asciiTheme="minorHAnsi" w:hAnsiTheme="minorHAnsi" w:cstheme="minorHAnsi"/>
          <w:color w:val="495965" w:themeColor="text2"/>
          <w:sz w:val="22"/>
          <w:szCs w:val="22"/>
        </w:rPr>
        <w:t>institutions</w:t>
      </w:r>
      <w:r w:rsidR="00432C0E" w:rsidRPr="00093D6C">
        <w:rPr>
          <w:rFonts w:asciiTheme="minorHAnsi" w:hAnsiTheme="minorHAnsi" w:cstheme="minorHAnsi"/>
          <w:color w:val="495965" w:themeColor="text2"/>
          <w:sz w:val="22"/>
          <w:szCs w:val="22"/>
        </w:rPr>
        <w:t>,</w:t>
      </w:r>
      <w:r w:rsidR="00B70C9A" w:rsidRPr="00093D6C">
        <w:rPr>
          <w:rFonts w:asciiTheme="minorHAnsi" w:hAnsiTheme="minorHAnsi" w:cstheme="minorHAnsi"/>
          <w:color w:val="495965" w:themeColor="text2"/>
          <w:sz w:val="22"/>
          <w:szCs w:val="22"/>
        </w:rPr>
        <w:t xml:space="preserve"> including </w:t>
      </w:r>
      <w:r w:rsidR="00432C0E" w:rsidRPr="00093D6C">
        <w:rPr>
          <w:rFonts w:asciiTheme="minorHAnsi" w:hAnsiTheme="minorHAnsi" w:cstheme="minorHAnsi"/>
          <w:color w:val="495965" w:themeColor="text2"/>
          <w:sz w:val="22"/>
          <w:szCs w:val="22"/>
        </w:rPr>
        <w:t xml:space="preserve">those with a focus </w:t>
      </w:r>
      <w:r w:rsidR="00B70C9A" w:rsidRPr="00093D6C">
        <w:rPr>
          <w:rFonts w:asciiTheme="minorHAnsi" w:hAnsiTheme="minorHAnsi" w:cstheme="minorHAnsi"/>
          <w:color w:val="495965" w:themeColor="text2"/>
          <w:sz w:val="22"/>
          <w:szCs w:val="22"/>
        </w:rPr>
        <w:t>on human rights</w:t>
      </w:r>
      <w:r w:rsidR="004A359E" w:rsidRPr="00093D6C">
        <w:rPr>
          <w:rFonts w:asciiTheme="minorHAnsi" w:hAnsiTheme="minorHAnsi" w:cstheme="minorHAnsi"/>
          <w:color w:val="495965" w:themeColor="text2"/>
          <w:sz w:val="22"/>
          <w:szCs w:val="22"/>
        </w:rPr>
        <w:t>.</w:t>
      </w:r>
      <w:r w:rsidR="00AD7570" w:rsidRPr="00093D6C">
        <w:rPr>
          <w:rFonts w:asciiTheme="minorHAnsi" w:hAnsiTheme="minorHAnsi" w:cstheme="minorHAnsi"/>
          <w:color w:val="495965" w:themeColor="text2"/>
          <w:sz w:val="22"/>
          <w:szCs w:val="22"/>
        </w:rPr>
        <w:t xml:space="preserve"> </w:t>
      </w:r>
      <w:r w:rsidR="00A44DC1" w:rsidRPr="00093D6C">
        <w:rPr>
          <w:rFonts w:asciiTheme="minorHAnsi" w:hAnsiTheme="minorHAnsi" w:cstheme="minorHAnsi"/>
          <w:color w:val="495965" w:themeColor="text2"/>
          <w:sz w:val="22"/>
          <w:szCs w:val="22"/>
        </w:rPr>
        <w:t xml:space="preserve">Our program </w:t>
      </w:r>
      <w:r w:rsidR="00A44DC1" w:rsidRPr="00093D6C">
        <w:rPr>
          <w:rFonts w:asciiTheme="minorHAnsi" w:hAnsiTheme="minorHAnsi" w:cstheme="minorHAnsi"/>
          <w:color w:val="495965" w:themeColor="text2"/>
          <w:sz w:val="22"/>
          <w:szCs w:val="22"/>
          <w:lang w:val="en-GB"/>
        </w:rPr>
        <w:t xml:space="preserve">supported </w:t>
      </w:r>
      <w:r w:rsidR="00724E84" w:rsidRPr="00093D6C">
        <w:rPr>
          <w:rFonts w:asciiTheme="minorHAnsi" w:hAnsiTheme="minorHAnsi" w:cstheme="minorHAnsi"/>
          <w:color w:val="495965" w:themeColor="text2"/>
          <w:sz w:val="22"/>
          <w:szCs w:val="22"/>
          <w:lang w:val="en-GB"/>
        </w:rPr>
        <w:t>evidence-based</w:t>
      </w:r>
      <w:r w:rsidR="00A44DC1" w:rsidRPr="00093D6C">
        <w:rPr>
          <w:rFonts w:asciiTheme="minorHAnsi" w:hAnsiTheme="minorHAnsi" w:cstheme="minorHAnsi"/>
          <w:color w:val="495965" w:themeColor="text2"/>
          <w:sz w:val="22"/>
          <w:szCs w:val="22"/>
          <w:lang w:val="en-GB"/>
        </w:rPr>
        <w:t xml:space="preserve"> policy development</w:t>
      </w:r>
      <w:r w:rsidR="000763AF">
        <w:rPr>
          <w:rFonts w:asciiTheme="minorHAnsi" w:hAnsiTheme="minorHAnsi" w:cstheme="minorHAnsi"/>
          <w:color w:val="495965" w:themeColor="text2"/>
          <w:sz w:val="22"/>
          <w:szCs w:val="22"/>
          <w:lang w:val="en-GB"/>
        </w:rPr>
        <w:t xml:space="preserve"> and</w:t>
      </w:r>
      <w:r w:rsidR="00A44DC1" w:rsidRPr="00093D6C">
        <w:rPr>
          <w:rFonts w:asciiTheme="minorHAnsi" w:hAnsiTheme="minorHAnsi" w:cstheme="minorHAnsi"/>
          <w:color w:val="495965" w:themeColor="text2"/>
          <w:sz w:val="22"/>
          <w:szCs w:val="22"/>
          <w:lang w:val="en-GB"/>
        </w:rPr>
        <w:t xml:space="preserve"> improved legal protections.</w:t>
      </w:r>
    </w:p>
    <w:p w14:paraId="5EE8F5F7" w14:textId="4A272B1C" w:rsidR="00A44DC1" w:rsidRPr="00093D6C" w:rsidRDefault="00A44DC1" w:rsidP="00816D6B">
      <w:pPr>
        <w:pStyle w:val="ListParagraph"/>
        <w:numPr>
          <w:ilvl w:val="0"/>
          <w:numId w:val="49"/>
        </w:numPr>
        <w:suppressAutoHyphens w:val="0"/>
        <w:spacing w:before="40" w:after="40" w:line="240" w:lineRule="auto"/>
        <w:ind w:left="142" w:hanging="142"/>
        <w:contextualSpacing w:val="0"/>
        <w:rPr>
          <w:rFonts w:cstheme="minorHAnsi"/>
          <w:lang w:val="en-AU"/>
        </w:rPr>
      </w:pPr>
      <w:r w:rsidRPr="00093D6C">
        <w:rPr>
          <w:rFonts w:cstheme="minorHAnsi"/>
          <w:lang w:val="en-AU"/>
        </w:rPr>
        <w:t>Australia provided support through the World Bank Group to the Government of Myanmar to progress key economic reforms, including for the private sector. The government became more transparent, accountable and effective in public financial management, evidenced by an increase in budget allocations to health and education</w:t>
      </w:r>
      <w:r w:rsidR="00352D5A" w:rsidRPr="00093D6C">
        <w:rPr>
          <w:rFonts w:cstheme="minorHAnsi"/>
          <w:lang w:val="en-AU"/>
        </w:rPr>
        <w:t xml:space="preserve"> and improvements in tax administration</w:t>
      </w:r>
      <w:r w:rsidRPr="00093D6C">
        <w:rPr>
          <w:rFonts w:cstheme="minorHAnsi"/>
          <w:lang w:val="en-AU"/>
        </w:rPr>
        <w:t xml:space="preserve">.    </w:t>
      </w:r>
    </w:p>
    <w:p w14:paraId="429A3E1F" w14:textId="28553041" w:rsidR="00CE6006" w:rsidRPr="00093D6C" w:rsidRDefault="00C34239" w:rsidP="00816D6B">
      <w:pPr>
        <w:pStyle w:val="ListParagraph"/>
        <w:numPr>
          <w:ilvl w:val="0"/>
          <w:numId w:val="49"/>
        </w:numPr>
        <w:spacing w:before="40" w:after="40"/>
        <w:ind w:left="142" w:hanging="142"/>
        <w:contextualSpacing w:val="0"/>
        <w:rPr>
          <w:color w:val="auto"/>
          <w:lang w:val="en-AU" w:eastAsia="en-AU"/>
        </w:rPr>
      </w:pPr>
      <w:r>
        <w:rPr>
          <w:rFonts w:cstheme="minorHAnsi"/>
        </w:rPr>
        <w:br w:type="column"/>
      </w:r>
      <w:r w:rsidR="00722DA6" w:rsidRPr="00093D6C">
        <w:rPr>
          <w:rFonts w:cstheme="minorHAnsi"/>
        </w:rPr>
        <w:t xml:space="preserve">Our livelihoods support through LIFT continued to achieve results at scale. More than 12.3 million people received LIFT support with an increased focus in 2019-20 on vulnerable groups, including conflict-affected and displaced communities. </w:t>
      </w:r>
      <w:r w:rsidR="00CE6006" w:rsidRPr="00093D6C">
        <w:rPr>
          <w:lang w:eastAsia="en-AU"/>
        </w:rPr>
        <w:t xml:space="preserve">LIFT's collaboration with the private sector continued to be catalytic. LIFT's investment of $17 million </w:t>
      </w:r>
      <w:r w:rsidR="006D7DB8" w:rsidRPr="00093D6C">
        <w:rPr>
          <w:lang w:eastAsia="en-AU"/>
        </w:rPr>
        <w:t xml:space="preserve">leveraged </w:t>
      </w:r>
      <w:r w:rsidR="00CE6006" w:rsidRPr="00093D6C">
        <w:rPr>
          <w:lang w:eastAsia="en-AU"/>
        </w:rPr>
        <w:t xml:space="preserve">around $280 million in private sector co-financing into Myanmar's microfinance sector, resulting in loans for 2.7 million people, 91 per cent </w:t>
      </w:r>
      <w:r w:rsidR="006D7DB8" w:rsidRPr="00093D6C">
        <w:rPr>
          <w:lang w:eastAsia="en-AU"/>
        </w:rPr>
        <w:t xml:space="preserve">of whom </w:t>
      </w:r>
      <w:r w:rsidR="00CE6006" w:rsidRPr="00093D6C">
        <w:rPr>
          <w:lang w:eastAsia="en-AU"/>
        </w:rPr>
        <w:t xml:space="preserve">were women. </w:t>
      </w:r>
    </w:p>
    <w:p w14:paraId="75D84DEE" w14:textId="6253C491" w:rsidR="00352D5A" w:rsidRPr="00093D6C" w:rsidRDefault="00352D5A" w:rsidP="00816D6B">
      <w:pPr>
        <w:pStyle w:val="Default"/>
        <w:numPr>
          <w:ilvl w:val="0"/>
          <w:numId w:val="49"/>
        </w:numPr>
        <w:spacing w:before="40" w:after="40"/>
        <w:ind w:left="142" w:hanging="142"/>
        <w:rPr>
          <w:rFonts w:asciiTheme="minorHAnsi" w:hAnsiTheme="minorHAnsi" w:cstheme="minorHAnsi"/>
          <w:color w:val="495965" w:themeColor="text2"/>
          <w:sz w:val="22"/>
          <w:szCs w:val="22"/>
        </w:rPr>
      </w:pPr>
      <w:r w:rsidRPr="00093D6C">
        <w:rPr>
          <w:rFonts w:asciiTheme="minorHAnsi" w:hAnsiTheme="minorHAnsi" w:cstheme="minorHAnsi"/>
          <w:color w:val="495965" w:themeColor="text2"/>
          <w:sz w:val="22"/>
          <w:szCs w:val="22"/>
        </w:rPr>
        <w:t xml:space="preserve">Despite </w:t>
      </w:r>
      <w:r w:rsidR="00441285" w:rsidRPr="00093D6C">
        <w:rPr>
          <w:rFonts w:asciiTheme="minorHAnsi" w:hAnsiTheme="minorHAnsi" w:cstheme="minorHAnsi"/>
          <w:color w:val="495965" w:themeColor="text2"/>
          <w:sz w:val="22"/>
          <w:szCs w:val="22"/>
        </w:rPr>
        <w:t>slow progress</w:t>
      </w:r>
      <w:r w:rsidRPr="00093D6C">
        <w:rPr>
          <w:rFonts w:asciiTheme="minorHAnsi" w:hAnsiTheme="minorHAnsi" w:cstheme="minorHAnsi"/>
          <w:color w:val="495965" w:themeColor="text2"/>
          <w:sz w:val="22"/>
          <w:szCs w:val="22"/>
        </w:rPr>
        <w:t xml:space="preserve"> in the formal peace process and worsening conflict, our peace support program contributed to incremental but important steps towards peace and stability. The Australian supported Joint Peace Fund played a role in deescalating conflicts and overcoming deadlocks to restart political dialogues. Our partners collectively played a role in lifting the participation of women in the peace process. </w:t>
      </w:r>
    </w:p>
    <w:p w14:paraId="1697FF9E" w14:textId="0B03DC87" w:rsidR="000E3449" w:rsidRPr="00093D6C" w:rsidRDefault="000E3449" w:rsidP="00724E84">
      <w:pPr>
        <w:pStyle w:val="Default"/>
        <w:spacing w:before="40" w:after="40"/>
        <w:ind w:left="142"/>
        <w:rPr>
          <w:rFonts w:asciiTheme="minorHAnsi" w:hAnsiTheme="minorHAnsi" w:cstheme="minorHAnsi"/>
          <w:color w:val="495965" w:themeColor="text2"/>
          <w:sz w:val="22"/>
          <w:szCs w:val="22"/>
        </w:rPr>
        <w:sectPr w:rsidR="000E3449" w:rsidRPr="00093D6C" w:rsidSect="00AD5647">
          <w:headerReference w:type="default" r:id="rId16"/>
          <w:footerReference w:type="default" r:id="rId17"/>
          <w:headerReference w:type="first" r:id="rId18"/>
          <w:footerReference w:type="first" r:id="rId19"/>
          <w:type w:val="continuous"/>
          <w:pgSz w:w="11906" w:h="16838" w:code="9"/>
          <w:pgMar w:top="1701" w:right="1133" w:bottom="1418" w:left="1134" w:header="425" w:footer="493" w:gutter="0"/>
          <w:cols w:num="2" w:space="283"/>
          <w:titlePg/>
          <w:docGrid w:linePitch="360"/>
        </w:sectPr>
      </w:pPr>
    </w:p>
    <w:p w14:paraId="1C07CA3D" w14:textId="52202720" w:rsidR="00417F90" w:rsidRPr="00417F90" w:rsidRDefault="00417F90" w:rsidP="00417F90">
      <w:pPr>
        <w:keepNext/>
        <w:keepLines/>
        <w:spacing w:before="360" w:after="120" w:line="300" w:lineRule="exact"/>
        <w:outlineLvl w:val="1"/>
        <w:rPr>
          <w:rFonts w:asciiTheme="majorHAnsi" w:eastAsiaTheme="majorEastAsia" w:hAnsiTheme="majorHAnsi" w:cstheme="majorBidi"/>
          <w:caps/>
          <w:sz w:val="24"/>
          <w:szCs w:val="24"/>
        </w:rPr>
      </w:pPr>
      <w:r w:rsidRPr="00417F90">
        <w:rPr>
          <w:rFonts w:asciiTheme="majorHAnsi" w:eastAsiaTheme="majorEastAsia" w:hAnsiTheme="majorHAnsi" w:cstheme="majorBidi"/>
          <w:caps/>
          <w:sz w:val="38"/>
          <w:szCs w:val="26"/>
        </w:rPr>
        <w:lastRenderedPageBreak/>
        <w:t>Progress against 2019-20 performance indicators</w:t>
      </w:r>
      <w:r w:rsidRPr="00417F90">
        <w:rPr>
          <w:rFonts w:asciiTheme="majorHAnsi" w:eastAsiaTheme="majorEastAsia" w:hAnsiTheme="majorHAnsi" w:cstheme="majorBidi"/>
          <w:caps/>
          <w:sz w:val="38"/>
          <w:szCs w:val="26"/>
        </w:rPr>
        <w:br/>
      </w:r>
    </w:p>
    <w:tbl>
      <w:tblPr>
        <w:tblStyle w:val="TableGrid1"/>
        <w:tblW w:w="10201" w:type="dxa"/>
        <w:tblLook w:val="04A0" w:firstRow="1" w:lastRow="0" w:firstColumn="1" w:lastColumn="0" w:noHBand="0" w:noVBand="1"/>
        <w:tblCaption w:val="Performance Assessment Framework"/>
        <w:tblDescription w:val="This program has three strategic objectives and six performance benchmark, indicators that are used to measure progress."/>
      </w:tblPr>
      <w:tblGrid>
        <w:gridCol w:w="1838"/>
        <w:gridCol w:w="3402"/>
        <w:gridCol w:w="4961"/>
      </w:tblGrid>
      <w:tr w:rsidR="00417F90" w:rsidRPr="00417F90" w14:paraId="0E6CD221" w14:textId="77777777" w:rsidTr="001E3368">
        <w:trPr>
          <w:tblHeader/>
        </w:trPr>
        <w:tc>
          <w:tcPr>
            <w:tcW w:w="1838" w:type="dxa"/>
            <w:shd w:val="clear" w:color="auto" w:fill="C1E7E0" w:themeFill="accent1" w:themeFillTint="66"/>
          </w:tcPr>
          <w:p w14:paraId="71E656A1" w14:textId="77777777" w:rsidR="00417F90" w:rsidRPr="00417F90" w:rsidRDefault="00417F90" w:rsidP="00417F90">
            <w:pPr>
              <w:spacing w:before="40" w:after="40" w:line="240" w:lineRule="auto"/>
              <w:rPr>
                <w:rFonts w:asciiTheme="majorHAnsi" w:eastAsiaTheme="majorEastAsia" w:hAnsiTheme="majorHAnsi" w:cstheme="majorHAnsi"/>
                <w:b/>
                <w:caps/>
                <w:sz w:val="20"/>
                <w:szCs w:val="20"/>
              </w:rPr>
            </w:pPr>
            <w:r w:rsidRPr="00417F90">
              <w:rPr>
                <w:rFonts w:asciiTheme="majorHAnsi" w:eastAsiaTheme="majorEastAsia" w:hAnsiTheme="majorHAnsi" w:cstheme="majorHAnsi"/>
                <w:b/>
                <w:caps/>
                <w:sz w:val="20"/>
                <w:szCs w:val="20"/>
              </w:rPr>
              <w:t>strategic OBJECTIVE</w:t>
            </w:r>
          </w:p>
        </w:tc>
        <w:tc>
          <w:tcPr>
            <w:tcW w:w="3402" w:type="dxa"/>
            <w:shd w:val="clear" w:color="auto" w:fill="C1E7E0" w:themeFill="accent1" w:themeFillTint="66"/>
          </w:tcPr>
          <w:p w14:paraId="2C9661D7" w14:textId="77777777" w:rsidR="00417F90" w:rsidRPr="00417F90" w:rsidRDefault="00417F90" w:rsidP="00417F90">
            <w:pPr>
              <w:spacing w:before="40" w:after="40" w:line="240" w:lineRule="auto"/>
              <w:rPr>
                <w:rFonts w:asciiTheme="majorHAnsi" w:eastAsiaTheme="majorEastAsia" w:hAnsiTheme="majorHAnsi" w:cstheme="majorHAnsi"/>
                <w:b/>
                <w:caps/>
                <w:sz w:val="20"/>
                <w:szCs w:val="20"/>
              </w:rPr>
            </w:pPr>
            <w:r w:rsidRPr="00417F90">
              <w:rPr>
                <w:rFonts w:asciiTheme="majorHAnsi" w:eastAsiaTheme="majorEastAsia" w:hAnsiTheme="majorHAnsi" w:cstheme="majorHAnsi"/>
                <w:b/>
                <w:caps/>
                <w:sz w:val="20"/>
                <w:szCs w:val="20"/>
              </w:rPr>
              <w:t>Performance assessment framework indicator/benchmark</w:t>
            </w:r>
          </w:p>
        </w:tc>
        <w:tc>
          <w:tcPr>
            <w:tcW w:w="4961" w:type="dxa"/>
            <w:shd w:val="clear" w:color="auto" w:fill="C1E7E0" w:themeFill="accent1" w:themeFillTint="66"/>
          </w:tcPr>
          <w:p w14:paraId="2034389E" w14:textId="77777777" w:rsidR="00417F90" w:rsidRPr="00417F90" w:rsidRDefault="00417F90" w:rsidP="00417F90">
            <w:pPr>
              <w:spacing w:before="40" w:after="40" w:line="240" w:lineRule="auto"/>
              <w:rPr>
                <w:rFonts w:asciiTheme="majorHAnsi" w:eastAsiaTheme="majorEastAsia" w:hAnsiTheme="majorHAnsi" w:cstheme="majorHAnsi"/>
                <w:b/>
                <w:caps/>
                <w:sz w:val="20"/>
                <w:szCs w:val="20"/>
              </w:rPr>
            </w:pPr>
            <w:r w:rsidRPr="00417F90">
              <w:rPr>
                <w:rFonts w:asciiTheme="majorHAnsi" w:eastAsiaTheme="majorEastAsia" w:hAnsiTheme="majorHAnsi" w:cstheme="majorHAnsi"/>
                <w:b/>
                <w:caps/>
                <w:sz w:val="20"/>
                <w:szCs w:val="20"/>
              </w:rPr>
              <w:t>Brief summary of progress against indicator/benchmark</w:t>
            </w:r>
          </w:p>
        </w:tc>
      </w:tr>
      <w:tr w:rsidR="00417F90" w:rsidRPr="00417F90" w14:paraId="433283A2" w14:textId="77777777" w:rsidTr="001E3368">
        <w:trPr>
          <w:trHeight w:val="797"/>
          <w:tblHeader/>
        </w:trPr>
        <w:tc>
          <w:tcPr>
            <w:tcW w:w="1838" w:type="dxa"/>
          </w:tcPr>
          <w:p w14:paraId="0B157909" w14:textId="77777777" w:rsidR="005B23D6" w:rsidRDefault="005B23D6" w:rsidP="00417F90">
            <w:pPr>
              <w:spacing w:before="40" w:after="40" w:line="240" w:lineRule="auto"/>
              <w:rPr>
                <w:rFonts w:eastAsiaTheme="majorEastAsia" w:cstheme="minorHAnsi"/>
                <w:sz w:val="20"/>
                <w:szCs w:val="20"/>
              </w:rPr>
            </w:pPr>
            <w:r>
              <w:rPr>
                <w:rFonts w:eastAsiaTheme="majorEastAsia" w:cstheme="minorHAnsi"/>
                <w:sz w:val="20"/>
                <w:szCs w:val="20"/>
              </w:rPr>
              <w:t>Objective 1.</w:t>
            </w:r>
          </w:p>
          <w:p w14:paraId="7FC5EF76" w14:textId="7D85A4F0" w:rsidR="00417F90" w:rsidRPr="00816D6B" w:rsidRDefault="00417F90" w:rsidP="00417F90">
            <w:pPr>
              <w:spacing w:before="40" w:after="40" w:line="240" w:lineRule="auto"/>
              <w:rPr>
                <w:rFonts w:eastAsiaTheme="majorEastAsia" w:cstheme="minorHAnsi"/>
                <w:caps/>
                <w:sz w:val="20"/>
                <w:szCs w:val="20"/>
              </w:rPr>
            </w:pPr>
            <w:r w:rsidRPr="00816D6B">
              <w:rPr>
                <w:rFonts w:eastAsiaTheme="majorEastAsia" w:cstheme="minorHAnsi"/>
                <w:sz w:val="20"/>
                <w:szCs w:val="20"/>
              </w:rPr>
              <w:t xml:space="preserve">Enhancing human development </w:t>
            </w:r>
          </w:p>
        </w:tc>
        <w:tc>
          <w:tcPr>
            <w:tcW w:w="3402" w:type="dxa"/>
          </w:tcPr>
          <w:p w14:paraId="678079E6" w14:textId="0DEA2352" w:rsidR="00417F90" w:rsidRPr="005B23D6" w:rsidRDefault="00417F90" w:rsidP="005B23D6">
            <w:pPr>
              <w:pStyle w:val="ListParagraph"/>
              <w:numPr>
                <w:ilvl w:val="1"/>
                <w:numId w:val="50"/>
              </w:numPr>
              <w:spacing w:before="40" w:after="40" w:line="240" w:lineRule="auto"/>
              <w:rPr>
                <w:rFonts w:eastAsiaTheme="majorEastAsia" w:cstheme="minorHAnsi"/>
                <w:sz w:val="20"/>
                <w:szCs w:val="20"/>
              </w:rPr>
            </w:pPr>
            <w:r w:rsidRPr="005B23D6">
              <w:rPr>
                <w:rFonts w:eastAsiaTheme="majorEastAsia" w:cstheme="minorHAnsi"/>
                <w:sz w:val="20"/>
                <w:szCs w:val="20"/>
              </w:rPr>
              <w:t xml:space="preserve">Reduced drop outs and repetition of disadvantaged students </w:t>
            </w:r>
            <w:r w:rsidR="005B23D6" w:rsidRPr="005B23D6">
              <w:rPr>
                <w:rFonts w:eastAsiaTheme="majorEastAsia" w:cstheme="minorHAnsi"/>
                <w:sz w:val="20"/>
                <w:szCs w:val="20"/>
              </w:rPr>
              <w:t>.</w:t>
            </w:r>
          </w:p>
          <w:p w14:paraId="28B05D92" w14:textId="5BF48FB1" w:rsidR="005B23D6" w:rsidRPr="005B23D6" w:rsidRDefault="005B23D6" w:rsidP="005B23D6">
            <w:pPr>
              <w:pStyle w:val="ListParagraph"/>
              <w:numPr>
                <w:ilvl w:val="1"/>
                <w:numId w:val="50"/>
              </w:numPr>
              <w:spacing w:before="40" w:after="40" w:line="240" w:lineRule="auto"/>
              <w:rPr>
                <w:rFonts w:eastAsiaTheme="majorEastAsia" w:cstheme="minorHAnsi"/>
                <w:sz w:val="20"/>
                <w:szCs w:val="20"/>
              </w:rPr>
            </w:pPr>
            <w:r w:rsidRPr="00816D6B">
              <w:rPr>
                <w:rFonts w:eastAsiaTheme="majorEastAsia" w:cstheme="minorHAnsi"/>
                <w:sz w:val="20"/>
                <w:szCs w:val="20"/>
              </w:rPr>
              <w:t>Strengthened policy formulation and oversight</w:t>
            </w:r>
          </w:p>
          <w:p w14:paraId="46D16C75" w14:textId="77777777" w:rsidR="00417F90" w:rsidRPr="00816D6B" w:rsidRDefault="00417F90" w:rsidP="00417F90">
            <w:pPr>
              <w:spacing w:before="40" w:after="40" w:line="240" w:lineRule="auto"/>
              <w:rPr>
                <w:rFonts w:eastAsiaTheme="majorEastAsia" w:cstheme="minorHAnsi"/>
                <w:caps/>
                <w:sz w:val="20"/>
                <w:szCs w:val="20"/>
              </w:rPr>
            </w:pPr>
          </w:p>
        </w:tc>
        <w:tc>
          <w:tcPr>
            <w:tcW w:w="4961" w:type="dxa"/>
          </w:tcPr>
          <w:p w14:paraId="25DC8968" w14:textId="77777777" w:rsidR="00417F90" w:rsidRDefault="005B23D6" w:rsidP="00417F90">
            <w:pPr>
              <w:spacing w:before="40" w:after="40" w:line="240" w:lineRule="auto"/>
              <w:rPr>
                <w:rFonts w:eastAsiaTheme="majorEastAsia" w:cstheme="minorHAnsi"/>
                <w:sz w:val="20"/>
                <w:szCs w:val="20"/>
              </w:rPr>
            </w:pPr>
            <w:r>
              <w:rPr>
                <w:rFonts w:eastAsiaTheme="majorEastAsia" w:cstheme="minorHAnsi"/>
                <w:sz w:val="20"/>
                <w:szCs w:val="20"/>
              </w:rPr>
              <w:t xml:space="preserve">~ </w:t>
            </w:r>
            <w:r w:rsidR="00417F90" w:rsidRPr="00816D6B">
              <w:rPr>
                <w:rFonts w:eastAsiaTheme="majorEastAsia" w:cstheme="minorHAnsi"/>
                <w:sz w:val="20"/>
                <w:szCs w:val="20"/>
              </w:rPr>
              <w:t xml:space="preserve">In the 2019/20 school year, 58,722* students (M30,983/F27,739) in 55 townships (including two in Rakhine) received stipends to support their ongoing education. </w:t>
            </w:r>
          </w:p>
          <w:p w14:paraId="6B3AA0AA" w14:textId="37EE03A0" w:rsidR="005B23D6" w:rsidRPr="00816D6B" w:rsidRDefault="005B23D6" w:rsidP="00417F90">
            <w:pPr>
              <w:spacing w:before="40" w:after="40" w:line="240" w:lineRule="auto"/>
              <w:rPr>
                <w:rFonts w:eastAsiaTheme="majorEastAsia" w:cstheme="minorHAnsi"/>
                <w:sz w:val="20"/>
                <w:szCs w:val="20"/>
              </w:rPr>
            </w:pPr>
            <w:r>
              <w:rPr>
                <w:rFonts w:eastAsiaTheme="majorEastAsia" w:cstheme="minorHAnsi"/>
                <w:sz w:val="20"/>
                <w:szCs w:val="20"/>
              </w:rPr>
              <w:t xml:space="preserve">~ </w:t>
            </w:r>
            <w:r w:rsidRPr="00816D6B">
              <w:rPr>
                <w:rFonts w:eastAsiaTheme="majorEastAsia" w:cstheme="minorHAnsi"/>
                <w:sz w:val="20"/>
                <w:szCs w:val="20"/>
              </w:rPr>
              <w:t>Support to the Ministry of Education (MoE) to revise and implement Departmental Annual Implementation and Monitoring and Evaluation Plans. Strengthened MoE’s existing Education Quality Improvement System platform. MoE data collection systems improved to contribute to evidence-based decision making. A mid-term review was completed for the Myanmar National Education Strategic Plan</w:t>
            </w:r>
          </w:p>
        </w:tc>
      </w:tr>
      <w:tr w:rsidR="00417F90" w:rsidRPr="00417F90" w14:paraId="4152DA9F" w14:textId="77777777" w:rsidTr="001E3368">
        <w:trPr>
          <w:tblHeader/>
        </w:trPr>
        <w:tc>
          <w:tcPr>
            <w:tcW w:w="1838" w:type="dxa"/>
          </w:tcPr>
          <w:p w14:paraId="77E95752" w14:textId="49691483" w:rsidR="005B23D6" w:rsidRDefault="005B23D6" w:rsidP="00417F90">
            <w:pPr>
              <w:spacing w:before="40" w:after="40" w:line="240" w:lineRule="auto"/>
              <w:rPr>
                <w:rFonts w:eastAsiaTheme="majorEastAsia" w:cstheme="minorHAnsi"/>
                <w:sz w:val="20"/>
                <w:szCs w:val="20"/>
              </w:rPr>
            </w:pPr>
            <w:r>
              <w:rPr>
                <w:rFonts w:eastAsiaTheme="majorEastAsia" w:cstheme="minorHAnsi"/>
                <w:sz w:val="20"/>
                <w:szCs w:val="20"/>
              </w:rPr>
              <w:t>Objective 2.</w:t>
            </w:r>
          </w:p>
          <w:p w14:paraId="5FE88638" w14:textId="3C327CC5" w:rsidR="00417F90" w:rsidRPr="00816D6B" w:rsidRDefault="00417F90" w:rsidP="00417F90">
            <w:pPr>
              <w:spacing w:before="40" w:after="40" w:line="240" w:lineRule="auto"/>
              <w:rPr>
                <w:rFonts w:eastAsiaTheme="majorEastAsia" w:cstheme="minorHAnsi"/>
                <w:caps/>
                <w:sz w:val="20"/>
                <w:szCs w:val="20"/>
              </w:rPr>
            </w:pPr>
            <w:r w:rsidRPr="00816D6B">
              <w:rPr>
                <w:rFonts w:eastAsiaTheme="majorEastAsia" w:cstheme="minorHAnsi"/>
                <w:sz w:val="20"/>
                <w:szCs w:val="20"/>
              </w:rPr>
              <w:t>Promoting peace and stability</w:t>
            </w:r>
          </w:p>
        </w:tc>
        <w:tc>
          <w:tcPr>
            <w:tcW w:w="3402" w:type="dxa"/>
          </w:tcPr>
          <w:p w14:paraId="47A4A630" w14:textId="77777777" w:rsidR="005B23D6" w:rsidRDefault="005B23D6" w:rsidP="00417F90">
            <w:pPr>
              <w:spacing w:before="40" w:after="40" w:line="240" w:lineRule="auto"/>
              <w:rPr>
                <w:rFonts w:eastAsiaTheme="majorEastAsia" w:cstheme="minorHAnsi"/>
                <w:sz w:val="20"/>
                <w:szCs w:val="20"/>
              </w:rPr>
            </w:pPr>
            <w:r w:rsidRPr="001F529A">
              <w:rPr>
                <w:rFonts w:asciiTheme="majorHAnsi" w:eastAsiaTheme="majorEastAsia" w:hAnsiTheme="majorHAnsi" w:cstheme="majorHAnsi"/>
                <w:sz w:val="20"/>
                <w:szCs w:val="20"/>
              </w:rPr>
              <w:t>2.1</w:t>
            </w:r>
            <w:r>
              <w:rPr>
                <w:rFonts w:eastAsiaTheme="majorEastAsia" w:cstheme="minorHAnsi"/>
                <w:sz w:val="20"/>
                <w:szCs w:val="20"/>
              </w:rPr>
              <w:t xml:space="preserve"> </w:t>
            </w:r>
            <w:r w:rsidR="00417F90" w:rsidRPr="00816D6B">
              <w:rPr>
                <w:rFonts w:eastAsiaTheme="majorEastAsia" w:cstheme="minorHAnsi"/>
                <w:sz w:val="20"/>
                <w:szCs w:val="20"/>
              </w:rPr>
              <w:t>People in need receive effective and appropriate humanitarian assistance</w:t>
            </w:r>
            <w:r>
              <w:rPr>
                <w:rFonts w:eastAsiaTheme="majorEastAsia" w:cstheme="minorHAnsi"/>
                <w:sz w:val="20"/>
                <w:szCs w:val="20"/>
              </w:rPr>
              <w:t>.</w:t>
            </w:r>
          </w:p>
          <w:p w14:paraId="76720D86" w14:textId="06F32844" w:rsidR="00417F90" w:rsidRPr="00816D6B" w:rsidRDefault="005B23D6" w:rsidP="00417F90">
            <w:pPr>
              <w:spacing w:before="40" w:after="40" w:line="240" w:lineRule="auto"/>
              <w:rPr>
                <w:rFonts w:eastAsiaTheme="majorEastAsia" w:cstheme="minorHAnsi"/>
                <w:sz w:val="20"/>
                <w:szCs w:val="20"/>
              </w:rPr>
            </w:pPr>
            <w:r w:rsidRPr="001F529A">
              <w:rPr>
                <w:rFonts w:asciiTheme="majorHAnsi" w:eastAsiaTheme="majorEastAsia" w:hAnsiTheme="majorHAnsi" w:cstheme="majorHAnsi"/>
                <w:sz w:val="20"/>
                <w:szCs w:val="20"/>
              </w:rPr>
              <w:t>2.2</w:t>
            </w:r>
            <w:r>
              <w:rPr>
                <w:rFonts w:eastAsiaTheme="majorEastAsia" w:cstheme="minorHAnsi"/>
                <w:sz w:val="20"/>
                <w:szCs w:val="20"/>
              </w:rPr>
              <w:t xml:space="preserve"> </w:t>
            </w:r>
            <w:r w:rsidRPr="00816D6B">
              <w:rPr>
                <w:rFonts w:eastAsiaTheme="majorEastAsia" w:cstheme="minorHAnsi"/>
                <w:sz w:val="20"/>
                <w:szCs w:val="20"/>
              </w:rPr>
              <w:t>Women are effectively engaged in peace negotiations and dialogue</w:t>
            </w:r>
            <w:r>
              <w:rPr>
                <w:rFonts w:eastAsiaTheme="majorEastAsia" w:cstheme="minorHAnsi"/>
                <w:sz w:val="20"/>
                <w:szCs w:val="20"/>
              </w:rPr>
              <w:t>.</w:t>
            </w:r>
          </w:p>
          <w:p w14:paraId="107DBF33" w14:textId="77777777" w:rsidR="00417F90" w:rsidRPr="00816D6B" w:rsidRDefault="00417F90" w:rsidP="00417F90">
            <w:pPr>
              <w:spacing w:before="40" w:after="40" w:line="240" w:lineRule="auto"/>
              <w:rPr>
                <w:rFonts w:eastAsiaTheme="majorEastAsia" w:cstheme="minorHAnsi"/>
                <w:caps/>
                <w:sz w:val="20"/>
                <w:szCs w:val="20"/>
              </w:rPr>
            </w:pPr>
          </w:p>
        </w:tc>
        <w:tc>
          <w:tcPr>
            <w:tcW w:w="4961" w:type="dxa"/>
          </w:tcPr>
          <w:p w14:paraId="3CDF4B0A" w14:textId="77777777" w:rsidR="00417F90" w:rsidRDefault="005B23D6" w:rsidP="005B23D6">
            <w:pPr>
              <w:spacing w:before="0" w:line="240" w:lineRule="auto"/>
              <w:rPr>
                <w:rFonts w:eastAsiaTheme="majorEastAsia" w:cstheme="minorHAnsi"/>
                <w:sz w:val="20"/>
                <w:szCs w:val="20"/>
              </w:rPr>
            </w:pPr>
            <w:r>
              <w:rPr>
                <w:rFonts w:eastAsiaTheme="majorEastAsia" w:cstheme="minorHAnsi"/>
                <w:sz w:val="20"/>
                <w:szCs w:val="20"/>
              </w:rPr>
              <w:t xml:space="preserve">~ </w:t>
            </w:r>
            <w:r w:rsidR="00417F90" w:rsidRPr="00816D6B">
              <w:rPr>
                <w:rFonts w:eastAsiaTheme="majorEastAsia" w:cstheme="minorHAnsi"/>
                <w:sz w:val="20"/>
                <w:szCs w:val="20"/>
              </w:rPr>
              <w:t xml:space="preserve">Our humanitarian assistance enabled partners to respond flexibly to emerging needs reaching 391,887* vulnerable women, men, girls and boys with life-saving assistance. </w:t>
            </w:r>
          </w:p>
          <w:p w14:paraId="431CC232" w14:textId="0999AC79" w:rsidR="005B23D6" w:rsidRPr="00816D6B" w:rsidRDefault="005B23D6" w:rsidP="00417F90">
            <w:pPr>
              <w:rPr>
                <w:rFonts w:cstheme="minorHAnsi"/>
              </w:rPr>
            </w:pPr>
            <w:r>
              <w:rPr>
                <w:rFonts w:eastAsiaTheme="majorEastAsia" w:cstheme="minorHAnsi"/>
                <w:sz w:val="20"/>
                <w:szCs w:val="20"/>
              </w:rPr>
              <w:t xml:space="preserve">~ </w:t>
            </w:r>
            <w:r w:rsidRPr="00816D6B">
              <w:rPr>
                <w:rFonts w:eastAsiaTheme="majorEastAsia" w:cstheme="minorHAnsi"/>
                <w:sz w:val="20"/>
                <w:szCs w:val="20"/>
              </w:rPr>
              <w:t>While the formal peace process was delayed, women and women’s advocacy groups were supported to participate in ongoing informal consultations and civil society action. Ethnic organisations were supported to develop gender policy; Women’s League of Burma and the Alliance for Gender Inclusion in the Peace Process were supported to secure commitment from government, ethnic armed groups and political parties to meet targets for women’s leadership throughout the peace architecture.</w:t>
            </w:r>
          </w:p>
        </w:tc>
      </w:tr>
      <w:tr w:rsidR="00417F90" w:rsidRPr="00417F90" w14:paraId="154A6F7D" w14:textId="77777777" w:rsidTr="001E3368">
        <w:trPr>
          <w:tblHeader/>
        </w:trPr>
        <w:tc>
          <w:tcPr>
            <w:tcW w:w="1838" w:type="dxa"/>
          </w:tcPr>
          <w:p w14:paraId="6C7C1F0D" w14:textId="77777777" w:rsidR="005B23D6" w:rsidRDefault="005B23D6" w:rsidP="00417F90">
            <w:pPr>
              <w:spacing w:before="40" w:after="40" w:line="240" w:lineRule="auto"/>
              <w:rPr>
                <w:rFonts w:eastAsiaTheme="majorEastAsia" w:cstheme="minorHAnsi"/>
                <w:sz w:val="20"/>
                <w:szCs w:val="20"/>
              </w:rPr>
            </w:pPr>
            <w:r>
              <w:rPr>
                <w:rFonts w:eastAsiaTheme="majorEastAsia" w:cstheme="minorHAnsi"/>
                <w:sz w:val="20"/>
                <w:szCs w:val="20"/>
              </w:rPr>
              <w:t>Objective 3.</w:t>
            </w:r>
          </w:p>
          <w:p w14:paraId="0BD70447" w14:textId="2B6212E8" w:rsidR="00417F90" w:rsidRPr="00816D6B" w:rsidRDefault="00417F90" w:rsidP="00417F90">
            <w:pPr>
              <w:spacing w:before="40" w:after="40" w:line="240" w:lineRule="auto"/>
              <w:rPr>
                <w:rFonts w:eastAsiaTheme="majorEastAsia" w:cstheme="minorHAnsi"/>
                <w:caps/>
                <w:sz w:val="20"/>
                <w:szCs w:val="20"/>
              </w:rPr>
            </w:pPr>
            <w:r w:rsidRPr="00816D6B">
              <w:rPr>
                <w:rFonts w:eastAsiaTheme="majorEastAsia" w:cstheme="minorHAnsi"/>
                <w:sz w:val="20"/>
                <w:szCs w:val="20"/>
              </w:rPr>
              <w:t>Promoting inclusive economic growth</w:t>
            </w:r>
          </w:p>
        </w:tc>
        <w:tc>
          <w:tcPr>
            <w:tcW w:w="3402" w:type="dxa"/>
          </w:tcPr>
          <w:p w14:paraId="397914AA" w14:textId="77777777" w:rsidR="00417F90" w:rsidRDefault="005B23D6" w:rsidP="00417F90">
            <w:pPr>
              <w:spacing w:before="40" w:after="40" w:line="240" w:lineRule="auto"/>
              <w:rPr>
                <w:rFonts w:eastAsiaTheme="majorEastAsia" w:cstheme="minorHAnsi"/>
                <w:sz w:val="20"/>
                <w:szCs w:val="20"/>
              </w:rPr>
            </w:pPr>
            <w:r w:rsidRPr="001F529A">
              <w:rPr>
                <w:rFonts w:asciiTheme="majorHAnsi" w:eastAsiaTheme="majorEastAsia" w:hAnsiTheme="majorHAnsi" w:cstheme="majorHAnsi"/>
                <w:sz w:val="20"/>
                <w:szCs w:val="20"/>
              </w:rPr>
              <w:t>3.1</w:t>
            </w:r>
            <w:r>
              <w:rPr>
                <w:rFonts w:eastAsiaTheme="majorEastAsia" w:cstheme="minorHAnsi"/>
                <w:sz w:val="20"/>
                <w:szCs w:val="20"/>
              </w:rPr>
              <w:t xml:space="preserve"> </w:t>
            </w:r>
            <w:r w:rsidR="00417F90" w:rsidRPr="00816D6B">
              <w:rPr>
                <w:rFonts w:eastAsiaTheme="majorEastAsia" w:cstheme="minorHAnsi"/>
                <w:sz w:val="20"/>
                <w:szCs w:val="20"/>
              </w:rPr>
              <w:t>Contribute to an improved business environment</w:t>
            </w:r>
            <w:r>
              <w:rPr>
                <w:rFonts w:eastAsiaTheme="majorEastAsia" w:cstheme="minorHAnsi"/>
                <w:sz w:val="20"/>
                <w:szCs w:val="20"/>
              </w:rPr>
              <w:t xml:space="preserve">. </w:t>
            </w:r>
          </w:p>
          <w:p w14:paraId="52CBCAF8" w14:textId="2A6BCE8E" w:rsidR="005B23D6" w:rsidRPr="00816D6B" w:rsidRDefault="005B23D6" w:rsidP="00417F90">
            <w:pPr>
              <w:spacing w:before="40" w:after="40" w:line="240" w:lineRule="auto"/>
              <w:rPr>
                <w:rFonts w:eastAsiaTheme="majorEastAsia" w:cstheme="minorHAnsi"/>
                <w:caps/>
                <w:sz w:val="20"/>
                <w:szCs w:val="20"/>
              </w:rPr>
            </w:pPr>
            <w:r w:rsidRPr="001F529A">
              <w:rPr>
                <w:rFonts w:asciiTheme="majorHAnsi" w:eastAsiaTheme="majorEastAsia" w:hAnsiTheme="majorHAnsi" w:cstheme="majorHAnsi"/>
                <w:sz w:val="20"/>
                <w:szCs w:val="20"/>
              </w:rPr>
              <w:t>3.2</w:t>
            </w:r>
            <w:r>
              <w:rPr>
                <w:rFonts w:eastAsiaTheme="majorEastAsia" w:cstheme="minorHAnsi"/>
                <w:sz w:val="20"/>
                <w:szCs w:val="20"/>
              </w:rPr>
              <w:t xml:space="preserve"> </w:t>
            </w:r>
            <w:r w:rsidRPr="00816D6B">
              <w:rPr>
                <w:rFonts w:eastAsiaTheme="majorEastAsia" w:cstheme="minorHAnsi"/>
                <w:sz w:val="20"/>
                <w:szCs w:val="20"/>
              </w:rPr>
              <w:t>Increa</w:t>
            </w:r>
            <w:r>
              <w:rPr>
                <w:rFonts w:eastAsiaTheme="majorEastAsia" w:cstheme="minorHAnsi"/>
                <w:sz w:val="20"/>
                <w:szCs w:val="20"/>
              </w:rPr>
              <w:t>sed incomes of rural households.</w:t>
            </w:r>
          </w:p>
        </w:tc>
        <w:tc>
          <w:tcPr>
            <w:tcW w:w="4961" w:type="dxa"/>
          </w:tcPr>
          <w:p w14:paraId="68A68C7D" w14:textId="77777777" w:rsidR="00417F90" w:rsidRDefault="005B23D6" w:rsidP="00417F90">
            <w:pPr>
              <w:spacing w:before="40" w:after="40" w:line="240" w:lineRule="auto"/>
              <w:rPr>
                <w:rFonts w:eastAsiaTheme="majorEastAsia" w:cstheme="minorHAnsi"/>
                <w:sz w:val="20"/>
                <w:szCs w:val="20"/>
              </w:rPr>
            </w:pPr>
            <w:r>
              <w:rPr>
                <w:rFonts w:eastAsiaTheme="majorEastAsia" w:cstheme="minorHAnsi"/>
                <w:sz w:val="20"/>
                <w:szCs w:val="20"/>
              </w:rPr>
              <w:t xml:space="preserve">~ </w:t>
            </w:r>
            <w:r w:rsidR="0067516E" w:rsidRPr="00816D6B">
              <w:rPr>
                <w:rFonts w:eastAsiaTheme="majorEastAsia" w:cstheme="minorHAnsi"/>
                <w:sz w:val="20"/>
                <w:szCs w:val="20"/>
              </w:rPr>
              <w:t>From</w:t>
            </w:r>
            <w:r w:rsidR="00417F90" w:rsidRPr="00816D6B">
              <w:rPr>
                <w:rFonts w:eastAsiaTheme="majorEastAsia" w:cstheme="minorHAnsi"/>
                <w:sz w:val="20"/>
                <w:szCs w:val="20"/>
              </w:rPr>
              <w:t xml:space="preserve"> 2018 to 2019, Myanmar increased its ranking from 171 to 165 in the World Bank’s</w:t>
            </w:r>
            <w:r w:rsidR="00417F90" w:rsidRPr="00816D6B">
              <w:rPr>
                <w:rFonts w:eastAsiaTheme="majorEastAsia" w:cstheme="minorHAnsi"/>
                <w:i/>
                <w:iCs/>
                <w:sz w:val="20"/>
                <w:szCs w:val="20"/>
              </w:rPr>
              <w:t xml:space="preserve"> Doing Business</w:t>
            </w:r>
            <w:r w:rsidR="00417F90" w:rsidRPr="00816D6B">
              <w:rPr>
                <w:rFonts w:eastAsiaTheme="majorEastAsia" w:cstheme="minorHAnsi"/>
                <w:sz w:val="20"/>
                <w:szCs w:val="20"/>
              </w:rPr>
              <w:t xml:space="preserve"> Index.</w:t>
            </w:r>
          </w:p>
          <w:p w14:paraId="6F366841" w14:textId="26857F10" w:rsidR="005B23D6" w:rsidRPr="00816D6B" w:rsidRDefault="005B23D6" w:rsidP="005B23D6">
            <w:pPr>
              <w:spacing w:before="40" w:after="40" w:line="240" w:lineRule="auto"/>
              <w:rPr>
                <w:rFonts w:eastAsiaTheme="majorEastAsia" w:cstheme="minorHAnsi"/>
                <w:sz w:val="20"/>
                <w:szCs w:val="20"/>
              </w:rPr>
            </w:pPr>
            <w:r>
              <w:rPr>
                <w:rFonts w:eastAsiaTheme="majorEastAsia" w:cstheme="minorHAnsi"/>
                <w:sz w:val="20"/>
                <w:szCs w:val="20"/>
              </w:rPr>
              <w:t xml:space="preserve">~ </w:t>
            </w:r>
            <w:r w:rsidRPr="00816D6B">
              <w:rPr>
                <w:rFonts w:eastAsiaTheme="majorEastAsia" w:cstheme="minorHAnsi"/>
                <w:sz w:val="20"/>
                <w:szCs w:val="20"/>
              </w:rPr>
              <w:t>Due to COVID-19, the household survey has been delayed and therefore the data is not available to report against this indicator.</w:t>
            </w:r>
          </w:p>
        </w:tc>
      </w:tr>
    </w:tbl>
    <w:p w14:paraId="14AE1B9F" w14:textId="77777777" w:rsidR="00417F90" w:rsidRPr="00417F90" w:rsidRDefault="00417F90" w:rsidP="00417F90">
      <w:pPr>
        <w:rPr>
          <w:sz w:val="18"/>
          <w:szCs w:val="18"/>
        </w:rPr>
      </w:pPr>
      <w:r w:rsidRPr="00417F90">
        <w:rPr>
          <w:sz w:val="18"/>
          <w:szCs w:val="18"/>
        </w:rPr>
        <w:t>* denotes figures attributable to Australian ODA</w:t>
      </w:r>
    </w:p>
    <w:p w14:paraId="7FC77C61" w14:textId="77777777" w:rsidR="00276A54" w:rsidRDefault="00276A54" w:rsidP="00276A54"/>
    <w:p w14:paraId="22FB943E" w14:textId="77777777" w:rsidR="00390828" w:rsidRPr="00B927C4" w:rsidRDefault="00B97FF4" w:rsidP="00390828">
      <w:pPr>
        <w:pStyle w:val="Heading2Numbered"/>
        <w:numPr>
          <w:ilvl w:val="0"/>
          <w:numId w:val="0"/>
        </w:numPr>
        <w:spacing w:before="240" w:after="240"/>
        <w:rPr>
          <w:sz w:val="28"/>
          <w:szCs w:val="28"/>
        </w:rPr>
      </w:pPr>
      <w:r>
        <w:rPr>
          <w:sz w:val="28"/>
          <w:szCs w:val="28"/>
        </w:rPr>
        <w:lastRenderedPageBreak/>
        <w:t>A</w:t>
      </w:r>
      <w:r w:rsidR="00390828" w:rsidRPr="00B927C4">
        <w:rPr>
          <w:sz w:val="28"/>
          <w:szCs w:val="28"/>
        </w:rPr>
        <w:t>NNEX A: Program Quality</w:t>
      </w:r>
    </w:p>
    <w:p w14:paraId="2872E3DE" w14:textId="2FD34E2F" w:rsidR="00390828" w:rsidRDefault="00B927C4" w:rsidP="00390828">
      <w:pPr>
        <w:pStyle w:val="Heading3"/>
      </w:pPr>
      <w:r>
        <w:t>Investment Monitoring Report</w:t>
      </w:r>
      <w:r w:rsidR="00390828">
        <w:t xml:space="preserve"> ratings</w:t>
      </w:r>
    </w:p>
    <w:tbl>
      <w:tblPr>
        <w:tblStyle w:val="APPR"/>
        <w:tblW w:w="4690" w:type="pct"/>
        <w:tblInd w:w="5" w:type="dxa"/>
        <w:tblBorders>
          <w:top w:val="none" w:sz="0" w:space="0" w:color="auto"/>
          <w:bottom w:val="none" w:sz="0" w:space="0" w:color="auto"/>
        </w:tblBorders>
        <w:tblLook w:val="0020" w:firstRow="1" w:lastRow="0" w:firstColumn="0" w:lastColumn="0" w:noHBand="0" w:noVBand="0"/>
      </w:tblPr>
      <w:tblGrid>
        <w:gridCol w:w="4676"/>
        <w:gridCol w:w="948"/>
        <w:gridCol w:w="1443"/>
        <w:gridCol w:w="658"/>
        <w:gridCol w:w="656"/>
        <w:gridCol w:w="659"/>
      </w:tblGrid>
      <w:tr w:rsidR="00DE10BE" w:rsidRPr="00812509" w14:paraId="04548AD9" w14:textId="77777777" w:rsidTr="00794512">
        <w:trPr>
          <w:cnfStyle w:val="100000000000" w:firstRow="1" w:lastRow="0" w:firstColumn="0" w:lastColumn="0" w:oddVBand="0" w:evenVBand="0" w:oddHBand="0" w:evenHBand="0" w:firstRowFirstColumn="0" w:firstRowLastColumn="0" w:lastRowFirstColumn="0" w:lastRowLastColumn="0"/>
          <w:trHeight w:val="1413"/>
        </w:trPr>
        <w:tc>
          <w:tcPr>
            <w:tcW w:w="2563" w:type="pct"/>
            <w:tcBorders>
              <w:top w:val="single" w:sz="12" w:space="0" w:color="000000" w:themeColor="text1"/>
              <w:bottom w:val="single" w:sz="2" w:space="0" w:color="65C5B4" w:themeColor="accent1"/>
            </w:tcBorders>
          </w:tcPr>
          <w:p w14:paraId="76F3FA98" w14:textId="3E72FC5E" w:rsidR="00DE10BE" w:rsidRPr="00812509" w:rsidRDefault="00DE10BE" w:rsidP="00A44DC1">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2576" behindDoc="0" locked="0" layoutInCell="1" allowOverlap="1" wp14:anchorId="141EBA5F" wp14:editId="14BF24E2">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D6B">
              <w:rPr>
                <w:rFonts w:asciiTheme="minorHAnsi" w:eastAsia="Times New Roman" w:hAnsiTheme="minorHAnsi"/>
                <w:iCs/>
                <w:szCs w:val="17"/>
                <w:lang w:eastAsia="en-US"/>
              </w:rPr>
              <w:t>Investment name</w:t>
            </w:r>
          </w:p>
        </w:tc>
        <w:tc>
          <w:tcPr>
            <w:tcW w:w="509" w:type="pct"/>
            <w:tcBorders>
              <w:top w:val="single" w:sz="12" w:space="0" w:color="000000" w:themeColor="text1"/>
              <w:bottom w:val="single" w:sz="2" w:space="0" w:color="65C5B4" w:themeColor="accent1"/>
            </w:tcBorders>
            <w:textDirection w:val="btLr"/>
          </w:tcPr>
          <w:p w14:paraId="08E19B99" w14:textId="77777777" w:rsidR="00DE10BE" w:rsidRPr="00812509" w:rsidRDefault="00DE10BE" w:rsidP="00A44DC1">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783" w:type="pct"/>
            <w:tcBorders>
              <w:top w:val="single" w:sz="12" w:space="0" w:color="000000" w:themeColor="text1"/>
              <w:bottom w:val="single" w:sz="2" w:space="0" w:color="65C5B4" w:themeColor="accent1"/>
            </w:tcBorders>
            <w:textDirection w:val="btLr"/>
          </w:tcPr>
          <w:p w14:paraId="521AF228" w14:textId="77777777" w:rsidR="00DE10BE" w:rsidRPr="00812509" w:rsidRDefault="00DE10BE" w:rsidP="00A44DC1">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48" w:type="pct"/>
            <w:tcBorders>
              <w:top w:val="single" w:sz="12" w:space="0" w:color="000000" w:themeColor="text1"/>
              <w:bottom w:val="single" w:sz="2" w:space="0" w:color="65C5B4" w:themeColor="accent1"/>
            </w:tcBorders>
            <w:textDirection w:val="btLr"/>
          </w:tcPr>
          <w:p w14:paraId="6EC8BD7F" w14:textId="77777777" w:rsidR="00DE10BE" w:rsidRPr="00812509" w:rsidRDefault="00DE10BE" w:rsidP="00A44DC1">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47" w:type="pct"/>
            <w:tcBorders>
              <w:top w:val="single" w:sz="12" w:space="0" w:color="000000" w:themeColor="text1"/>
              <w:bottom w:val="single" w:sz="2" w:space="0" w:color="65C5B4" w:themeColor="accent1"/>
            </w:tcBorders>
            <w:textDirection w:val="btLr"/>
          </w:tcPr>
          <w:p w14:paraId="261AB097" w14:textId="77777777" w:rsidR="00DE10BE" w:rsidRPr="00812509" w:rsidRDefault="00DE10BE" w:rsidP="00A44DC1">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41" w:type="pct"/>
            <w:tcBorders>
              <w:top w:val="single" w:sz="12" w:space="0" w:color="000000" w:themeColor="text1"/>
              <w:bottom w:val="single" w:sz="2" w:space="0" w:color="65C5B4" w:themeColor="accent1"/>
            </w:tcBorders>
            <w:textDirection w:val="btLr"/>
          </w:tcPr>
          <w:p w14:paraId="68F569A5" w14:textId="77777777" w:rsidR="00DE10BE" w:rsidRPr="00812509" w:rsidRDefault="00DE10BE" w:rsidP="00A44DC1">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794512" w:rsidRPr="00812509" w14:paraId="5A6F6479" w14:textId="77777777" w:rsidTr="00794512">
        <w:trPr>
          <w:cnfStyle w:val="100000000000" w:firstRow="1" w:lastRow="0" w:firstColumn="0" w:lastColumn="0" w:oddVBand="0" w:evenVBand="0" w:oddHBand="0" w:evenHBand="0" w:firstRowFirstColumn="0" w:firstRowLastColumn="0" w:lastRowFirstColumn="0" w:lastRowLastColumn="0"/>
          <w:trHeight w:val="143"/>
        </w:trPr>
        <w:tc>
          <w:tcPr>
            <w:tcW w:w="2563" w:type="pct"/>
          </w:tcPr>
          <w:p w14:paraId="3A5F653F"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Burma Investment Climate and Private Sector</w:t>
            </w:r>
          </w:p>
        </w:tc>
        <w:tc>
          <w:tcPr>
            <w:tcW w:w="509" w:type="pct"/>
          </w:tcPr>
          <w:p w14:paraId="60782BF0" w14:textId="57C052B7" w:rsidR="00794512" w:rsidRDefault="00794512" w:rsidP="00794512">
            <w:pPr>
              <w:autoSpaceDE w:val="0"/>
              <w:autoSpaceDN w:val="0"/>
              <w:adjustRightInd w:val="0"/>
              <w:spacing w:before="40" w:after="40" w:line="240" w:lineRule="auto"/>
              <w:rPr>
                <w:rFonts w:cs="Franklin Gothic Book"/>
                <w:color w:val="000000"/>
                <w:szCs w:val="17"/>
              </w:rPr>
            </w:pPr>
            <w:r w:rsidRPr="00C10962">
              <w:rPr>
                <w:rFonts w:asciiTheme="minorHAnsi" w:hAnsiTheme="minorHAnsi" w:cs="Franklin Gothic Book"/>
                <w:color w:val="000000"/>
                <w:szCs w:val="17"/>
              </w:rPr>
              <w:t>$21.2m</w:t>
            </w:r>
          </w:p>
        </w:tc>
        <w:tc>
          <w:tcPr>
            <w:tcW w:w="783" w:type="pct"/>
          </w:tcPr>
          <w:p w14:paraId="7D3A74D2"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2019 AQC</w:t>
            </w:r>
          </w:p>
        </w:tc>
        <w:tc>
          <w:tcPr>
            <w:tcW w:w="348" w:type="pct"/>
            <w:shd w:val="clear" w:color="auto" w:fill="auto"/>
            <w:noWrap/>
          </w:tcPr>
          <w:p w14:paraId="46A085F0"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7" w:type="pct"/>
            <w:shd w:val="clear" w:color="auto" w:fill="auto"/>
            <w:noWrap/>
          </w:tcPr>
          <w:p w14:paraId="173F2686"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1" w:type="pct"/>
            <w:shd w:val="clear" w:color="auto" w:fill="auto"/>
            <w:noWrap/>
          </w:tcPr>
          <w:p w14:paraId="6CB5B074"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r>
      <w:tr w:rsidR="00794512" w:rsidRPr="00812509" w14:paraId="509458AE" w14:textId="77777777" w:rsidTr="00794512">
        <w:trPr>
          <w:cnfStyle w:val="100000000000" w:firstRow="1" w:lastRow="0" w:firstColumn="0" w:lastColumn="0" w:oddVBand="0" w:evenVBand="0" w:oddHBand="0" w:evenHBand="0" w:firstRowFirstColumn="0" w:firstRowLastColumn="0" w:lastRowFirstColumn="0" w:lastRowLastColumn="0"/>
          <w:trHeight w:val="284"/>
        </w:trPr>
        <w:tc>
          <w:tcPr>
            <w:tcW w:w="2563" w:type="pct"/>
          </w:tcPr>
          <w:p w14:paraId="7E6E5F9A"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p>
        </w:tc>
        <w:tc>
          <w:tcPr>
            <w:tcW w:w="509" w:type="pct"/>
          </w:tcPr>
          <w:p w14:paraId="6B569B7E" w14:textId="7ECE789B" w:rsidR="00794512" w:rsidRDefault="00794512" w:rsidP="00A44DC1">
            <w:pPr>
              <w:autoSpaceDE w:val="0"/>
              <w:autoSpaceDN w:val="0"/>
              <w:adjustRightInd w:val="0"/>
              <w:spacing w:before="40" w:after="40" w:line="240" w:lineRule="auto"/>
              <w:rPr>
                <w:rFonts w:cs="Franklin Gothic Book"/>
                <w:color w:val="000000"/>
                <w:szCs w:val="17"/>
              </w:rPr>
            </w:pPr>
            <w:r w:rsidRPr="00C10962">
              <w:rPr>
                <w:rFonts w:asciiTheme="minorHAnsi" w:eastAsia="Times New Roman" w:hAnsiTheme="minorHAnsi"/>
                <w:iCs/>
                <w:szCs w:val="17"/>
                <w:lang w:eastAsia="en-US"/>
              </w:rPr>
              <w:t>2015-21</w:t>
            </w:r>
          </w:p>
        </w:tc>
        <w:tc>
          <w:tcPr>
            <w:tcW w:w="783" w:type="pct"/>
            <w:tcBorders>
              <w:top w:val="single" w:sz="2" w:space="0" w:color="65C5B4" w:themeColor="accent1"/>
            </w:tcBorders>
          </w:tcPr>
          <w:p w14:paraId="7498170C"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2020 AQC</w:t>
            </w:r>
          </w:p>
        </w:tc>
        <w:tc>
          <w:tcPr>
            <w:tcW w:w="348" w:type="pct"/>
            <w:tcBorders>
              <w:top w:val="single" w:sz="2" w:space="0" w:color="65C5B4" w:themeColor="accent1"/>
            </w:tcBorders>
            <w:shd w:val="clear" w:color="auto" w:fill="auto"/>
            <w:noWrap/>
          </w:tcPr>
          <w:p w14:paraId="09B92551"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7" w:type="pct"/>
            <w:tcBorders>
              <w:top w:val="single" w:sz="2" w:space="0" w:color="65C5B4" w:themeColor="accent1"/>
            </w:tcBorders>
            <w:shd w:val="clear" w:color="auto" w:fill="auto"/>
            <w:noWrap/>
          </w:tcPr>
          <w:p w14:paraId="1ED954F1"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1" w:type="pct"/>
            <w:tcBorders>
              <w:top w:val="single" w:sz="2" w:space="0" w:color="65C5B4" w:themeColor="accent1"/>
            </w:tcBorders>
            <w:shd w:val="clear" w:color="auto" w:fill="auto"/>
            <w:noWrap/>
          </w:tcPr>
          <w:p w14:paraId="129C6417"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r>
      <w:tr w:rsidR="00794512" w:rsidRPr="00812509" w14:paraId="263C63C9" w14:textId="77777777" w:rsidTr="00794512">
        <w:trPr>
          <w:cnfStyle w:val="100000000000" w:firstRow="1" w:lastRow="0" w:firstColumn="0" w:lastColumn="0" w:oddVBand="0" w:evenVBand="0" w:oddHBand="0" w:evenHBand="0" w:firstRowFirstColumn="0" w:firstRowLastColumn="0" w:lastRowFirstColumn="0" w:lastRowLastColumn="0"/>
          <w:trHeight w:val="143"/>
        </w:trPr>
        <w:tc>
          <w:tcPr>
            <w:tcW w:w="2563" w:type="pct"/>
            <w:tcBorders>
              <w:top w:val="single" w:sz="2" w:space="0" w:color="65C5B4" w:themeColor="accent1"/>
            </w:tcBorders>
          </w:tcPr>
          <w:p w14:paraId="661AE4F9"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Decentralizing Funding to Schools Project</w:t>
            </w:r>
          </w:p>
        </w:tc>
        <w:tc>
          <w:tcPr>
            <w:tcW w:w="509" w:type="pct"/>
            <w:tcBorders>
              <w:top w:val="single" w:sz="2" w:space="0" w:color="65C5B4" w:themeColor="accent1"/>
            </w:tcBorders>
          </w:tcPr>
          <w:p w14:paraId="13799331" w14:textId="654750B6" w:rsidR="00794512" w:rsidRPr="00F03EAE" w:rsidRDefault="00794512" w:rsidP="00794512">
            <w:pPr>
              <w:autoSpaceDE w:val="0"/>
              <w:autoSpaceDN w:val="0"/>
              <w:adjustRightInd w:val="0"/>
              <w:spacing w:before="40" w:after="40" w:line="240" w:lineRule="auto"/>
              <w:rPr>
                <w:rFonts w:cs="Franklin Gothic Book"/>
                <w:color w:val="000000"/>
                <w:szCs w:val="17"/>
              </w:rPr>
            </w:pPr>
            <w:r w:rsidRPr="00C10962">
              <w:rPr>
                <w:rFonts w:asciiTheme="minorHAnsi" w:hAnsiTheme="minorHAnsi" w:cs="Franklin Gothic Book"/>
                <w:color w:val="000000"/>
                <w:szCs w:val="17"/>
              </w:rPr>
              <w:t>$84m</w:t>
            </w:r>
          </w:p>
        </w:tc>
        <w:tc>
          <w:tcPr>
            <w:tcW w:w="783" w:type="pct"/>
            <w:tcBorders>
              <w:top w:val="single" w:sz="2" w:space="0" w:color="65C5B4" w:themeColor="accent1"/>
            </w:tcBorders>
          </w:tcPr>
          <w:p w14:paraId="3A108CA7"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2019 AQC</w:t>
            </w:r>
          </w:p>
        </w:tc>
        <w:tc>
          <w:tcPr>
            <w:tcW w:w="348" w:type="pct"/>
            <w:tcBorders>
              <w:top w:val="single" w:sz="2" w:space="0" w:color="65C5B4" w:themeColor="accent1"/>
            </w:tcBorders>
            <w:shd w:val="clear" w:color="auto" w:fill="auto"/>
            <w:noWrap/>
          </w:tcPr>
          <w:p w14:paraId="27F0B1F2"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5</w:t>
            </w:r>
          </w:p>
        </w:tc>
        <w:tc>
          <w:tcPr>
            <w:tcW w:w="347" w:type="pct"/>
            <w:tcBorders>
              <w:top w:val="single" w:sz="2" w:space="0" w:color="65C5B4" w:themeColor="accent1"/>
            </w:tcBorders>
            <w:shd w:val="clear" w:color="auto" w:fill="auto"/>
            <w:noWrap/>
          </w:tcPr>
          <w:p w14:paraId="57E74B22"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5</w:t>
            </w:r>
          </w:p>
        </w:tc>
        <w:tc>
          <w:tcPr>
            <w:tcW w:w="341" w:type="pct"/>
            <w:tcBorders>
              <w:top w:val="single" w:sz="2" w:space="0" w:color="65C5B4" w:themeColor="accent1"/>
            </w:tcBorders>
            <w:shd w:val="clear" w:color="auto" w:fill="auto"/>
            <w:noWrap/>
          </w:tcPr>
          <w:p w14:paraId="5F3A365C"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r>
      <w:tr w:rsidR="00794512" w:rsidRPr="00812509" w14:paraId="17C28DED" w14:textId="77777777" w:rsidTr="00794512">
        <w:trPr>
          <w:cnfStyle w:val="100000000000" w:firstRow="1" w:lastRow="0" w:firstColumn="0" w:lastColumn="0" w:oddVBand="0" w:evenVBand="0" w:oddHBand="0" w:evenHBand="0" w:firstRowFirstColumn="0" w:firstRowLastColumn="0" w:lastRowFirstColumn="0" w:lastRowLastColumn="0"/>
          <w:trHeight w:val="284"/>
        </w:trPr>
        <w:tc>
          <w:tcPr>
            <w:tcW w:w="2563" w:type="pct"/>
          </w:tcPr>
          <w:p w14:paraId="75CCDA93"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p>
        </w:tc>
        <w:tc>
          <w:tcPr>
            <w:tcW w:w="509" w:type="pct"/>
          </w:tcPr>
          <w:p w14:paraId="4EEA4152" w14:textId="08C0BE0B" w:rsidR="00794512" w:rsidRDefault="00794512" w:rsidP="00A44DC1">
            <w:pPr>
              <w:autoSpaceDE w:val="0"/>
              <w:autoSpaceDN w:val="0"/>
              <w:adjustRightInd w:val="0"/>
              <w:spacing w:before="40" w:after="40" w:line="240" w:lineRule="auto"/>
              <w:rPr>
                <w:rFonts w:cs="Franklin Gothic Book"/>
                <w:color w:val="000000"/>
                <w:szCs w:val="17"/>
              </w:rPr>
            </w:pPr>
            <w:r w:rsidRPr="00C10962">
              <w:rPr>
                <w:rFonts w:asciiTheme="minorHAnsi" w:eastAsia="Times New Roman" w:hAnsiTheme="minorHAnsi"/>
                <w:iCs/>
                <w:szCs w:val="17"/>
                <w:lang w:eastAsia="en-US"/>
              </w:rPr>
              <w:t>2014-21</w:t>
            </w:r>
          </w:p>
        </w:tc>
        <w:tc>
          <w:tcPr>
            <w:tcW w:w="783" w:type="pct"/>
            <w:tcBorders>
              <w:top w:val="single" w:sz="2" w:space="0" w:color="65C5B4" w:themeColor="accent1"/>
            </w:tcBorders>
          </w:tcPr>
          <w:p w14:paraId="0BD8D3D0"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2020 AQC</w:t>
            </w:r>
          </w:p>
        </w:tc>
        <w:tc>
          <w:tcPr>
            <w:tcW w:w="348" w:type="pct"/>
            <w:tcBorders>
              <w:top w:val="single" w:sz="2" w:space="0" w:color="65C5B4" w:themeColor="accent1"/>
            </w:tcBorders>
            <w:shd w:val="clear" w:color="auto" w:fill="auto"/>
            <w:noWrap/>
          </w:tcPr>
          <w:p w14:paraId="1842910E"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5</w:t>
            </w:r>
          </w:p>
        </w:tc>
        <w:tc>
          <w:tcPr>
            <w:tcW w:w="347" w:type="pct"/>
            <w:tcBorders>
              <w:top w:val="single" w:sz="2" w:space="0" w:color="65C5B4" w:themeColor="accent1"/>
            </w:tcBorders>
            <w:shd w:val="clear" w:color="auto" w:fill="auto"/>
            <w:noWrap/>
          </w:tcPr>
          <w:p w14:paraId="4CC38C4B"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5</w:t>
            </w:r>
          </w:p>
        </w:tc>
        <w:tc>
          <w:tcPr>
            <w:tcW w:w="341" w:type="pct"/>
            <w:tcBorders>
              <w:top w:val="single" w:sz="2" w:space="0" w:color="65C5B4" w:themeColor="accent1"/>
            </w:tcBorders>
            <w:shd w:val="clear" w:color="auto" w:fill="auto"/>
            <w:noWrap/>
          </w:tcPr>
          <w:p w14:paraId="04E9FAA8"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r>
      <w:tr w:rsidR="00794512" w:rsidRPr="00812509" w14:paraId="37E09239" w14:textId="77777777" w:rsidTr="00794512">
        <w:trPr>
          <w:cnfStyle w:val="100000000000" w:firstRow="1" w:lastRow="0" w:firstColumn="0" w:lastColumn="0" w:oddVBand="0" w:evenVBand="0" w:oddHBand="0" w:evenHBand="0" w:firstRowFirstColumn="0" w:firstRowLastColumn="0" w:lastRowFirstColumn="0" w:lastRowLastColumn="0"/>
          <w:trHeight w:val="143"/>
        </w:trPr>
        <w:tc>
          <w:tcPr>
            <w:tcW w:w="2563" w:type="pct"/>
            <w:tcBorders>
              <w:top w:val="single" w:sz="2" w:space="0" w:color="65C5B4" w:themeColor="accent1"/>
            </w:tcBorders>
          </w:tcPr>
          <w:p w14:paraId="1DCB74FF"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F03EAE">
              <w:rPr>
                <w:rFonts w:asciiTheme="minorHAnsi" w:eastAsia="Times New Roman" w:hAnsiTheme="minorHAnsi"/>
                <w:iCs/>
                <w:szCs w:val="17"/>
                <w:lang w:eastAsia="en-US"/>
              </w:rPr>
              <w:t>Livelihoods and Food Security Fund</w:t>
            </w:r>
            <w:r w:rsidRPr="00C10962">
              <w:rPr>
                <w:rFonts w:asciiTheme="minorHAnsi" w:eastAsia="Times New Roman" w:hAnsiTheme="minorHAnsi"/>
                <w:iCs/>
                <w:szCs w:val="17"/>
                <w:lang w:eastAsia="en-US"/>
              </w:rPr>
              <w:t xml:space="preserve"> </w:t>
            </w:r>
          </w:p>
        </w:tc>
        <w:tc>
          <w:tcPr>
            <w:tcW w:w="509" w:type="pct"/>
            <w:tcBorders>
              <w:top w:val="single" w:sz="2" w:space="0" w:color="65C5B4" w:themeColor="accent1"/>
            </w:tcBorders>
          </w:tcPr>
          <w:p w14:paraId="3393DED8" w14:textId="7118B774" w:rsidR="00794512" w:rsidRPr="00812509" w:rsidRDefault="00794512" w:rsidP="00794512">
            <w:pPr>
              <w:autoSpaceDE w:val="0"/>
              <w:autoSpaceDN w:val="0"/>
              <w:adjustRightInd w:val="0"/>
              <w:spacing w:before="40" w:after="40" w:line="240" w:lineRule="auto"/>
              <w:rPr>
                <w:rFonts w:cs="Franklin Gothic Book"/>
                <w:color w:val="000000"/>
                <w:szCs w:val="17"/>
              </w:rPr>
            </w:pPr>
            <w:r w:rsidRPr="00F03EAE">
              <w:rPr>
                <w:rFonts w:asciiTheme="minorHAnsi" w:hAnsiTheme="minorHAnsi" w:cs="Franklin Gothic Book"/>
                <w:color w:val="000000"/>
                <w:szCs w:val="17"/>
              </w:rPr>
              <w:t>$47m</w:t>
            </w:r>
          </w:p>
        </w:tc>
        <w:tc>
          <w:tcPr>
            <w:tcW w:w="783" w:type="pct"/>
            <w:tcBorders>
              <w:top w:val="single" w:sz="2" w:space="0" w:color="65C5B4" w:themeColor="accent1"/>
            </w:tcBorders>
          </w:tcPr>
          <w:p w14:paraId="4AD8C26F"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F03EAE">
              <w:rPr>
                <w:rFonts w:asciiTheme="minorHAnsi" w:eastAsia="Times New Roman" w:hAnsiTheme="minorHAnsi"/>
                <w:iCs/>
                <w:szCs w:val="17"/>
                <w:lang w:eastAsia="en-US"/>
              </w:rPr>
              <w:t>2019 AQC</w:t>
            </w:r>
          </w:p>
        </w:tc>
        <w:tc>
          <w:tcPr>
            <w:tcW w:w="348" w:type="pct"/>
            <w:tcBorders>
              <w:top w:val="single" w:sz="2" w:space="0" w:color="65C5B4" w:themeColor="accent1"/>
            </w:tcBorders>
            <w:shd w:val="clear" w:color="auto" w:fill="auto"/>
            <w:noWrap/>
          </w:tcPr>
          <w:p w14:paraId="78A7FE7A" w14:textId="77777777" w:rsidR="00794512" w:rsidRPr="00F03EAE" w:rsidRDefault="00794512" w:rsidP="00A44DC1">
            <w:pPr>
              <w:keepLines/>
              <w:spacing w:before="40" w:after="40" w:line="200" w:lineRule="atLeast"/>
              <w:jc w:val="center"/>
              <w:rPr>
                <w:rFonts w:asciiTheme="minorHAnsi" w:eastAsia="Times New Roman" w:hAnsiTheme="minorHAnsi"/>
                <w:iCs/>
                <w:szCs w:val="17"/>
                <w:lang w:eastAsia="en-US"/>
              </w:rPr>
            </w:pPr>
            <w:r w:rsidRPr="00F03EAE">
              <w:rPr>
                <w:rFonts w:asciiTheme="minorHAnsi" w:eastAsia="Times New Roman" w:hAnsiTheme="minorHAnsi"/>
                <w:iCs/>
                <w:szCs w:val="17"/>
                <w:lang w:eastAsia="en-US"/>
              </w:rPr>
              <w:t>5</w:t>
            </w:r>
          </w:p>
        </w:tc>
        <w:tc>
          <w:tcPr>
            <w:tcW w:w="347" w:type="pct"/>
            <w:tcBorders>
              <w:top w:val="single" w:sz="2" w:space="0" w:color="65C5B4" w:themeColor="accent1"/>
            </w:tcBorders>
            <w:shd w:val="clear" w:color="auto" w:fill="auto"/>
            <w:noWrap/>
          </w:tcPr>
          <w:p w14:paraId="5FDA8C93" w14:textId="77777777" w:rsidR="00794512" w:rsidRPr="00F03EAE" w:rsidRDefault="00794512" w:rsidP="00A44DC1">
            <w:pPr>
              <w:keepLines/>
              <w:spacing w:before="40" w:after="40" w:line="200" w:lineRule="atLeast"/>
              <w:jc w:val="center"/>
              <w:rPr>
                <w:rFonts w:asciiTheme="minorHAnsi" w:eastAsia="Times New Roman" w:hAnsiTheme="minorHAnsi"/>
                <w:iCs/>
                <w:szCs w:val="17"/>
                <w:lang w:eastAsia="en-US"/>
              </w:rPr>
            </w:pPr>
            <w:r w:rsidRPr="00F03EAE">
              <w:rPr>
                <w:rFonts w:asciiTheme="minorHAnsi" w:eastAsia="Times New Roman" w:hAnsiTheme="minorHAnsi"/>
                <w:iCs/>
                <w:szCs w:val="17"/>
                <w:lang w:eastAsia="en-US"/>
              </w:rPr>
              <w:t>5</w:t>
            </w:r>
          </w:p>
        </w:tc>
        <w:tc>
          <w:tcPr>
            <w:tcW w:w="341" w:type="pct"/>
            <w:tcBorders>
              <w:top w:val="single" w:sz="2" w:space="0" w:color="65C5B4" w:themeColor="accent1"/>
            </w:tcBorders>
            <w:shd w:val="clear" w:color="auto" w:fill="auto"/>
            <w:noWrap/>
          </w:tcPr>
          <w:p w14:paraId="5E4FBFCA" w14:textId="77777777" w:rsidR="00794512" w:rsidRPr="00F03EAE" w:rsidRDefault="00794512" w:rsidP="00A44DC1">
            <w:pPr>
              <w:keepLines/>
              <w:spacing w:before="40" w:after="40" w:line="200" w:lineRule="atLeast"/>
              <w:jc w:val="center"/>
              <w:rPr>
                <w:rFonts w:asciiTheme="minorHAnsi" w:eastAsia="Times New Roman" w:hAnsiTheme="minorHAnsi"/>
                <w:iCs/>
                <w:szCs w:val="17"/>
                <w:lang w:eastAsia="en-US"/>
              </w:rPr>
            </w:pPr>
            <w:r w:rsidRPr="00F03EAE">
              <w:rPr>
                <w:rFonts w:asciiTheme="minorHAnsi" w:eastAsia="Times New Roman" w:hAnsiTheme="minorHAnsi"/>
                <w:iCs/>
                <w:szCs w:val="17"/>
                <w:lang w:eastAsia="en-US"/>
              </w:rPr>
              <w:t>4</w:t>
            </w:r>
          </w:p>
        </w:tc>
      </w:tr>
      <w:tr w:rsidR="00DE10BE" w:rsidRPr="00812509" w14:paraId="0719B5C5" w14:textId="77777777" w:rsidTr="00794512">
        <w:trPr>
          <w:cnfStyle w:val="100000000000" w:firstRow="1" w:lastRow="0" w:firstColumn="0" w:lastColumn="0" w:oddVBand="0" w:evenVBand="0" w:oddHBand="0" w:evenHBand="0" w:firstRowFirstColumn="0" w:firstRowLastColumn="0" w:lastRowFirstColumn="0" w:lastRowLastColumn="0"/>
          <w:trHeight w:val="284"/>
        </w:trPr>
        <w:tc>
          <w:tcPr>
            <w:tcW w:w="2563" w:type="pct"/>
          </w:tcPr>
          <w:p w14:paraId="3D56688D" w14:textId="77777777" w:rsidR="00DE10BE" w:rsidRPr="00C10962" w:rsidRDefault="00DE10BE" w:rsidP="00A44DC1">
            <w:pPr>
              <w:keepLines/>
              <w:spacing w:before="40" w:after="40" w:line="200" w:lineRule="atLeast"/>
              <w:rPr>
                <w:rFonts w:asciiTheme="minorHAnsi" w:eastAsia="Times New Roman" w:hAnsiTheme="minorHAnsi"/>
                <w:iCs/>
                <w:szCs w:val="17"/>
                <w:lang w:eastAsia="en-US"/>
              </w:rPr>
            </w:pPr>
          </w:p>
        </w:tc>
        <w:tc>
          <w:tcPr>
            <w:tcW w:w="509" w:type="pct"/>
          </w:tcPr>
          <w:p w14:paraId="36F5CCE1" w14:textId="70DD33CA" w:rsidR="00DE10BE" w:rsidRPr="00F03EAE" w:rsidRDefault="00794512" w:rsidP="00A44DC1">
            <w:pPr>
              <w:autoSpaceDE w:val="0"/>
              <w:autoSpaceDN w:val="0"/>
              <w:adjustRightInd w:val="0"/>
              <w:spacing w:before="40" w:after="40" w:line="240" w:lineRule="auto"/>
              <w:rPr>
                <w:rFonts w:cs="Franklin Gothic Book"/>
                <w:color w:val="000000"/>
                <w:szCs w:val="17"/>
              </w:rPr>
            </w:pPr>
            <w:r w:rsidRPr="00F03EAE">
              <w:rPr>
                <w:rFonts w:asciiTheme="minorHAnsi" w:eastAsia="Times New Roman" w:hAnsiTheme="minorHAnsi"/>
                <w:iCs/>
                <w:szCs w:val="17"/>
                <w:lang w:eastAsia="en-US"/>
              </w:rPr>
              <w:t>2009-24</w:t>
            </w:r>
          </w:p>
        </w:tc>
        <w:tc>
          <w:tcPr>
            <w:tcW w:w="783" w:type="pct"/>
            <w:tcBorders>
              <w:top w:val="single" w:sz="2" w:space="0" w:color="65C5B4" w:themeColor="accent1"/>
            </w:tcBorders>
          </w:tcPr>
          <w:p w14:paraId="0EC19D8C" w14:textId="77777777" w:rsidR="00DE10BE" w:rsidRPr="00C10962" w:rsidRDefault="00DE10BE" w:rsidP="00A44DC1">
            <w:pPr>
              <w:keepLines/>
              <w:spacing w:before="40" w:after="40" w:line="200" w:lineRule="atLeast"/>
              <w:rPr>
                <w:rFonts w:asciiTheme="minorHAnsi" w:eastAsia="Times New Roman" w:hAnsiTheme="minorHAnsi"/>
                <w:iCs/>
                <w:szCs w:val="17"/>
                <w:lang w:eastAsia="en-US"/>
              </w:rPr>
            </w:pPr>
            <w:r w:rsidRPr="00F03EAE">
              <w:rPr>
                <w:rFonts w:asciiTheme="minorHAnsi" w:eastAsia="Times New Roman" w:hAnsiTheme="minorHAnsi"/>
                <w:iCs/>
                <w:szCs w:val="17"/>
                <w:lang w:eastAsia="en-US"/>
              </w:rPr>
              <w:t>2020</w:t>
            </w:r>
            <w:r w:rsidRPr="00C10962">
              <w:rPr>
                <w:rFonts w:asciiTheme="minorHAnsi" w:eastAsia="Times New Roman" w:hAnsiTheme="minorHAnsi"/>
                <w:iCs/>
                <w:szCs w:val="17"/>
                <w:lang w:eastAsia="en-US"/>
              </w:rPr>
              <w:t xml:space="preserve"> </w:t>
            </w:r>
            <w:r w:rsidRPr="00F03EAE">
              <w:rPr>
                <w:rFonts w:asciiTheme="minorHAnsi" w:eastAsia="Times New Roman" w:hAnsiTheme="minorHAnsi"/>
                <w:iCs/>
                <w:szCs w:val="17"/>
                <w:lang w:eastAsia="en-US"/>
              </w:rPr>
              <w:t>AQC</w:t>
            </w:r>
          </w:p>
        </w:tc>
        <w:tc>
          <w:tcPr>
            <w:tcW w:w="348" w:type="pct"/>
            <w:tcBorders>
              <w:top w:val="single" w:sz="2" w:space="0" w:color="65C5B4" w:themeColor="accent1"/>
            </w:tcBorders>
            <w:shd w:val="clear" w:color="auto" w:fill="auto"/>
            <w:noWrap/>
          </w:tcPr>
          <w:p w14:paraId="34C5B41D" w14:textId="77777777" w:rsidR="00DE10BE" w:rsidRPr="00F03EAE" w:rsidRDefault="00DE10BE" w:rsidP="00A44DC1">
            <w:pPr>
              <w:keepLines/>
              <w:spacing w:before="40" w:after="40" w:line="200" w:lineRule="atLeast"/>
              <w:jc w:val="center"/>
              <w:rPr>
                <w:rFonts w:asciiTheme="minorHAnsi" w:eastAsia="Times New Roman" w:hAnsiTheme="minorHAnsi"/>
                <w:iCs/>
                <w:szCs w:val="17"/>
                <w:lang w:eastAsia="en-US"/>
              </w:rPr>
            </w:pPr>
            <w:r w:rsidRPr="00F03EAE">
              <w:rPr>
                <w:rFonts w:asciiTheme="minorHAnsi" w:eastAsia="Times New Roman" w:hAnsiTheme="minorHAnsi"/>
                <w:iCs/>
                <w:szCs w:val="17"/>
                <w:lang w:eastAsia="en-US"/>
              </w:rPr>
              <w:t>5</w:t>
            </w:r>
          </w:p>
        </w:tc>
        <w:tc>
          <w:tcPr>
            <w:tcW w:w="347" w:type="pct"/>
            <w:tcBorders>
              <w:top w:val="single" w:sz="2" w:space="0" w:color="65C5B4" w:themeColor="accent1"/>
            </w:tcBorders>
            <w:shd w:val="clear" w:color="auto" w:fill="auto"/>
            <w:noWrap/>
          </w:tcPr>
          <w:p w14:paraId="1F9B957A" w14:textId="77777777" w:rsidR="00DE10BE" w:rsidRPr="00F03EAE" w:rsidRDefault="00DE10BE" w:rsidP="00A44DC1">
            <w:pPr>
              <w:keepLines/>
              <w:spacing w:before="40" w:after="40" w:line="200" w:lineRule="atLeast"/>
              <w:jc w:val="center"/>
              <w:rPr>
                <w:rFonts w:asciiTheme="minorHAnsi" w:eastAsia="Times New Roman" w:hAnsiTheme="minorHAnsi"/>
                <w:iCs/>
                <w:szCs w:val="17"/>
                <w:lang w:eastAsia="en-US"/>
              </w:rPr>
            </w:pPr>
            <w:r w:rsidRPr="00F03EAE">
              <w:rPr>
                <w:rFonts w:asciiTheme="minorHAnsi" w:eastAsia="Times New Roman" w:hAnsiTheme="minorHAnsi"/>
                <w:iCs/>
                <w:szCs w:val="17"/>
                <w:lang w:eastAsia="en-US"/>
              </w:rPr>
              <w:t>5</w:t>
            </w:r>
          </w:p>
        </w:tc>
        <w:tc>
          <w:tcPr>
            <w:tcW w:w="341" w:type="pct"/>
            <w:tcBorders>
              <w:top w:val="single" w:sz="2" w:space="0" w:color="65C5B4" w:themeColor="accent1"/>
            </w:tcBorders>
            <w:shd w:val="clear" w:color="auto" w:fill="auto"/>
            <w:noWrap/>
          </w:tcPr>
          <w:p w14:paraId="2EC2341A" w14:textId="77777777" w:rsidR="00DE10BE" w:rsidRPr="00F03EAE" w:rsidRDefault="00DE10BE" w:rsidP="00A44DC1">
            <w:pPr>
              <w:keepLines/>
              <w:spacing w:before="40" w:after="40" w:line="200" w:lineRule="atLeast"/>
              <w:jc w:val="center"/>
              <w:rPr>
                <w:rFonts w:asciiTheme="minorHAnsi" w:eastAsia="Times New Roman" w:hAnsiTheme="minorHAnsi"/>
                <w:iCs/>
                <w:szCs w:val="17"/>
                <w:lang w:eastAsia="en-US"/>
              </w:rPr>
            </w:pPr>
            <w:r w:rsidRPr="00F03EAE">
              <w:rPr>
                <w:rFonts w:asciiTheme="minorHAnsi" w:eastAsia="Times New Roman" w:hAnsiTheme="minorHAnsi"/>
                <w:iCs/>
                <w:szCs w:val="17"/>
                <w:lang w:eastAsia="en-US"/>
              </w:rPr>
              <w:t>4</w:t>
            </w:r>
          </w:p>
        </w:tc>
      </w:tr>
      <w:tr w:rsidR="00794512" w:rsidRPr="00812509" w14:paraId="08196704" w14:textId="77777777" w:rsidTr="00794512">
        <w:trPr>
          <w:cnfStyle w:val="100000000000" w:firstRow="1" w:lastRow="0" w:firstColumn="0" w:lastColumn="0" w:oddVBand="0" w:evenVBand="0" w:oddHBand="0" w:evenHBand="0" w:firstRowFirstColumn="0" w:firstRowLastColumn="0" w:lastRowFirstColumn="0" w:lastRowLastColumn="0"/>
          <w:trHeight w:val="143"/>
        </w:trPr>
        <w:tc>
          <w:tcPr>
            <w:tcW w:w="2563" w:type="pct"/>
            <w:tcBorders>
              <w:top w:val="single" w:sz="2" w:space="0" w:color="65C5B4" w:themeColor="accent1"/>
            </w:tcBorders>
          </w:tcPr>
          <w:p w14:paraId="005F0835"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Myanmar-Australia Peace Support Program</w:t>
            </w:r>
          </w:p>
        </w:tc>
        <w:tc>
          <w:tcPr>
            <w:tcW w:w="509" w:type="pct"/>
            <w:tcBorders>
              <w:top w:val="single" w:sz="2" w:space="0" w:color="65C5B4" w:themeColor="accent1"/>
            </w:tcBorders>
          </w:tcPr>
          <w:p w14:paraId="6E322BD8" w14:textId="7EE516C8" w:rsidR="00794512" w:rsidRDefault="00794512" w:rsidP="00794512">
            <w:pPr>
              <w:autoSpaceDE w:val="0"/>
              <w:autoSpaceDN w:val="0"/>
              <w:adjustRightInd w:val="0"/>
              <w:spacing w:before="40" w:after="40" w:line="240" w:lineRule="auto"/>
              <w:rPr>
                <w:rFonts w:cs="Franklin Gothic Book"/>
                <w:color w:val="000000"/>
                <w:szCs w:val="17"/>
              </w:rPr>
            </w:pPr>
            <w:r w:rsidRPr="00C10962">
              <w:rPr>
                <w:rFonts w:asciiTheme="minorHAnsi" w:hAnsiTheme="minorHAnsi" w:cs="Franklin Gothic Book"/>
                <w:color w:val="000000"/>
                <w:szCs w:val="17"/>
              </w:rPr>
              <w:t>$24.56m</w:t>
            </w:r>
            <w:bookmarkStart w:id="0" w:name="_GoBack"/>
            <w:bookmarkEnd w:id="0"/>
          </w:p>
        </w:tc>
        <w:tc>
          <w:tcPr>
            <w:tcW w:w="783" w:type="pct"/>
            <w:tcBorders>
              <w:top w:val="single" w:sz="2" w:space="0" w:color="65C5B4" w:themeColor="accent1"/>
            </w:tcBorders>
          </w:tcPr>
          <w:p w14:paraId="15C8FA87"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2019 ACQ</w:t>
            </w:r>
          </w:p>
        </w:tc>
        <w:tc>
          <w:tcPr>
            <w:tcW w:w="348" w:type="pct"/>
            <w:tcBorders>
              <w:top w:val="single" w:sz="2" w:space="0" w:color="65C5B4" w:themeColor="accent1"/>
            </w:tcBorders>
            <w:shd w:val="clear" w:color="auto" w:fill="auto"/>
            <w:noWrap/>
          </w:tcPr>
          <w:p w14:paraId="5A3FC6A9"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3</w:t>
            </w:r>
          </w:p>
        </w:tc>
        <w:tc>
          <w:tcPr>
            <w:tcW w:w="347" w:type="pct"/>
            <w:tcBorders>
              <w:top w:val="single" w:sz="2" w:space="0" w:color="65C5B4" w:themeColor="accent1"/>
            </w:tcBorders>
            <w:shd w:val="clear" w:color="auto" w:fill="auto"/>
            <w:noWrap/>
          </w:tcPr>
          <w:p w14:paraId="5BB53562"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1" w:type="pct"/>
            <w:tcBorders>
              <w:top w:val="single" w:sz="2" w:space="0" w:color="65C5B4" w:themeColor="accent1"/>
            </w:tcBorders>
            <w:shd w:val="clear" w:color="auto" w:fill="auto"/>
            <w:noWrap/>
          </w:tcPr>
          <w:p w14:paraId="51CDD155"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r>
      <w:tr w:rsidR="00DE10BE" w:rsidRPr="00812509" w14:paraId="6B92A215" w14:textId="77777777" w:rsidTr="00794512">
        <w:trPr>
          <w:cnfStyle w:val="100000000000" w:firstRow="1" w:lastRow="0" w:firstColumn="0" w:lastColumn="0" w:oddVBand="0" w:evenVBand="0" w:oddHBand="0" w:evenHBand="0" w:firstRowFirstColumn="0" w:firstRowLastColumn="0" w:lastRowFirstColumn="0" w:lastRowLastColumn="0"/>
          <w:trHeight w:val="284"/>
        </w:trPr>
        <w:tc>
          <w:tcPr>
            <w:tcW w:w="2563" w:type="pct"/>
          </w:tcPr>
          <w:p w14:paraId="5191AB7D" w14:textId="77777777" w:rsidR="00DE10BE" w:rsidRPr="00C10962" w:rsidRDefault="00DE10BE" w:rsidP="00A44DC1">
            <w:pPr>
              <w:keepLines/>
              <w:spacing w:before="40" w:after="40" w:line="200" w:lineRule="atLeast"/>
              <w:rPr>
                <w:rFonts w:asciiTheme="minorHAnsi" w:eastAsia="Times New Roman" w:hAnsiTheme="minorHAnsi"/>
                <w:iCs/>
                <w:szCs w:val="17"/>
                <w:lang w:eastAsia="en-US"/>
              </w:rPr>
            </w:pPr>
          </w:p>
        </w:tc>
        <w:tc>
          <w:tcPr>
            <w:tcW w:w="509" w:type="pct"/>
          </w:tcPr>
          <w:p w14:paraId="5C6CCC99" w14:textId="02092B33" w:rsidR="00DE10BE" w:rsidRDefault="00794512" w:rsidP="00A44DC1">
            <w:pPr>
              <w:autoSpaceDE w:val="0"/>
              <w:autoSpaceDN w:val="0"/>
              <w:adjustRightInd w:val="0"/>
              <w:spacing w:before="40" w:after="40" w:line="240" w:lineRule="auto"/>
              <w:rPr>
                <w:rFonts w:cs="Franklin Gothic Book"/>
                <w:color w:val="000000"/>
                <w:szCs w:val="17"/>
              </w:rPr>
            </w:pPr>
            <w:r w:rsidRPr="00C10962">
              <w:rPr>
                <w:rFonts w:asciiTheme="minorHAnsi" w:eastAsia="Times New Roman" w:hAnsiTheme="minorHAnsi"/>
                <w:iCs/>
                <w:szCs w:val="17"/>
                <w:lang w:eastAsia="en-US"/>
              </w:rPr>
              <w:t>2016-22</w:t>
            </w:r>
          </w:p>
        </w:tc>
        <w:tc>
          <w:tcPr>
            <w:tcW w:w="783" w:type="pct"/>
            <w:tcBorders>
              <w:top w:val="single" w:sz="2" w:space="0" w:color="65C5B4" w:themeColor="accent1"/>
            </w:tcBorders>
          </w:tcPr>
          <w:p w14:paraId="54F202E4" w14:textId="77777777" w:rsidR="00DE10BE" w:rsidRPr="00C10962" w:rsidRDefault="00DE10BE"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2020 AQC</w:t>
            </w:r>
          </w:p>
        </w:tc>
        <w:tc>
          <w:tcPr>
            <w:tcW w:w="348" w:type="pct"/>
            <w:tcBorders>
              <w:top w:val="single" w:sz="2" w:space="0" w:color="65C5B4" w:themeColor="accent1"/>
            </w:tcBorders>
            <w:shd w:val="clear" w:color="auto" w:fill="auto"/>
            <w:noWrap/>
          </w:tcPr>
          <w:p w14:paraId="6365C196"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7" w:type="pct"/>
            <w:tcBorders>
              <w:top w:val="single" w:sz="2" w:space="0" w:color="65C5B4" w:themeColor="accent1"/>
            </w:tcBorders>
            <w:shd w:val="clear" w:color="auto" w:fill="auto"/>
            <w:noWrap/>
          </w:tcPr>
          <w:p w14:paraId="51C092C0"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1" w:type="pct"/>
            <w:tcBorders>
              <w:top w:val="single" w:sz="2" w:space="0" w:color="65C5B4" w:themeColor="accent1"/>
            </w:tcBorders>
            <w:shd w:val="clear" w:color="auto" w:fill="auto"/>
            <w:noWrap/>
          </w:tcPr>
          <w:p w14:paraId="63CAA1DF"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r>
      <w:tr w:rsidR="00794512" w:rsidRPr="00812509" w14:paraId="55B452F0" w14:textId="77777777" w:rsidTr="00794512">
        <w:trPr>
          <w:cnfStyle w:val="100000000000" w:firstRow="1" w:lastRow="0" w:firstColumn="0" w:lastColumn="0" w:oddVBand="0" w:evenVBand="0" w:oddHBand="0" w:evenHBand="0" w:firstRowFirstColumn="0" w:firstRowLastColumn="0" w:lastRowFirstColumn="0" w:lastRowLastColumn="0"/>
          <w:trHeight w:val="143"/>
        </w:trPr>
        <w:tc>
          <w:tcPr>
            <w:tcW w:w="2563" w:type="pct"/>
            <w:tcBorders>
              <w:top w:val="single" w:sz="2" w:space="0" w:color="65C5B4" w:themeColor="accent1"/>
            </w:tcBorders>
          </w:tcPr>
          <w:p w14:paraId="73610260"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Myanmar Education Consortium (MEC) Phase II</w:t>
            </w:r>
          </w:p>
        </w:tc>
        <w:tc>
          <w:tcPr>
            <w:tcW w:w="509" w:type="pct"/>
            <w:tcBorders>
              <w:top w:val="single" w:sz="2" w:space="0" w:color="65C5B4" w:themeColor="accent1"/>
            </w:tcBorders>
          </w:tcPr>
          <w:p w14:paraId="38259C57" w14:textId="61E3410D" w:rsidR="00794512" w:rsidRDefault="00794512" w:rsidP="00794512">
            <w:pPr>
              <w:autoSpaceDE w:val="0"/>
              <w:autoSpaceDN w:val="0"/>
              <w:adjustRightInd w:val="0"/>
              <w:spacing w:before="40" w:after="40" w:line="240" w:lineRule="auto"/>
              <w:rPr>
                <w:rFonts w:cs="Franklin Gothic Book"/>
                <w:color w:val="000000"/>
                <w:szCs w:val="17"/>
              </w:rPr>
            </w:pPr>
            <w:r w:rsidRPr="00C10962">
              <w:rPr>
                <w:rFonts w:asciiTheme="minorHAnsi" w:hAnsiTheme="minorHAnsi" w:cs="Franklin Gothic Book"/>
                <w:color w:val="000000"/>
                <w:szCs w:val="17"/>
              </w:rPr>
              <w:t>$10m</w:t>
            </w:r>
          </w:p>
        </w:tc>
        <w:tc>
          <w:tcPr>
            <w:tcW w:w="783" w:type="pct"/>
            <w:tcBorders>
              <w:top w:val="single" w:sz="2" w:space="0" w:color="65C5B4" w:themeColor="accent1"/>
            </w:tcBorders>
          </w:tcPr>
          <w:p w14:paraId="15EB937E"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2019 AQC</w:t>
            </w:r>
          </w:p>
        </w:tc>
        <w:tc>
          <w:tcPr>
            <w:tcW w:w="348" w:type="pct"/>
            <w:tcBorders>
              <w:top w:val="single" w:sz="2" w:space="0" w:color="65C5B4" w:themeColor="accent1"/>
            </w:tcBorders>
            <w:shd w:val="clear" w:color="auto" w:fill="auto"/>
            <w:noWrap/>
          </w:tcPr>
          <w:p w14:paraId="0986131B"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3</w:t>
            </w:r>
          </w:p>
        </w:tc>
        <w:tc>
          <w:tcPr>
            <w:tcW w:w="347" w:type="pct"/>
            <w:tcBorders>
              <w:top w:val="single" w:sz="2" w:space="0" w:color="65C5B4" w:themeColor="accent1"/>
            </w:tcBorders>
            <w:shd w:val="clear" w:color="auto" w:fill="auto"/>
            <w:noWrap/>
          </w:tcPr>
          <w:p w14:paraId="7797AD79"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w:t>
            </w:r>
          </w:p>
        </w:tc>
        <w:tc>
          <w:tcPr>
            <w:tcW w:w="341" w:type="pct"/>
            <w:tcBorders>
              <w:top w:val="single" w:sz="2" w:space="0" w:color="65C5B4" w:themeColor="accent1"/>
            </w:tcBorders>
            <w:shd w:val="clear" w:color="auto" w:fill="auto"/>
            <w:noWrap/>
          </w:tcPr>
          <w:p w14:paraId="10E703C8"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w:t>
            </w:r>
          </w:p>
        </w:tc>
      </w:tr>
      <w:tr w:rsidR="00DE10BE" w:rsidRPr="00812509" w14:paraId="4E76E261" w14:textId="77777777" w:rsidTr="00794512">
        <w:trPr>
          <w:cnfStyle w:val="100000000000" w:firstRow="1" w:lastRow="0" w:firstColumn="0" w:lastColumn="0" w:oddVBand="0" w:evenVBand="0" w:oddHBand="0" w:evenHBand="0" w:firstRowFirstColumn="0" w:firstRowLastColumn="0" w:lastRowFirstColumn="0" w:lastRowLastColumn="0"/>
          <w:trHeight w:val="284"/>
        </w:trPr>
        <w:tc>
          <w:tcPr>
            <w:tcW w:w="2563" w:type="pct"/>
          </w:tcPr>
          <w:p w14:paraId="01DEB6D4" w14:textId="77777777" w:rsidR="00DE10BE" w:rsidRPr="00C10962" w:rsidRDefault="00DE10BE" w:rsidP="00A44DC1">
            <w:pPr>
              <w:keepLines/>
              <w:spacing w:before="40" w:after="40" w:line="200" w:lineRule="atLeast"/>
              <w:rPr>
                <w:rFonts w:asciiTheme="minorHAnsi" w:eastAsia="Times New Roman" w:hAnsiTheme="minorHAnsi"/>
                <w:iCs/>
                <w:szCs w:val="17"/>
                <w:lang w:eastAsia="en-US"/>
              </w:rPr>
            </w:pPr>
          </w:p>
        </w:tc>
        <w:tc>
          <w:tcPr>
            <w:tcW w:w="509" w:type="pct"/>
          </w:tcPr>
          <w:p w14:paraId="58189D3C" w14:textId="38A9C126" w:rsidR="00DE10BE" w:rsidRDefault="00794512" w:rsidP="00A44DC1">
            <w:pPr>
              <w:autoSpaceDE w:val="0"/>
              <w:autoSpaceDN w:val="0"/>
              <w:adjustRightInd w:val="0"/>
              <w:spacing w:before="40" w:after="40" w:line="240" w:lineRule="auto"/>
              <w:rPr>
                <w:rFonts w:cs="Franklin Gothic Book"/>
                <w:color w:val="000000"/>
                <w:szCs w:val="17"/>
              </w:rPr>
            </w:pPr>
            <w:r w:rsidRPr="00C10962">
              <w:rPr>
                <w:rFonts w:asciiTheme="minorHAnsi" w:eastAsia="Times New Roman" w:hAnsiTheme="minorHAnsi"/>
                <w:iCs/>
                <w:szCs w:val="17"/>
                <w:lang w:eastAsia="en-US"/>
              </w:rPr>
              <w:t>2017-20</w:t>
            </w:r>
          </w:p>
        </w:tc>
        <w:tc>
          <w:tcPr>
            <w:tcW w:w="783" w:type="pct"/>
            <w:tcBorders>
              <w:top w:val="single" w:sz="2" w:space="0" w:color="65C5B4" w:themeColor="accent1"/>
            </w:tcBorders>
          </w:tcPr>
          <w:p w14:paraId="4354E5CF" w14:textId="77777777" w:rsidR="00DE10BE" w:rsidRPr="00C10962" w:rsidRDefault="00DE10BE"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2020 AQC</w:t>
            </w:r>
          </w:p>
        </w:tc>
        <w:tc>
          <w:tcPr>
            <w:tcW w:w="348" w:type="pct"/>
            <w:tcBorders>
              <w:top w:val="single" w:sz="2" w:space="0" w:color="65C5B4" w:themeColor="accent1"/>
            </w:tcBorders>
            <w:shd w:val="clear" w:color="auto" w:fill="auto"/>
            <w:noWrap/>
          </w:tcPr>
          <w:p w14:paraId="2B010CF8"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7" w:type="pct"/>
            <w:tcBorders>
              <w:top w:val="single" w:sz="2" w:space="0" w:color="65C5B4" w:themeColor="accent1"/>
            </w:tcBorders>
            <w:shd w:val="clear" w:color="auto" w:fill="auto"/>
            <w:noWrap/>
          </w:tcPr>
          <w:p w14:paraId="625B469B"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1" w:type="pct"/>
            <w:tcBorders>
              <w:top w:val="single" w:sz="2" w:space="0" w:color="65C5B4" w:themeColor="accent1"/>
            </w:tcBorders>
            <w:shd w:val="clear" w:color="auto" w:fill="auto"/>
            <w:noWrap/>
          </w:tcPr>
          <w:p w14:paraId="62B09135"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3</w:t>
            </w:r>
          </w:p>
        </w:tc>
      </w:tr>
      <w:tr w:rsidR="00794512" w:rsidRPr="00812509" w14:paraId="1C059158" w14:textId="77777777" w:rsidTr="00794512">
        <w:trPr>
          <w:cnfStyle w:val="100000000000" w:firstRow="1" w:lastRow="0" w:firstColumn="0" w:lastColumn="0" w:oddVBand="0" w:evenVBand="0" w:oddHBand="0" w:evenHBand="0" w:firstRowFirstColumn="0" w:firstRowLastColumn="0" w:lastRowFirstColumn="0" w:lastRowLastColumn="0"/>
          <w:trHeight w:val="143"/>
        </w:trPr>
        <w:tc>
          <w:tcPr>
            <w:tcW w:w="2563" w:type="pct"/>
            <w:tcBorders>
              <w:top w:val="single" w:sz="2" w:space="0" w:color="65C5B4" w:themeColor="accent1"/>
            </w:tcBorders>
          </w:tcPr>
          <w:p w14:paraId="41D77D01"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Myanmar Education Quality Improvement Program</w:t>
            </w:r>
          </w:p>
        </w:tc>
        <w:tc>
          <w:tcPr>
            <w:tcW w:w="509" w:type="pct"/>
            <w:tcBorders>
              <w:top w:val="single" w:sz="2" w:space="0" w:color="65C5B4" w:themeColor="accent1"/>
            </w:tcBorders>
          </w:tcPr>
          <w:p w14:paraId="67031BAF" w14:textId="664373AD" w:rsidR="00794512" w:rsidRDefault="00794512" w:rsidP="00794512">
            <w:pPr>
              <w:autoSpaceDE w:val="0"/>
              <w:autoSpaceDN w:val="0"/>
              <w:adjustRightInd w:val="0"/>
              <w:spacing w:before="40" w:after="40" w:line="240" w:lineRule="auto"/>
              <w:rPr>
                <w:rFonts w:cs="Franklin Gothic Book"/>
                <w:color w:val="000000"/>
                <w:szCs w:val="17"/>
              </w:rPr>
            </w:pPr>
            <w:r w:rsidRPr="00C10962">
              <w:rPr>
                <w:rFonts w:asciiTheme="minorHAnsi" w:hAnsiTheme="minorHAnsi" w:cs="Franklin Gothic Book"/>
                <w:color w:val="000000"/>
                <w:szCs w:val="17"/>
              </w:rPr>
              <w:t>$19.88m</w:t>
            </w:r>
          </w:p>
        </w:tc>
        <w:tc>
          <w:tcPr>
            <w:tcW w:w="783" w:type="pct"/>
            <w:tcBorders>
              <w:top w:val="single" w:sz="2" w:space="0" w:color="65C5B4" w:themeColor="accent1"/>
            </w:tcBorders>
          </w:tcPr>
          <w:p w14:paraId="7D49FCC9"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2019 AQC</w:t>
            </w:r>
          </w:p>
        </w:tc>
        <w:tc>
          <w:tcPr>
            <w:tcW w:w="348" w:type="pct"/>
            <w:tcBorders>
              <w:top w:val="single" w:sz="2" w:space="0" w:color="65C5B4" w:themeColor="accent1"/>
            </w:tcBorders>
            <w:shd w:val="clear" w:color="auto" w:fill="auto"/>
            <w:noWrap/>
          </w:tcPr>
          <w:p w14:paraId="1A73B7AA"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7" w:type="pct"/>
            <w:tcBorders>
              <w:top w:val="single" w:sz="2" w:space="0" w:color="65C5B4" w:themeColor="accent1"/>
            </w:tcBorders>
            <w:shd w:val="clear" w:color="auto" w:fill="auto"/>
            <w:noWrap/>
          </w:tcPr>
          <w:p w14:paraId="6459A5FC"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1" w:type="pct"/>
            <w:tcBorders>
              <w:top w:val="single" w:sz="2" w:space="0" w:color="65C5B4" w:themeColor="accent1"/>
            </w:tcBorders>
            <w:shd w:val="clear" w:color="auto" w:fill="auto"/>
            <w:noWrap/>
          </w:tcPr>
          <w:p w14:paraId="5E419B59"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r>
      <w:tr w:rsidR="00DE10BE" w:rsidRPr="00812509" w14:paraId="2B877E79" w14:textId="77777777" w:rsidTr="00794512">
        <w:trPr>
          <w:cnfStyle w:val="100000000000" w:firstRow="1" w:lastRow="0" w:firstColumn="0" w:lastColumn="0" w:oddVBand="0" w:evenVBand="0" w:oddHBand="0" w:evenHBand="0" w:firstRowFirstColumn="0" w:firstRowLastColumn="0" w:lastRowFirstColumn="0" w:lastRowLastColumn="0"/>
          <w:trHeight w:val="284"/>
        </w:trPr>
        <w:tc>
          <w:tcPr>
            <w:tcW w:w="2563" w:type="pct"/>
          </w:tcPr>
          <w:p w14:paraId="1CA5A487" w14:textId="77777777" w:rsidR="00DE10BE" w:rsidRPr="00C10962" w:rsidRDefault="00DE10BE" w:rsidP="00A44DC1">
            <w:pPr>
              <w:keepLines/>
              <w:spacing w:before="40" w:after="40" w:line="200" w:lineRule="atLeast"/>
              <w:rPr>
                <w:rFonts w:asciiTheme="minorHAnsi" w:eastAsia="Times New Roman" w:hAnsiTheme="minorHAnsi"/>
                <w:iCs/>
                <w:szCs w:val="17"/>
                <w:lang w:eastAsia="en-US"/>
              </w:rPr>
            </w:pPr>
          </w:p>
        </w:tc>
        <w:tc>
          <w:tcPr>
            <w:tcW w:w="509" w:type="pct"/>
          </w:tcPr>
          <w:p w14:paraId="19A5946E" w14:textId="069E6A00" w:rsidR="00DE10BE" w:rsidRDefault="00794512" w:rsidP="00A44DC1">
            <w:pPr>
              <w:autoSpaceDE w:val="0"/>
              <w:autoSpaceDN w:val="0"/>
              <w:adjustRightInd w:val="0"/>
              <w:spacing w:before="40" w:after="40" w:line="240" w:lineRule="auto"/>
              <w:rPr>
                <w:rFonts w:cs="Franklin Gothic Book"/>
                <w:color w:val="000000"/>
                <w:szCs w:val="17"/>
              </w:rPr>
            </w:pPr>
            <w:r w:rsidRPr="00C10962">
              <w:rPr>
                <w:rFonts w:asciiTheme="minorHAnsi" w:eastAsia="Times New Roman" w:hAnsiTheme="minorHAnsi"/>
                <w:iCs/>
                <w:szCs w:val="17"/>
                <w:lang w:eastAsia="en-US"/>
              </w:rPr>
              <w:t>2016-21</w:t>
            </w:r>
          </w:p>
        </w:tc>
        <w:tc>
          <w:tcPr>
            <w:tcW w:w="783" w:type="pct"/>
            <w:tcBorders>
              <w:top w:val="single" w:sz="2" w:space="0" w:color="65C5B4" w:themeColor="accent1"/>
            </w:tcBorders>
          </w:tcPr>
          <w:p w14:paraId="003BFB15" w14:textId="77777777" w:rsidR="00DE10BE" w:rsidRPr="00C10962" w:rsidRDefault="00DE10BE"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 xml:space="preserve">2020 AQC </w:t>
            </w:r>
          </w:p>
        </w:tc>
        <w:tc>
          <w:tcPr>
            <w:tcW w:w="348" w:type="pct"/>
            <w:tcBorders>
              <w:top w:val="single" w:sz="2" w:space="0" w:color="65C5B4" w:themeColor="accent1"/>
            </w:tcBorders>
            <w:shd w:val="clear" w:color="auto" w:fill="auto"/>
            <w:noWrap/>
          </w:tcPr>
          <w:p w14:paraId="181C142C"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7" w:type="pct"/>
            <w:tcBorders>
              <w:top w:val="single" w:sz="2" w:space="0" w:color="65C5B4" w:themeColor="accent1"/>
            </w:tcBorders>
            <w:shd w:val="clear" w:color="auto" w:fill="auto"/>
            <w:noWrap/>
          </w:tcPr>
          <w:p w14:paraId="083E90AA"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3</w:t>
            </w:r>
          </w:p>
        </w:tc>
        <w:tc>
          <w:tcPr>
            <w:tcW w:w="341" w:type="pct"/>
            <w:tcBorders>
              <w:top w:val="single" w:sz="2" w:space="0" w:color="65C5B4" w:themeColor="accent1"/>
            </w:tcBorders>
            <w:shd w:val="clear" w:color="auto" w:fill="auto"/>
            <w:noWrap/>
          </w:tcPr>
          <w:p w14:paraId="63407FD6"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r>
      <w:tr w:rsidR="00794512" w:rsidRPr="00812509" w14:paraId="65829139" w14:textId="77777777" w:rsidTr="00794512">
        <w:trPr>
          <w:cnfStyle w:val="100000000000" w:firstRow="1" w:lastRow="0" w:firstColumn="0" w:lastColumn="0" w:oddVBand="0" w:evenVBand="0" w:oddHBand="0" w:evenHBand="0" w:firstRowFirstColumn="0" w:firstRowLastColumn="0" w:lastRowFirstColumn="0" w:lastRowLastColumn="0"/>
          <w:trHeight w:val="143"/>
        </w:trPr>
        <w:tc>
          <w:tcPr>
            <w:tcW w:w="2563" w:type="pct"/>
            <w:tcBorders>
              <w:top w:val="single" w:sz="2" w:space="0" w:color="65C5B4" w:themeColor="accent1"/>
            </w:tcBorders>
          </w:tcPr>
          <w:p w14:paraId="080BB835" w14:textId="77777777" w:rsidR="00794512" w:rsidRPr="00A840E7" w:rsidRDefault="00794512" w:rsidP="00A44DC1">
            <w:pPr>
              <w:keepLines/>
              <w:spacing w:before="40" w:after="40" w:line="200" w:lineRule="atLeast"/>
              <w:rPr>
                <w:rFonts w:asciiTheme="minorHAnsi" w:eastAsia="Times New Roman" w:hAnsiTheme="minorHAnsi"/>
                <w:iCs/>
                <w:szCs w:val="17"/>
              </w:rPr>
            </w:pPr>
            <w:r w:rsidRPr="00A840E7">
              <w:rPr>
                <w:rFonts w:asciiTheme="minorHAnsi" w:eastAsia="Times New Roman" w:hAnsiTheme="minorHAnsi"/>
                <w:iCs/>
                <w:szCs w:val="17"/>
              </w:rPr>
              <w:t>Strengthening Pre-Service Teacher Education (STEM) Phase II</w:t>
            </w:r>
          </w:p>
        </w:tc>
        <w:tc>
          <w:tcPr>
            <w:tcW w:w="509" w:type="pct"/>
            <w:tcBorders>
              <w:top w:val="single" w:sz="2" w:space="0" w:color="65C5B4" w:themeColor="accent1"/>
            </w:tcBorders>
          </w:tcPr>
          <w:p w14:paraId="4522600A" w14:textId="44B99986" w:rsidR="00794512" w:rsidRDefault="00794512" w:rsidP="00794512">
            <w:pPr>
              <w:autoSpaceDE w:val="0"/>
              <w:autoSpaceDN w:val="0"/>
              <w:adjustRightInd w:val="0"/>
              <w:spacing w:before="40" w:after="40" w:line="240" w:lineRule="auto"/>
              <w:rPr>
                <w:rFonts w:cs="Franklin Gothic Book"/>
                <w:color w:val="000000"/>
                <w:szCs w:val="17"/>
              </w:rPr>
            </w:pPr>
            <w:r w:rsidRPr="00C10962">
              <w:rPr>
                <w:rFonts w:asciiTheme="minorHAnsi" w:hAnsiTheme="minorHAnsi" w:cs="Franklin Gothic Book"/>
                <w:color w:val="000000"/>
                <w:szCs w:val="17"/>
              </w:rPr>
              <w:t>$2.94m</w:t>
            </w:r>
          </w:p>
        </w:tc>
        <w:tc>
          <w:tcPr>
            <w:tcW w:w="783" w:type="pct"/>
            <w:tcBorders>
              <w:top w:val="single" w:sz="2" w:space="0" w:color="65C5B4" w:themeColor="accent1"/>
            </w:tcBorders>
          </w:tcPr>
          <w:p w14:paraId="52CB4AA1"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2019 AQC</w:t>
            </w:r>
          </w:p>
        </w:tc>
        <w:tc>
          <w:tcPr>
            <w:tcW w:w="348" w:type="pct"/>
            <w:tcBorders>
              <w:top w:val="single" w:sz="2" w:space="0" w:color="65C5B4" w:themeColor="accent1"/>
            </w:tcBorders>
            <w:shd w:val="clear" w:color="auto" w:fill="auto"/>
            <w:noWrap/>
          </w:tcPr>
          <w:p w14:paraId="5BFAEB03"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7" w:type="pct"/>
            <w:tcBorders>
              <w:top w:val="single" w:sz="2" w:space="0" w:color="65C5B4" w:themeColor="accent1"/>
            </w:tcBorders>
            <w:shd w:val="clear" w:color="auto" w:fill="auto"/>
            <w:noWrap/>
          </w:tcPr>
          <w:p w14:paraId="4416BAD7"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1" w:type="pct"/>
            <w:tcBorders>
              <w:top w:val="single" w:sz="2" w:space="0" w:color="65C5B4" w:themeColor="accent1"/>
            </w:tcBorders>
            <w:shd w:val="clear" w:color="auto" w:fill="auto"/>
            <w:noWrap/>
          </w:tcPr>
          <w:p w14:paraId="370AA166"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r>
      <w:tr w:rsidR="00DE10BE" w:rsidRPr="00812509" w14:paraId="53FA3BB4" w14:textId="77777777" w:rsidTr="00794512">
        <w:trPr>
          <w:cnfStyle w:val="100000000000" w:firstRow="1" w:lastRow="0" w:firstColumn="0" w:lastColumn="0" w:oddVBand="0" w:evenVBand="0" w:oddHBand="0" w:evenHBand="0" w:firstRowFirstColumn="0" w:firstRowLastColumn="0" w:lastRowFirstColumn="0" w:lastRowLastColumn="0"/>
          <w:trHeight w:val="284"/>
        </w:trPr>
        <w:tc>
          <w:tcPr>
            <w:tcW w:w="2563" w:type="pct"/>
          </w:tcPr>
          <w:p w14:paraId="5D0A25A0" w14:textId="77777777" w:rsidR="00DE10BE" w:rsidRDefault="00DE10BE" w:rsidP="00A44DC1">
            <w:pPr>
              <w:keepLines/>
              <w:spacing w:before="40" w:after="40" w:line="200" w:lineRule="atLeast"/>
              <w:rPr>
                <w:rFonts w:eastAsia="Times New Roman"/>
                <w:iCs/>
                <w:szCs w:val="17"/>
              </w:rPr>
            </w:pPr>
          </w:p>
        </w:tc>
        <w:tc>
          <w:tcPr>
            <w:tcW w:w="509" w:type="pct"/>
          </w:tcPr>
          <w:p w14:paraId="695256DF" w14:textId="2B23D54F" w:rsidR="00DE10BE" w:rsidRDefault="00794512" w:rsidP="00A44DC1">
            <w:pPr>
              <w:autoSpaceDE w:val="0"/>
              <w:autoSpaceDN w:val="0"/>
              <w:adjustRightInd w:val="0"/>
              <w:spacing w:before="40" w:after="40" w:line="240" w:lineRule="auto"/>
              <w:rPr>
                <w:rFonts w:cs="Franklin Gothic Book"/>
                <w:color w:val="000000"/>
                <w:szCs w:val="17"/>
              </w:rPr>
            </w:pPr>
            <w:r w:rsidRPr="00C10962">
              <w:rPr>
                <w:rFonts w:asciiTheme="minorHAnsi" w:eastAsia="Times New Roman" w:hAnsiTheme="minorHAnsi"/>
                <w:iCs/>
                <w:szCs w:val="17"/>
                <w:lang w:eastAsia="en-US"/>
              </w:rPr>
              <w:t>2018-20</w:t>
            </w:r>
          </w:p>
        </w:tc>
        <w:tc>
          <w:tcPr>
            <w:tcW w:w="783" w:type="pct"/>
            <w:tcBorders>
              <w:top w:val="single" w:sz="2" w:space="0" w:color="65C5B4" w:themeColor="accent1"/>
            </w:tcBorders>
          </w:tcPr>
          <w:p w14:paraId="16DB8A7F" w14:textId="77777777" w:rsidR="00DE10BE" w:rsidRPr="00C10962" w:rsidRDefault="00DE10BE"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2020 AQC</w:t>
            </w:r>
          </w:p>
        </w:tc>
        <w:tc>
          <w:tcPr>
            <w:tcW w:w="348" w:type="pct"/>
            <w:tcBorders>
              <w:top w:val="single" w:sz="2" w:space="0" w:color="65C5B4" w:themeColor="accent1"/>
            </w:tcBorders>
            <w:shd w:val="clear" w:color="auto" w:fill="auto"/>
            <w:noWrap/>
          </w:tcPr>
          <w:p w14:paraId="7F5CE9AC"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7" w:type="pct"/>
            <w:tcBorders>
              <w:top w:val="single" w:sz="2" w:space="0" w:color="65C5B4" w:themeColor="accent1"/>
            </w:tcBorders>
            <w:shd w:val="clear" w:color="auto" w:fill="auto"/>
            <w:noWrap/>
          </w:tcPr>
          <w:p w14:paraId="2A7D6CE3"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1" w:type="pct"/>
            <w:tcBorders>
              <w:top w:val="single" w:sz="2" w:space="0" w:color="65C5B4" w:themeColor="accent1"/>
            </w:tcBorders>
            <w:shd w:val="clear" w:color="auto" w:fill="auto"/>
            <w:noWrap/>
          </w:tcPr>
          <w:p w14:paraId="28C70E9E"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r>
      <w:tr w:rsidR="00794512" w:rsidRPr="00812509" w14:paraId="320C04CD" w14:textId="77777777" w:rsidTr="0057733D">
        <w:trPr>
          <w:cnfStyle w:val="100000000000" w:firstRow="1" w:lastRow="0" w:firstColumn="0" w:lastColumn="0" w:oddVBand="0" w:evenVBand="0" w:oddHBand="0" w:evenHBand="0" w:firstRowFirstColumn="0" w:firstRowLastColumn="0" w:lastRowFirstColumn="0" w:lastRowLastColumn="0"/>
          <w:trHeight w:val="143"/>
        </w:trPr>
        <w:tc>
          <w:tcPr>
            <w:tcW w:w="2563" w:type="pct"/>
            <w:tcBorders>
              <w:top w:val="single" w:sz="2" w:space="0" w:color="65C5B4" w:themeColor="accent1"/>
            </w:tcBorders>
          </w:tcPr>
          <w:p w14:paraId="41D148F9"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Supporting Reform, Improving Governance</w:t>
            </w:r>
          </w:p>
        </w:tc>
        <w:tc>
          <w:tcPr>
            <w:tcW w:w="509" w:type="pct"/>
            <w:tcBorders>
              <w:top w:val="single" w:sz="2" w:space="0" w:color="65C5B4" w:themeColor="accent1"/>
            </w:tcBorders>
          </w:tcPr>
          <w:p w14:paraId="56CD565B" w14:textId="1F43962E" w:rsidR="00794512" w:rsidRDefault="00794512" w:rsidP="00794512">
            <w:pPr>
              <w:autoSpaceDE w:val="0"/>
              <w:autoSpaceDN w:val="0"/>
              <w:adjustRightInd w:val="0"/>
              <w:spacing w:before="40" w:after="40" w:line="240" w:lineRule="auto"/>
              <w:rPr>
                <w:rFonts w:cs="Franklin Gothic Book"/>
                <w:color w:val="000000"/>
                <w:szCs w:val="17"/>
              </w:rPr>
            </w:pPr>
            <w:r w:rsidRPr="00C10962">
              <w:rPr>
                <w:rFonts w:asciiTheme="minorHAnsi" w:hAnsiTheme="minorHAnsi" w:cs="Franklin Gothic Book"/>
                <w:color w:val="000000"/>
                <w:szCs w:val="17"/>
              </w:rPr>
              <w:t>$36.42m</w:t>
            </w:r>
          </w:p>
        </w:tc>
        <w:tc>
          <w:tcPr>
            <w:tcW w:w="783" w:type="pct"/>
            <w:tcBorders>
              <w:top w:val="single" w:sz="2" w:space="0" w:color="65C5B4" w:themeColor="accent1"/>
            </w:tcBorders>
          </w:tcPr>
          <w:p w14:paraId="1E76D101" w14:textId="77777777" w:rsidR="00794512" w:rsidRPr="00C10962" w:rsidRDefault="00794512"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2019 AQC</w:t>
            </w:r>
          </w:p>
        </w:tc>
        <w:tc>
          <w:tcPr>
            <w:tcW w:w="348" w:type="pct"/>
            <w:tcBorders>
              <w:top w:val="single" w:sz="2" w:space="0" w:color="65C5B4" w:themeColor="accent1"/>
            </w:tcBorders>
            <w:shd w:val="clear" w:color="auto" w:fill="auto"/>
            <w:noWrap/>
          </w:tcPr>
          <w:p w14:paraId="4F3CD513"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7" w:type="pct"/>
            <w:tcBorders>
              <w:top w:val="single" w:sz="2" w:space="0" w:color="65C5B4" w:themeColor="accent1"/>
            </w:tcBorders>
            <w:shd w:val="clear" w:color="auto" w:fill="auto"/>
            <w:noWrap/>
          </w:tcPr>
          <w:p w14:paraId="6BC71F34"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1" w:type="pct"/>
            <w:tcBorders>
              <w:top w:val="single" w:sz="2" w:space="0" w:color="65C5B4" w:themeColor="accent1"/>
            </w:tcBorders>
            <w:shd w:val="clear" w:color="auto" w:fill="auto"/>
            <w:noWrap/>
          </w:tcPr>
          <w:p w14:paraId="5104FDE8" w14:textId="77777777" w:rsidR="00794512" w:rsidRPr="00C10962" w:rsidRDefault="00794512"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r>
      <w:tr w:rsidR="00DE10BE" w:rsidRPr="00812509" w14:paraId="6DD4B488" w14:textId="77777777" w:rsidTr="00794512">
        <w:trPr>
          <w:cnfStyle w:val="100000000000" w:firstRow="1" w:lastRow="0" w:firstColumn="0" w:lastColumn="0" w:oddVBand="0" w:evenVBand="0" w:oddHBand="0" w:evenHBand="0" w:firstRowFirstColumn="0" w:firstRowLastColumn="0" w:lastRowFirstColumn="0" w:lastRowLastColumn="0"/>
          <w:trHeight w:val="284"/>
        </w:trPr>
        <w:tc>
          <w:tcPr>
            <w:tcW w:w="2563" w:type="pct"/>
            <w:tcBorders>
              <w:bottom w:val="single" w:sz="8" w:space="0" w:color="000000" w:themeColor="text1"/>
            </w:tcBorders>
          </w:tcPr>
          <w:p w14:paraId="12210A23" w14:textId="77777777" w:rsidR="00DE10BE" w:rsidRPr="00C10962" w:rsidRDefault="00DE10BE" w:rsidP="00A44DC1">
            <w:pPr>
              <w:keepLines/>
              <w:spacing w:before="40" w:after="40" w:line="200" w:lineRule="atLeast"/>
              <w:rPr>
                <w:rFonts w:asciiTheme="minorHAnsi" w:eastAsia="Times New Roman" w:hAnsiTheme="minorHAnsi"/>
                <w:iCs/>
                <w:szCs w:val="17"/>
                <w:lang w:eastAsia="en-US"/>
              </w:rPr>
            </w:pPr>
          </w:p>
        </w:tc>
        <w:tc>
          <w:tcPr>
            <w:tcW w:w="509" w:type="pct"/>
            <w:tcBorders>
              <w:bottom w:val="single" w:sz="8" w:space="0" w:color="000000" w:themeColor="text1"/>
            </w:tcBorders>
          </w:tcPr>
          <w:p w14:paraId="188E9624" w14:textId="1EBA0875" w:rsidR="00DE10BE" w:rsidRDefault="00794512" w:rsidP="00A44DC1">
            <w:pPr>
              <w:autoSpaceDE w:val="0"/>
              <w:autoSpaceDN w:val="0"/>
              <w:adjustRightInd w:val="0"/>
              <w:spacing w:before="40" w:after="40" w:line="240" w:lineRule="auto"/>
              <w:rPr>
                <w:rFonts w:cs="Franklin Gothic Book"/>
                <w:color w:val="000000"/>
                <w:szCs w:val="17"/>
              </w:rPr>
            </w:pPr>
            <w:r w:rsidRPr="00C10962">
              <w:rPr>
                <w:rFonts w:asciiTheme="minorHAnsi" w:eastAsia="Times New Roman" w:hAnsiTheme="minorHAnsi"/>
                <w:iCs/>
                <w:szCs w:val="17"/>
                <w:lang w:eastAsia="en-US"/>
              </w:rPr>
              <w:t>2014-22</w:t>
            </w:r>
          </w:p>
        </w:tc>
        <w:tc>
          <w:tcPr>
            <w:tcW w:w="783" w:type="pct"/>
            <w:tcBorders>
              <w:bottom w:val="single" w:sz="8" w:space="0" w:color="000000" w:themeColor="text1"/>
            </w:tcBorders>
          </w:tcPr>
          <w:p w14:paraId="3122AA1D" w14:textId="77777777" w:rsidR="00DE10BE" w:rsidRPr="00C10962" w:rsidRDefault="00DE10BE" w:rsidP="00A44DC1">
            <w:pPr>
              <w:keepLines/>
              <w:spacing w:before="40" w:after="40" w:line="200" w:lineRule="atLeast"/>
              <w:rPr>
                <w:rFonts w:asciiTheme="minorHAnsi" w:eastAsia="Times New Roman" w:hAnsiTheme="minorHAnsi"/>
                <w:iCs/>
                <w:szCs w:val="17"/>
                <w:lang w:eastAsia="en-US"/>
              </w:rPr>
            </w:pPr>
            <w:r w:rsidRPr="00C10962">
              <w:rPr>
                <w:rFonts w:asciiTheme="minorHAnsi" w:eastAsia="Times New Roman" w:hAnsiTheme="minorHAnsi"/>
                <w:iCs/>
                <w:szCs w:val="17"/>
                <w:lang w:eastAsia="en-US"/>
              </w:rPr>
              <w:t>2020 AQC</w:t>
            </w:r>
          </w:p>
        </w:tc>
        <w:tc>
          <w:tcPr>
            <w:tcW w:w="348" w:type="pct"/>
            <w:tcBorders>
              <w:bottom w:val="single" w:sz="8" w:space="0" w:color="000000" w:themeColor="text1"/>
            </w:tcBorders>
            <w:shd w:val="clear" w:color="auto" w:fill="auto"/>
            <w:noWrap/>
          </w:tcPr>
          <w:p w14:paraId="19E4D582"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7" w:type="pct"/>
            <w:tcBorders>
              <w:bottom w:val="single" w:sz="8" w:space="0" w:color="000000" w:themeColor="text1"/>
            </w:tcBorders>
            <w:shd w:val="clear" w:color="auto" w:fill="auto"/>
            <w:noWrap/>
          </w:tcPr>
          <w:p w14:paraId="7ADF8DD3"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4</w:t>
            </w:r>
          </w:p>
        </w:tc>
        <w:tc>
          <w:tcPr>
            <w:tcW w:w="341" w:type="pct"/>
            <w:tcBorders>
              <w:bottom w:val="single" w:sz="8" w:space="0" w:color="000000" w:themeColor="text1"/>
            </w:tcBorders>
            <w:shd w:val="clear" w:color="auto" w:fill="auto"/>
            <w:noWrap/>
          </w:tcPr>
          <w:p w14:paraId="6D50E14B" w14:textId="77777777" w:rsidR="00DE10BE" w:rsidRPr="00C10962" w:rsidRDefault="00DE10BE" w:rsidP="00A44DC1">
            <w:pPr>
              <w:keepLines/>
              <w:spacing w:before="40" w:after="40" w:line="200" w:lineRule="atLeast"/>
              <w:jc w:val="center"/>
              <w:rPr>
                <w:rFonts w:asciiTheme="minorHAnsi" w:eastAsia="Times New Roman" w:hAnsiTheme="minorHAnsi"/>
                <w:iCs/>
                <w:szCs w:val="17"/>
                <w:lang w:eastAsia="en-US"/>
              </w:rPr>
            </w:pPr>
            <w:r w:rsidRPr="00C10962">
              <w:rPr>
                <w:rFonts w:asciiTheme="minorHAnsi" w:eastAsia="Times New Roman" w:hAnsiTheme="minorHAnsi"/>
                <w:iCs/>
                <w:szCs w:val="17"/>
                <w:lang w:eastAsia="en-US"/>
              </w:rPr>
              <w:t>3</w:t>
            </w:r>
          </w:p>
        </w:tc>
      </w:tr>
    </w:tbl>
    <w:p w14:paraId="586B38E4" w14:textId="77777777" w:rsidR="006A7836" w:rsidRPr="006A7836" w:rsidRDefault="006A7836" w:rsidP="006A7836"/>
    <w:p w14:paraId="46FE0B0F" w14:textId="77777777" w:rsidR="00390828" w:rsidRPr="00D03BF3" w:rsidRDefault="00390828" w:rsidP="00390828">
      <w:pPr>
        <w:pStyle w:val="Heading3"/>
        <w:rPr>
          <w:rFonts w:eastAsia="Times New Roman"/>
        </w:rPr>
      </w:pPr>
      <w:r w:rsidRPr="00D03BF3">
        <w:rPr>
          <w:rFonts w:eastAsia="Times New Roman"/>
        </w:rPr>
        <w:t>H</w:t>
      </w:r>
      <w:r>
        <w:rPr>
          <w:rFonts w:eastAsia="Times New Roman"/>
        </w:rPr>
        <w:t xml:space="preserve">umanitarian </w:t>
      </w:r>
      <w:r w:rsidR="00B927C4">
        <w:rPr>
          <w:rFonts w:eastAsia="Times New Roman"/>
        </w:rPr>
        <w:t>Investment Monitoring Report ratings</w:t>
      </w:r>
    </w:p>
    <w:tbl>
      <w:tblPr>
        <w:tblStyle w:val="APPR"/>
        <w:tblW w:w="4883" w:type="pct"/>
        <w:tblLook w:val="0020" w:firstRow="1" w:lastRow="0" w:firstColumn="0" w:lastColumn="0" w:noHBand="0" w:noVBand="0"/>
      </w:tblPr>
      <w:tblGrid>
        <w:gridCol w:w="2978"/>
        <w:gridCol w:w="1098"/>
        <w:gridCol w:w="623"/>
        <w:gridCol w:w="639"/>
        <w:gridCol w:w="628"/>
        <w:gridCol w:w="656"/>
        <w:gridCol w:w="718"/>
        <w:gridCol w:w="654"/>
        <w:gridCol w:w="711"/>
        <w:gridCol w:w="707"/>
      </w:tblGrid>
      <w:tr w:rsidR="00390828" w:rsidRPr="00812509" w14:paraId="76A243A2" w14:textId="77777777" w:rsidTr="00AB5128">
        <w:trPr>
          <w:cnfStyle w:val="100000000000" w:firstRow="1" w:lastRow="0" w:firstColumn="0" w:lastColumn="0" w:oddVBand="0" w:evenVBand="0" w:oddHBand="0" w:evenHBand="0" w:firstRowFirstColumn="0" w:firstRowLastColumn="0" w:lastRowFirstColumn="0" w:lastRowLastColumn="0"/>
          <w:trHeight w:val="1505"/>
        </w:trPr>
        <w:tc>
          <w:tcPr>
            <w:tcW w:w="1560" w:type="pct"/>
          </w:tcPr>
          <w:p w14:paraId="1AFB0FAD" w14:textId="66AE4C03"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66432" behindDoc="0" locked="0" layoutInCell="1" allowOverlap="1" wp14:anchorId="6A0A8ACF" wp14:editId="03F6B757">
                  <wp:simplePos x="0" y="0"/>
                  <wp:positionH relativeFrom="column">
                    <wp:posOffset>0</wp:posOffset>
                  </wp:positionH>
                  <wp:positionV relativeFrom="paragraph">
                    <wp:posOffset>0</wp:posOffset>
                  </wp:positionV>
                  <wp:extent cx="1857375" cy="228600"/>
                  <wp:effectExtent l="0" t="0" r="9525" b="0"/>
                  <wp:wrapNone/>
                  <wp:docPr id="49" name="Picture 4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D6B">
              <w:rPr>
                <w:rFonts w:asciiTheme="minorHAnsi" w:eastAsia="Times New Roman" w:hAnsiTheme="minorHAnsi"/>
                <w:iCs/>
                <w:szCs w:val="17"/>
                <w:lang w:eastAsia="en-US"/>
              </w:rPr>
              <w:t>Investment name</w:t>
            </w:r>
          </w:p>
        </w:tc>
        <w:tc>
          <w:tcPr>
            <w:tcW w:w="569" w:type="pct"/>
            <w:textDirection w:val="btLr"/>
          </w:tcPr>
          <w:p w14:paraId="2C950F6E"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314" w:type="pct"/>
            <w:noWrap/>
            <w:textDirection w:val="btLr"/>
          </w:tcPr>
          <w:p w14:paraId="6D7DAF8C"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25" w:type="pct"/>
            <w:noWrap/>
            <w:textDirection w:val="btLr"/>
          </w:tcPr>
          <w:p w14:paraId="09C47DBB"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19" w:type="pct"/>
            <w:noWrap/>
            <w:textDirection w:val="btLr"/>
          </w:tcPr>
          <w:p w14:paraId="521829C0"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334" w:type="pct"/>
            <w:noWrap/>
            <w:textDirection w:val="btLr"/>
          </w:tcPr>
          <w:p w14:paraId="04069B25"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Relevance</w:t>
            </w:r>
          </w:p>
        </w:tc>
        <w:tc>
          <w:tcPr>
            <w:tcW w:w="367" w:type="pct"/>
            <w:noWrap/>
            <w:textDirection w:val="btLr"/>
          </w:tcPr>
          <w:p w14:paraId="0C7A9F9B"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333" w:type="pct"/>
            <w:noWrap/>
            <w:textDirection w:val="btLr"/>
          </w:tcPr>
          <w:p w14:paraId="5749A385"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Pr>
                <w:rFonts w:asciiTheme="minorHAnsi" w:eastAsia="Times New Roman" w:hAnsiTheme="minorHAnsi"/>
                <w:iCs/>
                <w:szCs w:val="17"/>
                <w:lang w:eastAsia="en-US"/>
              </w:rPr>
              <w:t>Connectedness</w:t>
            </w:r>
          </w:p>
        </w:tc>
        <w:tc>
          <w:tcPr>
            <w:tcW w:w="363" w:type="pct"/>
            <w:textDirection w:val="btLr"/>
          </w:tcPr>
          <w:p w14:paraId="3F131795"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Pr>
                <w:rFonts w:asciiTheme="minorHAnsi" w:eastAsia="Times New Roman" w:hAnsiTheme="minorHAnsi"/>
                <w:iCs/>
                <w:szCs w:val="17"/>
                <w:lang w:eastAsia="en-US"/>
              </w:rPr>
              <w:t>Protection</w:t>
            </w:r>
          </w:p>
        </w:tc>
        <w:tc>
          <w:tcPr>
            <w:tcW w:w="353" w:type="pct"/>
            <w:textDirection w:val="btLr"/>
          </w:tcPr>
          <w:p w14:paraId="5A7C890B"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p>
        </w:tc>
      </w:tr>
      <w:tr w:rsidR="00390828" w:rsidRPr="00812509" w14:paraId="03A5E55E" w14:textId="77777777" w:rsidTr="00AB5128">
        <w:trPr>
          <w:cnfStyle w:val="100000000000" w:firstRow="1" w:lastRow="0" w:firstColumn="0" w:lastColumn="0" w:oddVBand="0" w:evenVBand="0" w:oddHBand="0" w:evenHBand="0" w:firstRowFirstColumn="0" w:firstRowLastColumn="0" w:lastRowFirstColumn="0" w:lastRowLastColumn="0"/>
          <w:trHeight w:val="284"/>
        </w:trPr>
        <w:tc>
          <w:tcPr>
            <w:tcW w:w="1560" w:type="pct"/>
            <w:tcBorders>
              <w:top w:val="single" w:sz="2" w:space="0" w:color="65C5B4" w:themeColor="accent1"/>
            </w:tcBorders>
          </w:tcPr>
          <w:p w14:paraId="4A09997C" w14:textId="77777777" w:rsidR="00390828" w:rsidRPr="00812509" w:rsidRDefault="00E01BDC" w:rsidP="001A7ED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Safety, Humanitarian and Women’s Empowerment</w:t>
            </w:r>
            <w:r w:rsidR="00B97FF4">
              <w:rPr>
                <w:rFonts w:asciiTheme="minorHAnsi" w:eastAsia="Times New Roman" w:hAnsiTheme="minorHAnsi"/>
                <w:iCs/>
                <w:szCs w:val="17"/>
                <w:lang w:eastAsia="en-US"/>
              </w:rPr>
              <w:t xml:space="preserve"> (SHWE)</w:t>
            </w:r>
          </w:p>
        </w:tc>
        <w:tc>
          <w:tcPr>
            <w:tcW w:w="569" w:type="pct"/>
            <w:tcBorders>
              <w:top w:val="single" w:sz="2" w:space="0" w:color="65C5B4" w:themeColor="accent1"/>
            </w:tcBorders>
          </w:tcPr>
          <w:p w14:paraId="6D51F8CB" w14:textId="77777777" w:rsidR="00390828" w:rsidRPr="00812509" w:rsidRDefault="00390828" w:rsidP="00390828">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w:t>
            </w:r>
            <w:r w:rsidR="00B97FF4">
              <w:rPr>
                <w:rFonts w:asciiTheme="minorHAnsi" w:hAnsiTheme="minorHAnsi" w:cs="Franklin Gothic Book"/>
                <w:color w:val="000000"/>
                <w:szCs w:val="17"/>
              </w:rPr>
              <w:t>65.5m</w:t>
            </w:r>
            <w:r w:rsidRPr="00812509">
              <w:rPr>
                <w:rFonts w:asciiTheme="minorHAnsi" w:hAnsiTheme="minorHAnsi" w:cs="Franklin Gothic Book"/>
                <w:color w:val="000000"/>
                <w:szCs w:val="17"/>
              </w:rPr>
              <w:t xml:space="preserve"> </w:t>
            </w:r>
          </w:p>
          <w:p w14:paraId="7CC28046" w14:textId="77777777" w:rsidR="00390828" w:rsidRPr="00812509" w:rsidRDefault="00390828" w:rsidP="0039082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B97FF4">
              <w:rPr>
                <w:rFonts w:asciiTheme="minorHAnsi" w:eastAsia="Times New Roman" w:hAnsiTheme="minorHAnsi"/>
                <w:iCs/>
                <w:szCs w:val="17"/>
                <w:lang w:eastAsia="en-US"/>
              </w:rPr>
              <w:t>6</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p>
        </w:tc>
        <w:tc>
          <w:tcPr>
            <w:tcW w:w="314" w:type="pct"/>
            <w:tcBorders>
              <w:top w:val="single" w:sz="2" w:space="0" w:color="65C5B4" w:themeColor="accent1"/>
            </w:tcBorders>
            <w:shd w:val="clear" w:color="auto" w:fill="auto"/>
            <w:noWrap/>
          </w:tcPr>
          <w:p w14:paraId="4CBFF970" w14:textId="77777777" w:rsidR="00390828" w:rsidRPr="00B97FF4" w:rsidRDefault="00390828" w:rsidP="00390828">
            <w:pPr>
              <w:keepLines/>
              <w:spacing w:before="40" w:after="40" w:line="200" w:lineRule="atLeast"/>
              <w:jc w:val="center"/>
              <w:rPr>
                <w:rFonts w:asciiTheme="minorHAnsi" w:eastAsia="Times New Roman" w:hAnsiTheme="minorHAnsi"/>
                <w:iCs/>
                <w:szCs w:val="17"/>
                <w:lang w:eastAsia="en-US"/>
              </w:rPr>
            </w:pPr>
            <w:r w:rsidRPr="00B97FF4">
              <w:rPr>
                <w:rFonts w:asciiTheme="minorHAnsi" w:eastAsia="Times New Roman" w:hAnsiTheme="minorHAnsi"/>
                <w:iCs/>
                <w:szCs w:val="17"/>
                <w:lang w:eastAsia="en-US"/>
              </w:rPr>
              <w:t>4</w:t>
            </w:r>
          </w:p>
        </w:tc>
        <w:tc>
          <w:tcPr>
            <w:tcW w:w="325" w:type="pct"/>
            <w:tcBorders>
              <w:top w:val="single" w:sz="2" w:space="0" w:color="65C5B4" w:themeColor="accent1"/>
            </w:tcBorders>
            <w:shd w:val="clear" w:color="auto" w:fill="auto"/>
            <w:noWrap/>
          </w:tcPr>
          <w:p w14:paraId="7BD108D6" w14:textId="77777777" w:rsidR="00390828" w:rsidRPr="00B97FF4" w:rsidRDefault="00B97FF4" w:rsidP="00390828">
            <w:pPr>
              <w:keepLines/>
              <w:spacing w:before="40" w:after="40" w:line="200" w:lineRule="atLeast"/>
              <w:jc w:val="center"/>
              <w:rPr>
                <w:rFonts w:asciiTheme="minorHAnsi" w:eastAsia="Times New Roman" w:hAnsiTheme="minorHAnsi"/>
                <w:iCs/>
                <w:szCs w:val="17"/>
                <w:lang w:eastAsia="en-US"/>
              </w:rPr>
            </w:pPr>
            <w:r w:rsidRPr="00B97FF4">
              <w:rPr>
                <w:rFonts w:asciiTheme="minorHAnsi" w:eastAsia="Times New Roman" w:hAnsiTheme="minorHAnsi"/>
                <w:iCs/>
                <w:szCs w:val="17"/>
                <w:lang w:eastAsia="en-US"/>
              </w:rPr>
              <w:t>4</w:t>
            </w:r>
          </w:p>
        </w:tc>
        <w:tc>
          <w:tcPr>
            <w:tcW w:w="319" w:type="pct"/>
            <w:tcBorders>
              <w:top w:val="single" w:sz="2" w:space="0" w:color="65C5B4" w:themeColor="accent1"/>
            </w:tcBorders>
            <w:shd w:val="clear" w:color="auto" w:fill="auto"/>
            <w:noWrap/>
          </w:tcPr>
          <w:p w14:paraId="1D4D0111" w14:textId="77777777" w:rsidR="00390828" w:rsidRPr="00B97FF4" w:rsidRDefault="00390828" w:rsidP="00390828">
            <w:pPr>
              <w:keepLines/>
              <w:spacing w:before="40" w:after="40" w:line="200" w:lineRule="atLeast"/>
              <w:jc w:val="center"/>
              <w:rPr>
                <w:rFonts w:asciiTheme="minorHAnsi" w:eastAsia="Times New Roman" w:hAnsiTheme="minorHAnsi"/>
                <w:iCs/>
                <w:szCs w:val="17"/>
                <w:lang w:eastAsia="en-US"/>
              </w:rPr>
            </w:pPr>
            <w:r w:rsidRPr="00B97FF4">
              <w:rPr>
                <w:rFonts w:asciiTheme="minorHAnsi" w:eastAsia="Times New Roman" w:hAnsiTheme="minorHAnsi"/>
                <w:iCs/>
                <w:szCs w:val="17"/>
                <w:lang w:eastAsia="en-US"/>
              </w:rPr>
              <w:t>4</w:t>
            </w:r>
          </w:p>
        </w:tc>
        <w:tc>
          <w:tcPr>
            <w:tcW w:w="334" w:type="pct"/>
            <w:tcBorders>
              <w:top w:val="single" w:sz="2" w:space="0" w:color="65C5B4" w:themeColor="accent1"/>
            </w:tcBorders>
            <w:shd w:val="clear" w:color="auto" w:fill="auto"/>
            <w:noWrap/>
          </w:tcPr>
          <w:p w14:paraId="2E2E9E74" w14:textId="77777777" w:rsidR="00390828" w:rsidRPr="00B97FF4" w:rsidRDefault="00B97FF4" w:rsidP="00390828">
            <w:pPr>
              <w:keepLines/>
              <w:spacing w:before="40" w:after="40" w:line="200" w:lineRule="atLeast"/>
              <w:jc w:val="center"/>
              <w:rPr>
                <w:rFonts w:asciiTheme="minorHAnsi" w:eastAsia="Times New Roman" w:hAnsiTheme="minorHAnsi"/>
                <w:iCs/>
                <w:szCs w:val="17"/>
                <w:lang w:eastAsia="en-US"/>
              </w:rPr>
            </w:pPr>
            <w:r w:rsidRPr="00B97FF4">
              <w:rPr>
                <w:rFonts w:asciiTheme="minorHAnsi" w:eastAsia="Times New Roman" w:hAnsiTheme="minorHAnsi"/>
                <w:iCs/>
                <w:szCs w:val="17"/>
                <w:lang w:eastAsia="en-US"/>
              </w:rPr>
              <w:t>5</w:t>
            </w:r>
          </w:p>
        </w:tc>
        <w:tc>
          <w:tcPr>
            <w:tcW w:w="367" w:type="pct"/>
            <w:tcBorders>
              <w:top w:val="single" w:sz="2" w:space="0" w:color="65C5B4" w:themeColor="accent1"/>
            </w:tcBorders>
            <w:shd w:val="clear" w:color="auto" w:fill="auto"/>
            <w:noWrap/>
          </w:tcPr>
          <w:p w14:paraId="4D81813C" w14:textId="77777777" w:rsidR="00390828" w:rsidRPr="00DE10BE" w:rsidRDefault="00B97FF4" w:rsidP="00390828">
            <w:pPr>
              <w:keepLines/>
              <w:spacing w:before="40" w:after="40" w:line="200" w:lineRule="atLeast"/>
              <w:jc w:val="center"/>
              <w:rPr>
                <w:rFonts w:asciiTheme="minorHAnsi" w:eastAsia="Times New Roman" w:hAnsiTheme="minorHAnsi"/>
                <w:iCs/>
                <w:szCs w:val="17"/>
                <w:lang w:eastAsia="en-US"/>
              </w:rPr>
            </w:pPr>
            <w:r w:rsidRPr="00DE10BE">
              <w:rPr>
                <w:rFonts w:asciiTheme="minorHAnsi" w:eastAsia="Times New Roman" w:hAnsiTheme="minorHAnsi"/>
                <w:iCs/>
                <w:szCs w:val="17"/>
                <w:lang w:eastAsia="en-US"/>
              </w:rPr>
              <w:t>4</w:t>
            </w:r>
          </w:p>
        </w:tc>
        <w:tc>
          <w:tcPr>
            <w:tcW w:w="333" w:type="pct"/>
            <w:tcBorders>
              <w:top w:val="single" w:sz="2" w:space="0" w:color="65C5B4" w:themeColor="accent1"/>
            </w:tcBorders>
            <w:shd w:val="clear" w:color="auto" w:fill="auto"/>
            <w:noWrap/>
          </w:tcPr>
          <w:p w14:paraId="7C47C45E" w14:textId="77777777" w:rsidR="00390828" w:rsidRPr="00DE10BE" w:rsidRDefault="00B97FF4" w:rsidP="00390828">
            <w:pPr>
              <w:keepLines/>
              <w:spacing w:before="40" w:after="40" w:line="200" w:lineRule="atLeast"/>
              <w:jc w:val="center"/>
              <w:rPr>
                <w:rFonts w:asciiTheme="minorHAnsi" w:eastAsia="Times New Roman" w:hAnsiTheme="minorHAnsi"/>
                <w:iCs/>
                <w:szCs w:val="17"/>
                <w:lang w:eastAsia="en-US"/>
              </w:rPr>
            </w:pPr>
            <w:r w:rsidRPr="00DE10BE">
              <w:rPr>
                <w:rFonts w:asciiTheme="minorHAnsi" w:eastAsia="Times New Roman" w:hAnsiTheme="minorHAnsi"/>
                <w:iCs/>
                <w:szCs w:val="17"/>
                <w:lang w:eastAsia="en-US"/>
              </w:rPr>
              <w:t>4</w:t>
            </w:r>
          </w:p>
        </w:tc>
        <w:tc>
          <w:tcPr>
            <w:tcW w:w="363" w:type="pct"/>
            <w:tcBorders>
              <w:top w:val="single" w:sz="2" w:space="0" w:color="65C5B4" w:themeColor="accent1"/>
            </w:tcBorders>
            <w:shd w:val="clear" w:color="auto" w:fill="auto"/>
          </w:tcPr>
          <w:p w14:paraId="684547BA" w14:textId="77777777" w:rsidR="00390828" w:rsidRPr="00B97FF4" w:rsidRDefault="00B97FF4" w:rsidP="00390828">
            <w:pPr>
              <w:keepLines/>
              <w:spacing w:before="40" w:after="40" w:line="200" w:lineRule="atLeast"/>
              <w:jc w:val="center"/>
              <w:rPr>
                <w:rFonts w:asciiTheme="minorHAnsi" w:eastAsia="Times New Roman" w:hAnsiTheme="minorHAnsi"/>
                <w:iCs/>
                <w:szCs w:val="17"/>
                <w:lang w:eastAsia="en-US"/>
              </w:rPr>
            </w:pPr>
            <w:r w:rsidRPr="00B97FF4">
              <w:rPr>
                <w:rFonts w:asciiTheme="minorHAnsi" w:eastAsia="Times New Roman" w:hAnsiTheme="minorHAnsi"/>
                <w:iCs/>
                <w:szCs w:val="17"/>
                <w:lang w:eastAsia="en-US"/>
              </w:rPr>
              <w:t>5</w:t>
            </w:r>
          </w:p>
        </w:tc>
        <w:tc>
          <w:tcPr>
            <w:tcW w:w="353" w:type="pct"/>
            <w:shd w:val="clear" w:color="auto" w:fill="auto"/>
          </w:tcPr>
          <w:p w14:paraId="44DD94E5" w14:textId="77777777" w:rsidR="00390828" w:rsidRPr="00812509" w:rsidRDefault="00390828" w:rsidP="00390828">
            <w:pPr>
              <w:keepLines/>
              <w:spacing w:before="40" w:after="40" w:line="200" w:lineRule="atLeast"/>
              <w:jc w:val="center"/>
              <w:rPr>
                <w:rFonts w:asciiTheme="minorHAnsi" w:eastAsia="Times New Roman" w:hAnsiTheme="minorHAnsi"/>
                <w:iCs/>
                <w:szCs w:val="17"/>
                <w:lang w:eastAsia="en-US"/>
              </w:rPr>
            </w:pPr>
          </w:p>
        </w:tc>
      </w:tr>
      <w:tr w:rsidR="00B637DD" w:rsidRPr="00812509" w14:paraId="102D3D95" w14:textId="77777777" w:rsidTr="00AB5128">
        <w:trPr>
          <w:cnfStyle w:val="100000000000" w:firstRow="1" w:lastRow="0" w:firstColumn="0" w:lastColumn="0" w:oddVBand="0" w:evenVBand="0" w:oddHBand="0" w:evenHBand="0" w:firstRowFirstColumn="0" w:firstRowLastColumn="0" w:lastRowFirstColumn="0" w:lastRowLastColumn="0"/>
          <w:trHeight w:val="284"/>
        </w:trPr>
        <w:tc>
          <w:tcPr>
            <w:tcW w:w="1560" w:type="pct"/>
          </w:tcPr>
          <w:p w14:paraId="0E5D0844" w14:textId="77777777" w:rsidR="00B637DD" w:rsidRPr="00812509" w:rsidRDefault="00B637DD" w:rsidP="00390828">
            <w:pPr>
              <w:keepLines/>
              <w:spacing w:before="40" w:after="40" w:line="200" w:lineRule="atLeast"/>
              <w:rPr>
                <w:rFonts w:eastAsia="Times New Roman"/>
                <w:iCs/>
                <w:szCs w:val="17"/>
              </w:rPr>
            </w:pPr>
          </w:p>
        </w:tc>
        <w:tc>
          <w:tcPr>
            <w:tcW w:w="569" w:type="pct"/>
          </w:tcPr>
          <w:p w14:paraId="2212C643" w14:textId="77777777" w:rsidR="00B637DD" w:rsidRPr="00812509" w:rsidRDefault="00B637DD" w:rsidP="00390828">
            <w:pPr>
              <w:autoSpaceDE w:val="0"/>
              <w:autoSpaceDN w:val="0"/>
              <w:adjustRightInd w:val="0"/>
              <w:rPr>
                <w:rFonts w:cs="Franklin Gothic Book"/>
                <w:color w:val="000000"/>
                <w:szCs w:val="17"/>
              </w:rPr>
            </w:pPr>
          </w:p>
        </w:tc>
        <w:tc>
          <w:tcPr>
            <w:tcW w:w="314" w:type="pct"/>
            <w:shd w:val="clear" w:color="auto" w:fill="auto"/>
            <w:noWrap/>
          </w:tcPr>
          <w:p w14:paraId="454CBC99" w14:textId="77777777" w:rsidR="00B637DD" w:rsidRPr="00812509" w:rsidRDefault="00B637DD" w:rsidP="00390828">
            <w:pPr>
              <w:keepLines/>
              <w:spacing w:before="40" w:after="40" w:line="200" w:lineRule="atLeast"/>
              <w:jc w:val="center"/>
              <w:rPr>
                <w:rFonts w:eastAsia="Times New Roman"/>
                <w:iCs/>
                <w:szCs w:val="17"/>
              </w:rPr>
            </w:pPr>
          </w:p>
        </w:tc>
        <w:tc>
          <w:tcPr>
            <w:tcW w:w="325" w:type="pct"/>
            <w:shd w:val="clear" w:color="auto" w:fill="auto"/>
            <w:noWrap/>
          </w:tcPr>
          <w:p w14:paraId="2BEC25A1" w14:textId="77777777" w:rsidR="00B637DD" w:rsidRPr="00812509" w:rsidRDefault="00B637DD" w:rsidP="00390828">
            <w:pPr>
              <w:keepLines/>
              <w:spacing w:before="40" w:after="40" w:line="200" w:lineRule="atLeast"/>
              <w:jc w:val="center"/>
              <w:rPr>
                <w:rFonts w:eastAsia="Times New Roman"/>
                <w:iCs/>
                <w:szCs w:val="17"/>
              </w:rPr>
            </w:pPr>
          </w:p>
        </w:tc>
        <w:tc>
          <w:tcPr>
            <w:tcW w:w="319" w:type="pct"/>
            <w:shd w:val="clear" w:color="auto" w:fill="auto"/>
            <w:noWrap/>
          </w:tcPr>
          <w:p w14:paraId="1D6C687C" w14:textId="77777777" w:rsidR="00B637DD" w:rsidRPr="00812509" w:rsidRDefault="00B637DD" w:rsidP="00390828">
            <w:pPr>
              <w:keepLines/>
              <w:spacing w:before="40" w:after="40" w:line="200" w:lineRule="atLeast"/>
              <w:jc w:val="center"/>
              <w:rPr>
                <w:rFonts w:eastAsia="Times New Roman"/>
                <w:iCs/>
                <w:szCs w:val="17"/>
              </w:rPr>
            </w:pPr>
          </w:p>
        </w:tc>
        <w:tc>
          <w:tcPr>
            <w:tcW w:w="334" w:type="pct"/>
            <w:shd w:val="clear" w:color="auto" w:fill="auto"/>
            <w:noWrap/>
          </w:tcPr>
          <w:p w14:paraId="62F10C1A" w14:textId="77777777" w:rsidR="00B637DD" w:rsidRPr="00812509" w:rsidRDefault="00B637DD" w:rsidP="00390828">
            <w:pPr>
              <w:keepLines/>
              <w:spacing w:before="40" w:after="40" w:line="200" w:lineRule="atLeast"/>
              <w:jc w:val="center"/>
              <w:rPr>
                <w:rFonts w:eastAsia="Times New Roman"/>
                <w:iCs/>
                <w:szCs w:val="17"/>
              </w:rPr>
            </w:pPr>
          </w:p>
        </w:tc>
        <w:tc>
          <w:tcPr>
            <w:tcW w:w="367" w:type="pct"/>
            <w:shd w:val="clear" w:color="auto" w:fill="auto"/>
            <w:noWrap/>
          </w:tcPr>
          <w:p w14:paraId="546A1DFB" w14:textId="77777777" w:rsidR="00B637DD" w:rsidRPr="00812509" w:rsidRDefault="00B637DD" w:rsidP="00390828">
            <w:pPr>
              <w:keepLines/>
              <w:spacing w:before="40" w:after="40" w:line="200" w:lineRule="atLeast"/>
              <w:jc w:val="center"/>
              <w:rPr>
                <w:rFonts w:eastAsia="Times New Roman"/>
                <w:iCs/>
                <w:szCs w:val="17"/>
              </w:rPr>
            </w:pPr>
          </w:p>
        </w:tc>
        <w:tc>
          <w:tcPr>
            <w:tcW w:w="333" w:type="pct"/>
            <w:shd w:val="clear" w:color="auto" w:fill="auto"/>
            <w:noWrap/>
          </w:tcPr>
          <w:p w14:paraId="060D0C8A" w14:textId="77777777" w:rsidR="00B637DD" w:rsidRDefault="00B637DD" w:rsidP="00390828">
            <w:pPr>
              <w:keepLines/>
              <w:spacing w:before="40" w:after="40" w:line="200" w:lineRule="atLeast"/>
              <w:jc w:val="center"/>
              <w:rPr>
                <w:rFonts w:eastAsia="Times New Roman"/>
                <w:iCs/>
                <w:szCs w:val="17"/>
              </w:rPr>
            </w:pPr>
          </w:p>
        </w:tc>
        <w:tc>
          <w:tcPr>
            <w:tcW w:w="363" w:type="pct"/>
            <w:shd w:val="clear" w:color="auto" w:fill="auto"/>
          </w:tcPr>
          <w:p w14:paraId="3DA6C241" w14:textId="77777777" w:rsidR="00B637DD" w:rsidRDefault="00B637DD" w:rsidP="00390828">
            <w:pPr>
              <w:keepLines/>
              <w:spacing w:before="40" w:after="40" w:line="200" w:lineRule="atLeast"/>
              <w:jc w:val="center"/>
              <w:rPr>
                <w:rFonts w:eastAsia="Times New Roman"/>
                <w:iCs/>
                <w:szCs w:val="17"/>
              </w:rPr>
            </w:pPr>
          </w:p>
        </w:tc>
        <w:tc>
          <w:tcPr>
            <w:tcW w:w="353" w:type="pct"/>
            <w:shd w:val="clear" w:color="auto" w:fill="auto"/>
          </w:tcPr>
          <w:p w14:paraId="41771353" w14:textId="77777777" w:rsidR="00B637DD" w:rsidRPr="00812509" w:rsidRDefault="00B637DD" w:rsidP="00390828">
            <w:pPr>
              <w:keepLines/>
              <w:spacing w:before="40" w:after="40" w:line="200" w:lineRule="atLeast"/>
              <w:jc w:val="center"/>
              <w:rPr>
                <w:rFonts w:eastAsia="Times New Roman"/>
                <w:iCs/>
                <w:szCs w:val="17"/>
              </w:rPr>
            </w:pPr>
          </w:p>
        </w:tc>
      </w:tr>
    </w:tbl>
    <w:p w14:paraId="32A03C38" w14:textId="77777777" w:rsidR="00390828" w:rsidRPr="00D03BF3" w:rsidRDefault="00390828" w:rsidP="00390828">
      <w:pPr>
        <w:pStyle w:val="Heading3"/>
      </w:pPr>
      <w:r w:rsidRPr="00D03BF3">
        <w:lastRenderedPageBreak/>
        <w:t xml:space="preserve">Final </w:t>
      </w:r>
      <w:r w:rsidR="00B927C4">
        <w:t xml:space="preserve">Investment Monitoring Report </w:t>
      </w:r>
      <w:r>
        <w:t xml:space="preserve">ratings </w:t>
      </w:r>
    </w:p>
    <w:tbl>
      <w:tblPr>
        <w:tblStyle w:val="APPR"/>
        <w:tblW w:w="4810" w:type="pct"/>
        <w:tblLook w:val="0020" w:firstRow="1" w:lastRow="0" w:firstColumn="0" w:lastColumn="0" w:noHBand="0" w:noVBand="0"/>
      </w:tblPr>
      <w:tblGrid>
        <w:gridCol w:w="2836"/>
        <w:gridCol w:w="1099"/>
        <w:gridCol w:w="623"/>
        <w:gridCol w:w="640"/>
        <w:gridCol w:w="626"/>
        <w:gridCol w:w="657"/>
        <w:gridCol w:w="718"/>
        <w:gridCol w:w="655"/>
        <w:gridCol w:w="711"/>
        <w:gridCol w:w="707"/>
      </w:tblGrid>
      <w:tr w:rsidR="00390828" w:rsidRPr="00812509" w14:paraId="7C931F39" w14:textId="77777777" w:rsidTr="00AB5128">
        <w:trPr>
          <w:cnfStyle w:val="100000000000" w:firstRow="1" w:lastRow="0" w:firstColumn="0" w:lastColumn="0" w:oddVBand="0" w:evenVBand="0" w:oddHBand="0" w:evenHBand="0" w:firstRowFirstColumn="0" w:firstRowLastColumn="0" w:lastRowFirstColumn="0" w:lastRowLastColumn="0"/>
          <w:trHeight w:val="1505"/>
        </w:trPr>
        <w:tc>
          <w:tcPr>
            <w:tcW w:w="1507" w:type="pct"/>
          </w:tcPr>
          <w:p w14:paraId="483307EF" w14:textId="409BED82"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64384" behindDoc="0" locked="0" layoutInCell="1" allowOverlap="1" wp14:anchorId="7FDB904C" wp14:editId="2AE431CA">
                  <wp:simplePos x="0" y="0"/>
                  <wp:positionH relativeFrom="column">
                    <wp:posOffset>0</wp:posOffset>
                  </wp:positionH>
                  <wp:positionV relativeFrom="paragraph">
                    <wp:posOffset>0</wp:posOffset>
                  </wp:positionV>
                  <wp:extent cx="1857375" cy="228600"/>
                  <wp:effectExtent l="0" t="0" r="9525" b="0"/>
                  <wp:wrapNone/>
                  <wp:docPr id="50" name="Picture 5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D6B">
              <w:rPr>
                <w:rFonts w:asciiTheme="minorHAnsi" w:eastAsia="Times New Roman" w:hAnsiTheme="minorHAnsi"/>
                <w:iCs/>
                <w:szCs w:val="17"/>
                <w:lang w:eastAsia="en-US"/>
              </w:rPr>
              <w:t>Investment name</w:t>
            </w:r>
          </w:p>
        </w:tc>
        <w:tc>
          <w:tcPr>
            <w:tcW w:w="578" w:type="pct"/>
            <w:textDirection w:val="btLr"/>
          </w:tcPr>
          <w:p w14:paraId="68C442A0"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319" w:type="pct"/>
            <w:noWrap/>
            <w:textDirection w:val="btLr"/>
          </w:tcPr>
          <w:p w14:paraId="4C3CD60E"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Effectiveness </w:t>
            </w:r>
          </w:p>
        </w:tc>
        <w:tc>
          <w:tcPr>
            <w:tcW w:w="331" w:type="pct"/>
            <w:noWrap/>
            <w:textDirection w:val="btLr"/>
          </w:tcPr>
          <w:p w14:paraId="54ECC06F"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23" w:type="pct"/>
            <w:noWrap/>
            <w:textDirection w:val="btLr"/>
          </w:tcPr>
          <w:p w14:paraId="199F4B00"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339" w:type="pct"/>
            <w:noWrap/>
            <w:textDirection w:val="btLr"/>
          </w:tcPr>
          <w:p w14:paraId="0F0D0F54"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Relevance</w:t>
            </w:r>
          </w:p>
        </w:tc>
        <w:tc>
          <w:tcPr>
            <w:tcW w:w="372" w:type="pct"/>
            <w:noWrap/>
            <w:textDirection w:val="btLr"/>
          </w:tcPr>
          <w:p w14:paraId="0311B235"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338" w:type="pct"/>
            <w:noWrap/>
            <w:textDirection w:val="btLr"/>
          </w:tcPr>
          <w:p w14:paraId="58EE4091"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Sustainability</w:t>
            </w:r>
          </w:p>
        </w:tc>
        <w:tc>
          <w:tcPr>
            <w:tcW w:w="368" w:type="pct"/>
            <w:textDirection w:val="btLr"/>
          </w:tcPr>
          <w:p w14:paraId="472FE60D"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p>
        </w:tc>
        <w:tc>
          <w:tcPr>
            <w:tcW w:w="359" w:type="pct"/>
            <w:textDirection w:val="btLr"/>
          </w:tcPr>
          <w:p w14:paraId="1399565E" w14:textId="77777777" w:rsidR="00390828" w:rsidRPr="00812509" w:rsidRDefault="00390828" w:rsidP="00390828">
            <w:pPr>
              <w:keepLines/>
              <w:spacing w:before="80" w:after="80" w:line="200" w:lineRule="atLeast"/>
              <w:rPr>
                <w:rFonts w:asciiTheme="minorHAnsi" w:eastAsia="Times New Roman" w:hAnsiTheme="minorHAnsi"/>
                <w:b w:val="0"/>
                <w:iCs/>
                <w:szCs w:val="17"/>
                <w:lang w:eastAsia="en-US"/>
              </w:rPr>
            </w:pPr>
          </w:p>
        </w:tc>
      </w:tr>
      <w:tr w:rsidR="006A7836" w:rsidRPr="00812509" w14:paraId="76CD3954" w14:textId="77777777" w:rsidTr="00AB5128">
        <w:trPr>
          <w:cnfStyle w:val="100000000000" w:firstRow="1" w:lastRow="0" w:firstColumn="0" w:lastColumn="0" w:oddVBand="0" w:evenVBand="0" w:oddHBand="0" w:evenHBand="0" w:firstRowFirstColumn="0" w:firstRowLastColumn="0" w:lastRowFirstColumn="0" w:lastRowLastColumn="0"/>
          <w:trHeight w:val="284"/>
        </w:trPr>
        <w:tc>
          <w:tcPr>
            <w:tcW w:w="1507" w:type="pct"/>
            <w:tcBorders>
              <w:top w:val="single" w:sz="2" w:space="0" w:color="65C5B4" w:themeColor="accent1"/>
            </w:tcBorders>
          </w:tcPr>
          <w:p w14:paraId="3321CE0F" w14:textId="77777777" w:rsidR="00390828" w:rsidRPr="00C17E15" w:rsidRDefault="00E01BDC" w:rsidP="00390828">
            <w:pPr>
              <w:keepLines/>
              <w:spacing w:before="40" w:after="40" w:line="200" w:lineRule="atLeast"/>
              <w:rPr>
                <w:rFonts w:asciiTheme="minorHAnsi" w:eastAsia="Times New Roman" w:hAnsiTheme="minorHAnsi"/>
                <w:iCs/>
                <w:szCs w:val="17"/>
                <w:highlight w:val="yellow"/>
                <w:lang w:eastAsia="en-US"/>
              </w:rPr>
            </w:pPr>
            <w:r w:rsidRPr="0006740A">
              <w:rPr>
                <w:rFonts w:asciiTheme="minorHAnsi" w:eastAsia="Times New Roman" w:hAnsiTheme="minorHAnsi"/>
                <w:iCs/>
                <w:szCs w:val="17"/>
                <w:lang w:eastAsia="en-US"/>
              </w:rPr>
              <w:t>CARE SPARC</w:t>
            </w:r>
            <w:r w:rsidR="00390828" w:rsidRPr="0006740A">
              <w:rPr>
                <w:rFonts w:asciiTheme="minorHAnsi" w:eastAsia="Times New Roman" w:hAnsiTheme="minorHAnsi"/>
                <w:iCs/>
                <w:szCs w:val="17"/>
                <w:lang w:eastAsia="en-US"/>
              </w:rPr>
              <w:t xml:space="preserve"> </w:t>
            </w:r>
          </w:p>
        </w:tc>
        <w:tc>
          <w:tcPr>
            <w:tcW w:w="578" w:type="pct"/>
            <w:tcBorders>
              <w:top w:val="single" w:sz="2" w:space="0" w:color="65C5B4" w:themeColor="accent1"/>
            </w:tcBorders>
          </w:tcPr>
          <w:p w14:paraId="32EAF522" w14:textId="77777777" w:rsidR="00390828" w:rsidRPr="0006740A" w:rsidRDefault="00390828" w:rsidP="00390828">
            <w:pPr>
              <w:autoSpaceDE w:val="0"/>
              <w:autoSpaceDN w:val="0"/>
              <w:adjustRightInd w:val="0"/>
              <w:rPr>
                <w:rFonts w:asciiTheme="minorHAnsi" w:hAnsiTheme="minorHAnsi" w:cs="Franklin Gothic Book"/>
                <w:color w:val="000000"/>
                <w:szCs w:val="17"/>
              </w:rPr>
            </w:pPr>
            <w:r w:rsidRPr="0006740A">
              <w:rPr>
                <w:rFonts w:asciiTheme="minorHAnsi" w:hAnsiTheme="minorHAnsi" w:cs="Franklin Gothic Book"/>
                <w:color w:val="000000"/>
                <w:szCs w:val="17"/>
              </w:rPr>
              <w:t xml:space="preserve">$25.4m </w:t>
            </w:r>
          </w:p>
          <w:p w14:paraId="7ACAF177" w14:textId="77777777" w:rsidR="00390828" w:rsidRPr="0006740A" w:rsidRDefault="00390828" w:rsidP="00390828">
            <w:pPr>
              <w:keepLines/>
              <w:spacing w:before="40" w:after="40" w:line="200" w:lineRule="atLeast"/>
              <w:rPr>
                <w:rFonts w:asciiTheme="minorHAnsi" w:eastAsia="Times New Roman" w:hAnsiTheme="minorHAnsi"/>
                <w:iCs/>
                <w:szCs w:val="17"/>
                <w:lang w:eastAsia="en-US"/>
              </w:rPr>
            </w:pPr>
            <w:r w:rsidRPr="0006740A">
              <w:rPr>
                <w:rFonts w:asciiTheme="minorHAnsi" w:eastAsia="Times New Roman" w:hAnsiTheme="minorHAnsi"/>
                <w:iCs/>
                <w:szCs w:val="17"/>
                <w:lang w:eastAsia="en-US"/>
              </w:rPr>
              <w:t xml:space="preserve">2015-19 </w:t>
            </w:r>
          </w:p>
        </w:tc>
        <w:tc>
          <w:tcPr>
            <w:tcW w:w="319" w:type="pct"/>
            <w:tcBorders>
              <w:top w:val="single" w:sz="2" w:space="0" w:color="65C5B4" w:themeColor="accent1"/>
            </w:tcBorders>
            <w:shd w:val="clear" w:color="auto" w:fill="auto"/>
            <w:noWrap/>
          </w:tcPr>
          <w:p w14:paraId="569E5372" w14:textId="0251B8D3" w:rsidR="00390828" w:rsidRPr="00DE10BE" w:rsidRDefault="00CD402D" w:rsidP="00390828">
            <w:pPr>
              <w:keepLines/>
              <w:spacing w:before="40" w:after="40" w:line="200" w:lineRule="atLeast"/>
              <w:jc w:val="center"/>
              <w:rPr>
                <w:rFonts w:asciiTheme="minorHAnsi" w:eastAsia="Times New Roman" w:hAnsiTheme="minorHAnsi"/>
                <w:iCs/>
                <w:color w:val="auto"/>
                <w:szCs w:val="17"/>
                <w:lang w:eastAsia="en-US"/>
              </w:rPr>
            </w:pPr>
            <w:r w:rsidRPr="00DE10BE">
              <w:rPr>
                <w:rFonts w:asciiTheme="minorHAnsi" w:eastAsia="Times New Roman" w:hAnsiTheme="minorHAnsi"/>
                <w:iCs/>
                <w:color w:val="auto"/>
                <w:szCs w:val="17"/>
                <w:lang w:eastAsia="en-US"/>
              </w:rPr>
              <w:t>4</w:t>
            </w:r>
          </w:p>
        </w:tc>
        <w:tc>
          <w:tcPr>
            <w:tcW w:w="331" w:type="pct"/>
            <w:tcBorders>
              <w:top w:val="single" w:sz="2" w:space="0" w:color="65C5B4" w:themeColor="accent1"/>
            </w:tcBorders>
            <w:shd w:val="clear" w:color="auto" w:fill="auto"/>
            <w:noWrap/>
          </w:tcPr>
          <w:p w14:paraId="12F427F0" w14:textId="1A2885A7" w:rsidR="00390828" w:rsidRPr="00DE10BE" w:rsidRDefault="00CD402D" w:rsidP="00390828">
            <w:pPr>
              <w:keepLines/>
              <w:spacing w:before="40" w:after="40" w:line="200" w:lineRule="atLeast"/>
              <w:jc w:val="center"/>
              <w:rPr>
                <w:rFonts w:asciiTheme="minorHAnsi" w:eastAsia="Times New Roman" w:hAnsiTheme="minorHAnsi"/>
                <w:iCs/>
                <w:color w:val="auto"/>
                <w:szCs w:val="17"/>
                <w:lang w:eastAsia="en-US"/>
              </w:rPr>
            </w:pPr>
            <w:r w:rsidRPr="00DE10BE">
              <w:rPr>
                <w:rFonts w:asciiTheme="minorHAnsi" w:eastAsia="Times New Roman" w:hAnsiTheme="minorHAnsi"/>
                <w:iCs/>
                <w:color w:val="auto"/>
                <w:szCs w:val="17"/>
                <w:lang w:eastAsia="en-US"/>
              </w:rPr>
              <w:t>4</w:t>
            </w:r>
          </w:p>
        </w:tc>
        <w:tc>
          <w:tcPr>
            <w:tcW w:w="323" w:type="pct"/>
            <w:tcBorders>
              <w:top w:val="single" w:sz="2" w:space="0" w:color="65C5B4" w:themeColor="accent1"/>
            </w:tcBorders>
            <w:shd w:val="clear" w:color="auto" w:fill="auto"/>
            <w:noWrap/>
          </w:tcPr>
          <w:p w14:paraId="3BACEEC4" w14:textId="612CFE00" w:rsidR="00390828" w:rsidRPr="00DE10BE" w:rsidRDefault="00CD402D" w:rsidP="00390828">
            <w:pPr>
              <w:keepLines/>
              <w:spacing w:before="40" w:after="40" w:line="200" w:lineRule="atLeast"/>
              <w:jc w:val="center"/>
              <w:rPr>
                <w:rFonts w:asciiTheme="minorHAnsi" w:eastAsia="Times New Roman" w:hAnsiTheme="minorHAnsi"/>
                <w:iCs/>
                <w:color w:val="auto"/>
                <w:szCs w:val="17"/>
                <w:lang w:eastAsia="en-US"/>
              </w:rPr>
            </w:pPr>
            <w:r w:rsidRPr="00DE10BE">
              <w:rPr>
                <w:rFonts w:asciiTheme="minorHAnsi" w:eastAsia="Times New Roman" w:hAnsiTheme="minorHAnsi"/>
                <w:iCs/>
                <w:color w:val="auto"/>
                <w:szCs w:val="17"/>
                <w:lang w:eastAsia="en-US"/>
              </w:rPr>
              <w:t>3</w:t>
            </w:r>
          </w:p>
        </w:tc>
        <w:tc>
          <w:tcPr>
            <w:tcW w:w="339" w:type="pct"/>
            <w:tcBorders>
              <w:top w:val="single" w:sz="2" w:space="0" w:color="65C5B4" w:themeColor="accent1"/>
            </w:tcBorders>
            <w:shd w:val="clear" w:color="auto" w:fill="auto"/>
            <w:noWrap/>
          </w:tcPr>
          <w:p w14:paraId="7450A11A" w14:textId="0917C8C2" w:rsidR="00390828" w:rsidRPr="00DE10BE" w:rsidRDefault="00CD402D" w:rsidP="00CD402D">
            <w:pPr>
              <w:keepLines/>
              <w:tabs>
                <w:tab w:val="center" w:pos="206"/>
              </w:tabs>
              <w:spacing w:before="40" w:after="40" w:line="200" w:lineRule="atLeast"/>
              <w:rPr>
                <w:rFonts w:asciiTheme="minorHAnsi" w:eastAsia="Times New Roman" w:hAnsiTheme="minorHAnsi"/>
                <w:iCs/>
                <w:color w:val="auto"/>
                <w:szCs w:val="17"/>
                <w:lang w:eastAsia="en-US"/>
              </w:rPr>
            </w:pPr>
            <w:r w:rsidRPr="00DE10BE">
              <w:rPr>
                <w:rFonts w:asciiTheme="minorHAnsi" w:eastAsia="Times New Roman" w:hAnsiTheme="minorHAnsi"/>
                <w:iCs/>
                <w:color w:val="auto"/>
                <w:szCs w:val="17"/>
                <w:lang w:eastAsia="en-US"/>
              </w:rPr>
              <w:tab/>
              <w:t>5</w:t>
            </w:r>
          </w:p>
        </w:tc>
        <w:tc>
          <w:tcPr>
            <w:tcW w:w="372" w:type="pct"/>
            <w:tcBorders>
              <w:top w:val="single" w:sz="2" w:space="0" w:color="65C5B4" w:themeColor="accent1"/>
            </w:tcBorders>
            <w:shd w:val="clear" w:color="auto" w:fill="auto"/>
            <w:noWrap/>
          </w:tcPr>
          <w:p w14:paraId="544162B9" w14:textId="04EE16C9" w:rsidR="00390828" w:rsidRPr="00DE10BE" w:rsidRDefault="00CD402D" w:rsidP="00390828">
            <w:pPr>
              <w:keepLines/>
              <w:spacing w:before="40" w:after="40" w:line="200" w:lineRule="atLeast"/>
              <w:jc w:val="center"/>
              <w:rPr>
                <w:rFonts w:asciiTheme="minorHAnsi" w:eastAsia="Times New Roman" w:hAnsiTheme="minorHAnsi"/>
                <w:iCs/>
                <w:color w:val="auto"/>
                <w:szCs w:val="17"/>
                <w:lang w:eastAsia="en-US"/>
              </w:rPr>
            </w:pPr>
            <w:r w:rsidRPr="00DE10BE">
              <w:rPr>
                <w:rFonts w:asciiTheme="minorHAnsi" w:eastAsia="Times New Roman" w:hAnsiTheme="minorHAnsi"/>
                <w:iCs/>
                <w:color w:val="auto"/>
                <w:szCs w:val="17"/>
                <w:lang w:eastAsia="en-US"/>
              </w:rPr>
              <w:t>4</w:t>
            </w:r>
          </w:p>
        </w:tc>
        <w:tc>
          <w:tcPr>
            <w:tcW w:w="338" w:type="pct"/>
            <w:tcBorders>
              <w:top w:val="single" w:sz="2" w:space="0" w:color="65C5B4" w:themeColor="accent1"/>
            </w:tcBorders>
            <w:shd w:val="clear" w:color="auto" w:fill="auto"/>
            <w:noWrap/>
          </w:tcPr>
          <w:p w14:paraId="6B752BD8" w14:textId="77777777" w:rsidR="00390828" w:rsidRPr="00DE10BE" w:rsidRDefault="0006740A" w:rsidP="00390828">
            <w:pPr>
              <w:keepLines/>
              <w:spacing w:before="40" w:after="40" w:line="200" w:lineRule="atLeast"/>
              <w:jc w:val="center"/>
              <w:rPr>
                <w:rFonts w:asciiTheme="minorHAnsi" w:eastAsia="Times New Roman" w:hAnsiTheme="minorHAnsi"/>
                <w:iCs/>
                <w:color w:val="auto"/>
                <w:szCs w:val="17"/>
                <w:lang w:eastAsia="en-US"/>
              </w:rPr>
            </w:pPr>
            <w:r w:rsidRPr="00DE10BE">
              <w:rPr>
                <w:rFonts w:asciiTheme="minorHAnsi" w:eastAsia="Times New Roman" w:hAnsiTheme="minorHAnsi"/>
                <w:iCs/>
                <w:color w:val="auto"/>
                <w:szCs w:val="17"/>
                <w:lang w:eastAsia="en-US"/>
              </w:rPr>
              <w:t>3</w:t>
            </w:r>
          </w:p>
        </w:tc>
        <w:tc>
          <w:tcPr>
            <w:tcW w:w="368" w:type="pct"/>
            <w:shd w:val="clear" w:color="auto" w:fill="auto"/>
          </w:tcPr>
          <w:p w14:paraId="091FF91B" w14:textId="77777777" w:rsidR="00390828" w:rsidRPr="00812509" w:rsidRDefault="00390828" w:rsidP="00390828">
            <w:pPr>
              <w:keepLines/>
              <w:spacing w:before="40" w:after="40" w:line="200" w:lineRule="atLeast"/>
              <w:jc w:val="center"/>
              <w:rPr>
                <w:rFonts w:asciiTheme="minorHAnsi" w:eastAsia="Times New Roman" w:hAnsiTheme="minorHAnsi"/>
                <w:iCs/>
                <w:szCs w:val="17"/>
                <w:lang w:eastAsia="en-US"/>
              </w:rPr>
            </w:pPr>
          </w:p>
        </w:tc>
        <w:tc>
          <w:tcPr>
            <w:tcW w:w="359" w:type="pct"/>
            <w:shd w:val="clear" w:color="auto" w:fill="auto"/>
          </w:tcPr>
          <w:p w14:paraId="2AA42932" w14:textId="77777777" w:rsidR="00390828" w:rsidRPr="00812509" w:rsidRDefault="00390828" w:rsidP="00390828">
            <w:pPr>
              <w:keepLines/>
              <w:spacing w:before="40" w:after="40" w:line="200" w:lineRule="atLeast"/>
              <w:jc w:val="center"/>
              <w:rPr>
                <w:rFonts w:asciiTheme="minorHAnsi" w:eastAsia="Times New Roman" w:hAnsiTheme="minorHAnsi"/>
                <w:iCs/>
                <w:szCs w:val="17"/>
                <w:lang w:eastAsia="en-US"/>
              </w:rPr>
            </w:pPr>
          </w:p>
        </w:tc>
      </w:tr>
      <w:tr w:rsidR="00B637DD" w:rsidRPr="00812509" w14:paraId="4E63232A" w14:textId="77777777" w:rsidTr="00AB5128">
        <w:trPr>
          <w:cnfStyle w:val="100000000000" w:firstRow="1" w:lastRow="0" w:firstColumn="0" w:lastColumn="0" w:oddVBand="0" w:evenVBand="0" w:oddHBand="0" w:evenHBand="0" w:firstRowFirstColumn="0" w:firstRowLastColumn="0" w:lastRowFirstColumn="0" w:lastRowLastColumn="0"/>
          <w:trHeight w:val="284"/>
        </w:trPr>
        <w:tc>
          <w:tcPr>
            <w:tcW w:w="1507" w:type="pct"/>
          </w:tcPr>
          <w:p w14:paraId="3A1D475F" w14:textId="77777777" w:rsidR="00B637DD" w:rsidRPr="00812509" w:rsidRDefault="00B637DD" w:rsidP="00390828">
            <w:pPr>
              <w:keepLines/>
              <w:spacing w:before="40" w:after="40" w:line="200" w:lineRule="atLeast"/>
              <w:rPr>
                <w:rFonts w:eastAsia="Times New Roman"/>
                <w:iCs/>
                <w:szCs w:val="17"/>
              </w:rPr>
            </w:pPr>
          </w:p>
        </w:tc>
        <w:tc>
          <w:tcPr>
            <w:tcW w:w="578" w:type="pct"/>
          </w:tcPr>
          <w:p w14:paraId="1047EB18" w14:textId="77777777" w:rsidR="00B637DD" w:rsidRPr="00812509" w:rsidRDefault="00B637DD" w:rsidP="00390828">
            <w:pPr>
              <w:autoSpaceDE w:val="0"/>
              <w:autoSpaceDN w:val="0"/>
              <w:adjustRightInd w:val="0"/>
              <w:rPr>
                <w:rFonts w:cs="Franklin Gothic Book"/>
                <w:color w:val="000000"/>
                <w:szCs w:val="17"/>
              </w:rPr>
            </w:pPr>
          </w:p>
        </w:tc>
        <w:tc>
          <w:tcPr>
            <w:tcW w:w="319" w:type="pct"/>
            <w:shd w:val="clear" w:color="auto" w:fill="auto"/>
            <w:noWrap/>
          </w:tcPr>
          <w:p w14:paraId="3212BA8E" w14:textId="77777777" w:rsidR="00B637DD" w:rsidRPr="00812509" w:rsidRDefault="00B637DD" w:rsidP="00390828">
            <w:pPr>
              <w:keepLines/>
              <w:spacing w:before="40" w:after="40" w:line="200" w:lineRule="atLeast"/>
              <w:jc w:val="center"/>
              <w:rPr>
                <w:rFonts w:eastAsia="Times New Roman"/>
                <w:iCs/>
                <w:szCs w:val="17"/>
              </w:rPr>
            </w:pPr>
          </w:p>
        </w:tc>
        <w:tc>
          <w:tcPr>
            <w:tcW w:w="331" w:type="pct"/>
            <w:shd w:val="clear" w:color="auto" w:fill="auto"/>
            <w:noWrap/>
          </w:tcPr>
          <w:p w14:paraId="138BB454" w14:textId="77777777" w:rsidR="00B637DD" w:rsidRPr="00812509" w:rsidRDefault="00B637DD" w:rsidP="00390828">
            <w:pPr>
              <w:keepLines/>
              <w:spacing w:before="40" w:after="40" w:line="200" w:lineRule="atLeast"/>
              <w:jc w:val="center"/>
              <w:rPr>
                <w:rFonts w:eastAsia="Times New Roman"/>
                <w:iCs/>
                <w:szCs w:val="17"/>
              </w:rPr>
            </w:pPr>
          </w:p>
        </w:tc>
        <w:tc>
          <w:tcPr>
            <w:tcW w:w="323" w:type="pct"/>
            <w:shd w:val="clear" w:color="auto" w:fill="auto"/>
            <w:noWrap/>
          </w:tcPr>
          <w:p w14:paraId="7191ACB7" w14:textId="77777777" w:rsidR="00B637DD" w:rsidRPr="00812509" w:rsidRDefault="00B637DD" w:rsidP="00390828">
            <w:pPr>
              <w:keepLines/>
              <w:spacing w:before="40" w:after="40" w:line="200" w:lineRule="atLeast"/>
              <w:jc w:val="center"/>
              <w:rPr>
                <w:rFonts w:eastAsia="Times New Roman"/>
                <w:iCs/>
                <w:szCs w:val="17"/>
              </w:rPr>
            </w:pPr>
          </w:p>
        </w:tc>
        <w:tc>
          <w:tcPr>
            <w:tcW w:w="339" w:type="pct"/>
            <w:shd w:val="clear" w:color="auto" w:fill="auto"/>
            <w:noWrap/>
          </w:tcPr>
          <w:p w14:paraId="7C9BDD24" w14:textId="77777777" w:rsidR="00B637DD" w:rsidRPr="00812509" w:rsidRDefault="00B637DD" w:rsidP="00390828">
            <w:pPr>
              <w:keepLines/>
              <w:spacing w:before="40" w:after="40" w:line="200" w:lineRule="atLeast"/>
              <w:jc w:val="center"/>
              <w:rPr>
                <w:rFonts w:eastAsia="Times New Roman"/>
                <w:iCs/>
                <w:szCs w:val="17"/>
              </w:rPr>
            </w:pPr>
          </w:p>
        </w:tc>
        <w:tc>
          <w:tcPr>
            <w:tcW w:w="372" w:type="pct"/>
            <w:shd w:val="clear" w:color="auto" w:fill="auto"/>
            <w:noWrap/>
          </w:tcPr>
          <w:p w14:paraId="027FA73E" w14:textId="77777777" w:rsidR="00B637DD" w:rsidRPr="00812509" w:rsidRDefault="00B637DD" w:rsidP="00390828">
            <w:pPr>
              <w:keepLines/>
              <w:spacing w:before="40" w:after="40" w:line="200" w:lineRule="atLeast"/>
              <w:jc w:val="center"/>
              <w:rPr>
                <w:rFonts w:eastAsia="Times New Roman"/>
                <w:iCs/>
                <w:szCs w:val="17"/>
              </w:rPr>
            </w:pPr>
          </w:p>
        </w:tc>
        <w:tc>
          <w:tcPr>
            <w:tcW w:w="338" w:type="pct"/>
            <w:shd w:val="clear" w:color="auto" w:fill="auto"/>
            <w:noWrap/>
          </w:tcPr>
          <w:p w14:paraId="763F9E0F" w14:textId="77777777" w:rsidR="00B637DD" w:rsidRPr="00812509" w:rsidRDefault="00B637DD" w:rsidP="00390828">
            <w:pPr>
              <w:keepLines/>
              <w:spacing w:before="40" w:after="40" w:line="200" w:lineRule="atLeast"/>
              <w:jc w:val="center"/>
              <w:rPr>
                <w:rFonts w:eastAsia="Times New Roman"/>
                <w:iCs/>
                <w:szCs w:val="17"/>
              </w:rPr>
            </w:pPr>
          </w:p>
        </w:tc>
        <w:tc>
          <w:tcPr>
            <w:tcW w:w="368" w:type="pct"/>
            <w:shd w:val="clear" w:color="auto" w:fill="auto"/>
          </w:tcPr>
          <w:p w14:paraId="019F898F" w14:textId="77777777" w:rsidR="00B637DD" w:rsidRPr="00812509" w:rsidRDefault="00B637DD" w:rsidP="00390828">
            <w:pPr>
              <w:keepLines/>
              <w:spacing w:before="40" w:after="40" w:line="200" w:lineRule="atLeast"/>
              <w:jc w:val="center"/>
              <w:rPr>
                <w:rFonts w:eastAsia="Times New Roman"/>
                <w:iCs/>
                <w:szCs w:val="17"/>
              </w:rPr>
            </w:pPr>
          </w:p>
        </w:tc>
        <w:tc>
          <w:tcPr>
            <w:tcW w:w="359" w:type="pct"/>
            <w:shd w:val="clear" w:color="auto" w:fill="auto"/>
          </w:tcPr>
          <w:p w14:paraId="606CF0EA" w14:textId="77777777" w:rsidR="00B637DD" w:rsidRPr="00812509" w:rsidRDefault="00B637DD" w:rsidP="00390828">
            <w:pPr>
              <w:keepLines/>
              <w:spacing w:before="40" w:after="40" w:line="200" w:lineRule="atLeast"/>
              <w:jc w:val="center"/>
              <w:rPr>
                <w:rFonts w:eastAsia="Times New Roman"/>
                <w:iCs/>
                <w:szCs w:val="17"/>
              </w:rPr>
            </w:pPr>
          </w:p>
        </w:tc>
      </w:tr>
    </w:tbl>
    <w:p w14:paraId="4C48E59D" w14:textId="77777777" w:rsidR="00390828" w:rsidRPr="00812509" w:rsidRDefault="00390828" w:rsidP="00390828">
      <w:pPr>
        <w:spacing w:before="20" w:after="20" w:line="180" w:lineRule="atLeast"/>
        <w:jc w:val="both"/>
        <w:rPr>
          <w:rFonts w:eastAsia="Times New Roman"/>
          <w:b/>
          <w:sz w:val="14"/>
          <w:szCs w:val="14"/>
        </w:rPr>
      </w:pPr>
    </w:p>
    <w:p w14:paraId="239D8C55" w14:textId="77777777" w:rsidR="00390828" w:rsidRPr="00812509" w:rsidRDefault="00390828" w:rsidP="00390828">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6E1D599D" w14:textId="77777777" w:rsidR="00390828" w:rsidRPr="00B927C4" w:rsidRDefault="00390828" w:rsidP="00390828">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14:paraId="7703D9D6"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69C8E60B"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5B2E2536" w14:textId="77777777" w:rsidR="00390828" w:rsidRPr="00B927C4" w:rsidRDefault="00390828" w:rsidP="00390828">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14:paraId="14567411"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3F5E2482" w14:textId="5ACBE080" w:rsidR="007A5328" w:rsidRPr="0061733A" w:rsidRDefault="00390828" w:rsidP="00BB17E6">
      <w:pPr>
        <w:spacing w:before="20" w:after="20" w:line="180" w:lineRule="atLeast"/>
      </w:pPr>
      <w:r w:rsidRPr="00812509">
        <w:rPr>
          <w:rFonts w:eastAsia="Times New Roman"/>
          <w:b/>
          <w:sz w:val="16"/>
          <w:szCs w:val="14"/>
        </w:rPr>
        <w:t xml:space="preserve"> 2 = Poor; does not satisfy criteria in major areas.  1 = Very poor; does not satisfy criteria in many major area.</w:t>
      </w:r>
    </w:p>
    <w:sectPr w:rsidR="007A5328" w:rsidRPr="0061733A" w:rsidSect="00EC3C2D">
      <w:headerReference w:type="even" r:id="rId21"/>
      <w:headerReference w:type="default" r:id="rId22"/>
      <w:headerReference w:type="first" r:id="rId23"/>
      <w:footerReference w:type="first" r:id="rId24"/>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54B4F" w14:textId="77777777" w:rsidR="00A44DC1" w:rsidRDefault="00A44DC1" w:rsidP="00D37B04">
      <w:r>
        <w:separator/>
      </w:r>
    </w:p>
  </w:endnote>
  <w:endnote w:type="continuationSeparator" w:id="0">
    <w:p w14:paraId="27E555DB" w14:textId="77777777" w:rsidR="00A44DC1" w:rsidRDefault="00A44DC1"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C3C1F" w14:textId="77777777" w:rsidR="00A44DC1" w:rsidRPr="00FC322F" w:rsidRDefault="00A44DC1" w:rsidP="00FC322F">
    <w:pPr>
      <w:pStyle w:val="Footer"/>
      <w:rPr>
        <w:b/>
      </w:rPr>
    </w:pPr>
    <w:r w:rsidRPr="00FC322F">
      <w:rPr>
        <w:b/>
        <w:noProof/>
        <w:lang w:val="en-AU" w:eastAsia="en-AU"/>
      </w:rPr>
      <w:drawing>
        <wp:inline distT="0" distB="0" distL="0" distR="0" wp14:anchorId="528107D4" wp14:editId="3B162BA7">
          <wp:extent cx="108000" cy="87480"/>
          <wp:effectExtent l="0" t="0" r="6350" b="8255"/>
          <wp:docPr id="4" name="Picture 4"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0513462"/>
      <w:docPartObj>
        <w:docPartGallery w:val="Page Numbers (Bottom of Page)"/>
        <w:docPartUnique/>
      </w:docPartObj>
    </w:sdtPr>
    <w:sdtEndPr>
      <w:rPr>
        <w:noProof/>
      </w:rPr>
    </w:sdtEndPr>
    <w:sdtContent>
      <w:p w14:paraId="5A26ADD6" w14:textId="51D3BF59" w:rsidR="00E27554" w:rsidRDefault="00E27554">
        <w:pPr>
          <w:pStyle w:val="Footer"/>
          <w:jc w:val="center"/>
        </w:pPr>
        <w:r>
          <w:fldChar w:fldCharType="begin"/>
        </w:r>
        <w:r>
          <w:instrText xml:space="preserve"> PAGE   \* MERGEFORMAT </w:instrText>
        </w:r>
        <w:r>
          <w:fldChar w:fldCharType="separate"/>
        </w:r>
        <w:r w:rsidR="001E3368">
          <w:rPr>
            <w:noProof/>
          </w:rPr>
          <w:t>1</w:t>
        </w:r>
        <w:r>
          <w:rPr>
            <w:noProof/>
          </w:rPr>
          <w:fldChar w:fldCharType="end"/>
        </w:r>
      </w:p>
    </w:sdtContent>
  </w:sdt>
  <w:p w14:paraId="2E4BC639" w14:textId="52D540E0" w:rsidR="00A44DC1" w:rsidRPr="00FC322F" w:rsidRDefault="00A44DC1"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593016"/>
      <w:docPartObj>
        <w:docPartGallery w:val="Page Numbers (Bottom of Page)"/>
        <w:docPartUnique/>
      </w:docPartObj>
    </w:sdtPr>
    <w:sdtEndPr>
      <w:rPr>
        <w:noProof/>
      </w:rPr>
    </w:sdtEndPr>
    <w:sdtContent>
      <w:p w14:paraId="7A3EF1FF" w14:textId="38DCAB0E" w:rsidR="00E27554" w:rsidRDefault="00E27554">
        <w:pPr>
          <w:pStyle w:val="Footer"/>
          <w:jc w:val="center"/>
        </w:pPr>
        <w:r>
          <w:fldChar w:fldCharType="begin"/>
        </w:r>
        <w:r>
          <w:instrText xml:space="preserve"> PAGE   \* MERGEFORMAT </w:instrText>
        </w:r>
        <w:r>
          <w:fldChar w:fldCharType="separate"/>
        </w:r>
        <w:r w:rsidR="001E3368">
          <w:rPr>
            <w:noProof/>
          </w:rPr>
          <w:t>5</w:t>
        </w:r>
        <w:r>
          <w:rPr>
            <w:noProof/>
          </w:rPr>
          <w:fldChar w:fldCharType="end"/>
        </w:r>
      </w:p>
    </w:sdtContent>
  </w:sdt>
  <w:p w14:paraId="1208A0D6" w14:textId="7D211C13" w:rsidR="00A44DC1" w:rsidRPr="00FC322F" w:rsidRDefault="00A44DC1"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8F6C3" w14:textId="77777777" w:rsidR="00A44DC1" w:rsidRPr="00FC322F" w:rsidRDefault="00A44DC1" w:rsidP="00FC322F">
    <w:pPr>
      <w:pStyle w:val="Footer"/>
      <w:rPr>
        <w:b/>
      </w:rPr>
    </w:pPr>
    <w:r w:rsidRPr="00FC322F">
      <w:rPr>
        <w:b/>
        <w:noProof/>
        <w:lang w:val="en-AU" w:eastAsia="en-AU"/>
      </w:rPr>
      <w:drawing>
        <wp:inline distT="0" distB="0" distL="0" distR="0" wp14:anchorId="28CC2315" wp14:editId="3A6A98F2">
          <wp:extent cx="108000" cy="87480"/>
          <wp:effectExtent l="0" t="0" r="6350" b="8255"/>
          <wp:docPr id="27" name="Picture 27"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803309"/>
      <w:docPartObj>
        <w:docPartGallery w:val="Page Numbers (Bottom of Page)"/>
        <w:docPartUnique/>
      </w:docPartObj>
    </w:sdtPr>
    <w:sdtEndPr>
      <w:rPr>
        <w:noProof/>
      </w:rPr>
    </w:sdtEndPr>
    <w:sdtContent>
      <w:p w14:paraId="48BC129B" w14:textId="4796FDF9" w:rsidR="00E27554" w:rsidRDefault="00E27554">
        <w:pPr>
          <w:pStyle w:val="Footer"/>
          <w:jc w:val="center"/>
        </w:pPr>
        <w:r>
          <w:fldChar w:fldCharType="begin"/>
        </w:r>
        <w:r>
          <w:instrText xml:space="preserve"> PAGE   \* MERGEFORMAT </w:instrText>
        </w:r>
        <w:r>
          <w:fldChar w:fldCharType="separate"/>
        </w:r>
        <w:r w:rsidR="001E3368">
          <w:rPr>
            <w:noProof/>
          </w:rPr>
          <w:t>3</w:t>
        </w:r>
        <w:r>
          <w:rPr>
            <w:noProof/>
          </w:rPr>
          <w:fldChar w:fldCharType="end"/>
        </w:r>
      </w:p>
    </w:sdtContent>
  </w:sdt>
  <w:p w14:paraId="37E70D1F" w14:textId="3036FE07" w:rsidR="00A44DC1" w:rsidRPr="00EC3C2D" w:rsidRDefault="00A44DC1"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2455A" w14:textId="77777777" w:rsidR="00A44DC1" w:rsidRPr="008C5A0E" w:rsidRDefault="00A44DC1" w:rsidP="00D37B04">
      <w:pPr>
        <w:pStyle w:val="Footer"/>
      </w:pPr>
    </w:p>
  </w:footnote>
  <w:footnote w:type="continuationSeparator" w:id="0">
    <w:p w14:paraId="18F23CE4" w14:textId="77777777" w:rsidR="00A44DC1" w:rsidRDefault="00A44DC1"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D258" w14:textId="77777777" w:rsidR="00A44DC1" w:rsidRPr="000854FD" w:rsidRDefault="00A44DC1" w:rsidP="002D5B25">
    <w:pPr>
      <w:pStyle w:val="Header"/>
    </w:pPr>
    <w:r w:rsidRPr="00943730">
      <w:rPr>
        <w:noProof/>
        <w:lang w:val="en-AU" w:eastAsia="en-AU"/>
      </w:rPr>
      <w:drawing>
        <wp:anchor distT="0" distB="0" distL="114300" distR="114300" simplePos="0" relativeHeight="251668480" behindDoc="1" locked="1" layoutInCell="1" allowOverlap="1" wp14:anchorId="0CDF698B" wp14:editId="12528497">
          <wp:simplePos x="0" y="0"/>
          <wp:positionH relativeFrom="page">
            <wp:posOffset>12700</wp:posOffset>
          </wp:positionH>
          <wp:positionV relativeFrom="page">
            <wp:posOffset>0</wp:posOffset>
          </wp:positionV>
          <wp:extent cx="7559040" cy="1069276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5B90" w14:textId="77777777" w:rsidR="00A44DC1" w:rsidRPr="00943730" w:rsidRDefault="00A44DC1" w:rsidP="0013191D">
    <w:pPr>
      <w:pStyle w:val="Header"/>
      <w:ind w:left="0"/>
    </w:pPr>
    <w:r w:rsidRPr="00252C04">
      <w:rPr>
        <w:noProof/>
        <w:lang w:val="en-AU" w:eastAsia="en-AU"/>
      </w:rPr>
      <w:drawing>
        <wp:anchor distT="0" distB="0" distL="114300" distR="114300" simplePos="0" relativeHeight="251669504" behindDoc="1" locked="1" layoutInCell="1" allowOverlap="1" wp14:anchorId="5C958520" wp14:editId="02B55A9E">
          <wp:simplePos x="0" y="0"/>
          <wp:positionH relativeFrom="page">
            <wp:posOffset>5699125</wp:posOffset>
          </wp:positionH>
          <wp:positionV relativeFrom="topMargin">
            <wp:align>bottom</wp:align>
          </wp:positionV>
          <wp:extent cx="1115060" cy="512445"/>
          <wp:effectExtent l="0" t="0" r="8890" b="190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60F7A9BE" wp14:editId="02621700">
          <wp:simplePos x="0" y="0"/>
          <wp:positionH relativeFrom="page">
            <wp:posOffset>713740</wp:posOffset>
          </wp:positionH>
          <wp:positionV relativeFrom="topMargin">
            <wp:align>bottom</wp:align>
          </wp:positionV>
          <wp:extent cx="3166745" cy="55435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2F0DCE82" wp14:editId="081905F1">
          <wp:simplePos x="0" y="0"/>
          <wp:positionH relativeFrom="page">
            <wp:posOffset>12700</wp:posOffset>
          </wp:positionH>
          <wp:positionV relativeFrom="page">
            <wp:posOffset>-68580</wp:posOffset>
          </wp:positionV>
          <wp:extent cx="7559040" cy="10692130"/>
          <wp:effectExtent l="0" t="0" r="381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13B52" w14:textId="77777777" w:rsidR="00A44DC1" w:rsidRPr="000854FD" w:rsidRDefault="00A44DC1" w:rsidP="002D5B25">
    <w:pPr>
      <w:pStyle w:val="Header"/>
    </w:pPr>
    <w:r w:rsidRPr="00943730">
      <w:rPr>
        <w:noProof/>
        <w:lang w:val="en-AU" w:eastAsia="en-AU"/>
      </w:rPr>
      <w:drawing>
        <wp:anchor distT="0" distB="0" distL="114300" distR="114300" simplePos="0" relativeHeight="251662336" behindDoc="1" locked="1" layoutInCell="1" allowOverlap="1" wp14:anchorId="010EF806" wp14:editId="430595BC">
          <wp:simplePos x="0" y="0"/>
          <wp:positionH relativeFrom="page">
            <wp:posOffset>12700</wp:posOffset>
          </wp:positionH>
          <wp:positionV relativeFrom="page">
            <wp:posOffset>0</wp:posOffset>
          </wp:positionV>
          <wp:extent cx="7559040" cy="10692765"/>
          <wp:effectExtent l="0" t="0" r="381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9095" w14:textId="303D84A7" w:rsidR="00A44DC1" w:rsidRPr="00943730" w:rsidRDefault="00A44DC1" w:rsidP="00943730">
    <w:pPr>
      <w:pStyle w:val="Header"/>
    </w:pPr>
    <w:r w:rsidRPr="00943730">
      <w:fldChar w:fldCharType="begin"/>
    </w:r>
    <w:r w:rsidRPr="00943730">
      <w:instrText xml:space="preserve"> DATE  \@ "MMMM yyyy"  \* MERGEFORMAT </w:instrText>
    </w:r>
    <w:r w:rsidRPr="00943730">
      <w:fldChar w:fldCharType="separate"/>
    </w:r>
    <w:r w:rsidR="00794512">
      <w:rPr>
        <w:noProof/>
      </w:rPr>
      <w:t>November 2020</w:t>
    </w:r>
    <w:r w:rsidRPr="00943730">
      <w:fldChar w:fldCharType="end"/>
    </w:r>
    <w:r w:rsidRPr="00252C04">
      <w:rPr>
        <w:noProof/>
        <w:lang w:val="en-AU" w:eastAsia="en-AU"/>
      </w:rPr>
      <w:drawing>
        <wp:anchor distT="0" distB="0" distL="114300" distR="114300" simplePos="0" relativeHeight="251664384" behindDoc="1" locked="1" layoutInCell="1" allowOverlap="1" wp14:anchorId="6A58D863" wp14:editId="484E1F70">
          <wp:simplePos x="0" y="0"/>
          <wp:positionH relativeFrom="page">
            <wp:posOffset>5724525</wp:posOffset>
          </wp:positionH>
          <wp:positionV relativeFrom="page">
            <wp:posOffset>720090</wp:posOffset>
          </wp:positionV>
          <wp:extent cx="1115060" cy="512445"/>
          <wp:effectExtent l="0" t="0" r="8890" b="190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535ECE1D" wp14:editId="7818E0A7">
          <wp:simplePos x="0" y="0"/>
          <wp:positionH relativeFrom="page">
            <wp:posOffset>720090</wp:posOffset>
          </wp:positionH>
          <wp:positionV relativeFrom="page">
            <wp:posOffset>683895</wp:posOffset>
          </wp:positionV>
          <wp:extent cx="3166745" cy="55435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24EFC9AB" wp14:editId="6D6F661E">
          <wp:simplePos x="0" y="0"/>
          <wp:positionH relativeFrom="page">
            <wp:posOffset>12700</wp:posOffset>
          </wp:positionH>
          <wp:positionV relativeFrom="page">
            <wp:posOffset>-69850</wp:posOffset>
          </wp:positionV>
          <wp:extent cx="10585450" cy="10692130"/>
          <wp:effectExtent l="0" t="0" r="635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D0E5" w14:textId="77777777" w:rsidR="00A44DC1" w:rsidRDefault="00A44D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00EA" w14:textId="77777777" w:rsidR="00A44DC1" w:rsidRPr="00333501" w:rsidRDefault="00A44DC1" w:rsidP="0013191D">
    <w:pPr>
      <w:pStyle w:val="Header"/>
    </w:pPr>
    <w:r>
      <w:rPr>
        <w:noProof/>
        <w:lang w:val="en-AU" w:eastAsia="en-AU"/>
      </w:rPr>
      <w:drawing>
        <wp:anchor distT="0" distB="0" distL="114300" distR="114300" simplePos="0" relativeHeight="251672576" behindDoc="1" locked="1" layoutInCell="1" allowOverlap="1" wp14:anchorId="267A5E39" wp14:editId="6D637096">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1C980" w14:textId="77777777" w:rsidR="00A44DC1" w:rsidRPr="003D352D" w:rsidRDefault="00A44DC1" w:rsidP="0013191D">
    <w:pPr>
      <w:pStyle w:val="Header"/>
    </w:pPr>
    <w:r>
      <w:rPr>
        <w:noProof/>
        <w:lang w:val="en-AU" w:eastAsia="en-AU"/>
      </w:rPr>
      <w:drawing>
        <wp:anchor distT="0" distB="0" distL="114300" distR="114300" simplePos="0" relativeHeight="251671552" behindDoc="1" locked="1" layoutInCell="1" allowOverlap="1" wp14:anchorId="4A451C0E" wp14:editId="1AE31591">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5133A8"/>
    <w:multiLevelType w:val="hybridMultilevel"/>
    <w:tmpl w:val="C13A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E531538"/>
    <w:multiLevelType w:val="multilevel"/>
    <w:tmpl w:val="9A148B46"/>
    <w:lvl w:ilvl="0">
      <w:start w:val="2019"/>
      <w:numFmt w:val="decimal"/>
      <w:lvlText w:val="%1"/>
      <w:lvlJc w:val="left"/>
      <w:pPr>
        <w:ind w:left="495" w:hanging="495"/>
      </w:pPr>
      <w:rPr>
        <w:rFonts w:hint="default"/>
      </w:rPr>
    </w:lvl>
    <w:lvl w:ilvl="1">
      <w:start w:val="20"/>
      <w:numFmt w:val="decimal"/>
      <w:lvlText w:val="%1-%2"/>
      <w:lvlJc w:val="left"/>
      <w:pPr>
        <w:ind w:left="855" w:hanging="495"/>
      </w:pPr>
      <w:rPr>
        <w:rFonts w:hint="default"/>
      </w:rPr>
    </w:lvl>
    <w:lvl w:ilvl="2">
      <w:start w:val="1"/>
      <w:numFmt w:val="decimal"/>
      <w:lvlText w:val="%1-%2.%3"/>
      <w:lvlJc w:val="left"/>
      <w:pPr>
        <w:ind w:left="1215" w:hanging="49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6" w15:restartNumberingAfterBreak="0">
    <w:nsid w:val="279E1258"/>
    <w:multiLevelType w:val="hybridMultilevel"/>
    <w:tmpl w:val="5E36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4E02736"/>
    <w:multiLevelType w:val="hybridMultilevel"/>
    <w:tmpl w:val="F9306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2880FB8"/>
    <w:multiLevelType w:val="hybridMultilevel"/>
    <w:tmpl w:val="79C262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44483A55"/>
    <w:multiLevelType w:val="hybridMultilevel"/>
    <w:tmpl w:val="18CA7660"/>
    <w:lvl w:ilvl="0" w:tplc="9F5CFAB6">
      <w:start w:val="1"/>
      <w:numFmt w:val="bullet"/>
      <w:lvlText w:val="•"/>
      <w:lvlJc w:val="left"/>
      <w:pPr>
        <w:tabs>
          <w:tab w:val="num" w:pos="720"/>
        </w:tabs>
        <w:ind w:left="720" w:hanging="360"/>
      </w:pPr>
      <w:rPr>
        <w:rFonts w:ascii="Arial" w:hAnsi="Arial" w:hint="default"/>
      </w:rPr>
    </w:lvl>
    <w:lvl w:ilvl="1" w:tplc="B242FDEC" w:tentative="1">
      <w:start w:val="1"/>
      <w:numFmt w:val="bullet"/>
      <w:lvlText w:val="•"/>
      <w:lvlJc w:val="left"/>
      <w:pPr>
        <w:tabs>
          <w:tab w:val="num" w:pos="1440"/>
        </w:tabs>
        <w:ind w:left="1440" w:hanging="360"/>
      </w:pPr>
      <w:rPr>
        <w:rFonts w:ascii="Arial" w:hAnsi="Arial" w:hint="default"/>
      </w:rPr>
    </w:lvl>
    <w:lvl w:ilvl="2" w:tplc="E1D430AE" w:tentative="1">
      <w:start w:val="1"/>
      <w:numFmt w:val="bullet"/>
      <w:lvlText w:val="•"/>
      <w:lvlJc w:val="left"/>
      <w:pPr>
        <w:tabs>
          <w:tab w:val="num" w:pos="2160"/>
        </w:tabs>
        <w:ind w:left="2160" w:hanging="360"/>
      </w:pPr>
      <w:rPr>
        <w:rFonts w:ascii="Arial" w:hAnsi="Arial" w:hint="default"/>
      </w:rPr>
    </w:lvl>
    <w:lvl w:ilvl="3" w:tplc="0C8A4E22" w:tentative="1">
      <w:start w:val="1"/>
      <w:numFmt w:val="bullet"/>
      <w:lvlText w:val="•"/>
      <w:lvlJc w:val="left"/>
      <w:pPr>
        <w:tabs>
          <w:tab w:val="num" w:pos="2880"/>
        </w:tabs>
        <w:ind w:left="2880" w:hanging="360"/>
      </w:pPr>
      <w:rPr>
        <w:rFonts w:ascii="Arial" w:hAnsi="Arial" w:hint="default"/>
      </w:rPr>
    </w:lvl>
    <w:lvl w:ilvl="4" w:tplc="DFAC8E46" w:tentative="1">
      <w:start w:val="1"/>
      <w:numFmt w:val="bullet"/>
      <w:lvlText w:val="•"/>
      <w:lvlJc w:val="left"/>
      <w:pPr>
        <w:tabs>
          <w:tab w:val="num" w:pos="3600"/>
        </w:tabs>
        <w:ind w:left="3600" w:hanging="360"/>
      </w:pPr>
      <w:rPr>
        <w:rFonts w:ascii="Arial" w:hAnsi="Arial" w:hint="default"/>
      </w:rPr>
    </w:lvl>
    <w:lvl w:ilvl="5" w:tplc="783627A4" w:tentative="1">
      <w:start w:val="1"/>
      <w:numFmt w:val="bullet"/>
      <w:lvlText w:val="•"/>
      <w:lvlJc w:val="left"/>
      <w:pPr>
        <w:tabs>
          <w:tab w:val="num" w:pos="4320"/>
        </w:tabs>
        <w:ind w:left="4320" w:hanging="360"/>
      </w:pPr>
      <w:rPr>
        <w:rFonts w:ascii="Arial" w:hAnsi="Arial" w:hint="default"/>
      </w:rPr>
    </w:lvl>
    <w:lvl w:ilvl="6" w:tplc="0C4C2FDE" w:tentative="1">
      <w:start w:val="1"/>
      <w:numFmt w:val="bullet"/>
      <w:lvlText w:val="•"/>
      <w:lvlJc w:val="left"/>
      <w:pPr>
        <w:tabs>
          <w:tab w:val="num" w:pos="5040"/>
        </w:tabs>
        <w:ind w:left="5040" w:hanging="360"/>
      </w:pPr>
      <w:rPr>
        <w:rFonts w:ascii="Arial" w:hAnsi="Arial" w:hint="default"/>
      </w:rPr>
    </w:lvl>
    <w:lvl w:ilvl="7" w:tplc="AA30793E" w:tentative="1">
      <w:start w:val="1"/>
      <w:numFmt w:val="bullet"/>
      <w:lvlText w:val="•"/>
      <w:lvlJc w:val="left"/>
      <w:pPr>
        <w:tabs>
          <w:tab w:val="num" w:pos="5760"/>
        </w:tabs>
        <w:ind w:left="5760" w:hanging="360"/>
      </w:pPr>
      <w:rPr>
        <w:rFonts w:ascii="Arial" w:hAnsi="Arial" w:hint="default"/>
      </w:rPr>
    </w:lvl>
    <w:lvl w:ilvl="8" w:tplc="AB16E8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4A148B"/>
    <w:multiLevelType w:val="hybridMultilevel"/>
    <w:tmpl w:val="FC90C7DA"/>
    <w:lvl w:ilvl="0" w:tplc="59463C12">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5464FD"/>
    <w:multiLevelType w:val="hybridMultilevel"/>
    <w:tmpl w:val="822440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1741785"/>
    <w:multiLevelType w:val="multilevel"/>
    <w:tmpl w:val="1DA6A938"/>
    <w:lvl w:ilvl="0">
      <w:start w:val="2019"/>
      <w:numFmt w:val="decimal"/>
      <w:lvlText w:val="%1"/>
      <w:lvlJc w:val="left"/>
      <w:pPr>
        <w:ind w:left="495" w:hanging="495"/>
      </w:pPr>
      <w:rPr>
        <w:rFonts w:hint="default"/>
      </w:rPr>
    </w:lvl>
    <w:lvl w:ilvl="1">
      <w:start w:val="20"/>
      <w:numFmt w:val="decimal"/>
      <w:lvlText w:val="%1-%2"/>
      <w:lvlJc w:val="left"/>
      <w:pPr>
        <w:ind w:left="1350" w:hanging="495"/>
      </w:pPr>
      <w:rPr>
        <w:rFonts w:hint="default"/>
      </w:rPr>
    </w:lvl>
    <w:lvl w:ilvl="2">
      <w:start w:val="1"/>
      <w:numFmt w:val="decimal"/>
      <w:lvlText w:val="%1-%2.%3"/>
      <w:lvlJc w:val="left"/>
      <w:pPr>
        <w:ind w:left="2205" w:hanging="495"/>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4995" w:hanging="72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065" w:hanging="1080"/>
      </w:pPr>
      <w:rPr>
        <w:rFonts w:hint="default"/>
      </w:rPr>
    </w:lvl>
    <w:lvl w:ilvl="8">
      <w:start w:val="1"/>
      <w:numFmt w:val="decimal"/>
      <w:lvlText w:val="%1-%2.%3.%4.%5.%6.%7.%8.%9"/>
      <w:lvlJc w:val="left"/>
      <w:pPr>
        <w:ind w:left="7920" w:hanging="1080"/>
      </w:pPr>
      <w:rPr>
        <w:rFonts w:hint="default"/>
      </w:rPr>
    </w:lvl>
  </w:abstractNum>
  <w:abstractNum w:abstractNumId="25" w15:restartNumberingAfterBreak="0">
    <w:nsid w:val="52553D9F"/>
    <w:multiLevelType w:val="multilevel"/>
    <w:tmpl w:val="A6FA45D0"/>
    <w:numStyleLink w:val="BulletsList"/>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D3C1EA7"/>
    <w:multiLevelType w:val="multilevel"/>
    <w:tmpl w:val="A6FA45D0"/>
    <w:numStyleLink w:val="BulletsList"/>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EB873CA"/>
    <w:multiLevelType w:val="hybridMultilevel"/>
    <w:tmpl w:val="DA00A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5C0DA8"/>
    <w:multiLevelType w:val="hybridMultilevel"/>
    <w:tmpl w:val="2E96A20E"/>
    <w:lvl w:ilvl="0" w:tplc="FFFFFFFF">
      <w:start w:val="1"/>
      <w:numFmt w:val="bullet"/>
      <w:lvlText w:val=""/>
      <w:lvlJc w:val="left"/>
      <w:pPr>
        <w:ind w:left="360" w:hanging="360"/>
      </w:pPr>
      <w:rPr>
        <w:rFonts w:ascii="Symbol" w:hAnsi="Symbol" w:hint="default"/>
      </w:rPr>
    </w:lvl>
    <w:lvl w:ilvl="1" w:tplc="3A8A454E">
      <w:start w:val="1"/>
      <w:numFmt w:val="bullet"/>
      <w:lvlText w:val=""/>
      <w:lvlJc w:val="left"/>
      <w:pPr>
        <w:ind w:left="1080" w:hanging="360"/>
      </w:pPr>
      <w:rPr>
        <w:rFonts w:ascii="Symbol" w:hAnsi="Symbol" w:hint="default"/>
        <w:b w:val="0"/>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FC7106B"/>
    <w:multiLevelType w:val="hybridMultilevel"/>
    <w:tmpl w:val="97BEBE14"/>
    <w:lvl w:ilvl="0" w:tplc="77AC8876">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5810E3"/>
    <w:multiLevelType w:val="multilevel"/>
    <w:tmpl w:val="87DA31A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cs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5615908"/>
    <w:multiLevelType w:val="hybridMultilevel"/>
    <w:tmpl w:val="8C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4"/>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6"/>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7"/>
  </w:num>
  <w:num w:numId="23">
    <w:abstractNumId w:val="17"/>
  </w:num>
  <w:num w:numId="24">
    <w:abstractNumId w:val="27"/>
  </w:num>
  <w:num w:numId="25">
    <w:abstractNumId w:val="27"/>
  </w:num>
  <w:num w:numId="26">
    <w:abstractNumId w:val="27"/>
  </w:num>
  <w:num w:numId="27">
    <w:abstractNumId w:val="26"/>
  </w:num>
  <w:num w:numId="28">
    <w:abstractNumId w:val="11"/>
  </w:num>
  <w:num w:numId="29">
    <w:abstractNumId w:val="11"/>
  </w:num>
  <w:num w:numId="30">
    <w:abstractNumId w:val="11"/>
  </w:num>
  <w:num w:numId="31">
    <w:abstractNumId w:val="14"/>
  </w:num>
  <w:num w:numId="32">
    <w:abstractNumId w:val="36"/>
  </w:num>
  <w:num w:numId="33">
    <w:abstractNumId w:val="25"/>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3"/>
  </w:num>
  <w:num w:numId="37">
    <w:abstractNumId w:val="23"/>
  </w:num>
  <w:num w:numId="38">
    <w:abstractNumId w:val="22"/>
  </w:num>
  <w:num w:numId="39">
    <w:abstractNumId w:val="16"/>
  </w:num>
  <w:num w:numId="40">
    <w:abstractNumId w:val="12"/>
  </w:num>
  <w:num w:numId="41">
    <w:abstractNumId w:val="19"/>
  </w:num>
  <w:num w:numId="42">
    <w:abstractNumId w:val="15"/>
  </w:num>
  <w:num w:numId="43">
    <w:abstractNumId w:val="24"/>
  </w:num>
  <w:num w:numId="44">
    <w:abstractNumId w:val="21"/>
  </w:num>
  <w:num w:numId="45">
    <w:abstractNumId w:val="35"/>
  </w:num>
  <w:num w:numId="46">
    <w:abstractNumId w:val="31"/>
  </w:num>
  <w:num w:numId="47">
    <w:abstractNumId w:val="30"/>
  </w:num>
  <w:num w:numId="48">
    <w:abstractNumId w:val="29"/>
  </w:num>
  <w:num w:numId="49">
    <w:abstractNumId w:val="1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4DF8"/>
    <w:rsid w:val="00015783"/>
    <w:rsid w:val="0002080A"/>
    <w:rsid w:val="00022FC9"/>
    <w:rsid w:val="0002782F"/>
    <w:rsid w:val="00035BBF"/>
    <w:rsid w:val="000363CB"/>
    <w:rsid w:val="00040DF1"/>
    <w:rsid w:val="00050806"/>
    <w:rsid w:val="000546D9"/>
    <w:rsid w:val="00054AAA"/>
    <w:rsid w:val="00054E4D"/>
    <w:rsid w:val="00060073"/>
    <w:rsid w:val="000616C6"/>
    <w:rsid w:val="0006740A"/>
    <w:rsid w:val="00071788"/>
    <w:rsid w:val="000763AF"/>
    <w:rsid w:val="0008221F"/>
    <w:rsid w:val="00082DDB"/>
    <w:rsid w:val="000854FD"/>
    <w:rsid w:val="00093D6C"/>
    <w:rsid w:val="000A1E4B"/>
    <w:rsid w:val="000A3256"/>
    <w:rsid w:val="000A7BF1"/>
    <w:rsid w:val="000B37F5"/>
    <w:rsid w:val="000B618F"/>
    <w:rsid w:val="000B694C"/>
    <w:rsid w:val="000C5205"/>
    <w:rsid w:val="000C73B2"/>
    <w:rsid w:val="000D66D6"/>
    <w:rsid w:val="000E0DD8"/>
    <w:rsid w:val="000E2AA5"/>
    <w:rsid w:val="000E3449"/>
    <w:rsid w:val="000F79C9"/>
    <w:rsid w:val="001039E1"/>
    <w:rsid w:val="00104CD6"/>
    <w:rsid w:val="00106984"/>
    <w:rsid w:val="00110C81"/>
    <w:rsid w:val="00112218"/>
    <w:rsid w:val="00113288"/>
    <w:rsid w:val="001214BE"/>
    <w:rsid w:val="00127FA2"/>
    <w:rsid w:val="0013101C"/>
    <w:rsid w:val="0013191D"/>
    <w:rsid w:val="001461D6"/>
    <w:rsid w:val="00152A45"/>
    <w:rsid w:val="001541EA"/>
    <w:rsid w:val="001616D0"/>
    <w:rsid w:val="0017119F"/>
    <w:rsid w:val="00180C8F"/>
    <w:rsid w:val="001907AA"/>
    <w:rsid w:val="0019422C"/>
    <w:rsid w:val="001962F2"/>
    <w:rsid w:val="001A689D"/>
    <w:rsid w:val="001A69EA"/>
    <w:rsid w:val="001A7ED5"/>
    <w:rsid w:val="001B7A29"/>
    <w:rsid w:val="001C50B3"/>
    <w:rsid w:val="001D4AD5"/>
    <w:rsid w:val="001D58CD"/>
    <w:rsid w:val="001D663E"/>
    <w:rsid w:val="001E1DC0"/>
    <w:rsid w:val="001E3368"/>
    <w:rsid w:val="001E6579"/>
    <w:rsid w:val="001F4F4F"/>
    <w:rsid w:val="001F529A"/>
    <w:rsid w:val="001F5C0C"/>
    <w:rsid w:val="00203277"/>
    <w:rsid w:val="00205B2E"/>
    <w:rsid w:val="002068B7"/>
    <w:rsid w:val="00213A46"/>
    <w:rsid w:val="0022240F"/>
    <w:rsid w:val="0022631C"/>
    <w:rsid w:val="00230777"/>
    <w:rsid w:val="00235EAB"/>
    <w:rsid w:val="00252C04"/>
    <w:rsid w:val="0025673B"/>
    <w:rsid w:val="002646C3"/>
    <w:rsid w:val="00265DDB"/>
    <w:rsid w:val="00274583"/>
    <w:rsid w:val="00276A54"/>
    <w:rsid w:val="00284002"/>
    <w:rsid w:val="0028602A"/>
    <w:rsid w:val="00290E42"/>
    <w:rsid w:val="002969F5"/>
    <w:rsid w:val="002A7F56"/>
    <w:rsid w:val="002B5E10"/>
    <w:rsid w:val="002C793D"/>
    <w:rsid w:val="002D5B25"/>
    <w:rsid w:val="002E6498"/>
    <w:rsid w:val="002F4C20"/>
    <w:rsid w:val="002F4F2B"/>
    <w:rsid w:val="002F7448"/>
    <w:rsid w:val="003002C0"/>
    <w:rsid w:val="00301144"/>
    <w:rsid w:val="003031C6"/>
    <w:rsid w:val="00304984"/>
    <w:rsid w:val="00312BF8"/>
    <w:rsid w:val="003148B7"/>
    <w:rsid w:val="00315410"/>
    <w:rsid w:val="003158C3"/>
    <w:rsid w:val="003274CD"/>
    <w:rsid w:val="003307F4"/>
    <w:rsid w:val="00330E12"/>
    <w:rsid w:val="003322B1"/>
    <w:rsid w:val="003332A1"/>
    <w:rsid w:val="00333501"/>
    <w:rsid w:val="003365E4"/>
    <w:rsid w:val="00343D63"/>
    <w:rsid w:val="00345099"/>
    <w:rsid w:val="003457C4"/>
    <w:rsid w:val="00347B29"/>
    <w:rsid w:val="003500CF"/>
    <w:rsid w:val="0035119D"/>
    <w:rsid w:val="00352D5A"/>
    <w:rsid w:val="00356AAB"/>
    <w:rsid w:val="00365569"/>
    <w:rsid w:val="00366D27"/>
    <w:rsid w:val="00366F0D"/>
    <w:rsid w:val="00372FC5"/>
    <w:rsid w:val="0037300F"/>
    <w:rsid w:val="003731C3"/>
    <w:rsid w:val="003753EF"/>
    <w:rsid w:val="00375B88"/>
    <w:rsid w:val="003806FB"/>
    <w:rsid w:val="00384587"/>
    <w:rsid w:val="00384D40"/>
    <w:rsid w:val="00390828"/>
    <w:rsid w:val="0039344A"/>
    <w:rsid w:val="00395163"/>
    <w:rsid w:val="003B4F12"/>
    <w:rsid w:val="003C38D8"/>
    <w:rsid w:val="003D4C6F"/>
    <w:rsid w:val="003F1168"/>
    <w:rsid w:val="003F2041"/>
    <w:rsid w:val="003F734E"/>
    <w:rsid w:val="00402ACC"/>
    <w:rsid w:val="004120EC"/>
    <w:rsid w:val="00417F90"/>
    <w:rsid w:val="0042315C"/>
    <w:rsid w:val="00423F31"/>
    <w:rsid w:val="00430269"/>
    <w:rsid w:val="00431899"/>
    <w:rsid w:val="00432C0E"/>
    <w:rsid w:val="00441285"/>
    <w:rsid w:val="00442055"/>
    <w:rsid w:val="0045199D"/>
    <w:rsid w:val="00452298"/>
    <w:rsid w:val="00464DED"/>
    <w:rsid w:val="00482954"/>
    <w:rsid w:val="00482AE8"/>
    <w:rsid w:val="0048492D"/>
    <w:rsid w:val="00486804"/>
    <w:rsid w:val="00486C13"/>
    <w:rsid w:val="004939C4"/>
    <w:rsid w:val="00494F98"/>
    <w:rsid w:val="004A1BB3"/>
    <w:rsid w:val="004A258D"/>
    <w:rsid w:val="004A359E"/>
    <w:rsid w:val="004A607B"/>
    <w:rsid w:val="004A794E"/>
    <w:rsid w:val="004B1618"/>
    <w:rsid w:val="004B1994"/>
    <w:rsid w:val="004B26D2"/>
    <w:rsid w:val="004B3775"/>
    <w:rsid w:val="004C42B0"/>
    <w:rsid w:val="004C5598"/>
    <w:rsid w:val="004C6342"/>
    <w:rsid w:val="004D0BA0"/>
    <w:rsid w:val="004D44CF"/>
    <w:rsid w:val="004E058F"/>
    <w:rsid w:val="004E3B87"/>
    <w:rsid w:val="004E65E9"/>
    <w:rsid w:val="004F4CBD"/>
    <w:rsid w:val="00501265"/>
    <w:rsid w:val="00505577"/>
    <w:rsid w:val="00510921"/>
    <w:rsid w:val="00510AD3"/>
    <w:rsid w:val="00513348"/>
    <w:rsid w:val="00513AD8"/>
    <w:rsid w:val="005173EA"/>
    <w:rsid w:val="005204D2"/>
    <w:rsid w:val="00522396"/>
    <w:rsid w:val="00523255"/>
    <w:rsid w:val="00533B5D"/>
    <w:rsid w:val="005405E3"/>
    <w:rsid w:val="005408D3"/>
    <w:rsid w:val="00540D00"/>
    <w:rsid w:val="00544153"/>
    <w:rsid w:val="00560C02"/>
    <w:rsid w:val="0056384B"/>
    <w:rsid w:val="005705A5"/>
    <w:rsid w:val="00575065"/>
    <w:rsid w:val="0057508A"/>
    <w:rsid w:val="0058198B"/>
    <w:rsid w:val="0058436B"/>
    <w:rsid w:val="0058470B"/>
    <w:rsid w:val="005868CD"/>
    <w:rsid w:val="00591B5F"/>
    <w:rsid w:val="00594A4D"/>
    <w:rsid w:val="0059754D"/>
    <w:rsid w:val="00597F57"/>
    <w:rsid w:val="005A07B2"/>
    <w:rsid w:val="005A20F6"/>
    <w:rsid w:val="005A219D"/>
    <w:rsid w:val="005A6589"/>
    <w:rsid w:val="005B23D6"/>
    <w:rsid w:val="005B55E8"/>
    <w:rsid w:val="005B78DA"/>
    <w:rsid w:val="005D3655"/>
    <w:rsid w:val="005E4830"/>
    <w:rsid w:val="005F42E6"/>
    <w:rsid w:val="006066AF"/>
    <w:rsid w:val="0061093F"/>
    <w:rsid w:val="0061733A"/>
    <w:rsid w:val="00621ECC"/>
    <w:rsid w:val="00622B86"/>
    <w:rsid w:val="00623BA1"/>
    <w:rsid w:val="006346BC"/>
    <w:rsid w:val="00637325"/>
    <w:rsid w:val="0064669D"/>
    <w:rsid w:val="00651213"/>
    <w:rsid w:val="00657F2A"/>
    <w:rsid w:val="00660121"/>
    <w:rsid w:val="00662F15"/>
    <w:rsid w:val="0066652A"/>
    <w:rsid w:val="00667907"/>
    <w:rsid w:val="00670840"/>
    <w:rsid w:val="006719C3"/>
    <w:rsid w:val="0067516E"/>
    <w:rsid w:val="00676E45"/>
    <w:rsid w:val="0067788C"/>
    <w:rsid w:val="00680522"/>
    <w:rsid w:val="00682167"/>
    <w:rsid w:val="0069113E"/>
    <w:rsid w:val="006A7836"/>
    <w:rsid w:val="006C0468"/>
    <w:rsid w:val="006C42AF"/>
    <w:rsid w:val="006C4A03"/>
    <w:rsid w:val="006C5879"/>
    <w:rsid w:val="006D1C0B"/>
    <w:rsid w:val="006D7DB8"/>
    <w:rsid w:val="006E0BD6"/>
    <w:rsid w:val="006E14F1"/>
    <w:rsid w:val="006E716D"/>
    <w:rsid w:val="006F3067"/>
    <w:rsid w:val="007031B5"/>
    <w:rsid w:val="00711163"/>
    <w:rsid w:val="00711A89"/>
    <w:rsid w:val="00711D8E"/>
    <w:rsid w:val="00712672"/>
    <w:rsid w:val="00715351"/>
    <w:rsid w:val="00720E58"/>
    <w:rsid w:val="00722DA6"/>
    <w:rsid w:val="00723AA6"/>
    <w:rsid w:val="00724E84"/>
    <w:rsid w:val="00734E3F"/>
    <w:rsid w:val="00736985"/>
    <w:rsid w:val="00745DF5"/>
    <w:rsid w:val="007468D5"/>
    <w:rsid w:val="00761549"/>
    <w:rsid w:val="0076250F"/>
    <w:rsid w:val="007706B8"/>
    <w:rsid w:val="00774EE4"/>
    <w:rsid w:val="00777446"/>
    <w:rsid w:val="00780FA5"/>
    <w:rsid w:val="00790171"/>
    <w:rsid w:val="00793849"/>
    <w:rsid w:val="00794512"/>
    <w:rsid w:val="007A43F1"/>
    <w:rsid w:val="007A5328"/>
    <w:rsid w:val="007A6663"/>
    <w:rsid w:val="007B06DC"/>
    <w:rsid w:val="007B59BC"/>
    <w:rsid w:val="007B6200"/>
    <w:rsid w:val="007C0EAC"/>
    <w:rsid w:val="007D1338"/>
    <w:rsid w:val="007E3FF9"/>
    <w:rsid w:val="007E4969"/>
    <w:rsid w:val="007E560A"/>
    <w:rsid w:val="007F01FB"/>
    <w:rsid w:val="007F3395"/>
    <w:rsid w:val="007F51F0"/>
    <w:rsid w:val="00801B9F"/>
    <w:rsid w:val="0080204D"/>
    <w:rsid w:val="00805B9C"/>
    <w:rsid w:val="0080694E"/>
    <w:rsid w:val="00810213"/>
    <w:rsid w:val="008102BE"/>
    <w:rsid w:val="00816D6B"/>
    <w:rsid w:val="00817DE6"/>
    <w:rsid w:val="00823B7F"/>
    <w:rsid w:val="0083052F"/>
    <w:rsid w:val="0083102E"/>
    <w:rsid w:val="00834A83"/>
    <w:rsid w:val="00834DD1"/>
    <w:rsid w:val="00845E8F"/>
    <w:rsid w:val="008475F0"/>
    <w:rsid w:val="0085218E"/>
    <w:rsid w:val="008536A2"/>
    <w:rsid w:val="00854659"/>
    <w:rsid w:val="00854827"/>
    <w:rsid w:val="008557A7"/>
    <w:rsid w:val="00870928"/>
    <w:rsid w:val="00880AFF"/>
    <w:rsid w:val="00885A62"/>
    <w:rsid w:val="0089405C"/>
    <w:rsid w:val="00895F60"/>
    <w:rsid w:val="00897FA2"/>
    <w:rsid w:val="008A1126"/>
    <w:rsid w:val="008A5AFE"/>
    <w:rsid w:val="008A7308"/>
    <w:rsid w:val="008B2F57"/>
    <w:rsid w:val="008C3EE3"/>
    <w:rsid w:val="008C48F9"/>
    <w:rsid w:val="008C5A0E"/>
    <w:rsid w:val="008E0730"/>
    <w:rsid w:val="008E1DAD"/>
    <w:rsid w:val="008E4F5E"/>
    <w:rsid w:val="00907477"/>
    <w:rsid w:val="00925B2D"/>
    <w:rsid w:val="00927172"/>
    <w:rsid w:val="009278D2"/>
    <w:rsid w:val="00935ABC"/>
    <w:rsid w:val="00943730"/>
    <w:rsid w:val="0095053A"/>
    <w:rsid w:val="0095272A"/>
    <w:rsid w:val="00961E72"/>
    <w:rsid w:val="00975CA5"/>
    <w:rsid w:val="00977676"/>
    <w:rsid w:val="00980574"/>
    <w:rsid w:val="00983AED"/>
    <w:rsid w:val="00986590"/>
    <w:rsid w:val="00987CAF"/>
    <w:rsid w:val="00987D53"/>
    <w:rsid w:val="00992C76"/>
    <w:rsid w:val="009969D6"/>
    <w:rsid w:val="009A0908"/>
    <w:rsid w:val="009A3DD2"/>
    <w:rsid w:val="009B143F"/>
    <w:rsid w:val="009B4D3B"/>
    <w:rsid w:val="009B6B3F"/>
    <w:rsid w:val="009B6CC0"/>
    <w:rsid w:val="009B7942"/>
    <w:rsid w:val="009C164A"/>
    <w:rsid w:val="009D57C0"/>
    <w:rsid w:val="009D7407"/>
    <w:rsid w:val="009E0866"/>
    <w:rsid w:val="009E273C"/>
    <w:rsid w:val="009F1350"/>
    <w:rsid w:val="009F6423"/>
    <w:rsid w:val="009F713D"/>
    <w:rsid w:val="00A01BF2"/>
    <w:rsid w:val="00A1210A"/>
    <w:rsid w:val="00A175B3"/>
    <w:rsid w:val="00A20EC8"/>
    <w:rsid w:val="00A24A62"/>
    <w:rsid w:val="00A25E02"/>
    <w:rsid w:val="00A31C9F"/>
    <w:rsid w:val="00A35285"/>
    <w:rsid w:val="00A4144F"/>
    <w:rsid w:val="00A44DC1"/>
    <w:rsid w:val="00A4636A"/>
    <w:rsid w:val="00A61B4D"/>
    <w:rsid w:val="00A63917"/>
    <w:rsid w:val="00A80F95"/>
    <w:rsid w:val="00A840E7"/>
    <w:rsid w:val="00A862A0"/>
    <w:rsid w:val="00A90673"/>
    <w:rsid w:val="00A91795"/>
    <w:rsid w:val="00A940CA"/>
    <w:rsid w:val="00A94266"/>
    <w:rsid w:val="00A96090"/>
    <w:rsid w:val="00A97BF1"/>
    <w:rsid w:val="00AA14F8"/>
    <w:rsid w:val="00AA298A"/>
    <w:rsid w:val="00AA315B"/>
    <w:rsid w:val="00AA46A2"/>
    <w:rsid w:val="00AB376E"/>
    <w:rsid w:val="00AB4389"/>
    <w:rsid w:val="00AB5128"/>
    <w:rsid w:val="00AC164A"/>
    <w:rsid w:val="00AC68FC"/>
    <w:rsid w:val="00AD5647"/>
    <w:rsid w:val="00AD7570"/>
    <w:rsid w:val="00AE448A"/>
    <w:rsid w:val="00AE4696"/>
    <w:rsid w:val="00AF2050"/>
    <w:rsid w:val="00AF3AEB"/>
    <w:rsid w:val="00AF5D7A"/>
    <w:rsid w:val="00AF695D"/>
    <w:rsid w:val="00B029EA"/>
    <w:rsid w:val="00B0385D"/>
    <w:rsid w:val="00B03CA8"/>
    <w:rsid w:val="00B05089"/>
    <w:rsid w:val="00B120ED"/>
    <w:rsid w:val="00B147E3"/>
    <w:rsid w:val="00B16FE3"/>
    <w:rsid w:val="00B33C0A"/>
    <w:rsid w:val="00B37272"/>
    <w:rsid w:val="00B428BE"/>
    <w:rsid w:val="00B50AE2"/>
    <w:rsid w:val="00B55E19"/>
    <w:rsid w:val="00B62511"/>
    <w:rsid w:val="00B637DD"/>
    <w:rsid w:val="00B6495A"/>
    <w:rsid w:val="00B65130"/>
    <w:rsid w:val="00B66722"/>
    <w:rsid w:val="00B70B50"/>
    <w:rsid w:val="00B70C9A"/>
    <w:rsid w:val="00B72EE2"/>
    <w:rsid w:val="00B73C63"/>
    <w:rsid w:val="00B868B5"/>
    <w:rsid w:val="00B927C4"/>
    <w:rsid w:val="00B94758"/>
    <w:rsid w:val="00B9717F"/>
    <w:rsid w:val="00B97FF4"/>
    <w:rsid w:val="00BA0538"/>
    <w:rsid w:val="00BA4B6D"/>
    <w:rsid w:val="00BA4B8A"/>
    <w:rsid w:val="00BA4E27"/>
    <w:rsid w:val="00BB17E6"/>
    <w:rsid w:val="00BB26C5"/>
    <w:rsid w:val="00BC2F12"/>
    <w:rsid w:val="00BC31BD"/>
    <w:rsid w:val="00BC6893"/>
    <w:rsid w:val="00BD14FC"/>
    <w:rsid w:val="00BD1519"/>
    <w:rsid w:val="00BD1A42"/>
    <w:rsid w:val="00BD2CB3"/>
    <w:rsid w:val="00BD5F3A"/>
    <w:rsid w:val="00BF4DE6"/>
    <w:rsid w:val="00C01E9B"/>
    <w:rsid w:val="00C054B1"/>
    <w:rsid w:val="00C06B13"/>
    <w:rsid w:val="00C10962"/>
    <w:rsid w:val="00C127E7"/>
    <w:rsid w:val="00C17E15"/>
    <w:rsid w:val="00C17EA5"/>
    <w:rsid w:val="00C202E4"/>
    <w:rsid w:val="00C27D25"/>
    <w:rsid w:val="00C32299"/>
    <w:rsid w:val="00C34239"/>
    <w:rsid w:val="00C36A50"/>
    <w:rsid w:val="00C42541"/>
    <w:rsid w:val="00C42CDE"/>
    <w:rsid w:val="00C46456"/>
    <w:rsid w:val="00C5182A"/>
    <w:rsid w:val="00C51DBD"/>
    <w:rsid w:val="00C55106"/>
    <w:rsid w:val="00C602EA"/>
    <w:rsid w:val="00C63EE9"/>
    <w:rsid w:val="00C641BB"/>
    <w:rsid w:val="00C72E11"/>
    <w:rsid w:val="00C77F89"/>
    <w:rsid w:val="00C86263"/>
    <w:rsid w:val="00C902D8"/>
    <w:rsid w:val="00CA16F3"/>
    <w:rsid w:val="00CA21E8"/>
    <w:rsid w:val="00CA37B1"/>
    <w:rsid w:val="00CA7B44"/>
    <w:rsid w:val="00CB1959"/>
    <w:rsid w:val="00CC2E4B"/>
    <w:rsid w:val="00CC6CFA"/>
    <w:rsid w:val="00CC741B"/>
    <w:rsid w:val="00CD0E4B"/>
    <w:rsid w:val="00CD0F23"/>
    <w:rsid w:val="00CD402D"/>
    <w:rsid w:val="00CE0A1B"/>
    <w:rsid w:val="00CE1264"/>
    <w:rsid w:val="00CE1A4F"/>
    <w:rsid w:val="00CE4C89"/>
    <w:rsid w:val="00CE6006"/>
    <w:rsid w:val="00CF07BA"/>
    <w:rsid w:val="00CF0B92"/>
    <w:rsid w:val="00CF6C83"/>
    <w:rsid w:val="00D00153"/>
    <w:rsid w:val="00D015F4"/>
    <w:rsid w:val="00D0296C"/>
    <w:rsid w:val="00D02A8D"/>
    <w:rsid w:val="00D16695"/>
    <w:rsid w:val="00D22362"/>
    <w:rsid w:val="00D32D6F"/>
    <w:rsid w:val="00D37560"/>
    <w:rsid w:val="00D37B04"/>
    <w:rsid w:val="00D42D93"/>
    <w:rsid w:val="00D522B7"/>
    <w:rsid w:val="00D540C6"/>
    <w:rsid w:val="00D6075A"/>
    <w:rsid w:val="00D64BD1"/>
    <w:rsid w:val="00D65749"/>
    <w:rsid w:val="00D66E75"/>
    <w:rsid w:val="00D679DC"/>
    <w:rsid w:val="00D75D4C"/>
    <w:rsid w:val="00D76A5E"/>
    <w:rsid w:val="00D813DF"/>
    <w:rsid w:val="00D92254"/>
    <w:rsid w:val="00D93BC6"/>
    <w:rsid w:val="00DA04D5"/>
    <w:rsid w:val="00DA2DD4"/>
    <w:rsid w:val="00DA2DFD"/>
    <w:rsid w:val="00DA7E33"/>
    <w:rsid w:val="00DB27D9"/>
    <w:rsid w:val="00DE084C"/>
    <w:rsid w:val="00DE10BE"/>
    <w:rsid w:val="00DF1FD3"/>
    <w:rsid w:val="00DF7203"/>
    <w:rsid w:val="00E0049C"/>
    <w:rsid w:val="00E01BDC"/>
    <w:rsid w:val="00E1074D"/>
    <w:rsid w:val="00E11B6D"/>
    <w:rsid w:val="00E13F06"/>
    <w:rsid w:val="00E14F51"/>
    <w:rsid w:val="00E21316"/>
    <w:rsid w:val="00E2357C"/>
    <w:rsid w:val="00E27554"/>
    <w:rsid w:val="00E307D9"/>
    <w:rsid w:val="00E357B7"/>
    <w:rsid w:val="00E53800"/>
    <w:rsid w:val="00E55B1A"/>
    <w:rsid w:val="00E6081F"/>
    <w:rsid w:val="00E655FE"/>
    <w:rsid w:val="00E65E00"/>
    <w:rsid w:val="00E73940"/>
    <w:rsid w:val="00E8296D"/>
    <w:rsid w:val="00E8457B"/>
    <w:rsid w:val="00E9243F"/>
    <w:rsid w:val="00EA04B2"/>
    <w:rsid w:val="00EA20F3"/>
    <w:rsid w:val="00EA75E0"/>
    <w:rsid w:val="00EB398C"/>
    <w:rsid w:val="00EB43D4"/>
    <w:rsid w:val="00EC14E0"/>
    <w:rsid w:val="00EC223B"/>
    <w:rsid w:val="00EC3C2D"/>
    <w:rsid w:val="00EC53BA"/>
    <w:rsid w:val="00ED2831"/>
    <w:rsid w:val="00ED43D1"/>
    <w:rsid w:val="00EE1027"/>
    <w:rsid w:val="00EE25F4"/>
    <w:rsid w:val="00EE483F"/>
    <w:rsid w:val="00EE4EE1"/>
    <w:rsid w:val="00EF1073"/>
    <w:rsid w:val="00EF18A8"/>
    <w:rsid w:val="00EF4574"/>
    <w:rsid w:val="00EF5FB3"/>
    <w:rsid w:val="00F03EAE"/>
    <w:rsid w:val="00F1129F"/>
    <w:rsid w:val="00F16B03"/>
    <w:rsid w:val="00F174F2"/>
    <w:rsid w:val="00F17EC6"/>
    <w:rsid w:val="00F25A93"/>
    <w:rsid w:val="00F2684E"/>
    <w:rsid w:val="00F30087"/>
    <w:rsid w:val="00F366DB"/>
    <w:rsid w:val="00F47DE9"/>
    <w:rsid w:val="00F5404C"/>
    <w:rsid w:val="00F55A42"/>
    <w:rsid w:val="00F57393"/>
    <w:rsid w:val="00F617F9"/>
    <w:rsid w:val="00F62C9D"/>
    <w:rsid w:val="00F729EF"/>
    <w:rsid w:val="00F744A2"/>
    <w:rsid w:val="00F74546"/>
    <w:rsid w:val="00F77CAE"/>
    <w:rsid w:val="00F82271"/>
    <w:rsid w:val="00F83428"/>
    <w:rsid w:val="00F85329"/>
    <w:rsid w:val="00F8651D"/>
    <w:rsid w:val="00F950F7"/>
    <w:rsid w:val="00F96BB9"/>
    <w:rsid w:val="00FA69AF"/>
    <w:rsid w:val="00FA7833"/>
    <w:rsid w:val="00FB6D8C"/>
    <w:rsid w:val="00FC11B9"/>
    <w:rsid w:val="00FC322F"/>
    <w:rsid w:val="00FD2038"/>
    <w:rsid w:val="00FD43EE"/>
    <w:rsid w:val="00FD5292"/>
    <w:rsid w:val="00FE228B"/>
    <w:rsid w:val="00FE49E6"/>
    <w:rsid w:val="00FE6D51"/>
    <w:rsid w:val="00FE6F2A"/>
    <w:rsid w:val="00FF03EC"/>
    <w:rsid w:val="00FF15D9"/>
    <w:rsid w:val="00FF228F"/>
    <w:rsid w:val="00FF2DE5"/>
    <w:rsid w:val="00FF4990"/>
    <w:rsid w:val="00FF5D3F"/>
    <w:rsid w:val="00FF6D0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7D51923"/>
  <w15:docId w15:val="{62142369-8C3F-4B76-B55C-016B3EC5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AB5128"/>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B5128"/>
    <w:rPr>
      <w:b/>
      <w:caps/>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AB5128"/>
    <w:pPr>
      <w:spacing w:before="0" w:after="0" w:line="240" w:lineRule="exact"/>
      <w:ind w:left="284" w:right="284"/>
    </w:pPr>
    <w:rPr>
      <w:color w:val="auto"/>
    </w:rPr>
  </w:style>
  <w:style w:type="character" w:customStyle="1" w:styleId="FooterChar">
    <w:name w:val="Footer Char"/>
    <w:basedOn w:val="DefaultParagraphFont"/>
    <w:link w:val="Footer"/>
    <w:uiPriority w:val="99"/>
    <w:rsid w:val="00AB5128"/>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AB5128"/>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Bahnschrift Light" w:hAnsi="Bahnschrift Light"/>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paragraph" w:customStyle="1" w:styleId="Default">
    <w:name w:val="Default"/>
    <w:rsid w:val="00C127E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locked/>
    <w:rsid w:val="0041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71440246">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468544225">
      <w:bodyDiv w:val="1"/>
      <w:marLeft w:val="0"/>
      <w:marRight w:val="0"/>
      <w:marTop w:val="0"/>
      <w:marBottom w:val="0"/>
      <w:divBdr>
        <w:top w:val="none" w:sz="0" w:space="0" w:color="auto"/>
        <w:left w:val="none" w:sz="0" w:space="0" w:color="auto"/>
        <w:bottom w:val="none" w:sz="0" w:space="0" w:color="auto"/>
        <w:right w:val="none" w:sz="0" w:space="0" w:color="auto"/>
      </w:divBdr>
    </w:div>
    <w:div w:id="1505776975">
      <w:bodyDiv w:val="1"/>
      <w:marLeft w:val="0"/>
      <w:marRight w:val="0"/>
      <w:marTop w:val="0"/>
      <w:marBottom w:val="0"/>
      <w:divBdr>
        <w:top w:val="none" w:sz="0" w:space="0" w:color="auto"/>
        <w:left w:val="none" w:sz="0" w:space="0" w:color="auto"/>
        <w:bottom w:val="none" w:sz="0" w:space="0" w:color="auto"/>
        <w:right w:val="none" w:sz="0" w:space="0" w:color="auto"/>
      </w:divBdr>
    </w:div>
    <w:div w:id="1550728323">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104663363">
          <w:marLeft w:val="274"/>
          <w:marRight w:val="0"/>
          <w:marTop w:val="120"/>
          <w:marBottom w:val="0"/>
          <w:divBdr>
            <w:top w:val="none" w:sz="0" w:space="0" w:color="auto"/>
            <w:left w:val="none" w:sz="0" w:space="0" w:color="auto"/>
            <w:bottom w:val="none" w:sz="0" w:space="0" w:color="auto"/>
            <w:right w:val="none" w:sz="0" w:space="0" w:color="auto"/>
          </w:divBdr>
        </w:div>
        <w:div w:id="861240672">
          <w:marLeft w:val="274"/>
          <w:marRight w:val="0"/>
          <w:marTop w:val="120"/>
          <w:marBottom w:val="0"/>
          <w:divBdr>
            <w:top w:val="none" w:sz="0" w:space="0" w:color="auto"/>
            <w:left w:val="none" w:sz="0" w:space="0" w:color="auto"/>
            <w:bottom w:val="none" w:sz="0" w:space="0" w:color="auto"/>
            <w:right w:val="none" w:sz="0" w:space="0" w:color="auto"/>
          </w:divBdr>
        </w:div>
      </w:divsChild>
    </w:div>
    <w:div w:id="1849828225">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2.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4B631-7640-4A17-8550-BEE8955DE750}">
  <ds:schemaRefs>
    <ds:schemaRef ds:uri="http://purl.org/dc/dcmitype/"/>
    <ds:schemaRef ds:uri="http://schemas.microsoft.com/office/infopath/2007/PartnerControls"/>
    <ds:schemaRef ds:uri="6b894c73-1921-4299-aefc-49f5a4cb1310"/>
    <ds:schemaRef ds:uri="http://purl.org/dc/elements/1.1/"/>
    <ds:schemaRef ds:uri="http://schemas.microsoft.com/office/2006/metadata/properties"/>
    <ds:schemaRef ds:uri="349e11ad-1311-4134-818c-bb844dbfed54"/>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0094CA7-0975-485E-A3D5-2800BD78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1322</Words>
  <Characters>7892</Characters>
  <Application>Microsoft Office Word</Application>
  <DocSecurity>0</DocSecurity>
  <Lines>383</Lines>
  <Paragraphs>193</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subject/>
  <dc:creator>Hegarty, Vanessa</dc:creator>
  <cp:keywords/>
  <dc:description/>
  <cp:lastModifiedBy>Sydney Carpenter</cp:lastModifiedBy>
  <cp:revision>13</cp:revision>
  <cp:lastPrinted>2020-11-03T04:55:00Z</cp:lastPrinted>
  <dcterms:created xsi:type="dcterms:W3CDTF">2020-11-03T22:54:00Z</dcterms:created>
  <dcterms:modified xsi:type="dcterms:W3CDTF">2020-11-17T22:04:00Z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d74a780c-43fd-4506-bb47-52e8e90f7e8c</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