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AA0B8" w14:textId="310CEC05" w:rsidR="00F2658D" w:rsidRDefault="008C604E" w:rsidP="003A5358">
      <w:pPr>
        <w:pStyle w:val="Title"/>
      </w:pPr>
      <w:bookmarkStart w:id="0" w:name="_GoBack"/>
      <w:bookmarkEnd w:id="0"/>
      <w:r>
        <w:t xml:space="preserve">review of Australia’s </w:t>
      </w:r>
      <w:r w:rsidR="00613E1B">
        <w:t>humanitarian assistance to</w:t>
      </w:r>
      <w:r>
        <w:t xml:space="preserve"> Myanmar</w:t>
      </w:r>
    </w:p>
    <w:p w14:paraId="535BAD7B" w14:textId="5B3B51DE" w:rsidR="004E058F" w:rsidRPr="005F0B8B" w:rsidRDefault="00F2658D" w:rsidP="00F2658D">
      <w:pPr>
        <w:pStyle w:val="Subtitle"/>
        <w:rPr>
          <w:b/>
          <w:noProof/>
          <w:sz w:val="40"/>
        </w:rPr>
      </w:pPr>
      <w:r w:rsidRPr="005F0B8B">
        <w:rPr>
          <w:b/>
          <w:noProof/>
          <w:sz w:val="40"/>
        </w:rPr>
        <w:t xml:space="preserve">Evaluation Plan </w:t>
      </w:r>
      <w:r w:rsidR="008C604E" w:rsidRPr="005F0B8B">
        <w:rPr>
          <w:b/>
          <w:noProof/>
          <w:sz w:val="40"/>
        </w:rPr>
        <w:t xml:space="preserve"> </w:t>
      </w:r>
    </w:p>
    <w:p w14:paraId="7F1B220B" w14:textId="12742816" w:rsidR="00745DF5" w:rsidRDefault="00BA4B6D" w:rsidP="003A5358">
      <w:pPr>
        <w:pStyle w:val="Subtitle"/>
        <w:sectPr w:rsidR="00745DF5" w:rsidSect="0011207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28" w:right="1134" w:bottom="993" w:left="1134" w:header="567" w:footer="567" w:gutter="0"/>
          <w:pgNumType w:fmt="upperLetter"/>
          <w:cols w:space="708"/>
          <w:vAlign w:val="bottom"/>
          <w:titlePg/>
          <w:docGrid w:linePitch="360"/>
        </w:sectPr>
      </w:pPr>
      <w:r>
        <w:fldChar w:fldCharType="begin"/>
      </w:r>
      <w:r>
        <w:instrText xml:space="preserve"> DATE  \@ "MMMM yyyy"  \* MERGEFORMAT </w:instrText>
      </w:r>
      <w:r>
        <w:fldChar w:fldCharType="separate"/>
      </w:r>
      <w:r w:rsidR="00795620">
        <w:rPr>
          <w:noProof/>
        </w:rPr>
        <w:t>March 2019</w:t>
      </w:r>
      <w:r>
        <w:fldChar w:fldCharType="end"/>
      </w:r>
      <w:r w:rsidR="00501EA3">
        <w:t xml:space="preserve"> </w:t>
      </w:r>
    </w:p>
    <w:p w14:paraId="1EF0CAC9" w14:textId="77777777" w:rsidR="004D0AEE" w:rsidRDefault="004D0AEE" w:rsidP="003A5358">
      <w:pPr>
        <w:pStyle w:val="TOCHeading"/>
      </w:pPr>
      <w:r>
        <w:lastRenderedPageBreak/>
        <w:t>Contents</w:t>
      </w:r>
    </w:p>
    <w:p w14:paraId="6D219E62" w14:textId="77777777" w:rsidR="00C377EC" w:rsidRDefault="000B3155">
      <w:pPr>
        <w:pStyle w:val="TOC1"/>
        <w:rPr>
          <w:rFonts w:eastAsiaTheme="minorEastAsia"/>
          <w:b w:val="0"/>
          <w:caps w:val="0"/>
          <w:noProof/>
          <w:color w:val="auto"/>
          <w:sz w:val="24"/>
          <w:szCs w:val="24"/>
          <w:lang w:val="en-US"/>
        </w:rPr>
      </w:pPr>
      <w:r w:rsidRPr="005B583F">
        <w:fldChar w:fldCharType="begin"/>
      </w:r>
      <w:r w:rsidRPr="005B583F">
        <w:instrText xml:space="preserve"> TOC \o "2-2" \h \z \t "Heading 1,1,Heading 1 Numbered,1,Heading 1 small space after,1,Heading 1 Numbered small space after,1" </w:instrText>
      </w:r>
      <w:r w:rsidRPr="005B583F">
        <w:fldChar w:fldCharType="separate"/>
      </w:r>
      <w:hyperlink w:anchor="_Toc480290282" w:history="1">
        <w:r w:rsidR="00C377EC" w:rsidRPr="00527A62">
          <w:rPr>
            <w:rStyle w:val="Hyperlink"/>
            <w:noProof/>
          </w:rPr>
          <w:t>Introduction and Background</w:t>
        </w:r>
        <w:r w:rsidR="00C377EC">
          <w:rPr>
            <w:noProof/>
            <w:webHidden/>
          </w:rPr>
          <w:tab/>
        </w:r>
        <w:r w:rsidR="00C377EC">
          <w:rPr>
            <w:noProof/>
            <w:webHidden/>
          </w:rPr>
          <w:fldChar w:fldCharType="begin"/>
        </w:r>
        <w:r w:rsidR="00C377EC">
          <w:rPr>
            <w:noProof/>
            <w:webHidden/>
          </w:rPr>
          <w:instrText xml:space="preserve"> PAGEREF _Toc480290282 \h </w:instrText>
        </w:r>
        <w:r w:rsidR="00C377EC">
          <w:rPr>
            <w:noProof/>
            <w:webHidden/>
          </w:rPr>
        </w:r>
        <w:r w:rsidR="00C377EC">
          <w:rPr>
            <w:noProof/>
            <w:webHidden/>
          </w:rPr>
          <w:fldChar w:fldCharType="separate"/>
        </w:r>
        <w:r w:rsidR="00C377EC">
          <w:rPr>
            <w:noProof/>
            <w:webHidden/>
          </w:rPr>
          <w:t>2</w:t>
        </w:r>
        <w:r w:rsidR="00C377EC">
          <w:rPr>
            <w:noProof/>
            <w:webHidden/>
          </w:rPr>
          <w:fldChar w:fldCharType="end"/>
        </w:r>
      </w:hyperlink>
    </w:p>
    <w:p w14:paraId="3DC61A4D" w14:textId="77777777" w:rsidR="00C377EC" w:rsidRDefault="00795620">
      <w:pPr>
        <w:pStyle w:val="TOC2"/>
        <w:rPr>
          <w:rFonts w:eastAsiaTheme="minorEastAsia"/>
          <w:noProof/>
          <w:color w:val="auto"/>
          <w:sz w:val="24"/>
          <w:szCs w:val="24"/>
          <w:lang w:val="en-US"/>
        </w:rPr>
      </w:pPr>
      <w:hyperlink w:anchor="_Toc480290283" w:history="1">
        <w:r w:rsidR="00C377EC" w:rsidRPr="00527A62">
          <w:rPr>
            <w:rStyle w:val="Hyperlink"/>
            <w:noProof/>
          </w:rPr>
          <w:t>Introduction</w:t>
        </w:r>
        <w:r w:rsidR="00C377EC">
          <w:rPr>
            <w:noProof/>
            <w:webHidden/>
          </w:rPr>
          <w:tab/>
        </w:r>
        <w:r w:rsidR="00C377EC">
          <w:rPr>
            <w:noProof/>
            <w:webHidden/>
          </w:rPr>
          <w:fldChar w:fldCharType="begin"/>
        </w:r>
        <w:r w:rsidR="00C377EC">
          <w:rPr>
            <w:noProof/>
            <w:webHidden/>
          </w:rPr>
          <w:instrText xml:space="preserve"> PAGEREF _Toc480290283 \h </w:instrText>
        </w:r>
        <w:r w:rsidR="00C377EC">
          <w:rPr>
            <w:noProof/>
            <w:webHidden/>
          </w:rPr>
        </w:r>
        <w:r w:rsidR="00C377EC">
          <w:rPr>
            <w:noProof/>
            <w:webHidden/>
          </w:rPr>
          <w:fldChar w:fldCharType="separate"/>
        </w:r>
        <w:r w:rsidR="00C377EC">
          <w:rPr>
            <w:noProof/>
            <w:webHidden/>
          </w:rPr>
          <w:t>2</w:t>
        </w:r>
        <w:r w:rsidR="00C377EC">
          <w:rPr>
            <w:noProof/>
            <w:webHidden/>
          </w:rPr>
          <w:fldChar w:fldCharType="end"/>
        </w:r>
      </w:hyperlink>
    </w:p>
    <w:p w14:paraId="73EBC9D2" w14:textId="77777777" w:rsidR="00C377EC" w:rsidRDefault="00795620">
      <w:pPr>
        <w:pStyle w:val="TOC2"/>
        <w:rPr>
          <w:rFonts w:eastAsiaTheme="minorEastAsia"/>
          <w:noProof/>
          <w:color w:val="auto"/>
          <w:sz w:val="24"/>
          <w:szCs w:val="24"/>
          <w:lang w:val="en-US"/>
        </w:rPr>
      </w:pPr>
      <w:hyperlink w:anchor="_Toc480290284" w:history="1">
        <w:r w:rsidR="00C377EC" w:rsidRPr="00527A62">
          <w:rPr>
            <w:rStyle w:val="Hyperlink"/>
            <w:noProof/>
          </w:rPr>
          <w:t>Background and rationale</w:t>
        </w:r>
        <w:r w:rsidR="00C377EC">
          <w:rPr>
            <w:noProof/>
            <w:webHidden/>
          </w:rPr>
          <w:tab/>
        </w:r>
        <w:r w:rsidR="00C377EC">
          <w:rPr>
            <w:noProof/>
            <w:webHidden/>
          </w:rPr>
          <w:fldChar w:fldCharType="begin"/>
        </w:r>
        <w:r w:rsidR="00C377EC">
          <w:rPr>
            <w:noProof/>
            <w:webHidden/>
          </w:rPr>
          <w:instrText xml:space="preserve"> PAGEREF _Toc480290284 \h </w:instrText>
        </w:r>
        <w:r w:rsidR="00C377EC">
          <w:rPr>
            <w:noProof/>
            <w:webHidden/>
          </w:rPr>
        </w:r>
        <w:r w:rsidR="00C377EC">
          <w:rPr>
            <w:noProof/>
            <w:webHidden/>
          </w:rPr>
          <w:fldChar w:fldCharType="separate"/>
        </w:r>
        <w:r w:rsidR="00C377EC">
          <w:rPr>
            <w:noProof/>
            <w:webHidden/>
          </w:rPr>
          <w:t>2</w:t>
        </w:r>
        <w:r w:rsidR="00C377EC">
          <w:rPr>
            <w:noProof/>
            <w:webHidden/>
          </w:rPr>
          <w:fldChar w:fldCharType="end"/>
        </w:r>
      </w:hyperlink>
    </w:p>
    <w:p w14:paraId="37AA72ED" w14:textId="77777777" w:rsidR="00C377EC" w:rsidRDefault="00795620">
      <w:pPr>
        <w:pStyle w:val="TOC1"/>
        <w:rPr>
          <w:rFonts w:eastAsiaTheme="minorEastAsia"/>
          <w:b w:val="0"/>
          <w:caps w:val="0"/>
          <w:noProof/>
          <w:color w:val="auto"/>
          <w:sz w:val="24"/>
          <w:szCs w:val="24"/>
          <w:lang w:val="en-US"/>
        </w:rPr>
      </w:pPr>
      <w:hyperlink w:anchor="_Toc480290285" w:history="1">
        <w:r w:rsidR="00C377EC" w:rsidRPr="00527A62">
          <w:rPr>
            <w:rStyle w:val="Hyperlink"/>
            <w:noProof/>
          </w:rPr>
          <w:t>Purpose and scope</w:t>
        </w:r>
        <w:r w:rsidR="00C377EC">
          <w:rPr>
            <w:noProof/>
            <w:webHidden/>
          </w:rPr>
          <w:tab/>
        </w:r>
        <w:r w:rsidR="00C377EC">
          <w:rPr>
            <w:noProof/>
            <w:webHidden/>
          </w:rPr>
          <w:fldChar w:fldCharType="begin"/>
        </w:r>
        <w:r w:rsidR="00C377EC">
          <w:rPr>
            <w:noProof/>
            <w:webHidden/>
          </w:rPr>
          <w:instrText xml:space="preserve"> PAGEREF _Toc480290285 \h </w:instrText>
        </w:r>
        <w:r w:rsidR="00C377EC">
          <w:rPr>
            <w:noProof/>
            <w:webHidden/>
          </w:rPr>
        </w:r>
        <w:r w:rsidR="00C377EC">
          <w:rPr>
            <w:noProof/>
            <w:webHidden/>
          </w:rPr>
          <w:fldChar w:fldCharType="separate"/>
        </w:r>
        <w:r w:rsidR="00C377EC">
          <w:rPr>
            <w:noProof/>
            <w:webHidden/>
          </w:rPr>
          <w:t>4</w:t>
        </w:r>
        <w:r w:rsidR="00C377EC">
          <w:rPr>
            <w:noProof/>
            <w:webHidden/>
          </w:rPr>
          <w:fldChar w:fldCharType="end"/>
        </w:r>
      </w:hyperlink>
    </w:p>
    <w:p w14:paraId="2107CED5" w14:textId="77777777" w:rsidR="00C377EC" w:rsidRDefault="00795620">
      <w:pPr>
        <w:pStyle w:val="TOC2"/>
        <w:rPr>
          <w:rFonts w:eastAsiaTheme="minorEastAsia"/>
          <w:noProof/>
          <w:color w:val="auto"/>
          <w:sz w:val="24"/>
          <w:szCs w:val="24"/>
          <w:lang w:val="en-US"/>
        </w:rPr>
      </w:pPr>
      <w:hyperlink w:anchor="_Toc480290286" w:history="1">
        <w:r w:rsidR="00C377EC" w:rsidRPr="00527A62">
          <w:rPr>
            <w:rStyle w:val="Hyperlink"/>
            <w:noProof/>
          </w:rPr>
          <w:t>Evaluation purpose</w:t>
        </w:r>
        <w:r w:rsidR="00C377EC">
          <w:rPr>
            <w:noProof/>
            <w:webHidden/>
          </w:rPr>
          <w:tab/>
        </w:r>
        <w:r w:rsidR="00C377EC">
          <w:rPr>
            <w:noProof/>
            <w:webHidden/>
          </w:rPr>
          <w:fldChar w:fldCharType="begin"/>
        </w:r>
        <w:r w:rsidR="00C377EC">
          <w:rPr>
            <w:noProof/>
            <w:webHidden/>
          </w:rPr>
          <w:instrText xml:space="preserve"> PAGEREF _Toc480290286 \h </w:instrText>
        </w:r>
        <w:r w:rsidR="00C377EC">
          <w:rPr>
            <w:noProof/>
            <w:webHidden/>
          </w:rPr>
        </w:r>
        <w:r w:rsidR="00C377EC">
          <w:rPr>
            <w:noProof/>
            <w:webHidden/>
          </w:rPr>
          <w:fldChar w:fldCharType="separate"/>
        </w:r>
        <w:r w:rsidR="00C377EC">
          <w:rPr>
            <w:noProof/>
            <w:webHidden/>
          </w:rPr>
          <w:t>4</w:t>
        </w:r>
        <w:r w:rsidR="00C377EC">
          <w:rPr>
            <w:noProof/>
            <w:webHidden/>
          </w:rPr>
          <w:fldChar w:fldCharType="end"/>
        </w:r>
      </w:hyperlink>
    </w:p>
    <w:p w14:paraId="439687F6" w14:textId="77777777" w:rsidR="00C377EC" w:rsidRDefault="00795620">
      <w:pPr>
        <w:pStyle w:val="TOC2"/>
        <w:rPr>
          <w:rFonts w:eastAsiaTheme="minorEastAsia"/>
          <w:noProof/>
          <w:color w:val="auto"/>
          <w:sz w:val="24"/>
          <w:szCs w:val="24"/>
          <w:lang w:val="en-US"/>
        </w:rPr>
      </w:pPr>
      <w:hyperlink w:anchor="_Toc480290287" w:history="1">
        <w:r w:rsidR="00C377EC" w:rsidRPr="00527A62">
          <w:rPr>
            <w:rStyle w:val="Hyperlink"/>
            <w:noProof/>
          </w:rPr>
          <w:t>Evaluation scope</w:t>
        </w:r>
        <w:r w:rsidR="00C377EC">
          <w:rPr>
            <w:noProof/>
            <w:webHidden/>
          </w:rPr>
          <w:tab/>
        </w:r>
        <w:r w:rsidR="00C377EC">
          <w:rPr>
            <w:noProof/>
            <w:webHidden/>
          </w:rPr>
          <w:fldChar w:fldCharType="begin"/>
        </w:r>
        <w:r w:rsidR="00C377EC">
          <w:rPr>
            <w:noProof/>
            <w:webHidden/>
          </w:rPr>
          <w:instrText xml:space="preserve"> PAGEREF _Toc480290287 \h </w:instrText>
        </w:r>
        <w:r w:rsidR="00C377EC">
          <w:rPr>
            <w:noProof/>
            <w:webHidden/>
          </w:rPr>
        </w:r>
        <w:r w:rsidR="00C377EC">
          <w:rPr>
            <w:noProof/>
            <w:webHidden/>
          </w:rPr>
          <w:fldChar w:fldCharType="separate"/>
        </w:r>
        <w:r w:rsidR="00C377EC">
          <w:rPr>
            <w:noProof/>
            <w:webHidden/>
          </w:rPr>
          <w:t>4</w:t>
        </w:r>
        <w:r w:rsidR="00C377EC">
          <w:rPr>
            <w:noProof/>
            <w:webHidden/>
          </w:rPr>
          <w:fldChar w:fldCharType="end"/>
        </w:r>
      </w:hyperlink>
    </w:p>
    <w:p w14:paraId="00EAC642" w14:textId="77777777" w:rsidR="00C377EC" w:rsidRDefault="00795620">
      <w:pPr>
        <w:pStyle w:val="TOC2"/>
        <w:rPr>
          <w:rFonts w:eastAsiaTheme="minorEastAsia"/>
          <w:noProof/>
          <w:color w:val="auto"/>
          <w:sz w:val="24"/>
          <w:szCs w:val="24"/>
          <w:lang w:val="en-US"/>
        </w:rPr>
      </w:pPr>
      <w:hyperlink w:anchor="_Toc480290288" w:history="1">
        <w:r w:rsidR="00C377EC" w:rsidRPr="00527A62">
          <w:rPr>
            <w:rStyle w:val="Hyperlink"/>
            <w:noProof/>
          </w:rPr>
          <w:t>Evaluation use</w:t>
        </w:r>
        <w:r w:rsidR="00C377EC">
          <w:rPr>
            <w:noProof/>
            <w:webHidden/>
          </w:rPr>
          <w:tab/>
        </w:r>
        <w:r w:rsidR="00C377EC">
          <w:rPr>
            <w:noProof/>
            <w:webHidden/>
          </w:rPr>
          <w:fldChar w:fldCharType="begin"/>
        </w:r>
        <w:r w:rsidR="00C377EC">
          <w:rPr>
            <w:noProof/>
            <w:webHidden/>
          </w:rPr>
          <w:instrText xml:space="preserve"> PAGEREF _Toc480290288 \h </w:instrText>
        </w:r>
        <w:r w:rsidR="00C377EC">
          <w:rPr>
            <w:noProof/>
            <w:webHidden/>
          </w:rPr>
        </w:r>
        <w:r w:rsidR="00C377EC">
          <w:rPr>
            <w:noProof/>
            <w:webHidden/>
          </w:rPr>
          <w:fldChar w:fldCharType="separate"/>
        </w:r>
        <w:r w:rsidR="00C377EC">
          <w:rPr>
            <w:noProof/>
            <w:webHidden/>
          </w:rPr>
          <w:t>5</w:t>
        </w:r>
        <w:r w:rsidR="00C377EC">
          <w:rPr>
            <w:noProof/>
            <w:webHidden/>
          </w:rPr>
          <w:fldChar w:fldCharType="end"/>
        </w:r>
      </w:hyperlink>
    </w:p>
    <w:p w14:paraId="49C475F1" w14:textId="77777777" w:rsidR="00C377EC" w:rsidRDefault="00795620">
      <w:pPr>
        <w:pStyle w:val="TOC1"/>
        <w:rPr>
          <w:rFonts w:eastAsiaTheme="minorEastAsia"/>
          <w:b w:val="0"/>
          <w:caps w:val="0"/>
          <w:noProof/>
          <w:color w:val="auto"/>
          <w:sz w:val="24"/>
          <w:szCs w:val="24"/>
          <w:lang w:val="en-US"/>
        </w:rPr>
      </w:pPr>
      <w:hyperlink w:anchor="_Toc480290289" w:history="1">
        <w:r w:rsidR="00C377EC" w:rsidRPr="00527A62">
          <w:rPr>
            <w:rStyle w:val="Hyperlink"/>
            <w:noProof/>
          </w:rPr>
          <w:t>Approach</w:t>
        </w:r>
        <w:r w:rsidR="00C377EC">
          <w:rPr>
            <w:noProof/>
            <w:webHidden/>
          </w:rPr>
          <w:tab/>
        </w:r>
        <w:r w:rsidR="00C377EC">
          <w:rPr>
            <w:noProof/>
            <w:webHidden/>
          </w:rPr>
          <w:fldChar w:fldCharType="begin"/>
        </w:r>
        <w:r w:rsidR="00C377EC">
          <w:rPr>
            <w:noProof/>
            <w:webHidden/>
          </w:rPr>
          <w:instrText xml:space="preserve"> PAGEREF _Toc480290289 \h </w:instrText>
        </w:r>
        <w:r w:rsidR="00C377EC">
          <w:rPr>
            <w:noProof/>
            <w:webHidden/>
          </w:rPr>
        </w:r>
        <w:r w:rsidR="00C377EC">
          <w:rPr>
            <w:noProof/>
            <w:webHidden/>
          </w:rPr>
          <w:fldChar w:fldCharType="separate"/>
        </w:r>
        <w:r w:rsidR="00C377EC">
          <w:rPr>
            <w:noProof/>
            <w:webHidden/>
          </w:rPr>
          <w:t>6</w:t>
        </w:r>
        <w:r w:rsidR="00C377EC">
          <w:rPr>
            <w:noProof/>
            <w:webHidden/>
          </w:rPr>
          <w:fldChar w:fldCharType="end"/>
        </w:r>
      </w:hyperlink>
    </w:p>
    <w:p w14:paraId="10ED7F96" w14:textId="77777777" w:rsidR="00C377EC" w:rsidRDefault="00795620">
      <w:pPr>
        <w:pStyle w:val="TOC2"/>
        <w:rPr>
          <w:rFonts w:eastAsiaTheme="minorEastAsia"/>
          <w:noProof/>
          <w:color w:val="auto"/>
          <w:sz w:val="24"/>
          <w:szCs w:val="24"/>
          <w:lang w:val="en-US"/>
        </w:rPr>
      </w:pPr>
      <w:hyperlink w:anchor="_Toc480290290" w:history="1">
        <w:r w:rsidR="00C377EC" w:rsidRPr="00527A62">
          <w:rPr>
            <w:rStyle w:val="Hyperlink"/>
            <w:noProof/>
          </w:rPr>
          <w:t>Areas of enquiry</w:t>
        </w:r>
        <w:r w:rsidR="00C377EC">
          <w:rPr>
            <w:noProof/>
            <w:webHidden/>
          </w:rPr>
          <w:tab/>
        </w:r>
        <w:r w:rsidR="00C377EC">
          <w:rPr>
            <w:noProof/>
            <w:webHidden/>
          </w:rPr>
          <w:fldChar w:fldCharType="begin"/>
        </w:r>
        <w:r w:rsidR="00C377EC">
          <w:rPr>
            <w:noProof/>
            <w:webHidden/>
          </w:rPr>
          <w:instrText xml:space="preserve"> PAGEREF _Toc480290290 \h </w:instrText>
        </w:r>
        <w:r w:rsidR="00C377EC">
          <w:rPr>
            <w:noProof/>
            <w:webHidden/>
          </w:rPr>
        </w:r>
        <w:r w:rsidR="00C377EC">
          <w:rPr>
            <w:noProof/>
            <w:webHidden/>
          </w:rPr>
          <w:fldChar w:fldCharType="separate"/>
        </w:r>
        <w:r w:rsidR="00C377EC">
          <w:rPr>
            <w:noProof/>
            <w:webHidden/>
          </w:rPr>
          <w:t>6</w:t>
        </w:r>
        <w:r w:rsidR="00C377EC">
          <w:rPr>
            <w:noProof/>
            <w:webHidden/>
          </w:rPr>
          <w:fldChar w:fldCharType="end"/>
        </w:r>
      </w:hyperlink>
    </w:p>
    <w:p w14:paraId="0244650E" w14:textId="77777777" w:rsidR="00C377EC" w:rsidRDefault="00795620">
      <w:pPr>
        <w:pStyle w:val="TOC2"/>
        <w:rPr>
          <w:rFonts w:eastAsiaTheme="minorEastAsia"/>
          <w:noProof/>
          <w:color w:val="auto"/>
          <w:sz w:val="24"/>
          <w:szCs w:val="24"/>
          <w:lang w:val="en-US"/>
        </w:rPr>
      </w:pPr>
      <w:hyperlink w:anchor="_Toc480290291" w:history="1">
        <w:r w:rsidR="00C377EC" w:rsidRPr="00527A62">
          <w:rPr>
            <w:rStyle w:val="Hyperlink"/>
            <w:noProof/>
          </w:rPr>
          <w:t>Methods</w:t>
        </w:r>
        <w:r w:rsidR="00C377EC">
          <w:rPr>
            <w:noProof/>
            <w:webHidden/>
          </w:rPr>
          <w:tab/>
        </w:r>
        <w:r w:rsidR="00C377EC">
          <w:rPr>
            <w:noProof/>
            <w:webHidden/>
          </w:rPr>
          <w:fldChar w:fldCharType="begin"/>
        </w:r>
        <w:r w:rsidR="00C377EC">
          <w:rPr>
            <w:noProof/>
            <w:webHidden/>
          </w:rPr>
          <w:instrText xml:space="preserve"> PAGEREF _Toc480290291 \h </w:instrText>
        </w:r>
        <w:r w:rsidR="00C377EC">
          <w:rPr>
            <w:noProof/>
            <w:webHidden/>
          </w:rPr>
        </w:r>
        <w:r w:rsidR="00C377EC">
          <w:rPr>
            <w:noProof/>
            <w:webHidden/>
          </w:rPr>
          <w:fldChar w:fldCharType="separate"/>
        </w:r>
        <w:r w:rsidR="00C377EC">
          <w:rPr>
            <w:noProof/>
            <w:webHidden/>
          </w:rPr>
          <w:t>6</w:t>
        </w:r>
        <w:r w:rsidR="00C377EC">
          <w:rPr>
            <w:noProof/>
            <w:webHidden/>
          </w:rPr>
          <w:fldChar w:fldCharType="end"/>
        </w:r>
      </w:hyperlink>
    </w:p>
    <w:p w14:paraId="14E5691C" w14:textId="77777777" w:rsidR="00C377EC" w:rsidRDefault="00795620">
      <w:pPr>
        <w:pStyle w:val="TOC2"/>
        <w:rPr>
          <w:rFonts w:eastAsiaTheme="minorEastAsia"/>
          <w:noProof/>
          <w:color w:val="auto"/>
          <w:sz w:val="24"/>
          <w:szCs w:val="24"/>
          <w:lang w:val="en-US"/>
        </w:rPr>
      </w:pPr>
      <w:hyperlink w:anchor="_Toc480290292" w:history="1">
        <w:r w:rsidR="00C377EC" w:rsidRPr="00527A62">
          <w:rPr>
            <w:rStyle w:val="Hyperlink"/>
            <w:noProof/>
          </w:rPr>
          <w:t>Constraints and limitations</w:t>
        </w:r>
        <w:r w:rsidR="00C377EC">
          <w:rPr>
            <w:noProof/>
            <w:webHidden/>
          </w:rPr>
          <w:tab/>
        </w:r>
        <w:r w:rsidR="00C377EC">
          <w:rPr>
            <w:noProof/>
            <w:webHidden/>
          </w:rPr>
          <w:fldChar w:fldCharType="begin"/>
        </w:r>
        <w:r w:rsidR="00C377EC">
          <w:rPr>
            <w:noProof/>
            <w:webHidden/>
          </w:rPr>
          <w:instrText xml:space="preserve"> PAGEREF _Toc480290292 \h </w:instrText>
        </w:r>
        <w:r w:rsidR="00C377EC">
          <w:rPr>
            <w:noProof/>
            <w:webHidden/>
          </w:rPr>
        </w:r>
        <w:r w:rsidR="00C377EC">
          <w:rPr>
            <w:noProof/>
            <w:webHidden/>
          </w:rPr>
          <w:fldChar w:fldCharType="separate"/>
        </w:r>
        <w:r w:rsidR="00C377EC">
          <w:rPr>
            <w:noProof/>
            <w:webHidden/>
          </w:rPr>
          <w:t>8</w:t>
        </w:r>
        <w:r w:rsidR="00C377EC">
          <w:rPr>
            <w:noProof/>
            <w:webHidden/>
          </w:rPr>
          <w:fldChar w:fldCharType="end"/>
        </w:r>
      </w:hyperlink>
    </w:p>
    <w:p w14:paraId="3FFE124B" w14:textId="77777777" w:rsidR="00C377EC" w:rsidRDefault="00795620">
      <w:pPr>
        <w:pStyle w:val="TOC1"/>
        <w:rPr>
          <w:rFonts w:eastAsiaTheme="minorEastAsia"/>
          <w:b w:val="0"/>
          <w:caps w:val="0"/>
          <w:noProof/>
          <w:color w:val="auto"/>
          <w:sz w:val="24"/>
          <w:szCs w:val="24"/>
          <w:lang w:val="en-US"/>
        </w:rPr>
      </w:pPr>
      <w:hyperlink w:anchor="_Toc480290293" w:history="1">
        <w:r w:rsidR="00C377EC" w:rsidRPr="00527A62">
          <w:rPr>
            <w:rStyle w:val="Hyperlink"/>
            <w:noProof/>
          </w:rPr>
          <w:t>Evaluation team and management</w:t>
        </w:r>
        <w:r w:rsidR="00C377EC">
          <w:rPr>
            <w:noProof/>
            <w:webHidden/>
          </w:rPr>
          <w:tab/>
        </w:r>
        <w:r w:rsidR="00C377EC">
          <w:rPr>
            <w:noProof/>
            <w:webHidden/>
          </w:rPr>
          <w:fldChar w:fldCharType="begin"/>
        </w:r>
        <w:r w:rsidR="00C377EC">
          <w:rPr>
            <w:noProof/>
            <w:webHidden/>
          </w:rPr>
          <w:instrText xml:space="preserve"> PAGEREF _Toc480290293 \h </w:instrText>
        </w:r>
        <w:r w:rsidR="00C377EC">
          <w:rPr>
            <w:noProof/>
            <w:webHidden/>
          </w:rPr>
        </w:r>
        <w:r w:rsidR="00C377EC">
          <w:rPr>
            <w:noProof/>
            <w:webHidden/>
          </w:rPr>
          <w:fldChar w:fldCharType="separate"/>
        </w:r>
        <w:r w:rsidR="00C377EC">
          <w:rPr>
            <w:noProof/>
            <w:webHidden/>
          </w:rPr>
          <w:t>10</w:t>
        </w:r>
        <w:r w:rsidR="00C377EC">
          <w:rPr>
            <w:noProof/>
            <w:webHidden/>
          </w:rPr>
          <w:fldChar w:fldCharType="end"/>
        </w:r>
      </w:hyperlink>
    </w:p>
    <w:p w14:paraId="11109DCB" w14:textId="77777777" w:rsidR="00C377EC" w:rsidRDefault="00795620">
      <w:pPr>
        <w:pStyle w:val="TOC2"/>
        <w:rPr>
          <w:rFonts w:eastAsiaTheme="minorEastAsia"/>
          <w:noProof/>
          <w:color w:val="auto"/>
          <w:sz w:val="24"/>
          <w:szCs w:val="24"/>
          <w:lang w:val="en-US"/>
        </w:rPr>
      </w:pPr>
      <w:hyperlink w:anchor="_Toc480290294" w:history="1">
        <w:r w:rsidR="00C377EC" w:rsidRPr="00527A62">
          <w:rPr>
            <w:rStyle w:val="Hyperlink"/>
            <w:noProof/>
          </w:rPr>
          <w:t>Evaluation team roles and responsibilities</w:t>
        </w:r>
        <w:r w:rsidR="00C377EC">
          <w:rPr>
            <w:noProof/>
            <w:webHidden/>
          </w:rPr>
          <w:tab/>
        </w:r>
        <w:r w:rsidR="00C377EC">
          <w:rPr>
            <w:noProof/>
            <w:webHidden/>
          </w:rPr>
          <w:fldChar w:fldCharType="begin"/>
        </w:r>
        <w:r w:rsidR="00C377EC">
          <w:rPr>
            <w:noProof/>
            <w:webHidden/>
          </w:rPr>
          <w:instrText xml:space="preserve"> PAGEREF _Toc480290294 \h </w:instrText>
        </w:r>
        <w:r w:rsidR="00C377EC">
          <w:rPr>
            <w:noProof/>
            <w:webHidden/>
          </w:rPr>
        </w:r>
        <w:r w:rsidR="00C377EC">
          <w:rPr>
            <w:noProof/>
            <w:webHidden/>
          </w:rPr>
          <w:fldChar w:fldCharType="separate"/>
        </w:r>
        <w:r w:rsidR="00C377EC">
          <w:rPr>
            <w:noProof/>
            <w:webHidden/>
          </w:rPr>
          <w:t>10</w:t>
        </w:r>
        <w:r w:rsidR="00C377EC">
          <w:rPr>
            <w:noProof/>
            <w:webHidden/>
          </w:rPr>
          <w:fldChar w:fldCharType="end"/>
        </w:r>
      </w:hyperlink>
    </w:p>
    <w:p w14:paraId="4582205B" w14:textId="77777777" w:rsidR="00C377EC" w:rsidRDefault="00795620">
      <w:pPr>
        <w:pStyle w:val="TOC1"/>
        <w:rPr>
          <w:rFonts w:eastAsiaTheme="minorEastAsia"/>
          <w:b w:val="0"/>
          <w:caps w:val="0"/>
          <w:noProof/>
          <w:color w:val="auto"/>
          <w:sz w:val="24"/>
          <w:szCs w:val="24"/>
          <w:lang w:val="en-US"/>
        </w:rPr>
      </w:pPr>
      <w:hyperlink w:anchor="_Toc480290295" w:history="1">
        <w:r w:rsidR="00C377EC" w:rsidRPr="00527A62">
          <w:rPr>
            <w:rStyle w:val="Hyperlink"/>
            <w:noProof/>
          </w:rPr>
          <w:t>Annex one: Evaluation matrix</w:t>
        </w:r>
        <w:r w:rsidR="00C377EC">
          <w:rPr>
            <w:noProof/>
            <w:webHidden/>
          </w:rPr>
          <w:tab/>
        </w:r>
        <w:r w:rsidR="00C377EC">
          <w:rPr>
            <w:noProof/>
            <w:webHidden/>
          </w:rPr>
          <w:fldChar w:fldCharType="begin"/>
        </w:r>
        <w:r w:rsidR="00C377EC">
          <w:rPr>
            <w:noProof/>
            <w:webHidden/>
          </w:rPr>
          <w:instrText xml:space="preserve"> PAGEREF _Toc480290295 \h </w:instrText>
        </w:r>
        <w:r w:rsidR="00C377EC">
          <w:rPr>
            <w:noProof/>
            <w:webHidden/>
          </w:rPr>
        </w:r>
        <w:r w:rsidR="00C377EC">
          <w:rPr>
            <w:noProof/>
            <w:webHidden/>
          </w:rPr>
          <w:fldChar w:fldCharType="separate"/>
        </w:r>
        <w:r w:rsidR="00C377EC">
          <w:rPr>
            <w:noProof/>
            <w:webHidden/>
          </w:rPr>
          <w:t>12</w:t>
        </w:r>
        <w:r w:rsidR="00C377EC">
          <w:rPr>
            <w:noProof/>
            <w:webHidden/>
          </w:rPr>
          <w:fldChar w:fldCharType="end"/>
        </w:r>
      </w:hyperlink>
    </w:p>
    <w:p w14:paraId="2C2011F6" w14:textId="77777777" w:rsidR="00C377EC" w:rsidRDefault="00795620">
      <w:pPr>
        <w:pStyle w:val="TOC1"/>
        <w:rPr>
          <w:rFonts w:eastAsiaTheme="minorEastAsia"/>
          <w:b w:val="0"/>
          <w:caps w:val="0"/>
          <w:noProof/>
          <w:color w:val="auto"/>
          <w:sz w:val="24"/>
          <w:szCs w:val="24"/>
          <w:lang w:val="en-US"/>
        </w:rPr>
      </w:pPr>
      <w:hyperlink w:anchor="_Toc480290296" w:history="1">
        <w:r w:rsidR="00C377EC" w:rsidRPr="00527A62">
          <w:rPr>
            <w:rStyle w:val="Hyperlink"/>
            <w:noProof/>
          </w:rPr>
          <w:t>Annex two: Interview and focus group discussion guides</w:t>
        </w:r>
        <w:r w:rsidR="00C377EC">
          <w:rPr>
            <w:noProof/>
            <w:webHidden/>
          </w:rPr>
          <w:tab/>
        </w:r>
        <w:r w:rsidR="00C377EC">
          <w:rPr>
            <w:noProof/>
            <w:webHidden/>
          </w:rPr>
          <w:fldChar w:fldCharType="begin"/>
        </w:r>
        <w:r w:rsidR="00C377EC">
          <w:rPr>
            <w:noProof/>
            <w:webHidden/>
          </w:rPr>
          <w:instrText xml:space="preserve"> PAGEREF _Toc480290296 \h </w:instrText>
        </w:r>
        <w:r w:rsidR="00C377EC">
          <w:rPr>
            <w:noProof/>
            <w:webHidden/>
          </w:rPr>
        </w:r>
        <w:r w:rsidR="00C377EC">
          <w:rPr>
            <w:noProof/>
            <w:webHidden/>
          </w:rPr>
          <w:fldChar w:fldCharType="separate"/>
        </w:r>
        <w:r w:rsidR="00C377EC">
          <w:rPr>
            <w:noProof/>
            <w:webHidden/>
          </w:rPr>
          <w:t>14</w:t>
        </w:r>
        <w:r w:rsidR="00C377EC">
          <w:rPr>
            <w:noProof/>
            <w:webHidden/>
          </w:rPr>
          <w:fldChar w:fldCharType="end"/>
        </w:r>
      </w:hyperlink>
    </w:p>
    <w:p w14:paraId="655DC81B" w14:textId="77777777" w:rsidR="00C377EC" w:rsidRDefault="00795620">
      <w:pPr>
        <w:pStyle w:val="TOC1"/>
        <w:rPr>
          <w:rFonts w:eastAsiaTheme="minorEastAsia"/>
          <w:b w:val="0"/>
          <w:caps w:val="0"/>
          <w:noProof/>
          <w:color w:val="auto"/>
          <w:sz w:val="24"/>
          <w:szCs w:val="24"/>
          <w:lang w:val="en-US"/>
        </w:rPr>
      </w:pPr>
      <w:hyperlink w:anchor="_Toc480290297" w:history="1">
        <w:r w:rsidR="00C377EC" w:rsidRPr="00527A62">
          <w:rPr>
            <w:rStyle w:val="Hyperlink"/>
            <w:noProof/>
          </w:rPr>
          <w:t>Annex three: field work schedule</w:t>
        </w:r>
        <w:r w:rsidR="00C377EC">
          <w:rPr>
            <w:noProof/>
            <w:webHidden/>
          </w:rPr>
          <w:tab/>
        </w:r>
        <w:r w:rsidR="00C377EC">
          <w:rPr>
            <w:noProof/>
            <w:webHidden/>
          </w:rPr>
          <w:fldChar w:fldCharType="begin"/>
        </w:r>
        <w:r w:rsidR="00C377EC">
          <w:rPr>
            <w:noProof/>
            <w:webHidden/>
          </w:rPr>
          <w:instrText xml:space="preserve"> PAGEREF _Toc480290297 \h </w:instrText>
        </w:r>
        <w:r w:rsidR="00C377EC">
          <w:rPr>
            <w:noProof/>
            <w:webHidden/>
          </w:rPr>
        </w:r>
        <w:r w:rsidR="00C377EC">
          <w:rPr>
            <w:noProof/>
            <w:webHidden/>
          </w:rPr>
          <w:fldChar w:fldCharType="separate"/>
        </w:r>
        <w:r w:rsidR="00C377EC">
          <w:rPr>
            <w:noProof/>
            <w:webHidden/>
          </w:rPr>
          <w:t>18</w:t>
        </w:r>
        <w:r w:rsidR="00C377EC">
          <w:rPr>
            <w:noProof/>
            <w:webHidden/>
          </w:rPr>
          <w:fldChar w:fldCharType="end"/>
        </w:r>
      </w:hyperlink>
    </w:p>
    <w:p w14:paraId="708EDAFC" w14:textId="77777777" w:rsidR="004D0AEE" w:rsidRDefault="000B3155" w:rsidP="00BF3A17">
      <w:pPr>
        <w:pStyle w:val="BodyText"/>
      </w:pPr>
      <w:r w:rsidRPr="005B583F">
        <w:fldChar w:fldCharType="end"/>
      </w:r>
    </w:p>
    <w:p w14:paraId="1616221A" w14:textId="5CA762A8" w:rsidR="0022186C" w:rsidRDefault="0022186C" w:rsidP="0022186C">
      <w:pPr>
        <w:sectPr w:rsidR="0022186C" w:rsidSect="00481CA0">
          <w:headerReference w:type="default" r:id="rId14"/>
          <w:footerReference w:type="default" r:id="rId15"/>
          <w:headerReference w:type="first" r:id="rId16"/>
          <w:footerReference w:type="first" r:id="rId17"/>
          <w:pgSz w:w="11906" w:h="16838" w:code="9"/>
          <w:pgMar w:top="1985" w:right="1134" w:bottom="1701" w:left="1134" w:header="567" w:footer="567" w:gutter="0"/>
          <w:pgNumType w:start="1"/>
          <w:cols w:space="708"/>
          <w:titlePg/>
          <w:docGrid w:linePitch="360"/>
        </w:sectPr>
      </w:pPr>
    </w:p>
    <w:p w14:paraId="604F4AF0" w14:textId="77777777" w:rsidR="00E37F31" w:rsidRDefault="00E37F31" w:rsidP="00E37F31">
      <w:pPr>
        <w:pStyle w:val="Heading1Numberedsmallspaceafter"/>
        <w:numPr>
          <w:ilvl w:val="0"/>
          <w:numId w:val="0"/>
        </w:numPr>
      </w:pPr>
      <w:bookmarkStart w:id="1" w:name="_Toc457299796"/>
    </w:p>
    <w:p w14:paraId="5CFACCBA" w14:textId="2565DC03" w:rsidR="00E37F31" w:rsidRDefault="00E37F31" w:rsidP="0087375C">
      <w:pPr>
        <w:pStyle w:val="Heading1Numberedsmallspaceafter"/>
        <w:numPr>
          <w:ilvl w:val="0"/>
          <w:numId w:val="0"/>
        </w:numPr>
        <w:ind w:left="567" w:hanging="567"/>
      </w:pPr>
      <w:bookmarkStart w:id="2" w:name="_Toc480290282"/>
      <w:r>
        <w:t>Introduction and Background</w:t>
      </w:r>
      <w:bookmarkEnd w:id="2"/>
      <w:r>
        <w:t xml:space="preserve"> </w:t>
      </w:r>
    </w:p>
    <w:p w14:paraId="6411ABD6" w14:textId="77777777" w:rsidR="00E37F31" w:rsidRDefault="00E37F31" w:rsidP="00E37F31">
      <w:pPr>
        <w:pStyle w:val="Heading1Numberedsmallspaceafter"/>
        <w:numPr>
          <w:ilvl w:val="0"/>
          <w:numId w:val="0"/>
        </w:numPr>
      </w:pPr>
    </w:p>
    <w:p w14:paraId="72030E84" w14:textId="18D8DE9E" w:rsidR="00E37F31" w:rsidRPr="00E37F31" w:rsidRDefault="00F2658D" w:rsidP="002F3D6B">
      <w:pPr>
        <w:pStyle w:val="Heading2"/>
      </w:pPr>
      <w:bookmarkStart w:id="3" w:name="_Toc480290283"/>
      <w:bookmarkStart w:id="4" w:name="_Toc457299797"/>
      <w:bookmarkEnd w:id="1"/>
      <w:r>
        <w:t>Introduction</w:t>
      </w:r>
      <w:bookmarkEnd w:id="3"/>
      <w:r>
        <w:t xml:space="preserve"> </w:t>
      </w:r>
      <w:bookmarkEnd w:id="4"/>
    </w:p>
    <w:p w14:paraId="65C0C1B4" w14:textId="4E52B772" w:rsidR="00F868ED" w:rsidRPr="00C5456E" w:rsidRDefault="007F7D51" w:rsidP="007308E8">
      <w:pPr>
        <w:pStyle w:val="BodyText"/>
      </w:pPr>
      <w:r>
        <w:t xml:space="preserve">Australia </w:t>
      </w:r>
      <w:r w:rsidR="004746CD">
        <w:t>h</w:t>
      </w:r>
      <w:r>
        <w:t>as provide</w:t>
      </w:r>
      <w:r w:rsidR="00F674DD">
        <w:t xml:space="preserve">d </w:t>
      </w:r>
      <w:r w:rsidR="00CE5464">
        <w:t>over</w:t>
      </w:r>
      <w:r w:rsidR="00CA7805">
        <w:t xml:space="preserve"> $22</w:t>
      </w:r>
      <w:r>
        <w:t xml:space="preserve"> million in humanitarian assistance to Myanmar</w:t>
      </w:r>
      <w:r w:rsidR="00CA7805">
        <w:t xml:space="preserve"> between July</w:t>
      </w:r>
      <w:r w:rsidR="00F674DD">
        <w:t xml:space="preserve"> 2014</w:t>
      </w:r>
      <w:r w:rsidR="001D245C">
        <w:t>-2017</w:t>
      </w:r>
      <w:r w:rsidR="007308E8" w:rsidRPr="00C5456E">
        <w:t>.</w:t>
      </w:r>
      <w:r w:rsidR="00F3481E">
        <w:t xml:space="preserve"> Over half of this has been allocated to situations of protracted displacement. </w:t>
      </w:r>
      <w:r w:rsidR="001D245C">
        <w:t xml:space="preserve"> DFAT has commissioned an evaluation of this investment to</w:t>
      </w:r>
      <w:r w:rsidR="00BE7BBB">
        <w:t xml:space="preserve"> understand the appropriateness, </w:t>
      </w:r>
      <w:r w:rsidR="001D245C">
        <w:t>effectiveness</w:t>
      </w:r>
      <w:r w:rsidR="00BE7BBB">
        <w:t xml:space="preserve"> and efficiency</w:t>
      </w:r>
      <w:r w:rsidR="001D245C">
        <w:t xml:space="preserve"> of Australian assistance. </w:t>
      </w:r>
      <w:r w:rsidR="007308E8" w:rsidRPr="00C5456E">
        <w:t xml:space="preserve"> </w:t>
      </w:r>
      <w:r w:rsidR="001D245C">
        <w:t>The findings are also intended to inform the design of a strategic, multi-year approach to Australian humanitarian funding in Myanmar.</w:t>
      </w:r>
      <w:r w:rsidR="00F868ED">
        <w:t xml:space="preserve"> Where appropriate, lessons identified </w:t>
      </w:r>
      <w:r w:rsidR="00F868ED" w:rsidRPr="00E4650A">
        <w:rPr>
          <w:rFonts w:cs="Arial"/>
        </w:rPr>
        <w:t xml:space="preserve">through the evaluation will also be used to inform </w:t>
      </w:r>
      <w:r w:rsidR="00F868ED">
        <w:rPr>
          <w:rFonts w:cs="Arial"/>
        </w:rPr>
        <w:t xml:space="preserve">programmes addressing situations of </w:t>
      </w:r>
      <w:r w:rsidR="00F868ED" w:rsidRPr="00E4650A">
        <w:rPr>
          <w:rFonts w:cs="Arial"/>
        </w:rPr>
        <w:t xml:space="preserve">protracted </w:t>
      </w:r>
      <w:r w:rsidR="00F868ED">
        <w:rPr>
          <w:rFonts w:cs="Arial"/>
        </w:rPr>
        <w:t>displacement</w:t>
      </w:r>
      <w:r w:rsidR="00F868ED" w:rsidRPr="00E4650A">
        <w:rPr>
          <w:rFonts w:cs="Arial"/>
        </w:rPr>
        <w:t xml:space="preserve"> in the Indo-Pacific region.</w:t>
      </w:r>
    </w:p>
    <w:p w14:paraId="34B34C23" w14:textId="155F205A" w:rsidR="00F2658D" w:rsidRPr="00F2658D" w:rsidRDefault="001D245C" w:rsidP="002F3D6B">
      <w:pPr>
        <w:pStyle w:val="BodyText"/>
      </w:pPr>
      <w:r>
        <w:t xml:space="preserve">This </w:t>
      </w:r>
      <w:r w:rsidR="007308E8" w:rsidRPr="005A03AD">
        <w:t xml:space="preserve">evaluation plan sets out the detailed approach to the evaluation, the method, timings and outputs, as well as further defining the </w:t>
      </w:r>
      <w:r>
        <w:t>scope</w:t>
      </w:r>
      <w:r w:rsidR="007308E8" w:rsidRPr="005A03AD">
        <w:t xml:space="preserve"> and the key questions the evaluation will examine. It builds on the original Terms of Reference, and replaces these as the most up to date guiding document for the evaluation.</w:t>
      </w:r>
    </w:p>
    <w:p w14:paraId="59F3B5D9" w14:textId="1DC59253" w:rsidR="008F4016" w:rsidRPr="008F4016" w:rsidRDefault="00F2658D" w:rsidP="002F3D6B">
      <w:pPr>
        <w:pStyle w:val="Heading2"/>
      </w:pPr>
      <w:bookmarkStart w:id="5" w:name="_Toc480290284"/>
      <w:r>
        <w:t>Background and rationale</w:t>
      </w:r>
      <w:bookmarkEnd w:id="5"/>
    </w:p>
    <w:p w14:paraId="334D41E3" w14:textId="0D03EF21" w:rsidR="00455AA7" w:rsidRPr="00E4650A" w:rsidRDefault="00455AA7" w:rsidP="00455AA7">
      <w:pPr>
        <w:spacing w:after="120"/>
        <w:rPr>
          <w:rFonts w:cs="Arial"/>
        </w:rPr>
      </w:pPr>
      <w:r w:rsidRPr="00E4650A">
        <w:rPr>
          <w:rFonts w:cs="Arial"/>
        </w:rPr>
        <w:t xml:space="preserve">The humanitarian situation in Myanmar is characterised by </w:t>
      </w:r>
      <w:r w:rsidR="00A4402E">
        <w:rPr>
          <w:rFonts w:cs="Arial"/>
        </w:rPr>
        <w:t xml:space="preserve">situations of protracted displacement </w:t>
      </w:r>
      <w:r w:rsidRPr="00E4650A">
        <w:rPr>
          <w:rFonts w:cs="Arial"/>
        </w:rPr>
        <w:t xml:space="preserve">in three distinct contexts: active conflict in northern Myanmar; long-term displacement of Myanmar refugees in Thai camps; and ongoing intercommunal tensions and displacement in Rakhine State, which have intensified following attacks on Police border posts on 9 October 2016.  </w:t>
      </w:r>
    </w:p>
    <w:p w14:paraId="3B9F8337" w14:textId="47CA91E8" w:rsidR="00EC117B" w:rsidRDefault="00EC117B" w:rsidP="00455AA7">
      <w:pPr>
        <w:spacing w:after="120"/>
        <w:rPr>
          <w:rFonts w:cs="Arial"/>
        </w:rPr>
      </w:pPr>
      <w:r>
        <w:rPr>
          <w:rFonts w:cs="Arial"/>
        </w:rPr>
        <w:t>According to latest UN assessments 525,448 people are in need of humanitarian assistance across Myanmar. 218,000 of those are displaced, of which 78 per cent are women and children.</w:t>
      </w:r>
      <w:r>
        <w:rPr>
          <w:rStyle w:val="FootnoteReference"/>
          <w:rFonts w:cs="Arial"/>
        </w:rPr>
        <w:footnoteReference w:id="1"/>
      </w:r>
      <w:r>
        <w:rPr>
          <w:rFonts w:cs="Arial"/>
        </w:rPr>
        <w:t xml:space="preserve"> </w:t>
      </w:r>
    </w:p>
    <w:p w14:paraId="35E56AE5" w14:textId="75084677" w:rsidR="00455AA7" w:rsidRPr="00E4650A" w:rsidRDefault="00EC117B" w:rsidP="00455AA7">
      <w:pPr>
        <w:spacing w:after="120"/>
        <w:rPr>
          <w:rFonts w:cs="Arial"/>
        </w:rPr>
      </w:pPr>
      <w:r>
        <w:rPr>
          <w:rFonts w:cs="Arial"/>
        </w:rPr>
        <w:t>In Rakhine state, inter-communal violence led to the displacement of approximately 145,000 people in 2012. While the government supported the return of about 25,000 people in 2015-16, approximately 120,000 remain in camps and</w:t>
      </w:r>
      <w:r w:rsidR="00455AA7" w:rsidRPr="00E4650A">
        <w:rPr>
          <w:rFonts w:cs="Arial"/>
        </w:rPr>
        <w:t xml:space="preserve"> over 416,000 people remain in need of humanitarian assistance. Recent security operations in northern Rakhine have created additional displacement (over 20,000 IDPs and close to 70,000 displaced to Bangladesh). Security operations have also resulted in the prolonged suspension of most pre-existing humanitarian activities in the region. While it has not been possible to conduct a full needs assessment, it is likely that humanitarian needs have increased, due to the suspension of services, severe restriction of movement, the destruction of housing and alleged human rights abuses. </w:t>
      </w:r>
    </w:p>
    <w:p w14:paraId="3D42AD55" w14:textId="2ADB65BA" w:rsidR="00455AA7" w:rsidRPr="00E4650A" w:rsidRDefault="00455AA7" w:rsidP="00455AA7">
      <w:pPr>
        <w:spacing w:after="120"/>
        <w:rPr>
          <w:rFonts w:cs="Arial"/>
        </w:rPr>
      </w:pPr>
      <w:r w:rsidRPr="00E4650A">
        <w:rPr>
          <w:rFonts w:cs="Arial"/>
        </w:rPr>
        <w:t>In Kachin and northern Shan States over 119,000 people remain in need of humanitarian assistance, including over 98,000 people displaced because of ongoing conflict. Around 50 per cent of these IDPs are located in areas outside Government control where humanitarian access is limited. The conflict in Kachin has escalated significantly in recent months and many people are now facing secondary displacement.</w:t>
      </w:r>
    </w:p>
    <w:p w14:paraId="11FF64F9" w14:textId="77777777" w:rsidR="00F868ED" w:rsidRDefault="00455AA7" w:rsidP="00455AA7">
      <w:pPr>
        <w:spacing w:after="120"/>
        <w:rPr>
          <w:rFonts w:cs="Arial"/>
        </w:rPr>
      </w:pPr>
      <w:r w:rsidRPr="00E4650A">
        <w:rPr>
          <w:rFonts w:cs="Arial"/>
        </w:rPr>
        <w:t xml:space="preserve">Australia has been a strong provider of humanitarian assistance to Myanmar over many years. As Myanmar opened up during the reform period, Australia rapidly scaled up humanitarian assistance, at times working </w:t>
      </w:r>
      <w:r w:rsidRPr="00E4650A">
        <w:rPr>
          <w:rFonts w:cs="Arial"/>
        </w:rPr>
        <w:lastRenderedPageBreak/>
        <w:t>through up to 16 different partners simultaneously. Partners were engaged through direct-source grants</w:t>
      </w:r>
      <w:r w:rsidRPr="00650FA5">
        <w:rPr>
          <w:rFonts w:cs="Arial"/>
        </w:rPr>
        <w:t xml:space="preserve">, on the basis that the complex and restrictive environment in Myanmar meant there were a limited number of appropriate potential partners in any one location. </w:t>
      </w:r>
      <w:r w:rsidRPr="00E4650A">
        <w:rPr>
          <w:rFonts w:cs="Arial"/>
        </w:rPr>
        <w:t xml:space="preserve">In part, this proliferation reflected a need to respond to a variety of needs in diverse geographic locations. </w:t>
      </w:r>
    </w:p>
    <w:p w14:paraId="3083C82C" w14:textId="212E39E0" w:rsidR="00F868ED" w:rsidRPr="00E37F31" w:rsidRDefault="00F868ED" w:rsidP="00A26CFC">
      <w:pPr>
        <w:pStyle w:val="TableHeaderRow"/>
        <w:framePr w:wrap="around" w:hAnchor="page" w:x="1341" w:y="3785"/>
      </w:pPr>
      <w:r>
        <w:t xml:space="preserve">Table 1: Partners in Australia’s </w:t>
      </w:r>
      <w:r w:rsidR="00A26CFC">
        <w:t xml:space="preserve">humanitarian </w:t>
      </w:r>
      <w:r>
        <w:t xml:space="preserve">response in Myanmar from 2014 -present. </w:t>
      </w:r>
    </w:p>
    <w:p w14:paraId="22FEF7B8" w14:textId="2F4E018C" w:rsidR="00455AA7" w:rsidRDefault="00A52BE0" w:rsidP="00455AA7">
      <w:pPr>
        <w:spacing w:after="120"/>
        <w:rPr>
          <w:rFonts w:cs="Arial"/>
        </w:rPr>
      </w:pPr>
      <w:r>
        <w:rPr>
          <w:rFonts w:cs="Arial"/>
        </w:rPr>
        <w:t>Table 1 provides a breakdown o</w:t>
      </w:r>
      <w:r w:rsidR="00F3481E">
        <w:rPr>
          <w:rFonts w:cs="Arial"/>
        </w:rPr>
        <w:t xml:space="preserve">f Australia’s </w:t>
      </w:r>
      <w:r w:rsidR="00A26CFC">
        <w:rPr>
          <w:rFonts w:cs="Arial"/>
        </w:rPr>
        <w:t xml:space="preserve">humanitarian </w:t>
      </w:r>
      <w:r w:rsidR="00F3481E">
        <w:rPr>
          <w:rFonts w:cs="Arial"/>
        </w:rPr>
        <w:t>partners from 2014</w:t>
      </w:r>
      <w:r>
        <w:rPr>
          <w:rFonts w:cs="Arial"/>
        </w:rPr>
        <w:t>-2017</w:t>
      </w:r>
      <w:r w:rsidR="00A26CFC">
        <w:rPr>
          <w:rFonts w:cs="Arial"/>
        </w:rPr>
        <w:t xml:space="preserve"> (excluding programs on the Thai-Myanmar border that are not included in the scope of this evaluation)</w:t>
      </w:r>
      <w:r>
        <w:rPr>
          <w:rFonts w:cs="Arial"/>
        </w:rPr>
        <w:t xml:space="preserve">. </w:t>
      </w:r>
    </w:p>
    <w:p w14:paraId="15748B60" w14:textId="77777777" w:rsidR="0096557B" w:rsidRDefault="0096557B" w:rsidP="00455AA7">
      <w:pPr>
        <w:spacing w:after="120"/>
        <w:rPr>
          <w:rFonts w:cs="Arial"/>
        </w:rPr>
      </w:pPr>
    </w:p>
    <w:tbl>
      <w:tblPr>
        <w:tblStyle w:val="DFATTable1"/>
        <w:tblpPr w:leftFromText="181" w:rightFromText="181" w:vertAnchor="text" w:horzAnchor="page" w:tblpX="1270" w:tblpY="36"/>
        <w:tblW w:w="4708" w:type="pct"/>
        <w:tblBorders>
          <w:top w:val="none" w:sz="0" w:space="0" w:color="auto"/>
          <w:bottom w:val="none" w:sz="0" w:space="0" w:color="auto"/>
          <w:insideH w:val="none" w:sz="0" w:space="0" w:color="auto"/>
        </w:tblBorders>
        <w:tblLook w:val="0660" w:firstRow="1" w:lastRow="1" w:firstColumn="0" w:lastColumn="0" w:noHBand="1" w:noVBand="1"/>
        <w:tblCaption w:val="Sample Table"/>
        <w:tblDescription w:val="Sample Table"/>
      </w:tblPr>
      <w:tblGrid>
        <w:gridCol w:w="6667"/>
        <w:gridCol w:w="715"/>
        <w:gridCol w:w="1693"/>
      </w:tblGrid>
      <w:tr w:rsidR="00A52BE0" w:rsidRPr="006B0E2A" w14:paraId="57A19D9A" w14:textId="77777777" w:rsidTr="00CA0951">
        <w:trPr>
          <w:cnfStyle w:val="100000000000" w:firstRow="1" w:lastRow="0" w:firstColumn="0" w:lastColumn="0" w:oddVBand="0" w:evenVBand="0" w:oddHBand="0" w:evenHBand="0" w:firstRowFirstColumn="0" w:firstRowLastColumn="0" w:lastRowFirstColumn="0" w:lastRowLastColumn="0"/>
        </w:trPr>
        <w:tc>
          <w:tcPr>
            <w:tcW w:w="3673" w:type="pct"/>
          </w:tcPr>
          <w:p w14:paraId="5510DC8B" w14:textId="77777777" w:rsidR="00A52BE0" w:rsidRPr="002F3D6B" w:rsidRDefault="00A52BE0" w:rsidP="00A52BE0">
            <w:pPr>
              <w:pStyle w:val="TableHeading1"/>
              <w:rPr>
                <w:color w:val="FFFFFF" w:themeColor="background1"/>
              </w:rPr>
            </w:pPr>
            <w:r w:rsidRPr="002F3D6B">
              <w:rPr>
                <w:rFonts w:ascii="Calibri" w:hAnsi="Calibri"/>
                <w:color w:val="FFFFFF" w:themeColor="background1"/>
                <w:sz w:val="22"/>
              </w:rPr>
              <w:t>Partner</w:t>
            </w:r>
          </w:p>
        </w:tc>
        <w:tc>
          <w:tcPr>
            <w:tcW w:w="1327" w:type="pct"/>
            <w:gridSpan w:val="2"/>
          </w:tcPr>
          <w:p w14:paraId="02E99FBC" w14:textId="33F0F02C" w:rsidR="00A52BE0" w:rsidRPr="002F3D6B" w:rsidRDefault="00A52BE0" w:rsidP="00A52BE0">
            <w:pPr>
              <w:pStyle w:val="TableHeading1"/>
              <w:rPr>
                <w:color w:val="FFFFFF" w:themeColor="background1"/>
              </w:rPr>
            </w:pPr>
            <w:r w:rsidRPr="002F3D6B">
              <w:rPr>
                <w:rFonts w:ascii="Calibri" w:hAnsi="Calibri"/>
                <w:color w:val="FFFFFF" w:themeColor="background1"/>
                <w:sz w:val="22"/>
              </w:rPr>
              <w:t xml:space="preserve">Amount </w:t>
            </w:r>
            <w:r w:rsidR="00A26CFC" w:rsidRPr="002F3D6B">
              <w:rPr>
                <w:rFonts w:ascii="Calibri" w:hAnsi="Calibri"/>
                <w:color w:val="FFFFFF" w:themeColor="background1"/>
                <w:sz w:val="22"/>
              </w:rPr>
              <w:t xml:space="preserve">Millions </w:t>
            </w:r>
            <w:r w:rsidR="00A26CFC">
              <w:rPr>
                <w:rFonts w:ascii="Calibri" w:hAnsi="Calibri"/>
                <w:color w:val="FFFFFF" w:themeColor="background1"/>
                <w:sz w:val="22"/>
              </w:rPr>
              <w:t>(</w:t>
            </w:r>
            <w:r>
              <w:rPr>
                <w:rFonts w:ascii="Calibri" w:hAnsi="Calibri"/>
                <w:color w:val="FFFFFF" w:themeColor="background1"/>
                <w:sz w:val="22"/>
              </w:rPr>
              <w:t>AUD)</w:t>
            </w:r>
          </w:p>
        </w:tc>
      </w:tr>
      <w:tr w:rsidR="00685FD6" w:rsidRPr="006B0E2A" w14:paraId="6DFD7C7A" w14:textId="77777777" w:rsidTr="00F77443">
        <w:trPr>
          <w:trHeight w:val="485"/>
        </w:trPr>
        <w:tc>
          <w:tcPr>
            <w:tcW w:w="4067" w:type="pct"/>
            <w:gridSpan w:val="2"/>
          </w:tcPr>
          <w:p w14:paraId="5C088A02" w14:textId="02BE539F" w:rsidR="00685FD6" w:rsidRDefault="00685FD6" w:rsidP="001A7B36">
            <w:pPr>
              <w:pStyle w:val="TableHeaderRow"/>
              <w:framePr w:hSpace="0" w:wrap="auto" w:vAnchor="margin" w:hAnchor="text" w:yAlign="inline"/>
            </w:pPr>
            <w:r>
              <w:t>UN High Commissioner for Refugees</w:t>
            </w:r>
          </w:p>
        </w:tc>
        <w:tc>
          <w:tcPr>
            <w:tcW w:w="933" w:type="pct"/>
            <w:vAlign w:val="bottom"/>
          </w:tcPr>
          <w:p w14:paraId="4EA368EF" w14:textId="4A911F4F" w:rsidR="00685FD6" w:rsidRDefault="00685FD6" w:rsidP="001A7B36">
            <w:pPr>
              <w:pStyle w:val="TableHeaderRow"/>
              <w:framePr w:hSpace="0" w:wrap="auto" w:vAnchor="margin" w:hAnchor="text" w:yAlign="inline"/>
              <w:jc w:val="right"/>
            </w:pPr>
            <w:r>
              <w:t>4.40</w:t>
            </w:r>
          </w:p>
        </w:tc>
      </w:tr>
      <w:tr w:rsidR="007A28F9" w:rsidRPr="006B0E2A" w14:paraId="45A5F131" w14:textId="77777777" w:rsidTr="00F77443">
        <w:trPr>
          <w:trHeight w:val="485"/>
        </w:trPr>
        <w:tc>
          <w:tcPr>
            <w:tcW w:w="4067" w:type="pct"/>
            <w:gridSpan w:val="2"/>
          </w:tcPr>
          <w:p w14:paraId="1549BF92" w14:textId="76A9EA96" w:rsidR="007A28F9" w:rsidRDefault="007A28F9" w:rsidP="007A28F9">
            <w:pPr>
              <w:pStyle w:val="TableHeaderRow"/>
              <w:framePr w:hSpace="0" w:wrap="auto" w:vAnchor="margin" w:hAnchor="text" w:yAlign="inline"/>
            </w:pPr>
            <w:r>
              <w:t xml:space="preserve">International Committee of the Red Cross </w:t>
            </w:r>
          </w:p>
        </w:tc>
        <w:tc>
          <w:tcPr>
            <w:tcW w:w="933" w:type="pct"/>
            <w:vAlign w:val="bottom"/>
          </w:tcPr>
          <w:p w14:paraId="49470C0B" w14:textId="6F99823D" w:rsidR="007A28F9" w:rsidRDefault="007A28F9" w:rsidP="007A28F9">
            <w:pPr>
              <w:pStyle w:val="TableHeaderRow"/>
              <w:framePr w:hSpace="0" w:wrap="auto" w:vAnchor="margin" w:hAnchor="text" w:yAlign="inline"/>
              <w:jc w:val="right"/>
            </w:pPr>
            <w:r>
              <w:t>3.40</w:t>
            </w:r>
          </w:p>
        </w:tc>
      </w:tr>
      <w:tr w:rsidR="007A28F9" w:rsidRPr="006B0E2A" w14:paraId="117BD933" w14:textId="77777777" w:rsidTr="00F77443">
        <w:trPr>
          <w:trHeight w:val="485"/>
        </w:trPr>
        <w:tc>
          <w:tcPr>
            <w:tcW w:w="4067" w:type="pct"/>
            <w:gridSpan w:val="2"/>
          </w:tcPr>
          <w:p w14:paraId="2925AF5B" w14:textId="29062B3F" w:rsidR="007A28F9" w:rsidRDefault="007A28F9" w:rsidP="007A28F9">
            <w:pPr>
              <w:pStyle w:val="TableHeaderRow"/>
              <w:framePr w:hSpace="0" w:wrap="auto" w:vAnchor="margin" w:hAnchor="text" w:yAlign="inline"/>
            </w:pPr>
            <w:r>
              <w:t xml:space="preserve">UN </w:t>
            </w:r>
            <w:r w:rsidRPr="00E17C0E">
              <w:t>Office for the Coordination of Humanitarian Affairs</w:t>
            </w:r>
          </w:p>
        </w:tc>
        <w:tc>
          <w:tcPr>
            <w:tcW w:w="933" w:type="pct"/>
            <w:vAlign w:val="bottom"/>
          </w:tcPr>
          <w:p w14:paraId="25C4FF1E" w14:textId="6CB5CDDA" w:rsidR="007A28F9" w:rsidRDefault="007A28F9" w:rsidP="007A28F9">
            <w:pPr>
              <w:pStyle w:val="TableHeaderRow"/>
              <w:framePr w:hSpace="0" w:wrap="auto" w:vAnchor="margin" w:hAnchor="text" w:yAlign="inline"/>
              <w:jc w:val="right"/>
            </w:pPr>
            <w:r>
              <w:t>2.50</w:t>
            </w:r>
          </w:p>
        </w:tc>
      </w:tr>
      <w:tr w:rsidR="007A28F9" w:rsidRPr="006B0E2A" w14:paraId="1F87ADF0" w14:textId="77777777" w:rsidTr="00F77443">
        <w:trPr>
          <w:trHeight w:val="485"/>
        </w:trPr>
        <w:tc>
          <w:tcPr>
            <w:tcW w:w="4067" w:type="pct"/>
            <w:gridSpan w:val="2"/>
          </w:tcPr>
          <w:p w14:paraId="6FD454B4" w14:textId="4315EEF2" w:rsidR="007A28F9" w:rsidRDefault="007A28F9" w:rsidP="007A28F9">
            <w:pPr>
              <w:pStyle w:val="TableHeaderRow"/>
              <w:framePr w:hSpace="0" w:wrap="auto" w:vAnchor="margin" w:hAnchor="text" w:yAlign="inline"/>
            </w:pPr>
            <w:r>
              <w:t>UNFPA</w:t>
            </w:r>
          </w:p>
        </w:tc>
        <w:tc>
          <w:tcPr>
            <w:tcW w:w="933" w:type="pct"/>
            <w:vAlign w:val="bottom"/>
          </w:tcPr>
          <w:p w14:paraId="3FC2641E" w14:textId="5C5A0C69" w:rsidR="007A28F9" w:rsidRDefault="007A28F9" w:rsidP="007A28F9">
            <w:pPr>
              <w:pStyle w:val="TableHeaderRow"/>
              <w:framePr w:hSpace="0" w:wrap="auto" w:vAnchor="margin" w:hAnchor="text" w:yAlign="inline"/>
              <w:jc w:val="right"/>
            </w:pPr>
            <w:r>
              <w:t>2.50</w:t>
            </w:r>
          </w:p>
        </w:tc>
      </w:tr>
      <w:tr w:rsidR="007A28F9" w:rsidRPr="006B0E2A" w14:paraId="1053AA0D" w14:textId="77777777" w:rsidTr="00F77443">
        <w:trPr>
          <w:trHeight w:val="485"/>
        </w:trPr>
        <w:tc>
          <w:tcPr>
            <w:tcW w:w="4067" w:type="pct"/>
            <w:gridSpan w:val="2"/>
          </w:tcPr>
          <w:p w14:paraId="6962421E" w14:textId="190D1065" w:rsidR="007A28F9" w:rsidRDefault="007A28F9" w:rsidP="007A28F9">
            <w:pPr>
              <w:pStyle w:val="TableHeaderRow"/>
              <w:framePr w:hSpace="0" w:wrap="auto" w:vAnchor="margin" w:hAnchor="text" w:yAlign="inline"/>
            </w:pPr>
            <w:r>
              <w:t>Norwegian Refugee Council</w:t>
            </w:r>
          </w:p>
        </w:tc>
        <w:tc>
          <w:tcPr>
            <w:tcW w:w="933" w:type="pct"/>
            <w:vAlign w:val="bottom"/>
          </w:tcPr>
          <w:p w14:paraId="798F7A4C" w14:textId="2C38C5DA" w:rsidR="007A28F9" w:rsidRDefault="007A28F9" w:rsidP="007A28F9">
            <w:pPr>
              <w:pStyle w:val="TableHeaderRow"/>
              <w:framePr w:hSpace="0" w:wrap="auto" w:vAnchor="margin" w:hAnchor="text" w:yAlign="inline"/>
              <w:jc w:val="right"/>
            </w:pPr>
            <w:r>
              <w:t>2.00</w:t>
            </w:r>
          </w:p>
        </w:tc>
      </w:tr>
      <w:tr w:rsidR="007A28F9" w:rsidRPr="006B0E2A" w14:paraId="423D976C" w14:textId="77777777" w:rsidTr="00F77443">
        <w:trPr>
          <w:trHeight w:val="485"/>
        </w:trPr>
        <w:tc>
          <w:tcPr>
            <w:tcW w:w="4067" w:type="pct"/>
            <w:gridSpan w:val="2"/>
          </w:tcPr>
          <w:p w14:paraId="765D155D" w14:textId="1BA6376C" w:rsidR="007A28F9" w:rsidRDefault="007A28F9" w:rsidP="007A28F9">
            <w:pPr>
              <w:pStyle w:val="TableHeaderRow"/>
              <w:framePr w:hSpace="0" w:wrap="auto" w:vAnchor="margin" w:hAnchor="text" w:yAlign="inline"/>
            </w:pPr>
            <w:r>
              <w:t xml:space="preserve">World Food Programme  </w:t>
            </w:r>
            <w:r w:rsidRPr="00806503">
              <w:t xml:space="preserve"> </w:t>
            </w:r>
          </w:p>
        </w:tc>
        <w:tc>
          <w:tcPr>
            <w:tcW w:w="933" w:type="pct"/>
            <w:vAlign w:val="bottom"/>
          </w:tcPr>
          <w:p w14:paraId="6C097796" w14:textId="69A55CD1" w:rsidR="007A28F9" w:rsidRDefault="007A28F9" w:rsidP="007A28F9">
            <w:pPr>
              <w:pStyle w:val="TableHeaderRow"/>
              <w:framePr w:hSpace="0" w:wrap="auto" w:vAnchor="margin" w:hAnchor="text" w:yAlign="inline"/>
              <w:jc w:val="right"/>
            </w:pPr>
            <w:r>
              <w:t>2.00</w:t>
            </w:r>
          </w:p>
        </w:tc>
      </w:tr>
      <w:tr w:rsidR="007A28F9" w:rsidRPr="006B0E2A" w14:paraId="3151997C" w14:textId="77777777" w:rsidTr="00F77443">
        <w:tc>
          <w:tcPr>
            <w:tcW w:w="4067" w:type="pct"/>
            <w:gridSpan w:val="2"/>
          </w:tcPr>
          <w:p w14:paraId="74A1AC30" w14:textId="1AA6A398" w:rsidR="007A28F9" w:rsidRPr="00806503" w:rsidRDefault="007A28F9" w:rsidP="007A28F9">
            <w:pPr>
              <w:pStyle w:val="TableHeaderRow"/>
              <w:framePr w:hSpace="0" w:wrap="auto" w:vAnchor="margin" w:hAnchor="text" w:yAlign="inline"/>
            </w:pPr>
            <w:r>
              <w:t xml:space="preserve">Save the Children   </w:t>
            </w:r>
          </w:p>
        </w:tc>
        <w:tc>
          <w:tcPr>
            <w:tcW w:w="933" w:type="pct"/>
            <w:vAlign w:val="bottom"/>
          </w:tcPr>
          <w:p w14:paraId="79579DE7" w14:textId="5EB6F9C5" w:rsidR="007A28F9" w:rsidRPr="00B92E1E" w:rsidRDefault="007A28F9" w:rsidP="007A28F9">
            <w:pPr>
              <w:pStyle w:val="TableHeaderRow"/>
              <w:framePr w:hSpace="0" w:wrap="auto" w:vAnchor="margin" w:hAnchor="text" w:yAlign="inline"/>
              <w:jc w:val="right"/>
            </w:pPr>
            <w:r>
              <w:t>1.90</w:t>
            </w:r>
          </w:p>
        </w:tc>
      </w:tr>
      <w:tr w:rsidR="007A28F9" w:rsidRPr="006B0E2A" w14:paraId="74F47625" w14:textId="77777777" w:rsidTr="00F77443">
        <w:tc>
          <w:tcPr>
            <w:tcW w:w="4067" w:type="pct"/>
            <w:gridSpan w:val="2"/>
          </w:tcPr>
          <w:p w14:paraId="17BDC33F" w14:textId="77777777" w:rsidR="007A28F9" w:rsidRPr="00806503" w:rsidRDefault="007A28F9" w:rsidP="007A28F9">
            <w:pPr>
              <w:pStyle w:val="TableHeaderRow"/>
              <w:framePr w:hSpace="0" w:wrap="auto" w:vAnchor="margin" w:hAnchor="text" w:yAlign="inline"/>
            </w:pPr>
            <w:r>
              <w:t>Danish Refugee Council</w:t>
            </w:r>
          </w:p>
        </w:tc>
        <w:tc>
          <w:tcPr>
            <w:tcW w:w="933" w:type="pct"/>
            <w:vAlign w:val="bottom"/>
          </w:tcPr>
          <w:p w14:paraId="65F7F810" w14:textId="77777777" w:rsidR="007A28F9" w:rsidRDefault="007A28F9" w:rsidP="007A28F9">
            <w:pPr>
              <w:pStyle w:val="TableHeaderRow"/>
              <w:framePr w:hSpace="0" w:wrap="auto" w:vAnchor="margin" w:hAnchor="text" w:yAlign="inline"/>
              <w:jc w:val="right"/>
            </w:pPr>
            <w:r>
              <w:t>1.50</w:t>
            </w:r>
          </w:p>
        </w:tc>
      </w:tr>
      <w:tr w:rsidR="007A28F9" w:rsidRPr="006B0E2A" w14:paraId="71489DC9" w14:textId="77777777" w:rsidTr="00F77443">
        <w:tc>
          <w:tcPr>
            <w:tcW w:w="4067" w:type="pct"/>
            <w:gridSpan w:val="2"/>
          </w:tcPr>
          <w:p w14:paraId="5370E01C" w14:textId="7FA8CF7C" w:rsidR="007A28F9" w:rsidRPr="00806503" w:rsidRDefault="007A28F9" w:rsidP="007A28F9">
            <w:pPr>
              <w:pStyle w:val="TableHeaderRow"/>
              <w:framePr w:hSpace="0" w:wrap="auto" w:vAnchor="margin" w:hAnchor="text" w:yAlign="inline"/>
            </w:pPr>
            <w:r>
              <w:t>Oxfam</w:t>
            </w:r>
          </w:p>
        </w:tc>
        <w:tc>
          <w:tcPr>
            <w:tcW w:w="933" w:type="pct"/>
            <w:vAlign w:val="bottom"/>
          </w:tcPr>
          <w:p w14:paraId="2C526DBC" w14:textId="402D3A34" w:rsidR="007A28F9" w:rsidRDefault="007A28F9" w:rsidP="007A28F9">
            <w:pPr>
              <w:pStyle w:val="TableHeaderRow"/>
              <w:framePr w:hSpace="0" w:wrap="auto" w:vAnchor="margin" w:hAnchor="text" w:yAlign="inline"/>
              <w:jc w:val="right"/>
            </w:pPr>
            <w:r>
              <w:t>1.00</w:t>
            </w:r>
          </w:p>
        </w:tc>
      </w:tr>
      <w:tr w:rsidR="007A28F9" w:rsidRPr="005B583F" w14:paraId="214664B3" w14:textId="77777777" w:rsidTr="00F77443">
        <w:tc>
          <w:tcPr>
            <w:tcW w:w="4067" w:type="pct"/>
            <w:gridSpan w:val="2"/>
          </w:tcPr>
          <w:p w14:paraId="0C88BC22" w14:textId="41AE19AA" w:rsidR="007A28F9" w:rsidRDefault="007A28F9" w:rsidP="007A28F9">
            <w:pPr>
              <w:pStyle w:val="TableHeaderRow"/>
              <w:framePr w:hSpace="0" w:wrap="auto" w:vAnchor="margin" w:hAnchor="text" w:yAlign="inline"/>
            </w:pPr>
            <w:r>
              <w:t>CARE Australia</w:t>
            </w:r>
          </w:p>
        </w:tc>
        <w:tc>
          <w:tcPr>
            <w:tcW w:w="933" w:type="pct"/>
            <w:vAlign w:val="bottom"/>
          </w:tcPr>
          <w:p w14:paraId="74A60CCF" w14:textId="231CAA17" w:rsidR="007A28F9" w:rsidRDefault="007A28F9" w:rsidP="007A28F9">
            <w:pPr>
              <w:pStyle w:val="TableHeaderRow"/>
              <w:framePr w:hSpace="0" w:wrap="auto" w:vAnchor="margin" w:hAnchor="text" w:yAlign="inline"/>
              <w:jc w:val="right"/>
            </w:pPr>
            <w:r>
              <w:t>0.50</w:t>
            </w:r>
          </w:p>
        </w:tc>
      </w:tr>
      <w:tr w:rsidR="007A28F9" w:rsidRPr="005B583F" w14:paraId="6C03F9E6" w14:textId="77777777" w:rsidTr="00F77443">
        <w:tc>
          <w:tcPr>
            <w:tcW w:w="4067" w:type="pct"/>
            <w:gridSpan w:val="2"/>
          </w:tcPr>
          <w:p w14:paraId="27CD1BD4" w14:textId="4F8683FE" w:rsidR="007A28F9" w:rsidRDefault="007A28F9" w:rsidP="007A28F9">
            <w:pPr>
              <w:pStyle w:val="TableHeaderRow"/>
              <w:framePr w:hSpace="0" w:wrap="auto" w:vAnchor="margin" w:hAnchor="text" w:yAlign="inline"/>
            </w:pPr>
            <w:r>
              <w:t xml:space="preserve">International Planned Parenthood Federation </w:t>
            </w:r>
          </w:p>
        </w:tc>
        <w:tc>
          <w:tcPr>
            <w:tcW w:w="933" w:type="pct"/>
            <w:vAlign w:val="bottom"/>
          </w:tcPr>
          <w:p w14:paraId="02B16F35" w14:textId="18DD2B8F" w:rsidR="007A28F9" w:rsidRDefault="007A28F9" w:rsidP="007A28F9">
            <w:pPr>
              <w:pStyle w:val="TableHeaderRow"/>
              <w:framePr w:hSpace="0" w:wrap="auto" w:vAnchor="margin" w:hAnchor="text" w:yAlign="inline"/>
              <w:jc w:val="right"/>
            </w:pPr>
            <w:r>
              <w:t>0.18</w:t>
            </w:r>
          </w:p>
        </w:tc>
      </w:tr>
      <w:tr w:rsidR="007A28F9" w:rsidRPr="005B583F" w14:paraId="32B795D3" w14:textId="77777777" w:rsidTr="00F77443">
        <w:tc>
          <w:tcPr>
            <w:tcW w:w="4067" w:type="pct"/>
            <w:gridSpan w:val="2"/>
          </w:tcPr>
          <w:p w14:paraId="14125FBA" w14:textId="0C39BFA4" w:rsidR="007A28F9" w:rsidRDefault="007A28F9" w:rsidP="007A28F9">
            <w:pPr>
              <w:pStyle w:val="TableHeaderRow"/>
              <w:framePr w:hSpace="0" w:wrap="auto" w:vAnchor="margin" w:hAnchor="text" w:yAlign="inline"/>
            </w:pPr>
            <w:r>
              <w:t xml:space="preserve">Other </w:t>
            </w:r>
            <w:r w:rsidR="00B364BB">
              <w:t>(</w:t>
            </w:r>
            <w:r w:rsidR="00DC6131">
              <w:t xml:space="preserve">including </w:t>
            </w:r>
            <w:r w:rsidR="00CE5464">
              <w:t xml:space="preserve">Burma </w:t>
            </w:r>
            <w:r w:rsidR="00B364BB">
              <w:t>Program;  Attorney General’s Department;  Local NGOs)</w:t>
            </w:r>
          </w:p>
        </w:tc>
        <w:tc>
          <w:tcPr>
            <w:tcW w:w="933" w:type="pct"/>
            <w:vAlign w:val="bottom"/>
          </w:tcPr>
          <w:p w14:paraId="1FEF19A5" w14:textId="22472F8A" w:rsidR="007A28F9" w:rsidRDefault="007A28F9" w:rsidP="00A53CF1">
            <w:pPr>
              <w:pStyle w:val="TableHeaderRow"/>
              <w:framePr w:hSpace="0" w:wrap="auto" w:vAnchor="margin" w:hAnchor="text" w:yAlign="inline"/>
              <w:jc w:val="right"/>
            </w:pPr>
            <w:r>
              <w:t>0.</w:t>
            </w:r>
            <w:r w:rsidR="00A53CF1">
              <w:t>20</w:t>
            </w:r>
          </w:p>
        </w:tc>
      </w:tr>
      <w:tr w:rsidR="007A28F9" w:rsidRPr="005B583F" w14:paraId="26F07FE3" w14:textId="77777777" w:rsidTr="00F77443">
        <w:trPr>
          <w:cnfStyle w:val="010000000000" w:firstRow="0" w:lastRow="1" w:firstColumn="0" w:lastColumn="0" w:oddVBand="0" w:evenVBand="0" w:oddHBand="0" w:evenHBand="0" w:firstRowFirstColumn="0" w:firstRowLastColumn="0" w:lastRowFirstColumn="0" w:lastRowLastColumn="0"/>
        </w:trPr>
        <w:tc>
          <w:tcPr>
            <w:tcW w:w="4067" w:type="pct"/>
            <w:gridSpan w:val="2"/>
          </w:tcPr>
          <w:p w14:paraId="1B362AA2" w14:textId="70FC43E2" w:rsidR="007A28F9" w:rsidRDefault="007A28F9" w:rsidP="007A28F9">
            <w:pPr>
              <w:pStyle w:val="TableTotalRow"/>
            </w:pPr>
            <w:r w:rsidRPr="005B583F">
              <w:t xml:space="preserve">Total </w:t>
            </w:r>
          </w:p>
        </w:tc>
        <w:tc>
          <w:tcPr>
            <w:tcW w:w="933" w:type="pct"/>
            <w:vAlign w:val="bottom"/>
          </w:tcPr>
          <w:p w14:paraId="080E4818" w14:textId="5E8494F8" w:rsidR="007A28F9" w:rsidRPr="00806503" w:rsidRDefault="007A28F9" w:rsidP="007A28F9">
            <w:pPr>
              <w:pStyle w:val="TableTotalRow"/>
              <w:jc w:val="right"/>
            </w:pPr>
            <w:r>
              <w:t>22.0</w:t>
            </w:r>
            <w:r w:rsidR="00F77443">
              <w:t>8</w:t>
            </w:r>
          </w:p>
        </w:tc>
      </w:tr>
    </w:tbl>
    <w:p w14:paraId="30291EE8" w14:textId="77777777" w:rsidR="00E37F31" w:rsidRDefault="00E37F31" w:rsidP="00C16478">
      <w:pPr>
        <w:pStyle w:val="BodyText"/>
        <w:sectPr w:rsidR="00E37F31" w:rsidSect="00A2486C">
          <w:pgSz w:w="11906" w:h="16838" w:code="9"/>
          <w:pgMar w:top="1985" w:right="1134" w:bottom="1701" w:left="1134" w:header="567" w:footer="567" w:gutter="0"/>
          <w:cols w:space="708"/>
          <w:titlePg/>
          <w:docGrid w:linePitch="360"/>
        </w:sectPr>
      </w:pPr>
    </w:p>
    <w:p w14:paraId="18E1BAB7" w14:textId="6375CF77" w:rsidR="00E37F31" w:rsidRDefault="00E37F31" w:rsidP="0087375C">
      <w:pPr>
        <w:pStyle w:val="Heading1Numberedsmallspaceafter"/>
        <w:numPr>
          <w:ilvl w:val="0"/>
          <w:numId w:val="0"/>
        </w:numPr>
        <w:ind w:left="567" w:hanging="567"/>
      </w:pPr>
      <w:bookmarkStart w:id="6" w:name="_Toc480290285"/>
      <w:r>
        <w:lastRenderedPageBreak/>
        <w:t>Purpose and scope</w:t>
      </w:r>
      <w:bookmarkEnd w:id="6"/>
      <w:r>
        <w:t xml:space="preserve"> </w:t>
      </w:r>
    </w:p>
    <w:p w14:paraId="37967204" w14:textId="77777777" w:rsidR="00E37F31" w:rsidRDefault="00E37F31" w:rsidP="00E37F31">
      <w:pPr>
        <w:pStyle w:val="Heading1Numberedsmallspaceafter"/>
        <w:numPr>
          <w:ilvl w:val="0"/>
          <w:numId w:val="0"/>
        </w:numPr>
        <w:ind w:left="567"/>
      </w:pPr>
    </w:p>
    <w:p w14:paraId="21A0D7D3" w14:textId="4DA1872A" w:rsidR="00E37F31" w:rsidRDefault="00E37F31" w:rsidP="00E37F31">
      <w:pPr>
        <w:pStyle w:val="Heading1Numberedsmallspaceafter"/>
        <w:numPr>
          <w:ilvl w:val="0"/>
          <w:numId w:val="0"/>
        </w:numPr>
        <w:ind w:left="567"/>
      </w:pPr>
    </w:p>
    <w:p w14:paraId="0A4A271F" w14:textId="709CD344" w:rsidR="00E37F31" w:rsidRDefault="00E37F31" w:rsidP="0087375C">
      <w:pPr>
        <w:pStyle w:val="Heading2"/>
      </w:pPr>
      <w:bookmarkStart w:id="7" w:name="_Toc480290286"/>
      <w:r>
        <w:t>Evaluation purpose</w:t>
      </w:r>
      <w:bookmarkEnd w:id="7"/>
    </w:p>
    <w:p w14:paraId="64C01C6D" w14:textId="77777777" w:rsidR="00E37F31" w:rsidRPr="00E37F31" w:rsidRDefault="00E37F31" w:rsidP="00E37F31"/>
    <w:p w14:paraId="2C32637E" w14:textId="726FAE3A" w:rsidR="00F22E77" w:rsidRPr="00E4650A" w:rsidRDefault="008B2196" w:rsidP="00F22E77">
      <w:pPr>
        <w:pStyle w:val="BodyText"/>
      </w:pPr>
      <w:r>
        <w:t>This</w:t>
      </w:r>
      <w:r w:rsidR="00F22E77" w:rsidRPr="00E4650A">
        <w:t xml:space="preserve"> evaluation </w:t>
      </w:r>
      <w:r>
        <w:t>will</w:t>
      </w:r>
      <w:r w:rsidR="00F22E77" w:rsidRPr="00E4650A">
        <w:t xml:space="preserve"> assess: </w:t>
      </w:r>
    </w:p>
    <w:p w14:paraId="241F9DC9" w14:textId="7D1B5CA4" w:rsidR="00F22E77" w:rsidRPr="00E60A1F" w:rsidRDefault="00F22E77" w:rsidP="004C1C48">
      <w:pPr>
        <w:pStyle w:val="BodyText"/>
        <w:numPr>
          <w:ilvl w:val="0"/>
          <w:numId w:val="12"/>
        </w:numPr>
      </w:pPr>
      <w:r w:rsidRPr="00E60A1F">
        <w:t>the appropriateness and relevance of Australia’s support;</w:t>
      </w:r>
    </w:p>
    <w:p w14:paraId="6BF4E6A8" w14:textId="5A979F29" w:rsidR="00F22E77" w:rsidRPr="00E60A1F" w:rsidRDefault="00F22E77" w:rsidP="004C1C48">
      <w:pPr>
        <w:pStyle w:val="BodyText"/>
        <w:numPr>
          <w:ilvl w:val="0"/>
          <w:numId w:val="12"/>
        </w:numPr>
      </w:pPr>
      <w:r w:rsidRPr="00E60A1F">
        <w:t>the effectiveness and efficiency of Australia’s support;</w:t>
      </w:r>
    </w:p>
    <w:p w14:paraId="2D41B58A" w14:textId="77777777" w:rsidR="00F22E77" w:rsidRPr="00E60A1F" w:rsidRDefault="00F22E77" w:rsidP="004C1C48">
      <w:pPr>
        <w:pStyle w:val="BodyText"/>
        <w:numPr>
          <w:ilvl w:val="0"/>
          <w:numId w:val="12"/>
        </w:numPr>
      </w:pPr>
      <w:r w:rsidRPr="00E60A1F">
        <w:t>whether the support reinforced local and national leadership and capacity; and</w:t>
      </w:r>
    </w:p>
    <w:p w14:paraId="4CDE485F" w14:textId="6CC5F58E" w:rsidR="00F22E77" w:rsidRPr="00E60A1F" w:rsidRDefault="00F22E77" w:rsidP="004C1C48">
      <w:pPr>
        <w:pStyle w:val="BodyText"/>
        <w:numPr>
          <w:ilvl w:val="0"/>
          <w:numId w:val="12"/>
        </w:numPr>
      </w:pPr>
      <w:r w:rsidRPr="00E60A1F">
        <w:t xml:space="preserve">the </w:t>
      </w:r>
      <w:r w:rsidR="00A4402E">
        <w:t>extent to which</w:t>
      </w:r>
      <w:r w:rsidRPr="00E60A1F">
        <w:t xml:space="preserve"> Australia</w:t>
      </w:r>
      <w:r w:rsidR="00A4402E">
        <w:t xml:space="preserve"> identifies and uses opportunities to influence partners in country and at the global level</w:t>
      </w:r>
      <w:r w:rsidRPr="00E60A1F">
        <w:t xml:space="preserve"> with the international humanitarian system.</w:t>
      </w:r>
    </w:p>
    <w:p w14:paraId="068B4B2B" w14:textId="068DEA72" w:rsidR="00F22E77" w:rsidRPr="00E60A1F" w:rsidRDefault="00F22E77" w:rsidP="00E60A1F">
      <w:pPr>
        <w:pStyle w:val="BodyText"/>
      </w:pPr>
      <w:r w:rsidRPr="00E60A1F">
        <w:t xml:space="preserve">The evaluation </w:t>
      </w:r>
      <w:r w:rsidR="008B2196">
        <w:t>will provide</w:t>
      </w:r>
      <w:r w:rsidRPr="00E60A1F">
        <w:t xml:space="preserve"> forward looking r</w:t>
      </w:r>
      <w:r w:rsidR="006566BE">
        <w:t xml:space="preserve">ecommendations for the program focusing on </w:t>
      </w:r>
      <w:r w:rsidRPr="00E60A1F">
        <w:t xml:space="preserve">how </w:t>
      </w:r>
      <w:r w:rsidR="00BE7BBB" w:rsidRPr="00E60A1F">
        <w:t xml:space="preserve">Australian </w:t>
      </w:r>
      <w:r w:rsidR="00BE7BBB">
        <w:t xml:space="preserve">humanitarian </w:t>
      </w:r>
      <w:r w:rsidR="00BE7BBB" w:rsidRPr="00E60A1F">
        <w:t xml:space="preserve">support </w:t>
      </w:r>
      <w:r w:rsidR="00BE7BBB">
        <w:t xml:space="preserve">in Myanmar </w:t>
      </w:r>
      <w:r w:rsidR="00BE7BBB" w:rsidRPr="00E60A1F">
        <w:t xml:space="preserve">could </w:t>
      </w:r>
      <w:r w:rsidRPr="00E60A1F">
        <w:t>be improved (a</w:t>
      </w:r>
      <w:r w:rsidR="007E4CF3">
        <w:t>s well as</w:t>
      </w:r>
      <w:r w:rsidRPr="00E60A1F">
        <w:t xml:space="preserve"> the scope for further consolidation)</w:t>
      </w:r>
      <w:r w:rsidR="007E4CF3">
        <w:t>,</w:t>
      </w:r>
      <w:r w:rsidRPr="00E60A1F">
        <w:t xml:space="preserve"> and the practicalities of moving towards multi-year funding and planning. </w:t>
      </w:r>
    </w:p>
    <w:p w14:paraId="10DA9B99" w14:textId="79417D41" w:rsidR="00E37F31" w:rsidRDefault="006C7CE0" w:rsidP="0087375C">
      <w:pPr>
        <w:pStyle w:val="Heading2"/>
      </w:pPr>
      <w:bookmarkStart w:id="8" w:name="_Toc480290287"/>
      <w:r>
        <w:t>Evaluatio</w:t>
      </w:r>
      <w:r w:rsidR="00E37F31">
        <w:t>n scope</w:t>
      </w:r>
      <w:bookmarkEnd w:id="8"/>
      <w:r w:rsidR="00E37F31">
        <w:t xml:space="preserve"> </w:t>
      </w:r>
    </w:p>
    <w:p w14:paraId="3C78DBE5" w14:textId="77777777" w:rsidR="008B2196" w:rsidRPr="008B2196" w:rsidRDefault="008B2196" w:rsidP="0051207D">
      <w:pPr>
        <w:pStyle w:val="BodyText"/>
        <w:rPr>
          <w:b/>
        </w:rPr>
      </w:pPr>
      <w:r w:rsidRPr="008B2196">
        <w:rPr>
          <w:b/>
        </w:rPr>
        <w:t xml:space="preserve">Time frame: </w:t>
      </w:r>
    </w:p>
    <w:p w14:paraId="72731F96" w14:textId="4F93D1C9" w:rsidR="008B2196" w:rsidRDefault="0051207D" w:rsidP="0051207D">
      <w:pPr>
        <w:pStyle w:val="BodyText"/>
      </w:pPr>
      <w:r w:rsidRPr="00E4650A">
        <w:t xml:space="preserve">The focus </w:t>
      </w:r>
      <w:r w:rsidR="007E4CF3">
        <w:t xml:space="preserve">of the evaluation </w:t>
      </w:r>
      <w:r w:rsidRPr="00E4650A">
        <w:t xml:space="preserve">is Australia’s humanitarian investments in Myanmar from </w:t>
      </w:r>
      <w:r w:rsidR="00F3481E">
        <w:t>July 2014</w:t>
      </w:r>
      <w:r w:rsidR="00240B1D">
        <w:t xml:space="preserve"> to present</w:t>
      </w:r>
      <w:r w:rsidRPr="00E4650A">
        <w:t xml:space="preserve">. </w:t>
      </w:r>
    </w:p>
    <w:p w14:paraId="16C0A416" w14:textId="77777777" w:rsidR="008B2196" w:rsidRPr="008B2196" w:rsidRDefault="008B2196" w:rsidP="0051207D">
      <w:pPr>
        <w:pStyle w:val="BodyText"/>
        <w:rPr>
          <w:b/>
        </w:rPr>
      </w:pPr>
      <w:r w:rsidRPr="008B2196">
        <w:rPr>
          <w:b/>
        </w:rPr>
        <w:t xml:space="preserve">Programmatic focus: </w:t>
      </w:r>
    </w:p>
    <w:p w14:paraId="2CD5A6C8" w14:textId="77777777" w:rsidR="00240B1D" w:rsidRDefault="0051207D" w:rsidP="0051207D">
      <w:pPr>
        <w:pStyle w:val="BodyText"/>
      </w:pPr>
      <w:r w:rsidRPr="00E4650A">
        <w:t>This evaluation</w:t>
      </w:r>
      <w:r w:rsidR="007E4CF3">
        <w:t xml:space="preserve"> will</w:t>
      </w:r>
      <w:r w:rsidRPr="00E4650A">
        <w:t xml:space="preserve"> </w:t>
      </w:r>
      <w:r w:rsidR="00240B1D">
        <w:t xml:space="preserve">consider </w:t>
      </w:r>
      <w:r w:rsidRPr="00E4650A">
        <w:t xml:space="preserve">Australian </w:t>
      </w:r>
      <w:r w:rsidR="00240B1D">
        <w:t xml:space="preserve">humanitarian </w:t>
      </w:r>
      <w:r w:rsidRPr="00E4650A">
        <w:t xml:space="preserve">support </w:t>
      </w:r>
      <w:r w:rsidR="008B2196">
        <w:t xml:space="preserve">to </w:t>
      </w:r>
      <w:r w:rsidR="00A4402E">
        <w:t>situations of protracted displacement</w:t>
      </w:r>
      <w:r w:rsidR="00240B1D">
        <w:t xml:space="preserve"> in Myanmar. The evaluation will focus in particular on the humanitarian support provided in Rakhine, Kachin and Shan states. Field visits to Rakhine and Kachin will be undertaken as part of the evaluation. </w:t>
      </w:r>
    </w:p>
    <w:p w14:paraId="25278BB7" w14:textId="701DC175" w:rsidR="0051207D" w:rsidRDefault="008B2196" w:rsidP="0051207D">
      <w:pPr>
        <w:pStyle w:val="BodyText"/>
      </w:pPr>
      <w:r>
        <w:t>The evaluation will not include support</w:t>
      </w:r>
      <w:r w:rsidR="00240B1D">
        <w:t xml:space="preserve"> to displaced populations on the Thai-Myanmar border or response to</w:t>
      </w:r>
      <w:r>
        <w:t xml:space="preserve"> </w:t>
      </w:r>
      <w:r w:rsidR="00240B1D">
        <w:t>rapid onset</w:t>
      </w:r>
      <w:r>
        <w:t xml:space="preserve"> disaster</w:t>
      </w:r>
      <w:r w:rsidR="00240B1D">
        <w:t>s (such as the flooding after Cyclone Komen)</w:t>
      </w:r>
      <w:r>
        <w:t xml:space="preserve">. </w:t>
      </w:r>
    </w:p>
    <w:p w14:paraId="45B7EAC1" w14:textId="0D828DBD" w:rsidR="008B2196" w:rsidRDefault="008B2196" w:rsidP="0051207D">
      <w:pPr>
        <w:pStyle w:val="BodyText"/>
      </w:pPr>
      <w:r>
        <w:t xml:space="preserve">The evaluation will consider the linkages between the humanitarian program and the development and diplomacy efforts of the Australian government. </w:t>
      </w:r>
    </w:p>
    <w:p w14:paraId="648443A1" w14:textId="06E4C7CC" w:rsidR="008B2196" w:rsidRPr="008B2196" w:rsidRDefault="008B2196" w:rsidP="0051207D">
      <w:pPr>
        <w:pStyle w:val="BodyText"/>
        <w:rPr>
          <w:b/>
        </w:rPr>
      </w:pPr>
      <w:r w:rsidRPr="008B2196">
        <w:rPr>
          <w:b/>
        </w:rPr>
        <w:t>Partner focus:</w:t>
      </w:r>
    </w:p>
    <w:p w14:paraId="11D19B74" w14:textId="739B17F3" w:rsidR="008B2196" w:rsidRDefault="006C7CE0" w:rsidP="006C7CE0">
      <w:pPr>
        <w:pStyle w:val="BodyText"/>
      </w:pPr>
      <w:r>
        <w:t xml:space="preserve">The </w:t>
      </w:r>
      <w:r w:rsidR="008B2196">
        <w:t xml:space="preserve">evaluation will consider the appropriateness of the partners </w:t>
      </w:r>
      <w:r w:rsidR="00A06851">
        <w:t>as a whole and the effectiveness and efficiency of the package. T</w:t>
      </w:r>
      <w:r w:rsidR="00282C96">
        <w:t xml:space="preserve">he team will </w:t>
      </w:r>
      <w:r w:rsidR="00A06851">
        <w:t>also focus in more detail on</w:t>
      </w:r>
      <w:r w:rsidR="00282C96">
        <w:t xml:space="preserve"> key partners</w:t>
      </w:r>
      <w:r w:rsidR="00B42158">
        <w:t xml:space="preserve">, that will be purposively selected based on discussion with Myanmar program staff and with consideration to partners </w:t>
      </w:r>
      <w:r w:rsidR="00282C96">
        <w:t>that Australia has significantly invested in</w:t>
      </w:r>
      <w:r w:rsidR="00FF5AB4">
        <w:t xml:space="preserve"> (receiving more than one funding instalment and/or</w:t>
      </w:r>
      <w:r w:rsidR="00282C96">
        <w:t xml:space="preserve"> </w:t>
      </w:r>
      <w:r w:rsidR="00FF5AB4">
        <w:t>receiving more than 2 million AUD in the evaluation period</w:t>
      </w:r>
      <w:r w:rsidR="00242724">
        <w:t>).</w:t>
      </w:r>
      <w:r w:rsidR="00FF5AB4">
        <w:t xml:space="preserve"> The team may additionally consider partners that </w:t>
      </w:r>
      <w:r w:rsidR="00282C96">
        <w:t xml:space="preserve">focus on programmatic areas of key strategic interest. </w:t>
      </w:r>
    </w:p>
    <w:p w14:paraId="669AD0D0" w14:textId="77777777" w:rsidR="00FF5AB4" w:rsidRDefault="00FF5AB4" w:rsidP="006C7CE0">
      <w:pPr>
        <w:pStyle w:val="BodyText"/>
      </w:pPr>
    </w:p>
    <w:p w14:paraId="72F0818A" w14:textId="7B385600" w:rsidR="00F70E8E" w:rsidRPr="00F70E8E" w:rsidRDefault="00F70E8E" w:rsidP="006C7CE0">
      <w:pPr>
        <w:pStyle w:val="BodyText"/>
        <w:rPr>
          <w:b/>
        </w:rPr>
      </w:pPr>
      <w:r w:rsidRPr="00F70E8E">
        <w:rPr>
          <w:b/>
        </w:rPr>
        <w:lastRenderedPageBreak/>
        <w:t xml:space="preserve">Thematic focus: </w:t>
      </w:r>
    </w:p>
    <w:p w14:paraId="3B484A31" w14:textId="367BF671" w:rsidR="00F70E8E" w:rsidRDefault="00F70E8E" w:rsidP="006C7CE0">
      <w:pPr>
        <w:pStyle w:val="BodyText"/>
      </w:pPr>
      <w:r>
        <w:t>This evaluation will focus on three thematic priorities articulated in the Humanitarian Strategy: gender equality and women’s empowerment; disability inclusiveness; and protection</w:t>
      </w:r>
      <w:r w:rsidR="00B42158">
        <w:rPr>
          <w:rStyle w:val="FootnoteReference"/>
        </w:rPr>
        <w:footnoteReference w:id="2"/>
      </w:r>
      <w:r>
        <w:t xml:space="preserve">. These considerations will be mainstreamed in the evaluation as well as being addressed in specific key evaluation questions. </w:t>
      </w:r>
    </w:p>
    <w:p w14:paraId="2242B275" w14:textId="66BFBCEF" w:rsidR="00E37F31" w:rsidRDefault="00E37F31" w:rsidP="0087375C">
      <w:pPr>
        <w:pStyle w:val="Heading2"/>
      </w:pPr>
      <w:bookmarkStart w:id="9" w:name="_Toc480290288"/>
      <w:r>
        <w:t>Evaluation use</w:t>
      </w:r>
      <w:bookmarkEnd w:id="9"/>
    </w:p>
    <w:p w14:paraId="05020C3F" w14:textId="77777777" w:rsidR="00E37F31" w:rsidRPr="00E37F31" w:rsidRDefault="00E37F31" w:rsidP="00E37F31"/>
    <w:p w14:paraId="25251870" w14:textId="5C58279F" w:rsidR="004A3597" w:rsidRPr="005A03AD" w:rsidRDefault="004A3597" w:rsidP="004A3597">
      <w:pPr>
        <w:pStyle w:val="BodyText"/>
      </w:pPr>
      <w:r w:rsidRPr="005A03AD">
        <w:t xml:space="preserve">The principal </w:t>
      </w:r>
      <w:r>
        <w:t>users</w:t>
      </w:r>
      <w:r w:rsidRPr="005A03AD">
        <w:t xml:space="preserve"> for this evaluation will be </w:t>
      </w:r>
      <w:r>
        <w:t>the Department of Foreign Affairs and Trade</w:t>
      </w:r>
      <w:r w:rsidRPr="005A03AD">
        <w:t>, and in partic</w:t>
      </w:r>
      <w:r>
        <w:t xml:space="preserve">ular senior policy makers in the Humanitarian </w:t>
      </w:r>
      <w:r w:rsidRPr="005A03AD">
        <w:t xml:space="preserve">division and the </w:t>
      </w:r>
      <w:r w:rsidR="0089564E">
        <w:t>South-East</w:t>
      </w:r>
      <w:r w:rsidR="000F51F1">
        <w:t xml:space="preserve"> </w:t>
      </w:r>
      <w:r w:rsidR="00BE5204">
        <w:t>Asia</w:t>
      </w:r>
      <w:r w:rsidR="000F51F1">
        <w:t xml:space="preserve"> Mainland</w:t>
      </w:r>
      <w:r w:rsidR="002345CA">
        <w:t xml:space="preserve"> </w:t>
      </w:r>
      <w:r w:rsidR="000F51F1">
        <w:t>Division</w:t>
      </w:r>
      <w:r w:rsidRPr="005A03AD">
        <w:t>. The nature of the evaluation as a public document means that it will also be of interest to a wider audience, including Aus</w:t>
      </w:r>
      <w:r>
        <w:t xml:space="preserve">tralian Government </w:t>
      </w:r>
      <w:r w:rsidRPr="005A03AD">
        <w:t>partners in the multi-lateral and non-government sectors as well as those who support and contribute to the humanitarian operations of the</w:t>
      </w:r>
      <w:r>
        <w:t>se</w:t>
      </w:r>
      <w:r w:rsidRPr="005A03AD">
        <w:t xml:space="preserve"> organisation</w:t>
      </w:r>
      <w:r>
        <w:t>s</w:t>
      </w:r>
      <w:r w:rsidRPr="005A03AD">
        <w:t>.</w:t>
      </w:r>
    </w:p>
    <w:p w14:paraId="0CD25C41" w14:textId="52D78B1F" w:rsidR="00983D62" w:rsidRDefault="00983D62" w:rsidP="00C16478">
      <w:pPr>
        <w:pStyle w:val="BodyText"/>
        <w:sectPr w:rsidR="00983D62" w:rsidSect="00E37F31">
          <w:type w:val="evenPage"/>
          <w:pgSz w:w="11906" w:h="16838" w:code="9"/>
          <w:pgMar w:top="1985" w:right="1134" w:bottom="1701" w:left="1134" w:header="567" w:footer="567" w:gutter="0"/>
          <w:cols w:space="708"/>
          <w:titlePg/>
          <w:docGrid w:linePitch="360"/>
        </w:sectPr>
      </w:pPr>
    </w:p>
    <w:p w14:paraId="577C3134" w14:textId="0E0FBD00" w:rsidR="006B0E2A" w:rsidRPr="006B0E2A" w:rsidRDefault="006B0E2A" w:rsidP="00C16478">
      <w:pPr>
        <w:pStyle w:val="BodyText"/>
      </w:pPr>
    </w:p>
    <w:p w14:paraId="4B77FCFE" w14:textId="63AA1DEF" w:rsidR="00983D62" w:rsidRDefault="00983D62" w:rsidP="0087375C">
      <w:pPr>
        <w:pStyle w:val="Heading1Numberedsmallspaceafter"/>
        <w:numPr>
          <w:ilvl w:val="0"/>
          <w:numId w:val="0"/>
        </w:numPr>
        <w:ind w:left="567" w:hanging="567"/>
      </w:pPr>
      <w:bookmarkStart w:id="10" w:name="_Toc480290289"/>
      <w:r>
        <w:t>Approach</w:t>
      </w:r>
      <w:bookmarkEnd w:id="10"/>
      <w:r>
        <w:t xml:space="preserve">  </w:t>
      </w:r>
    </w:p>
    <w:p w14:paraId="58DCA5D9" w14:textId="77777777" w:rsidR="001B2B3E" w:rsidRDefault="001B2B3E" w:rsidP="001B2B3E">
      <w:pPr>
        <w:pStyle w:val="Heading2Numbered"/>
        <w:numPr>
          <w:ilvl w:val="0"/>
          <w:numId w:val="0"/>
        </w:numPr>
        <w:ind w:left="567"/>
      </w:pPr>
    </w:p>
    <w:p w14:paraId="23D35B83" w14:textId="77777777" w:rsidR="001B2B3E" w:rsidRDefault="001B2B3E" w:rsidP="0089564E">
      <w:pPr>
        <w:pStyle w:val="Heading2Numbered"/>
        <w:numPr>
          <w:ilvl w:val="0"/>
          <w:numId w:val="0"/>
        </w:numPr>
      </w:pPr>
    </w:p>
    <w:p w14:paraId="67AE5A4A" w14:textId="11822CAE" w:rsidR="001B2B3E" w:rsidRDefault="001B2B3E" w:rsidP="0087375C">
      <w:pPr>
        <w:pStyle w:val="Heading2Numbered"/>
        <w:numPr>
          <w:ilvl w:val="0"/>
          <w:numId w:val="0"/>
        </w:numPr>
      </w:pPr>
      <w:bookmarkStart w:id="11" w:name="_Toc480290290"/>
      <w:r>
        <w:t>Areas of enquiry</w:t>
      </w:r>
      <w:bookmarkEnd w:id="11"/>
    </w:p>
    <w:p w14:paraId="6D641706" w14:textId="77777777" w:rsidR="00900D69" w:rsidRDefault="00900D69" w:rsidP="00900D69">
      <w:pPr>
        <w:pStyle w:val="BodyText"/>
      </w:pPr>
      <w:r>
        <w:t>The four areas of enquiry proposed by the evaluation team are as follows:</w:t>
      </w:r>
    </w:p>
    <w:p w14:paraId="33D42FC6" w14:textId="1FB9DAAA" w:rsidR="00900D69" w:rsidRDefault="00282C96" w:rsidP="004C1C48">
      <w:pPr>
        <w:pStyle w:val="ListBullet"/>
        <w:numPr>
          <w:ilvl w:val="0"/>
          <w:numId w:val="13"/>
        </w:numPr>
      </w:pPr>
      <w:r>
        <w:t>Appropriateness and Relevance</w:t>
      </w:r>
    </w:p>
    <w:p w14:paraId="6E399CAA" w14:textId="4233F183" w:rsidR="00900D69" w:rsidRDefault="00900D69" w:rsidP="004C1C48">
      <w:pPr>
        <w:pStyle w:val="ListBullet"/>
        <w:numPr>
          <w:ilvl w:val="0"/>
          <w:numId w:val="13"/>
        </w:numPr>
      </w:pPr>
      <w:r>
        <w:t xml:space="preserve">Effectiveness and </w:t>
      </w:r>
      <w:r w:rsidR="00282C96">
        <w:t>Efficiency</w:t>
      </w:r>
    </w:p>
    <w:p w14:paraId="333C0884" w14:textId="54BB5C8F" w:rsidR="00900D69" w:rsidRDefault="00282C96" w:rsidP="004C1C48">
      <w:pPr>
        <w:pStyle w:val="ListBullet"/>
        <w:numPr>
          <w:ilvl w:val="0"/>
          <w:numId w:val="13"/>
        </w:numPr>
      </w:pPr>
      <w:r>
        <w:t>National and local leadership</w:t>
      </w:r>
    </w:p>
    <w:p w14:paraId="211F7304" w14:textId="445645E1" w:rsidR="00900D69" w:rsidRDefault="00282C96" w:rsidP="004C1C48">
      <w:pPr>
        <w:pStyle w:val="ListBullet"/>
        <w:numPr>
          <w:ilvl w:val="0"/>
          <w:numId w:val="13"/>
        </w:numPr>
      </w:pPr>
      <w:r>
        <w:t>Advocacy and Influence</w:t>
      </w:r>
    </w:p>
    <w:p w14:paraId="523331C7" w14:textId="09BC131A" w:rsidR="001B2B3E" w:rsidRDefault="00900D69" w:rsidP="00900D69">
      <w:pPr>
        <w:pStyle w:val="BodyText"/>
      </w:pPr>
      <w:r>
        <w:t>The detailed breakdown of the questions that will inform these areas of enquiry, and the methods that will be used to answer them is set out in the evaluation matrix in Annex One.</w:t>
      </w:r>
    </w:p>
    <w:p w14:paraId="20598E8D" w14:textId="56CBA9FA" w:rsidR="00900D69" w:rsidRDefault="00900D69" w:rsidP="00900D69">
      <w:pPr>
        <w:pStyle w:val="Heading2"/>
      </w:pPr>
      <w:bookmarkStart w:id="12" w:name="_Toc394312262"/>
      <w:bookmarkStart w:id="13" w:name="_Toc480290291"/>
      <w:r>
        <w:t>Methods</w:t>
      </w:r>
      <w:bookmarkEnd w:id="12"/>
      <w:bookmarkEnd w:id="13"/>
    </w:p>
    <w:p w14:paraId="26BE79B0" w14:textId="3086F06B" w:rsidR="00900D69" w:rsidRDefault="00900D69" w:rsidP="00900D69">
      <w:pPr>
        <w:pStyle w:val="BodyText"/>
      </w:pPr>
      <w:r w:rsidRPr="001C7A3B">
        <w:t>The evaluation will use a mixed methods approach, combining stakeholder interviews, document and literature review</w:t>
      </w:r>
      <w:r>
        <w:t xml:space="preserve"> and </w:t>
      </w:r>
      <w:r w:rsidRPr="001C7A3B">
        <w:t xml:space="preserve">focus groups </w:t>
      </w:r>
      <w:r>
        <w:t>discussion</w:t>
      </w:r>
      <w:r w:rsidRPr="001C7A3B">
        <w:t>.</w:t>
      </w:r>
      <w:r w:rsidR="00B42158">
        <w:t xml:space="preserve"> Field visits to Rakhine and Kachin are intended to ensure that the evaluation puts the experience of the affected population at the centre of the process. </w:t>
      </w:r>
      <w:r w:rsidRPr="001C7A3B">
        <w:t>Findings, conclusions and recommendations will be evidence based</w:t>
      </w:r>
      <w:r w:rsidR="00B42158">
        <w:t xml:space="preserve"> and triangulated</w:t>
      </w:r>
      <w:r w:rsidRPr="001C7A3B">
        <w:t>. Research will be largely qualitative, using quantitative secondary data where it is available and relevant, in particular w</w:t>
      </w:r>
      <w:r w:rsidR="00B42158">
        <w:t xml:space="preserve">hen looking at results achieved and at disaggregated data by sex, age, ability and group reached.  </w:t>
      </w:r>
    </w:p>
    <w:p w14:paraId="744F0CD5" w14:textId="77777777" w:rsidR="00900D69" w:rsidRDefault="00900D69" w:rsidP="00900D69">
      <w:pPr>
        <w:pStyle w:val="Caption"/>
      </w:pPr>
      <w:r>
        <w:t xml:space="preserve">Table </w:t>
      </w:r>
      <w:r>
        <w:fldChar w:fldCharType="begin"/>
      </w:r>
      <w:r>
        <w:instrText xml:space="preserve"> SEQ Table \* ARABIC </w:instrText>
      </w:r>
      <w:r>
        <w:fldChar w:fldCharType="separate"/>
      </w:r>
      <w:r>
        <w:rPr>
          <w:noProof/>
        </w:rPr>
        <w:t>2</w:t>
      </w:r>
      <w:r>
        <w:rPr>
          <w:noProof/>
        </w:rPr>
        <w:fldChar w:fldCharType="end"/>
      </w:r>
      <w:r>
        <w:t>: Summary of data collection methods</w:t>
      </w:r>
    </w:p>
    <w:tbl>
      <w:tblPr>
        <w:tblStyle w:val="DFATTable"/>
        <w:tblW w:w="0" w:type="auto"/>
        <w:tblLook w:val="04A0" w:firstRow="1" w:lastRow="0" w:firstColumn="1" w:lastColumn="0" w:noHBand="0" w:noVBand="1"/>
      </w:tblPr>
      <w:tblGrid>
        <w:gridCol w:w="2518"/>
        <w:gridCol w:w="2977"/>
        <w:gridCol w:w="2977"/>
      </w:tblGrid>
      <w:tr w:rsidR="00900D69" w:rsidRPr="00A428F1" w14:paraId="04429182" w14:textId="77777777" w:rsidTr="0023647E">
        <w:tc>
          <w:tcPr>
            <w:tcW w:w="5495" w:type="dxa"/>
            <w:gridSpan w:val="2"/>
          </w:tcPr>
          <w:p w14:paraId="17AC348D" w14:textId="77777777" w:rsidR="00900D69" w:rsidRDefault="00900D69" w:rsidP="0023647E">
            <w:pPr>
              <w:pStyle w:val="TableHeading1"/>
            </w:pPr>
            <w:r w:rsidRPr="009E7810">
              <w:t xml:space="preserve">Summary table of data collection methods </w:t>
            </w:r>
          </w:p>
        </w:tc>
        <w:tc>
          <w:tcPr>
            <w:tcW w:w="2977" w:type="dxa"/>
          </w:tcPr>
          <w:p w14:paraId="4468D1B9" w14:textId="77777777" w:rsidR="00900D69" w:rsidRDefault="00900D69" w:rsidP="0023647E"/>
        </w:tc>
      </w:tr>
      <w:tr w:rsidR="00900D69" w:rsidRPr="00A428F1" w14:paraId="79DC1B13" w14:textId="77777777" w:rsidTr="0023647E">
        <w:tc>
          <w:tcPr>
            <w:tcW w:w="2518" w:type="dxa"/>
          </w:tcPr>
          <w:p w14:paraId="08D4DFE7" w14:textId="77777777" w:rsidR="00900D69" w:rsidRPr="00A428F1" w:rsidRDefault="00900D69" w:rsidP="0023647E">
            <w:pPr>
              <w:pStyle w:val="TableTextEntries"/>
              <w:rPr>
                <w:sz w:val="21"/>
              </w:rPr>
            </w:pPr>
            <w:r>
              <w:t>Document review (including secondary data and literature)</w:t>
            </w:r>
          </w:p>
        </w:tc>
        <w:tc>
          <w:tcPr>
            <w:tcW w:w="5954" w:type="dxa"/>
            <w:gridSpan w:val="2"/>
          </w:tcPr>
          <w:p w14:paraId="699E52D1" w14:textId="43C1FD5B" w:rsidR="00900D69" w:rsidRPr="00A428F1" w:rsidRDefault="00900D69" w:rsidP="007B7987">
            <w:pPr>
              <w:pStyle w:val="TableTextEntries"/>
              <w:rPr>
                <w:sz w:val="21"/>
              </w:rPr>
            </w:pPr>
            <w:r w:rsidRPr="00A428F1">
              <w:t xml:space="preserve">There is a sizeable amount of data available from </w:t>
            </w:r>
            <w:r>
              <w:t>implementing partner reporting</w:t>
            </w:r>
            <w:r w:rsidRPr="00A428F1">
              <w:t xml:space="preserve"> </w:t>
            </w:r>
            <w:r>
              <w:t>and other evaluations</w:t>
            </w:r>
            <w:r w:rsidRPr="00A428F1">
              <w:t>. There is a</w:t>
            </w:r>
            <w:r>
              <w:t>lso a</w:t>
            </w:r>
            <w:r w:rsidRPr="00A428F1">
              <w:t xml:space="preserve"> quantity of academic and grey literature available on the</w:t>
            </w:r>
            <w:r w:rsidR="007B7987">
              <w:t xml:space="preserve"> Myanmar</w:t>
            </w:r>
            <w:r>
              <w:t xml:space="preserve"> </w:t>
            </w:r>
            <w:r w:rsidRPr="00A428F1">
              <w:t>crisis</w:t>
            </w:r>
            <w:r>
              <w:t xml:space="preserve">. Material will be prioritised according to relevance of content (against areas of enquiry), source and credibility and analysed. </w:t>
            </w:r>
            <w:r w:rsidR="00B42158">
              <w:t xml:space="preserve">Expenditure will also be analysed to show allocations by partner and focus area, where feasible. </w:t>
            </w:r>
          </w:p>
        </w:tc>
      </w:tr>
      <w:tr w:rsidR="00900D69" w:rsidRPr="00A428F1" w14:paraId="3A7A2D68" w14:textId="77777777" w:rsidTr="0023647E">
        <w:tc>
          <w:tcPr>
            <w:tcW w:w="2518" w:type="dxa"/>
          </w:tcPr>
          <w:p w14:paraId="0C07B179" w14:textId="77777777" w:rsidR="00900D69" w:rsidRPr="00A428F1" w:rsidRDefault="00900D69" w:rsidP="0023647E">
            <w:pPr>
              <w:pStyle w:val="TableTextEntries"/>
              <w:rPr>
                <w:sz w:val="21"/>
              </w:rPr>
            </w:pPr>
            <w:r w:rsidRPr="00A428F1">
              <w:t xml:space="preserve">Key </w:t>
            </w:r>
            <w:r>
              <w:t>informant</w:t>
            </w:r>
            <w:r w:rsidRPr="00A428F1">
              <w:t xml:space="preserve"> interviews</w:t>
            </w:r>
          </w:p>
        </w:tc>
        <w:tc>
          <w:tcPr>
            <w:tcW w:w="5954" w:type="dxa"/>
            <w:gridSpan w:val="2"/>
          </w:tcPr>
          <w:p w14:paraId="1E303551" w14:textId="5CFB48FA" w:rsidR="00900D69" w:rsidRPr="00A428F1" w:rsidRDefault="00900D69" w:rsidP="00142E45">
            <w:pPr>
              <w:pStyle w:val="TableTextEntries"/>
              <w:rPr>
                <w:sz w:val="21"/>
              </w:rPr>
            </w:pPr>
            <w:r w:rsidRPr="00A428F1">
              <w:t xml:space="preserve">Key </w:t>
            </w:r>
            <w:r>
              <w:t>informant</w:t>
            </w:r>
            <w:r w:rsidRPr="00A428F1">
              <w:t xml:space="preserve"> interviews will be </w:t>
            </w:r>
            <w:r>
              <w:t xml:space="preserve">conducted with government and implementing partners in </w:t>
            </w:r>
            <w:r w:rsidR="00142E45">
              <w:t>Myanmar</w:t>
            </w:r>
            <w:r>
              <w:t xml:space="preserve"> and DFAT staff in Canberra</w:t>
            </w:r>
            <w:r w:rsidR="007B7987">
              <w:t xml:space="preserve"> and Myanmar</w:t>
            </w:r>
            <w:r w:rsidRPr="00A428F1">
              <w:t>. The evaluation will use semi-structured interviews, derived fro</w:t>
            </w:r>
            <w:r>
              <w:t xml:space="preserve">m the evaluation key questions/matrix. </w:t>
            </w:r>
            <w:r w:rsidRPr="00B86A92">
              <w:t>Where face to face meetings are not possible telephone interviews will be conducted.</w:t>
            </w:r>
          </w:p>
        </w:tc>
      </w:tr>
      <w:tr w:rsidR="00900D69" w:rsidRPr="00A428F1" w14:paraId="04513632" w14:textId="77777777" w:rsidTr="0023647E">
        <w:tc>
          <w:tcPr>
            <w:tcW w:w="2518" w:type="dxa"/>
          </w:tcPr>
          <w:p w14:paraId="7C2CC578" w14:textId="77777777" w:rsidR="00900D69" w:rsidRPr="00A428F1" w:rsidRDefault="00900D69" w:rsidP="0023647E">
            <w:pPr>
              <w:pStyle w:val="TableTextEntries"/>
              <w:rPr>
                <w:sz w:val="21"/>
              </w:rPr>
            </w:pPr>
            <w:r w:rsidRPr="00A428F1">
              <w:t>Focus group discussions</w:t>
            </w:r>
          </w:p>
        </w:tc>
        <w:tc>
          <w:tcPr>
            <w:tcW w:w="5954" w:type="dxa"/>
            <w:gridSpan w:val="2"/>
          </w:tcPr>
          <w:p w14:paraId="172F154F" w14:textId="71555D7D" w:rsidR="00900D69" w:rsidRPr="00FA33E7" w:rsidRDefault="00900D69" w:rsidP="00F70E8E">
            <w:pPr>
              <w:pStyle w:val="TableTextEntries"/>
            </w:pPr>
            <w:r w:rsidRPr="00A428F1">
              <w:t xml:space="preserve">Focus group discussions with </w:t>
            </w:r>
            <w:r w:rsidR="007B7987">
              <w:t xml:space="preserve">affected populations </w:t>
            </w:r>
            <w:r>
              <w:t xml:space="preserve">will be held if possible in </w:t>
            </w:r>
            <w:r w:rsidR="00F70E8E">
              <w:t>Rakhine and Kachin states in Myanmar</w:t>
            </w:r>
            <w:r>
              <w:t>. These will provide an important perspective on the appropriat</w:t>
            </w:r>
            <w:r w:rsidR="00F70E8E">
              <w:t>eness of assistance provided,</w:t>
            </w:r>
            <w:r>
              <w:t xml:space="preserve"> potentially capture unanticipated impacts</w:t>
            </w:r>
            <w:r w:rsidR="00F70E8E">
              <w:t xml:space="preserve"> and provide insight into the extent to which humanitarian agencies have been accountable to affected populations</w:t>
            </w:r>
            <w:r>
              <w:t xml:space="preserve">. Should focus groups prove unviable a series of individual interviews will be conducted with a small </w:t>
            </w:r>
            <w:r>
              <w:lastRenderedPageBreak/>
              <w:t xml:space="preserve">number of </w:t>
            </w:r>
            <w:r w:rsidR="00F70E8E">
              <w:t>IDPs</w:t>
            </w:r>
            <w:r>
              <w:t xml:space="preserve"> and members of host communities focusing on the issues outlined in the focus group discussion guide at Annex two.</w:t>
            </w:r>
          </w:p>
        </w:tc>
      </w:tr>
    </w:tbl>
    <w:p w14:paraId="3A98BC02" w14:textId="77777777" w:rsidR="00900D69" w:rsidRDefault="00900D69" w:rsidP="00900D69">
      <w:pPr>
        <w:pStyle w:val="Heading4"/>
      </w:pPr>
      <w:r>
        <w:lastRenderedPageBreak/>
        <w:t>Document review</w:t>
      </w:r>
    </w:p>
    <w:p w14:paraId="10717A23" w14:textId="0590F663" w:rsidR="00900D69" w:rsidRDefault="00900D69" w:rsidP="00900D69">
      <w:pPr>
        <w:pStyle w:val="BodyText"/>
      </w:pPr>
      <w:r>
        <w:t xml:space="preserve">The document review will entail analysis of DFAT policy and strategy </w:t>
      </w:r>
      <w:r w:rsidR="000940FA">
        <w:t>documents</w:t>
      </w:r>
      <w:r>
        <w:t xml:space="preserve">, humanitarian policy and guidance documents, </w:t>
      </w:r>
      <w:r w:rsidR="000940FA">
        <w:t>UN and implementing partner</w:t>
      </w:r>
      <w:r>
        <w:t xml:space="preserve"> strategy documents, implementing partner reports and proposals and other specialist papers (e.g. special reports on disability, gender based violence etc.). </w:t>
      </w:r>
      <w:r w:rsidR="000940FA">
        <w:t>T</w:t>
      </w:r>
      <w:r>
        <w:t>he team will prioritise the review of material given the limited time available. Prioritisation will be undertaken according to the following principles;</w:t>
      </w:r>
    </w:p>
    <w:p w14:paraId="6C674949" w14:textId="70E5A2BB" w:rsidR="00900D69" w:rsidRDefault="00900D69" w:rsidP="00B42158">
      <w:pPr>
        <w:pStyle w:val="ListBullet"/>
      </w:pPr>
      <w:r w:rsidRPr="00372331">
        <w:rPr>
          <w:b/>
        </w:rPr>
        <w:t>Materiality –</w:t>
      </w:r>
      <w:r>
        <w:t xml:space="preserve"> documents from </w:t>
      </w:r>
      <w:r w:rsidR="007A4482">
        <w:t>all key partners</w:t>
      </w:r>
      <w:r>
        <w:t xml:space="preserve"> will be analysed with an emphasis on the largest partners (by dollar value). The document review will focus on assistance provided in </w:t>
      </w:r>
      <w:r w:rsidR="007A4482">
        <w:t>Rakhine and Kachin states</w:t>
      </w:r>
      <w:r>
        <w:t xml:space="preserve">. </w:t>
      </w:r>
      <w:r w:rsidR="00B42158">
        <w:t xml:space="preserve">Reports will only be reviewed that are relevant to the reporting period of this evaluation (i.e. not prior to FY14-15). </w:t>
      </w:r>
    </w:p>
    <w:p w14:paraId="517354AE" w14:textId="221E7D1E" w:rsidR="00900D69" w:rsidRDefault="00900D69" w:rsidP="00900D69">
      <w:pPr>
        <w:pStyle w:val="ListBullet"/>
      </w:pPr>
      <w:r w:rsidRPr="00265B23">
        <w:rPr>
          <w:b/>
        </w:rPr>
        <w:t xml:space="preserve">Relevance </w:t>
      </w:r>
      <w:r>
        <w:t xml:space="preserve">– documents, or sections therein, which clearly relate to the key evaluation questions outlined in Annex One will receive priority attention. </w:t>
      </w:r>
    </w:p>
    <w:p w14:paraId="50846510" w14:textId="0472CE2F" w:rsidR="00900D69" w:rsidRDefault="00900D69" w:rsidP="00900D69">
      <w:pPr>
        <w:pStyle w:val="ListBullet"/>
      </w:pPr>
      <w:r>
        <w:rPr>
          <w:b/>
        </w:rPr>
        <w:t xml:space="preserve">Credibility and objectivity </w:t>
      </w:r>
      <w:r>
        <w:t xml:space="preserve">–within the selection of documents identified for review the team will ensure that a range of sources and perspectives are captured and where possible information is triangulated. </w:t>
      </w:r>
    </w:p>
    <w:p w14:paraId="0225E617" w14:textId="7738B895" w:rsidR="00900D69" w:rsidRDefault="00900D69" w:rsidP="00900D69">
      <w:pPr>
        <w:pStyle w:val="BodyText"/>
      </w:pPr>
      <w:r>
        <w:t xml:space="preserve">Document review will be </w:t>
      </w:r>
      <w:r w:rsidR="007A4482">
        <w:t>captured</w:t>
      </w:r>
      <w:r>
        <w:t xml:space="preserve"> in an annotated bibliography. This will include a 2</w:t>
      </w:r>
      <w:r w:rsidR="00491A69">
        <w:t>-</w:t>
      </w:r>
      <w:r>
        <w:t>3 line description of the source and document purpose and important extracts coded against the relevant evaluation question. The annotated bibliography will assist in tailoring key informant interviews.</w:t>
      </w:r>
    </w:p>
    <w:p w14:paraId="02F8BA94" w14:textId="77777777" w:rsidR="00900D69" w:rsidRDefault="00900D69" w:rsidP="00900D69">
      <w:pPr>
        <w:pStyle w:val="Heading4"/>
      </w:pPr>
      <w:r>
        <w:t>Key informant interviews</w:t>
      </w:r>
    </w:p>
    <w:p w14:paraId="1B1A786B" w14:textId="77777777" w:rsidR="00900D69" w:rsidRDefault="00900D69" w:rsidP="00900D69">
      <w:pPr>
        <w:pStyle w:val="BodyText"/>
      </w:pPr>
      <w:r w:rsidRPr="00611943">
        <w:t>Semi-structured interviews will be undertaken with</w:t>
      </w:r>
      <w:r>
        <w:t xml:space="preserve"> DFAT staff and</w:t>
      </w:r>
      <w:r w:rsidRPr="00611943">
        <w:t xml:space="preserve"> Australia’s key partners. </w:t>
      </w:r>
      <w:r>
        <w:t xml:space="preserve">Interview guides (see Annex Two) will be used to loosely guide discussions. Interviews will be prioritised in a similar manner to that outlined above. </w:t>
      </w:r>
      <w:r w:rsidRPr="00611943">
        <w:t>The approach of using the same or similar questions with each of these partners will allow the evaluation team to reliably identify consistent themes or perspectives in the responses of different partners.</w:t>
      </w:r>
      <w:r>
        <w:t xml:space="preserve"> </w:t>
      </w:r>
    </w:p>
    <w:p w14:paraId="618A5145" w14:textId="75C87005" w:rsidR="00900D69" w:rsidRPr="00611943" w:rsidRDefault="00900D69" w:rsidP="00900D69">
      <w:pPr>
        <w:pStyle w:val="BodyText"/>
      </w:pPr>
      <w:r w:rsidRPr="00611943">
        <w:t xml:space="preserve">The </w:t>
      </w:r>
      <w:r w:rsidR="007A4482">
        <w:t xml:space="preserve">KII </w:t>
      </w:r>
      <w:r w:rsidRPr="00611943">
        <w:t xml:space="preserve">questions have been coded against the </w:t>
      </w:r>
      <w:r w:rsidR="007A4482">
        <w:t>key evaluation questions; this will facilitate</w:t>
      </w:r>
      <w:r w:rsidRPr="00611943">
        <w:t xml:space="preserve"> subse</w:t>
      </w:r>
      <w:r>
        <w:t>quent analysis of responses and linkages back to the document review. E</w:t>
      </w:r>
      <w:r w:rsidRPr="00611943">
        <w:t xml:space="preserve">ach interview will be attended by at least two evaluation team members. One of whom will take the role of lead interviewer and the other to take notes. </w:t>
      </w:r>
    </w:p>
    <w:p w14:paraId="06F195A5" w14:textId="01897F6E" w:rsidR="00900D69" w:rsidRDefault="00900D69" w:rsidP="00900D69">
      <w:pPr>
        <w:pStyle w:val="BodyText"/>
      </w:pPr>
      <w:r>
        <w:t xml:space="preserve">Prior to the commencement of any interview the team will outline the purpose of the </w:t>
      </w:r>
      <w:r w:rsidR="007A4482">
        <w:t xml:space="preserve">evaluation, how the information will be used, and steps that will be taken to maintain confidentiality of responses (such as non-attribution of quotations). </w:t>
      </w:r>
      <w:r>
        <w:t>It will be explained that the team abides by the</w:t>
      </w:r>
      <w:r w:rsidRPr="00611943">
        <w:t xml:space="preserve"> A</w:t>
      </w:r>
      <w:r>
        <w:t xml:space="preserve">ustralasian </w:t>
      </w:r>
      <w:r w:rsidRPr="00611943">
        <w:t>E</w:t>
      </w:r>
      <w:r>
        <w:t>valuation Society (AE</w:t>
      </w:r>
      <w:r w:rsidRPr="00611943">
        <w:t>S</w:t>
      </w:r>
      <w:r>
        <w:t>)</w:t>
      </w:r>
      <w:r w:rsidR="007A4482">
        <w:t xml:space="preserve"> code of ethics</w:t>
      </w:r>
      <w:r>
        <w:t xml:space="preserve">. Informants will be made aware that the </w:t>
      </w:r>
      <w:r w:rsidRPr="00611943">
        <w:t xml:space="preserve">review’s final report will be published on the DFAT website. </w:t>
      </w:r>
      <w:r w:rsidR="003B68A5">
        <w:t>Most individual informants, especially those in field sites, will not get an opportunity to comment on the draft report before it is published. However, partner organisations may be given an opportunity to review the draft and respond to any findings specifically relating to them before finalisation</w:t>
      </w:r>
      <w:r>
        <w:t>.</w:t>
      </w:r>
    </w:p>
    <w:p w14:paraId="7D069828" w14:textId="77777777" w:rsidR="00900D69" w:rsidRDefault="00900D69" w:rsidP="00900D69">
      <w:pPr>
        <w:pStyle w:val="Heading4"/>
      </w:pPr>
      <w:r>
        <w:t>Focus group discussions</w:t>
      </w:r>
    </w:p>
    <w:p w14:paraId="01081FBC" w14:textId="0C257FE7" w:rsidR="00900D69" w:rsidRDefault="00900D69" w:rsidP="00900D69">
      <w:pPr>
        <w:pStyle w:val="BodyText"/>
      </w:pPr>
      <w:r>
        <w:t xml:space="preserve">Focus group discussions will be used to canvass the views of </w:t>
      </w:r>
      <w:r w:rsidR="00F31869">
        <w:t xml:space="preserve">affected populations </w:t>
      </w:r>
      <w:r w:rsidR="007A4482">
        <w:t xml:space="preserve">with respect to </w:t>
      </w:r>
      <w:r w:rsidR="0002608C">
        <w:t>the appropriateness of the assistance provided; and the extent to which they have been involved in and able to influence implementing partner programs</w:t>
      </w:r>
      <w:r>
        <w:t>.</w:t>
      </w:r>
      <w:r w:rsidR="0002608C">
        <w:t xml:space="preserve"> Prior to the commencement of any interview the team will outline the purpose of the evaluation, how the information will be used, and steps that will be taken to maintain confidentiality of responses (such as non-attribution of quotations). </w:t>
      </w:r>
    </w:p>
    <w:p w14:paraId="7CC9E6D9" w14:textId="5830AD37" w:rsidR="00E816ED" w:rsidRDefault="00E816ED" w:rsidP="0002608C">
      <w:pPr>
        <w:pStyle w:val="BodyText"/>
      </w:pPr>
      <w:r>
        <w:lastRenderedPageBreak/>
        <w:t>The team will endeavour to conduct separate focus group meetings with men and women, particularly for exploration of the effectiveness of partners in protection, sexual and reproductive health service provision, and response to gender based violence. Each meeting will be of 1.5 hours in duration and will be guided by selective</w:t>
      </w:r>
      <w:r w:rsidR="00E60E69">
        <w:t xml:space="preserve"> use of the questions in Annex 2</w:t>
      </w:r>
      <w:r>
        <w:t xml:space="preserve">. Each meeting should consist of 8 or so representatives from the affected populations. For safety reasons, partners will be asked to select the men and women to consult with, but partners will not be present for the actual discussion. Discussions will be timed to avoid interruption to livelihood or care activities, and with locations that enable the participation of men, women and people living with disability. </w:t>
      </w:r>
    </w:p>
    <w:p w14:paraId="7994A339" w14:textId="35A9E279" w:rsidR="0002608C" w:rsidRDefault="00B23180" w:rsidP="0002608C">
      <w:pPr>
        <w:pStyle w:val="BodyText"/>
      </w:pPr>
      <w:r>
        <w:t>The team will require two</w:t>
      </w:r>
      <w:r w:rsidR="00900D69">
        <w:t xml:space="preserve"> translators to assist in running each focus group discussion, ideally at least one of whom has experience in moderating focus group discussions whilst the other will be required to provide simultaneous translation for the evaluation team. It is important that translators are seen as credible and objective by </w:t>
      </w:r>
      <w:r w:rsidR="00DE1880">
        <w:t>affected populations</w:t>
      </w:r>
      <w:r w:rsidR="00900D69">
        <w:t xml:space="preserve">. A suitable private venue which allows </w:t>
      </w:r>
      <w:r w:rsidR="00F31869">
        <w:t>affected populations</w:t>
      </w:r>
      <w:r w:rsidR="0002608C">
        <w:t xml:space="preserve"> </w:t>
      </w:r>
      <w:r w:rsidR="00900D69">
        <w:t>to speak openly is required. The team will be cognisant at al</w:t>
      </w:r>
      <w:r w:rsidR="0002608C">
        <w:t xml:space="preserve">l times of ethical issues </w:t>
      </w:r>
      <w:r w:rsidR="00900D69">
        <w:t xml:space="preserve">and will ensure that focus group participants remain anonymous. </w:t>
      </w:r>
      <w:r w:rsidR="0002608C">
        <w:t xml:space="preserve">A translated summary of the evaluation findings will be provided to affected communities that are involved in the evaluation. </w:t>
      </w:r>
    </w:p>
    <w:p w14:paraId="778E6725" w14:textId="77777777" w:rsidR="00900D69" w:rsidRDefault="00900D69" w:rsidP="00900D69">
      <w:pPr>
        <w:pStyle w:val="Heading4"/>
      </w:pPr>
      <w:r>
        <w:t>Triangulation, rigour of evidence and quality assurance</w:t>
      </w:r>
    </w:p>
    <w:p w14:paraId="2D17EAE2" w14:textId="62655FAB" w:rsidR="00900D69" w:rsidRDefault="00900D69" w:rsidP="00900D69">
      <w:pPr>
        <w:pStyle w:val="BodyText"/>
      </w:pPr>
      <w:r>
        <w:t>All evidence will be triangulated where possible to ensure a degree of rigour. This means in practice that emerging themes from</w:t>
      </w:r>
      <w:r w:rsidR="0002608C">
        <w:t xml:space="preserve"> </w:t>
      </w:r>
      <w:r>
        <w:t>interviews will be tested in subsequent interviews</w:t>
      </w:r>
      <w:r w:rsidR="0002608C">
        <w:t xml:space="preserve"> and focus group discussions</w:t>
      </w:r>
      <w:r>
        <w:t xml:space="preserve">. So far as it is possible major findings from document review will have multiple sources, as well as being tested in interviews. </w:t>
      </w:r>
    </w:p>
    <w:p w14:paraId="118697DA" w14:textId="1167A5FA" w:rsidR="0002608C" w:rsidRDefault="00900D69" w:rsidP="00900D69">
      <w:pPr>
        <w:pStyle w:val="BodyText"/>
      </w:pPr>
      <w:r>
        <w:t xml:space="preserve">The evaluation team leader will be responsible for </w:t>
      </w:r>
      <w:r w:rsidR="008B4AE8">
        <w:t>writing an</w:t>
      </w:r>
      <w:r w:rsidR="0002608C">
        <w:t xml:space="preserve"> aide memoire with the input and support of team members to provide initial findings and seek additional verification if required. Where evidence for a particular finding is relatively weak this will be clearly articulated in the aide memoire. Following feedback on the aide memoire and provision of additional information the draft evaluation report will be written.  </w:t>
      </w:r>
    </w:p>
    <w:p w14:paraId="00024A0E" w14:textId="77777777" w:rsidR="0002608C" w:rsidRDefault="0002608C" w:rsidP="00900D69">
      <w:pPr>
        <w:pStyle w:val="BodyText"/>
      </w:pPr>
    </w:p>
    <w:p w14:paraId="2E258255" w14:textId="77777777" w:rsidR="00900D69" w:rsidRDefault="00900D69" w:rsidP="00900D69">
      <w:pPr>
        <w:pStyle w:val="Heading2"/>
      </w:pPr>
      <w:bookmarkStart w:id="14" w:name="_Toc394312263"/>
      <w:bookmarkStart w:id="15" w:name="_Toc480290292"/>
      <w:r>
        <w:t>Constraints and limitations</w:t>
      </w:r>
      <w:bookmarkEnd w:id="14"/>
      <w:bookmarkEnd w:id="15"/>
    </w:p>
    <w:p w14:paraId="7005BBE3" w14:textId="77777777" w:rsidR="00900D69" w:rsidRDefault="00900D69" w:rsidP="00900D69">
      <w:pPr>
        <w:pStyle w:val="Heading4"/>
      </w:pPr>
      <w:r>
        <w:t>Time and resources</w:t>
      </w:r>
    </w:p>
    <w:p w14:paraId="2705D878" w14:textId="1333916A" w:rsidR="00900D69" w:rsidRDefault="00900D69" w:rsidP="00900D69">
      <w:pPr>
        <w:pStyle w:val="BodyText"/>
      </w:pPr>
      <w:r>
        <w:t xml:space="preserve">This evaluation is a rapid review exercise which will be completed with approximately </w:t>
      </w:r>
      <w:r w:rsidR="00E95CBE">
        <w:t>80</w:t>
      </w:r>
      <w:r w:rsidR="003F475F">
        <w:t xml:space="preserve"> </w:t>
      </w:r>
      <w:r>
        <w:t xml:space="preserve">days of personnel input within a concentrated period of approximately </w:t>
      </w:r>
      <w:r w:rsidR="003F475F">
        <w:t>12</w:t>
      </w:r>
      <w:r>
        <w:t xml:space="preserve"> weeks. Start to finish the evaluation should be completed within</w:t>
      </w:r>
      <w:r w:rsidR="00B7522E">
        <w:t xml:space="preserve"> three</w:t>
      </w:r>
      <w:r>
        <w:t xml:space="preserve"> months.</w:t>
      </w:r>
      <w:r w:rsidRPr="00B149C2">
        <w:t xml:space="preserve"> </w:t>
      </w:r>
      <w:r>
        <w:t>Given time limitations a deliberate sampling strategy which focuses upon Australia’s major areas of expenditure has been adopted. It is not proposed, nor would it be feasible, to review all available documentation or engage equally with all stakeholders.</w:t>
      </w:r>
    </w:p>
    <w:p w14:paraId="264E47BD" w14:textId="77777777" w:rsidR="00900D69" w:rsidRDefault="00900D69" w:rsidP="00900D69">
      <w:pPr>
        <w:pStyle w:val="Heading4"/>
      </w:pPr>
      <w:r>
        <w:t xml:space="preserve">Sampling </w:t>
      </w:r>
    </w:p>
    <w:p w14:paraId="2422F6D4" w14:textId="0961722B" w:rsidR="00900D69" w:rsidRDefault="00900D69" w:rsidP="00900D69">
      <w:pPr>
        <w:pStyle w:val="BodyText"/>
      </w:pPr>
      <w:r>
        <w:t xml:space="preserve">The evaluation will maintain a tight focus on the evaluation questions and methods of enquiry outlined in this plan. </w:t>
      </w:r>
      <w:r w:rsidR="00E816ED">
        <w:t xml:space="preserve">In view of the tight timeframe, a purposive or opportunistic sampling strategy will be used. This has been decided with careful consideration as to the likely value of information gathered against the time and opportunity cost associated with each interview and document. </w:t>
      </w:r>
      <w:r>
        <w:t>It is likely that once this plan has been approved the team will have little room for flexibility including the investigation of new and emergent issues or the scheduling of additional interviews and consultations.</w:t>
      </w:r>
    </w:p>
    <w:p w14:paraId="6C63DC55" w14:textId="77777777" w:rsidR="00900D69" w:rsidRDefault="00900D69" w:rsidP="00900D69">
      <w:pPr>
        <w:pStyle w:val="Heading4"/>
      </w:pPr>
      <w:r>
        <w:lastRenderedPageBreak/>
        <w:t xml:space="preserve">Limitations on partner planning and reporting </w:t>
      </w:r>
    </w:p>
    <w:p w14:paraId="4E08A75B" w14:textId="7F4238B7" w:rsidR="00900D69" w:rsidRDefault="00900D69" w:rsidP="00900D69">
      <w:pPr>
        <w:pStyle w:val="BodyText"/>
      </w:pPr>
      <w:r>
        <w:t xml:space="preserve">Ongoing </w:t>
      </w:r>
      <w:r w:rsidR="004B04D9">
        <w:t>internal conflict in Myanmar</w:t>
      </w:r>
      <w:r>
        <w:t xml:space="preserve"> limits the ability of this evaluation and those of Australia’s partners to fully assess assistance given within the country. Furthermore, as with other evaluations of humanitarian operations (e.g. the </w:t>
      </w:r>
      <w:r w:rsidR="00E95CBE">
        <w:t>Syria</w:t>
      </w:r>
      <w:r>
        <w:t xml:space="preserve"> evaluation) it is anticipated that partner monitoring and evaluation data may be limited. The rapid and unpredictable evolution of the </w:t>
      </w:r>
      <w:r w:rsidR="008B4AE8">
        <w:t>My</w:t>
      </w:r>
      <w:r w:rsidR="004B04D9">
        <w:t xml:space="preserve">anmar </w:t>
      </w:r>
      <w:r>
        <w:t xml:space="preserve">response into a protracted relief and rehabilitation operation will almost certainly have imposed limitations on partner planning, data gathering and analysis. </w:t>
      </w:r>
    </w:p>
    <w:p w14:paraId="37A1E699" w14:textId="77777777" w:rsidR="00900D69" w:rsidRDefault="00900D69" w:rsidP="00900D69">
      <w:pPr>
        <w:pStyle w:val="Heading4"/>
      </w:pPr>
      <w:r>
        <w:t>Attribution and apportionment</w:t>
      </w:r>
    </w:p>
    <w:p w14:paraId="591857BE" w14:textId="4B9E05E7" w:rsidR="00900D69" w:rsidRDefault="00900D69" w:rsidP="00900D69">
      <w:pPr>
        <w:pStyle w:val="BodyText"/>
      </w:pPr>
      <w:r>
        <w:t xml:space="preserve">The nature of emergency humanitarian response and difficulties around access within </w:t>
      </w:r>
      <w:r w:rsidR="004B04D9">
        <w:t xml:space="preserve">Myanmar </w:t>
      </w:r>
      <w:r>
        <w:t xml:space="preserve">suggest that it may be difficult to attribute improvements or changes to assistance provided by Australia and its partners. </w:t>
      </w:r>
      <w:r w:rsidR="00E95CBE">
        <w:t xml:space="preserve">This is especially true with respect to changes or improvements as a result of advocacy and influence with government of Myanmar and with the international humanitarian system. </w:t>
      </w:r>
    </w:p>
    <w:p w14:paraId="15EAFDE6" w14:textId="1857072A" w:rsidR="00900D69" w:rsidRDefault="0089564E" w:rsidP="00900D69">
      <w:pPr>
        <w:pStyle w:val="BodyText"/>
      </w:pPr>
      <w:r>
        <w:t>Furthermore,</w:t>
      </w:r>
      <w:r w:rsidR="00900D69">
        <w:t xml:space="preserve"> DFAT has contributed funds to humanitarian organisations alongside a number of othe</w:t>
      </w:r>
      <w:r w:rsidR="00E95CBE">
        <w:t>r donors</w:t>
      </w:r>
      <w:r w:rsidR="00900D69">
        <w:t>. Apportionment of results and program success to DFAT funding is likely to be challenging. Nevertheless, the evaluation will endeavour to draw direct linkages where it is possible to do so.</w:t>
      </w:r>
    </w:p>
    <w:p w14:paraId="12A2357E" w14:textId="77777777" w:rsidR="00E95CBE" w:rsidRDefault="00E95CBE">
      <w:pPr>
        <w:suppressAutoHyphens w:val="0"/>
        <w:spacing w:before="0" w:after="120" w:line="440" w:lineRule="atLeast"/>
        <w:rPr>
          <w:rFonts w:asciiTheme="majorHAnsi" w:eastAsiaTheme="majorEastAsia" w:hAnsiTheme="majorHAnsi" w:cstheme="majorBidi"/>
          <w:b/>
          <w:bCs/>
          <w:caps/>
          <w:sz w:val="38"/>
          <w:szCs w:val="28"/>
        </w:rPr>
      </w:pPr>
      <w:r>
        <w:br w:type="page"/>
      </w:r>
    </w:p>
    <w:p w14:paraId="74B7C3FC" w14:textId="4393A809" w:rsidR="007E4525" w:rsidRDefault="00594B17" w:rsidP="00594B17">
      <w:pPr>
        <w:pStyle w:val="Heading1Numberedsmallspaceafter"/>
        <w:numPr>
          <w:ilvl w:val="0"/>
          <w:numId w:val="0"/>
        </w:numPr>
        <w:ind w:left="567" w:hanging="567"/>
      </w:pPr>
      <w:bookmarkStart w:id="16" w:name="_Toc480290293"/>
      <w:r>
        <w:lastRenderedPageBreak/>
        <w:t>Evaluation team and management</w:t>
      </w:r>
      <w:bookmarkEnd w:id="16"/>
      <w:r>
        <w:t xml:space="preserve"> </w:t>
      </w:r>
    </w:p>
    <w:p w14:paraId="5620B54E" w14:textId="77777777" w:rsidR="0023647E" w:rsidRDefault="0023647E" w:rsidP="00FB66F8">
      <w:pPr>
        <w:pStyle w:val="Heading1Numberedsmallspaceafter"/>
        <w:numPr>
          <w:ilvl w:val="0"/>
          <w:numId w:val="0"/>
        </w:numPr>
      </w:pPr>
    </w:p>
    <w:p w14:paraId="745E9BCC" w14:textId="77777777" w:rsidR="0023647E" w:rsidRDefault="0023647E" w:rsidP="0023647E">
      <w:pPr>
        <w:pStyle w:val="Heading2"/>
      </w:pPr>
      <w:bookmarkStart w:id="17" w:name="_Toc394312265"/>
      <w:bookmarkStart w:id="18" w:name="_Toc480290294"/>
      <w:r>
        <w:t>Evaluation team roles and responsibilities</w:t>
      </w:r>
      <w:bookmarkEnd w:id="17"/>
      <w:bookmarkEnd w:id="18"/>
    </w:p>
    <w:p w14:paraId="6C8BE1FC" w14:textId="20023BCF" w:rsidR="0023647E" w:rsidRDefault="0023647E" w:rsidP="0023647E">
      <w:pPr>
        <w:pStyle w:val="BodyText"/>
      </w:pPr>
      <w:r>
        <w:t>The evaluation will be undertaken by</w:t>
      </w:r>
      <w:r w:rsidR="00816062">
        <w:t xml:space="preserve"> a team of </w:t>
      </w:r>
      <w:r w:rsidR="00E367F7">
        <w:t>three</w:t>
      </w:r>
      <w:r w:rsidR="00816062">
        <w:t xml:space="preserve"> including:</w:t>
      </w:r>
      <w:r>
        <w:t xml:space="preserve"> </w:t>
      </w:r>
      <w:r w:rsidR="00816062">
        <w:t>an independent</w:t>
      </w:r>
      <w:r>
        <w:t xml:space="preserve"> evaluator from </w:t>
      </w:r>
      <w:r w:rsidR="00816062">
        <w:t>Humanitarian Advisory Group, Kate Sutton</w:t>
      </w:r>
      <w:r>
        <w:t xml:space="preserve"> (Team Leader)</w:t>
      </w:r>
      <w:r w:rsidR="00816062">
        <w:t>,</w:t>
      </w:r>
      <w:r w:rsidR="00561E55">
        <w:t xml:space="preserve"> a representative from DFAT Humanitarian Response Operations Section,</w:t>
      </w:r>
      <w:r w:rsidR="00816062">
        <w:t xml:space="preserve"> </w:t>
      </w:r>
      <w:r w:rsidR="00550208">
        <w:t>Joanna O’Shea,</w:t>
      </w:r>
      <w:r w:rsidR="00E816ED">
        <w:t xml:space="preserve"> DFAT’s South East Asia</w:t>
      </w:r>
      <w:r w:rsidR="00561E55">
        <w:t xml:space="preserve"> gender and social dev</w:t>
      </w:r>
      <w:r w:rsidR="00E367F7">
        <w:t>elopment specialist, Mia Urbano.</w:t>
      </w:r>
      <w:r>
        <w:t xml:space="preserve"> DFAT’s </w:t>
      </w:r>
      <w:r w:rsidR="00561E55">
        <w:t>Myanmar</w:t>
      </w:r>
      <w:r>
        <w:t xml:space="preserve"> post</w:t>
      </w:r>
      <w:r w:rsidR="00E367F7">
        <w:t xml:space="preserve"> will provide support to the in-country component of the evaluation</w:t>
      </w:r>
      <w:r>
        <w:t xml:space="preserve">. The combined team brings humanitarian, </w:t>
      </w:r>
      <w:r w:rsidR="00561E55">
        <w:t>gender, protection</w:t>
      </w:r>
      <w:r>
        <w:t xml:space="preserve"> and monitoring and evaluation expertise to this assignment alongside a sound understanding of the current context and corporate knowledge of DFAT’s response to date.</w:t>
      </w:r>
    </w:p>
    <w:p w14:paraId="4D6978F5" w14:textId="77777777" w:rsidR="0023647E" w:rsidRDefault="0023647E" w:rsidP="0023647E">
      <w:pPr>
        <w:pStyle w:val="Caption"/>
      </w:pPr>
      <w:r>
        <w:t xml:space="preserve">Table </w:t>
      </w:r>
      <w:r>
        <w:fldChar w:fldCharType="begin"/>
      </w:r>
      <w:r>
        <w:instrText xml:space="preserve"> SEQ Table \* ARABIC </w:instrText>
      </w:r>
      <w:r>
        <w:fldChar w:fldCharType="separate"/>
      </w:r>
      <w:r>
        <w:rPr>
          <w:noProof/>
        </w:rPr>
        <w:t>3</w:t>
      </w:r>
      <w:r>
        <w:rPr>
          <w:noProof/>
        </w:rPr>
        <w:fldChar w:fldCharType="end"/>
      </w:r>
      <w:r>
        <w:t xml:space="preserve"> : Breakdown of team member responsibilities</w:t>
      </w:r>
    </w:p>
    <w:tbl>
      <w:tblPr>
        <w:tblStyle w:val="DFATTable"/>
        <w:tblW w:w="0" w:type="auto"/>
        <w:tblLayout w:type="fixed"/>
        <w:tblLook w:val="04A0" w:firstRow="1" w:lastRow="0" w:firstColumn="1" w:lastColumn="0" w:noHBand="0" w:noVBand="1"/>
      </w:tblPr>
      <w:tblGrid>
        <w:gridCol w:w="609"/>
        <w:gridCol w:w="1228"/>
        <w:gridCol w:w="3829"/>
        <w:gridCol w:w="993"/>
        <w:gridCol w:w="992"/>
        <w:gridCol w:w="142"/>
        <w:gridCol w:w="1044"/>
        <w:gridCol w:w="801"/>
      </w:tblGrid>
      <w:tr w:rsidR="00561E55" w:rsidRPr="00BB4BFD" w14:paraId="1F74CDD7" w14:textId="77777777" w:rsidTr="00561E55">
        <w:trPr>
          <w:trHeight w:val="483"/>
        </w:trPr>
        <w:tc>
          <w:tcPr>
            <w:tcW w:w="609" w:type="dxa"/>
            <w:noWrap/>
            <w:hideMark/>
          </w:tcPr>
          <w:p w14:paraId="625224F2" w14:textId="77777777" w:rsidR="00561E55" w:rsidRPr="00BB4BFD" w:rsidRDefault="00561E55" w:rsidP="0023647E">
            <w:pPr>
              <w:pStyle w:val="TableHeading1"/>
            </w:pPr>
            <w:r w:rsidRPr="00BB4BFD">
              <w:t> </w:t>
            </w:r>
          </w:p>
        </w:tc>
        <w:tc>
          <w:tcPr>
            <w:tcW w:w="5057" w:type="dxa"/>
            <w:gridSpan w:val="2"/>
            <w:noWrap/>
            <w:hideMark/>
          </w:tcPr>
          <w:p w14:paraId="04603EDF" w14:textId="77777777" w:rsidR="00561E55" w:rsidRPr="00BB4BFD" w:rsidRDefault="00561E55" w:rsidP="0023647E">
            <w:pPr>
              <w:pStyle w:val="TableHeading1"/>
            </w:pPr>
            <w:r w:rsidRPr="00BB4BFD">
              <w:t>Task</w:t>
            </w:r>
          </w:p>
        </w:tc>
        <w:tc>
          <w:tcPr>
            <w:tcW w:w="993" w:type="dxa"/>
            <w:hideMark/>
          </w:tcPr>
          <w:p w14:paraId="7B589426" w14:textId="0259FCFA" w:rsidR="00561E55" w:rsidRPr="00BB4BFD" w:rsidRDefault="00561E55" w:rsidP="0023647E">
            <w:pPr>
              <w:pStyle w:val="TableHeading1"/>
              <w:jc w:val="center"/>
            </w:pPr>
            <w:r>
              <w:t>Kate Sutton</w:t>
            </w:r>
          </w:p>
        </w:tc>
        <w:tc>
          <w:tcPr>
            <w:tcW w:w="1134" w:type="dxa"/>
            <w:gridSpan w:val="2"/>
          </w:tcPr>
          <w:p w14:paraId="74F43379" w14:textId="447BBBE6" w:rsidR="00561E55" w:rsidRPr="00BB4BFD" w:rsidRDefault="00561E55" w:rsidP="0023647E">
            <w:pPr>
              <w:pStyle w:val="TableHeading1"/>
              <w:jc w:val="center"/>
            </w:pPr>
            <w:r>
              <w:t>Joanna O’Shea</w:t>
            </w:r>
          </w:p>
        </w:tc>
        <w:tc>
          <w:tcPr>
            <w:tcW w:w="1044" w:type="dxa"/>
            <w:hideMark/>
          </w:tcPr>
          <w:p w14:paraId="10387D47" w14:textId="21D83346" w:rsidR="00561E55" w:rsidRPr="00BB4BFD" w:rsidRDefault="00561E55" w:rsidP="0023647E">
            <w:pPr>
              <w:pStyle w:val="TableHeading1"/>
              <w:jc w:val="center"/>
            </w:pPr>
            <w:r>
              <w:t>Mia Urbano</w:t>
            </w:r>
          </w:p>
        </w:tc>
        <w:tc>
          <w:tcPr>
            <w:tcW w:w="801" w:type="dxa"/>
            <w:hideMark/>
          </w:tcPr>
          <w:p w14:paraId="622ACFDA" w14:textId="0336FCA2" w:rsidR="00561E55" w:rsidRPr="00BB4BFD" w:rsidRDefault="00E367F7" w:rsidP="0023647E">
            <w:pPr>
              <w:pStyle w:val="TableHeading1"/>
              <w:jc w:val="center"/>
            </w:pPr>
            <w:r>
              <w:t xml:space="preserve">Post </w:t>
            </w:r>
          </w:p>
        </w:tc>
      </w:tr>
      <w:tr w:rsidR="00561E55" w:rsidRPr="00BB4BFD" w14:paraId="5EECFF42" w14:textId="77777777" w:rsidTr="00561E55">
        <w:trPr>
          <w:trHeight w:val="300"/>
        </w:trPr>
        <w:tc>
          <w:tcPr>
            <w:tcW w:w="5666" w:type="dxa"/>
            <w:gridSpan w:val="3"/>
            <w:noWrap/>
            <w:hideMark/>
          </w:tcPr>
          <w:p w14:paraId="5F097D4E" w14:textId="77777777" w:rsidR="00561E55" w:rsidRPr="00BB4BFD" w:rsidRDefault="00561E55" w:rsidP="0023647E">
            <w:pPr>
              <w:pStyle w:val="TableHeading2"/>
            </w:pPr>
            <w:r w:rsidRPr="00BB4BFD">
              <w:t>Preliminary phase</w:t>
            </w:r>
          </w:p>
        </w:tc>
        <w:tc>
          <w:tcPr>
            <w:tcW w:w="993" w:type="dxa"/>
            <w:noWrap/>
            <w:hideMark/>
          </w:tcPr>
          <w:p w14:paraId="0A190F20" w14:textId="77777777" w:rsidR="00561E55" w:rsidRPr="00BB4BFD" w:rsidRDefault="00561E55" w:rsidP="0023647E">
            <w:pPr>
              <w:pStyle w:val="TableHeading2"/>
              <w:jc w:val="center"/>
            </w:pPr>
          </w:p>
        </w:tc>
        <w:tc>
          <w:tcPr>
            <w:tcW w:w="992" w:type="dxa"/>
          </w:tcPr>
          <w:p w14:paraId="3B8CE133" w14:textId="77777777" w:rsidR="00561E55" w:rsidRPr="00BB4BFD" w:rsidRDefault="00561E55" w:rsidP="0023647E">
            <w:pPr>
              <w:pStyle w:val="TableHeading2"/>
              <w:jc w:val="center"/>
            </w:pPr>
          </w:p>
        </w:tc>
        <w:tc>
          <w:tcPr>
            <w:tcW w:w="1186" w:type="dxa"/>
            <w:gridSpan w:val="2"/>
            <w:noWrap/>
            <w:hideMark/>
          </w:tcPr>
          <w:p w14:paraId="7E6606C7" w14:textId="5767935B" w:rsidR="00561E55" w:rsidRPr="00BB4BFD" w:rsidRDefault="00561E55" w:rsidP="0023647E">
            <w:pPr>
              <w:pStyle w:val="TableHeading2"/>
              <w:jc w:val="center"/>
            </w:pPr>
          </w:p>
        </w:tc>
        <w:tc>
          <w:tcPr>
            <w:tcW w:w="801" w:type="dxa"/>
            <w:noWrap/>
            <w:hideMark/>
          </w:tcPr>
          <w:p w14:paraId="2B1EFD6D" w14:textId="77777777" w:rsidR="00561E55" w:rsidRPr="00BB4BFD" w:rsidRDefault="00561E55" w:rsidP="0023647E">
            <w:pPr>
              <w:pStyle w:val="TableHeading2"/>
              <w:jc w:val="center"/>
            </w:pPr>
          </w:p>
        </w:tc>
      </w:tr>
      <w:tr w:rsidR="00561E55" w:rsidRPr="00BB4BFD" w14:paraId="7BCC1727" w14:textId="77777777" w:rsidTr="00561E55">
        <w:trPr>
          <w:trHeight w:val="300"/>
        </w:trPr>
        <w:tc>
          <w:tcPr>
            <w:tcW w:w="609" w:type="dxa"/>
            <w:noWrap/>
            <w:hideMark/>
          </w:tcPr>
          <w:p w14:paraId="45097DD0" w14:textId="77777777" w:rsidR="00561E55" w:rsidRPr="00BB4BFD" w:rsidRDefault="00561E55" w:rsidP="0023647E">
            <w:pPr>
              <w:pStyle w:val="TableTextEntries"/>
            </w:pPr>
          </w:p>
        </w:tc>
        <w:tc>
          <w:tcPr>
            <w:tcW w:w="5057" w:type="dxa"/>
            <w:gridSpan w:val="2"/>
            <w:noWrap/>
            <w:hideMark/>
          </w:tcPr>
          <w:p w14:paraId="182C718D" w14:textId="77777777" w:rsidR="00561E55" w:rsidRPr="00BB4BFD" w:rsidRDefault="00561E55" w:rsidP="0023647E">
            <w:pPr>
              <w:pStyle w:val="TableTextEntries"/>
            </w:pPr>
            <w:r w:rsidRPr="00BB4BFD">
              <w:t>comment upon and confirm TOR</w:t>
            </w:r>
          </w:p>
        </w:tc>
        <w:tc>
          <w:tcPr>
            <w:tcW w:w="993" w:type="dxa"/>
            <w:noWrap/>
            <w:hideMark/>
          </w:tcPr>
          <w:p w14:paraId="7C0CF1A8" w14:textId="77777777" w:rsidR="00561E55" w:rsidRPr="00BB4BFD" w:rsidRDefault="00561E55" w:rsidP="0023647E">
            <w:pPr>
              <w:pStyle w:val="TableTextEntries"/>
              <w:jc w:val="center"/>
            </w:pPr>
            <w:r w:rsidRPr="00BB4BFD">
              <w:t>lead</w:t>
            </w:r>
          </w:p>
        </w:tc>
        <w:tc>
          <w:tcPr>
            <w:tcW w:w="992" w:type="dxa"/>
          </w:tcPr>
          <w:p w14:paraId="20676666" w14:textId="78B28045" w:rsidR="00561E55" w:rsidRPr="00BB4BFD" w:rsidRDefault="00561E55" w:rsidP="0023647E">
            <w:pPr>
              <w:pStyle w:val="TableTextEntries"/>
              <w:jc w:val="center"/>
            </w:pPr>
            <w:r w:rsidRPr="00BB4BFD">
              <w:t>support</w:t>
            </w:r>
          </w:p>
        </w:tc>
        <w:tc>
          <w:tcPr>
            <w:tcW w:w="1186" w:type="dxa"/>
            <w:gridSpan w:val="2"/>
            <w:noWrap/>
            <w:hideMark/>
          </w:tcPr>
          <w:p w14:paraId="179FA628" w14:textId="34F19CE2" w:rsidR="00561E55" w:rsidRPr="00BB4BFD" w:rsidRDefault="00561E55" w:rsidP="0023647E">
            <w:pPr>
              <w:pStyle w:val="TableTextEntries"/>
              <w:jc w:val="center"/>
            </w:pPr>
            <w:r w:rsidRPr="00BB4BFD">
              <w:t>review</w:t>
            </w:r>
          </w:p>
        </w:tc>
        <w:tc>
          <w:tcPr>
            <w:tcW w:w="801" w:type="dxa"/>
            <w:noWrap/>
            <w:hideMark/>
          </w:tcPr>
          <w:p w14:paraId="62B60434" w14:textId="3CE2EC60" w:rsidR="00561E55" w:rsidRPr="00BB4BFD" w:rsidRDefault="00561E55" w:rsidP="0023647E">
            <w:pPr>
              <w:pStyle w:val="TableTextEntries"/>
              <w:jc w:val="center"/>
            </w:pPr>
            <w:r w:rsidRPr="00BB4BFD">
              <w:t>review</w:t>
            </w:r>
          </w:p>
        </w:tc>
      </w:tr>
      <w:tr w:rsidR="00561E55" w:rsidRPr="00BB4BFD" w14:paraId="61ED76A2" w14:textId="77777777" w:rsidTr="00561E55">
        <w:trPr>
          <w:trHeight w:val="300"/>
        </w:trPr>
        <w:tc>
          <w:tcPr>
            <w:tcW w:w="609" w:type="dxa"/>
            <w:noWrap/>
            <w:hideMark/>
          </w:tcPr>
          <w:p w14:paraId="5FA13252" w14:textId="77777777" w:rsidR="00561E55" w:rsidRPr="00BB4BFD" w:rsidRDefault="00561E55" w:rsidP="0023647E">
            <w:pPr>
              <w:pStyle w:val="TableTextEntries"/>
            </w:pPr>
          </w:p>
        </w:tc>
        <w:tc>
          <w:tcPr>
            <w:tcW w:w="5057" w:type="dxa"/>
            <w:gridSpan w:val="2"/>
            <w:noWrap/>
            <w:hideMark/>
          </w:tcPr>
          <w:p w14:paraId="46145712" w14:textId="77777777" w:rsidR="00561E55" w:rsidRPr="00BB4BFD" w:rsidRDefault="00561E55" w:rsidP="0023647E">
            <w:pPr>
              <w:pStyle w:val="TableTextEntries"/>
            </w:pPr>
            <w:r w:rsidRPr="00BB4BFD">
              <w:t>initial teleconference and DFAT Canberra staff interviews</w:t>
            </w:r>
          </w:p>
        </w:tc>
        <w:tc>
          <w:tcPr>
            <w:tcW w:w="993" w:type="dxa"/>
            <w:noWrap/>
            <w:hideMark/>
          </w:tcPr>
          <w:p w14:paraId="155D1ADE" w14:textId="77777777" w:rsidR="00561E55" w:rsidRPr="00BB4BFD" w:rsidRDefault="00561E55" w:rsidP="0023647E">
            <w:pPr>
              <w:pStyle w:val="TableTextEntries"/>
              <w:jc w:val="center"/>
            </w:pPr>
            <w:r w:rsidRPr="00BB4BFD">
              <w:t>lead</w:t>
            </w:r>
          </w:p>
        </w:tc>
        <w:tc>
          <w:tcPr>
            <w:tcW w:w="992" w:type="dxa"/>
          </w:tcPr>
          <w:p w14:paraId="7F2D9E2F" w14:textId="02FFAF9A" w:rsidR="00561E55" w:rsidRDefault="00561E55" w:rsidP="0023647E">
            <w:pPr>
              <w:pStyle w:val="TableTextEntries"/>
              <w:jc w:val="center"/>
            </w:pPr>
            <w:r w:rsidRPr="00BB4BFD">
              <w:t>lead</w:t>
            </w:r>
          </w:p>
        </w:tc>
        <w:tc>
          <w:tcPr>
            <w:tcW w:w="1186" w:type="dxa"/>
            <w:gridSpan w:val="2"/>
            <w:noWrap/>
            <w:hideMark/>
          </w:tcPr>
          <w:p w14:paraId="2FDC7B82" w14:textId="39D017CB" w:rsidR="00561E55" w:rsidRPr="00BB4BFD" w:rsidRDefault="00561E55" w:rsidP="0023647E">
            <w:pPr>
              <w:pStyle w:val="TableTextEntries"/>
              <w:jc w:val="center"/>
            </w:pPr>
            <w:r>
              <w:t>s</w:t>
            </w:r>
            <w:r w:rsidRPr="00BB4BFD">
              <w:t>upport</w:t>
            </w:r>
          </w:p>
        </w:tc>
        <w:tc>
          <w:tcPr>
            <w:tcW w:w="801" w:type="dxa"/>
            <w:noWrap/>
            <w:hideMark/>
          </w:tcPr>
          <w:p w14:paraId="387B014B" w14:textId="77777777" w:rsidR="00561E55" w:rsidRPr="00BB4BFD" w:rsidRDefault="00561E55" w:rsidP="0023647E">
            <w:pPr>
              <w:pStyle w:val="TableTextEntries"/>
              <w:jc w:val="center"/>
            </w:pPr>
            <w:r w:rsidRPr="00BB4BFD">
              <w:t>-</w:t>
            </w:r>
          </w:p>
        </w:tc>
      </w:tr>
      <w:tr w:rsidR="00561E55" w:rsidRPr="00BB4BFD" w14:paraId="5DD113D9" w14:textId="77777777" w:rsidTr="00561E55">
        <w:trPr>
          <w:trHeight w:val="300"/>
        </w:trPr>
        <w:tc>
          <w:tcPr>
            <w:tcW w:w="609" w:type="dxa"/>
            <w:noWrap/>
            <w:hideMark/>
          </w:tcPr>
          <w:p w14:paraId="6DECFD44" w14:textId="77777777" w:rsidR="00561E55" w:rsidRPr="00BB4BFD" w:rsidRDefault="00561E55" w:rsidP="0023647E">
            <w:pPr>
              <w:pStyle w:val="TableTextEntries"/>
            </w:pPr>
          </w:p>
        </w:tc>
        <w:tc>
          <w:tcPr>
            <w:tcW w:w="5057" w:type="dxa"/>
            <w:gridSpan w:val="2"/>
            <w:noWrap/>
            <w:hideMark/>
          </w:tcPr>
          <w:p w14:paraId="37BD006E" w14:textId="77777777" w:rsidR="00561E55" w:rsidRPr="00BB4BFD" w:rsidRDefault="00561E55" w:rsidP="0023647E">
            <w:pPr>
              <w:pStyle w:val="TableTextEntries"/>
            </w:pPr>
            <w:r w:rsidRPr="00BB4BFD">
              <w:t>travel/field work planning</w:t>
            </w:r>
          </w:p>
        </w:tc>
        <w:tc>
          <w:tcPr>
            <w:tcW w:w="993" w:type="dxa"/>
            <w:noWrap/>
            <w:hideMark/>
          </w:tcPr>
          <w:p w14:paraId="68C656FF" w14:textId="159988FF" w:rsidR="00561E55" w:rsidRPr="00BB4BFD" w:rsidRDefault="00561E55" w:rsidP="0023647E">
            <w:pPr>
              <w:pStyle w:val="TableTextEntries"/>
              <w:jc w:val="center"/>
            </w:pPr>
            <w:r w:rsidRPr="00BB4BFD">
              <w:t>support</w:t>
            </w:r>
          </w:p>
        </w:tc>
        <w:tc>
          <w:tcPr>
            <w:tcW w:w="992" w:type="dxa"/>
          </w:tcPr>
          <w:p w14:paraId="5553244C" w14:textId="3E2953C3" w:rsidR="00561E55" w:rsidRPr="00BB4BFD" w:rsidRDefault="00561E55" w:rsidP="0023647E">
            <w:pPr>
              <w:pStyle w:val="TableTextEntries"/>
              <w:jc w:val="center"/>
            </w:pPr>
            <w:r w:rsidRPr="00BB4BFD">
              <w:t>support</w:t>
            </w:r>
          </w:p>
        </w:tc>
        <w:tc>
          <w:tcPr>
            <w:tcW w:w="1186" w:type="dxa"/>
            <w:gridSpan w:val="2"/>
            <w:noWrap/>
            <w:hideMark/>
          </w:tcPr>
          <w:p w14:paraId="1C046914" w14:textId="7495883C" w:rsidR="00561E55" w:rsidRPr="00BB4BFD" w:rsidRDefault="00561E55" w:rsidP="0023647E">
            <w:pPr>
              <w:pStyle w:val="TableTextEntries"/>
              <w:jc w:val="center"/>
            </w:pPr>
            <w:r w:rsidRPr="00BB4BFD">
              <w:t>support</w:t>
            </w:r>
          </w:p>
        </w:tc>
        <w:tc>
          <w:tcPr>
            <w:tcW w:w="801" w:type="dxa"/>
            <w:noWrap/>
            <w:hideMark/>
          </w:tcPr>
          <w:p w14:paraId="703FE214" w14:textId="77182D37" w:rsidR="00561E55" w:rsidRPr="00BB4BFD" w:rsidRDefault="00561E55" w:rsidP="0023647E">
            <w:pPr>
              <w:pStyle w:val="TableTextEntries"/>
              <w:jc w:val="center"/>
            </w:pPr>
            <w:r w:rsidRPr="00BB4BFD">
              <w:t>lead</w:t>
            </w:r>
          </w:p>
        </w:tc>
      </w:tr>
      <w:tr w:rsidR="00561E55" w:rsidRPr="00BB4BFD" w14:paraId="583F0F1D" w14:textId="77777777" w:rsidTr="00561E55">
        <w:trPr>
          <w:trHeight w:val="300"/>
        </w:trPr>
        <w:tc>
          <w:tcPr>
            <w:tcW w:w="5666" w:type="dxa"/>
            <w:gridSpan w:val="3"/>
            <w:noWrap/>
            <w:hideMark/>
          </w:tcPr>
          <w:p w14:paraId="38F34BF7" w14:textId="77777777" w:rsidR="00561E55" w:rsidRPr="00BB4BFD" w:rsidRDefault="00561E55" w:rsidP="0023647E">
            <w:pPr>
              <w:pStyle w:val="TableHeading2"/>
            </w:pPr>
            <w:r w:rsidRPr="00BB4BFD">
              <w:t>Evaluation plan</w:t>
            </w:r>
          </w:p>
        </w:tc>
        <w:tc>
          <w:tcPr>
            <w:tcW w:w="993" w:type="dxa"/>
            <w:noWrap/>
            <w:hideMark/>
          </w:tcPr>
          <w:p w14:paraId="68B61E4A" w14:textId="77777777" w:rsidR="00561E55" w:rsidRPr="00BB4BFD" w:rsidRDefault="00561E55" w:rsidP="0023647E">
            <w:pPr>
              <w:pStyle w:val="TableHeading2"/>
              <w:jc w:val="center"/>
            </w:pPr>
          </w:p>
        </w:tc>
        <w:tc>
          <w:tcPr>
            <w:tcW w:w="992" w:type="dxa"/>
          </w:tcPr>
          <w:p w14:paraId="4662AB22" w14:textId="77777777" w:rsidR="00561E55" w:rsidRPr="00BB4BFD" w:rsidRDefault="00561E55" w:rsidP="0023647E">
            <w:pPr>
              <w:pStyle w:val="TableHeading2"/>
              <w:jc w:val="center"/>
            </w:pPr>
          </w:p>
        </w:tc>
        <w:tc>
          <w:tcPr>
            <w:tcW w:w="1186" w:type="dxa"/>
            <w:gridSpan w:val="2"/>
            <w:noWrap/>
            <w:hideMark/>
          </w:tcPr>
          <w:p w14:paraId="2DB4FBBD" w14:textId="71A447C8" w:rsidR="00561E55" w:rsidRPr="00BB4BFD" w:rsidRDefault="00561E55" w:rsidP="0023647E">
            <w:pPr>
              <w:pStyle w:val="TableHeading2"/>
              <w:jc w:val="center"/>
            </w:pPr>
          </w:p>
        </w:tc>
        <w:tc>
          <w:tcPr>
            <w:tcW w:w="801" w:type="dxa"/>
            <w:noWrap/>
            <w:hideMark/>
          </w:tcPr>
          <w:p w14:paraId="132A48FF" w14:textId="77777777" w:rsidR="00561E55" w:rsidRPr="00BB4BFD" w:rsidRDefault="00561E55" w:rsidP="0023647E">
            <w:pPr>
              <w:pStyle w:val="TableHeading2"/>
              <w:jc w:val="center"/>
            </w:pPr>
          </w:p>
        </w:tc>
      </w:tr>
      <w:tr w:rsidR="00561E55" w:rsidRPr="00BB4BFD" w14:paraId="528656E6" w14:textId="77777777" w:rsidTr="00561E55">
        <w:trPr>
          <w:trHeight w:val="300"/>
        </w:trPr>
        <w:tc>
          <w:tcPr>
            <w:tcW w:w="609" w:type="dxa"/>
            <w:noWrap/>
            <w:hideMark/>
          </w:tcPr>
          <w:p w14:paraId="0633B962" w14:textId="77777777" w:rsidR="00561E55" w:rsidRPr="00BB4BFD" w:rsidRDefault="00561E55" w:rsidP="0023647E">
            <w:pPr>
              <w:pStyle w:val="TableTextEntries"/>
            </w:pPr>
          </w:p>
        </w:tc>
        <w:tc>
          <w:tcPr>
            <w:tcW w:w="5057" w:type="dxa"/>
            <w:gridSpan w:val="2"/>
            <w:noWrap/>
            <w:hideMark/>
          </w:tcPr>
          <w:p w14:paraId="095BA305" w14:textId="77777777" w:rsidR="00561E55" w:rsidRPr="00BB4BFD" w:rsidRDefault="00561E55" w:rsidP="0023647E">
            <w:pPr>
              <w:pStyle w:val="TableTextEntries"/>
            </w:pPr>
            <w:r w:rsidRPr="00BB4BFD">
              <w:t>draft ev</w:t>
            </w:r>
            <w:r>
              <w:t>a</w:t>
            </w:r>
            <w:r w:rsidRPr="00BB4BFD">
              <w:t>lu</w:t>
            </w:r>
            <w:r>
              <w:t>a</w:t>
            </w:r>
            <w:r w:rsidRPr="00BB4BFD">
              <w:t>tion plan including:</w:t>
            </w:r>
          </w:p>
        </w:tc>
        <w:tc>
          <w:tcPr>
            <w:tcW w:w="993" w:type="dxa"/>
            <w:noWrap/>
            <w:hideMark/>
          </w:tcPr>
          <w:p w14:paraId="1B89B60F" w14:textId="77777777" w:rsidR="00561E55" w:rsidRPr="00BB4BFD" w:rsidRDefault="00561E55" w:rsidP="0023647E">
            <w:pPr>
              <w:pStyle w:val="TableTextEntries"/>
              <w:jc w:val="center"/>
            </w:pPr>
            <w:r w:rsidRPr="00BB4BFD">
              <w:t>lead</w:t>
            </w:r>
          </w:p>
        </w:tc>
        <w:tc>
          <w:tcPr>
            <w:tcW w:w="992" w:type="dxa"/>
          </w:tcPr>
          <w:p w14:paraId="4A5C208F" w14:textId="279862A1" w:rsidR="00561E55" w:rsidRPr="00BB4BFD" w:rsidRDefault="00561E55" w:rsidP="0023647E">
            <w:pPr>
              <w:pStyle w:val="TableTextEntries"/>
              <w:jc w:val="center"/>
            </w:pPr>
            <w:r w:rsidRPr="00BB4BFD">
              <w:t>support</w:t>
            </w:r>
          </w:p>
        </w:tc>
        <w:tc>
          <w:tcPr>
            <w:tcW w:w="1186" w:type="dxa"/>
            <w:gridSpan w:val="2"/>
            <w:noWrap/>
            <w:hideMark/>
          </w:tcPr>
          <w:p w14:paraId="0D1A1C9E" w14:textId="524C0B58" w:rsidR="00561E55" w:rsidRPr="00BB4BFD" w:rsidRDefault="00561E55" w:rsidP="0023647E">
            <w:pPr>
              <w:pStyle w:val="TableTextEntries"/>
              <w:jc w:val="center"/>
            </w:pPr>
            <w:r w:rsidRPr="00BB4BFD">
              <w:t>support</w:t>
            </w:r>
          </w:p>
        </w:tc>
        <w:tc>
          <w:tcPr>
            <w:tcW w:w="801" w:type="dxa"/>
            <w:noWrap/>
            <w:hideMark/>
          </w:tcPr>
          <w:p w14:paraId="3DC89198" w14:textId="77777777" w:rsidR="00561E55" w:rsidRPr="00BB4BFD" w:rsidRDefault="00561E55" w:rsidP="0023647E">
            <w:pPr>
              <w:pStyle w:val="TableTextEntries"/>
              <w:jc w:val="center"/>
            </w:pPr>
            <w:r w:rsidRPr="00BB4BFD">
              <w:t>review</w:t>
            </w:r>
          </w:p>
        </w:tc>
      </w:tr>
      <w:tr w:rsidR="00561E55" w:rsidRPr="00BB4BFD" w14:paraId="17BB49CF" w14:textId="77777777" w:rsidTr="00561E55">
        <w:trPr>
          <w:trHeight w:val="300"/>
        </w:trPr>
        <w:tc>
          <w:tcPr>
            <w:tcW w:w="609" w:type="dxa"/>
            <w:noWrap/>
            <w:hideMark/>
          </w:tcPr>
          <w:p w14:paraId="06C097DD" w14:textId="77777777" w:rsidR="00561E55" w:rsidRPr="00BB4BFD" w:rsidRDefault="00561E55" w:rsidP="0023647E">
            <w:pPr>
              <w:pStyle w:val="TableTextEntries"/>
            </w:pPr>
          </w:p>
        </w:tc>
        <w:tc>
          <w:tcPr>
            <w:tcW w:w="5057" w:type="dxa"/>
            <w:gridSpan w:val="2"/>
            <w:noWrap/>
            <w:hideMark/>
          </w:tcPr>
          <w:p w14:paraId="258EB8C0" w14:textId="77777777" w:rsidR="00561E55" w:rsidRPr="00BB4BFD" w:rsidRDefault="00561E55" w:rsidP="0023647E">
            <w:pPr>
              <w:pStyle w:val="TableTextEntries"/>
            </w:pPr>
            <w:r w:rsidRPr="00BB4BFD">
              <w:t xml:space="preserve"> matrix of evaluation questions</w:t>
            </w:r>
          </w:p>
        </w:tc>
        <w:tc>
          <w:tcPr>
            <w:tcW w:w="993" w:type="dxa"/>
            <w:noWrap/>
            <w:hideMark/>
          </w:tcPr>
          <w:p w14:paraId="6F5271D1" w14:textId="77777777" w:rsidR="00561E55" w:rsidRPr="00BB4BFD" w:rsidRDefault="00561E55" w:rsidP="0023647E">
            <w:pPr>
              <w:pStyle w:val="TableTextEntries"/>
              <w:jc w:val="center"/>
            </w:pPr>
            <w:r w:rsidRPr="00BB4BFD">
              <w:t>lead</w:t>
            </w:r>
          </w:p>
        </w:tc>
        <w:tc>
          <w:tcPr>
            <w:tcW w:w="992" w:type="dxa"/>
          </w:tcPr>
          <w:p w14:paraId="553A69BE" w14:textId="1DF534E1" w:rsidR="00561E55" w:rsidRPr="00BB4BFD" w:rsidRDefault="00561E55" w:rsidP="0023647E">
            <w:pPr>
              <w:pStyle w:val="TableTextEntries"/>
              <w:jc w:val="center"/>
            </w:pPr>
            <w:r w:rsidRPr="00BB4BFD">
              <w:t>review</w:t>
            </w:r>
          </w:p>
        </w:tc>
        <w:tc>
          <w:tcPr>
            <w:tcW w:w="1186" w:type="dxa"/>
            <w:gridSpan w:val="2"/>
            <w:noWrap/>
            <w:hideMark/>
          </w:tcPr>
          <w:p w14:paraId="48E5577C" w14:textId="4B59F5E0" w:rsidR="00561E55" w:rsidRPr="00BB4BFD" w:rsidRDefault="00561E55" w:rsidP="0023647E">
            <w:pPr>
              <w:pStyle w:val="TableTextEntries"/>
              <w:jc w:val="center"/>
            </w:pPr>
            <w:r w:rsidRPr="00BB4BFD">
              <w:t>support</w:t>
            </w:r>
          </w:p>
        </w:tc>
        <w:tc>
          <w:tcPr>
            <w:tcW w:w="801" w:type="dxa"/>
            <w:noWrap/>
            <w:hideMark/>
          </w:tcPr>
          <w:p w14:paraId="215A13EE" w14:textId="6810D1D5" w:rsidR="00561E55" w:rsidRPr="00BB4BFD" w:rsidRDefault="00561E55" w:rsidP="0023647E">
            <w:pPr>
              <w:pStyle w:val="TableTextEntries"/>
              <w:jc w:val="center"/>
            </w:pPr>
            <w:r w:rsidRPr="00BB4BFD">
              <w:t>review</w:t>
            </w:r>
          </w:p>
        </w:tc>
      </w:tr>
      <w:tr w:rsidR="00561E55" w:rsidRPr="00BB4BFD" w14:paraId="7614A4B9" w14:textId="77777777" w:rsidTr="00561E55">
        <w:trPr>
          <w:trHeight w:val="300"/>
        </w:trPr>
        <w:tc>
          <w:tcPr>
            <w:tcW w:w="609" w:type="dxa"/>
            <w:noWrap/>
            <w:hideMark/>
          </w:tcPr>
          <w:p w14:paraId="070B5475" w14:textId="77777777" w:rsidR="00561E55" w:rsidRPr="00BB4BFD" w:rsidRDefault="00561E55" w:rsidP="0023647E">
            <w:pPr>
              <w:pStyle w:val="TableTextEntries"/>
            </w:pPr>
          </w:p>
        </w:tc>
        <w:tc>
          <w:tcPr>
            <w:tcW w:w="5057" w:type="dxa"/>
            <w:gridSpan w:val="2"/>
            <w:noWrap/>
            <w:hideMark/>
          </w:tcPr>
          <w:p w14:paraId="58B3C034" w14:textId="77777777" w:rsidR="00561E55" w:rsidRPr="00BB4BFD" w:rsidRDefault="00561E55" w:rsidP="0023647E">
            <w:pPr>
              <w:pStyle w:val="TableTextEntries"/>
            </w:pPr>
            <w:r w:rsidRPr="00BB4BFD">
              <w:t>description of method</w:t>
            </w:r>
          </w:p>
        </w:tc>
        <w:tc>
          <w:tcPr>
            <w:tcW w:w="993" w:type="dxa"/>
            <w:noWrap/>
            <w:hideMark/>
          </w:tcPr>
          <w:p w14:paraId="02E17179" w14:textId="77777777" w:rsidR="00561E55" w:rsidRPr="00BB4BFD" w:rsidRDefault="00561E55" w:rsidP="0023647E">
            <w:pPr>
              <w:pStyle w:val="TableTextEntries"/>
              <w:jc w:val="center"/>
            </w:pPr>
            <w:r w:rsidRPr="00BB4BFD">
              <w:t>lead</w:t>
            </w:r>
          </w:p>
        </w:tc>
        <w:tc>
          <w:tcPr>
            <w:tcW w:w="992" w:type="dxa"/>
          </w:tcPr>
          <w:p w14:paraId="7B8D78AA" w14:textId="3B5B6483" w:rsidR="00561E55" w:rsidRPr="00BB4BFD" w:rsidRDefault="00561E55" w:rsidP="0023647E">
            <w:pPr>
              <w:pStyle w:val="TableTextEntries"/>
              <w:jc w:val="center"/>
            </w:pPr>
            <w:r w:rsidRPr="00BB4BFD">
              <w:t>review</w:t>
            </w:r>
          </w:p>
        </w:tc>
        <w:tc>
          <w:tcPr>
            <w:tcW w:w="1186" w:type="dxa"/>
            <w:gridSpan w:val="2"/>
            <w:noWrap/>
            <w:hideMark/>
          </w:tcPr>
          <w:p w14:paraId="1DCAD59F" w14:textId="3CF76FEC" w:rsidR="00561E55" w:rsidRPr="00BB4BFD" w:rsidRDefault="00561E55" w:rsidP="0023647E">
            <w:pPr>
              <w:pStyle w:val="TableTextEntries"/>
              <w:jc w:val="center"/>
            </w:pPr>
            <w:r w:rsidRPr="00BB4BFD">
              <w:t>support</w:t>
            </w:r>
          </w:p>
        </w:tc>
        <w:tc>
          <w:tcPr>
            <w:tcW w:w="801" w:type="dxa"/>
            <w:noWrap/>
            <w:hideMark/>
          </w:tcPr>
          <w:p w14:paraId="0972041E" w14:textId="77777777" w:rsidR="00561E55" w:rsidRPr="00BB4BFD" w:rsidRDefault="00561E55" w:rsidP="0023647E">
            <w:pPr>
              <w:pStyle w:val="TableTextEntries"/>
              <w:jc w:val="center"/>
            </w:pPr>
            <w:r w:rsidRPr="00BB4BFD">
              <w:t>review</w:t>
            </w:r>
          </w:p>
        </w:tc>
      </w:tr>
      <w:tr w:rsidR="00561E55" w:rsidRPr="00BB4BFD" w14:paraId="571CC439" w14:textId="77777777" w:rsidTr="00561E55">
        <w:trPr>
          <w:trHeight w:val="300"/>
        </w:trPr>
        <w:tc>
          <w:tcPr>
            <w:tcW w:w="609" w:type="dxa"/>
            <w:noWrap/>
            <w:hideMark/>
          </w:tcPr>
          <w:p w14:paraId="11004565" w14:textId="77777777" w:rsidR="00561E55" w:rsidRPr="00BB4BFD" w:rsidRDefault="00561E55" w:rsidP="0023647E">
            <w:pPr>
              <w:pStyle w:val="TableTextEntries"/>
            </w:pPr>
          </w:p>
        </w:tc>
        <w:tc>
          <w:tcPr>
            <w:tcW w:w="5057" w:type="dxa"/>
            <w:gridSpan w:val="2"/>
            <w:noWrap/>
            <w:hideMark/>
          </w:tcPr>
          <w:p w14:paraId="5272F4A7" w14:textId="77777777" w:rsidR="00561E55" w:rsidRPr="00BB4BFD" w:rsidRDefault="00561E55" w:rsidP="0023647E">
            <w:pPr>
              <w:pStyle w:val="TableTextEntries"/>
            </w:pPr>
            <w:r w:rsidRPr="00BB4BFD">
              <w:t>data gathering tools (interview and focus group guides)</w:t>
            </w:r>
          </w:p>
        </w:tc>
        <w:tc>
          <w:tcPr>
            <w:tcW w:w="993" w:type="dxa"/>
            <w:noWrap/>
            <w:hideMark/>
          </w:tcPr>
          <w:p w14:paraId="1F209704" w14:textId="77777777" w:rsidR="00561E55" w:rsidRPr="00BB4BFD" w:rsidRDefault="00561E55" w:rsidP="0023647E">
            <w:pPr>
              <w:pStyle w:val="TableTextEntries"/>
              <w:jc w:val="center"/>
            </w:pPr>
            <w:r w:rsidRPr="00BB4BFD">
              <w:t>lead</w:t>
            </w:r>
          </w:p>
        </w:tc>
        <w:tc>
          <w:tcPr>
            <w:tcW w:w="992" w:type="dxa"/>
          </w:tcPr>
          <w:p w14:paraId="26350580" w14:textId="767CAF3E" w:rsidR="00561E55" w:rsidRPr="00BB4BFD" w:rsidRDefault="00561E55" w:rsidP="0023647E">
            <w:pPr>
              <w:pStyle w:val="TableTextEntries"/>
              <w:jc w:val="center"/>
            </w:pPr>
            <w:r w:rsidRPr="00BB4BFD">
              <w:t>review</w:t>
            </w:r>
          </w:p>
        </w:tc>
        <w:tc>
          <w:tcPr>
            <w:tcW w:w="1186" w:type="dxa"/>
            <w:gridSpan w:val="2"/>
            <w:noWrap/>
            <w:hideMark/>
          </w:tcPr>
          <w:p w14:paraId="404E40F5" w14:textId="7D5AF9FB" w:rsidR="00561E55" w:rsidRPr="00BB4BFD" w:rsidRDefault="00561E55" w:rsidP="0023647E">
            <w:pPr>
              <w:pStyle w:val="TableTextEntries"/>
              <w:jc w:val="center"/>
            </w:pPr>
            <w:r w:rsidRPr="00BB4BFD">
              <w:t>support</w:t>
            </w:r>
          </w:p>
        </w:tc>
        <w:tc>
          <w:tcPr>
            <w:tcW w:w="801" w:type="dxa"/>
            <w:noWrap/>
            <w:hideMark/>
          </w:tcPr>
          <w:p w14:paraId="151EBBF1" w14:textId="77777777" w:rsidR="00561E55" w:rsidRPr="00BB4BFD" w:rsidRDefault="00561E55" w:rsidP="0023647E">
            <w:pPr>
              <w:pStyle w:val="TableTextEntries"/>
              <w:jc w:val="center"/>
            </w:pPr>
            <w:r w:rsidRPr="00BB4BFD">
              <w:t>review</w:t>
            </w:r>
          </w:p>
        </w:tc>
      </w:tr>
      <w:tr w:rsidR="00561E55" w:rsidRPr="00BB4BFD" w14:paraId="4DD481BA" w14:textId="77777777" w:rsidTr="00561E55">
        <w:trPr>
          <w:trHeight w:val="300"/>
        </w:trPr>
        <w:tc>
          <w:tcPr>
            <w:tcW w:w="609" w:type="dxa"/>
            <w:noWrap/>
            <w:hideMark/>
          </w:tcPr>
          <w:p w14:paraId="05A096FA" w14:textId="77777777" w:rsidR="00561E55" w:rsidRPr="00BB4BFD" w:rsidRDefault="00561E55" w:rsidP="0023647E">
            <w:pPr>
              <w:pStyle w:val="TableTextEntries"/>
            </w:pPr>
          </w:p>
        </w:tc>
        <w:tc>
          <w:tcPr>
            <w:tcW w:w="5057" w:type="dxa"/>
            <w:gridSpan w:val="2"/>
            <w:noWrap/>
            <w:hideMark/>
          </w:tcPr>
          <w:p w14:paraId="7CCCA73E" w14:textId="77777777" w:rsidR="00561E55" w:rsidRPr="00BB4BFD" w:rsidRDefault="00561E55" w:rsidP="0023647E">
            <w:pPr>
              <w:pStyle w:val="TableTextEntries"/>
            </w:pPr>
            <w:r w:rsidRPr="00BB4BFD">
              <w:t>detailed field work schedule</w:t>
            </w:r>
          </w:p>
        </w:tc>
        <w:tc>
          <w:tcPr>
            <w:tcW w:w="993" w:type="dxa"/>
            <w:noWrap/>
            <w:hideMark/>
          </w:tcPr>
          <w:p w14:paraId="5238FF17" w14:textId="6552A62C" w:rsidR="00561E55" w:rsidRPr="00BB4BFD" w:rsidRDefault="00561E55" w:rsidP="0023647E">
            <w:pPr>
              <w:pStyle w:val="TableTextEntries"/>
              <w:jc w:val="center"/>
            </w:pPr>
            <w:r w:rsidRPr="00BB4BFD">
              <w:t>support</w:t>
            </w:r>
          </w:p>
        </w:tc>
        <w:tc>
          <w:tcPr>
            <w:tcW w:w="992" w:type="dxa"/>
          </w:tcPr>
          <w:p w14:paraId="13A3CE49" w14:textId="36A81483" w:rsidR="00561E55" w:rsidRPr="00BB4BFD" w:rsidRDefault="00561E55" w:rsidP="0023647E">
            <w:pPr>
              <w:pStyle w:val="TableTextEntries"/>
              <w:jc w:val="center"/>
            </w:pPr>
            <w:r w:rsidRPr="00BB4BFD">
              <w:t>review</w:t>
            </w:r>
          </w:p>
        </w:tc>
        <w:tc>
          <w:tcPr>
            <w:tcW w:w="1186" w:type="dxa"/>
            <w:gridSpan w:val="2"/>
            <w:noWrap/>
            <w:hideMark/>
          </w:tcPr>
          <w:p w14:paraId="6F9F0213" w14:textId="5B20C7F4" w:rsidR="00561E55" w:rsidRPr="00BB4BFD" w:rsidRDefault="00561E55" w:rsidP="0023647E">
            <w:pPr>
              <w:pStyle w:val="TableTextEntries"/>
              <w:jc w:val="center"/>
            </w:pPr>
            <w:r w:rsidRPr="00BB4BFD">
              <w:t>review</w:t>
            </w:r>
          </w:p>
        </w:tc>
        <w:tc>
          <w:tcPr>
            <w:tcW w:w="801" w:type="dxa"/>
            <w:noWrap/>
            <w:hideMark/>
          </w:tcPr>
          <w:p w14:paraId="421F823F" w14:textId="17A24EF5" w:rsidR="00561E55" w:rsidRPr="00BB4BFD" w:rsidRDefault="00561E55" w:rsidP="0023647E">
            <w:pPr>
              <w:pStyle w:val="TableTextEntries"/>
              <w:jc w:val="center"/>
            </w:pPr>
            <w:r>
              <w:t>lead</w:t>
            </w:r>
          </w:p>
        </w:tc>
      </w:tr>
      <w:tr w:rsidR="00561E55" w:rsidRPr="00BB4BFD" w14:paraId="042F7827" w14:textId="0E2D768D" w:rsidTr="00561E55">
        <w:trPr>
          <w:gridAfter w:val="6"/>
          <w:wAfter w:w="7801" w:type="dxa"/>
          <w:trHeight w:val="300"/>
        </w:trPr>
        <w:tc>
          <w:tcPr>
            <w:tcW w:w="609" w:type="dxa"/>
            <w:noWrap/>
            <w:hideMark/>
          </w:tcPr>
          <w:p w14:paraId="149EE616" w14:textId="77777777" w:rsidR="00561E55" w:rsidRPr="00BB4BFD" w:rsidRDefault="00561E55" w:rsidP="0023647E">
            <w:pPr>
              <w:pStyle w:val="TableTextEntries"/>
            </w:pPr>
          </w:p>
        </w:tc>
        <w:tc>
          <w:tcPr>
            <w:tcW w:w="1228" w:type="dxa"/>
          </w:tcPr>
          <w:p w14:paraId="0129C343" w14:textId="77777777" w:rsidR="00561E55" w:rsidRPr="00BB4BFD" w:rsidRDefault="00561E55" w:rsidP="0023647E">
            <w:pPr>
              <w:pStyle w:val="TableTextEntries"/>
            </w:pPr>
          </w:p>
        </w:tc>
      </w:tr>
      <w:tr w:rsidR="00561E55" w:rsidRPr="00BB4BFD" w14:paraId="3C1A851F" w14:textId="77777777" w:rsidTr="00561E55">
        <w:trPr>
          <w:trHeight w:val="300"/>
        </w:trPr>
        <w:tc>
          <w:tcPr>
            <w:tcW w:w="5666" w:type="dxa"/>
            <w:gridSpan w:val="3"/>
            <w:noWrap/>
            <w:hideMark/>
          </w:tcPr>
          <w:p w14:paraId="555A5AF6" w14:textId="77777777" w:rsidR="00561E55" w:rsidRPr="00BB4BFD" w:rsidRDefault="00561E55" w:rsidP="0023647E">
            <w:pPr>
              <w:pStyle w:val="TableHeading2"/>
            </w:pPr>
            <w:r w:rsidRPr="00BB4BFD">
              <w:t>Field work</w:t>
            </w:r>
          </w:p>
        </w:tc>
        <w:tc>
          <w:tcPr>
            <w:tcW w:w="993" w:type="dxa"/>
            <w:noWrap/>
            <w:hideMark/>
          </w:tcPr>
          <w:p w14:paraId="06607653" w14:textId="77777777" w:rsidR="00561E55" w:rsidRPr="00BB4BFD" w:rsidRDefault="00561E55" w:rsidP="0023647E">
            <w:pPr>
              <w:pStyle w:val="TableHeading2"/>
              <w:jc w:val="center"/>
            </w:pPr>
          </w:p>
        </w:tc>
        <w:tc>
          <w:tcPr>
            <w:tcW w:w="992" w:type="dxa"/>
          </w:tcPr>
          <w:p w14:paraId="0CB6F099" w14:textId="77777777" w:rsidR="00561E55" w:rsidRPr="00BB4BFD" w:rsidRDefault="00561E55" w:rsidP="0023647E">
            <w:pPr>
              <w:pStyle w:val="TableHeading2"/>
              <w:jc w:val="center"/>
            </w:pPr>
          </w:p>
        </w:tc>
        <w:tc>
          <w:tcPr>
            <w:tcW w:w="1186" w:type="dxa"/>
            <w:gridSpan w:val="2"/>
            <w:noWrap/>
            <w:hideMark/>
          </w:tcPr>
          <w:p w14:paraId="3DA7F14B" w14:textId="7603D95E" w:rsidR="00561E55" w:rsidRPr="00BB4BFD" w:rsidRDefault="00561E55" w:rsidP="0023647E">
            <w:pPr>
              <w:pStyle w:val="TableHeading2"/>
              <w:jc w:val="center"/>
            </w:pPr>
          </w:p>
        </w:tc>
        <w:tc>
          <w:tcPr>
            <w:tcW w:w="801" w:type="dxa"/>
            <w:noWrap/>
            <w:hideMark/>
          </w:tcPr>
          <w:p w14:paraId="6EE0AB5A" w14:textId="77777777" w:rsidR="00561E55" w:rsidRPr="00BB4BFD" w:rsidRDefault="00561E55" w:rsidP="0023647E">
            <w:pPr>
              <w:pStyle w:val="TableHeading2"/>
              <w:jc w:val="center"/>
            </w:pPr>
          </w:p>
        </w:tc>
      </w:tr>
      <w:tr w:rsidR="00561E55" w:rsidRPr="00BB4BFD" w14:paraId="0F5735A9" w14:textId="77777777" w:rsidTr="00561E55">
        <w:trPr>
          <w:trHeight w:val="300"/>
        </w:trPr>
        <w:tc>
          <w:tcPr>
            <w:tcW w:w="609" w:type="dxa"/>
            <w:noWrap/>
            <w:hideMark/>
          </w:tcPr>
          <w:p w14:paraId="6071BF9D" w14:textId="77777777" w:rsidR="00561E55" w:rsidRPr="00BB4BFD" w:rsidRDefault="00561E55" w:rsidP="0023647E">
            <w:pPr>
              <w:pStyle w:val="TableTextEntries"/>
            </w:pPr>
          </w:p>
        </w:tc>
        <w:tc>
          <w:tcPr>
            <w:tcW w:w="5057" w:type="dxa"/>
            <w:gridSpan w:val="2"/>
            <w:noWrap/>
            <w:hideMark/>
          </w:tcPr>
          <w:p w14:paraId="06D0E393" w14:textId="684ED8CE" w:rsidR="00561E55" w:rsidRPr="00BB4BFD" w:rsidRDefault="00561E55" w:rsidP="0023647E">
            <w:pPr>
              <w:pStyle w:val="TableTextEntries"/>
            </w:pPr>
            <w:r w:rsidRPr="00BB4BFD">
              <w:t xml:space="preserve">Liaison with partners and </w:t>
            </w:r>
            <w:r>
              <w:t xml:space="preserve">affected populations </w:t>
            </w:r>
            <w:r w:rsidRPr="00BB4BFD">
              <w:t>as per field work schedule</w:t>
            </w:r>
          </w:p>
        </w:tc>
        <w:tc>
          <w:tcPr>
            <w:tcW w:w="993" w:type="dxa"/>
            <w:noWrap/>
            <w:hideMark/>
          </w:tcPr>
          <w:p w14:paraId="16B72358" w14:textId="77777777" w:rsidR="00561E55" w:rsidRPr="00BB4BFD" w:rsidRDefault="00561E55" w:rsidP="0023647E">
            <w:pPr>
              <w:pStyle w:val="TableTextEntries"/>
              <w:jc w:val="center"/>
            </w:pPr>
            <w:r w:rsidRPr="00BB4BFD">
              <w:t>support</w:t>
            </w:r>
          </w:p>
        </w:tc>
        <w:tc>
          <w:tcPr>
            <w:tcW w:w="992" w:type="dxa"/>
          </w:tcPr>
          <w:p w14:paraId="5E9E9CC1" w14:textId="77777777" w:rsidR="00561E55" w:rsidRPr="00BB4BFD" w:rsidRDefault="00561E55" w:rsidP="0023647E">
            <w:pPr>
              <w:pStyle w:val="TableTextEntries"/>
              <w:jc w:val="center"/>
            </w:pPr>
          </w:p>
        </w:tc>
        <w:tc>
          <w:tcPr>
            <w:tcW w:w="1186" w:type="dxa"/>
            <w:gridSpan w:val="2"/>
            <w:noWrap/>
            <w:hideMark/>
          </w:tcPr>
          <w:p w14:paraId="0AD3AF81" w14:textId="6138E463" w:rsidR="00561E55" w:rsidRPr="00BB4BFD" w:rsidRDefault="00561E55" w:rsidP="0023647E">
            <w:pPr>
              <w:pStyle w:val="TableTextEntries"/>
              <w:jc w:val="center"/>
            </w:pPr>
            <w:r w:rsidRPr="00BB4BFD">
              <w:t>-</w:t>
            </w:r>
          </w:p>
        </w:tc>
        <w:tc>
          <w:tcPr>
            <w:tcW w:w="801" w:type="dxa"/>
            <w:noWrap/>
            <w:hideMark/>
          </w:tcPr>
          <w:p w14:paraId="760094BE" w14:textId="77777777" w:rsidR="00561E55" w:rsidRPr="00BB4BFD" w:rsidRDefault="00561E55" w:rsidP="0023647E">
            <w:pPr>
              <w:pStyle w:val="TableTextEntries"/>
              <w:jc w:val="center"/>
            </w:pPr>
            <w:r w:rsidRPr="00BB4BFD">
              <w:t>lead</w:t>
            </w:r>
          </w:p>
        </w:tc>
      </w:tr>
      <w:tr w:rsidR="00561E55" w:rsidRPr="00BB4BFD" w14:paraId="15D5D920" w14:textId="77777777" w:rsidTr="00561E55">
        <w:trPr>
          <w:trHeight w:val="300"/>
        </w:trPr>
        <w:tc>
          <w:tcPr>
            <w:tcW w:w="609" w:type="dxa"/>
            <w:noWrap/>
            <w:hideMark/>
          </w:tcPr>
          <w:p w14:paraId="1FB258F5" w14:textId="77777777" w:rsidR="00561E55" w:rsidRPr="00BB4BFD" w:rsidRDefault="00561E55" w:rsidP="0023647E">
            <w:pPr>
              <w:pStyle w:val="TableTextEntries"/>
            </w:pPr>
          </w:p>
        </w:tc>
        <w:tc>
          <w:tcPr>
            <w:tcW w:w="5057" w:type="dxa"/>
            <w:gridSpan w:val="2"/>
            <w:noWrap/>
            <w:hideMark/>
          </w:tcPr>
          <w:p w14:paraId="180B6A33" w14:textId="77777777" w:rsidR="00561E55" w:rsidRPr="00BB4BFD" w:rsidRDefault="00561E55" w:rsidP="0023647E">
            <w:pPr>
              <w:pStyle w:val="TableTextEntries"/>
            </w:pPr>
            <w:r w:rsidRPr="00BB4BFD">
              <w:t>Organise logistics for travel, accommodation and security briefings</w:t>
            </w:r>
          </w:p>
        </w:tc>
        <w:tc>
          <w:tcPr>
            <w:tcW w:w="993" w:type="dxa"/>
            <w:noWrap/>
            <w:hideMark/>
          </w:tcPr>
          <w:p w14:paraId="08F5ED0A" w14:textId="77777777" w:rsidR="00561E55" w:rsidRPr="00BB4BFD" w:rsidRDefault="00561E55" w:rsidP="0023647E">
            <w:pPr>
              <w:pStyle w:val="TableTextEntries"/>
              <w:jc w:val="center"/>
            </w:pPr>
            <w:r w:rsidRPr="00BB4BFD">
              <w:t>support</w:t>
            </w:r>
          </w:p>
        </w:tc>
        <w:tc>
          <w:tcPr>
            <w:tcW w:w="992" w:type="dxa"/>
          </w:tcPr>
          <w:p w14:paraId="75E2DD34" w14:textId="77777777" w:rsidR="00561E55" w:rsidRPr="00BB4BFD" w:rsidRDefault="00561E55" w:rsidP="0023647E">
            <w:pPr>
              <w:pStyle w:val="TableTextEntries"/>
              <w:jc w:val="center"/>
            </w:pPr>
          </w:p>
        </w:tc>
        <w:tc>
          <w:tcPr>
            <w:tcW w:w="1186" w:type="dxa"/>
            <w:gridSpan w:val="2"/>
            <w:noWrap/>
            <w:hideMark/>
          </w:tcPr>
          <w:p w14:paraId="5D93492F" w14:textId="05F07C72" w:rsidR="00561E55" w:rsidRPr="00BB4BFD" w:rsidRDefault="00561E55" w:rsidP="0023647E">
            <w:pPr>
              <w:pStyle w:val="TableTextEntries"/>
              <w:jc w:val="center"/>
            </w:pPr>
            <w:r w:rsidRPr="00BB4BFD">
              <w:t>-</w:t>
            </w:r>
          </w:p>
        </w:tc>
        <w:tc>
          <w:tcPr>
            <w:tcW w:w="801" w:type="dxa"/>
            <w:noWrap/>
            <w:hideMark/>
          </w:tcPr>
          <w:p w14:paraId="766B84E2" w14:textId="77777777" w:rsidR="00561E55" w:rsidRPr="00BB4BFD" w:rsidRDefault="00561E55" w:rsidP="0023647E">
            <w:pPr>
              <w:pStyle w:val="TableTextEntries"/>
              <w:jc w:val="center"/>
            </w:pPr>
            <w:r w:rsidRPr="00BB4BFD">
              <w:t>lead</w:t>
            </w:r>
          </w:p>
        </w:tc>
      </w:tr>
      <w:tr w:rsidR="00561E55" w:rsidRPr="00BB4BFD" w14:paraId="328D2F9F" w14:textId="77777777" w:rsidTr="00561E55">
        <w:trPr>
          <w:trHeight w:val="300"/>
        </w:trPr>
        <w:tc>
          <w:tcPr>
            <w:tcW w:w="609" w:type="dxa"/>
            <w:noWrap/>
            <w:hideMark/>
          </w:tcPr>
          <w:p w14:paraId="47F76064" w14:textId="77777777" w:rsidR="00561E55" w:rsidRPr="00BB4BFD" w:rsidRDefault="00561E55" w:rsidP="0023647E">
            <w:pPr>
              <w:pStyle w:val="TableTextEntries"/>
            </w:pPr>
          </w:p>
        </w:tc>
        <w:tc>
          <w:tcPr>
            <w:tcW w:w="5057" w:type="dxa"/>
            <w:gridSpan w:val="2"/>
            <w:noWrap/>
            <w:hideMark/>
          </w:tcPr>
          <w:p w14:paraId="7839A5E8" w14:textId="7E12A461" w:rsidR="00561E55" w:rsidRPr="00BB4BFD" w:rsidRDefault="00561E55" w:rsidP="0023647E">
            <w:pPr>
              <w:pStyle w:val="TableTextEntries"/>
            </w:pPr>
            <w:r w:rsidRPr="00BB4BFD">
              <w:t xml:space="preserve">Engagement of translator for focus group discussions with </w:t>
            </w:r>
            <w:r>
              <w:t>affected populations</w:t>
            </w:r>
          </w:p>
        </w:tc>
        <w:tc>
          <w:tcPr>
            <w:tcW w:w="993" w:type="dxa"/>
            <w:noWrap/>
            <w:hideMark/>
          </w:tcPr>
          <w:p w14:paraId="569E9D5B" w14:textId="77777777" w:rsidR="00561E55" w:rsidRPr="00BB4BFD" w:rsidRDefault="00561E55" w:rsidP="0023647E">
            <w:pPr>
              <w:pStyle w:val="TableTextEntries"/>
              <w:jc w:val="center"/>
            </w:pPr>
            <w:r w:rsidRPr="00BB4BFD">
              <w:t>support</w:t>
            </w:r>
          </w:p>
        </w:tc>
        <w:tc>
          <w:tcPr>
            <w:tcW w:w="992" w:type="dxa"/>
          </w:tcPr>
          <w:p w14:paraId="76BDF1D3" w14:textId="77777777" w:rsidR="00561E55" w:rsidRPr="00BB4BFD" w:rsidRDefault="00561E55" w:rsidP="0023647E">
            <w:pPr>
              <w:pStyle w:val="TableTextEntries"/>
              <w:jc w:val="center"/>
            </w:pPr>
          </w:p>
        </w:tc>
        <w:tc>
          <w:tcPr>
            <w:tcW w:w="1186" w:type="dxa"/>
            <w:gridSpan w:val="2"/>
            <w:noWrap/>
            <w:hideMark/>
          </w:tcPr>
          <w:p w14:paraId="1E079170" w14:textId="1B4D1226" w:rsidR="00561E55" w:rsidRPr="00BB4BFD" w:rsidRDefault="00561E55" w:rsidP="0023647E">
            <w:pPr>
              <w:pStyle w:val="TableTextEntries"/>
              <w:jc w:val="center"/>
            </w:pPr>
            <w:r w:rsidRPr="00BB4BFD">
              <w:t>-</w:t>
            </w:r>
          </w:p>
        </w:tc>
        <w:tc>
          <w:tcPr>
            <w:tcW w:w="801" w:type="dxa"/>
            <w:noWrap/>
            <w:hideMark/>
          </w:tcPr>
          <w:p w14:paraId="23634650" w14:textId="77777777" w:rsidR="00561E55" w:rsidRPr="00BB4BFD" w:rsidRDefault="00561E55" w:rsidP="0023647E">
            <w:pPr>
              <w:pStyle w:val="TableTextEntries"/>
              <w:jc w:val="center"/>
            </w:pPr>
            <w:r w:rsidRPr="00BB4BFD">
              <w:t>lead</w:t>
            </w:r>
          </w:p>
        </w:tc>
      </w:tr>
      <w:tr w:rsidR="00561E55" w:rsidRPr="00BB4BFD" w14:paraId="3BE49724" w14:textId="77777777" w:rsidTr="00561E55">
        <w:trPr>
          <w:trHeight w:val="300"/>
        </w:trPr>
        <w:tc>
          <w:tcPr>
            <w:tcW w:w="609" w:type="dxa"/>
            <w:noWrap/>
            <w:hideMark/>
          </w:tcPr>
          <w:p w14:paraId="6D68C851" w14:textId="77777777" w:rsidR="00561E55" w:rsidRPr="00BB4BFD" w:rsidRDefault="00561E55" w:rsidP="0023647E">
            <w:pPr>
              <w:pStyle w:val="TableTextEntries"/>
            </w:pPr>
          </w:p>
        </w:tc>
        <w:tc>
          <w:tcPr>
            <w:tcW w:w="5057" w:type="dxa"/>
            <w:gridSpan w:val="2"/>
            <w:noWrap/>
            <w:hideMark/>
          </w:tcPr>
          <w:p w14:paraId="67D9B84B" w14:textId="77777777" w:rsidR="00561E55" w:rsidRPr="00BB4BFD" w:rsidRDefault="00561E55" w:rsidP="0023647E">
            <w:pPr>
              <w:pStyle w:val="TableTextEntries"/>
            </w:pPr>
            <w:r w:rsidRPr="00BB4BFD">
              <w:t>Lead interviewer and note taker</w:t>
            </w:r>
          </w:p>
        </w:tc>
        <w:tc>
          <w:tcPr>
            <w:tcW w:w="993" w:type="dxa"/>
            <w:noWrap/>
            <w:hideMark/>
          </w:tcPr>
          <w:p w14:paraId="2680129A" w14:textId="77777777" w:rsidR="00561E55" w:rsidRPr="00BB4BFD" w:rsidRDefault="00561E55" w:rsidP="0023647E">
            <w:pPr>
              <w:pStyle w:val="TableTextEntries"/>
              <w:jc w:val="center"/>
            </w:pPr>
            <w:r w:rsidRPr="00BB4BFD">
              <w:t>alternate</w:t>
            </w:r>
          </w:p>
        </w:tc>
        <w:tc>
          <w:tcPr>
            <w:tcW w:w="992" w:type="dxa"/>
          </w:tcPr>
          <w:p w14:paraId="5EAFA4B0" w14:textId="019FCF1F" w:rsidR="00561E55" w:rsidRPr="00BB4BFD" w:rsidRDefault="00561E55" w:rsidP="0023647E">
            <w:pPr>
              <w:pStyle w:val="TableTextEntries"/>
              <w:jc w:val="center"/>
            </w:pPr>
            <w:r w:rsidRPr="00BB4BFD">
              <w:t>alternate</w:t>
            </w:r>
          </w:p>
        </w:tc>
        <w:tc>
          <w:tcPr>
            <w:tcW w:w="1186" w:type="dxa"/>
            <w:gridSpan w:val="2"/>
            <w:noWrap/>
            <w:hideMark/>
          </w:tcPr>
          <w:p w14:paraId="1A56735E" w14:textId="6FF32A6E" w:rsidR="00561E55" w:rsidRPr="00BB4BFD" w:rsidRDefault="00561E55" w:rsidP="0023647E">
            <w:pPr>
              <w:pStyle w:val="TableTextEntries"/>
              <w:jc w:val="center"/>
            </w:pPr>
            <w:r w:rsidRPr="00BB4BFD">
              <w:t>alternate</w:t>
            </w:r>
          </w:p>
        </w:tc>
        <w:tc>
          <w:tcPr>
            <w:tcW w:w="801" w:type="dxa"/>
            <w:noWrap/>
            <w:hideMark/>
          </w:tcPr>
          <w:p w14:paraId="01949353" w14:textId="77777777" w:rsidR="00561E55" w:rsidRPr="00BB4BFD" w:rsidRDefault="00561E55" w:rsidP="0023647E">
            <w:pPr>
              <w:pStyle w:val="TableTextEntries"/>
              <w:jc w:val="center"/>
            </w:pPr>
            <w:r w:rsidRPr="00BB4BFD">
              <w:t>support</w:t>
            </w:r>
          </w:p>
        </w:tc>
      </w:tr>
      <w:tr w:rsidR="00561E55" w:rsidRPr="00BB4BFD" w14:paraId="737E1C74" w14:textId="77777777" w:rsidTr="00561E55">
        <w:trPr>
          <w:trHeight w:val="300"/>
        </w:trPr>
        <w:tc>
          <w:tcPr>
            <w:tcW w:w="5666" w:type="dxa"/>
            <w:gridSpan w:val="3"/>
            <w:noWrap/>
            <w:hideMark/>
          </w:tcPr>
          <w:p w14:paraId="4B871E90" w14:textId="7B3D62E2" w:rsidR="00561E55" w:rsidRPr="00BB4BFD" w:rsidRDefault="00EA2B7A" w:rsidP="0023647E">
            <w:pPr>
              <w:pStyle w:val="TableHeading2"/>
            </w:pPr>
            <w:r>
              <w:t>Aide Memoire</w:t>
            </w:r>
          </w:p>
        </w:tc>
        <w:tc>
          <w:tcPr>
            <w:tcW w:w="993" w:type="dxa"/>
            <w:noWrap/>
            <w:hideMark/>
          </w:tcPr>
          <w:p w14:paraId="19AC617E" w14:textId="77777777" w:rsidR="00561E55" w:rsidRPr="00BB4BFD" w:rsidRDefault="00561E55" w:rsidP="0023647E">
            <w:pPr>
              <w:pStyle w:val="TableHeading2"/>
              <w:jc w:val="center"/>
            </w:pPr>
          </w:p>
        </w:tc>
        <w:tc>
          <w:tcPr>
            <w:tcW w:w="992" w:type="dxa"/>
          </w:tcPr>
          <w:p w14:paraId="2B0A1AE6" w14:textId="77777777" w:rsidR="00561E55" w:rsidRPr="00BB4BFD" w:rsidRDefault="00561E55" w:rsidP="0023647E">
            <w:pPr>
              <w:pStyle w:val="TableHeading2"/>
              <w:jc w:val="center"/>
            </w:pPr>
          </w:p>
        </w:tc>
        <w:tc>
          <w:tcPr>
            <w:tcW w:w="1186" w:type="dxa"/>
            <w:gridSpan w:val="2"/>
            <w:noWrap/>
            <w:hideMark/>
          </w:tcPr>
          <w:p w14:paraId="0524D6D3" w14:textId="134DCEFA" w:rsidR="00561E55" w:rsidRPr="00BB4BFD" w:rsidRDefault="00561E55" w:rsidP="0023647E">
            <w:pPr>
              <w:pStyle w:val="TableHeading2"/>
              <w:jc w:val="center"/>
            </w:pPr>
          </w:p>
        </w:tc>
        <w:tc>
          <w:tcPr>
            <w:tcW w:w="801" w:type="dxa"/>
            <w:noWrap/>
            <w:hideMark/>
          </w:tcPr>
          <w:p w14:paraId="71520B08" w14:textId="77777777" w:rsidR="00561E55" w:rsidRPr="00BB4BFD" w:rsidRDefault="00561E55" w:rsidP="0023647E">
            <w:pPr>
              <w:pStyle w:val="TableHeading2"/>
              <w:jc w:val="center"/>
            </w:pPr>
          </w:p>
        </w:tc>
      </w:tr>
      <w:tr w:rsidR="00561E55" w:rsidRPr="00BB4BFD" w14:paraId="796BFD64" w14:textId="77777777" w:rsidTr="00561E55">
        <w:trPr>
          <w:trHeight w:val="300"/>
        </w:trPr>
        <w:tc>
          <w:tcPr>
            <w:tcW w:w="609" w:type="dxa"/>
            <w:noWrap/>
            <w:hideMark/>
          </w:tcPr>
          <w:p w14:paraId="4816735E" w14:textId="77777777" w:rsidR="00561E55" w:rsidRPr="00BB4BFD" w:rsidRDefault="00561E55" w:rsidP="0023647E">
            <w:pPr>
              <w:pStyle w:val="TableTextEntries"/>
            </w:pPr>
          </w:p>
        </w:tc>
        <w:tc>
          <w:tcPr>
            <w:tcW w:w="5057" w:type="dxa"/>
            <w:gridSpan w:val="2"/>
            <w:noWrap/>
            <w:hideMark/>
          </w:tcPr>
          <w:p w14:paraId="2054C646" w14:textId="21CA63A8" w:rsidR="00561E55" w:rsidRPr="00BB4BFD" w:rsidRDefault="00EA2B7A" w:rsidP="0023647E">
            <w:pPr>
              <w:pStyle w:val="TableTextEntries"/>
            </w:pPr>
            <w:r>
              <w:t xml:space="preserve">Draft document </w:t>
            </w:r>
          </w:p>
        </w:tc>
        <w:tc>
          <w:tcPr>
            <w:tcW w:w="993" w:type="dxa"/>
            <w:noWrap/>
            <w:hideMark/>
          </w:tcPr>
          <w:p w14:paraId="6F473F32" w14:textId="77777777" w:rsidR="00561E55" w:rsidRPr="00BB4BFD" w:rsidRDefault="00561E55" w:rsidP="0023647E">
            <w:pPr>
              <w:pStyle w:val="TableTextEntries"/>
              <w:jc w:val="center"/>
            </w:pPr>
            <w:r w:rsidRPr="00BB4BFD">
              <w:t>lead</w:t>
            </w:r>
          </w:p>
        </w:tc>
        <w:tc>
          <w:tcPr>
            <w:tcW w:w="992" w:type="dxa"/>
          </w:tcPr>
          <w:p w14:paraId="233FBBBC" w14:textId="6C5DDC26" w:rsidR="00561E55" w:rsidRPr="00BB4BFD" w:rsidRDefault="00EA2B7A" w:rsidP="0023647E">
            <w:pPr>
              <w:pStyle w:val="TableTextEntries"/>
              <w:jc w:val="center"/>
            </w:pPr>
            <w:r>
              <w:t>support</w:t>
            </w:r>
          </w:p>
        </w:tc>
        <w:tc>
          <w:tcPr>
            <w:tcW w:w="1186" w:type="dxa"/>
            <w:gridSpan w:val="2"/>
            <w:noWrap/>
            <w:hideMark/>
          </w:tcPr>
          <w:p w14:paraId="1B506437" w14:textId="3DB6A75F" w:rsidR="00561E55" w:rsidRPr="00BB4BFD" w:rsidRDefault="00561E55" w:rsidP="0023647E">
            <w:pPr>
              <w:pStyle w:val="TableTextEntries"/>
              <w:jc w:val="center"/>
            </w:pPr>
            <w:r w:rsidRPr="00BB4BFD">
              <w:t>support</w:t>
            </w:r>
          </w:p>
        </w:tc>
        <w:tc>
          <w:tcPr>
            <w:tcW w:w="801" w:type="dxa"/>
            <w:noWrap/>
            <w:hideMark/>
          </w:tcPr>
          <w:p w14:paraId="76215FFA" w14:textId="77777777" w:rsidR="00561E55" w:rsidRPr="00BB4BFD" w:rsidRDefault="00561E55" w:rsidP="0023647E">
            <w:pPr>
              <w:pStyle w:val="TableTextEntries"/>
              <w:jc w:val="center"/>
            </w:pPr>
            <w:r w:rsidRPr="00BB4BFD">
              <w:t>review</w:t>
            </w:r>
          </w:p>
        </w:tc>
      </w:tr>
      <w:tr w:rsidR="00561E55" w:rsidRPr="00BB4BFD" w14:paraId="11E75702" w14:textId="77777777" w:rsidTr="00D904BF">
        <w:trPr>
          <w:trHeight w:val="300"/>
        </w:trPr>
        <w:tc>
          <w:tcPr>
            <w:tcW w:w="5666" w:type="dxa"/>
            <w:gridSpan w:val="3"/>
            <w:noWrap/>
            <w:hideMark/>
          </w:tcPr>
          <w:p w14:paraId="4CDE4439" w14:textId="77777777" w:rsidR="00561E55" w:rsidRPr="00BB4BFD" w:rsidRDefault="00561E55" w:rsidP="00D904BF">
            <w:pPr>
              <w:pStyle w:val="TableHeading2"/>
            </w:pPr>
            <w:r w:rsidRPr="00BB4BFD">
              <w:t>Draft evaluation report</w:t>
            </w:r>
          </w:p>
        </w:tc>
        <w:tc>
          <w:tcPr>
            <w:tcW w:w="993" w:type="dxa"/>
            <w:noWrap/>
            <w:hideMark/>
          </w:tcPr>
          <w:p w14:paraId="05EC0BF6" w14:textId="77777777" w:rsidR="00561E55" w:rsidRPr="00BB4BFD" w:rsidRDefault="00561E55" w:rsidP="00D904BF">
            <w:pPr>
              <w:pStyle w:val="TableHeading2"/>
              <w:jc w:val="center"/>
            </w:pPr>
          </w:p>
        </w:tc>
        <w:tc>
          <w:tcPr>
            <w:tcW w:w="992" w:type="dxa"/>
          </w:tcPr>
          <w:p w14:paraId="4B939A42" w14:textId="77777777" w:rsidR="00561E55" w:rsidRPr="00BB4BFD" w:rsidRDefault="00561E55" w:rsidP="00D904BF">
            <w:pPr>
              <w:pStyle w:val="TableHeading2"/>
              <w:jc w:val="center"/>
            </w:pPr>
          </w:p>
        </w:tc>
        <w:tc>
          <w:tcPr>
            <w:tcW w:w="1186" w:type="dxa"/>
            <w:gridSpan w:val="2"/>
            <w:noWrap/>
            <w:hideMark/>
          </w:tcPr>
          <w:p w14:paraId="7891B129" w14:textId="77777777" w:rsidR="00561E55" w:rsidRPr="00BB4BFD" w:rsidRDefault="00561E55" w:rsidP="00D904BF">
            <w:pPr>
              <w:pStyle w:val="TableHeading2"/>
              <w:jc w:val="center"/>
            </w:pPr>
          </w:p>
        </w:tc>
        <w:tc>
          <w:tcPr>
            <w:tcW w:w="801" w:type="dxa"/>
            <w:noWrap/>
            <w:hideMark/>
          </w:tcPr>
          <w:p w14:paraId="08467446" w14:textId="77777777" w:rsidR="00561E55" w:rsidRPr="00BB4BFD" w:rsidRDefault="00561E55" w:rsidP="00D904BF">
            <w:pPr>
              <w:pStyle w:val="TableHeading2"/>
              <w:jc w:val="center"/>
            </w:pPr>
          </w:p>
        </w:tc>
      </w:tr>
      <w:tr w:rsidR="00561E55" w:rsidRPr="00BB4BFD" w14:paraId="0D757DA8" w14:textId="77777777" w:rsidTr="00D904BF">
        <w:trPr>
          <w:trHeight w:val="300"/>
        </w:trPr>
        <w:tc>
          <w:tcPr>
            <w:tcW w:w="609" w:type="dxa"/>
            <w:noWrap/>
            <w:hideMark/>
          </w:tcPr>
          <w:p w14:paraId="73019654" w14:textId="77777777" w:rsidR="00561E55" w:rsidRPr="00BB4BFD" w:rsidRDefault="00561E55" w:rsidP="00D904BF">
            <w:pPr>
              <w:pStyle w:val="TableTextEntries"/>
            </w:pPr>
          </w:p>
        </w:tc>
        <w:tc>
          <w:tcPr>
            <w:tcW w:w="5057" w:type="dxa"/>
            <w:gridSpan w:val="2"/>
            <w:noWrap/>
            <w:hideMark/>
          </w:tcPr>
          <w:p w14:paraId="1EF113F9" w14:textId="77777777" w:rsidR="00561E55" w:rsidRPr="00BB4BFD" w:rsidRDefault="00561E55" w:rsidP="00D904BF">
            <w:pPr>
              <w:pStyle w:val="TableTextEntries"/>
            </w:pPr>
            <w:r w:rsidRPr="00BB4BFD">
              <w:t>Prepare document outline</w:t>
            </w:r>
          </w:p>
        </w:tc>
        <w:tc>
          <w:tcPr>
            <w:tcW w:w="993" w:type="dxa"/>
            <w:noWrap/>
            <w:hideMark/>
          </w:tcPr>
          <w:p w14:paraId="2197E9E3" w14:textId="77777777" w:rsidR="00561E55" w:rsidRPr="00BB4BFD" w:rsidRDefault="00561E55" w:rsidP="00D904BF">
            <w:pPr>
              <w:pStyle w:val="TableTextEntries"/>
              <w:jc w:val="center"/>
            </w:pPr>
            <w:r w:rsidRPr="00BB4BFD">
              <w:t>lead</w:t>
            </w:r>
          </w:p>
        </w:tc>
        <w:tc>
          <w:tcPr>
            <w:tcW w:w="992" w:type="dxa"/>
          </w:tcPr>
          <w:p w14:paraId="5BF4664E" w14:textId="77777777" w:rsidR="00561E55" w:rsidRPr="00BB4BFD" w:rsidRDefault="00561E55" w:rsidP="00D904BF">
            <w:pPr>
              <w:pStyle w:val="TableTextEntries"/>
              <w:jc w:val="center"/>
            </w:pPr>
          </w:p>
        </w:tc>
        <w:tc>
          <w:tcPr>
            <w:tcW w:w="1186" w:type="dxa"/>
            <w:gridSpan w:val="2"/>
            <w:noWrap/>
            <w:hideMark/>
          </w:tcPr>
          <w:p w14:paraId="4A05AB0E" w14:textId="77777777" w:rsidR="00561E55" w:rsidRPr="00BB4BFD" w:rsidRDefault="00561E55" w:rsidP="00D904BF">
            <w:pPr>
              <w:pStyle w:val="TableTextEntries"/>
              <w:jc w:val="center"/>
            </w:pPr>
            <w:r w:rsidRPr="00BB4BFD">
              <w:t>support</w:t>
            </w:r>
          </w:p>
        </w:tc>
        <w:tc>
          <w:tcPr>
            <w:tcW w:w="801" w:type="dxa"/>
            <w:noWrap/>
            <w:hideMark/>
          </w:tcPr>
          <w:p w14:paraId="5680276E" w14:textId="77777777" w:rsidR="00561E55" w:rsidRPr="00BB4BFD" w:rsidRDefault="00561E55" w:rsidP="00D904BF">
            <w:pPr>
              <w:pStyle w:val="TableTextEntries"/>
              <w:jc w:val="center"/>
            </w:pPr>
            <w:r w:rsidRPr="00BB4BFD">
              <w:t>review</w:t>
            </w:r>
          </w:p>
        </w:tc>
      </w:tr>
      <w:tr w:rsidR="00561E55" w:rsidRPr="00BB4BFD" w14:paraId="2FDA177B" w14:textId="77777777" w:rsidTr="00561E55">
        <w:trPr>
          <w:trHeight w:val="300"/>
        </w:trPr>
        <w:tc>
          <w:tcPr>
            <w:tcW w:w="609" w:type="dxa"/>
            <w:noWrap/>
            <w:hideMark/>
          </w:tcPr>
          <w:p w14:paraId="7DEAF361" w14:textId="77777777" w:rsidR="00561E55" w:rsidRPr="00BB4BFD" w:rsidRDefault="00561E55" w:rsidP="0023647E">
            <w:pPr>
              <w:pStyle w:val="TableTextEntries"/>
            </w:pPr>
          </w:p>
        </w:tc>
        <w:tc>
          <w:tcPr>
            <w:tcW w:w="5057" w:type="dxa"/>
            <w:gridSpan w:val="2"/>
            <w:noWrap/>
            <w:hideMark/>
          </w:tcPr>
          <w:p w14:paraId="3987BDC9" w14:textId="56DAB6B5" w:rsidR="00561E55" w:rsidRPr="00BB4BFD" w:rsidRDefault="00EA2B7A" w:rsidP="0023647E">
            <w:pPr>
              <w:pStyle w:val="TableTextEntries"/>
            </w:pPr>
            <w:r>
              <w:t xml:space="preserve">Draft sections of the report </w:t>
            </w:r>
          </w:p>
        </w:tc>
        <w:tc>
          <w:tcPr>
            <w:tcW w:w="993" w:type="dxa"/>
            <w:noWrap/>
            <w:hideMark/>
          </w:tcPr>
          <w:p w14:paraId="27889114" w14:textId="1DBF8DF0" w:rsidR="00561E55" w:rsidRPr="00BB4BFD" w:rsidRDefault="00EA2B7A" w:rsidP="0023647E">
            <w:pPr>
              <w:pStyle w:val="TableTextEntries"/>
              <w:jc w:val="center"/>
            </w:pPr>
            <w:r>
              <w:t>all</w:t>
            </w:r>
          </w:p>
        </w:tc>
        <w:tc>
          <w:tcPr>
            <w:tcW w:w="992" w:type="dxa"/>
          </w:tcPr>
          <w:p w14:paraId="5F59FB30" w14:textId="2EA2E187" w:rsidR="00561E55" w:rsidRPr="00BB4BFD" w:rsidRDefault="00EA2B7A" w:rsidP="0023647E">
            <w:pPr>
              <w:pStyle w:val="TableTextEntries"/>
              <w:jc w:val="center"/>
            </w:pPr>
            <w:r>
              <w:t>all</w:t>
            </w:r>
          </w:p>
        </w:tc>
        <w:tc>
          <w:tcPr>
            <w:tcW w:w="1186" w:type="dxa"/>
            <w:gridSpan w:val="2"/>
            <w:noWrap/>
            <w:hideMark/>
          </w:tcPr>
          <w:p w14:paraId="3D326390" w14:textId="17C6AF58" w:rsidR="00561E55" w:rsidRPr="00BB4BFD" w:rsidRDefault="00EA2B7A" w:rsidP="0023647E">
            <w:pPr>
              <w:pStyle w:val="TableTextEntries"/>
              <w:jc w:val="center"/>
            </w:pPr>
            <w:r>
              <w:t>all</w:t>
            </w:r>
          </w:p>
        </w:tc>
        <w:tc>
          <w:tcPr>
            <w:tcW w:w="801" w:type="dxa"/>
            <w:noWrap/>
            <w:hideMark/>
          </w:tcPr>
          <w:p w14:paraId="51226719" w14:textId="6B5AA4ED" w:rsidR="00561E55" w:rsidRPr="00BB4BFD" w:rsidRDefault="00EA2B7A" w:rsidP="0023647E">
            <w:pPr>
              <w:pStyle w:val="TableTextEntries"/>
              <w:jc w:val="center"/>
            </w:pPr>
            <w:r>
              <w:t>all</w:t>
            </w:r>
          </w:p>
        </w:tc>
      </w:tr>
      <w:tr w:rsidR="00561E55" w:rsidRPr="00BB4BFD" w14:paraId="1111129C" w14:textId="77777777" w:rsidTr="00561E55">
        <w:trPr>
          <w:trHeight w:val="300"/>
        </w:trPr>
        <w:tc>
          <w:tcPr>
            <w:tcW w:w="609" w:type="dxa"/>
            <w:noWrap/>
            <w:hideMark/>
          </w:tcPr>
          <w:p w14:paraId="5CC384A7" w14:textId="77777777" w:rsidR="00561E55" w:rsidRPr="00BB4BFD" w:rsidRDefault="00561E55" w:rsidP="0023647E">
            <w:pPr>
              <w:pStyle w:val="TableTextEntries"/>
            </w:pPr>
          </w:p>
        </w:tc>
        <w:tc>
          <w:tcPr>
            <w:tcW w:w="5057" w:type="dxa"/>
            <w:gridSpan w:val="2"/>
            <w:noWrap/>
            <w:hideMark/>
          </w:tcPr>
          <w:p w14:paraId="53C4D2A2" w14:textId="44538369" w:rsidR="00561E55" w:rsidRPr="00BB4BFD" w:rsidRDefault="00EA2B7A" w:rsidP="0023647E">
            <w:pPr>
              <w:pStyle w:val="TableTextEntries"/>
            </w:pPr>
            <w:r>
              <w:t xml:space="preserve">Consolidate sections into draft </w:t>
            </w:r>
          </w:p>
        </w:tc>
        <w:tc>
          <w:tcPr>
            <w:tcW w:w="993" w:type="dxa"/>
            <w:noWrap/>
            <w:hideMark/>
          </w:tcPr>
          <w:p w14:paraId="40D17422" w14:textId="77777777" w:rsidR="00561E55" w:rsidRPr="00BB4BFD" w:rsidRDefault="00561E55" w:rsidP="0023647E">
            <w:pPr>
              <w:pStyle w:val="TableTextEntries"/>
              <w:jc w:val="center"/>
            </w:pPr>
            <w:r w:rsidRPr="00BB4BFD">
              <w:t>lead</w:t>
            </w:r>
          </w:p>
        </w:tc>
        <w:tc>
          <w:tcPr>
            <w:tcW w:w="992" w:type="dxa"/>
          </w:tcPr>
          <w:p w14:paraId="7DB6F349" w14:textId="11A6E6BF" w:rsidR="00561E55" w:rsidRPr="00BB4BFD" w:rsidRDefault="00EA2B7A" w:rsidP="0023647E">
            <w:pPr>
              <w:pStyle w:val="TableTextEntries"/>
              <w:jc w:val="center"/>
            </w:pPr>
            <w:r>
              <w:t xml:space="preserve">review </w:t>
            </w:r>
          </w:p>
        </w:tc>
        <w:tc>
          <w:tcPr>
            <w:tcW w:w="1186" w:type="dxa"/>
            <w:gridSpan w:val="2"/>
            <w:noWrap/>
            <w:hideMark/>
          </w:tcPr>
          <w:p w14:paraId="3E6109AE" w14:textId="1A0645F8" w:rsidR="00561E55" w:rsidRPr="00BB4BFD" w:rsidRDefault="00561E55" w:rsidP="0023647E">
            <w:pPr>
              <w:pStyle w:val="TableTextEntries"/>
              <w:jc w:val="center"/>
            </w:pPr>
            <w:r w:rsidRPr="00BB4BFD">
              <w:t>support</w:t>
            </w:r>
          </w:p>
        </w:tc>
        <w:tc>
          <w:tcPr>
            <w:tcW w:w="801" w:type="dxa"/>
            <w:noWrap/>
            <w:hideMark/>
          </w:tcPr>
          <w:p w14:paraId="2BBD1D12" w14:textId="77777777" w:rsidR="00561E55" w:rsidRPr="00BB4BFD" w:rsidRDefault="00561E55" w:rsidP="0023647E">
            <w:pPr>
              <w:pStyle w:val="TableTextEntries"/>
              <w:jc w:val="center"/>
            </w:pPr>
            <w:r w:rsidRPr="00BB4BFD">
              <w:t>review</w:t>
            </w:r>
          </w:p>
        </w:tc>
      </w:tr>
      <w:tr w:rsidR="00561E55" w:rsidRPr="00BB4BFD" w14:paraId="589A2989" w14:textId="77777777" w:rsidTr="00561E55">
        <w:trPr>
          <w:trHeight w:val="300"/>
        </w:trPr>
        <w:tc>
          <w:tcPr>
            <w:tcW w:w="5666" w:type="dxa"/>
            <w:gridSpan w:val="3"/>
            <w:noWrap/>
            <w:hideMark/>
          </w:tcPr>
          <w:p w14:paraId="27EA33B6" w14:textId="77777777" w:rsidR="00561E55" w:rsidRPr="00BB4BFD" w:rsidRDefault="00561E55" w:rsidP="0023647E">
            <w:pPr>
              <w:pStyle w:val="TableHeading2"/>
            </w:pPr>
            <w:r w:rsidRPr="00BB4BFD">
              <w:t>Final evaluation report</w:t>
            </w:r>
          </w:p>
        </w:tc>
        <w:tc>
          <w:tcPr>
            <w:tcW w:w="993" w:type="dxa"/>
            <w:noWrap/>
            <w:hideMark/>
          </w:tcPr>
          <w:p w14:paraId="5ECE8A8F" w14:textId="77777777" w:rsidR="00561E55" w:rsidRPr="00BB4BFD" w:rsidRDefault="00561E55" w:rsidP="0023647E">
            <w:pPr>
              <w:pStyle w:val="TableHeading2"/>
              <w:jc w:val="center"/>
            </w:pPr>
          </w:p>
        </w:tc>
        <w:tc>
          <w:tcPr>
            <w:tcW w:w="992" w:type="dxa"/>
          </w:tcPr>
          <w:p w14:paraId="1472CCC8" w14:textId="77777777" w:rsidR="00561E55" w:rsidRPr="00BB4BFD" w:rsidRDefault="00561E55" w:rsidP="0023647E">
            <w:pPr>
              <w:pStyle w:val="TableHeading2"/>
              <w:jc w:val="center"/>
            </w:pPr>
          </w:p>
        </w:tc>
        <w:tc>
          <w:tcPr>
            <w:tcW w:w="1186" w:type="dxa"/>
            <w:gridSpan w:val="2"/>
            <w:noWrap/>
            <w:hideMark/>
          </w:tcPr>
          <w:p w14:paraId="34A667B1" w14:textId="6836AC09" w:rsidR="00561E55" w:rsidRPr="00BB4BFD" w:rsidRDefault="00561E55" w:rsidP="0023647E">
            <w:pPr>
              <w:pStyle w:val="TableHeading2"/>
              <w:jc w:val="center"/>
            </w:pPr>
          </w:p>
        </w:tc>
        <w:tc>
          <w:tcPr>
            <w:tcW w:w="801" w:type="dxa"/>
            <w:noWrap/>
            <w:hideMark/>
          </w:tcPr>
          <w:p w14:paraId="6EE4BFAC" w14:textId="77777777" w:rsidR="00561E55" w:rsidRPr="00BB4BFD" w:rsidRDefault="00561E55" w:rsidP="0023647E">
            <w:pPr>
              <w:pStyle w:val="TableHeading2"/>
              <w:jc w:val="center"/>
            </w:pPr>
          </w:p>
        </w:tc>
      </w:tr>
      <w:tr w:rsidR="00EA2B7A" w:rsidRPr="00BB4BFD" w14:paraId="4F6CDD08" w14:textId="77777777" w:rsidTr="00561E55">
        <w:trPr>
          <w:trHeight w:val="300"/>
        </w:trPr>
        <w:tc>
          <w:tcPr>
            <w:tcW w:w="609" w:type="dxa"/>
            <w:noWrap/>
            <w:hideMark/>
          </w:tcPr>
          <w:p w14:paraId="2D3856F2" w14:textId="77777777" w:rsidR="00EA2B7A" w:rsidRPr="00BB4BFD" w:rsidRDefault="00EA2B7A" w:rsidP="0023647E">
            <w:pPr>
              <w:pStyle w:val="TableTextEntries"/>
            </w:pPr>
          </w:p>
        </w:tc>
        <w:tc>
          <w:tcPr>
            <w:tcW w:w="5057" w:type="dxa"/>
            <w:gridSpan w:val="2"/>
            <w:noWrap/>
            <w:hideMark/>
          </w:tcPr>
          <w:p w14:paraId="656C4426" w14:textId="0F760AD1" w:rsidR="00EA2B7A" w:rsidRPr="00BB4BFD" w:rsidRDefault="00EA2B7A" w:rsidP="00EA2B7A">
            <w:pPr>
              <w:pStyle w:val="TableTextEntries"/>
            </w:pPr>
            <w:r w:rsidRPr="00BB4BFD">
              <w:t xml:space="preserve">Consolidate stakeholder comments </w:t>
            </w:r>
          </w:p>
        </w:tc>
        <w:tc>
          <w:tcPr>
            <w:tcW w:w="993" w:type="dxa"/>
            <w:noWrap/>
            <w:hideMark/>
          </w:tcPr>
          <w:p w14:paraId="057F5587" w14:textId="77777777" w:rsidR="00EA2B7A" w:rsidRPr="00BB4BFD" w:rsidRDefault="00EA2B7A" w:rsidP="0023647E">
            <w:pPr>
              <w:pStyle w:val="TableTextEntries"/>
              <w:jc w:val="center"/>
            </w:pPr>
            <w:r w:rsidRPr="00BB4BFD">
              <w:t>lead</w:t>
            </w:r>
          </w:p>
        </w:tc>
        <w:tc>
          <w:tcPr>
            <w:tcW w:w="992" w:type="dxa"/>
          </w:tcPr>
          <w:p w14:paraId="55F7828F" w14:textId="599D90CA" w:rsidR="00EA2B7A" w:rsidRPr="00BB4BFD" w:rsidRDefault="00EA2B7A" w:rsidP="0023647E">
            <w:pPr>
              <w:pStyle w:val="TableTextEntries"/>
              <w:jc w:val="center"/>
            </w:pPr>
            <w:r>
              <w:t xml:space="preserve">review </w:t>
            </w:r>
          </w:p>
        </w:tc>
        <w:tc>
          <w:tcPr>
            <w:tcW w:w="1186" w:type="dxa"/>
            <w:gridSpan w:val="2"/>
            <w:noWrap/>
            <w:hideMark/>
          </w:tcPr>
          <w:p w14:paraId="0100C8DB" w14:textId="7F7F7976" w:rsidR="00EA2B7A" w:rsidRPr="00BB4BFD" w:rsidRDefault="00EA2B7A" w:rsidP="0023647E">
            <w:pPr>
              <w:pStyle w:val="TableTextEntries"/>
              <w:jc w:val="center"/>
            </w:pPr>
            <w:r w:rsidRPr="00BB4BFD">
              <w:t>support</w:t>
            </w:r>
          </w:p>
        </w:tc>
        <w:tc>
          <w:tcPr>
            <w:tcW w:w="801" w:type="dxa"/>
            <w:noWrap/>
            <w:hideMark/>
          </w:tcPr>
          <w:p w14:paraId="16261E80" w14:textId="03B67FFA" w:rsidR="00EA2B7A" w:rsidRPr="00BB4BFD" w:rsidRDefault="00EA2B7A" w:rsidP="0023647E">
            <w:pPr>
              <w:pStyle w:val="TableTextEntries"/>
              <w:jc w:val="center"/>
            </w:pPr>
            <w:r w:rsidRPr="00BB4BFD">
              <w:t>review</w:t>
            </w:r>
          </w:p>
        </w:tc>
      </w:tr>
      <w:tr w:rsidR="00EA2B7A" w:rsidRPr="00BB4BFD" w14:paraId="7349A71B" w14:textId="77777777" w:rsidTr="00561E55">
        <w:trPr>
          <w:trHeight w:val="300"/>
        </w:trPr>
        <w:tc>
          <w:tcPr>
            <w:tcW w:w="609" w:type="dxa"/>
            <w:noWrap/>
            <w:hideMark/>
          </w:tcPr>
          <w:p w14:paraId="4BEBE378" w14:textId="77777777" w:rsidR="00EA2B7A" w:rsidRPr="00BB4BFD" w:rsidRDefault="00EA2B7A" w:rsidP="0023647E">
            <w:pPr>
              <w:pStyle w:val="TableTextEntries"/>
            </w:pPr>
          </w:p>
        </w:tc>
        <w:tc>
          <w:tcPr>
            <w:tcW w:w="5057" w:type="dxa"/>
            <w:gridSpan w:val="2"/>
            <w:noWrap/>
            <w:hideMark/>
          </w:tcPr>
          <w:p w14:paraId="338245B1" w14:textId="77777777" w:rsidR="00EA2B7A" w:rsidRPr="00BB4BFD" w:rsidRDefault="00EA2B7A" w:rsidP="0023647E">
            <w:pPr>
              <w:pStyle w:val="TableTextEntries"/>
            </w:pPr>
            <w:r w:rsidRPr="00BB4BFD">
              <w:t>Coordinate input, resolve differences, conduct final edit &amp; submit to client</w:t>
            </w:r>
          </w:p>
        </w:tc>
        <w:tc>
          <w:tcPr>
            <w:tcW w:w="993" w:type="dxa"/>
            <w:noWrap/>
            <w:hideMark/>
          </w:tcPr>
          <w:p w14:paraId="27B85BA3" w14:textId="77777777" w:rsidR="00EA2B7A" w:rsidRPr="00BB4BFD" w:rsidRDefault="00EA2B7A" w:rsidP="0023647E">
            <w:pPr>
              <w:pStyle w:val="TableTextEntries"/>
              <w:jc w:val="center"/>
            </w:pPr>
            <w:r w:rsidRPr="00BB4BFD">
              <w:t>lead</w:t>
            </w:r>
          </w:p>
        </w:tc>
        <w:tc>
          <w:tcPr>
            <w:tcW w:w="992" w:type="dxa"/>
          </w:tcPr>
          <w:p w14:paraId="06F21F26" w14:textId="03DA0E07" w:rsidR="00EA2B7A" w:rsidRPr="00BB4BFD" w:rsidRDefault="00EA2B7A" w:rsidP="0023647E">
            <w:pPr>
              <w:pStyle w:val="TableTextEntries"/>
              <w:jc w:val="center"/>
            </w:pPr>
            <w:r>
              <w:t xml:space="preserve">review </w:t>
            </w:r>
          </w:p>
        </w:tc>
        <w:tc>
          <w:tcPr>
            <w:tcW w:w="1186" w:type="dxa"/>
            <w:gridSpan w:val="2"/>
            <w:noWrap/>
            <w:hideMark/>
          </w:tcPr>
          <w:p w14:paraId="66A048DD" w14:textId="6CF4FC8C" w:rsidR="00EA2B7A" w:rsidRPr="00BB4BFD" w:rsidRDefault="00EA2B7A" w:rsidP="0023647E">
            <w:pPr>
              <w:pStyle w:val="TableTextEntries"/>
              <w:jc w:val="center"/>
            </w:pPr>
            <w:r w:rsidRPr="00BB4BFD">
              <w:t>support</w:t>
            </w:r>
          </w:p>
        </w:tc>
        <w:tc>
          <w:tcPr>
            <w:tcW w:w="801" w:type="dxa"/>
            <w:noWrap/>
            <w:hideMark/>
          </w:tcPr>
          <w:p w14:paraId="2E183F85" w14:textId="6F20AD37" w:rsidR="00EA2B7A" w:rsidRPr="00BB4BFD" w:rsidRDefault="00EA2B7A" w:rsidP="0023647E">
            <w:pPr>
              <w:pStyle w:val="TableTextEntries"/>
              <w:jc w:val="center"/>
            </w:pPr>
            <w:r w:rsidRPr="00BB4BFD">
              <w:t>review</w:t>
            </w:r>
          </w:p>
        </w:tc>
      </w:tr>
    </w:tbl>
    <w:p w14:paraId="6B9CB62F" w14:textId="77777777" w:rsidR="0023647E" w:rsidRDefault="0023647E" w:rsidP="0023647E">
      <w:pPr>
        <w:pStyle w:val="TableHeading2"/>
      </w:pPr>
      <w:r>
        <w:t xml:space="preserve">Table Legend: </w:t>
      </w:r>
    </w:p>
    <w:p w14:paraId="7606212E" w14:textId="77777777" w:rsidR="0023647E" w:rsidRDefault="0023647E" w:rsidP="0023647E">
      <w:pPr>
        <w:pStyle w:val="TableTextEntries"/>
      </w:pPr>
      <w:r w:rsidRPr="00CC0B3D">
        <w:rPr>
          <w:b/>
        </w:rPr>
        <w:t>lead</w:t>
      </w:r>
      <w:r>
        <w:tab/>
      </w:r>
      <w:r>
        <w:tab/>
      </w:r>
      <w:r w:rsidRPr="00F25664">
        <w:t>Responsible</w:t>
      </w:r>
      <w:r>
        <w:t xml:space="preserve"> for framing overall approach to task, where relevant in consultation with the Team Leader. This includes prioritising tasks and facilitating input from other team members in a timely manner.</w:t>
      </w:r>
    </w:p>
    <w:p w14:paraId="6433E881" w14:textId="77777777" w:rsidR="0023647E" w:rsidRDefault="0023647E" w:rsidP="0023647E">
      <w:pPr>
        <w:pStyle w:val="TableTextEntries"/>
      </w:pPr>
      <w:r w:rsidRPr="00CC0B3D">
        <w:rPr>
          <w:b/>
        </w:rPr>
        <w:t>support</w:t>
      </w:r>
      <w:r w:rsidRPr="00CC0B3D">
        <w:rPr>
          <w:b/>
        </w:rPr>
        <w:tab/>
      </w:r>
      <w:r>
        <w:tab/>
        <w:t>Providing input on deliverables being led by another team member. This is likely to include investigating particular issues or discrete sub-components of a larger task.</w:t>
      </w:r>
    </w:p>
    <w:p w14:paraId="366B9460" w14:textId="77777777" w:rsidR="0023647E" w:rsidRDefault="0023647E" w:rsidP="0023647E">
      <w:pPr>
        <w:pStyle w:val="TableTextEntries"/>
      </w:pPr>
      <w:r w:rsidRPr="00CC0B3D">
        <w:rPr>
          <w:b/>
        </w:rPr>
        <w:t>review</w:t>
      </w:r>
      <w:r>
        <w:tab/>
      </w:r>
      <w:r>
        <w:tab/>
        <w:t>Designates minimal involvement in a particular task with input generally limited to providing comment on completed products/tasks.</w:t>
      </w:r>
    </w:p>
    <w:p w14:paraId="54BA962D" w14:textId="77777777" w:rsidR="0023647E" w:rsidRDefault="0023647E" w:rsidP="00594B17">
      <w:pPr>
        <w:pStyle w:val="Heading1Numberedsmallspaceafter"/>
        <w:numPr>
          <w:ilvl w:val="0"/>
          <w:numId w:val="0"/>
        </w:numPr>
        <w:ind w:left="567" w:hanging="567"/>
        <w:sectPr w:rsidR="0023647E" w:rsidSect="00E37F31">
          <w:type w:val="evenPage"/>
          <w:pgSz w:w="11906" w:h="16838" w:code="9"/>
          <w:pgMar w:top="1985" w:right="1134" w:bottom="1701" w:left="1134" w:header="567" w:footer="567" w:gutter="0"/>
          <w:cols w:space="708"/>
          <w:titlePg/>
          <w:docGrid w:linePitch="360"/>
        </w:sectPr>
      </w:pPr>
    </w:p>
    <w:p w14:paraId="0BD35E3D" w14:textId="77777777" w:rsidR="00EA2B7A" w:rsidRDefault="00EA2B7A" w:rsidP="00EA2B7A">
      <w:pPr>
        <w:pStyle w:val="Heading1Numberedsmallspaceafter"/>
        <w:numPr>
          <w:ilvl w:val="0"/>
          <w:numId w:val="0"/>
        </w:numPr>
        <w:ind w:left="567" w:hanging="567"/>
      </w:pPr>
      <w:bookmarkStart w:id="19" w:name="_Toc480290295"/>
      <w:r>
        <w:lastRenderedPageBreak/>
        <w:t>Annex one: Evaluation matrix</w:t>
      </w:r>
      <w:bookmarkEnd w:id="19"/>
    </w:p>
    <w:p w14:paraId="0E0C895D" w14:textId="77777777" w:rsidR="001F676F" w:rsidRDefault="001F676F" w:rsidP="0087375C">
      <w:pPr>
        <w:pStyle w:val="Heading1Numberedsmallspaceafter"/>
        <w:numPr>
          <w:ilvl w:val="0"/>
          <w:numId w:val="0"/>
        </w:numPr>
        <w:ind w:left="567" w:hanging="567"/>
      </w:pPr>
    </w:p>
    <w:p w14:paraId="11FE5DC6" w14:textId="77777777" w:rsidR="001F676F" w:rsidRDefault="001F676F" w:rsidP="0087375C">
      <w:pPr>
        <w:pStyle w:val="Heading1Numberedsmallspaceafter"/>
        <w:numPr>
          <w:ilvl w:val="0"/>
          <w:numId w:val="0"/>
        </w:numPr>
        <w:ind w:left="567" w:hanging="567"/>
      </w:pPr>
    </w:p>
    <w:p w14:paraId="23111822" w14:textId="77777777" w:rsidR="001F676F" w:rsidRDefault="001F676F" w:rsidP="0087375C">
      <w:pPr>
        <w:pStyle w:val="Heading1Numberedsmallspaceafter"/>
        <w:numPr>
          <w:ilvl w:val="0"/>
          <w:numId w:val="0"/>
        </w:numPr>
        <w:ind w:left="567" w:hanging="567"/>
      </w:pPr>
    </w:p>
    <w:p w14:paraId="35AB7647" w14:textId="77777777" w:rsidR="00870A4C" w:rsidRDefault="00870A4C" w:rsidP="0087375C">
      <w:pPr>
        <w:pStyle w:val="Heading1Numberedsmallspaceafter"/>
        <w:numPr>
          <w:ilvl w:val="0"/>
          <w:numId w:val="0"/>
        </w:numPr>
        <w:ind w:left="567" w:hanging="567"/>
      </w:pPr>
    </w:p>
    <w:p w14:paraId="16603F61" w14:textId="77777777" w:rsidR="00870A4C" w:rsidRDefault="00870A4C" w:rsidP="00870A4C">
      <w:r>
        <w:t xml:space="preserve">The following matrix outlines the data source, collection method and the relevant tool for each key evaluation question. </w:t>
      </w:r>
    </w:p>
    <w:p w14:paraId="0DE559A6" w14:textId="056C34EC" w:rsidR="00870A4C" w:rsidRDefault="00870A4C" w:rsidP="00870A4C">
      <w:r>
        <w:t xml:space="preserve"> </w:t>
      </w:r>
    </w:p>
    <w:tbl>
      <w:tblPr>
        <w:tblW w:w="9291" w:type="dxa"/>
        <w:tblLook w:val="04A0" w:firstRow="1" w:lastRow="0" w:firstColumn="1" w:lastColumn="0" w:noHBand="0" w:noVBand="1"/>
      </w:tblPr>
      <w:tblGrid>
        <w:gridCol w:w="4815"/>
        <w:gridCol w:w="1167"/>
        <w:gridCol w:w="1405"/>
        <w:gridCol w:w="1904"/>
      </w:tblGrid>
      <w:tr w:rsidR="00D904BF" w:rsidRPr="00870A4C" w14:paraId="42332723" w14:textId="77777777" w:rsidTr="00D904BF">
        <w:trPr>
          <w:trHeight w:val="480"/>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7D01B127" w14:textId="77777777" w:rsidR="00D904BF" w:rsidRPr="00870A4C" w:rsidRDefault="00D904BF" w:rsidP="008B4AE8">
            <w:pPr>
              <w:spacing w:before="0" w:after="0" w:line="240" w:lineRule="auto"/>
              <w:jc w:val="center"/>
              <w:rPr>
                <w:rFonts w:ascii="Calibri" w:eastAsia="Times New Roman" w:hAnsi="Calibri" w:cs="Times New Roman"/>
                <w:b/>
                <w:bCs/>
                <w:color w:val="000000"/>
                <w:sz w:val="16"/>
                <w:szCs w:val="16"/>
                <w:lang w:val="en-US"/>
              </w:rPr>
            </w:pPr>
            <w:r w:rsidRPr="00870A4C">
              <w:rPr>
                <w:rFonts w:ascii="Calibri" w:eastAsia="Times New Roman" w:hAnsi="Calibri" w:cs="Times New Roman"/>
                <w:b/>
                <w:bCs/>
                <w:color w:val="000000"/>
                <w:sz w:val="16"/>
                <w:szCs w:val="16"/>
                <w:lang w:val="en-US"/>
              </w:rPr>
              <w:t>Key evaluation questions</w:t>
            </w:r>
          </w:p>
        </w:tc>
        <w:tc>
          <w:tcPr>
            <w:tcW w:w="1167" w:type="dxa"/>
            <w:tcBorders>
              <w:top w:val="single" w:sz="4" w:space="0" w:color="auto"/>
              <w:left w:val="nil"/>
              <w:bottom w:val="single" w:sz="4" w:space="0" w:color="auto"/>
              <w:right w:val="single" w:sz="4" w:space="0" w:color="auto"/>
            </w:tcBorders>
            <w:shd w:val="clear" w:color="auto" w:fill="auto"/>
            <w:hideMark/>
          </w:tcPr>
          <w:p w14:paraId="44F61CC1" w14:textId="77777777" w:rsidR="00D904BF" w:rsidRPr="00870A4C" w:rsidRDefault="00D904BF" w:rsidP="008B4AE8">
            <w:pPr>
              <w:spacing w:before="0" w:after="0" w:line="240" w:lineRule="auto"/>
              <w:jc w:val="center"/>
              <w:rPr>
                <w:rFonts w:ascii="Calibri" w:eastAsia="Times New Roman" w:hAnsi="Calibri" w:cs="Times New Roman"/>
                <w:b/>
                <w:bCs/>
                <w:color w:val="000000"/>
                <w:sz w:val="16"/>
                <w:szCs w:val="16"/>
                <w:lang w:val="en-US"/>
              </w:rPr>
            </w:pPr>
            <w:r w:rsidRPr="00870A4C">
              <w:rPr>
                <w:rFonts w:ascii="Calibri" w:eastAsia="Times New Roman" w:hAnsi="Calibri" w:cs="Times New Roman"/>
                <w:b/>
                <w:bCs/>
                <w:color w:val="000000"/>
                <w:sz w:val="16"/>
                <w:szCs w:val="16"/>
                <w:lang w:val="en-US"/>
              </w:rPr>
              <w:t>Data source</w:t>
            </w:r>
          </w:p>
        </w:tc>
        <w:tc>
          <w:tcPr>
            <w:tcW w:w="1405" w:type="dxa"/>
            <w:tcBorders>
              <w:top w:val="single" w:sz="4" w:space="0" w:color="auto"/>
              <w:left w:val="nil"/>
              <w:bottom w:val="single" w:sz="4" w:space="0" w:color="auto"/>
              <w:right w:val="single" w:sz="4" w:space="0" w:color="auto"/>
            </w:tcBorders>
            <w:shd w:val="clear" w:color="auto" w:fill="auto"/>
            <w:hideMark/>
          </w:tcPr>
          <w:p w14:paraId="30B9EE0F" w14:textId="77777777" w:rsidR="00D904BF" w:rsidRPr="00870A4C" w:rsidRDefault="00D904BF" w:rsidP="008B4AE8">
            <w:pPr>
              <w:spacing w:before="0" w:after="0" w:line="240" w:lineRule="auto"/>
              <w:jc w:val="center"/>
              <w:rPr>
                <w:rFonts w:ascii="Calibri" w:eastAsia="Times New Roman" w:hAnsi="Calibri" w:cs="Times New Roman"/>
                <w:b/>
                <w:bCs/>
                <w:color w:val="000000"/>
                <w:sz w:val="16"/>
                <w:szCs w:val="16"/>
                <w:lang w:val="en-US"/>
              </w:rPr>
            </w:pPr>
            <w:r w:rsidRPr="00870A4C">
              <w:rPr>
                <w:rFonts w:ascii="Calibri" w:eastAsia="Times New Roman" w:hAnsi="Calibri" w:cs="Times New Roman"/>
                <w:b/>
                <w:bCs/>
                <w:color w:val="000000"/>
                <w:sz w:val="16"/>
                <w:szCs w:val="16"/>
                <w:lang w:val="en-US"/>
              </w:rPr>
              <w:t>Collection method</w:t>
            </w:r>
          </w:p>
        </w:tc>
        <w:tc>
          <w:tcPr>
            <w:tcW w:w="1904" w:type="dxa"/>
            <w:tcBorders>
              <w:top w:val="single" w:sz="4" w:space="0" w:color="auto"/>
              <w:left w:val="nil"/>
              <w:bottom w:val="single" w:sz="4" w:space="0" w:color="auto"/>
              <w:right w:val="single" w:sz="4" w:space="0" w:color="auto"/>
            </w:tcBorders>
            <w:shd w:val="clear" w:color="auto" w:fill="auto"/>
            <w:hideMark/>
          </w:tcPr>
          <w:p w14:paraId="67EE7609" w14:textId="77777777" w:rsidR="00D904BF" w:rsidRPr="00870A4C" w:rsidRDefault="00D904BF" w:rsidP="008B4AE8">
            <w:pPr>
              <w:spacing w:before="0" w:after="0" w:line="240" w:lineRule="auto"/>
              <w:jc w:val="center"/>
              <w:rPr>
                <w:rFonts w:ascii="Calibri" w:eastAsia="Times New Roman" w:hAnsi="Calibri" w:cs="Times New Roman"/>
                <w:b/>
                <w:bCs/>
                <w:color w:val="000000"/>
                <w:sz w:val="16"/>
                <w:szCs w:val="16"/>
                <w:lang w:val="en-US"/>
              </w:rPr>
            </w:pPr>
            <w:r w:rsidRPr="00870A4C">
              <w:rPr>
                <w:rFonts w:ascii="Calibri" w:eastAsia="Times New Roman" w:hAnsi="Calibri" w:cs="Times New Roman"/>
                <w:b/>
                <w:bCs/>
                <w:color w:val="000000"/>
                <w:sz w:val="16"/>
                <w:szCs w:val="16"/>
                <w:lang w:val="en-US"/>
              </w:rPr>
              <w:t>Tool</w:t>
            </w:r>
          </w:p>
        </w:tc>
      </w:tr>
      <w:tr w:rsidR="00D904BF" w:rsidRPr="00870A4C" w14:paraId="09B1F22A" w14:textId="77777777" w:rsidTr="00D904BF">
        <w:trPr>
          <w:trHeight w:val="480"/>
        </w:trPr>
        <w:tc>
          <w:tcPr>
            <w:tcW w:w="4815" w:type="dxa"/>
            <w:tcBorders>
              <w:top w:val="nil"/>
              <w:left w:val="single" w:sz="4" w:space="0" w:color="auto"/>
              <w:bottom w:val="single" w:sz="4" w:space="0" w:color="auto"/>
              <w:right w:val="single" w:sz="4" w:space="0" w:color="auto"/>
            </w:tcBorders>
            <w:shd w:val="clear" w:color="000000" w:fill="D9D9D9"/>
            <w:vAlign w:val="center"/>
            <w:hideMark/>
          </w:tcPr>
          <w:p w14:paraId="3F714AD3" w14:textId="7D4E7F17" w:rsidR="00D904BF" w:rsidRPr="00870A4C" w:rsidRDefault="00D904BF" w:rsidP="008B4AE8">
            <w:pPr>
              <w:spacing w:before="0" w:after="0" w:line="240" w:lineRule="auto"/>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1.</w:t>
            </w:r>
            <w:r w:rsidRPr="00870A4C">
              <w:rPr>
                <w:rFonts w:ascii="Times New Roman" w:eastAsia="Times New Roman" w:hAnsi="Times New Roman" w:cs="Times New Roman"/>
                <w:color w:val="000000"/>
                <w:sz w:val="16"/>
                <w:szCs w:val="16"/>
                <w:lang w:val="en-US"/>
              </w:rPr>
              <w:t xml:space="preserve">       </w:t>
            </w:r>
            <w:r w:rsidRPr="00870A4C">
              <w:rPr>
                <w:rFonts w:ascii="Calibri" w:eastAsia="Times New Roman" w:hAnsi="Calibri" w:cs="Times New Roman"/>
                <w:color w:val="000000"/>
                <w:sz w:val="16"/>
                <w:szCs w:val="16"/>
                <w:u w:val="single"/>
                <w:lang w:val="en-US"/>
              </w:rPr>
              <w:t xml:space="preserve">Was Australia's humanitarian assistance to </w:t>
            </w:r>
            <w:r w:rsidR="00A4402E">
              <w:rPr>
                <w:rFonts w:ascii="Calibri" w:eastAsia="Times New Roman" w:hAnsi="Calibri" w:cs="Times New Roman"/>
                <w:color w:val="000000"/>
                <w:sz w:val="16"/>
                <w:szCs w:val="16"/>
                <w:u w:val="single"/>
                <w:lang w:val="en-US"/>
              </w:rPr>
              <w:t>situations of protracted displacement</w:t>
            </w:r>
            <w:r w:rsidR="008B4AE8">
              <w:rPr>
                <w:rFonts w:ascii="Calibri" w:eastAsia="Times New Roman" w:hAnsi="Calibri" w:cs="Times New Roman"/>
                <w:color w:val="000000"/>
                <w:sz w:val="16"/>
                <w:szCs w:val="16"/>
                <w:u w:val="single"/>
                <w:lang w:val="en-US"/>
              </w:rPr>
              <w:t xml:space="preserve"> </w:t>
            </w:r>
            <w:r w:rsidRPr="00870A4C">
              <w:rPr>
                <w:rFonts w:ascii="Calibri" w:eastAsia="Times New Roman" w:hAnsi="Calibri" w:cs="Times New Roman"/>
                <w:color w:val="000000"/>
                <w:sz w:val="16"/>
                <w:szCs w:val="16"/>
                <w:u w:val="single"/>
                <w:lang w:val="en-US"/>
              </w:rPr>
              <w:t xml:space="preserve">in Myanmar appropriate and relevant? </w:t>
            </w:r>
          </w:p>
        </w:tc>
        <w:tc>
          <w:tcPr>
            <w:tcW w:w="1167" w:type="dxa"/>
            <w:tcBorders>
              <w:top w:val="nil"/>
              <w:left w:val="nil"/>
              <w:bottom w:val="single" w:sz="4" w:space="0" w:color="auto"/>
              <w:right w:val="single" w:sz="4" w:space="0" w:color="auto"/>
            </w:tcBorders>
            <w:shd w:val="clear" w:color="000000" w:fill="D9D9D9"/>
            <w:vAlign w:val="center"/>
            <w:hideMark/>
          </w:tcPr>
          <w:p w14:paraId="785043B6"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 </w:t>
            </w:r>
          </w:p>
        </w:tc>
        <w:tc>
          <w:tcPr>
            <w:tcW w:w="1405" w:type="dxa"/>
            <w:tcBorders>
              <w:top w:val="nil"/>
              <w:left w:val="nil"/>
              <w:bottom w:val="single" w:sz="4" w:space="0" w:color="auto"/>
              <w:right w:val="single" w:sz="4" w:space="0" w:color="auto"/>
            </w:tcBorders>
            <w:shd w:val="clear" w:color="000000" w:fill="D9D9D9"/>
            <w:vAlign w:val="center"/>
            <w:hideMark/>
          </w:tcPr>
          <w:p w14:paraId="3A428CC3"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 </w:t>
            </w:r>
          </w:p>
        </w:tc>
        <w:tc>
          <w:tcPr>
            <w:tcW w:w="1904" w:type="dxa"/>
            <w:tcBorders>
              <w:top w:val="nil"/>
              <w:left w:val="nil"/>
              <w:bottom w:val="single" w:sz="4" w:space="0" w:color="auto"/>
              <w:right w:val="single" w:sz="4" w:space="0" w:color="auto"/>
            </w:tcBorders>
            <w:shd w:val="clear" w:color="000000" w:fill="D9D9D9"/>
            <w:vAlign w:val="center"/>
            <w:hideMark/>
          </w:tcPr>
          <w:p w14:paraId="261EE132"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 </w:t>
            </w:r>
          </w:p>
        </w:tc>
      </w:tr>
      <w:tr w:rsidR="00D904BF" w:rsidRPr="00870A4C" w14:paraId="24949B70" w14:textId="77777777" w:rsidTr="00E425BB">
        <w:trPr>
          <w:trHeight w:val="814"/>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0AA3F52D" w14:textId="77777777" w:rsidR="00D904BF" w:rsidRPr="00870A4C" w:rsidRDefault="00D904BF" w:rsidP="008B4AE8">
            <w:pPr>
              <w:spacing w:before="0" w:after="0" w:line="240" w:lineRule="auto"/>
              <w:jc w:val="both"/>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a)</w:t>
            </w:r>
            <w:r w:rsidRPr="00870A4C">
              <w:rPr>
                <w:rFonts w:ascii="Times New Roman" w:eastAsia="Times New Roman" w:hAnsi="Times New Roman" w:cs="Times New Roman"/>
                <w:color w:val="000000"/>
                <w:sz w:val="16"/>
                <w:szCs w:val="16"/>
                <w:lang w:val="en-US"/>
              </w:rPr>
              <w:t xml:space="preserve">      </w:t>
            </w:r>
            <w:r w:rsidRPr="00870A4C">
              <w:rPr>
                <w:rFonts w:ascii="Calibri" w:eastAsia="Times New Roman" w:hAnsi="Calibri" w:cs="Times New Roman"/>
                <w:color w:val="000000"/>
                <w:sz w:val="16"/>
                <w:szCs w:val="16"/>
                <w:lang w:val="en-US"/>
              </w:rPr>
              <w:t>To what extent were the partners and activities selected appropriate (i.e. did we select the right partners in the right locations on the right issues?)</w:t>
            </w:r>
          </w:p>
        </w:tc>
        <w:tc>
          <w:tcPr>
            <w:tcW w:w="1167" w:type="dxa"/>
            <w:tcBorders>
              <w:top w:val="nil"/>
              <w:left w:val="nil"/>
              <w:bottom w:val="single" w:sz="4" w:space="0" w:color="auto"/>
              <w:right w:val="single" w:sz="4" w:space="0" w:color="auto"/>
            </w:tcBorders>
            <w:shd w:val="clear" w:color="auto" w:fill="auto"/>
            <w:vAlign w:val="center"/>
            <w:hideMark/>
          </w:tcPr>
          <w:p w14:paraId="4F017080"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DFAT</w:t>
            </w:r>
          </w:p>
        </w:tc>
        <w:tc>
          <w:tcPr>
            <w:tcW w:w="1405" w:type="dxa"/>
            <w:tcBorders>
              <w:top w:val="nil"/>
              <w:left w:val="nil"/>
              <w:bottom w:val="single" w:sz="4" w:space="0" w:color="auto"/>
              <w:right w:val="single" w:sz="4" w:space="0" w:color="auto"/>
            </w:tcBorders>
            <w:shd w:val="clear" w:color="auto" w:fill="auto"/>
            <w:vAlign w:val="center"/>
            <w:hideMark/>
          </w:tcPr>
          <w:p w14:paraId="0545BE56"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Key Informant Interviews (KII), Document Review (DR)</w:t>
            </w:r>
          </w:p>
        </w:tc>
        <w:tc>
          <w:tcPr>
            <w:tcW w:w="1904" w:type="dxa"/>
            <w:tcBorders>
              <w:top w:val="nil"/>
              <w:left w:val="nil"/>
              <w:bottom w:val="single" w:sz="4" w:space="0" w:color="auto"/>
              <w:right w:val="single" w:sz="4" w:space="0" w:color="auto"/>
            </w:tcBorders>
            <w:shd w:val="clear" w:color="auto" w:fill="auto"/>
            <w:vAlign w:val="center"/>
            <w:hideMark/>
          </w:tcPr>
          <w:p w14:paraId="5FA3A8EE"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Interview guide  - DFAT (IG-DFAT)</w:t>
            </w:r>
            <w:r w:rsidRPr="00870A4C">
              <w:rPr>
                <w:rFonts w:ascii="Calibri" w:eastAsia="Times New Roman" w:hAnsi="Calibri" w:cs="Times New Roman"/>
                <w:color w:val="000000"/>
                <w:sz w:val="16"/>
                <w:szCs w:val="16"/>
                <w:lang w:val="en-US"/>
              </w:rPr>
              <w:br/>
              <w:t>Anotated bibliography (AB)</w:t>
            </w:r>
          </w:p>
        </w:tc>
      </w:tr>
      <w:tr w:rsidR="00D904BF" w:rsidRPr="00870A4C" w14:paraId="4A3A793A" w14:textId="77777777" w:rsidTr="00D904BF">
        <w:trPr>
          <w:trHeight w:val="72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741BDD85" w14:textId="1F135112" w:rsidR="00D904BF" w:rsidRPr="00870A4C" w:rsidRDefault="00D904BF" w:rsidP="008B4AE8">
            <w:pPr>
              <w:spacing w:before="0" w:after="0" w:line="240" w:lineRule="auto"/>
              <w:jc w:val="both"/>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b)</w:t>
            </w:r>
            <w:r w:rsidRPr="00870A4C">
              <w:rPr>
                <w:rFonts w:ascii="Times New Roman" w:eastAsia="Times New Roman" w:hAnsi="Times New Roman" w:cs="Times New Roman"/>
                <w:color w:val="000000"/>
                <w:sz w:val="16"/>
                <w:szCs w:val="16"/>
                <w:lang w:val="en-US"/>
              </w:rPr>
              <w:t xml:space="preserve">      </w:t>
            </w:r>
            <w:r w:rsidR="006253AA" w:rsidRPr="006253AA">
              <w:rPr>
                <w:rFonts w:ascii="Calibri" w:eastAsia="Times New Roman" w:hAnsi="Calibri" w:cs="Times New Roman"/>
                <w:color w:val="000000"/>
                <w:sz w:val="16"/>
                <w:szCs w:val="16"/>
                <w:lang w:val="en-US"/>
              </w:rPr>
              <w:t xml:space="preserve">To what extent did </w:t>
            </w:r>
            <w:r w:rsidR="006771F5" w:rsidRPr="006771F5">
              <w:rPr>
                <w:rFonts w:ascii="Calibri" w:eastAsia="Times New Roman" w:hAnsi="Calibri" w:cs="Times New Roman"/>
                <w:color w:val="000000"/>
                <w:sz w:val="16"/>
                <w:szCs w:val="16"/>
                <w:lang w:val="en-US"/>
              </w:rPr>
              <w:t>Australia's humanitarian priorities and assistance appropriately complement/ align with Australia’s development priorities/activities in the Myanmar country program?</w:t>
            </w:r>
          </w:p>
        </w:tc>
        <w:tc>
          <w:tcPr>
            <w:tcW w:w="1167" w:type="dxa"/>
            <w:tcBorders>
              <w:top w:val="nil"/>
              <w:left w:val="nil"/>
              <w:bottom w:val="single" w:sz="4" w:space="0" w:color="auto"/>
              <w:right w:val="single" w:sz="4" w:space="0" w:color="auto"/>
            </w:tcBorders>
            <w:shd w:val="clear" w:color="auto" w:fill="auto"/>
            <w:vAlign w:val="center"/>
            <w:hideMark/>
          </w:tcPr>
          <w:p w14:paraId="6C0E1C3E"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DFAT, Partners</w:t>
            </w:r>
          </w:p>
        </w:tc>
        <w:tc>
          <w:tcPr>
            <w:tcW w:w="1405" w:type="dxa"/>
            <w:tcBorders>
              <w:top w:val="nil"/>
              <w:left w:val="nil"/>
              <w:bottom w:val="single" w:sz="4" w:space="0" w:color="auto"/>
              <w:right w:val="single" w:sz="4" w:space="0" w:color="auto"/>
            </w:tcBorders>
            <w:shd w:val="clear" w:color="auto" w:fill="auto"/>
            <w:vAlign w:val="center"/>
            <w:hideMark/>
          </w:tcPr>
          <w:p w14:paraId="745E6A23"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KII, DR</w:t>
            </w:r>
          </w:p>
        </w:tc>
        <w:tc>
          <w:tcPr>
            <w:tcW w:w="1904" w:type="dxa"/>
            <w:tcBorders>
              <w:top w:val="nil"/>
              <w:left w:val="nil"/>
              <w:bottom w:val="single" w:sz="4" w:space="0" w:color="auto"/>
              <w:right w:val="single" w:sz="4" w:space="0" w:color="auto"/>
            </w:tcBorders>
            <w:shd w:val="clear" w:color="auto" w:fill="auto"/>
            <w:vAlign w:val="center"/>
            <w:hideMark/>
          </w:tcPr>
          <w:p w14:paraId="651AA50B"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IG-DFAT, Interview guide - Partners (IG - Partners)</w:t>
            </w:r>
          </w:p>
        </w:tc>
      </w:tr>
      <w:tr w:rsidR="00D904BF" w:rsidRPr="00870A4C" w14:paraId="3484D8B8" w14:textId="77777777" w:rsidTr="00D904BF">
        <w:trPr>
          <w:trHeight w:val="120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404984EE" w14:textId="54485A01" w:rsidR="00D904BF" w:rsidRPr="006253AA" w:rsidRDefault="00D904BF" w:rsidP="006253AA">
            <w:pPr>
              <w:suppressAutoHyphens w:val="0"/>
              <w:spacing w:after="120" w:line="240" w:lineRule="auto"/>
              <w:rPr>
                <w:rFonts w:cs="Arial"/>
              </w:rPr>
            </w:pPr>
            <w:r w:rsidRPr="006253AA">
              <w:rPr>
                <w:rFonts w:ascii="Calibri" w:eastAsia="Times New Roman" w:hAnsi="Calibri" w:cs="Times New Roman"/>
                <w:color w:val="000000"/>
                <w:sz w:val="16"/>
                <w:szCs w:val="16"/>
                <w:lang w:val="en-US"/>
              </w:rPr>
              <w:t>c)</w:t>
            </w:r>
            <w:r w:rsidRPr="006253AA">
              <w:rPr>
                <w:rFonts w:ascii="Times New Roman" w:eastAsia="Times New Roman" w:hAnsi="Times New Roman" w:cs="Times New Roman"/>
                <w:color w:val="000000"/>
                <w:sz w:val="16"/>
                <w:szCs w:val="16"/>
                <w:lang w:val="en-US"/>
              </w:rPr>
              <w:t xml:space="preserve">       </w:t>
            </w:r>
            <w:r w:rsidR="006253AA" w:rsidRPr="006253AA">
              <w:rPr>
                <w:rFonts w:ascii="Calibri" w:eastAsia="Times New Roman" w:hAnsi="Calibri" w:cs="Times New Roman"/>
                <w:color w:val="000000"/>
                <w:sz w:val="16"/>
                <w:szCs w:val="16"/>
                <w:lang w:val="en-US"/>
              </w:rPr>
              <w:t>To what extent did the assistance complement/ align with Australia’s Humanitarian Strategy and other key Australian government policies/priorities such as gender equality, women peace and security and disability inclusion?</w:t>
            </w:r>
          </w:p>
        </w:tc>
        <w:tc>
          <w:tcPr>
            <w:tcW w:w="1167" w:type="dxa"/>
            <w:tcBorders>
              <w:top w:val="nil"/>
              <w:left w:val="nil"/>
              <w:bottom w:val="single" w:sz="4" w:space="0" w:color="auto"/>
              <w:right w:val="single" w:sz="4" w:space="0" w:color="auto"/>
            </w:tcBorders>
            <w:shd w:val="clear" w:color="auto" w:fill="auto"/>
            <w:vAlign w:val="center"/>
            <w:hideMark/>
          </w:tcPr>
          <w:p w14:paraId="5F7D76A6"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DFAT</w:t>
            </w:r>
          </w:p>
        </w:tc>
        <w:tc>
          <w:tcPr>
            <w:tcW w:w="1405" w:type="dxa"/>
            <w:tcBorders>
              <w:top w:val="nil"/>
              <w:left w:val="nil"/>
              <w:bottom w:val="single" w:sz="4" w:space="0" w:color="auto"/>
              <w:right w:val="single" w:sz="4" w:space="0" w:color="auto"/>
            </w:tcBorders>
            <w:shd w:val="clear" w:color="auto" w:fill="auto"/>
            <w:vAlign w:val="center"/>
            <w:hideMark/>
          </w:tcPr>
          <w:p w14:paraId="6B3DB67D"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KII, DR</w:t>
            </w:r>
          </w:p>
        </w:tc>
        <w:tc>
          <w:tcPr>
            <w:tcW w:w="1904" w:type="dxa"/>
            <w:tcBorders>
              <w:top w:val="nil"/>
              <w:left w:val="nil"/>
              <w:bottom w:val="single" w:sz="4" w:space="0" w:color="auto"/>
              <w:right w:val="single" w:sz="4" w:space="0" w:color="auto"/>
            </w:tcBorders>
            <w:shd w:val="clear" w:color="auto" w:fill="auto"/>
            <w:vAlign w:val="center"/>
            <w:hideMark/>
          </w:tcPr>
          <w:p w14:paraId="398EC0BD"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Interview guide  - DFAT (IG-DFAT)</w:t>
            </w:r>
            <w:r w:rsidRPr="00870A4C">
              <w:rPr>
                <w:rFonts w:ascii="Calibri" w:eastAsia="Times New Roman" w:hAnsi="Calibri" w:cs="Times New Roman"/>
                <w:color w:val="000000"/>
                <w:sz w:val="16"/>
                <w:szCs w:val="16"/>
                <w:lang w:val="en-US"/>
              </w:rPr>
              <w:br/>
              <w:t>Anotated bibliography (AB)</w:t>
            </w:r>
          </w:p>
        </w:tc>
      </w:tr>
      <w:tr w:rsidR="00D904BF" w:rsidRPr="00870A4C" w14:paraId="2FA3E835" w14:textId="77777777" w:rsidTr="00E425BB">
        <w:trPr>
          <w:trHeight w:val="632"/>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677ADE50" w14:textId="550D25D2" w:rsidR="00D904BF" w:rsidRPr="00870A4C" w:rsidRDefault="00D904BF" w:rsidP="008B4AE8">
            <w:pPr>
              <w:spacing w:before="0" w:after="0" w:line="240" w:lineRule="auto"/>
              <w:jc w:val="both"/>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 xml:space="preserve"> d) </w:t>
            </w:r>
            <w:r w:rsidR="008B4AE8" w:rsidRPr="00870A4C">
              <w:rPr>
                <w:rFonts w:ascii="Calibri" w:eastAsia="Times New Roman" w:hAnsi="Calibri" w:cs="Times New Roman"/>
                <w:color w:val="000000"/>
                <w:sz w:val="16"/>
                <w:szCs w:val="16"/>
                <w:lang w:val="en-US"/>
              </w:rPr>
              <w:t>How relevant and appropriate is the assistance provided by implementing partners from the perspective of affected communities?</w:t>
            </w:r>
          </w:p>
        </w:tc>
        <w:tc>
          <w:tcPr>
            <w:tcW w:w="1167" w:type="dxa"/>
            <w:tcBorders>
              <w:top w:val="nil"/>
              <w:left w:val="nil"/>
              <w:bottom w:val="single" w:sz="4" w:space="0" w:color="auto"/>
              <w:right w:val="single" w:sz="4" w:space="0" w:color="auto"/>
            </w:tcBorders>
            <w:shd w:val="clear" w:color="auto" w:fill="auto"/>
            <w:vAlign w:val="center"/>
            <w:hideMark/>
          </w:tcPr>
          <w:p w14:paraId="6FAF8A3C" w14:textId="19957323" w:rsidR="00D904BF" w:rsidRPr="00870A4C" w:rsidRDefault="008B4AE8"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Affected communities</w:t>
            </w:r>
          </w:p>
        </w:tc>
        <w:tc>
          <w:tcPr>
            <w:tcW w:w="1405" w:type="dxa"/>
            <w:tcBorders>
              <w:top w:val="nil"/>
              <w:left w:val="nil"/>
              <w:bottom w:val="single" w:sz="4" w:space="0" w:color="auto"/>
              <w:right w:val="single" w:sz="4" w:space="0" w:color="auto"/>
            </w:tcBorders>
            <w:shd w:val="clear" w:color="auto" w:fill="auto"/>
            <w:vAlign w:val="center"/>
            <w:hideMark/>
          </w:tcPr>
          <w:p w14:paraId="3C572492" w14:textId="7C02532D" w:rsidR="00D904BF" w:rsidRPr="00870A4C" w:rsidRDefault="008B4AE8"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FGD</w:t>
            </w:r>
          </w:p>
        </w:tc>
        <w:tc>
          <w:tcPr>
            <w:tcW w:w="1904" w:type="dxa"/>
            <w:tcBorders>
              <w:top w:val="nil"/>
              <w:left w:val="nil"/>
              <w:bottom w:val="single" w:sz="4" w:space="0" w:color="auto"/>
              <w:right w:val="single" w:sz="4" w:space="0" w:color="auto"/>
            </w:tcBorders>
            <w:shd w:val="clear" w:color="auto" w:fill="auto"/>
            <w:vAlign w:val="center"/>
            <w:hideMark/>
          </w:tcPr>
          <w:p w14:paraId="7622C9C8" w14:textId="14EE5E63" w:rsidR="00D904BF" w:rsidRPr="00870A4C" w:rsidRDefault="008B4AE8"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FGD Guide</w:t>
            </w:r>
          </w:p>
        </w:tc>
      </w:tr>
      <w:tr w:rsidR="008B4AE8" w:rsidRPr="00870A4C" w14:paraId="1FF3B075" w14:textId="77777777" w:rsidTr="00E425BB">
        <w:trPr>
          <w:trHeight w:val="1024"/>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1CE2C50F" w14:textId="1887C2A1" w:rsidR="008B4AE8" w:rsidRDefault="008B4AE8" w:rsidP="008B4AE8">
            <w:pPr>
              <w:suppressAutoHyphens w:val="0"/>
              <w:spacing w:before="0" w:after="0" w:line="240" w:lineRule="auto"/>
              <w:rPr>
                <w:rFonts w:ascii="Calibri" w:eastAsia="Times New Roman" w:hAnsi="Calibri" w:cs="Times New Roman"/>
                <w:color w:val="000000"/>
                <w:sz w:val="16"/>
                <w:szCs w:val="16"/>
                <w:lang w:val="en-US"/>
              </w:rPr>
            </w:pPr>
            <w:r w:rsidRPr="008B4AE8">
              <w:rPr>
                <w:rFonts w:ascii="Calibri" w:eastAsia="Times New Roman" w:hAnsi="Calibri" w:cs="Times New Roman"/>
                <w:color w:val="000000"/>
                <w:sz w:val="16"/>
                <w:szCs w:val="16"/>
                <w:lang w:val="en-US"/>
              </w:rPr>
              <w:t xml:space="preserve"> </w:t>
            </w:r>
          </w:p>
          <w:p w14:paraId="3E0FF81F" w14:textId="1B071190" w:rsidR="008B4AE8" w:rsidRPr="00870A4C" w:rsidRDefault="008B4AE8" w:rsidP="00E425BB">
            <w:pPr>
              <w:suppressAutoHyphens w:val="0"/>
              <w:spacing w:before="0" w:after="0" w:line="240" w:lineRule="auto"/>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 xml:space="preserve">e) </w:t>
            </w:r>
            <w:r w:rsidRPr="008B4AE8">
              <w:rPr>
                <w:rFonts w:ascii="Calibri" w:eastAsia="Times New Roman" w:hAnsi="Calibri" w:cs="Times New Roman"/>
                <w:color w:val="000000"/>
                <w:sz w:val="16"/>
                <w:szCs w:val="16"/>
                <w:lang w:val="en-US"/>
              </w:rPr>
              <w:t xml:space="preserve">To what extent was Australia’s assistance coordinated and complementary? Are there ways in which Australia could share information and coordinate better with other donors and international actors? </w:t>
            </w:r>
          </w:p>
        </w:tc>
        <w:tc>
          <w:tcPr>
            <w:tcW w:w="1167" w:type="dxa"/>
            <w:tcBorders>
              <w:top w:val="nil"/>
              <w:left w:val="nil"/>
              <w:bottom w:val="single" w:sz="4" w:space="0" w:color="auto"/>
              <w:right w:val="single" w:sz="4" w:space="0" w:color="auto"/>
            </w:tcBorders>
            <w:shd w:val="clear" w:color="auto" w:fill="auto"/>
            <w:vAlign w:val="center"/>
            <w:hideMark/>
          </w:tcPr>
          <w:p w14:paraId="05AE7FF4" w14:textId="20FA8375" w:rsidR="008B4AE8" w:rsidRPr="00870A4C" w:rsidRDefault="008B4AE8"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DFAT, Partners</w:t>
            </w:r>
          </w:p>
        </w:tc>
        <w:tc>
          <w:tcPr>
            <w:tcW w:w="1405" w:type="dxa"/>
            <w:tcBorders>
              <w:top w:val="nil"/>
              <w:left w:val="nil"/>
              <w:bottom w:val="single" w:sz="4" w:space="0" w:color="auto"/>
              <w:right w:val="single" w:sz="4" w:space="0" w:color="auto"/>
            </w:tcBorders>
            <w:shd w:val="clear" w:color="auto" w:fill="auto"/>
            <w:vAlign w:val="center"/>
            <w:hideMark/>
          </w:tcPr>
          <w:p w14:paraId="126F5A15" w14:textId="098DD3DF" w:rsidR="008B4AE8" w:rsidRPr="00870A4C" w:rsidRDefault="008B4AE8"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KII, DR</w:t>
            </w:r>
          </w:p>
        </w:tc>
        <w:tc>
          <w:tcPr>
            <w:tcW w:w="1904" w:type="dxa"/>
            <w:tcBorders>
              <w:top w:val="nil"/>
              <w:left w:val="nil"/>
              <w:bottom w:val="single" w:sz="4" w:space="0" w:color="auto"/>
              <w:right w:val="single" w:sz="4" w:space="0" w:color="auto"/>
            </w:tcBorders>
            <w:shd w:val="clear" w:color="auto" w:fill="auto"/>
            <w:vAlign w:val="center"/>
            <w:hideMark/>
          </w:tcPr>
          <w:p w14:paraId="54DF9212" w14:textId="76FD0C7E" w:rsidR="008B4AE8" w:rsidRPr="00870A4C" w:rsidRDefault="008B4AE8"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IG-DFAT, Interview guide - Partners (IG - Partners)</w:t>
            </w:r>
          </w:p>
        </w:tc>
      </w:tr>
      <w:tr w:rsidR="00D904BF" w:rsidRPr="00870A4C" w14:paraId="163E5C40" w14:textId="77777777" w:rsidTr="00D904BF">
        <w:trPr>
          <w:trHeight w:val="100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62C52BE7" w14:textId="18E249A4" w:rsidR="00D904BF" w:rsidRPr="00870A4C" w:rsidRDefault="00D904BF" w:rsidP="008B4AE8">
            <w:pPr>
              <w:spacing w:before="0" w:after="0" w:line="240" w:lineRule="auto"/>
              <w:jc w:val="both"/>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f)</w:t>
            </w:r>
            <w:r w:rsidR="00E425BB">
              <w:rPr>
                <w:rFonts w:ascii="Times New Roman" w:eastAsia="Times New Roman" w:hAnsi="Times New Roman" w:cs="Times New Roman"/>
                <w:color w:val="000000"/>
                <w:sz w:val="16"/>
                <w:szCs w:val="16"/>
                <w:lang w:val="en-US"/>
              </w:rPr>
              <w:t> </w:t>
            </w:r>
            <w:r w:rsidRPr="00870A4C">
              <w:rPr>
                <w:rFonts w:ascii="Calibri" w:eastAsia="Times New Roman" w:hAnsi="Calibri" w:cs="Times New Roman"/>
                <w:color w:val="000000"/>
                <w:sz w:val="16"/>
                <w:szCs w:val="16"/>
                <w:lang w:val="en-US"/>
              </w:rPr>
              <w:t>Were there any unintended consequences and impacts (pos</w:t>
            </w:r>
            <w:r w:rsidR="00E130F5" w:rsidRPr="00870A4C">
              <w:rPr>
                <w:rFonts w:ascii="Calibri" w:eastAsia="Times New Roman" w:hAnsi="Calibri" w:cs="Times New Roman"/>
                <w:color w:val="000000"/>
                <w:sz w:val="16"/>
                <w:szCs w:val="16"/>
                <w:lang w:val="en-US"/>
              </w:rPr>
              <w:t xml:space="preserve">itive or negative) as a result </w:t>
            </w:r>
            <w:r w:rsidRPr="00870A4C">
              <w:rPr>
                <w:rFonts w:ascii="Calibri" w:eastAsia="Times New Roman" w:hAnsi="Calibri" w:cs="Times New Roman"/>
                <w:color w:val="000000"/>
                <w:sz w:val="16"/>
                <w:szCs w:val="16"/>
                <w:lang w:val="en-US"/>
              </w:rPr>
              <w:t xml:space="preserve">of </w:t>
            </w:r>
            <w:r w:rsidR="00E130F5" w:rsidRPr="00870A4C">
              <w:rPr>
                <w:rFonts w:ascii="Calibri" w:eastAsia="Times New Roman" w:hAnsi="Calibri" w:cs="Times New Roman"/>
                <w:color w:val="000000"/>
                <w:sz w:val="16"/>
                <w:szCs w:val="16"/>
                <w:lang w:val="en-US"/>
              </w:rPr>
              <w:t>Australian</w:t>
            </w:r>
            <w:r w:rsidRPr="00870A4C">
              <w:rPr>
                <w:rFonts w:ascii="Calibri" w:eastAsia="Times New Roman" w:hAnsi="Calibri" w:cs="Times New Roman"/>
                <w:color w:val="000000"/>
                <w:sz w:val="16"/>
                <w:szCs w:val="16"/>
                <w:lang w:val="en-US"/>
              </w:rPr>
              <w:t xml:space="preserve"> assistance?</w:t>
            </w:r>
          </w:p>
        </w:tc>
        <w:tc>
          <w:tcPr>
            <w:tcW w:w="1167" w:type="dxa"/>
            <w:tcBorders>
              <w:top w:val="nil"/>
              <w:left w:val="nil"/>
              <w:bottom w:val="single" w:sz="4" w:space="0" w:color="auto"/>
              <w:right w:val="single" w:sz="4" w:space="0" w:color="auto"/>
            </w:tcBorders>
            <w:shd w:val="clear" w:color="auto" w:fill="auto"/>
            <w:vAlign w:val="center"/>
            <w:hideMark/>
          </w:tcPr>
          <w:p w14:paraId="41322DFC"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DFAT, Partners, Affected communities</w:t>
            </w:r>
          </w:p>
        </w:tc>
        <w:tc>
          <w:tcPr>
            <w:tcW w:w="1405" w:type="dxa"/>
            <w:tcBorders>
              <w:top w:val="nil"/>
              <w:left w:val="nil"/>
              <w:bottom w:val="single" w:sz="4" w:space="0" w:color="auto"/>
              <w:right w:val="single" w:sz="4" w:space="0" w:color="auto"/>
            </w:tcBorders>
            <w:shd w:val="clear" w:color="auto" w:fill="auto"/>
            <w:vAlign w:val="center"/>
            <w:hideMark/>
          </w:tcPr>
          <w:p w14:paraId="3D1AFA0F"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KII, DR, FGD</w:t>
            </w:r>
          </w:p>
        </w:tc>
        <w:tc>
          <w:tcPr>
            <w:tcW w:w="1904" w:type="dxa"/>
            <w:tcBorders>
              <w:top w:val="nil"/>
              <w:left w:val="nil"/>
              <w:bottom w:val="single" w:sz="4" w:space="0" w:color="auto"/>
              <w:right w:val="single" w:sz="4" w:space="0" w:color="auto"/>
            </w:tcBorders>
            <w:shd w:val="clear" w:color="auto" w:fill="auto"/>
            <w:vAlign w:val="center"/>
            <w:hideMark/>
          </w:tcPr>
          <w:p w14:paraId="4EF7DF4D"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IG-DFAT, IG-Partners, FGDG</w:t>
            </w:r>
          </w:p>
        </w:tc>
      </w:tr>
      <w:tr w:rsidR="00D904BF" w:rsidRPr="00870A4C" w14:paraId="19AF09C3" w14:textId="77777777" w:rsidTr="00D904BF">
        <w:trPr>
          <w:trHeight w:val="480"/>
        </w:trPr>
        <w:tc>
          <w:tcPr>
            <w:tcW w:w="4815" w:type="dxa"/>
            <w:tcBorders>
              <w:top w:val="nil"/>
              <w:left w:val="single" w:sz="4" w:space="0" w:color="auto"/>
              <w:bottom w:val="single" w:sz="4" w:space="0" w:color="auto"/>
              <w:right w:val="single" w:sz="4" w:space="0" w:color="auto"/>
            </w:tcBorders>
            <w:shd w:val="clear" w:color="000000" w:fill="D9D9D9"/>
            <w:vAlign w:val="center"/>
            <w:hideMark/>
          </w:tcPr>
          <w:p w14:paraId="7165BD77" w14:textId="64D52626" w:rsidR="00D904BF" w:rsidRPr="00870A4C" w:rsidRDefault="00D904BF" w:rsidP="008B4AE8">
            <w:pPr>
              <w:spacing w:before="0" w:after="0" w:line="240" w:lineRule="auto"/>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2.</w:t>
            </w:r>
            <w:r w:rsidRPr="00870A4C">
              <w:rPr>
                <w:rFonts w:ascii="Times New Roman" w:eastAsia="Times New Roman" w:hAnsi="Times New Roman" w:cs="Times New Roman"/>
                <w:color w:val="000000"/>
                <w:sz w:val="16"/>
                <w:szCs w:val="16"/>
                <w:lang w:val="en-US"/>
              </w:rPr>
              <w:t xml:space="preserve">       </w:t>
            </w:r>
            <w:r w:rsidRPr="00870A4C">
              <w:rPr>
                <w:rFonts w:ascii="Calibri" w:eastAsia="Times New Roman" w:hAnsi="Calibri" w:cs="Times New Roman"/>
                <w:color w:val="000000"/>
                <w:sz w:val="16"/>
                <w:szCs w:val="16"/>
                <w:u w:val="single"/>
                <w:lang w:val="en-US"/>
              </w:rPr>
              <w:t xml:space="preserve">Was Australia's </w:t>
            </w:r>
            <w:r w:rsidR="00E130F5" w:rsidRPr="00870A4C">
              <w:rPr>
                <w:rFonts w:ascii="Calibri" w:eastAsia="Times New Roman" w:hAnsi="Calibri" w:cs="Times New Roman"/>
                <w:color w:val="000000"/>
                <w:sz w:val="16"/>
                <w:szCs w:val="16"/>
                <w:u w:val="single"/>
                <w:lang w:val="en-US"/>
              </w:rPr>
              <w:t>humanitarian</w:t>
            </w:r>
            <w:r w:rsidRPr="00870A4C">
              <w:rPr>
                <w:rFonts w:ascii="Calibri" w:eastAsia="Times New Roman" w:hAnsi="Calibri" w:cs="Times New Roman"/>
                <w:color w:val="000000"/>
                <w:sz w:val="16"/>
                <w:szCs w:val="16"/>
                <w:u w:val="single"/>
                <w:lang w:val="en-US"/>
              </w:rPr>
              <w:t xml:space="preserve"> assistance to </w:t>
            </w:r>
            <w:r w:rsidR="00A4402E">
              <w:rPr>
                <w:rFonts w:ascii="Calibri" w:eastAsia="Times New Roman" w:hAnsi="Calibri" w:cs="Times New Roman"/>
                <w:color w:val="000000"/>
                <w:sz w:val="16"/>
                <w:szCs w:val="16"/>
                <w:u w:val="single"/>
                <w:lang w:val="en-US"/>
              </w:rPr>
              <w:t>situations of protracted displacement</w:t>
            </w:r>
            <w:r w:rsidR="008B4AE8">
              <w:rPr>
                <w:rFonts w:ascii="Calibri" w:eastAsia="Times New Roman" w:hAnsi="Calibri" w:cs="Times New Roman"/>
                <w:color w:val="000000"/>
                <w:sz w:val="16"/>
                <w:szCs w:val="16"/>
                <w:u w:val="single"/>
                <w:lang w:val="en-US"/>
              </w:rPr>
              <w:t xml:space="preserve"> </w:t>
            </w:r>
            <w:r w:rsidRPr="00870A4C">
              <w:rPr>
                <w:rFonts w:ascii="Calibri" w:eastAsia="Times New Roman" w:hAnsi="Calibri" w:cs="Times New Roman"/>
                <w:color w:val="000000"/>
                <w:sz w:val="16"/>
                <w:szCs w:val="16"/>
                <w:u w:val="single"/>
                <w:lang w:val="en-US"/>
              </w:rPr>
              <w:t>effective and efficient</w:t>
            </w:r>
            <w:r w:rsidRPr="00870A4C">
              <w:rPr>
                <w:rFonts w:ascii="Calibri" w:eastAsia="Times New Roman" w:hAnsi="Calibri" w:cs="Times New Roman"/>
                <w:color w:val="000000"/>
                <w:sz w:val="16"/>
                <w:szCs w:val="16"/>
                <w:lang w:val="en-US"/>
              </w:rPr>
              <w:t>?</w:t>
            </w:r>
          </w:p>
        </w:tc>
        <w:tc>
          <w:tcPr>
            <w:tcW w:w="1167" w:type="dxa"/>
            <w:tcBorders>
              <w:top w:val="nil"/>
              <w:left w:val="nil"/>
              <w:bottom w:val="single" w:sz="4" w:space="0" w:color="auto"/>
              <w:right w:val="single" w:sz="4" w:space="0" w:color="auto"/>
            </w:tcBorders>
            <w:shd w:val="clear" w:color="000000" w:fill="D9D9D9"/>
            <w:vAlign w:val="center"/>
            <w:hideMark/>
          </w:tcPr>
          <w:p w14:paraId="6722839A"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 </w:t>
            </w:r>
          </w:p>
        </w:tc>
        <w:tc>
          <w:tcPr>
            <w:tcW w:w="1405" w:type="dxa"/>
            <w:tcBorders>
              <w:top w:val="nil"/>
              <w:left w:val="nil"/>
              <w:bottom w:val="single" w:sz="4" w:space="0" w:color="auto"/>
              <w:right w:val="single" w:sz="4" w:space="0" w:color="auto"/>
            </w:tcBorders>
            <w:shd w:val="clear" w:color="000000" w:fill="D9D9D9"/>
            <w:vAlign w:val="center"/>
            <w:hideMark/>
          </w:tcPr>
          <w:p w14:paraId="321F9113"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 </w:t>
            </w:r>
          </w:p>
        </w:tc>
        <w:tc>
          <w:tcPr>
            <w:tcW w:w="1904" w:type="dxa"/>
            <w:tcBorders>
              <w:top w:val="nil"/>
              <w:left w:val="nil"/>
              <w:bottom w:val="single" w:sz="4" w:space="0" w:color="auto"/>
              <w:right w:val="single" w:sz="4" w:space="0" w:color="auto"/>
            </w:tcBorders>
            <w:shd w:val="clear" w:color="000000" w:fill="D9D9D9"/>
            <w:vAlign w:val="center"/>
            <w:hideMark/>
          </w:tcPr>
          <w:p w14:paraId="000D4F7C"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 </w:t>
            </w:r>
          </w:p>
        </w:tc>
      </w:tr>
      <w:tr w:rsidR="00D904BF" w:rsidRPr="00870A4C" w14:paraId="161A328C" w14:textId="77777777" w:rsidTr="00D904BF">
        <w:trPr>
          <w:trHeight w:val="576"/>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6B163CC7" w14:textId="3A39594D" w:rsidR="00D904BF" w:rsidRPr="00870A4C" w:rsidRDefault="00D904BF" w:rsidP="008B4AE8">
            <w:pPr>
              <w:spacing w:before="0" w:after="0" w:line="240" w:lineRule="auto"/>
              <w:jc w:val="both"/>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a)</w:t>
            </w:r>
            <w:r w:rsidR="00E425BB">
              <w:rPr>
                <w:rFonts w:ascii="Times New Roman" w:eastAsia="Times New Roman" w:hAnsi="Times New Roman" w:cs="Times New Roman"/>
                <w:color w:val="000000"/>
                <w:sz w:val="16"/>
                <w:szCs w:val="16"/>
                <w:lang w:val="en-US"/>
              </w:rPr>
              <w:t> </w:t>
            </w:r>
            <w:r w:rsidRPr="00870A4C">
              <w:rPr>
                <w:rFonts w:ascii="Calibri" w:eastAsia="Times New Roman" w:hAnsi="Calibri" w:cs="Times New Roman"/>
                <w:color w:val="000000"/>
                <w:sz w:val="16"/>
                <w:szCs w:val="16"/>
                <w:lang w:val="en-US"/>
              </w:rPr>
              <w:t>Were the intended outputs and outcomes for Australia’s assistance clearly defined?</w:t>
            </w:r>
          </w:p>
        </w:tc>
        <w:tc>
          <w:tcPr>
            <w:tcW w:w="1167" w:type="dxa"/>
            <w:tcBorders>
              <w:top w:val="nil"/>
              <w:left w:val="nil"/>
              <w:bottom w:val="single" w:sz="4" w:space="0" w:color="auto"/>
              <w:right w:val="single" w:sz="4" w:space="0" w:color="auto"/>
            </w:tcBorders>
            <w:shd w:val="clear" w:color="auto" w:fill="auto"/>
            <w:vAlign w:val="center"/>
            <w:hideMark/>
          </w:tcPr>
          <w:p w14:paraId="4F269BF7"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DFAT, Partners</w:t>
            </w:r>
          </w:p>
        </w:tc>
        <w:tc>
          <w:tcPr>
            <w:tcW w:w="1405" w:type="dxa"/>
            <w:tcBorders>
              <w:top w:val="nil"/>
              <w:left w:val="nil"/>
              <w:bottom w:val="single" w:sz="4" w:space="0" w:color="auto"/>
              <w:right w:val="single" w:sz="4" w:space="0" w:color="auto"/>
            </w:tcBorders>
            <w:shd w:val="clear" w:color="auto" w:fill="auto"/>
            <w:vAlign w:val="center"/>
            <w:hideMark/>
          </w:tcPr>
          <w:p w14:paraId="173A3C4F"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KII, DR</w:t>
            </w:r>
          </w:p>
        </w:tc>
        <w:tc>
          <w:tcPr>
            <w:tcW w:w="1904" w:type="dxa"/>
            <w:tcBorders>
              <w:top w:val="nil"/>
              <w:left w:val="nil"/>
              <w:bottom w:val="single" w:sz="4" w:space="0" w:color="auto"/>
              <w:right w:val="single" w:sz="4" w:space="0" w:color="auto"/>
            </w:tcBorders>
            <w:shd w:val="clear" w:color="auto" w:fill="auto"/>
            <w:vAlign w:val="center"/>
            <w:hideMark/>
          </w:tcPr>
          <w:p w14:paraId="3028538E"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AB, IG-DFAT, IG-Partners</w:t>
            </w:r>
          </w:p>
        </w:tc>
      </w:tr>
      <w:tr w:rsidR="00D904BF" w:rsidRPr="00870A4C" w14:paraId="189D40F5" w14:textId="77777777" w:rsidTr="00D904BF">
        <w:trPr>
          <w:trHeight w:val="72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27C44A22" w14:textId="5A9F365A" w:rsidR="00A46A05" w:rsidRPr="00A46A05" w:rsidRDefault="00A46A05" w:rsidP="00A46A05">
            <w:pPr>
              <w:suppressAutoHyphens w:val="0"/>
              <w:spacing w:after="120" w:line="240" w:lineRule="auto"/>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b</w:t>
            </w:r>
            <w:r w:rsidR="00D904BF" w:rsidRPr="00A46A05">
              <w:rPr>
                <w:rFonts w:ascii="Calibri" w:eastAsia="Times New Roman" w:hAnsi="Calibri" w:cs="Times New Roman"/>
                <w:color w:val="000000"/>
                <w:sz w:val="16"/>
                <w:szCs w:val="16"/>
                <w:lang w:val="en-US"/>
              </w:rPr>
              <w:t xml:space="preserve">) </w:t>
            </w:r>
            <w:r w:rsidRPr="00A46A05">
              <w:rPr>
                <w:rFonts w:ascii="Calibri" w:eastAsia="Times New Roman" w:hAnsi="Calibri" w:cs="Times New Roman"/>
                <w:color w:val="000000"/>
                <w:sz w:val="16"/>
                <w:szCs w:val="16"/>
                <w:lang w:val="en-US"/>
              </w:rPr>
              <w:t xml:space="preserve">What were the most significant results achieved by Australia’s humanitarian programming in Myanmar during the relevant period? Did these meet expectations and were they adequately captured in partner reporting? </w:t>
            </w:r>
          </w:p>
          <w:p w14:paraId="48327DCA" w14:textId="3D37FBD1" w:rsidR="00D904BF" w:rsidRPr="00870A4C" w:rsidRDefault="00D904BF" w:rsidP="008B4AE8">
            <w:pPr>
              <w:spacing w:before="0" w:after="0" w:line="240" w:lineRule="auto"/>
              <w:jc w:val="both"/>
              <w:rPr>
                <w:rFonts w:ascii="Calibri" w:eastAsia="Times New Roman" w:hAnsi="Calibri" w:cs="Times New Roman"/>
                <w:color w:val="000000"/>
                <w:sz w:val="16"/>
                <w:szCs w:val="16"/>
                <w:lang w:val="en-US"/>
              </w:rPr>
            </w:pPr>
          </w:p>
        </w:tc>
        <w:tc>
          <w:tcPr>
            <w:tcW w:w="1167" w:type="dxa"/>
            <w:tcBorders>
              <w:top w:val="nil"/>
              <w:left w:val="nil"/>
              <w:bottom w:val="single" w:sz="4" w:space="0" w:color="auto"/>
              <w:right w:val="single" w:sz="4" w:space="0" w:color="auto"/>
            </w:tcBorders>
            <w:shd w:val="clear" w:color="auto" w:fill="auto"/>
            <w:vAlign w:val="center"/>
            <w:hideMark/>
          </w:tcPr>
          <w:p w14:paraId="541083E0"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DFAT, Partners, Affected communities</w:t>
            </w:r>
          </w:p>
        </w:tc>
        <w:tc>
          <w:tcPr>
            <w:tcW w:w="1405" w:type="dxa"/>
            <w:tcBorders>
              <w:top w:val="nil"/>
              <w:left w:val="nil"/>
              <w:bottom w:val="single" w:sz="4" w:space="0" w:color="auto"/>
              <w:right w:val="single" w:sz="4" w:space="0" w:color="auto"/>
            </w:tcBorders>
            <w:shd w:val="clear" w:color="auto" w:fill="auto"/>
            <w:vAlign w:val="center"/>
            <w:hideMark/>
          </w:tcPr>
          <w:p w14:paraId="18A00BE2"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KII, DR, FGD</w:t>
            </w:r>
          </w:p>
        </w:tc>
        <w:tc>
          <w:tcPr>
            <w:tcW w:w="1904" w:type="dxa"/>
            <w:tcBorders>
              <w:top w:val="nil"/>
              <w:left w:val="nil"/>
              <w:bottom w:val="single" w:sz="4" w:space="0" w:color="auto"/>
              <w:right w:val="single" w:sz="4" w:space="0" w:color="auto"/>
            </w:tcBorders>
            <w:shd w:val="clear" w:color="auto" w:fill="auto"/>
            <w:vAlign w:val="center"/>
            <w:hideMark/>
          </w:tcPr>
          <w:p w14:paraId="4EF498F8"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IG-DFAT, IG-Partners, FGDG</w:t>
            </w:r>
          </w:p>
        </w:tc>
      </w:tr>
      <w:tr w:rsidR="00D904BF" w:rsidRPr="00870A4C" w14:paraId="7D2857DD" w14:textId="77777777" w:rsidTr="00D904BF">
        <w:trPr>
          <w:trHeight w:val="96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63D1A8D4" w14:textId="2389D7D7" w:rsidR="00D904BF" w:rsidRPr="00870A4C" w:rsidRDefault="00A46A05" w:rsidP="008B4AE8">
            <w:pPr>
              <w:spacing w:before="0" w:after="0" w:line="240" w:lineRule="auto"/>
              <w:jc w:val="both"/>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lang w:val="en-US"/>
              </w:rPr>
              <w:lastRenderedPageBreak/>
              <w:t>c</w:t>
            </w:r>
            <w:r w:rsidR="00D904BF" w:rsidRPr="00870A4C">
              <w:rPr>
                <w:rFonts w:ascii="Times New Roman" w:eastAsia="Times New Roman" w:hAnsi="Times New Roman" w:cs="Times New Roman"/>
                <w:color w:val="000000"/>
                <w:sz w:val="16"/>
                <w:szCs w:val="16"/>
                <w:lang w:val="en-US"/>
              </w:rPr>
              <w:t xml:space="preserve">)  </w:t>
            </w:r>
            <w:r w:rsidR="00D904BF" w:rsidRPr="00870A4C">
              <w:rPr>
                <w:rFonts w:ascii="Calibri" w:eastAsia="Times New Roman" w:hAnsi="Calibri" w:cs="Times New Roman"/>
                <w:color w:val="000000"/>
                <w:sz w:val="16"/>
                <w:szCs w:val="16"/>
                <w:lang w:val="en-US"/>
              </w:rPr>
              <w:t xml:space="preserve">What did Australia’s assistance achieve in terms of protecting the safety, dignity and rights of affected people, promoting gender equality and addressing barriers to inclusion, including for people with disabilities, ethnic minorities and indigenous populations? </w:t>
            </w:r>
          </w:p>
        </w:tc>
        <w:tc>
          <w:tcPr>
            <w:tcW w:w="1167" w:type="dxa"/>
            <w:tcBorders>
              <w:top w:val="nil"/>
              <w:left w:val="nil"/>
              <w:bottom w:val="single" w:sz="4" w:space="0" w:color="auto"/>
              <w:right w:val="single" w:sz="4" w:space="0" w:color="auto"/>
            </w:tcBorders>
            <w:shd w:val="clear" w:color="auto" w:fill="auto"/>
            <w:vAlign w:val="center"/>
            <w:hideMark/>
          </w:tcPr>
          <w:p w14:paraId="7D46C532"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DFAT, Partners, Affected communities</w:t>
            </w:r>
          </w:p>
        </w:tc>
        <w:tc>
          <w:tcPr>
            <w:tcW w:w="1405" w:type="dxa"/>
            <w:tcBorders>
              <w:top w:val="nil"/>
              <w:left w:val="nil"/>
              <w:bottom w:val="single" w:sz="4" w:space="0" w:color="auto"/>
              <w:right w:val="single" w:sz="4" w:space="0" w:color="auto"/>
            </w:tcBorders>
            <w:shd w:val="clear" w:color="auto" w:fill="auto"/>
            <w:vAlign w:val="center"/>
            <w:hideMark/>
          </w:tcPr>
          <w:p w14:paraId="1F081CDB"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KII, DR, FGD</w:t>
            </w:r>
          </w:p>
        </w:tc>
        <w:tc>
          <w:tcPr>
            <w:tcW w:w="1904" w:type="dxa"/>
            <w:tcBorders>
              <w:top w:val="nil"/>
              <w:left w:val="nil"/>
              <w:bottom w:val="single" w:sz="4" w:space="0" w:color="auto"/>
              <w:right w:val="single" w:sz="4" w:space="0" w:color="auto"/>
            </w:tcBorders>
            <w:shd w:val="clear" w:color="auto" w:fill="auto"/>
            <w:vAlign w:val="center"/>
            <w:hideMark/>
          </w:tcPr>
          <w:p w14:paraId="1547C39F"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IG-DFAT, IG-Partners, FGDG</w:t>
            </w:r>
          </w:p>
        </w:tc>
      </w:tr>
      <w:tr w:rsidR="00D904BF" w:rsidRPr="00870A4C" w14:paraId="64BE18A1" w14:textId="77777777" w:rsidTr="00D904BF">
        <w:trPr>
          <w:trHeight w:val="72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0FBFC6D4" w14:textId="3A8D4551" w:rsidR="00D904BF" w:rsidRPr="00870A4C" w:rsidRDefault="00A46A05" w:rsidP="008B4AE8">
            <w:pPr>
              <w:spacing w:before="0" w:after="0" w:line="240" w:lineRule="auto"/>
              <w:jc w:val="both"/>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d</w:t>
            </w:r>
            <w:r w:rsidR="00D904BF" w:rsidRPr="00870A4C">
              <w:rPr>
                <w:rFonts w:ascii="Calibri" w:eastAsia="Times New Roman" w:hAnsi="Calibri" w:cs="Times New Roman"/>
                <w:color w:val="000000"/>
                <w:sz w:val="16"/>
                <w:szCs w:val="16"/>
                <w:lang w:val="en-US"/>
              </w:rPr>
              <w:t xml:space="preserve">) How effectively did Australia influence and inform partner programming with respect to meeting protection, gender and disability inclusion commitments? </w:t>
            </w:r>
          </w:p>
        </w:tc>
        <w:tc>
          <w:tcPr>
            <w:tcW w:w="1167" w:type="dxa"/>
            <w:tcBorders>
              <w:top w:val="nil"/>
              <w:left w:val="nil"/>
              <w:bottom w:val="single" w:sz="4" w:space="0" w:color="auto"/>
              <w:right w:val="single" w:sz="4" w:space="0" w:color="auto"/>
            </w:tcBorders>
            <w:shd w:val="clear" w:color="auto" w:fill="auto"/>
            <w:vAlign w:val="center"/>
            <w:hideMark/>
          </w:tcPr>
          <w:p w14:paraId="4B3B6B23"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DFAT, Partners</w:t>
            </w:r>
          </w:p>
        </w:tc>
        <w:tc>
          <w:tcPr>
            <w:tcW w:w="1405" w:type="dxa"/>
            <w:tcBorders>
              <w:top w:val="nil"/>
              <w:left w:val="nil"/>
              <w:bottom w:val="single" w:sz="4" w:space="0" w:color="auto"/>
              <w:right w:val="single" w:sz="4" w:space="0" w:color="auto"/>
            </w:tcBorders>
            <w:shd w:val="clear" w:color="auto" w:fill="auto"/>
            <w:vAlign w:val="center"/>
            <w:hideMark/>
          </w:tcPr>
          <w:p w14:paraId="4189F96D"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KII, DR</w:t>
            </w:r>
          </w:p>
        </w:tc>
        <w:tc>
          <w:tcPr>
            <w:tcW w:w="1904" w:type="dxa"/>
            <w:tcBorders>
              <w:top w:val="nil"/>
              <w:left w:val="nil"/>
              <w:bottom w:val="single" w:sz="4" w:space="0" w:color="auto"/>
              <w:right w:val="single" w:sz="4" w:space="0" w:color="auto"/>
            </w:tcBorders>
            <w:shd w:val="clear" w:color="auto" w:fill="auto"/>
            <w:vAlign w:val="center"/>
            <w:hideMark/>
          </w:tcPr>
          <w:p w14:paraId="6532B106"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AB, IG-DFAT, IG-Partners</w:t>
            </w:r>
          </w:p>
        </w:tc>
      </w:tr>
      <w:tr w:rsidR="00D904BF" w:rsidRPr="00870A4C" w14:paraId="272E3122" w14:textId="77777777" w:rsidTr="00D904BF">
        <w:trPr>
          <w:trHeight w:val="72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6BC3D671" w14:textId="685B9AF6" w:rsidR="00D904BF" w:rsidRPr="00870A4C" w:rsidRDefault="00A46A05" w:rsidP="008B4AE8">
            <w:pPr>
              <w:spacing w:before="0" w:after="0" w:line="240" w:lineRule="auto"/>
              <w:jc w:val="both"/>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e</w:t>
            </w:r>
            <w:r w:rsidR="00D904BF" w:rsidRPr="00870A4C">
              <w:rPr>
                <w:rFonts w:ascii="Calibri" w:eastAsia="Times New Roman" w:hAnsi="Calibri" w:cs="Times New Roman"/>
                <w:color w:val="000000"/>
                <w:sz w:val="16"/>
                <w:szCs w:val="16"/>
                <w:lang w:val="en-US"/>
              </w:rPr>
              <w:t>) To what extent did Australian-funded activities promote longer-term resilience of affected communities</w:t>
            </w:r>
            <w:r w:rsidR="008B4AE8">
              <w:rPr>
                <w:rFonts w:ascii="Calibri" w:eastAsia="Times New Roman" w:hAnsi="Calibri" w:cs="Times New Roman"/>
                <w:color w:val="000000"/>
                <w:sz w:val="16"/>
                <w:szCs w:val="16"/>
                <w:lang w:val="en-US"/>
              </w:rPr>
              <w:t xml:space="preserve"> and support broader recovery and </w:t>
            </w:r>
            <w:r w:rsidR="00410F0C">
              <w:rPr>
                <w:rFonts w:ascii="Calibri" w:eastAsia="Times New Roman" w:hAnsi="Calibri" w:cs="Times New Roman"/>
                <w:color w:val="000000"/>
                <w:sz w:val="16"/>
                <w:szCs w:val="16"/>
                <w:lang w:val="en-US"/>
              </w:rPr>
              <w:t>stabilisation efforts</w:t>
            </w:r>
            <w:r w:rsidR="00D904BF" w:rsidRPr="00870A4C">
              <w:rPr>
                <w:rFonts w:ascii="Calibri" w:eastAsia="Times New Roman" w:hAnsi="Calibri" w:cs="Times New Roman"/>
                <w:color w:val="000000"/>
                <w:sz w:val="16"/>
                <w:szCs w:val="16"/>
                <w:lang w:val="en-US"/>
              </w:rPr>
              <w:t xml:space="preserve">? </w:t>
            </w:r>
          </w:p>
        </w:tc>
        <w:tc>
          <w:tcPr>
            <w:tcW w:w="1167" w:type="dxa"/>
            <w:tcBorders>
              <w:top w:val="nil"/>
              <w:left w:val="nil"/>
              <w:bottom w:val="single" w:sz="4" w:space="0" w:color="auto"/>
              <w:right w:val="single" w:sz="4" w:space="0" w:color="auto"/>
            </w:tcBorders>
            <w:shd w:val="clear" w:color="auto" w:fill="auto"/>
            <w:vAlign w:val="center"/>
            <w:hideMark/>
          </w:tcPr>
          <w:p w14:paraId="530693DA"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DFAT, Partners, Affected communities</w:t>
            </w:r>
          </w:p>
        </w:tc>
        <w:tc>
          <w:tcPr>
            <w:tcW w:w="1405" w:type="dxa"/>
            <w:tcBorders>
              <w:top w:val="nil"/>
              <w:left w:val="nil"/>
              <w:bottom w:val="single" w:sz="4" w:space="0" w:color="auto"/>
              <w:right w:val="single" w:sz="4" w:space="0" w:color="auto"/>
            </w:tcBorders>
            <w:shd w:val="clear" w:color="auto" w:fill="auto"/>
            <w:vAlign w:val="center"/>
            <w:hideMark/>
          </w:tcPr>
          <w:p w14:paraId="3E62F421"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KII, DR, FGD</w:t>
            </w:r>
          </w:p>
        </w:tc>
        <w:tc>
          <w:tcPr>
            <w:tcW w:w="1904" w:type="dxa"/>
            <w:tcBorders>
              <w:top w:val="nil"/>
              <w:left w:val="nil"/>
              <w:bottom w:val="single" w:sz="4" w:space="0" w:color="auto"/>
              <w:right w:val="single" w:sz="4" w:space="0" w:color="auto"/>
            </w:tcBorders>
            <w:shd w:val="clear" w:color="auto" w:fill="auto"/>
            <w:vAlign w:val="center"/>
            <w:hideMark/>
          </w:tcPr>
          <w:p w14:paraId="753C58F9"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IG-DFAT, IG-Partners, FGDG</w:t>
            </w:r>
          </w:p>
        </w:tc>
      </w:tr>
      <w:tr w:rsidR="00D904BF" w:rsidRPr="00870A4C" w14:paraId="25A21C5C" w14:textId="77777777" w:rsidTr="00D904BF">
        <w:trPr>
          <w:trHeight w:val="72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321FB5C0" w14:textId="54B55EDF" w:rsidR="00D904BF" w:rsidRPr="00870A4C" w:rsidRDefault="00A46A05" w:rsidP="008B4AE8">
            <w:pPr>
              <w:spacing w:before="0" w:after="0" w:line="240" w:lineRule="auto"/>
              <w:jc w:val="both"/>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f</w:t>
            </w:r>
            <w:r w:rsidR="00D904BF" w:rsidRPr="00870A4C">
              <w:rPr>
                <w:rFonts w:ascii="Calibri" w:eastAsia="Times New Roman" w:hAnsi="Calibri" w:cs="Times New Roman"/>
                <w:color w:val="000000"/>
                <w:sz w:val="16"/>
                <w:szCs w:val="16"/>
                <w:lang w:val="en-US"/>
              </w:rPr>
              <w:t xml:space="preserve">) </w:t>
            </w:r>
            <w:r w:rsidRPr="00870A4C">
              <w:rPr>
                <w:rFonts w:ascii="Calibri" w:eastAsia="Times New Roman" w:hAnsi="Calibri" w:cs="Times New Roman"/>
                <w:color w:val="000000"/>
                <w:sz w:val="16"/>
                <w:szCs w:val="16"/>
                <w:lang w:val="en-US"/>
              </w:rPr>
              <w:t>What were the barriers and enablers to effective and efficien</w:t>
            </w:r>
            <w:r>
              <w:rPr>
                <w:rFonts w:ascii="Calibri" w:eastAsia="Times New Roman" w:hAnsi="Calibri" w:cs="Times New Roman"/>
                <w:color w:val="000000"/>
                <w:sz w:val="16"/>
                <w:szCs w:val="16"/>
                <w:lang w:val="en-US"/>
              </w:rPr>
              <w:t>t program design and management</w:t>
            </w:r>
            <w:r w:rsidR="00D904BF" w:rsidRPr="00870A4C">
              <w:rPr>
                <w:rFonts w:ascii="Calibri" w:eastAsia="Times New Roman" w:hAnsi="Calibri" w:cs="Times New Roman"/>
                <w:color w:val="000000"/>
                <w:sz w:val="16"/>
                <w:szCs w:val="16"/>
                <w:lang w:val="en-US"/>
              </w:rPr>
              <w:t xml:space="preserve">? </w:t>
            </w:r>
          </w:p>
        </w:tc>
        <w:tc>
          <w:tcPr>
            <w:tcW w:w="1167" w:type="dxa"/>
            <w:tcBorders>
              <w:top w:val="nil"/>
              <w:left w:val="nil"/>
              <w:bottom w:val="single" w:sz="4" w:space="0" w:color="auto"/>
              <w:right w:val="single" w:sz="4" w:space="0" w:color="auto"/>
            </w:tcBorders>
            <w:shd w:val="clear" w:color="auto" w:fill="auto"/>
            <w:vAlign w:val="center"/>
            <w:hideMark/>
          </w:tcPr>
          <w:p w14:paraId="058C5CC6"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DFAT, Partners</w:t>
            </w:r>
          </w:p>
        </w:tc>
        <w:tc>
          <w:tcPr>
            <w:tcW w:w="1405" w:type="dxa"/>
            <w:tcBorders>
              <w:top w:val="nil"/>
              <w:left w:val="nil"/>
              <w:bottom w:val="single" w:sz="4" w:space="0" w:color="auto"/>
              <w:right w:val="single" w:sz="4" w:space="0" w:color="auto"/>
            </w:tcBorders>
            <w:shd w:val="clear" w:color="auto" w:fill="auto"/>
            <w:vAlign w:val="center"/>
            <w:hideMark/>
          </w:tcPr>
          <w:p w14:paraId="74CFB91F"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KII, DR</w:t>
            </w:r>
          </w:p>
        </w:tc>
        <w:tc>
          <w:tcPr>
            <w:tcW w:w="1904" w:type="dxa"/>
            <w:tcBorders>
              <w:top w:val="nil"/>
              <w:left w:val="nil"/>
              <w:bottom w:val="single" w:sz="4" w:space="0" w:color="auto"/>
              <w:right w:val="single" w:sz="4" w:space="0" w:color="auto"/>
            </w:tcBorders>
            <w:shd w:val="clear" w:color="auto" w:fill="auto"/>
            <w:vAlign w:val="center"/>
            <w:hideMark/>
          </w:tcPr>
          <w:p w14:paraId="5FFDC602"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AB, IG-DFAT, IG-Partners</w:t>
            </w:r>
          </w:p>
        </w:tc>
      </w:tr>
      <w:tr w:rsidR="00D904BF" w:rsidRPr="00870A4C" w14:paraId="72E3D639" w14:textId="77777777" w:rsidTr="00D904BF">
        <w:trPr>
          <w:trHeight w:val="480"/>
        </w:trPr>
        <w:tc>
          <w:tcPr>
            <w:tcW w:w="4815" w:type="dxa"/>
            <w:tcBorders>
              <w:top w:val="nil"/>
              <w:left w:val="single" w:sz="4" w:space="0" w:color="auto"/>
              <w:bottom w:val="single" w:sz="4" w:space="0" w:color="auto"/>
              <w:right w:val="single" w:sz="4" w:space="0" w:color="auto"/>
            </w:tcBorders>
            <w:shd w:val="clear" w:color="000000" w:fill="D9D9D9"/>
            <w:vAlign w:val="center"/>
            <w:hideMark/>
          </w:tcPr>
          <w:p w14:paraId="451FEA78" w14:textId="77777777" w:rsidR="00D904BF" w:rsidRPr="00870A4C" w:rsidRDefault="00D904BF" w:rsidP="008B4AE8">
            <w:pPr>
              <w:spacing w:before="0" w:after="0" w:line="240" w:lineRule="auto"/>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3.</w:t>
            </w:r>
            <w:r w:rsidRPr="00870A4C">
              <w:rPr>
                <w:rFonts w:ascii="Times New Roman" w:eastAsia="Times New Roman" w:hAnsi="Times New Roman" w:cs="Times New Roman"/>
                <w:color w:val="000000"/>
                <w:sz w:val="16"/>
                <w:szCs w:val="16"/>
                <w:lang w:val="en-US"/>
              </w:rPr>
              <w:t xml:space="preserve">       </w:t>
            </w:r>
            <w:r w:rsidRPr="00870A4C">
              <w:rPr>
                <w:rFonts w:ascii="Calibri" w:eastAsia="Times New Roman" w:hAnsi="Calibri" w:cs="Times New Roman"/>
                <w:color w:val="000000"/>
                <w:sz w:val="16"/>
                <w:szCs w:val="16"/>
                <w:u w:val="single"/>
                <w:lang w:val="en-US"/>
              </w:rPr>
              <w:t>Did Australia's humanitarian assistance reinforce national and local leadership</w:t>
            </w:r>
            <w:r w:rsidRPr="00870A4C">
              <w:rPr>
                <w:rFonts w:ascii="Calibri" w:eastAsia="Times New Roman" w:hAnsi="Calibri" w:cs="Times New Roman"/>
                <w:color w:val="000000"/>
                <w:sz w:val="16"/>
                <w:szCs w:val="16"/>
                <w:lang w:val="en-US"/>
              </w:rPr>
              <w:t>?</w:t>
            </w:r>
          </w:p>
        </w:tc>
        <w:tc>
          <w:tcPr>
            <w:tcW w:w="1167" w:type="dxa"/>
            <w:tcBorders>
              <w:top w:val="nil"/>
              <w:left w:val="nil"/>
              <w:bottom w:val="single" w:sz="4" w:space="0" w:color="auto"/>
              <w:right w:val="single" w:sz="4" w:space="0" w:color="auto"/>
            </w:tcBorders>
            <w:shd w:val="clear" w:color="000000" w:fill="D9D9D9"/>
            <w:vAlign w:val="center"/>
            <w:hideMark/>
          </w:tcPr>
          <w:p w14:paraId="7472DC60"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 </w:t>
            </w:r>
          </w:p>
        </w:tc>
        <w:tc>
          <w:tcPr>
            <w:tcW w:w="1405" w:type="dxa"/>
            <w:tcBorders>
              <w:top w:val="nil"/>
              <w:left w:val="nil"/>
              <w:bottom w:val="single" w:sz="4" w:space="0" w:color="auto"/>
              <w:right w:val="single" w:sz="4" w:space="0" w:color="auto"/>
            </w:tcBorders>
            <w:shd w:val="clear" w:color="000000" w:fill="D9D9D9"/>
            <w:vAlign w:val="center"/>
            <w:hideMark/>
          </w:tcPr>
          <w:p w14:paraId="757D4675"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 </w:t>
            </w:r>
          </w:p>
        </w:tc>
        <w:tc>
          <w:tcPr>
            <w:tcW w:w="1904" w:type="dxa"/>
            <w:tcBorders>
              <w:top w:val="nil"/>
              <w:left w:val="nil"/>
              <w:bottom w:val="single" w:sz="4" w:space="0" w:color="auto"/>
              <w:right w:val="single" w:sz="4" w:space="0" w:color="auto"/>
            </w:tcBorders>
            <w:shd w:val="clear" w:color="000000" w:fill="D9D9D9"/>
            <w:vAlign w:val="center"/>
            <w:hideMark/>
          </w:tcPr>
          <w:p w14:paraId="6204F2CF"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 </w:t>
            </w:r>
          </w:p>
        </w:tc>
      </w:tr>
      <w:tr w:rsidR="00D904BF" w:rsidRPr="00870A4C" w14:paraId="7D930B46" w14:textId="77777777" w:rsidTr="00D904BF">
        <w:trPr>
          <w:trHeight w:val="48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299E3F8C" w14:textId="72861C19" w:rsidR="00D904BF" w:rsidRPr="00870A4C" w:rsidRDefault="00D904BF" w:rsidP="008B4AE8">
            <w:pPr>
              <w:spacing w:before="0" w:after="0" w:line="240" w:lineRule="auto"/>
              <w:jc w:val="both"/>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a)</w:t>
            </w:r>
            <w:r w:rsidR="00E425BB">
              <w:rPr>
                <w:rFonts w:ascii="Times New Roman" w:eastAsia="Times New Roman" w:hAnsi="Times New Roman" w:cs="Times New Roman"/>
                <w:color w:val="000000"/>
                <w:sz w:val="16"/>
                <w:szCs w:val="16"/>
                <w:lang w:val="en-US"/>
              </w:rPr>
              <w:t> </w:t>
            </w:r>
            <w:r w:rsidRPr="00870A4C">
              <w:rPr>
                <w:rFonts w:ascii="Calibri" w:eastAsia="Times New Roman" w:hAnsi="Calibri" w:cs="Times New Roman"/>
                <w:color w:val="000000"/>
                <w:sz w:val="16"/>
                <w:szCs w:val="16"/>
                <w:lang w:val="en-US"/>
              </w:rPr>
              <w:t>To what extent did Australia's humanitarian assistance align with the needs and/or requests of the Myanmar government?</w:t>
            </w:r>
          </w:p>
        </w:tc>
        <w:tc>
          <w:tcPr>
            <w:tcW w:w="1167" w:type="dxa"/>
            <w:tcBorders>
              <w:top w:val="nil"/>
              <w:left w:val="nil"/>
              <w:bottom w:val="single" w:sz="4" w:space="0" w:color="auto"/>
              <w:right w:val="single" w:sz="4" w:space="0" w:color="auto"/>
            </w:tcBorders>
            <w:shd w:val="clear" w:color="auto" w:fill="auto"/>
            <w:vAlign w:val="center"/>
            <w:hideMark/>
          </w:tcPr>
          <w:p w14:paraId="36F894A2"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DFAT, Partners</w:t>
            </w:r>
          </w:p>
        </w:tc>
        <w:tc>
          <w:tcPr>
            <w:tcW w:w="1405" w:type="dxa"/>
            <w:tcBorders>
              <w:top w:val="nil"/>
              <w:left w:val="nil"/>
              <w:bottom w:val="single" w:sz="4" w:space="0" w:color="auto"/>
              <w:right w:val="single" w:sz="4" w:space="0" w:color="auto"/>
            </w:tcBorders>
            <w:shd w:val="clear" w:color="auto" w:fill="auto"/>
            <w:vAlign w:val="center"/>
            <w:hideMark/>
          </w:tcPr>
          <w:p w14:paraId="796ADC38"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KII, DR</w:t>
            </w:r>
          </w:p>
        </w:tc>
        <w:tc>
          <w:tcPr>
            <w:tcW w:w="1904" w:type="dxa"/>
            <w:tcBorders>
              <w:top w:val="nil"/>
              <w:left w:val="nil"/>
              <w:bottom w:val="single" w:sz="4" w:space="0" w:color="auto"/>
              <w:right w:val="single" w:sz="4" w:space="0" w:color="auto"/>
            </w:tcBorders>
            <w:shd w:val="clear" w:color="auto" w:fill="auto"/>
            <w:vAlign w:val="center"/>
            <w:hideMark/>
          </w:tcPr>
          <w:p w14:paraId="138F5A97"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AB, IG-DFAT, IG-Partners</w:t>
            </w:r>
          </w:p>
        </w:tc>
      </w:tr>
      <w:tr w:rsidR="00D904BF" w:rsidRPr="00870A4C" w14:paraId="24427D86" w14:textId="77777777" w:rsidTr="00D904BF">
        <w:trPr>
          <w:trHeight w:val="120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0D247405" w14:textId="60C554D2" w:rsidR="00D904BF" w:rsidRPr="00870A4C" w:rsidRDefault="00D904BF" w:rsidP="008B4AE8">
            <w:pPr>
              <w:spacing w:before="0" w:after="0" w:line="240" w:lineRule="auto"/>
              <w:jc w:val="both"/>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b)</w:t>
            </w:r>
            <w:r w:rsidR="00E425BB">
              <w:rPr>
                <w:rFonts w:ascii="Times New Roman" w:eastAsia="Times New Roman" w:hAnsi="Times New Roman" w:cs="Times New Roman"/>
                <w:color w:val="000000"/>
                <w:sz w:val="16"/>
                <w:szCs w:val="16"/>
                <w:lang w:val="en-US"/>
              </w:rPr>
              <w:t xml:space="preserve"> </w:t>
            </w:r>
            <w:r w:rsidRPr="00870A4C">
              <w:rPr>
                <w:rFonts w:ascii="Calibri" w:eastAsia="Times New Roman" w:hAnsi="Calibri" w:cs="Times New Roman"/>
                <w:color w:val="000000"/>
                <w:sz w:val="16"/>
                <w:szCs w:val="16"/>
                <w:lang w:val="en-US"/>
              </w:rPr>
              <w:t>To what extent did Australia’s support strengthen local partners, including civil society (e.g. local women’s organisation, disabled people’s organisations etc.)? Is there scope to increase support to local leadership, including by women, and support to local partners? What preparatory work might be needed to do this?</w:t>
            </w:r>
          </w:p>
        </w:tc>
        <w:tc>
          <w:tcPr>
            <w:tcW w:w="1167" w:type="dxa"/>
            <w:tcBorders>
              <w:top w:val="nil"/>
              <w:left w:val="nil"/>
              <w:bottom w:val="single" w:sz="4" w:space="0" w:color="auto"/>
              <w:right w:val="single" w:sz="4" w:space="0" w:color="auto"/>
            </w:tcBorders>
            <w:shd w:val="clear" w:color="auto" w:fill="auto"/>
            <w:vAlign w:val="center"/>
            <w:hideMark/>
          </w:tcPr>
          <w:p w14:paraId="4A839365"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DFAT, Partners</w:t>
            </w:r>
          </w:p>
        </w:tc>
        <w:tc>
          <w:tcPr>
            <w:tcW w:w="1405" w:type="dxa"/>
            <w:tcBorders>
              <w:top w:val="nil"/>
              <w:left w:val="nil"/>
              <w:bottom w:val="single" w:sz="4" w:space="0" w:color="auto"/>
              <w:right w:val="single" w:sz="4" w:space="0" w:color="auto"/>
            </w:tcBorders>
            <w:shd w:val="clear" w:color="auto" w:fill="auto"/>
            <w:vAlign w:val="center"/>
            <w:hideMark/>
          </w:tcPr>
          <w:p w14:paraId="34BA70A5"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KII, DR</w:t>
            </w:r>
          </w:p>
        </w:tc>
        <w:tc>
          <w:tcPr>
            <w:tcW w:w="1904" w:type="dxa"/>
            <w:tcBorders>
              <w:top w:val="nil"/>
              <w:left w:val="nil"/>
              <w:bottom w:val="single" w:sz="4" w:space="0" w:color="auto"/>
              <w:right w:val="single" w:sz="4" w:space="0" w:color="auto"/>
            </w:tcBorders>
            <w:shd w:val="clear" w:color="auto" w:fill="auto"/>
            <w:vAlign w:val="center"/>
            <w:hideMark/>
          </w:tcPr>
          <w:p w14:paraId="6F803372"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AB, IG-DFAT, IG-Partners</w:t>
            </w:r>
          </w:p>
        </w:tc>
      </w:tr>
      <w:tr w:rsidR="00D904BF" w:rsidRPr="00870A4C" w14:paraId="0DA8851C" w14:textId="77777777" w:rsidTr="00D904BF">
        <w:trPr>
          <w:trHeight w:val="96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25D640BE" w14:textId="24AFBCE1" w:rsidR="00D904BF" w:rsidRPr="00870A4C" w:rsidRDefault="00D904BF" w:rsidP="008B4AE8">
            <w:pPr>
              <w:spacing w:before="0" w:after="0" w:line="240" w:lineRule="auto"/>
              <w:jc w:val="both"/>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c)</w:t>
            </w:r>
            <w:r w:rsidRPr="00870A4C">
              <w:rPr>
                <w:rFonts w:ascii="Times New Roman" w:eastAsia="Times New Roman" w:hAnsi="Times New Roman" w:cs="Times New Roman"/>
                <w:color w:val="000000"/>
                <w:sz w:val="16"/>
                <w:szCs w:val="16"/>
                <w:lang w:val="en-US"/>
              </w:rPr>
              <w:t> </w:t>
            </w:r>
            <w:r w:rsidRPr="00870A4C">
              <w:rPr>
                <w:rFonts w:ascii="Calibri" w:eastAsia="Times New Roman" w:hAnsi="Calibri" w:cs="Times New Roman"/>
                <w:color w:val="000000"/>
                <w:sz w:val="16"/>
                <w:szCs w:val="16"/>
                <w:lang w:val="en-US"/>
              </w:rPr>
              <w:t>To what extent were implementing partners sufficiently accountable to, and engaged with, affected communities? Is there evidence of programs having been influenced by effective communication, participation and feedback?</w:t>
            </w:r>
          </w:p>
        </w:tc>
        <w:tc>
          <w:tcPr>
            <w:tcW w:w="1167" w:type="dxa"/>
            <w:tcBorders>
              <w:top w:val="nil"/>
              <w:left w:val="nil"/>
              <w:bottom w:val="single" w:sz="4" w:space="0" w:color="auto"/>
              <w:right w:val="single" w:sz="4" w:space="0" w:color="auto"/>
            </w:tcBorders>
            <w:shd w:val="clear" w:color="auto" w:fill="auto"/>
            <w:vAlign w:val="center"/>
            <w:hideMark/>
          </w:tcPr>
          <w:p w14:paraId="277E824E"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Partners, Affected communities</w:t>
            </w:r>
          </w:p>
        </w:tc>
        <w:tc>
          <w:tcPr>
            <w:tcW w:w="1405" w:type="dxa"/>
            <w:tcBorders>
              <w:top w:val="nil"/>
              <w:left w:val="nil"/>
              <w:bottom w:val="single" w:sz="4" w:space="0" w:color="auto"/>
              <w:right w:val="single" w:sz="4" w:space="0" w:color="auto"/>
            </w:tcBorders>
            <w:shd w:val="clear" w:color="auto" w:fill="auto"/>
            <w:vAlign w:val="center"/>
            <w:hideMark/>
          </w:tcPr>
          <w:p w14:paraId="3B59B68A"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KII, DR, FGD</w:t>
            </w:r>
          </w:p>
        </w:tc>
        <w:tc>
          <w:tcPr>
            <w:tcW w:w="1904" w:type="dxa"/>
            <w:tcBorders>
              <w:top w:val="nil"/>
              <w:left w:val="nil"/>
              <w:bottom w:val="single" w:sz="4" w:space="0" w:color="auto"/>
              <w:right w:val="single" w:sz="4" w:space="0" w:color="auto"/>
            </w:tcBorders>
            <w:shd w:val="clear" w:color="auto" w:fill="auto"/>
            <w:vAlign w:val="center"/>
            <w:hideMark/>
          </w:tcPr>
          <w:p w14:paraId="7BBC9B8E"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AB, IG-Partners, FGDG</w:t>
            </w:r>
          </w:p>
        </w:tc>
      </w:tr>
      <w:tr w:rsidR="00D904BF" w:rsidRPr="00870A4C" w14:paraId="60D30F76" w14:textId="77777777" w:rsidTr="00D904BF">
        <w:trPr>
          <w:trHeight w:val="240"/>
        </w:trPr>
        <w:tc>
          <w:tcPr>
            <w:tcW w:w="4815" w:type="dxa"/>
            <w:tcBorders>
              <w:top w:val="nil"/>
              <w:left w:val="single" w:sz="4" w:space="0" w:color="auto"/>
              <w:bottom w:val="single" w:sz="4" w:space="0" w:color="auto"/>
              <w:right w:val="single" w:sz="4" w:space="0" w:color="auto"/>
            </w:tcBorders>
            <w:shd w:val="clear" w:color="000000" w:fill="D9D9D9"/>
            <w:vAlign w:val="center"/>
            <w:hideMark/>
          </w:tcPr>
          <w:p w14:paraId="150733A7" w14:textId="77777777" w:rsidR="00D904BF" w:rsidRPr="00870A4C" w:rsidRDefault="00D904BF" w:rsidP="008B4AE8">
            <w:pPr>
              <w:spacing w:before="0" w:after="0" w:line="240" w:lineRule="auto"/>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 xml:space="preserve">4.      Additional questions (Advocacy and Influence) </w:t>
            </w:r>
          </w:p>
        </w:tc>
        <w:tc>
          <w:tcPr>
            <w:tcW w:w="1167" w:type="dxa"/>
            <w:tcBorders>
              <w:top w:val="nil"/>
              <w:left w:val="nil"/>
              <w:bottom w:val="single" w:sz="4" w:space="0" w:color="auto"/>
              <w:right w:val="single" w:sz="4" w:space="0" w:color="auto"/>
            </w:tcBorders>
            <w:shd w:val="clear" w:color="000000" w:fill="D9D9D9"/>
            <w:vAlign w:val="center"/>
            <w:hideMark/>
          </w:tcPr>
          <w:p w14:paraId="50555526"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 </w:t>
            </w:r>
          </w:p>
        </w:tc>
        <w:tc>
          <w:tcPr>
            <w:tcW w:w="1405" w:type="dxa"/>
            <w:tcBorders>
              <w:top w:val="nil"/>
              <w:left w:val="nil"/>
              <w:bottom w:val="single" w:sz="4" w:space="0" w:color="auto"/>
              <w:right w:val="single" w:sz="4" w:space="0" w:color="auto"/>
            </w:tcBorders>
            <w:shd w:val="clear" w:color="000000" w:fill="D9D9D9"/>
            <w:vAlign w:val="center"/>
            <w:hideMark/>
          </w:tcPr>
          <w:p w14:paraId="74B07795"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 </w:t>
            </w:r>
          </w:p>
        </w:tc>
        <w:tc>
          <w:tcPr>
            <w:tcW w:w="1904" w:type="dxa"/>
            <w:tcBorders>
              <w:top w:val="nil"/>
              <w:left w:val="nil"/>
              <w:bottom w:val="single" w:sz="4" w:space="0" w:color="auto"/>
              <w:right w:val="single" w:sz="4" w:space="0" w:color="auto"/>
            </w:tcBorders>
            <w:shd w:val="clear" w:color="000000" w:fill="D9D9D9"/>
            <w:vAlign w:val="center"/>
            <w:hideMark/>
          </w:tcPr>
          <w:p w14:paraId="30E874BC"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 </w:t>
            </w:r>
          </w:p>
        </w:tc>
      </w:tr>
      <w:tr w:rsidR="00D904BF" w:rsidRPr="00870A4C" w14:paraId="6C60A0C9" w14:textId="77777777" w:rsidTr="00D904BF">
        <w:trPr>
          <w:trHeight w:val="72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1C05006E" w14:textId="77B1FC9B" w:rsidR="00D904BF" w:rsidRPr="00870A4C" w:rsidRDefault="00D904BF" w:rsidP="00E425BB">
            <w:pPr>
              <w:suppressAutoHyphens w:val="0"/>
              <w:spacing w:after="120" w:line="240" w:lineRule="auto"/>
              <w:rPr>
                <w:rFonts w:ascii="Calibri" w:eastAsia="Times New Roman" w:hAnsi="Calibri" w:cs="Times New Roman"/>
                <w:color w:val="000000"/>
                <w:sz w:val="16"/>
                <w:szCs w:val="16"/>
                <w:lang w:val="en-US"/>
              </w:rPr>
            </w:pPr>
            <w:r w:rsidRPr="00E425BB">
              <w:rPr>
                <w:rFonts w:ascii="Calibri" w:eastAsia="Times New Roman" w:hAnsi="Calibri" w:cs="Times New Roman"/>
                <w:color w:val="000000"/>
                <w:sz w:val="16"/>
                <w:szCs w:val="16"/>
                <w:lang w:val="en-US"/>
              </w:rPr>
              <w:t>a)</w:t>
            </w:r>
            <w:r w:rsidR="00E425BB">
              <w:rPr>
                <w:rFonts w:ascii="Times New Roman" w:eastAsia="Times New Roman" w:hAnsi="Times New Roman" w:cs="Times New Roman"/>
                <w:color w:val="000000"/>
                <w:sz w:val="16"/>
                <w:szCs w:val="16"/>
                <w:lang w:val="en-US"/>
              </w:rPr>
              <w:t> </w:t>
            </w:r>
            <w:r w:rsidR="00E425BB" w:rsidRPr="00E425BB">
              <w:rPr>
                <w:rFonts w:ascii="Calibri" w:eastAsia="Times New Roman" w:hAnsi="Calibri" w:cs="Times New Roman"/>
                <w:color w:val="000000"/>
                <w:sz w:val="16"/>
                <w:szCs w:val="16"/>
                <w:lang w:val="en-US"/>
              </w:rPr>
              <w:t>To what extent did Australia identify and use opportunities to influence high-level humanitarian engagement and global humanitarian reform efforts by leveraging lessons and partner experience in Myanmar?  And vice versa, to what extent did Australia identify and use opportunities to influence the humanitarian response system in Myanmar based on high-level humanitarian engagement?</w:t>
            </w:r>
          </w:p>
        </w:tc>
        <w:tc>
          <w:tcPr>
            <w:tcW w:w="1167" w:type="dxa"/>
            <w:tcBorders>
              <w:top w:val="nil"/>
              <w:left w:val="nil"/>
              <w:bottom w:val="single" w:sz="4" w:space="0" w:color="auto"/>
              <w:right w:val="single" w:sz="4" w:space="0" w:color="auto"/>
            </w:tcBorders>
            <w:shd w:val="clear" w:color="auto" w:fill="auto"/>
            <w:vAlign w:val="center"/>
            <w:hideMark/>
          </w:tcPr>
          <w:p w14:paraId="06EE3848"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DFAT, Partners</w:t>
            </w:r>
          </w:p>
        </w:tc>
        <w:tc>
          <w:tcPr>
            <w:tcW w:w="1405" w:type="dxa"/>
            <w:tcBorders>
              <w:top w:val="nil"/>
              <w:left w:val="nil"/>
              <w:bottom w:val="single" w:sz="4" w:space="0" w:color="auto"/>
              <w:right w:val="single" w:sz="4" w:space="0" w:color="auto"/>
            </w:tcBorders>
            <w:shd w:val="clear" w:color="auto" w:fill="auto"/>
            <w:vAlign w:val="center"/>
            <w:hideMark/>
          </w:tcPr>
          <w:p w14:paraId="7BF1DE18"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KII, DR</w:t>
            </w:r>
          </w:p>
        </w:tc>
        <w:tc>
          <w:tcPr>
            <w:tcW w:w="1904" w:type="dxa"/>
            <w:tcBorders>
              <w:top w:val="nil"/>
              <w:left w:val="nil"/>
              <w:bottom w:val="single" w:sz="4" w:space="0" w:color="auto"/>
              <w:right w:val="single" w:sz="4" w:space="0" w:color="auto"/>
            </w:tcBorders>
            <w:shd w:val="clear" w:color="auto" w:fill="auto"/>
            <w:vAlign w:val="center"/>
            <w:hideMark/>
          </w:tcPr>
          <w:p w14:paraId="08E24AEA"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AB, IG-DFAT, IG-Partners</w:t>
            </w:r>
          </w:p>
        </w:tc>
      </w:tr>
      <w:tr w:rsidR="00D904BF" w:rsidRPr="00870A4C" w14:paraId="196D86B3" w14:textId="77777777" w:rsidTr="00D904BF">
        <w:trPr>
          <w:trHeight w:val="96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1A0CAD5B" w14:textId="08C93E3F" w:rsidR="00D904BF" w:rsidRPr="00870A4C" w:rsidRDefault="00E425BB" w:rsidP="008B4AE8">
            <w:pPr>
              <w:spacing w:before="0" w:after="0" w:line="240" w:lineRule="auto"/>
              <w:jc w:val="both"/>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b</w:t>
            </w:r>
            <w:r w:rsidR="00D904BF" w:rsidRPr="00870A4C">
              <w:rPr>
                <w:rFonts w:ascii="Calibri" w:eastAsia="Times New Roman" w:hAnsi="Calibri" w:cs="Times New Roman"/>
                <w:color w:val="000000"/>
                <w:sz w:val="16"/>
                <w:szCs w:val="16"/>
                <w:lang w:val="en-US"/>
              </w:rPr>
              <w:t>) Given the role of Myanmar’s Government and military as an active participant in civil conflict and alleged human rights abuses how did Australia engage with national leadership to influence change and promote stabilisation? Are there ways it could be improved?</w:t>
            </w:r>
          </w:p>
        </w:tc>
        <w:tc>
          <w:tcPr>
            <w:tcW w:w="1167" w:type="dxa"/>
            <w:tcBorders>
              <w:top w:val="nil"/>
              <w:left w:val="nil"/>
              <w:bottom w:val="single" w:sz="4" w:space="0" w:color="auto"/>
              <w:right w:val="single" w:sz="4" w:space="0" w:color="auto"/>
            </w:tcBorders>
            <w:shd w:val="clear" w:color="auto" w:fill="auto"/>
            <w:vAlign w:val="center"/>
            <w:hideMark/>
          </w:tcPr>
          <w:p w14:paraId="7363493B"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DFAT, Partners</w:t>
            </w:r>
          </w:p>
        </w:tc>
        <w:tc>
          <w:tcPr>
            <w:tcW w:w="1405" w:type="dxa"/>
            <w:tcBorders>
              <w:top w:val="nil"/>
              <w:left w:val="nil"/>
              <w:bottom w:val="single" w:sz="4" w:space="0" w:color="auto"/>
              <w:right w:val="single" w:sz="4" w:space="0" w:color="auto"/>
            </w:tcBorders>
            <w:shd w:val="clear" w:color="auto" w:fill="auto"/>
            <w:vAlign w:val="center"/>
            <w:hideMark/>
          </w:tcPr>
          <w:p w14:paraId="42FD6015"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KII, DR</w:t>
            </w:r>
          </w:p>
        </w:tc>
        <w:tc>
          <w:tcPr>
            <w:tcW w:w="1904" w:type="dxa"/>
            <w:tcBorders>
              <w:top w:val="nil"/>
              <w:left w:val="nil"/>
              <w:bottom w:val="single" w:sz="4" w:space="0" w:color="auto"/>
              <w:right w:val="single" w:sz="4" w:space="0" w:color="auto"/>
            </w:tcBorders>
            <w:shd w:val="clear" w:color="auto" w:fill="auto"/>
            <w:vAlign w:val="center"/>
            <w:hideMark/>
          </w:tcPr>
          <w:p w14:paraId="0D5BE504"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AB, IG-DFAT, IG-Partners</w:t>
            </w:r>
          </w:p>
        </w:tc>
      </w:tr>
      <w:tr w:rsidR="00D904BF" w:rsidRPr="00870A4C" w14:paraId="6CB4E664" w14:textId="77777777" w:rsidTr="00D904BF">
        <w:trPr>
          <w:trHeight w:val="48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19D53601" w14:textId="795BFFE4" w:rsidR="00D904BF" w:rsidRPr="00870A4C" w:rsidRDefault="00E425BB" w:rsidP="008B4AE8">
            <w:pPr>
              <w:spacing w:before="0" w:after="0" w:line="240" w:lineRule="auto"/>
              <w:jc w:val="both"/>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c</w:t>
            </w:r>
            <w:r w:rsidR="00D904BF" w:rsidRPr="00870A4C">
              <w:rPr>
                <w:rFonts w:ascii="Calibri" w:eastAsia="Times New Roman" w:hAnsi="Calibri" w:cs="Times New Roman"/>
                <w:color w:val="000000"/>
                <w:sz w:val="16"/>
                <w:szCs w:val="16"/>
                <w:lang w:val="en-US"/>
              </w:rPr>
              <w:t>) What is the comparative advantage of Australia's humanitarian assistance in Myanmar?</w:t>
            </w:r>
          </w:p>
        </w:tc>
        <w:tc>
          <w:tcPr>
            <w:tcW w:w="1167" w:type="dxa"/>
            <w:tcBorders>
              <w:top w:val="nil"/>
              <w:left w:val="nil"/>
              <w:bottom w:val="single" w:sz="4" w:space="0" w:color="auto"/>
              <w:right w:val="single" w:sz="4" w:space="0" w:color="auto"/>
            </w:tcBorders>
            <w:shd w:val="clear" w:color="auto" w:fill="auto"/>
            <w:vAlign w:val="center"/>
            <w:hideMark/>
          </w:tcPr>
          <w:p w14:paraId="238587F3"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DFAT, Partners</w:t>
            </w:r>
          </w:p>
        </w:tc>
        <w:tc>
          <w:tcPr>
            <w:tcW w:w="1405" w:type="dxa"/>
            <w:tcBorders>
              <w:top w:val="nil"/>
              <w:left w:val="nil"/>
              <w:bottom w:val="single" w:sz="4" w:space="0" w:color="auto"/>
              <w:right w:val="single" w:sz="4" w:space="0" w:color="auto"/>
            </w:tcBorders>
            <w:shd w:val="clear" w:color="auto" w:fill="auto"/>
            <w:vAlign w:val="center"/>
            <w:hideMark/>
          </w:tcPr>
          <w:p w14:paraId="54BD48F9"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KII, DR</w:t>
            </w:r>
          </w:p>
        </w:tc>
        <w:tc>
          <w:tcPr>
            <w:tcW w:w="1904" w:type="dxa"/>
            <w:tcBorders>
              <w:top w:val="nil"/>
              <w:left w:val="nil"/>
              <w:bottom w:val="single" w:sz="4" w:space="0" w:color="auto"/>
              <w:right w:val="single" w:sz="4" w:space="0" w:color="auto"/>
            </w:tcBorders>
            <w:shd w:val="clear" w:color="auto" w:fill="auto"/>
            <w:vAlign w:val="center"/>
            <w:hideMark/>
          </w:tcPr>
          <w:p w14:paraId="7CA54E2C"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AB, IG-DFAT, IG-Partners</w:t>
            </w:r>
          </w:p>
        </w:tc>
      </w:tr>
      <w:tr w:rsidR="00D904BF" w:rsidRPr="00870A4C" w14:paraId="571A4554" w14:textId="77777777" w:rsidTr="00D904BF">
        <w:trPr>
          <w:trHeight w:val="48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1BE06517" w14:textId="6DE35F2D" w:rsidR="00D904BF" w:rsidRPr="00870A4C" w:rsidRDefault="00E425BB" w:rsidP="008B4AE8">
            <w:pPr>
              <w:spacing w:before="0" w:after="0" w:line="240" w:lineRule="auto"/>
              <w:jc w:val="both"/>
              <w:rPr>
                <w:rFonts w:ascii="Calibri" w:eastAsia="Times New Roman" w:hAnsi="Calibri" w:cs="Times New Roman"/>
                <w:sz w:val="16"/>
                <w:szCs w:val="16"/>
                <w:lang w:val="en-US"/>
              </w:rPr>
            </w:pPr>
            <w:r w:rsidRPr="00E425BB">
              <w:rPr>
                <w:rFonts w:ascii="Calibri" w:eastAsia="Times New Roman" w:hAnsi="Calibri" w:cs="Times New Roman"/>
                <w:color w:val="000000"/>
                <w:sz w:val="16"/>
                <w:szCs w:val="16"/>
                <w:lang w:val="en-US"/>
              </w:rPr>
              <w:t>d</w:t>
            </w:r>
            <w:r w:rsidR="00D904BF" w:rsidRPr="00E425BB">
              <w:rPr>
                <w:rFonts w:ascii="Calibri" w:eastAsia="Times New Roman" w:hAnsi="Calibri" w:cs="Times New Roman"/>
                <w:color w:val="000000"/>
                <w:sz w:val="16"/>
                <w:szCs w:val="16"/>
                <w:lang w:val="en-US"/>
              </w:rPr>
              <w:t>) What steps were taken to ensure visibility and branding of Australian government assistance and what more could have been done?</w:t>
            </w:r>
            <w:r w:rsidR="00D904BF" w:rsidRPr="00870A4C">
              <w:rPr>
                <w:rFonts w:ascii="Calibri" w:eastAsia="Times New Roman" w:hAnsi="Calibri" w:cs="Times New Roman"/>
                <w:sz w:val="16"/>
                <w:szCs w:val="16"/>
                <w:lang w:val="en-US"/>
              </w:rPr>
              <w:t xml:space="preserve"> </w:t>
            </w:r>
          </w:p>
        </w:tc>
        <w:tc>
          <w:tcPr>
            <w:tcW w:w="1167" w:type="dxa"/>
            <w:tcBorders>
              <w:top w:val="nil"/>
              <w:left w:val="nil"/>
              <w:bottom w:val="single" w:sz="4" w:space="0" w:color="auto"/>
              <w:right w:val="single" w:sz="4" w:space="0" w:color="auto"/>
            </w:tcBorders>
            <w:shd w:val="clear" w:color="auto" w:fill="auto"/>
            <w:vAlign w:val="center"/>
            <w:hideMark/>
          </w:tcPr>
          <w:p w14:paraId="0A92F58F"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DFAT, Partners</w:t>
            </w:r>
          </w:p>
        </w:tc>
        <w:tc>
          <w:tcPr>
            <w:tcW w:w="1405" w:type="dxa"/>
            <w:tcBorders>
              <w:top w:val="nil"/>
              <w:left w:val="nil"/>
              <w:bottom w:val="single" w:sz="4" w:space="0" w:color="auto"/>
              <w:right w:val="single" w:sz="4" w:space="0" w:color="auto"/>
            </w:tcBorders>
            <w:shd w:val="clear" w:color="auto" w:fill="auto"/>
            <w:vAlign w:val="center"/>
            <w:hideMark/>
          </w:tcPr>
          <w:p w14:paraId="42E31D08"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DR, KII</w:t>
            </w:r>
          </w:p>
        </w:tc>
        <w:tc>
          <w:tcPr>
            <w:tcW w:w="1904" w:type="dxa"/>
            <w:tcBorders>
              <w:top w:val="nil"/>
              <w:left w:val="nil"/>
              <w:bottom w:val="single" w:sz="4" w:space="0" w:color="auto"/>
              <w:right w:val="single" w:sz="4" w:space="0" w:color="auto"/>
            </w:tcBorders>
            <w:shd w:val="clear" w:color="auto" w:fill="auto"/>
            <w:vAlign w:val="center"/>
            <w:hideMark/>
          </w:tcPr>
          <w:p w14:paraId="1DDD8A95" w14:textId="77777777" w:rsidR="00D904BF" w:rsidRPr="00870A4C" w:rsidRDefault="00D904BF" w:rsidP="008B4AE8">
            <w:pPr>
              <w:spacing w:before="0" w:after="0" w:line="240" w:lineRule="auto"/>
              <w:jc w:val="center"/>
              <w:rPr>
                <w:rFonts w:ascii="Calibri" w:eastAsia="Times New Roman" w:hAnsi="Calibri" w:cs="Times New Roman"/>
                <w:color w:val="000000"/>
                <w:sz w:val="16"/>
                <w:szCs w:val="16"/>
                <w:lang w:val="en-US"/>
              </w:rPr>
            </w:pPr>
            <w:r w:rsidRPr="00870A4C">
              <w:rPr>
                <w:rFonts w:ascii="Calibri" w:eastAsia="Times New Roman" w:hAnsi="Calibri" w:cs="Times New Roman"/>
                <w:color w:val="000000"/>
                <w:sz w:val="16"/>
                <w:szCs w:val="16"/>
                <w:lang w:val="en-US"/>
              </w:rPr>
              <w:t>AB, IG-DFAT, IG-Partners</w:t>
            </w:r>
          </w:p>
        </w:tc>
      </w:tr>
    </w:tbl>
    <w:p w14:paraId="1BB3321D" w14:textId="77777777" w:rsidR="00863AFD" w:rsidRDefault="00C16478" w:rsidP="00EA2B7A">
      <w:pPr>
        <w:pStyle w:val="Heading2Numbered"/>
        <w:numPr>
          <w:ilvl w:val="0"/>
          <w:numId w:val="0"/>
        </w:numPr>
        <w:rPr>
          <w:rStyle w:val="Strong"/>
        </w:rPr>
        <w:sectPr w:rsidR="00863AFD" w:rsidSect="00863AFD">
          <w:type w:val="evenPage"/>
          <w:pgSz w:w="11906" w:h="16838" w:code="9"/>
          <w:pgMar w:top="1985" w:right="1134" w:bottom="1701" w:left="1134" w:header="567" w:footer="567" w:gutter="0"/>
          <w:cols w:space="708"/>
          <w:titlePg/>
          <w:docGrid w:linePitch="360"/>
        </w:sectPr>
      </w:pPr>
      <w:r w:rsidRPr="00806503">
        <w:rPr>
          <w:rStyle w:val="Strong"/>
        </w:rPr>
        <w:br w:type="page"/>
      </w:r>
    </w:p>
    <w:p w14:paraId="5204895F" w14:textId="6582F6A7" w:rsidR="00982A5F" w:rsidRPr="003D6A7E" w:rsidRDefault="00863AFD" w:rsidP="003D6A7E">
      <w:pPr>
        <w:pStyle w:val="Heading1Numberedsmallspaceafter"/>
        <w:numPr>
          <w:ilvl w:val="0"/>
          <w:numId w:val="0"/>
        </w:numPr>
        <w:ind w:left="567" w:hanging="567"/>
      </w:pPr>
      <w:bookmarkStart w:id="20" w:name="_Toc480290296"/>
      <w:r w:rsidRPr="003D6A7E">
        <w:lastRenderedPageBreak/>
        <w:t>Annex two: Interview and focus group discussion guides</w:t>
      </w:r>
      <w:bookmarkEnd w:id="20"/>
      <w:r w:rsidRPr="003D6A7E">
        <w:t xml:space="preserve"> </w:t>
      </w:r>
    </w:p>
    <w:p w14:paraId="4D0A02BD" w14:textId="77777777" w:rsidR="00AD7A5F" w:rsidRDefault="00AD7A5F" w:rsidP="00A27B1F">
      <w:pPr>
        <w:pStyle w:val="Heading4"/>
      </w:pPr>
    </w:p>
    <w:p w14:paraId="3F1FC01A" w14:textId="77777777" w:rsidR="00975A6A" w:rsidRDefault="00975A6A" w:rsidP="00A27B1F">
      <w:pPr>
        <w:pStyle w:val="Heading4"/>
      </w:pPr>
    </w:p>
    <w:p w14:paraId="401971A6" w14:textId="77777777" w:rsidR="00975A6A" w:rsidRDefault="00975A6A" w:rsidP="00A27B1F">
      <w:pPr>
        <w:pStyle w:val="Heading4"/>
      </w:pPr>
    </w:p>
    <w:p w14:paraId="243DF90F" w14:textId="63325E6C" w:rsidR="00A27B1F" w:rsidRDefault="00A27B1F" w:rsidP="00A27B1F">
      <w:pPr>
        <w:pStyle w:val="Heading4"/>
      </w:pPr>
      <w:r>
        <w:t>Focus Group Discussion Guide - Affected Populations</w:t>
      </w:r>
    </w:p>
    <w:p w14:paraId="1417F8A3" w14:textId="77777777" w:rsidR="00AD7A5F" w:rsidRDefault="00AD7A5F" w:rsidP="00A27B1F">
      <w:pPr>
        <w:pStyle w:val="BodyText"/>
        <w:rPr>
          <w:b/>
        </w:rPr>
      </w:pPr>
    </w:p>
    <w:p w14:paraId="78886A8B" w14:textId="77777777" w:rsidR="00A27B1F" w:rsidRPr="00CC0B3D" w:rsidRDefault="00A27B1F" w:rsidP="00A27B1F">
      <w:pPr>
        <w:pStyle w:val="BodyText"/>
        <w:rPr>
          <w:b/>
        </w:rPr>
      </w:pPr>
      <w:r w:rsidRPr="00CC0B3D">
        <w:rPr>
          <w:b/>
        </w:rPr>
        <w:t>Assistance received</w:t>
      </w:r>
    </w:p>
    <w:p w14:paraId="246C5C3F" w14:textId="1D28853A" w:rsidR="00A27B1F" w:rsidRDefault="00A27B1F" w:rsidP="00A27B1F">
      <w:pPr>
        <w:pStyle w:val="BodyText"/>
      </w:pPr>
      <w:r>
        <w:t>1.</w:t>
      </w:r>
      <w:r>
        <w:tab/>
        <w:t>What humanitarian assistance have you and your family been provided with in the last couple of years?  (</w:t>
      </w:r>
      <w:r w:rsidR="0019385D">
        <w:t>KEQ1d</w:t>
      </w:r>
      <w:r>
        <w:t>).</w:t>
      </w:r>
    </w:p>
    <w:p w14:paraId="6C1B9934" w14:textId="77777777" w:rsidR="00A27B1F" w:rsidRPr="00CC0B3D" w:rsidRDefault="00A27B1F" w:rsidP="00A27B1F">
      <w:pPr>
        <w:pStyle w:val="BodyText"/>
        <w:rPr>
          <w:b/>
        </w:rPr>
      </w:pPr>
      <w:r>
        <w:rPr>
          <w:b/>
        </w:rPr>
        <w:t>Appropriateness and Relevance</w:t>
      </w:r>
    </w:p>
    <w:p w14:paraId="79D14231" w14:textId="2BA1A9CC" w:rsidR="00A27B1F" w:rsidRDefault="00A27B1F" w:rsidP="00A27B1F">
      <w:pPr>
        <w:pStyle w:val="BodyText"/>
      </w:pPr>
      <w:r>
        <w:t>2.</w:t>
      </w:r>
      <w:r>
        <w:tab/>
        <w:t>How useful was/is this assistance in helping you and your family meet your needs?  Can you provide any examples of help you have received which has been particularly useful? Are there any examples of unhelpful assistance being offered?  (</w:t>
      </w:r>
      <w:r w:rsidR="00F674DD">
        <w:t>KEQ1d; KEQ</w:t>
      </w:r>
      <w:r w:rsidR="00165E3E">
        <w:t>1a</w:t>
      </w:r>
      <w:r w:rsidR="00684ABB">
        <w:t xml:space="preserve">; </w:t>
      </w:r>
      <w:r w:rsidR="0021743C">
        <w:t>KEQ1f;</w:t>
      </w:r>
      <w:r w:rsidR="00A46A05">
        <w:t xml:space="preserve"> KEQ2b; KEQ2b</w:t>
      </w:r>
      <w:r>
        <w:t>)</w:t>
      </w:r>
    </w:p>
    <w:p w14:paraId="6BE55DFD" w14:textId="73FBD285" w:rsidR="00A27B1F" w:rsidRDefault="00A27B1F" w:rsidP="00A27B1F">
      <w:pPr>
        <w:pStyle w:val="BodyText"/>
      </w:pPr>
      <w:r>
        <w:t xml:space="preserve">3. Have there been any problems with the assistance provided? </w:t>
      </w:r>
      <w:r w:rsidR="00F674DD">
        <w:t>(KEQ1f</w:t>
      </w:r>
      <w:r w:rsidR="00165E3E">
        <w:t>)</w:t>
      </w:r>
    </w:p>
    <w:p w14:paraId="5953AD6B" w14:textId="77777777" w:rsidR="00A27B1F" w:rsidRPr="00CC0B3D" w:rsidRDefault="00A27B1F" w:rsidP="00A27B1F">
      <w:pPr>
        <w:pStyle w:val="BodyText"/>
        <w:rPr>
          <w:b/>
        </w:rPr>
      </w:pPr>
      <w:r w:rsidRPr="00CC0B3D">
        <w:rPr>
          <w:b/>
        </w:rPr>
        <w:t>Engagement and participation</w:t>
      </w:r>
    </w:p>
    <w:p w14:paraId="7A30BB1C" w14:textId="4488D0B1" w:rsidR="00A27B1F" w:rsidRDefault="00A27B1F" w:rsidP="00A27B1F">
      <w:pPr>
        <w:pStyle w:val="BodyText"/>
      </w:pPr>
      <w:r>
        <w:t>4.</w:t>
      </w:r>
      <w:r>
        <w:tab/>
        <w:t xml:space="preserve">How do the aid organisations interact with you? Have you or others in your situation been given the opportunity to decide what type of aid is given by whom and how? </w:t>
      </w:r>
      <w:r w:rsidR="00975A6A">
        <w:t>(KEQ1a; KEQ3c</w:t>
      </w:r>
      <w:r w:rsidR="00165E3E">
        <w:t>)</w:t>
      </w:r>
    </w:p>
    <w:p w14:paraId="3A8707D3" w14:textId="1A4AF5D5" w:rsidR="00A27B1F" w:rsidRDefault="00A27B1F" w:rsidP="00A27B1F">
      <w:pPr>
        <w:pStyle w:val="BodyText"/>
      </w:pPr>
      <w:r>
        <w:t xml:space="preserve">5. Are you provided with the opportunity to provide feedback on assistance provided? </w:t>
      </w:r>
      <w:r w:rsidR="00F85EA0">
        <w:t>(KEQ3c)</w:t>
      </w:r>
    </w:p>
    <w:p w14:paraId="6943FDCB" w14:textId="77777777" w:rsidR="00A27B1F" w:rsidRDefault="00A27B1F" w:rsidP="00A27B1F">
      <w:pPr>
        <w:pStyle w:val="BodyText"/>
      </w:pPr>
      <w:r>
        <w:t xml:space="preserve">6. How do you think organisations could engage with you better? </w:t>
      </w:r>
    </w:p>
    <w:p w14:paraId="706C5445" w14:textId="77777777" w:rsidR="00A27B1F" w:rsidRPr="003C51CA" w:rsidRDefault="00A27B1F" w:rsidP="00A27B1F">
      <w:pPr>
        <w:pStyle w:val="BodyText"/>
        <w:rPr>
          <w:b/>
        </w:rPr>
      </w:pPr>
      <w:r w:rsidRPr="003C51CA">
        <w:rPr>
          <w:b/>
        </w:rPr>
        <w:t xml:space="preserve">Protection and inclusion </w:t>
      </w:r>
    </w:p>
    <w:p w14:paraId="1399152B" w14:textId="77777777" w:rsidR="00E3356F" w:rsidRDefault="00A27B1F" w:rsidP="00E3356F">
      <w:pPr>
        <w:pStyle w:val="BodyText"/>
      </w:pPr>
      <w:r>
        <w:t xml:space="preserve">7.  </w:t>
      </w:r>
      <w:r w:rsidR="00E3356F">
        <w:t>Do you think that people can access the services and assistance here safely? Would any particular group face risks or difficulties (women or girls / children / people from certain ethnic groups / PWD)? (KEQ2c)</w:t>
      </w:r>
    </w:p>
    <w:p w14:paraId="06E9E11E" w14:textId="3899A36A" w:rsidR="00A27B1F" w:rsidRDefault="00E3356F" w:rsidP="00A27B1F">
      <w:pPr>
        <w:pStyle w:val="BodyText"/>
      </w:pPr>
      <w:r>
        <w:t xml:space="preserve">8. </w:t>
      </w:r>
      <w:r w:rsidR="00A27B1F">
        <w:t xml:space="preserve">Are you aware of any positive steps being taken by organisations to </w:t>
      </w:r>
      <w:r w:rsidR="00A46A05">
        <w:t xml:space="preserve">promote </w:t>
      </w:r>
      <w:r w:rsidR="00A27B1F">
        <w:t>safe</w:t>
      </w:r>
      <w:r w:rsidR="00A46A05">
        <w:t>ty</w:t>
      </w:r>
      <w:r w:rsidR="00A27B1F">
        <w:t xml:space="preserve"> whilst accessing humanitarian assistance? Please describe. </w:t>
      </w:r>
      <w:r w:rsidR="00A46A05">
        <w:t>(KEQ2c</w:t>
      </w:r>
      <w:r w:rsidR="00165E3E">
        <w:t>)</w:t>
      </w:r>
    </w:p>
    <w:p w14:paraId="0CE0AB24" w14:textId="77777777" w:rsidR="00E3356F" w:rsidRDefault="00E3356F" w:rsidP="00A27B1F">
      <w:pPr>
        <w:pStyle w:val="BodyText"/>
      </w:pPr>
      <w:r>
        <w:t xml:space="preserve">9. </w:t>
      </w:r>
      <w:r w:rsidR="00A27B1F">
        <w:t>Are you aware of any positive steps being taken to ensure that all members of the population are able to access assistance including people with disabilities or</w:t>
      </w:r>
      <w:r w:rsidR="00A11E37">
        <w:t xml:space="preserve"> people from different</w:t>
      </w:r>
      <w:r w:rsidR="00A27B1F">
        <w:t xml:space="preserve"> ethnic </w:t>
      </w:r>
      <w:r w:rsidR="00A11E37">
        <w:t>groups</w:t>
      </w:r>
      <w:r w:rsidR="00A27B1F">
        <w:t>?</w:t>
      </w:r>
      <w:r w:rsidR="00A46A05">
        <w:t xml:space="preserve"> Please describe</w:t>
      </w:r>
      <w:r w:rsidR="00A27B1F">
        <w:t xml:space="preserve"> </w:t>
      </w:r>
      <w:r w:rsidR="00A46A05">
        <w:t>(KEQ2c</w:t>
      </w:r>
      <w:r w:rsidR="00165E3E">
        <w:t>)</w:t>
      </w:r>
    </w:p>
    <w:p w14:paraId="4EA8DD17" w14:textId="600FAB0D" w:rsidR="007E5CA4" w:rsidRDefault="007E5CA4" w:rsidP="00A27B1F">
      <w:pPr>
        <w:pStyle w:val="BodyText"/>
      </w:pPr>
      <w:r>
        <w:t xml:space="preserve">10. </w:t>
      </w:r>
      <w:r w:rsidR="00A27B1F">
        <w:t xml:space="preserve">What could organisations do differently to improve the safety of affected populations and/or promote more inclusion? </w:t>
      </w:r>
      <w:r w:rsidR="002D33DB">
        <w:t>(KEQ3c; KEQ1d)</w:t>
      </w:r>
    </w:p>
    <w:p w14:paraId="117245A8" w14:textId="77777777" w:rsidR="00A27B1F" w:rsidRPr="00CC0B3D" w:rsidRDefault="00A27B1F" w:rsidP="00A27B1F">
      <w:pPr>
        <w:pStyle w:val="BodyText"/>
        <w:rPr>
          <w:b/>
        </w:rPr>
      </w:pPr>
      <w:r w:rsidRPr="00CC0B3D">
        <w:rPr>
          <w:b/>
        </w:rPr>
        <w:t>Recovery and resilience building</w:t>
      </w:r>
    </w:p>
    <w:p w14:paraId="67E70416" w14:textId="0E8BE95A" w:rsidR="00A27B1F" w:rsidRDefault="00A27B1F" w:rsidP="00A27B1F">
      <w:pPr>
        <w:pStyle w:val="BodyText"/>
      </w:pPr>
      <w:r>
        <w:t>10.</w:t>
      </w:r>
      <w:r>
        <w:tab/>
        <w:t>Please describe any support that has helped you to plan for the future. What additional assistance would best support you and your families to thrive in the future?</w:t>
      </w:r>
      <w:r w:rsidR="00A46A05">
        <w:t xml:space="preserve"> (KEQ2e</w:t>
      </w:r>
      <w:r w:rsidR="00F85EA0">
        <w:t>)</w:t>
      </w:r>
    </w:p>
    <w:p w14:paraId="2B29BCBB" w14:textId="77777777" w:rsidR="00975A6A" w:rsidRPr="00975A6A" w:rsidRDefault="00975A6A" w:rsidP="00975A6A">
      <w:pPr>
        <w:rPr>
          <w:lang w:val="en-AU"/>
        </w:rPr>
      </w:pPr>
    </w:p>
    <w:p w14:paraId="2494B9D4" w14:textId="77777777" w:rsidR="00A27B1F" w:rsidRDefault="00A27B1F" w:rsidP="00A27B1F">
      <w:pPr>
        <w:pStyle w:val="Heading4"/>
      </w:pPr>
      <w:r>
        <w:lastRenderedPageBreak/>
        <w:t>Interview Guide: Partners</w:t>
      </w:r>
    </w:p>
    <w:p w14:paraId="78A9BAD3" w14:textId="77777777" w:rsidR="00A27B1F" w:rsidRPr="001E012D" w:rsidRDefault="00A27B1F" w:rsidP="00A27B1F">
      <w:pPr>
        <w:pStyle w:val="BodyText"/>
        <w:numPr>
          <w:ilvl w:val="0"/>
          <w:numId w:val="14"/>
        </w:numPr>
        <w:suppressAutoHyphens w:val="0"/>
        <w:spacing w:before="0" w:after="160" w:line="280" w:lineRule="exact"/>
      </w:pPr>
      <w:r w:rsidRPr="001E012D">
        <w:t xml:space="preserve">Please </w:t>
      </w:r>
      <w:r>
        <w:t xml:space="preserve">briefly </w:t>
      </w:r>
      <w:r w:rsidRPr="001E012D">
        <w:t xml:space="preserve">describe </w:t>
      </w:r>
      <w:r>
        <w:t>your partnership with</w:t>
      </w:r>
      <w:r w:rsidRPr="001E012D">
        <w:t xml:space="preserve"> the Australian Government</w:t>
      </w:r>
      <w:r>
        <w:t xml:space="preserve"> in Myanmar (program that Australia is funding or area of work that you coordinate on). </w:t>
      </w:r>
    </w:p>
    <w:p w14:paraId="2271356D" w14:textId="4D8E96ED" w:rsidR="00A27B1F" w:rsidRPr="001E012D" w:rsidRDefault="00A27B1F" w:rsidP="00A27B1F">
      <w:pPr>
        <w:pStyle w:val="BodyText"/>
        <w:numPr>
          <w:ilvl w:val="0"/>
          <w:numId w:val="14"/>
        </w:numPr>
        <w:suppressAutoHyphens w:val="0"/>
        <w:spacing w:before="0" w:after="160" w:line="280" w:lineRule="exact"/>
      </w:pPr>
      <w:r>
        <w:t>In your opinion, does</w:t>
      </w:r>
      <w:r w:rsidRPr="001E012D">
        <w:t xml:space="preserve"> Australian </w:t>
      </w:r>
      <w:r>
        <w:t xml:space="preserve">humanitarian </w:t>
      </w:r>
      <w:r w:rsidRPr="001E012D">
        <w:t xml:space="preserve">support </w:t>
      </w:r>
      <w:r>
        <w:t>align with</w:t>
      </w:r>
      <w:r w:rsidRPr="001E012D">
        <w:t xml:space="preserve"> </w:t>
      </w:r>
      <w:r w:rsidR="00A46A05">
        <w:t xml:space="preserve">the </w:t>
      </w:r>
      <w:r w:rsidRPr="001E012D">
        <w:t>priority needs</w:t>
      </w:r>
      <w:r>
        <w:t xml:space="preserve"> </w:t>
      </w:r>
      <w:r w:rsidR="00A46A05">
        <w:t>you and your partners have identified (sector and location)</w:t>
      </w:r>
      <w:r w:rsidRPr="001E012D">
        <w:t xml:space="preserve">? </w:t>
      </w:r>
      <w:r w:rsidR="00975A6A">
        <w:t>(KEQ1</w:t>
      </w:r>
      <w:r w:rsidR="00490958">
        <w:t>a</w:t>
      </w:r>
      <w:r w:rsidR="00850AAB">
        <w:t>; KEQ3a</w:t>
      </w:r>
      <w:r w:rsidR="00975A6A">
        <w:t>)</w:t>
      </w:r>
    </w:p>
    <w:p w14:paraId="6C1B6B57" w14:textId="03A93D2A" w:rsidR="00A27B1F" w:rsidRDefault="00A27B1F" w:rsidP="00A27B1F">
      <w:pPr>
        <w:pStyle w:val="BodyText"/>
        <w:numPr>
          <w:ilvl w:val="0"/>
          <w:numId w:val="14"/>
        </w:numPr>
        <w:suppressAutoHyphens w:val="0"/>
        <w:spacing w:before="0" w:after="160" w:line="280" w:lineRule="exact"/>
      </w:pPr>
      <w:r>
        <w:t>Do you think Australia complements and coordinates with other actors well in Myanmar</w:t>
      </w:r>
      <w:r w:rsidR="00850AAB">
        <w:t xml:space="preserve"> (other donors and international stakeholders)</w:t>
      </w:r>
      <w:r>
        <w:t xml:space="preserve">? Can you give specific examples? Are there ways this can be improved? </w:t>
      </w:r>
      <w:r w:rsidR="00850AAB">
        <w:t>(KEQ1e; KEQ3b</w:t>
      </w:r>
      <w:r w:rsidR="00490958">
        <w:t>)</w:t>
      </w:r>
    </w:p>
    <w:p w14:paraId="4F37F0B1" w14:textId="3EC0A6A9" w:rsidR="00850AAB" w:rsidRDefault="00850AAB" w:rsidP="00850AAB">
      <w:pPr>
        <w:pStyle w:val="BodyText"/>
        <w:numPr>
          <w:ilvl w:val="0"/>
          <w:numId w:val="14"/>
        </w:numPr>
        <w:suppressAutoHyphens w:val="0"/>
        <w:spacing w:before="0" w:after="160" w:line="280" w:lineRule="exact"/>
      </w:pPr>
      <w:r>
        <w:t xml:space="preserve">Do you </w:t>
      </w:r>
      <w:r w:rsidR="00A46A05">
        <w:t>think</w:t>
      </w:r>
      <w:r>
        <w:t xml:space="preserve"> Australia strengthens national actors in Myanmar (especially civil society and national organisations)? Can you give specific examples? Are there ways this can be improved? (KEQ3b)</w:t>
      </w:r>
    </w:p>
    <w:p w14:paraId="423E6465" w14:textId="7CD0E62A" w:rsidR="00A27B1F" w:rsidRPr="001E012D" w:rsidRDefault="00A27B1F" w:rsidP="00A27B1F">
      <w:pPr>
        <w:pStyle w:val="BodyText"/>
        <w:numPr>
          <w:ilvl w:val="0"/>
          <w:numId w:val="14"/>
        </w:numPr>
        <w:suppressAutoHyphens w:val="0"/>
        <w:spacing w:before="0" w:after="160" w:line="280" w:lineRule="exact"/>
      </w:pPr>
      <w:r w:rsidRPr="001E012D">
        <w:t xml:space="preserve">What do you see as the strengths and weaknesses associated with Australian support for </w:t>
      </w:r>
      <w:r>
        <w:t xml:space="preserve">situations of </w:t>
      </w:r>
      <w:r w:rsidRPr="001E012D">
        <w:t xml:space="preserve">protracted </w:t>
      </w:r>
      <w:r>
        <w:t>displacement in Myanmar</w:t>
      </w:r>
      <w:r w:rsidRPr="001E012D">
        <w:t xml:space="preserve">? Can you suggest ways that this support could be improved? </w:t>
      </w:r>
      <w:r w:rsidR="00490958">
        <w:t xml:space="preserve"> </w:t>
      </w:r>
    </w:p>
    <w:p w14:paraId="08CBE12A" w14:textId="77777777" w:rsidR="00D8548A" w:rsidRDefault="00D8548A" w:rsidP="00A27B1F">
      <w:pPr>
        <w:pStyle w:val="BodyText"/>
        <w:rPr>
          <w:b/>
          <w:bCs/>
        </w:rPr>
      </w:pPr>
    </w:p>
    <w:p w14:paraId="5BB338C9" w14:textId="53233598" w:rsidR="00A27B1F" w:rsidRPr="001E012D" w:rsidRDefault="00A27B1F" w:rsidP="00A27B1F">
      <w:pPr>
        <w:pStyle w:val="BodyText"/>
        <w:rPr>
          <w:b/>
          <w:bCs/>
        </w:rPr>
      </w:pPr>
      <w:r>
        <w:rPr>
          <w:b/>
          <w:bCs/>
        </w:rPr>
        <w:t xml:space="preserve">Implementing partners only </w:t>
      </w:r>
      <w:r w:rsidR="00D8548A">
        <w:rPr>
          <w:b/>
          <w:bCs/>
        </w:rPr>
        <w:t>(if not IP then skip to advocacy and influence)</w:t>
      </w:r>
    </w:p>
    <w:p w14:paraId="0596543C" w14:textId="559BBBC0" w:rsidR="00A27B1F" w:rsidRPr="001E012D" w:rsidRDefault="00A27B1F" w:rsidP="00A27B1F">
      <w:pPr>
        <w:pStyle w:val="BodyText"/>
        <w:numPr>
          <w:ilvl w:val="0"/>
          <w:numId w:val="14"/>
        </w:numPr>
        <w:suppressAutoHyphens w:val="0"/>
        <w:spacing w:before="0" w:after="160" w:line="280" w:lineRule="exact"/>
      </w:pPr>
      <w:r w:rsidRPr="001E012D">
        <w:t>Has the Australian government</w:t>
      </w:r>
      <w:r w:rsidR="00A46A05">
        <w:t xml:space="preserve"> positively</w:t>
      </w:r>
      <w:r w:rsidRPr="001E012D">
        <w:t xml:space="preserve"> influenced your organisations response to </w:t>
      </w:r>
      <w:r>
        <w:t>situations of protracted displacement in Myanmar</w:t>
      </w:r>
      <w:r w:rsidRPr="001E012D">
        <w:t xml:space="preserve">?  If so how? </w:t>
      </w:r>
      <w:r w:rsidR="00A46A05">
        <w:t>(KEQ2d</w:t>
      </w:r>
      <w:r w:rsidR="00D335AA">
        <w:t>)</w:t>
      </w:r>
    </w:p>
    <w:p w14:paraId="50255B1D" w14:textId="77777777" w:rsidR="00D8548A" w:rsidRDefault="00A27B1F" w:rsidP="00A27B1F">
      <w:pPr>
        <w:pStyle w:val="BodyText"/>
        <w:numPr>
          <w:ilvl w:val="0"/>
          <w:numId w:val="14"/>
        </w:numPr>
        <w:suppressAutoHyphens w:val="0"/>
        <w:spacing w:before="0" w:after="160" w:line="280" w:lineRule="exact"/>
      </w:pPr>
      <w:r>
        <w:t xml:space="preserve">Has the Australian government discussed thematic priorities in relation to protection, disability inclusion and gender equality? Were any amendments made to project design to take account of these thematic priorities? </w:t>
      </w:r>
    </w:p>
    <w:p w14:paraId="732A33C5" w14:textId="5AF151D6" w:rsidR="00A27B1F" w:rsidRDefault="00D8548A" w:rsidP="00A27B1F">
      <w:pPr>
        <w:pStyle w:val="BodyText"/>
        <w:numPr>
          <w:ilvl w:val="0"/>
          <w:numId w:val="14"/>
        </w:numPr>
        <w:suppressAutoHyphens w:val="0"/>
        <w:spacing w:before="0" w:after="160" w:line="280" w:lineRule="exact"/>
      </w:pPr>
      <w:r>
        <w:t>How d</w:t>
      </w:r>
      <w:r w:rsidR="007E5CA4">
        <w:t xml:space="preserve">oes your program promote access and safety for </w:t>
      </w:r>
      <w:r>
        <w:t>particular</w:t>
      </w:r>
      <w:r w:rsidR="007E5CA4">
        <w:t xml:space="preserve"> such as women girls, people w</w:t>
      </w:r>
      <w:r>
        <w:t>i</w:t>
      </w:r>
      <w:r w:rsidR="007E5CA4">
        <w:t xml:space="preserve">th </w:t>
      </w:r>
      <w:r>
        <w:t>disability</w:t>
      </w:r>
      <w:r w:rsidR="007E5CA4">
        <w:t xml:space="preserve"> or partic</w:t>
      </w:r>
      <w:r>
        <w:t>ular</w:t>
      </w:r>
      <w:r w:rsidR="007E5CA4">
        <w:t xml:space="preserve"> ethic groups</w:t>
      </w:r>
      <w:r>
        <w:t>?</w:t>
      </w:r>
      <w:r w:rsidR="007E5CA4">
        <w:t xml:space="preserve"> </w:t>
      </w:r>
      <w:r w:rsidR="00FC345F">
        <w:t xml:space="preserve">(KEQ2a; </w:t>
      </w:r>
      <w:r w:rsidR="00A46A05">
        <w:t>KEQ2d</w:t>
      </w:r>
      <w:r w:rsidR="005B0983">
        <w:t>)</w:t>
      </w:r>
    </w:p>
    <w:p w14:paraId="351112B0" w14:textId="06CD7D3D" w:rsidR="00A27B1F" w:rsidRDefault="00A27B1F" w:rsidP="00A27B1F">
      <w:pPr>
        <w:pStyle w:val="BodyText"/>
        <w:numPr>
          <w:ilvl w:val="0"/>
          <w:numId w:val="14"/>
        </w:numPr>
        <w:suppressAutoHyphens w:val="0"/>
        <w:spacing w:before="0" w:after="160" w:line="280" w:lineRule="exact"/>
      </w:pPr>
      <w:r>
        <w:t>How do you take steps to ensure that your organisation is accountable to affected populations?</w:t>
      </w:r>
      <w:r w:rsidRPr="001E012D">
        <w:t xml:space="preserve"> </w:t>
      </w:r>
      <w:r w:rsidR="005B0983">
        <w:t>(KEQ</w:t>
      </w:r>
      <w:r w:rsidR="00810F0F">
        <w:t>3c</w:t>
      </w:r>
      <w:r w:rsidR="005B0983">
        <w:t>)</w:t>
      </w:r>
    </w:p>
    <w:p w14:paraId="76DD5B20" w14:textId="503A49DB" w:rsidR="00D8548A" w:rsidRDefault="00A27B1F" w:rsidP="00D8548A">
      <w:pPr>
        <w:pStyle w:val="BodyText"/>
        <w:numPr>
          <w:ilvl w:val="0"/>
          <w:numId w:val="14"/>
        </w:numPr>
        <w:suppressAutoHyphens w:val="0"/>
        <w:spacing w:before="0" w:after="160" w:line="280" w:lineRule="exact"/>
      </w:pPr>
      <w:r>
        <w:t xml:space="preserve">What were the key barriers or enablers to effective and efficient program design with Australian funding? </w:t>
      </w:r>
      <w:r w:rsidR="00F9556C">
        <w:t>(</w:t>
      </w:r>
      <w:r w:rsidR="00A46A05">
        <w:t>KEQ2f</w:t>
      </w:r>
      <w:r w:rsidR="005B0983">
        <w:t>)</w:t>
      </w:r>
    </w:p>
    <w:p w14:paraId="67303E8F" w14:textId="727C084B" w:rsidR="00D8548A" w:rsidRDefault="00D8548A" w:rsidP="00D8548A">
      <w:pPr>
        <w:pStyle w:val="BodyText"/>
        <w:numPr>
          <w:ilvl w:val="0"/>
          <w:numId w:val="14"/>
        </w:numPr>
        <w:suppressAutoHyphens w:val="0"/>
        <w:spacing w:before="0" w:after="160" w:line="280" w:lineRule="exact"/>
      </w:pPr>
      <w:r>
        <w:t xml:space="preserve">What do you think priorities for a multi-year strategy for DFAT should be? </w:t>
      </w:r>
    </w:p>
    <w:p w14:paraId="40DCD249" w14:textId="648CE487" w:rsidR="00D8548A" w:rsidRDefault="00D8548A" w:rsidP="00D8548A">
      <w:pPr>
        <w:pStyle w:val="BodyText"/>
        <w:numPr>
          <w:ilvl w:val="0"/>
          <w:numId w:val="14"/>
        </w:numPr>
        <w:suppressAutoHyphens w:val="0"/>
        <w:spacing w:before="0" w:after="160" w:line="280" w:lineRule="exact"/>
      </w:pPr>
      <w:r>
        <w:t xml:space="preserve">What are the advantages of multi-year funding from the perspective of your organisation? Is there anything you would do differently if you had access to multi-year funding opportunities? </w:t>
      </w:r>
    </w:p>
    <w:p w14:paraId="75B2EE84" w14:textId="6D518E78" w:rsidR="00D8548A" w:rsidRDefault="00D8548A" w:rsidP="00D8548A">
      <w:pPr>
        <w:pStyle w:val="BodyText"/>
        <w:numPr>
          <w:ilvl w:val="0"/>
          <w:numId w:val="14"/>
        </w:numPr>
        <w:suppressAutoHyphens w:val="0"/>
        <w:spacing w:before="0" w:after="160" w:line="280" w:lineRule="exact"/>
      </w:pPr>
      <w:r w:rsidRPr="007B4F25">
        <w:t>What steps have you taken to localise your response and support nation</w:t>
      </w:r>
      <w:r>
        <w:t>al actors as much as possible? (KEQ3b)</w:t>
      </w:r>
    </w:p>
    <w:p w14:paraId="739508B1" w14:textId="6554BB39" w:rsidR="00A46A05" w:rsidRDefault="00A46A05" w:rsidP="00A27B1F">
      <w:pPr>
        <w:pStyle w:val="BodyText"/>
        <w:numPr>
          <w:ilvl w:val="0"/>
          <w:numId w:val="14"/>
        </w:numPr>
        <w:suppressAutoHyphens w:val="0"/>
        <w:spacing w:before="0" w:after="160" w:line="280" w:lineRule="exact"/>
      </w:pPr>
      <w:r>
        <w:t xml:space="preserve">Do you think more could be done to promote the visibility and branding of Australian programs?  How do you think Australia and its partners can improve this? (KEQ 4d) </w:t>
      </w:r>
    </w:p>
    <w:p w14:paraId="1D2F45C4" w14:textId="77777777" w:rsidR="00D8548A" w:rsidRPr="001E012D" w:rsidRDefault="00D8548A" w:rsidP="00D8548A">
      <w:pPr>
        <w:pStyle w:val="BodyText"/>
        <w:rPr>
          <w:b/>
          <w:bCs/>
        </w:rPr>
      </w:pPr>
      <w:r>
        <w:rPr>
          <w:b/>
          <w:bCs/>
        </w:rPr>
        <w:t>Advocacy and Influence (these are for internal DFAT report only)</w:t>
      </w:r>
    </w:p>
    <w:p w14:paraId="3994440C" w14:textId="77777777" w:rsidR="00D8548A" w:rsidRDefault="00D8548A" w:rsidP="00D8548A">
      <w:pPr>
        <w:pStyle w:val="BodyText"/>
        <w:numPr>
          <w:ilvl w:val="0"/>
          <w:numId w:val="14"/>
        </w:numPr>
      </w:pPr>
      <w:r w:rsidRPr="001E012D">
        <w:t xml:space="preserve">Are you aware of any areas where Australia has showed particular leadership in responding to </w:t>
      </w:r>
      <w:r>
        <w:t>situations of protracted displacement in Myanmar</w:t>
      </w:r>
      <w:r w:rsidRPr="001E012D">
        <w:t xml:space="preserve">? </w:t>
      </w:r>
      <w:r>
        <w:t>Are you aware of any public or private advocacy in relation to SGBV, WPS, CP or access for people living with disability? (KEQ2c; KEQ4a; KEQ4b)</w:t>
      </w:r>
    </w:p>
    <w:p w14:paraId="08036405" w14:textId="77777777" w:rsidR="00D8548A" w:rsidRDefault="00D8548A" w:rsidP="00D8548A">
      <w:pPr>
        <w:pStyle w:val="BodyText"/>
        <w:numPr>
          <w:ilvl w:val="0"/>
          <w:numId w:val="14"/>
        </w:numPr>
        <w:suppressAutoHyphens w:val="0"/>
        <w:spacing w:before="0" w:after="160" w:line="280" w:lineRule="exact"/>
      </w:pPr>
      <w:r w:rsidRPr="001E012D">
        <w:t xml:space="preserve">Are you aware of the Australian government’s involvement in international dialogue on </w:t>
      </w:r>
      <w:r>
        <w:t>situations of protracted displacement in Myanmar</w:t>
      </w:r>
      <w:r w:rsidRPr="001E012D">
        <w:t xml:space="preserve">? If so are there any policy areas that you know Australia has been </w:t>
      </w:r>
      <w:r w:rsidRPr="001E012D">
        <w:lastRenderedPageBreak/>
        <w:t xml:space="preserve">seeking to advance in discussions with the international community? </w:t>
      </w:r>
      <w:r>
        <w:t xml:space="preserve">Are there any issues that you feel Australia would be particular well placed and effective to advocate for? (KEQ3a; KEQ4a) </w:t>
      </w:r>
    </w:p>
    <w:p w14:paraId="0520B743" w14:textId="77777777" w:rsidR="00D8548A" w:rsidRPr="001E012D" w:rsidRDefault="00D8548A" w:rsidP="00D8548A">
      <w:pPr>
        <w:pStyle w:val="BodyText"/>
        <w:numPr>
          <w:ilvl w:val="0"/>
          <w:numId w:val="14"/>
        </w:numPr>
        <w:suppressAutoHyphens w:val="0"/>
        <w:spacing w:before="0" w:after="160" w:line="280" w:lineRule="exact"/>
      </w:pPr>
      <w:r>
        <w:t>How does</w:t>
      </w:r>
      <w:r w:rsidRPr="001E012D">
        <w:t xml:space="preserve"> Australia </w:t>
      </w:r>
      <w:r>
        <w:t>engage with national leadership to influence change and promote</w:t>
      </w:r>
      <w:r w:rsidRPr="001E012D">
        <w:t xml:space="preserve"> </w:t>
      </w:r>
      <w:r>
        <w:t>stabilisation</w:t>
      </w:r>
      <w:r w:rsidRPr="001E012D">
        <w:t>?</w:t>
      </w:r>
      <w:r>
        <w:t xml:space="preserve"> Can you give specific examples? Are there ways this engagement could be improved? </w:t>
      </w:r>
      <w:r w:rsidRPr="001E012D">
        <w:t xml:space="preserve"> </w:t>
      </w:r>
      <w:r>
        <w:t>(KEQ4b)</w:t>
      </w:r>
    </w:p>
    <w:p w14:paraId="463BCA57" w14:textId="77777777" w:rsidR="006B3942" w:rsidRDefault="006B3942" w:rsidP="00A27B1F">
      <w:pPr>
        <w:pStyle w:val="Heading4"/>
      </w:pPr>
    </w:p>
    <w:p w14:paraId="7ECE5759" w14:textId="77777777" w:rsidR="006B3942" w:rsidRDefault="006B3942" w:rsidP="00A27B1F">
      <w:pPr>
        <w:pStyle w:val="Heading4"/>
      </w:pPr>
    </w:p>
    <w:p w14:paraId="54C3D4E7" w14:textId="77777777" w:rsidR="00A27B1F" w:rsidRDefault="00A27B1F" w:rsidP="00A27B1F">
      <w:pPr>
        <w:pStyle w:val="Heading4"/>
      </w:pPr>
      <w:r>
        <w:t>Interview Guide: DFAT staff</w:t>
      </w:r>
    </w:p>
    <w:p w14:paraId="544933CB" w14:textId="77777777" w:rsidR="00A27B1F" w:rsidRDefault="00A27B1F" w:rsidP="00A27B1F">
      <w:pPr>
        <w:pStyle w:val="BodyText"/>
        <w:numPr>
          <w:ilvl w:val="0"/>
          <w:numId w:val="15"/>
        </w:numPr>
        <w:suppressAutoHyphens w:val="0"/>
        <w:spacing w:before="0" w:after="160" w:line="280" w:lineRule="exact"/>
      </w:pPr>
      <w:r w:rsidRPr="001E012D">
        <w:t xml:space="preserve">How would you describe DFAT’s response to </w:t>
      </w:r>
      <w:r>
        <w:t>situations of protracted displacement in Myanmar?</w:t>
      </w:r>
    </w:p>
    <w:p w14:paraId="1754E0D2" w14:textId="77777777" w:rsidR="00A27B1F" w:rsidRPr="001E012D" w:rsidRDefault="00A27B1F" w:rsidP="00A27B1F">
      <w:pPr>
        <w:pStyle w:val="BodyText"/>
        <w:numPr>
          <w:ilvl w:val="0"/>
          <w:numId w:val="15"/>
        </w:numPr>
        <w:suppressAutoHyphens w:val="0"/>
        <w:spacing w:before="0" w:after="160" w:line="280" w:lineRule="exact"/>
      </w:pPr>
      <w:r w:rsidRPr="001E012D">
        <w:t xml:space="preserve">What do you see as the strengths and weaknesses of DFAT’s </w:t>
      </w:r>
      <w:r>
        <w:t>humanitarian assistance</w:t>
      </w:r>
      <w:r w:rsidRPr="001E012D">
        <w:t xml:space="preserve"> to </w:t>
      </w:r>
      <w:r>
        <w:t>situations of protracted displacement in Myanmar</w:t>
      </w:r>
      <w:r w:rsidRPr="001E012D">
        <w:t xml:space="preserve">? </w:t>
      </w:r>
    </w:p>
    <w:p w14:paraId="2E41853F" w14:textId="5BB6C38C" w:rsidR="00A27B1F" w:rsidRDefault="00A27B1F" w:rsidP="00A27B1F">
      <w:pPr>
        <w:pStyle w:val="BodyText"/>
        <w:numPr>
          <w:ilvl w:val="0"/>
          <w:numId w:val="15"/>
        </w:numPr>
        <w:suppressAutoHyphens w:val="0"/>
        <w:spacing w:before="0" w:after="160" w:line="280" w:lineRule="exact"/>
      </w:pPr>
      <w:r w:rsidRPr="001E012D">
        <w:t xml:space="preserve">How were decisions around choice of partner and sector made? Do you think the decisions </w:t>
      </w:r>
      <w:r w:rsidR="00F9556C">
        <w:t xml:space="preserve">were </w:t>
      </w:r>
      <w:r w:rsidRPr="001E012D">
        <w:t xml:space="preserve">appropriate? </w:t>
      </w:r>
      <w:r>
        <w:t>How would you like to see decisions being made going forward?</w:t>
      </w:r>
      <w:r w:rsidR="007E5CA4">
        <w:t xml:space="preserve"> Which partners do you think DFAT should continue to support and why?</w:t>
      </w:r>
      <w:r w:rsidR="00F9556C">
        <w:t xml:space="preserve"> </w:t>
      </w:r>
      <w:r w:rsidR="006B3942">
        <w:t>(KEQ1</w:t>
      </w:r>
      <w:r w:rsidR="00F9556C">
        <w:t>a)</w:t>
      </w:r>
    </w:p>
    <w:p w14:paraId="667F1912" w14:textId="0D6CCB76" w:rsidR="006B3942" w:rsidRPr="001E012D" w:rsidRDefault="00A46A05" w:rsidP="006B3942">
      <w:pPr>
        <w:pStyle w:val="BodyText"/>
        <w:numPr>
          <w:ilvl w:val="0"/>
          <w:numId w:val="15"/>
        </w:numPr>
        <w:suppressAutoHyphens w:val="0"/>
        <w:spacing w:before="0" w:after="160" w:line="280" w:lineRule="exact"/>
      </w:pPr>
      <w:r>
        <w:t>What guidance or discussion does</w:t>
      </w:r>
      <w:r w:rsidR="006B3942" w:rsidRPr="001E012D">
        <w:t xml:space="preserve"> DFAT have with partners on the extent to which assistance should address gender </w:t>
      </w:r>
      <w:r w:rsidR="006B3942">
        <w:t>equality</w:t>
      </w:r>
      <w:r w:rsidR="007E5CA4">
        <w:t xml:space="preserve"> (including SGBV and or WPS)</w:t>
      </w:r>
      <w:r w:rsidR="006B3942" w:rsidRPr="001E012D">
        <w:t>, disability</w:t>
      </w:r>
      <w:r w:rsidR="006B3942">
        <w:t xml:space="preserve"> inclusion and humanitarian </w:t>
      </w:r>
      <w:r w:rsidR="006B3942" w:rsidRPr="001E012D">
        <w:t>protection</w:t>
      </w:r>
      <w:r w:rsidR="007E5CA4">
        <w:t xml:space="preserve"> (including child protection)</w:t>
      </w:r>
      <w:r w:rsidR="006B3942" w:rsidRPr="001E012D">
        <w:t xml:space="preserve">? </w:t>
      </w:r>
      <w:r>
        <w:t>(KEQ2d</w:t>
      </w:r>
      <w:r w:rsidR="006B3942">
        <w:t>)</w:t>
      </w:r>
    </w:p>
    <w:p w14:paraId="28ED2008" w14:textId="4C6632ED" w:rsidR="00F9556C" w:rsidRDefault="00F9556C" w:rsidP="00A27B1F">
      <w:pPr>
        <w:pStyle w:val="BodyText"/>
        <w:numPr>
          <w:ilvl w:val="0"/>
          <w:numId w:val="15"/>
        </w:numPr>
        <w:suppressAutoHyphens w:val="0"/>
        <w:spacing w:before="0" w:after="160" w:line="280" w:lineRule="exact"/>
      </w:pPr>
      <w:r>
        <w:t xml:space="preserve">Do you think the humanitarian program intentionally complemented the development program in Myanmar? Do you have examples? </w:t>
      </w:r>
      <w:r w:rsidR="006B3942">
        <w:t>Are there ways this could be done better? (KEQ1b</w:t>
      </w:r>
      <w:r>
        <w:t>)</w:t>
      </w:r>
    </w:p>
    <w:p w14:paraId="55EF1E97" w14:textId="3CA43CBA" w:rsidR="006B3942" w:rsidRDefault="006B3942" w:rsidP="00A27B1F">
      <w:pPr>
        <w:pStyle w:val="BodyText"/>
        <w:numPr>
          <w:ilvl w:val="0"/>
          <w:numId w:val="15"/>
        </w:numPr>
        <w:suppressAutoHyphens w:val="0"/>
        <w:spacing w:before="0" w:after="160" w:line="280" w:lineRule="exact"/>
      </w:pPr>
      <w:r>
        <w:t>Are you aware of the humanitarian program in Myanmar intentionally aligning with key DFAT strategy documents (Humanitarian Strategy / Gender Equality Strategy)? Please give specific examples. (KEQ1c)</w:t>
      </w:r>
    </w:p>
    <w:p w14:paraId="21C620F8" w14:textId="57F5DCBB" w:rsidR="007E5CA4" w:rsidRDefault="007E5CA4" w:rsidP="00A27B1F">
      <w:pPr>
        <w:pStyle w:val="BodyText"/>
        <w:numPr>
          <w:ilvl w:val="0"/>
          <w:numId w:val="15"/>
        </w:numPr>
        <w:suppressAutoHyphens w:val="0"/>
        <w:spacing w:before="0" w:after="160" w:line="280" w:lineRule="exact"/>
      </w:pPr>
      <w:r>
        <w:t xml:space="preserve">What ae the main challenges to providing </w:t>
      </w:r>
      <w:r w:rsidR="00D8548A">
        <w:t>humanitarian</w:t>
      </w:r>
      <w:r>
        <w:t xml:space="preserve"> </w:t>
      </w:r>
      <w:r w:rsidR="00D8548A">
        <w:t>assistance in</w:t>
      </w:r>
      <w:r>
        <w:t xml:space="preserve"> </w:t>
      </w:r>
      <w:r w:rsidR="00D8548A">
        <w:t>Myanmar</w:t>
      </w:r>
      <w:r>
        <w:t xml:space="preserve"> or for specific </w:t>
      </w:r>
      <w:r w:rsidR="00D8548A">
        <w:t>locations</w:t>
      </w:r>
      <w:r>
        <w:t xml:space="preserve"> and population groups? </w:t>
      </w:r>
    </w:p>
    <w:p w14:paraId="22A19B21" w14:textId="77777777" w:rsidR="00A27B1F" w:rsidRDefault="00A27B1F" w:rsidP="00A27B1F">
      <w:pPr>
        <w:pStyle w:val="BodyText"/>
        <w:numPr>
          <w:ilvl w:val="0"/>
          <w:numId w:val="15"/>
        </w:numPr>
        <w:suppressAutoHyphens w:val="0"/>
        <w:spacing w:before="0" w:after="160" w:line="280" w:lineRule="exact"/>
      </w:pPr>
      <w:r>
        <w:t>How do you think</w:t>
      </w:r>
      <w:r w:rsidRPr="001E012D">
        <w:t xml:space="preserve"> DFAT’s </w:t>
      </w:r>
      <w:r>
        <w:t>humanitarian assistance</w:t>
      </w:r>
      <w:r w:rsidRPr="001E012D">
        <w:t xml:space="preserve"> </w:t>
      </w:r>
      <w:r>
        <w:t>in Myanmar</w:t>
      </w:r>
      <w:r w:rsidRPr="001E012D">
        <w:t xml:space="preserve"> could be improved? </w:t>
      </w:r>
    </w:p>
    <w:p w14:paraId="19F78C70" w14:textId="32F0AEA1" w:rsidR="00DF545F" w:rsidRPr="001E012D" w:rsidRDefault="00DF545F" w:rsidP="00A27B1F">
      <w:pPr>
        <w:pStyle w:val="BodyText"/>
        <w:numPr>
          <w:ilvl w:val="0"/>
          <w:numId w:val="15"/>
        </w:numPr>
        <w:suppressAutoHyphens w:val="0"/>
        <w:spacing w:before="0" w:after="160" w:line="280" w:lineRule="exact"/>
      </w:pPr>
      <w:r w:rsidRPr="00DF545F">
        <w:t>how does the humani</w:t>
      </w:r>
      <w:r>
        <w:t>t</w:t>
      </w:r>
      <w:r w:rsidRPr="00DF545F">
        <w:t>arian program link to the development program</w:t>
      </w:r>
      <w:r>
        <w:t>?</w:t>
      </w:r>
    </w:p>
    <w:p w14:paraId="0B23B56B" w14:textId="77777777" w:rsidR="00F9556C" w:rsidRDefault="00F9556C" w:rsidP="00F9556C">
      <w:pPr>
        <w:pStyle w:val="BodyText"/>
        <w:rPr>
          <w:b/>
          <w:bCs/>
        </w:rPr>
      </w:pPr>
    </w:p>
    <w:p w14:paraId="1CAF462C" w14:textId="77777777" w:rsidR="00F9556C" w:rsidRPr="001E012D" w:rsidRDefault="00F9556C" w:rsidP="00F9556C">
      <w:pPr>
        <w:pStyle w:val="BodyText"/>
        <w:rPr>
          <w:b/>
          <w:bCs/>
        </w:rPr>
      </w:pPr>
      <w:r>
        <w:rPr>
          <w:b/>
          <w:bCs/>
        </w:rPr>
        <w:t>Advocacy and Influence (these are for internal DFAT report only)</w:t>
      </w:r>
    </w:p>
    <w:p w14:paraId="3642D4CA" w14:textId="0F081255" w:rsidR="00A27B1F" w:rsidRDefault="00A27B1F" w:rsidP="00A27B1F">
      <w:pPr>
        <w:pStyle w:val="BodyText"/>
        <w:numPr>
          <w:ilvl w:val="0"/>
          <w:numId w:val="15"/>
        </w:numPr>
      </w:pPr>
      <w:r>
        <w:t>Do you think there are areas where Australia is showing particular leadership in response to Myanmar?</w:t>
      </w:r>
      <w:r w:rsidR="006B3942">
        <w:t xml:space="preserve"> (KEQ4a)</w:t>
      </w:r>
    </w:p>
    <w:p w14:paraId="499BED38" w14:textId="42A73030" w:rsidR="00694D36" w:rsidRDefault="00694D36" w:rsidP="00694D36">
      <w:pPr>
        <w:pStyle w:val="BodyText"/>
        <w:numPr>
          <w:ilvl w:val="0"/>
          <w:numId w:val="15"/>
        </w:numPr>
      </w:pPr>
      <w:r>
        <w:t xml:space="preserve">Are there any issues that you feel </w:t>
      </w:r>
      <w:r w:rsidR="00D8548A">
        <w:t>Australia would</w:t>
      </w:r>
      <w:r>
        <w:t xml:space="preserve"> be particular well placed and effective to advocate for? (KEQ 3a; KEQ4a)</w:t>
      </w:r>
    </w:p>
    <w:p w14:paraId="522E2043" w14:textId="7DE856E1" w:rsidR="001965D6" w:rsidRPr="001E012D" w:rsidRDefault="001965D6" w:rsidP="001965D6">
      <w:pPr>
        <w:pStyle w:val="BodyText"/>
        <w:numPr>
          <w:ilvl w:val="0"/>
          <w:numId w:val="15"/>
        </w:numPr>
        <w:suppressAutoHyphens w:val="0"/>
        <w:spacing w:before="0" w:after="160" w:line="280" w:lineRule="exact"/>
      </w:pPr>
      <w:r>
        <w:t>How does</w:t>
      </w:r>
      <w:r w:rsidRPr="001E012D">
        <w:t xml:space="preserve"> Australia </w:t>
      </w:r>
      <w:r>
        <w:t>engage with national leadership to influence change and promote</w:t>
      </w:r>
      <w:r w:rsidRPr="001E012D">
        <w:t xml:space="preserve"> </w:t>
      </w:r>
      <w:r>
        <w:t>stabilisation</w:t>
      </w:r>
      <w:r w:rsidRPr="001E012D">
        <w:t>?</w:t>
      </w:r>
      <w:r>
        <w:t xml:space="preserve"> Can you give specific examples? Are there ways this engagement could be improved? </w:t>
      </w:r>
      <w:r w:rsidRPr="001E012D">
        <w:t xml:space="preserve"> </w:t>
      </w:r>
      <w:r>
        <w:t>(KEQ4b)</w:t>
      </w:r>
    </w:p>
    <w:p w14:paraId="37D49ED1" w14:textId="151527A5" w:rsidR="00A27B1F" w:rsidRPr="001E012D" w:rsidRDefault="00A27B1F" w:rsidP="00A27B1F">
      <w:pPr>
        <w:pStyle w:val="BodyText"/>
        <w:numPr>
          <w:ilvl w:val="0"/>
          <w:numId w:val="15"/>
        </w:numPr>
        <w:suppressAutoHyphens w:val="0"/>
        <w:spacing w:before="0" w:after="160" w:line="280" w:lineRule="exact"/>
      </w:pPr>
      <w:r>
        <w:t>What dialogue did</w:t>
      </w:r>
      <w:r w:rsidRPr="001E012D">
        <w:t xml:space="preserve"> DFAT </w:t>
      </w:r>
      <w:r>
        <w:t>have</w:t>
      </w:r>
      <w:r w:rsidRPr="001E012D">
        <w:t xml:space="preserve"> with other donors (DAC)</w:t>
      </w:r>
      <w:r>
        <w:t xml:space="preserve"> and key stakeholders</w:t>
      </w:r>
      <w:r w:rsidRPr="001E012D">
        <w:t xml:space="preserve"> about the nature of Australia’s response to the </w:t>
      </w:r>
      <w:r>
        <w:t xml:space="preserve">Myanmar </w:t>
      </w:r>
      <w:r w:rsidRPr="001E012D">
        <w:t>crisis?</w:t>
      </w:r>
      <w:r w:rsidR="00A46A05">
        <w:t xml:space="preserve"> Could coordination and complementarity be improved and if so, how?</w:t>
      </w:r>
      <w:r w:rsidRPr="001E012D">
        <w:t xml:space="preserve"> </w:t>
      </w:r>
      <w:r w:rsidR="001965D6">
        <w:t>(KEQ1e)</w:t>
      </w:r>
    </w:p>
    <w:p w14:paraId="72DD7E81" w14:textId="6145CAAA" w:rsidR="00A27B1F" w:rsidRDefault="00A27B1F" w:rsidP="00A27B1F">
      <w:pPr>
        <w:pStyle w:val="BodyText"/>
        <w:numPr>
          <w:ilvl w:val="0"/>
          <w:numId w:val="15"/>
        </w:numPr>
        <w:suppressAutoHyphens w:val="0"/>
        <w:spacing w:before="0" w:after="160" w:line="280" w:lineRule="exact"/>
        <w:sectPr w:rsidR="00A27B1F" w:rsidSect="00863AFD">
          <w:type w:val="evenPage"/>
          <w:pgSz w:w="11906" w:h="16838" w:code="9"/>
          <w:pgMar w:top="1985" w:right="1134" w:bottom="1701" w:left="1134" w:header="567" w:footer="567" w:gutter="0"/>
          <w:cols w:space="708"/>
          <w:titlePg/>
          <w:docGrid w:linePitch="360"/>
        </w:sectPr>
      </w:pPr>
      <w:r w:rsidRPr="001E012D">
        <w:t xml:space="preserve">Can you provide any examples of DFAT using our experience from the </w:t>
      </w:r>
      <w:r>
        <w:t xml:space="preserve">Myanmar </w:t>
      </w:r>
      <w:r w:rsidRPr="001E012D">
        <w:t xml:space="preserve">response to inform policy discussions </w:t>
      </w:r>
      <w:r w:rsidR="001965D6">
        <w:t>on broader</w:t>
      </w:r>
      <w:r>
        <w:t xml:space="preserve"> humanitarian</w:t>
      </w:r>
      <w:r w:rsidRPr="001E012D">
        <w:t xml:space="preserve"> issues? </w:t>
      </w:r>
      <w:r w:rsidR="001965D6">
        <w:t xml:space="preserve">  (KEQ4a)</w:t>
      </w:r>
    </w:p>
    <w:p w14:paraId="24BD6A6C" w14:textId="11A8865B" w:rsidR="00694B87" w:rsidRPr="00694B87" w:rsidRDefault="00694B87">
      <w:pPr>
        <w:suppressAutoHyphens w:val="0"/>
        <w:spacing w:before="0" w:after="120" w:line="440" w:lineRule="atLeast"/>
      </w:pPr>
    </w:p>
    <w:p w14:paraId="02B5F539" w14:textId="60C4E9EB" w:rsidR="00581BD3" w:rsidRDefault="008346C0" w:rsidP="00D904BF">
      <w:pPr>
        <w:pStyle w:val="Heading1Numberedsmallspaceafter"/>
        <w:numPr>
          <w:ilvl w:val="0"/>
          <w:numId w:val="0"/>
        </w:numPr>
        <w:ind w:left="567" w:hanging="567"/>
      </w:pPr>
      <w:bookmarkStart w:id="21" w:name="_Toc480290297"/>
      <w:r w:rsidRPr="003D6A7E">
        <w:t>Annex three: field work schedule</w:t>
      </w:r>
      <w:bookmarkEnd w:id="21"/>
      <w:r w:rsidRPr="003D6A7E">
        <w:t xml:space="preserve">  </w:t>
      </w:r>
    </w:p>
    <w:p w14:paraId="69A03EFF" w14:textId="77777777" w:rsidR="008B0A75" w:rsidRDefault="008B0A75" w:rsidP="00E367F7">
      <w:pPr>
        <w:pStyle w:val="BodyText"/>
        <w:ind w:left="2160" w:hanging="2160"/>
      </w:pPr>
    </w:p>
    <w:p w14:paraId="439DBDD0" w14:textId="77777777" w:rsidR="008B0A75" w:rsidRDefault="008B0A75" w:rsidP="00E367F7">
      <w:pPr>
        <w:pStyle w:val="BodyText"/>
        <w:ind w:left="2160" w:hanging="2160"/>
      </w:pPr>
    </w:p>
    <w:p w14:paraId="174C7BE4" w14:textId="6ACF029C" w:rsidR="00E367F7" w:rsidRPr="003702B3" w:rsidRDefault="00E367F7" w:rsidP="00E367F7">
      <w:pPr>
        <w:pStyle w:val="BodyText"/>
        <w:ind w:left="2160" w:hanging="2160"/>
      </w:pPr>
      <w:r w:rsidRPr="003702B3">
        <w:t>UN agencies</w:t>
      </w:r>
      <w:r w:rsidRPr="00BF25D6">
        <w:t xml:space="preserve"> </w:t>
      </w:r>
      <w:r w:rsidRPr="00BF25D6">
        <w:tab/>
      </w:r>
      <w:r>
        <w:t xml:space="preserve">WFP, UNHCR, OCHA, UNFPA, UN Resident Coordinator’s Office (Sittwe, Rakhine) UNICEF </w:t>
      </w:r>
    </w:p>
    <w:p w14:paraId="6C399A44" w14:textId="71510A55" w:rsidR="00E367F7" w:rsidRDefault="00E367F7" w:rsidP="00E367F7">
      <w:pPr>
        <w:pStyle w:val="BodyText"/>
        <w:ind w:left="2160" w:hanging="2160"/>
      </w:pPr>
      <w:r w:rsidRPr="003702B3">
        <w:t>NGOs:</w:t>
      </w:r>
      <w:r w:rsidRPr="00BF25D6">
        <w:t xml:space="preserve"> </w:t>
      </w:r>
      <w:r w:rsidRPr="00BF25D6">
        <w:tab/>
      </w:r>
      <w:r>
        <w:t>Save the Children, DRC, ICRC, Trocaire</w:t>
      </w:r>
      <w:r w:rsidR="00F868ED">
        <w:t xml:space="preserve"> </w:t>
      </w:r>
      <w:r>
        <w:t>/(Oxfam , Care, IRC, Centre for Humanitarian Dialogue</w:t>
      </w:r>
    </w:p>
    <w:p w14:paraId="676A0720" w14:textId="47DEF66F" w:rsidR="008B0A75" w:rsidRDefault="00E367F7" w:rsidP="008B0A75">
      <w:pPr>
        <w:pStyle w:val="BodyText"/>
      </w:pPr>
      <w:r>
        <w:t>Government ministries: Ministry of Social Welfare, Relief and Resettlement, Ministry of Foreign Affairs, Ministry of Finance and Planning</w:t>
      </w:r>
    </w:p>
    <w:p w14:paraId="451EA447" w14:textId="1B0386A4" w:rsidR="00E367F7" w:rsidRPr="003702B3" w:rsidRDefault="00E367F7" w:rsidP="008B0A75">
      <w:pPr>
        <w:suppressAutoHyphens w:val="0"/>
        <w:spacing w:before="0" w:after="0" w:line="240" w:lineRule="auto"/>
      </w:pPr>
      <w:r>
        <w:t xml:space="preserve">National organisations: </w:t>
      </w:r>
      <w:r>
        <w:tab/>
        <w:t>Development partners / national peak NGO body (?) / DPOs Myanmar Red Cross Society, Joint Strategy Team (made up of lead national NGOs in Kachin and northern Shan), Centre for</w:t>
      </w:r>
      <w:r w:rsidR="008B0A75">
        <w:t xml:space="preserve"> Diversity and National Harmony, </w:t>
      </w:r>
      <w:r w:rsidR="008B0A75" w:rsidRPr="008B0A75">
        <w:t>Myanmar Independent Living Ini</w:t>
      </w:r>
      <w:r w:rsidR="00F868ED">
        <w:t>ti</w:t>
      </w:r>
      <w:r w:rsidR="008B0A75" w:rsidRPr="008B0A75">
        <w:t>ative</w:t>
      </w:r>
    </w:p>
    <w:p w14:paraId="43910126" w14:textId="5CF2AECD" w:rsidR="00E367F7" w:rsidRPr="00BF25D6" w:rsidRDefault="00E367F7" w:rsidP="00E367F7">
      <w:pPr>
        <w:pStyle w:val="BodyText"/>
      </w:pPr>
      <w:r w:rsidRPr="003702B3">
        <w:t>Donors:</w:t>
      </w:r>
      <w:r>
        <w:t xml:space="preserve">  </w:t>
      </w:r>
      <w:r>
        <w:tab/>
      </w:r>
      <w:r>
        <w:tab/>
        <w:t xml:space="preserve"> UK, US, EU, Canada, Switzerland, Japan (humanitarian and political personnel).</w:t>
      </w:r>
    </w:p>
    <w:p w14:paraId="358797FC" w14:textId="1587B419" w:rsidR="00D904BF" w:rsidRDefault="00E367F7" w:rsidP="00EB3E81">
      <w:pPr>
        <w:pStyle w:val="BodyText"/>
      </w:pPr>
      <w:r>
        <w:t xml:space="preserve">Affected populations:  </w:t>
      </w:r>
      <w:r>
        <w:tab/>
        <w:t xml:space="preserve">IDP and host population reps in Rakhine and Kachin states; DPOs or community organisations </w:t>
      </w:r>
    </w:p>
    <w:p w14:paraId="7CB296E8" w14:textId="77777777" w:rsidR="00EB3E81" w:rsidRPr="00EB3E81" w:rsidRDefault="00EB3E81" w:rsidP="00EB3E81">
      <w:pPr>
        <w:pStyle w:val="BodyText"/>
      </w:pPr>
    </w:p>
    <w:tbl>
      <w:tblPr>
        <w:tblStyle w:val="DFATTable1"/>
        <w:tblpPr w:leftFromText="181" w:rightFromText="181" w:vertAnchor="text" w:horzAnchor="margin" w:tblpY="1"/>
        <w:tblW w:w="4115" w:type="pct"/>
        <w:tblLayout w:type="fixed"/>
        <w:tblLook w:val="0660" w:firstRow="1" w:lastRow="1" w:firstColumn="0" w:lastColumn="0" w:noHBand="1" w:noVBand="1"/>
        <w:tblCaption w:val="Sample Table"/>
        <w:tblDescription w:val="Sample Table"/>
      </w:tblPr>
      <w:tblGrid>
        <w:gridCol w:w="2791"/>
        <w:gridCol w:w="2259"/>
        <w:gridCol w:w="236"/>
        <w:gridCol w:w="2646"/>
      </w:tblGrid>
      <w:tr w:rsidR="001D3AD9" w:rsidRPr="006B0E2A" w14:paraId="29390827" w14:textId="77777777" w:rsidTr="00B266B7">
        <w:trPr>
          <w:cnfStyle w:val="100000000000" w:firstRow="1" w:lastRow="0" w:firstColumn="0" w:lastColumn="0" w:oddVBand="0" w:evenVBand="0" w:oddHBand="0" w:evenHBand="0" w:firstRowFirstColumn="0" w:firstRowLastColumn="0" w:lastRowFirstColumn="0" w:lastRowLastColumn="0"/>
        </w:trPr>
        <w:tc>
          <w:tcPr>
            <w:tcW w:w="1759" w:type="pct"/>
          </w:tcPr>
          <w:p w14:paraId="5328B44F" w14:textId="1224DCA5" w:rsidR="001D3AD9" w:rsidRPr="00806503" w:rsidRDefault="001D3AD9" w:rsidP="001F676F">
            <w:pPr>
              <w:pStyle w:val="TableHeaderRow"/>
              <w:framePr w:hSpace="0" w:wrap="auto" w:vAnchor="margin" w:hAnchor="text" w:yAlign="inline"/>
            </w:pPr>
            <w:r>
              <w:t>Date</w:t>
            </w:r>
          </w:p>
        </w:tc>
        <w:tc>
          <w:tcPr>
            <w:tcW w:w="1424" w:type="pct"/>
          </w:tcPr>
          <w:p w14:paraId="43490A54" w14:textId="06E23326" w:rsidR="001D3AD9" w:rsidRPr="00B92E1E" w:rsidRDefault="001D3AD9" w:rsidP="001F676F">
            <w:pPr>
              <w:pStyle w:val="TableHeaderRow"/>
              <w:framePr w:hSpace="0" w:wrap="auto" w:vAnchor="margin" w:hAnchor="text" w:yAlign="inline"/>
            </w:pPr>
            <w:r>
              <w:t xml:space="preserve">Activity </w:t>
            </w:r>
          </w:p>
        </w:tc>
        <w:tc>
          <w:tcPr>
            <w:tcW w:w="149" w:type="pct"/>
          </w:tcPr>
          <w:p w14:paraId="641E0BAF" w14:textId="77777777" w:rsidR="001D3AD9" w:rsidRPr="00806503" w:rsidRDefault="001D3AD9" w:rsidP="001F676F">
            <w:pPr>
              <w:pStyle w:val="TableHeaderRow"/>
              <w:framePr w:hSpace="0" w:wrap="auto" w:vAnchor="margin" w:hAnchor="text" w:yAlign="inline"/>
            </w:pPr>
          </w:p>
        </w:tc>
        <w:tc>
          <w:tcPr>
            <w:tcW w:w="1668" w:type="pct"/>
          </w:tcPr>
          <w:p w14:paraId="0893CD56" w14:textId="77777777" w:rsidR="001D3AD9" w:rsidRPr="00806503" w:rsidRDefault="001D3AD9" w:rsidP="001F676F">
            <w:pPr>
              <w:pStyle w:val="TableHeaderRow"/>
              <w:framePr w:hSpace="0" w:wrap="auto" w:vAnchor="margin" w:hAnchor="text" w:yAlign="inline"/>
            </w:pPr>
          </w:p>
        </w:tc>
      </w:tr>
      <w:tr w:rsidR="001D3AD9" w:rsidRPr="006B0E2A" w14:paraId="5751A892" w14:textId="77777777" w:rsidTr="00B266B7">
        <w:tc>
          <w:tcPr>
            <w:tcW w:w="1759" w:type="pct"/>
          </w:tcPr>
          <w:p w14:paraId="0BFA8495" w14:textId="7D29CA0B" w:rsidR="001D3AD9" w:rsidRPr="00B92E1E" w:rsidRDefault="001D3AD9" w:rsidP="001F676F">
            <w:pPr>
              <w:pStyle w:val="TableHeaderRow"/>
              <w:framePr w:hSpace="0" w:wrap="auto" w:vAnchor="margin" w:hAnchor="text" w:yAlign="inline"/>
            </w:pPr>
            <w:r>
              <w:t>1 May – 2 May</w:t>
            </w:r>
          </w:p>
        </w:tc>
        <w:tc>
          <w:tcPr>
            <w:tcW w:w="3241" w:type="pct"/>
            <w:gridSpan w:val="3"/>
          </w:tcPr>
          <w:p w14:paraId="001EA5B8" w14:textId="4FA0EB05" w:rsidR="001D3AD9" w:rsidRPr="008B0A75" w:rsidRDefault="001D3AD9" w:rsidP="008B0A75">
            <w:pPr>
              <w:suppressAutoHyphens w:val="0"/>
              <w:spacing w:before="0" w:after="0" w:line="240" w:lineRule="auto"/>
              <w:rPr>
                <w:rFonts w:ascii="Times New Roman" w:eastAsia="Times New Roman" w:hAnsi="Times New Roman" w:cs="Times New Roman"/>
                <w:color w:val="auto"/>
                <w:sz w:val="24"/>
                <w:szCs w:val="24"/>
                <w:lang w:eastAsia="en-GB"/>
              </w:rPr>
            </w:pPr>
            <w:r w:rsidRPr="00D37AF9">
              <w:rPr>
                <w:rFonts w:eastAsia="Times New Roman" w:cs="Times New Roman"/>
                <w:color w:val="auto"/>
                <w:lang w:eastAsia="en-GB"/>
              </w:rPr>
              <w:t>Evaluation Team meeting in Yangon, interviews with other donors, UN agencies, DFAT desk and post</w:t>
            </w:r>
          </w:p>
        </w:tc>
      </w:tr>
      <w:tr w:rsidR="001D3AD9" w:rsidRPr="006B0E2A" w14:paraId="45CB818D" w14:textId="77777777" w:rsidTr="00B266B7">
        <w:tc>
          <w:tcPr>
            <w:tcW w:w="1759" w:type="pct"/>
          </w:tcPr>
          <w:p w14:paraId="72BCBC6E" w14:textId="0709ABC1" w:rsidR="001D3AD9" w:rsidRPr="00806503" w:rsidRDefault="001D3AD9" w:rsidP="001F676F">
            <w:pPr>
              <w:pStyle w:val="TableHeaderRow"/>
              <w:framePr w:hSpace="0" w:wrap="auto" w:vAnchor="margin" w:hAnchor="text" w:yAlign="inline"/>
            </w:pPr>
            <w:r>
              <w:t>3 May</w:t>
            </w:r>
          </w:p>
        </w:tc>
        <w:tc>
          <w:tcPr>
            <w:tcW w:w="3241" w:type="pct"/>
            <w:gridSpan w:val="3"/>
          </w:tcPr>
          <w:p w14:paraId="072119F1" w14:textId="181F4D6B" w:rsidR="001D3AD9" w:rsidRPr="008B0A75" w:rsidRDefault="001D3AD9" w:rsidP="008B0A75">
            <w:pPr>
              <w:suppressAutoHyphens w:val="0"/>
              <w:spacing w:before="0" w:after="0" w:line="240" w:lineRule="auto"/>
              <w:rPr>
                <w:rFonts w:ascii="Times New Roman" w:eastAsia="Times New Roman" w:hAnsi="Times New Roman" w:cs="Times New Roman"/>
                <w:color w:val="auto"/>
                <w:sz w:val="24"/>
                <w:szCs w:val="24"/>
                <w:lang w:eastAsia="en-GB"/>
              </w:rPr>
            </w:pPr>
            <w:r w:rsidRPr="001D3AD9">
              <w:rPr>
                <w:rFonts w:eastAsia="Times New Roman" w:cs="Times New Roman"/>
                <w:color w:val="auto"/>
                <w:lang w:eastAsia="en-GB"/>
              </w:rPr>
              <w:t>NPT </w:t>
            </w:r>
            <w:r w:rsidR="00BB690F">
              <w:rPr>
                <w:rFonts w:eastAsia="Times New Roman" w:cs="Times New Roman"/>
                <w:color w:val="auto"/>
                <w:lang w:eastAsia="en-GB"/>
              </w:rPr>
              <w:t>-</w:t>
            </w:r>
            <w:r>
              <w:rPr>
                <w:rFonts w:eastAsia="Times New Roman" w:cs="Times New Roman"/>
                <w:color w:val="auto"/>
                <w:lang w:eastAsia="en-GB"/>
              </w:rPr>
              <w:t xml:space="preserve"> </w:t>
            </w:r>
            <w:r w:rsidRPr="001D3AD9">
              <w:rPr>
                <w:rFonts w:eastAsia="Times New Roman" w:cs="Times New Roman"/>
                <w:color w:val="auto"/>
                <w:lang w:eastAsia="en-GB"/>
              </w:rPr>
              <w:t>Interviews with stake holders, and government representatives</w:t>
            </w:r>
            <w:r w:rsidRPr="001D3AD9">
              <w:rPr>
                <w:rFonts w:eastAsia="Times New Roman" w:cs="Times New Roman"/>
                <w:color w:val="auto"/>
                <w:lang w:eastAsia="en-GB"/>
              </w:rPr>
              <w:br/>
              <w:t>(day trip)</w:t>
            </w:r>
          </w:p>
        </w:tc>
      </w:tr>
      <w:tr w:rsidR="001D3AD9" w:rsidRPr="006B0E2A" w14:paraId="4C02A57D" w14:textId="77777777" w:rsidTr="00B266B7">
        <w:tc>
          <w:tcPr>
            <w:tcW w:w="1759" w:type="pct"/>
          </w:tcPr>
          <w:p w14:paraId="2B35D943" w14:textId="120AA58C" w:rsidR="001D3AD9" w:rsidRPr="00B266B7" w:rsidRDefault="001D3AD9" w:rsidP="00B266B7">
            <w:pPr>
              <w:suppressAutoHyphens w:val="0"/>
              <w:spacing w:before="0" w:after="0" w:line="240" w:lineRule="auto"/>
              <w:rPr>
                <w:rFonts w:eastAsia="Times New Roman" w:cs="Times New Roman"/>
                <w:color w:val="auto"/>
                <w:lang w:eastAsia="en-GB"/>
              </w:rPr>
            </w:pPr>
            <w:r w:rsidRPr="00B266B7">
              <w:rPr>
                <w:rFonts w:eastAsia="Times New Roman" w:cs="Times New Roman"/>
                <w:color w:val="auto"/>
                <w:lang w:eastAsia="en-GB"/>
              </w:rPr>
              <w:t xml:space="preserve">4 May – 5 May  </w:t>
            </w:r>
          </w:p>
        </w:tc>
        <w:tc>
          <w:tcPr>
            <w:tcW w:w="3241" w:type="pct"/>
            <w:gridSpan w:val="3"/>
          </w:tcPr>
          <w:p w14:paraId="6BF59FAF" w14:textId="343C149E" w:rsidR="001D3AD9" w:rsidRPr="00B266B7" w:rsidRDefault="001D3AD9" w:rsidP="00B266B7">
            <w:pPr>
              <w:suppressAutoHyphens w:val="0"/>
              <w:spacing w:before="0" w:after="0" w:line="240" w:lineRule="auto"/>
              <w:rPr>
                <w:rFonts w:eastAsia="Times New Roman" w:cs="Times New Roman"/>
                <w:color w:val="auto"/>
                <w:lang w:eastAsia="en-GB"/>
              </w:rPr>
            </w:pPr>
            <w:r w:rsidRPr="001D3AD9">
              <w:rPr>
                <w:rFonts w:eastAsia="Times New Roman" w:cs="Times New Roman"/>
                <w:color w:val="auto"/>
                <w:lang w:eastAsia="en-GB"/>
              </w:rPr>
              <w:t>Field trip to Kachin and meeting with implementing partners (UNFPA, ICRC), IDP camps visit</w:t>
            </w:r>
          </w:p>
        </w:tc>
      </w:tr>
      <w:tr w:rsidR="001D3AD9" w:rsidRPr="006B0E2A" w14:paraId="5E04EBBB" w14:textId="77777777" w:rsidTr="00B266B7">
        <w:tc>
          <w:tcPr>
            <w:tcW w:w="1759" w:type="pct"/>
          </w:tcPr>
          <w:p w14:paraId="1C938341" w14:textId="41C33D29" w:rsidR="001D3AD9" w:rsidRPr="00B266B7" w:rsidRDefault="001D3AD9" w:rsidP="00B266B7">
            <w:pPr>
              <w:suppressAutoHyphens w:val="0"/>
              <w:spacing w:before="0" w:after="0" w:line="240" w:lineRule="auto"/>
              <w:rPr>
                <w:rFonts w:eastAsia="Times New Roman" w:cs="Times New Roman"/>
                <w:color w:val="auto"/>
                <w:lang w:eastAsia="en-GB"/>
              </w:rPr>
            </w:pPr>
            <w:r w:rsidRPr="00B266B7">
              <w:rPr>
                <w:rFonts w:eastAsia="Times New Roman" w:cs="Times New Roman"/>
                <w:color w:val="auto"/>
                <w:lang w:eastAsia="en-GB"/>
              </w:rPr>
              <w:t xml:space="preserve">8 May – 11 May  </w:t>
            </w:r>
          </w:p>
        </w:tc>
        <w:tc>
          <w:tcPr>
            <w:tcW w:w="3241" w:type="pct"/>
            <w:gridSpan w:val="3"/>
          </w:tcPr>
          <w:p w14:paraId="5E85A97F" w14:textId="20555D27" w:rsidR="001D3AD9" w:rsidRPr="008B0A75" w:rsidRDefault="00B266B7" w:rsidP="00B266B7">
            <w:pPr>
              <w:suppressAutoHyphens w:val="0"/>
              <w:spacing w:before="0" w:after="0" w:line="240" w:lineRule="auto"/>
              <w:rPr>
                <w:rFonts w:ascii="Times New Roman" w:eastAsia="Times New Roman" w:hAnsi="Times New Roman" w:cs="Times New Roman"/>
                <w:color w:val="auto"/>
                <w:sz w:val="24"/>
                <w:szCs w:val="24"/>
                <w:lang w:eastAsia="en-GB"/>
              </w:rPr>
            </w:pPr>
            <w:r w:rsidRPr="00B266B7">
              <w:rPr>
                <w:rFonts w:eastAsia="Times New Roman" w:cs="Times New Roman"/>
                <w:color w:val="auto"/>
                <w:lang w:eastAsia="en-GB"/>
              </w:rPr>
              <w:t>Field trip to Rakhine and meeting with implementing partners (DRC), IDP camps visit</w:t>
            </w:r>
            <w:r w:rsidRPr="00B266B7">
              <w:rPr>
                <w:rFonts w:eastAsia="Times New Roman" w:cs="Times New Roman"/>
                <w:color w:val="auto"/>
                <w:lang w:eastAsia="en-GB"/>
              </w:rPr>
              <w:br/>
              <w:t>Field visit to Pauk Taw (tentative)</w:t>
            </w:r>
          </w:p>
        </w:tc>
      </w:tr>
      <w:tr w:rsidR="001D3AD9" w:rsidRPr="006B0E2A" w14:paraId="45E9A7A3" w14:textId="77777777" w:rsidTr="00B266B7">
        <w:tc>
          <w:tcPr>
            <w:tcW w:w="1759" w:type="pct"/>
          </w:tcPr>
          <w:p w14:paraId="7DD44AC2" w14:textId="20282426" w:rsidR="001D3AD9" w:rsidRPr="00B266B7" w:rsidRDefault="00B266B7" w:rsidP="00B266B7">
            <w:pPr>
              <w:suppressAutoHyphens w:val="0"/>
              <w:spacing w:before="0" w:after="0" w:line="240" w:lineRule="auto"/>
              <w:rPr>
                <w:rFonts w:eastAsia="Times New Roman" w:cs="Times New Roman"/>
                <w:color w:val="auto"/>
                <w:lang w:eastAsia="en-GB"/>
              </w:rPr>
            </w:pPr>
            <w:r w:rsidRPr="00B266B7">
              <w:rPr>
                <w:rFonts w:eastAsia="Times New Roman" w:cs="Times New Roman"/>
                <w:color w:val="auto"/>
                <w:lang w:eastAsia="en-GB"/>
              </w:rPr>
              <w:t xml:space="preserve">12 May </w:t>
            </w:r>
          </w:p>
        </w:tc>
        <w:tc>
          <w:tcPr>
            <w:tcW w:w="3241" w:type="pct"/>
            <w:gridSpan w:val="3"/>
          </w:tcPr>
          <w:p w14:paraId="738E32FD" w14:textId="6EF2B63E" w:rsidR="001D3AD9" w:rsidRPr="00B266B7" w:rsidRDefault="00B266B7" w:rsidP="00B266B7">
            <w:pPr>
              <w:suppressAutoHyphens w:val="0"/>
              <w:spacing w:before="0" w:after="0" w:line="240" w:lineRule="auto"/>
              <w:rPr>
                <w:rFonts w:eastAsia="Times New Roman" w:cs="Times New Roman"/>
                <w:color w:val="auto"/>
                <w:lang w:eastAsia="en-GB"/>
              </w:rPr>
            </w:pPr>
            <w:r w:rsidRPr="00B266B7">
              <w:rPr>
                <w:rFonts w:eastAsia="Times New Roman" w:cs="Times New Roman"/>
                <w:color w:val="auto"/>
                <w:lang w:eastAsia="en-GB"/>
              </w:rPr>
              <w:t xml:space="preserve">Wrap up session at Yangon, feedback, preparation for report </w:t>
            </w:r>
            <w:r w:rsidR="001D3AD9" w:rsidRPr="00B266B7">
              <w:rPr>
                <w:rFonts w:eastAsia="Times New Roman" w:cs="Times New Roman"/>
                <w:color w:val="auto"/>
                <w:lang w:eastAsia="en-GB"/>
              </w:rPr>
              <w:t xml:space="preserve"> </w:t>
            </w:r>
          </w:p>
        </w:tc>
      </w:tr>
      <w:tr w:rsidR="001D3AD9" w:rsidRPr="005B583F" w14:paraId="0D11C641" w14:textId="77777777" w:rsidTr="00B266B7">
        <w:trPr>
          <w:cnfStyle w:val="010000000000" w:firstRow="0" w:lastRow="1" w:firstColumn="0" w:lastColumn="0" w:oddVBand="0" w:evenVBand="0" w:oddHBand="0" w:evenHBand="0" w:firstRowFirstColumn="0" w:firstRowLastColumn="0" w:lastRowFirstColumn="0" w:lastRowLastColumn="0"/>
        </w:trPr>
        <w:tc>
          <w:tcPr>
            <w:tcW w:w="1759" w:type="pct"/>
          </w:tcPr>
          <w:p w14:paraId="45DEAC1C" w14:textId="43D6714B" w:rsidR="001D3AD9" w:rsidRPr="00B92E1E" w:rsidRDefault="001D3AD9" w:rsidP="001F676F">
            <w:pPr>
              <w:pStyle w:val="TableTotalRow"/>
            </w:pPr>
          </w:p>
        </w:tc>
        <w:tc>
          <w:tcPr>
            <w:tcW w:w="3241" w:type="pct"/>
            <w:gridSpan w:val="3"/>
          </w:tcPr>
          <w:p w14:paraId="0D3F281C" w14:textId="7F66479E" w:rsidR="001D3AD9" w:rsidRPr="00B92E1E" w:rsidRDefault="001D3AD9" w:rsidP="001F676F">
            <w:pPr>
              <w:pStyle w:val="TableTotalRow"/>
            </w:pPr>
          </w:p>
        </w:tc>
      </w:tr>
    </w:tbl>
    <w:p w14:paraId="23634870" w14:textId="24497A0A" w:rsidR="00EB3E81" w:rsidRPr="00EB3E81" w:rsidRDefault="00EB3E81" w:rsidP="009E53DD"/>
    <w:p w14:paraId="7A3FC4BA" w14:textId="77777777" w:rsidR="009E53DD" w:rsidRPr="009E53DD" w:rsidRDefault="009E53DD" w:rsidP="009E53DD"/>
    <w:sectPr w:rsidR="009E53DD" w:rsidRPr="009E53DD" w:rsidSect="00863AFD">
      <w:type w:val="evenPage"/>
      <w:pgSz w:w="11906" w:h="16838" w:code="9"/>
      <w:pgMar w:top="1985" w:right="1134" w:bottom="170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635DC" w14:textId="77777777" w:rsidR="00591DBF" w:rsidRDefault="00591DBF" w:rsidP="003A5358">
      <w:r>
        <w:separator/>
      </w:r>
    </w:p>
  </w:endnote>
  <w:endnote w:type="continuationSeparator" w:id="0">
    <w:p w14:paraId="56377579" w14:textId="77777777" w:rsidR="00591DBF" w:rsidRDefault="00591DBF"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66557" w14:textId="77777777" w:rsidR="00795620" w:rsidRDefault="00795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77F85" w14:textId="77777777" w:rsidR="00795620" w:rsidRDefault="007956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7B1CB" w14:textId="77777777" w:rsidR="00795620" w:rsidRDefault="007956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DEE09" w14:textId="77777777" w:rsidR="001732FA" w:rsidRDefault="001732FA" w:rsidP="00D203EB">
    <w:pPr>
      <w:pStyle w:val="Classification"/>
    </w:pPr>
  </w:p>
  <w:p w14:paraId="7F718BA8" w14:textId="45F7E501" w:rsidR="001732FA" w:rsidRDefault="001732FA" w:rsidP="003A5358">
    <w:pPr>
      <w:pStyle w:val="Footer"/>
    </w:pPr>
    <w:r>
      <w:tab/>
    </w:r>
    <w:r w:rsidRPr="00B92E1E">
      <w:fldChar w:fldCharType="begin"/>
    </w:r>
    <w:r>
      <w:instrText xml:space="preserve"> STYLEREF  Title  \* MERGEFORMAT </w:instrText>
    </w:r>
    <w:r w:rsidRPr="00B92E1E">
      <w:fldChar w:fldCharType="separate"/>
    </w:r>
    <w:r w:rsidR="00795620">
      <w:rPr>
        <w:noProof/>
      </w:rPr>
      <w:t>review of Australia’s humanitarian assistance to Myanmar</w:t>
    </w:r>
    <w:r w:rsidRPr="00B92E1E">
      <w:fldChar w:fldCharType="end"/>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sidR="00795620">
      <w:rPr>
        <w:rStyle w:val="PageNumber"/>
        <w:noProof/>
      </w:rPr>
      <w:t>3</w:t>
    </w:r>
    <w:r w:rsidRPr="00B92E1E">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56C6E" w14:textId="77777777" w:rsidR="001732FA" w:rsidRDefault="001732FA" w:rsidP="00D203EB">
    <w:pPr>
      <w:pStyle w:val="Classification"/>
    </w:pPr>
  </w:p>
  <w:p w14:paraId="3D1DADE6" w14:textId="02D9DF9D" w:rsidR="001732FA" w:rsidRDefault="001732FA" w:rsidP="003A5358">
    <w:pPr>
      <w:pStyle w:val="Footer"/>
    </w:pPr>
    <w:r>
      <w:tab/>
    </w:r>
    <w:r w:rsidRPr="005B583F">
      <w:fldChar w:fldCharType="begin"/>
    </w:r>
    <w:r>
      <w:instrText xml:space="preserve"> STYLEREF  Title  \* MERGEFORMAT </w:instrText>
    </w:r>
    <w:r w:rsidRPr="005B583F">
      <w:fldChar w:fldCharType="separate"/>
    </w:r>
    <w:r w:rsidR="00795620">
      <w:rPr>
        <w:noProof/>
      </w:rPr>
      <w:t>review of Australia’s humanitarian assistance to Myanmar</w:t>
    </w:r>
    <w:r w:rsidRPr="005B583F">
      <w:fldChar w:fldCharType="end"/>
    </w:r>
    <w:r>
      <w:tab/>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sidR="00795620">
      <w:rPr>
        <w:rStyle w:val="PageNumber"/>
        <w:noProof/>
      </w:rPr>
      <w:t>2</w:t>
    </w:r>
    <w:r w:rsidRPr="005B583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378BE" w14:textId="77777777" w:rsidR="00591DBF" w:rsidRPr="008C5A0E" w:rsidRDefault="00591DBF" w:rsidP="003A5358">
      <w:pPr>
        <w:pStyle w:val="FootnoteSeparator"/>
      </w:pPr>
    </w:p>
  </w:footnote>
  <w:footnote w:type="continuationSeparator" w:id="0">
    <w:p w14:paraId="4024748B" w14:textId="77777777" w:rsidR="00591DBF" w:rsidRDefault="00591DBF" w:rsidP="003A5358">
      <w:r>
        <w:continuationSeparator/>
      </w:r>
    </w:p>
  </w:footnote>
  <w:footnote w:id="1">
    <w:p w14:paraId="56E46175" w14:textId="2674A722" w:rsidR="001732FA" w:rsidRPr="00EC117B" w:rsidRDefault="001732FA">
      <w:pPr>
        <w:pStyle w:val="FootnoteText"/>
        <w:rPr>
          <w:lang w:val="en-US"/>
        </w:rPr>
      </w:pPr>
      <w:r>
        <w:rPr>
          <w:rStyle w:val="FootnoteReference"/>
        </w:rPr>
        <w:footnoteRef/>
      </w:r>
      <w:r>
        <w:t xml:space="preserve"> </w:t>
      </w:r>
      <w:r>
        <w:rPr>
          <w:lang w:val="en-US"/>
        </w:rPr>
        <w:t>UN OCHA, Humanitarian Needs Overview, 2017</w:t>
      </w:r>
    </w:p>
  </w:footnote>
  <w:footnote w:id="2">
    <w:p w14:paraId="4CAA13B5" w14:textId="2CBE56BE" w:rsidR="001732FA" w:rsidRPr="00B42158" w:rsidRDefault="001732FA">
      <w:pPr>
        <w:pStyle w:val="FootnoteText"/>
        <w:rPr>
          <w:lang w:val="en-US"/>
        </w:rPr>
      </w:pPr>
      <w:r>
        <w:rPr>
          <w:rStyle w:val="FootnoteReference"/>
        </w:rPr>
        <w:footnoteRef/>
      </w:r>
      <w:r>
        <w:t xml:space="preserve"> </w:t>
      </w:r>
      <w:r>
        <w:rPr>
          <w:lang w:val="en-US"/>
        </w:rPr>
        <w:t xml:space="preserve">Including DFAT’s Child Protection Policy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85BDC" w14:textId="77777777" w:rsidR="00795620" w:rsidRDefault="00795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9F603" w14:textId="77777777" w:rsidR="001732FA" w:rsidRPr="00806503" w:rsidRDefault="001732FA" w:rsidP="00057479">
    <w:pPr>
      <w:pStyle w:val="Classification"/>
    </w:pPr>
    <w:r w:rsidRPr="00B92E1E">
      <w:rPr>
        <w:noProof/>
        <w:lang w:val="en-AU" w:eastAsia="en-AU"/>
      </w:rPr>
      <w:drawing>
        <wp:anchor distT="0" distB="0" distL="114300" distR="114300" simplePos="0" relativeHeight="251640832" behindDoc="1" locked="1" layoutInCell="1" allowOverlap="1" wp14:anchorId="1AF68C6D" wp14:editId="7F75EDE9">
          <wp:simplePos x="0" y="0"/>
          <wp:positionH relativeFrom="page">
            <wp:posOffset>720090</wp:posOffset>
          </wp:positionH>
          <wp:positionV relativeFrom="page">
            <wp:posOffset>1584325</wp:posOffset>
          </wp:positionV>
          <wp:extent cx="3168000" cy="554400"/>
          <wp:effectExtent l="0" t="0" r="0" b="0"/>
          <wp:wrapNone/>
          <wp:docPr id="2" name="Picture 2"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8544" behindDoc="1" locked="1" layoutInCell="1" allowOverlap="1" wp14:anchorId="6A350C50" wp14:editId="10263EE5">
          <wp:simplePos x="0" y="0"/>
          <wp:positionH relativeFrom="page">
            <wp:align>left</wp:align>
          </wp:positionH>
          <wp:positionV relativeFrom="page">
            <wp:align>center</wp:align>
          </wp:positionV>
          <wp:extent cx="7559040" cy="1069276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2">
                    <a:extLst>
                      <a:ext uri="{28A0092B-C50C-407E-A947-70E740481C1C}">
                        <a14:useLocalDpi xmlns:a14="http://schemas.microsoft.com/office/drawing/2010/main" val="0"/>
                      </a:ext>
                    </a:extLst>
                  </a:blip>
                  <a:stretch>
                    <a:fillRect/>
                  </a:stretch>
                </pic:blipFill>
                <pic:spPr>
                  <a:xfrm>
                    <a:off x="0" y="0"/>
                    <a:ext cx="7559639" cy="1069323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FA7C7" w14:textId="7507F9E2" w:rsidR="001732FA" w:rsidRDefault="001732FA" w:rsidP="00A75A27">
    <w:pPr>
      <w:pStyle w:val="Classification"/>
    </w:pPr>
    <w:r w:rsidRPr="00B92E1E">
      <w:rPr>
        <w:noProof/>
        <w:lang w:val="en-AU" w:eastAsia="en-AU"/>
      </w:rPr>
      <w:drawing>
        <wp:anchor distT="0" distB="0" distL="114300" distR="114300" simplePos="0" relativeHeight="251625469" behindDoc="1" locked="1" layoutInCell="1" allowOverlap="1" wp14:anchorId="2B4810DB" wp14:editId="0E8A6B16">
          <wp:simplePos x="0" y="0"/>
          <wp:positionH relativeFrom="page">
            <wp:align>center</wp:align>
          </wp:positionH>
          <wp:positionV relativeFrom="page">
            <wp:align>center</wp:align>
          </wp:positionV>
          <wp:extent cx="7560000" cy="10692000"/>
          <wp:effectExtent l="0" t="0" r="952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78720" behindDoc="1" locked="1" layoutInCell="1" allowOverlap="1" wp14:anchorId="56C7D28E" wp14:editId="5851021B">
          <wp:simplePos x="0" y="0"/>
          <wp:positionH relativeFrom="page">
            <wp:posOffset>720090</wp:posOffset>
          </wp:positionH>
          <wp:positionV relativeFrom="page">
            <wp:posOffset>1584325</wp:posOffset>
          </wp:positionV>
          <wp:extent cx="3168000" cy="554400"/>
          <wp:effectExtent l="0" t="0" r="0" b="0"/>
          <wp:wrapNone/>
          <wp:docPr id="5" name="Picture 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D3474" w14:textId="77777777" w:rsidR="001732FA" w:rsidRPr="00806503" w:rsidRDefault="001732FA" w:rsidP="00D203EB">
    <w:pPr>
      <w:pStyle w:val="Classification"/>
    </w:pPr>
    <w:r w:rsidRPr="00B92E1E">
      <w:rPr>
        <w:noProof/>
        <w:lang w:val="en-AU" w:eastAsia="en-AU"/>
      </w:rPr>
      <w:drawing>
        <wp:anchor distT="0" distB="0" distL="114300" distR="114300" simplePos="0" relativeHeight="251653632" behindDoc="1" locked="1" layoutInCell="1" allowOverlap="1" wp14:anchorId="6E978D7A" wp14:editId="0E3C4B87">
          <wp:simplePos x="0" y="0"/>
          <wp:positionH relativeFrom="page">
            <wp:align>left</wp:align>
          </wp:positionH>
          <wp:positionV relativeFrom="page">
            <wp:align>center</wp:align>
          </wp:positionV>
          <wp:extent cx="7558405" cy="10692130"/>
          <wp:effectExtent l="0" t="0" r="444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770E7" w14:textId="77777777" w:rsidR="001732FA" w:rsidRPr="00806503" w:rsidRDefault="001732FA" w:rsidP="00D203EB">
    <w:pPr>
      <w:pStyle w:val="Classification"/>
    </w:pPr>
    <w:r w:rsidRPr="00B92E1E">
      <w:rPr>
        <w:noProof/>
        <w:lang w:val="en-AU" w:eastAsia="en-AU"/>
      </w:rPr>
      <w:drawing>
        <wp:anchor distT="0" distB="0" distL="114300" distR="114300" simplePos="0" relativeHeight="251654656" behindDoc="1" locked="1" layoutInCell="1" allowOverlap="1" wp14:anchorId="0117738A" wp14:editId="7BB82DA0">
          <wp:simplePos x="0" y="0"/>
          <wp:positionH relativeFrom="page">
            <wp:align>left</wp:align>
          </wp:positionH>
          <wp:positionV relativeFrom="page">
            <wp:align>center</wp:align>
          </wp:positionV>
          <wp:extent cx="7558405" cy="10692130"/>
          <wp:effectExtent l="0" t="0" r="444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B4E2D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1347C"/>
    <w:multiLevelType w:val="hybridMultilevel"/>
    <w:tmpl w:val="7EE4504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4AC3E73"/>
    <w:multiLevelType w:val="hybridMultilevel"/>
    <w:tmpl w:val="FF921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5" w15:restartNumberingAfterBreak="0">
    <w:nsid w:val="18C1488B"/>
    <w:multiLevelType w:val="hybridMultilevel"/>
    <w:tmpl w:val="A4283152"/>
    <w:lvl w:ilvl="0" w:tplc="0C09000F">
      <w:start w:val="1"/>
      <w:numFmt w:val="decimal"/>
      <w:lvlText w:val="%1."/>
      <w:lvlJc w:val="left"/>
      <w:pPr>
        <w:ind w:left="360" w:hanging="360"/>
      </w:pPr>
      <w:rPr>
        <w:rFonts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E765B4"/>
    <w:multiLevelType w:val="hybridMultilevel"/>
    <w:tmpl w:val="C89A30EA"/>
    <w:lvl w:ilvl="0" w:tplc="0C090019">
      <w:start w:val="1"/>
      <w:numFmt w:val="lowerLetter"/>
      <w:lvlText w:val="%1."/>
      <w:lvlJc w:val="left"/>
      <w:pPr>
        <w:ind w:left="1920" w:hanging="360"/>
      </w:pPr>
    </w:lvl>
    <w:lvl w:ilvl="1" w:tplc="0C090019">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7" w15:restartNumberingAfterBreak="0">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333413D9"/>
    <w:multiLevelType w:val="hybridMultilevel"/>
    <w:tmpl w:val="2C946EDE"/>
    <w:lvl w:ilvl="0" w:tplc="0C09000F">
      <w:start w:val="1"/>
      <w:numFmt w:val="decimal"/>
      <w:lvlText w:val="%1."/>
      <w:lvlJc w:val="left"/>
      <w:pPr>
        <w:ind w:left="360" w:hanging="360"/>
      </w:pPr>
      <w:rPr>
        <w:rFonts w:hint="default"/>
      </w:rPr>
    </w:lvl>
    <w:lvl w:ilvl="1" w:tplc="0C090019">
      <w:start w:val="1"/>
      <w:numFmt w:val="lowerLetter"/>
      <w:lvlText w:val="%2."/>
      <w:lvlJc w:val="left"/>
      <w:pPr>
        <w:ind w:left="192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A5849E9"/>
    <w:multiLevelType w:val="hybridMultilevel"/>
    <w:tmpl w:val="B2200FF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B565667"/>
    <w:multiLevelType w:val="multilevel"/>
    <w:tmpl w:val="5D9A3B7C"/>
    <w:numStyleLink w:val="BulletsList"/>
  </w:abstractNum>
  <w:abstractNum w:abstractNumId="1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3" w15:restartNumberingAfterBreak="0">
    <w:nsid w:val="6A521E3D"/>
    <w:multiLevelType w:val="hybridMultilevel"/>
    <w:tmpl w:val="E4401CE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3107305"/>
    <w:multiLevelType w:val="multilevel"/>
    <w:tmpl w:val="5D9A3B7C"/>
    <w:styleLink w:val="BulletsList"/>
    <w:lvl w:ilvl="0">
      <w:start w:val="1"/>
      <w:numFmt w:val="bullet"/>
      <w:pStyle w:val="Bullet1"/>
      <w:lvlText w:val=""/>
      <w:lvlJc w:val="left"/>
      <w:pPr>
        <w:tabs>
          <w:tab w:val="num" w:pos="284"/>
        </w:tabs>
        <w:ind w:left="284" w:firstLine="0"/>
      </w:pPr>
      <w:rPr>
        <w:rFonts w:ascii="Symbol" w:hAnsi="Symbol" w:hint="default"/>
      </w:rPr>
    </w:lvl>
    <w:lvl w:ilvl="1">
      <w:start w:val="1"/>
      <w:numFmt w:val="bullet"/>
      <w:pStyle w:val="Bullet2"/>
      <w:lvlText w:val="–"/>
      <w:lvlJc w:val="left"/>
      <w:pPr>
        <w:tabs>
          <w:tab w:val="num" w:pos="568"/>
        </w:tabs>
        <w:ind w:left="568" w:firstLine="0"/>
      </w:pPr>
      <w:rPr>
        <w:rFonts w:ascii="Arial" w:hAnsi="Arial" w:hint="default"/>
      </w:rPr>
    </w:lvl>
    <w:lvl w:ilvl="2">
      <w:start w:val="1"/>
      <w:numFmt w:val="bullet"/>
      <w:pStyle w:val="Bullet3"/>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5"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7F775637"/>
    <w:multiLevelType w:val="hybridMultilevel"/>
    <w:tmpl w:val="84A41C7A"/>
    <w:lvl w:ilvl="0" w:tplc="6EA4F77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F7A528B"/>
    <w:multiLevelType w:val="hybridMultilevel"/>
    <w:tmpl w:val="EC480494"/>
    <w:lvl w:ilvl="0" w:tplc="DF78C01E">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7"/>
  </w:num>
  <w:num w:numId="4">
    <w:abstractNumId w:val="11"/>
  </w:num>
  <w:num w:numId="5">
    <w:abstractNumId w:val="12"/>
  </w:num>
  <w:num w:numId="6">
    <w:abstractNumId w:val="2"/>
  </w:num>
  <w:num w:numId="7">
    <w:abstractNumId w:val="7"/>
  </w:num>
  <w:num w:numId="8">
    <w:abstractNumId w:val="4"/>
  </w:num>
  <w:num w:numId="9">
    <w:abstractNumId w:val="15"/>
  </w:num>
  <w:num w:numId="10">
    <w:abstractNumId w:val="10"/>
  </w:num>
  <w:num w:numId="11">
    <w:abstractNumId w:val="17"/>
  </w:num>
  <w:num w:numId="12">
    <w:abstractNumId w:val="3"/>
  </w:num>
  <w:num w:numId="13">
    <w:abstractNumId w:val="5"/>
  </w:num>
  <w:num w:numId="14">
    <w:abstractNumId w:val="9"/>
  </w:num>
  <w:num w:numId="15">
    <w:abstractNumId w:val="13"/>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8"/>
  </w:num>
  <w:num w:numId="20">
    <w:abstractNumId w:val="6"/>
  </w:num>
  <w:num w:numId="21">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2A71"/>
    <w:rsid w:val="000072CC"/>
    <w:rsid w:val="00010A66"/>
    <w:rsid w:val="00013F0E"/>
    <w:rsid w:val="00015044"/>
    <w:rsid w:val="0002080A"/>
    <w:rsid w:val="0002608C"/>
    <w:rsid w:val="00027287"/>
    <w:rsid w:val="0002782F"/>
    <w:rsid w:val="000356C3"/>
    <w:rsid w:val="000435D6"/>
    <w:rsid w:val="00044D85"/>
    <w:rsid w:val="000524C5"/>
    <w:rsid w:val="0005265C"/>
    <w:rsid w:val="000549CC"/>
    <w:rsid w:val="00054E4D"/>
    <w:rsid w:val="00057479"/>
    <w:rsid w:val="0005779F"/>
    <w:rsid w:val="00060073"/>
    <w:rsid w:val="00074BE4"/>
    <w:rsid w:val="00082DB4"/>
    <w:rsid w:val="000940FA"/>
    <w:rsid w:val="000A3007"/>
    <w:rsid w:val="000B2DCE"/>
    <w:rsid w:val="000B3155"/>
    <w:rsid w:val="000B321A"/>
    <w:rsid w:val="000D5FA6"/>
    <w:rsid w:val="000E0693"/>
    <w:rsid w:val="000E79F6"/>
    <w:rsid w:val="000F51F1"/>
    <w:rsid w:val="0010016C"/>
    <w:rsid w:val="0010741A"/>
    <w:rsid w:val="00112074"/>
    <w:rsid w:val="001250CF"/>
    <w:rsid w:val="00126C6C"/>
    <w:rsid w:val="00141E3E"/>
    <w:rsid w:val="00142E45"/>
    <w:rsid w:val="001541EA"/>
    <w:rsid w:val="00157C34"/>
    <w:rsid w:val="001634F8"/>
    <w:rsid w:val="00165E3E"/>
    <w:rsid w:val="001732FA"/>
    <w:rsid w:val="001748CC"/>
    <w:rsid w:val="00176709"/>
    <w:rsid w:val="0018796C"/>
    <w:rsid w:val="0019385D"/>
    <w:rsid w:val="001965D6"/>
    <w:rsid w:val="001A32A5"/>
    <w:rsid w:val="001A7B36"/>
    <w:rsid w:val="001B2B3E"/>
    <w:rsid w:val="001C013B"/>
    <w:rsid w:val="001C1243"/>
    <w:rsid w:val="001C700A"/>
    <w:rsid w:val="001C7935"/>
    <w:rsid w:val="001D245C"/>
    <w:rsid w:val="001D3AD9"/>
    <w:rsid w:val="001D663E"/>
    <w:rsid w:val="001E1DC0"/>
    <w:rsid w:val="001E2ED0"/>
    <w:rsid w:val="001E592E"/>
    <w:rsid w:val="001F676F"/>
    <w:rsid w:val="00203BF7"/>
    <w:rsid w:val="00212E3D"/>
    <w:rsid w:val="0021743C"/>
    <w:rsid w:val="0022186C"/>
    <w:rsid w:val="00227023"/>
    <w:rsid w:val="002345CA"/>
    <w:rsid w:val="0023481D"/>
    <w:rsid w:val="0023647E"/>
    <w:rsid w:val="00240B1D"/>
    <w:rsid w:val="00242724"/>
    <w:rsid w:val="0024653B"/>
    <w:rsid w:val="0027099B"/>
    <w:rsid w:val="00271503"/>
    <w:rsid w:val="00276B76"/>
    <w:rsid w:val="0027774D"/>
    <w:rsid w:val="00281CC0"/>
    <w:rsid w:val="00282C96"/>
    <w:rsid w:val="00285951"/>
    <w:rsid w:val="0028602A"/>
    <w:rsid w:val="002A5902"/>
    <w:rsid w:val="002B2E63"/>
    <w:rsid w:val="002B3356"/>
    <w:rsid w:val="002B6503"/>
    <w:rsid w:val="002C6B29"/>
    <w:rsid w:val="002D33DB"/>
    <w:rsid w:val="002D484F"/>
    <w:rsid w:val="002D6925"/>
    <w:rsid w:val="002F3D6B"/>
    <w:rsid w:val="002F7D42"/>
    <w:rsid w:val="003002C0"/>
    <w:rsid w:val="00301144"/>
    <w:rsid w:val="003148B7"/>
    <w:rsid w:val="003158C3"/>
    <w:rsid w:val="003274CD"/>
    <w:rsid w:val="0033315A"/>
    <w:rsid w:val="00333501"/>
    <w:rsid w:val="003339DC"/>
    <w:rsid w:val="00335A8B"/>
    <w:rsid w:val="003457C4"/>
    <w:rsid w:val="0035119D"/>
    <w:rsid w:val="003567C7"/>
    <w:rsid w:val="00363B3C"/>
    <w:rsid w:val="003A0258"/>
    <w:rsid w:val="003A18C3"/>
    <w:rsid w:val="003A5358"/>
    <w:rsid w:val="003B4048"/>
    <w:rsid w:val="003B4F12"/>
    <w:rsid w:val="003B68A5"/>
    <w:rsid w:val="003C25A0"/>
    <w:rsid w:val="003C2B54"/>
    <w:rsid w:val="003D6A7E"/>
    <w:rsid w:val="003E0442"/>
    <w:rsid w:val="003F475F"/>
    <w:rsid w:val="003F72D2"/>
    <w:rsid w:val="00410F0C"/>
    <w:rsid w:val="00417E6F"/>
    <w:rsid w:val="004215E7"/>
    <w:rsid w:val="004230ED"/>
    <w:rsid w:val="00423F31"/>
    <w:rsid w:val="00425CB9"/>
    <w:rsid w:val="00426C51"/>
    <w:rsid w:val="00431899"/>
    <w:rsid w:val="00455AA7"/>
    <w:rsid w:val="00456C7B"/>
    <w:rsid w:val="00464B7A"/>
    <w:rsid w:val="00465A62"/>
    <w:rsid w:val="00467695"/>
    <w:rsid w:val="004746CD"/>
    <w:rsid w:val="0048065E"/>
    <w:rsid w:val="00481CA0"/>
    <w:rsid w:val="00486804"/>
    <w:rsid w:val="00490958"/>
    <w:rsid w:val="00491A69"/>
    <w:rsid w:val="00495F8E"/>
    <w:rsid w:val="004A3597"/>
    <w:rsid w:val="004B04D9"/>
    <w:rsid w:val="004B3775"/>
    <w:rsid w:val="004C1C48"/>
    <w:rsid w:val="004D0AEE"/>
    <w:rsid w:val="004D336E"/>
    <w:rsid w:val="004D633C"/>
    <w:rsid w:val="004E058F"/>
    <w:rsid w:val="004E3B87"/>
    <w:rsid w:val="004F1969"/>
    <w:rsid w:val="00501EA3"/>
    <w:rsid w:val="0050405D"/>
    <w:rsid w:val="00510921"/>
    <w:rsid w:val="00510AD3"/>
    <w:rsid w:val="0051207D"/>
    <w:rsid w:val="00513348"/>
    <w:rsid w:val="00524693"/>
    <w:rsid w:val="00533B5D"/>
    <w:rsid w:val="00537DF5"/>
    <w:rsid w:val="0054744D"/>
    <w:rsid w:val="00550208"/>
    <w:rsid w:val="005571EC"/>
    <w:rsid w:val="00561E55"/>
    <w:rsid w:val="00563F7F"/>
    <w:rsid w:val="00576B0A"/>
    <w:rsid w:val="00581BD3"/>
    <w:rsid w:val="0058458D"/>
    <w:rsid w:val="00591DBF"/>
    <w:rsid w:val="00594B17"/>
    <w:rsid w:val="005950CA"/>
    <w:rsid w:val="00596DED"/>
    <w:rsid w:val="005A77A4"/>
    <w:rsid w:val="005A7C7B"/>
    <w:rsid w:val="005B0983"/>
    <w:rsid w:val="005B4559"/>
    <w:rsid w:val="005B583F"/>
    <w:rsid w:val="005C6541"/>
    <w:rsid w:val="005D485E"/>
    <w:rsid w:val="005E52D9"/>
    <w:rsid w:val="005F0B8B"/>
    <w:rsid w:val="005F6A04"/>
    <w:rsid w:val="005F6AD7"/>
    <w:rsid w:val="00613E1B"/>
    <w:rsid w:val="00617926"/>
    <w:rsid w:val="00623BA1"/>
    <w:rsid w:val="00624B84"/>
    <w:rsid w:val="006253AA"/>
    <w:rsid w:val="00627558"/>
    <w:rsid w:val="00630470"/>
    <w:rsid w:val="006330C1"/>
    <w:rsid w:val="006346BC"/>
    <w:rsid w:val="00637B0B"/>
    <w:rsid w:val="00637B36"/>
    <w:rsid w:val="0064387C"/>
    <w:rsid w:val="00655169"/>
    <w:rsid w:val="006566BE"/>
    <w:rsid w:val="00660AF5"/>
    <w:rsid w:val="00660B66"/>
    <w:rsid w:val="0066652A"/>
    <w:rsid w:val="00672E4B"/>
    <w:rsid w:val="006771F5"/>
    <w:rsid w:val="00681648"/>
    <w:rsid w:val="00682167"/>
    <w:rsid w:val="00684ABB"/>
    <w:rsid w:val="00685FD6"/>
    <w:rsid w:val="00687B3B"/>
    <w:rsid w:val="00694B87"/>
    <w:rsid w:val="00694D36"/>
    <w:rsid w:val="006B0E2A"/>
    <w:rsid w:val="006B3942"/>
    <w:rsid w:val="006C42AF"/>
    <w:rsid w:val="006C483E"/>
    <w:rsid w:val="006C7CE0"/>
    <w:rsid w:val="006D5B51"/>
    <w:rsid w:val="006E05FD"/>
    <w:rsid w:val="006E2A12"/>
    <w:rsid w:val="006E4E75"/>
    <w:rsid w:val="006F0606"/>
    <w:rsid w:val="006F5B8B"/>
    <w:rsid w:val="00700B3A"/>
    <w:rsid w:val="0071086E"/>
    <w:rsid w:val="00711D8E"/>
    <w:rsid w:val="00712672"/>
    <w:rsid w:val="00715AD9"/>
    <w:rsid w:val="007308E8"/>
    <w:rsid w:val="00732972"/>
    <w:rsid w:val="00734E3F"/>
    <w:rsid w:val="00736985"/>
    <w:rsid w:val="00745DF5"/>
    <w:rsid w:val="00750DBA"/>
    <w:rsid w:val="00755559"/>
    <w:rsid w:val="00756044"/>
    <w:rsid w:val="00761FBB"/>
    <w:rsid w:val="007626E7"/>
    <w:rsid w:val="007660BA"/>
    <w:rsid w:val="0076755D"/>
    <w:rsid w:val="00771829"/>
    <w:rsid w:val="00774489"/>
    <w:rsid w:val="00782E1D"/>
    <w:rsid w:val="00794D55"/>
    <w:rsid w:val="00795620"/>
    <w:rsid w:val="0079738A"/>
    <w:rsid w:val="007A0359"/>
    <w:rsid w:val="007A05F4"/>
    <w:rsid w:val="007A28F9"/>
    <w:rsid w:val="007A4482"/>
    <w:rsid w:val="007A6D68"/>
    <w:rsid w:val="007B4F25"/>
    <w:rsid w:val="007B6200"/>
    <w:rsid w:val="007B7987"/>
    <w:rsid w:val="007C06F3"/>
    <w:rsid w:val="007C6B67"/>
    <w:rsid w:val="007D520B"/>
    <w:rsid w:val="007E3380"/>
    <w:rsid w:val="007E4525"/>
    <w:rsid w:val="007E4CF3"/>
    <w:rsid w:val="007E5CA4"/>
    <w:rsid w:val="007F1139"/>
    <w:rsid w:val="007F3395"/>
    <w:rsid w:val="007F7D51"/>
    <w:rsid w:val="00801B9F"/>
    <w:rsid w:val="00806503"/>
    <w:rsid w:val="00810F0F"/>
    <w:rsid w:val="00816062"/>
    <w:rsid w:val="008316CD"/>
    <w:rsid w:val="00834336"/>
    <w:rsid w:val="008346C0"/>
    <w:rsid w:val="0085011E"/>
    <w:rsid w:val="00850AAB"/>
    <w:rsid w:val="00855899"/>
    <w:rsid w:val="00863AFD"/>
    <w:rsid w:val="00870A4C"/>
    <w:rsid w:val="0087375C"/>
    <w:rsid w:val="008766EB"/>
    <w:rsid w:val="008830D2"/>
    <w:rsid w:val="0088677A"/>
    <w:rsid w:val="00892441"/>
    <w:rsid w:val="0089564E"/>
    <w:rsid w:val="008B0A75"/>
    <w:rsid w:val="008B2196"/>
    <w:rsid w:val="008B4AE8"/>
    <w:rsid w:val="008C455D"/>
    <w:rsid w:val="008C5A0E"/>
    <w:rsid w:val="008C604E"/>
    <w:rsid w:val="008C6689"/>
    <w:rsid w:val="008D491E"/>
    <w:rsid w:val="008E032F"/>
    <w:rsid w:val="008E1C40"/>
    <w:rsid w:val="008E2226"/>
    <w:rsid w:val="008F4016"/>
    <w:rsid w:val="008F516A"/>
    <w:rsid w:val="00900D69"/>
    <w:rsid w:val="00910AFC"/>
    <w:rsid w:val="009408A0"/>
    <w:rsid w:val="00961895"/>
    <w:rsid w:val="0096557B"/>
    <w:rsid w:val="00975A6A"/>
    <w:rsid w:val="00982A5F"/>
    <w:rsid w:val="00983D62"/>
    <w:rsid w:val="00993781"/>
    <w:rsid w:val="009946C6"/>
    <w:rsid w:val="00995000"/>
    <w:rsid w:val="009A06AC"/>
    <w:rsid w:val="009B12CA"/>
    <w:rsid w:val="009B462E"/>
    <w:rsid w:val="009B4D3B"/>
    <w:rsid w:val="009B61BB"/>
    <w:rsid w:val="009D7407"/>
    <w:rsid w:val="009E0866"/>
    <w:rsid w:val="009E53DD"/>
    <w:rsid w:val="009E6183"/>
    <w:rsid w:val="009F0C60"/>
    <w:rsid w:val="009F2B3D"/>
    <w:rsid w:val="009F6423"/>
    <w:rsid w:val="00A06851"/>
    <w:rsid w:val="00A11E37"/>
    <w:rsid w:val="00A13E4D"/>
    <w:rsid w:val="00A24100"/>
    <w:rsid w:val="00A2486C"/>
    <w:rsid w:val="00A24A62"/>
    <w:rsid w:val="00A26CFC"/>
    <w:rsid w:val="00A27B1F"/>
    <w:rsid w:val="00A31C9F"/>
    <w:rsid w:val="00A35ACA"/>
    <w:rsid w:val="00A4144F"/>
    <w:rsid w:val="00A4262D"/>
    <w:rsid w:val="00A43FD9"/>
    <w:rsid w:val="00A4402E"/>
    <w:rsid w:val="00A46A05"/>
    <w:rsid w:val="00A52BE0"/>
    <w:rsid w:val="00A53CF1"/>
    <w:rsid w:val="00A6241D"/>
    <w:rsid w:val="00A65F96"/>
    <w:rsid w:val="00A75A27"/>
    <w:rsid w:val="00A767D9"/>
    <w:rsid w:val="00A76BD6"/>
    <w:rsid w:val="00A93036"/>
    <w:rsid w:val="00AB388E"/>
    <w:rsid w:val="00AC164A"/>
    <w:rsid w:val="00AC5C34"/>
    <w:rsid w:val="00AD7A5F"/>
    <w:rsid w:val="00AF2050"/>
    <w:rsid w:val="00AF6D5E"/>
    <w:rsid w:val="00B03CA8"/>
    <w:rsid w:val="00B23180"/>
    <w:rsid w:val="00B266B7"/>
    <w:rsid w:val="00B364BB"/>
    <w:rsid w:val="00B42158"/>
    <w:rsid w:val="00B42F08"/>
    <w:rsid w:val="00B55E19"/>
    <w:rsid w:val="00B7522E"/>
    <w:rsid w:val="00B851FD"/>
    <w:rsid w:val="00B92E1E"/>
    <w:rsid w:val="00BA4B6D"/>
    <w:rsid w:val="00BA74CA"/>
    <w:rsid w:val="00BB19CD"/>
    <w:rsid w:val="00BB26C5"/>
    <w:rsid w:val="00BB690F"/>
    <w:rsid w:val="00BE0891"/>
    <w:rsid w:val="00BE5204"/>
    <w:rsid w:val="00BE7BBB"/>
    <w:rsid w:val="00BF14D0"/>
    <w:rsid w:val="00BF29D2"/>
    <w:rsid w:val="00BF3A17"/>
    <w:rsid w:val="00BF4DE6"/>
    <w:rsid w:val="00C00C98"/>
    <w:rsid w:val="00C04CAA"/>
    <w:rsid w:val="00C16478"/>
    <w:rsid w:val="00C22912"/>
    <w:rsid w:val="00C22AC9"/>
    <w:rsid w:val="00C268E1"/>
    <w:rsid w:val="00C2728D"/>
    <w:rsid w:val="00C3731C"/>
    <w:rsid w:val="00C377EC"/>
    <w:rsid w:val="00C42CDE"/>
    <w:rsid w:val="00C455FA"/>
    <w:rsid w:val="00C63EE9"/>
    <w:rsid w:val="00C86007"/>
    <w:rsid w:val="00C86253"/>
    <w:rsid w:val="00C95BA7"/>
    <w:rsid w:val="00CA0951"/>
    <w:rsid w:val="00CA1F44"/>
    <w:rsid w:val="00CA37B1"/>
    <w:rsid w:val="00CA6EC9"/>
    <w:rsid w:val="00CA6EF6"/>
    <w:rsid w:val="00CA7805"/>
    <w:rsid w:val="00CB1924"/>
    <w:rsid w:val="00CB1959"/>
    <w:rsid w:val="00CB33E2"/>
    <w:rsid w:val="00CB57C3"/>
    <w:rsid w:val="00CC2738"/>
    <w:rsid w:val="00CC431B"/>
    <w:rsid w:val="00CC7468"/>
    <w:rsid w:val="00CD2F34"/>
    <w:rsid w:val="00CE129A"/>
    <w:rsid w:val="00CE5464"/>
    <w:rsid w:val="00CE5681"/>
    <w:rsid w:val="00CF0471"/>
    <w:rsid w:val="00D0296C"/>
    <w:rsid w:val="00D1264E"/>
    <w:rsid w:val="00D203EB"/>
    <w:rsid w:val="00D25FDE"/>
    <w:rsid w:val="00D335AA"/>
    <w:rsid w:val="00D37AF9"/>
    <w:rsid w:val="00D40C15"/>
    <w:rsid w:val="00D500E9"/>
    <w:rsid w:val="00D62904"/>
    <w:rsid w:val="00D81AEE"/>
    <w:rsid w:val="00D8548A"/>
    <w:rsid w:val="00D904BF"/>
    <w:rsid w:val="00D92101"/>
    <w:rsid w:val="00DB16E1"/>
    <w:rsid w:val="00DB493C"/>
    <w:rsid w:val="00DC6131"/>
    <w:rsid w:val="00DD6AD8"/>
    <w:rsid w:val="00DE07CF"/>
    <w:rsid w:val="00DE1880"/>
    <w:rsid w:val="00DE1CA7"/>
    <w:rsid w:val="00DE36CD"/>
    <w:rsid w:val="00DF545F"/>
    <w:rsid w:val="00E07C68"/>
    <w:rsid w:val="00E1033C"/>
    <w:rsid w:val="00E130F5"/>
    <w:rsid w:val="00E17C0E"/>
    <w:rsid w:val="00E30CB1"/>
    <w:rsid w:val="00E3356F"/>
    <w:rsid w:val="00E357B7"/>
    <w:rsid w:val="00E367F7"/>
    <w:rsid w:val="00E377D5"/>
    <w:rsid w:val="00E37F31"/>
    <w:rsid w:val="00E425BB"/>
    <w:rsid w:val="00E46FC4"/>
    <w:rsid w:val="00E4711A"/>
    <w:rsid w:val="00E53800"/>
    <w:rsid w:val="00E549CC"/>
    <w:rsid w:val="00E6081F"/>
    <w:rsid w:val="00E60A1F"/>
    <w:rsid w:val="00E60B0F"/>
    <w:rsid w:val="00E60E69"/>
    <w:rsid w:val="00E6753E"/>
    <w:rsid w:val="00E70D58"/>
    <w:rsid w:val="00E816B3"/>
    <w:rsid w:val="00E816ED"/>
    <w:rsid w:val="00E82491"/>
    <w:rsid w:val="00E831FC"/>
    <w:rsid w:val="00E839A4"/>
    <w:rsid w:val="00E86880"/>
    <w:rsid w:val="00E95CBE"/>
    <w:rsid w:val="00EA04B2"/>
    <w:rsid w:val="00EA0BCE"/>
    <w:rsid w:val="00EA20F3"/>
    <w:rsid w:val="00EA2B7A"/>
    <w:rsid w:val="00EB2303"/>
    <w:rsid w:val="00EB39AE"/>
    <w:rsid w:val="00EB3E81"/>
    <w:rsid w:val="00EC0E5A"/>
    <w:rsid w:val="00EC117B"/>
    <w:rsid w:val="00EC4BB0"/>
    <w:rsid w:val="00ED43D1"/>
    <w:rsid w:val="00EE1EA7"/>
    <w:rsid w:val="00EE4EE1"/>
    <w:rsid w:val="00EF0EBD"/>
    <w:rsid w:val="00EF23EA"/>
    <w:rsid w:val="00EF4574"/>
    <w:rsid w:val="00EF6F99"/>
    <w:rsid w:val="00F1611E"/>
    <w:rsid w:val="00F20E5E"/>
    <w:rsid w:val="00F22E77"/>
    <w:rsid w:val="00F2658D"/>
    <w:rsid w:val="00F2684E"/>
    <w:rsid w:val="00F305E5"/>
    <w:rsid w:val="00F31869"/>
    <w:rsid w:val="00F3481E"/>
    <w:rsid w:val="00F4791C"/>
    <w:rsid w:val="00F5404C"/>
    <w:rsid w:val="00F63911"/>
    <w:rsid w:val="00F64DDF"/>
    <w:rsid w:val="00F674DD"/>
    <w:rsid w:val="00F70E8E"/>
    <w:rsid w:val="00F71359"/>
    <w:rsid w:val="00F729EF"/>
    <w:rsid w:val="00F74837"/>
    <w:rsid w:val="00F77443"/>
    <w:rsid w:val="00F77CAE"/>
    <w:rsid w:val="00F81E2D"/>
    <w:rsid w:val="00F85EA0"/>
    <w:rsid w:val="00F868ED"/>
    <w:rsid w:val="00F9556C"/>
    <w:rsid w:val="00F958AE"/>
    <w:rsid w:val="00F96BB9"/>
    <w:rsid w:val="00FA5627"/>
    <w:rsid w:val="00FA6261"/>
    <w:rsid w:val="00FB66F8"/>
    <w:rsid w:val="00FC345F"/>
    <w:rsid w:val="00FC4838"/>
    <w:rsid w:val="00FC529C"/>
    <w:rsid w:val="00FC5C82"/>
    <w:rsid w:val="00FC750D"/>
    <w:rsid w:val="00FD1DF4"/>
    <w:rsid w:val="00FD22B7"/>
    <w:rsid w:val="00FE6D51"/>
    <w:rsid w:val="00FE7052"/>
    <w:rsid w:val="00FE7887"/>
    <w:rsid w:val="00FF5AB4"/>
    <w:rsid w:val="00FF76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998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0"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0"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6C6"/>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1611E"/>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1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1C013B"/>
    <w:pPr>
      <w:numPr>
        <w:numId w:val="10"/>
      </w:numPr>
      <w:tabs>
        <w:tab w:val="clear" w:pos="284"/>
        <w:tab w:val="left" w:pos="567"/>
      </w:tabs>
      <w:spacing w:before="60"/>
      <w:ind w:left="568" w:hanging="284"/>
    </w:pPr>
  </w:style>
  <w:style w:type="paragraph" w:customStyle="1" w:styleId="Bullet2">
    <w:name w:val="Bullet 2"/>
    <w:basedOn w:val="Bullet1"/>
    <w:qFormat/>
    <w:rsid w:val="001C013B"/>
    <w:pPr>
      <w:numPr>
        <w:ilvl w:val="1"/>
      </w:numPr>
      <w:tabs>
        <w:tab w:val="clear" w:pos="568"/>
        <w:tab w:val="left" w:pos="851"/>
      </w:tabs>
      <w:ind w:left="851" w:hanging="284"/>
    </w:pPr>
  </w:style>
  <w:style w:type="paragraph" w:customStyle="1" w:styleId="Bullet3">
    <w:name w:val="Bullet 3"/>
    <w:basedOn w:val="Bullet2"/>
    <w:qFormat/>
    <w:rsid w:val="001C013B"/>
    <w:pPr>
      <w:numPr>
        <w:ilvl w:val="2"/>
      </w:numPr>
      <w:tabs>
        <w:tab w:val="clear" w:pos="852"/>
        <w:tab w:val="left" w:pos="1134"/>
      </w:tabs>
      <w:ind w:left="1135" w:hanging="284"/>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ind w:left="851"/>
    </w:pPr>
  </w:style>
  <w:style w:type="paragraph" w:customStyle="1" w:styleId="Heading1Numbered">
    <w:name w:val="Heading 1 Numbered"/>
    <w:basedOn w:val="Heading1"/>
    <w:next w:val="Normal"/>
    <w:qFormat/>
    <w:rsid w:val="009946C6"/>
    <w:pPr>
      <w:numPr>
        <w:numId w:val="7"/>
      </w:numPr>
      <w:spacing w:after="3000" w:line="240" w:lineRule="auto"/>
    </w:pPr>
  </w:style>
  <w:style w:type="paragraph" w:customStyle="1" w:styleId="Heading2Numbered">
    <w:name w:val="Heading 2 Numbered"/>
    <w:basedOn w:val="Heading2"/>
    <w:next w:val="Normal"/>
    <w:qFormat/>
    <w:rsid w:val="00501EA3"/>
    <w:pPr>
      <w:numPr>
        <w:ilvl w:val="1"/>
        <w:numId w:val="7"/>
      </w:numPr>
      <w:spacing w:after="60"/>
    </w:pPr>
    <w:rPr>
      <w:bCs/>
    </w:rPr>
  </w:style>
  <w:style w:type="paragraph" w:customStyle="1" w:styleId="Heading3Numbered">
    <w:name w:val="Heading 3 Numbered"/>
    <w:basedOn w:val="Heading3"/>
    <w:next w:val="Normal"/>
    <w:qFormat/>
    <w:rsid w:val="00501EA3"/>
    <w:pPr>
      <w:numPr>
        <w:ilvl w:val="2"/>
        <w:numId w:val="7"/>
      </w:numPr>
      <w:spacing w:before="300" w:after="60"/>
    </w:pPr>
    <w:rPr>
      <w:szCs w:val="22"/>
      <w:lang w:val="en-GB"/>
    </w:rPr>
  </w:style>
  <w:style w:type="numbering" w:customStyle="1" w:styleId="BulletsList">
    <w:name w:val="Bullets List"/>
    <w:uiPriority w:val="99"/>
    <w:rsid w:val="001C013B"/>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501EA3"/>
    <w:pPr>
      <w:spacing w:before="400" w:after="400" w:line="280" w:lineRule="exact"/>
    </w:pPr>
    <w:rPr>
      <w:b/>
      <w:caps/>
      <w:color w:val="ACD08C" w:themeColor="accent3"/>
      <w:sz w:val="28"/>
    </w:rPr>
  </w:style>
  <w:style w:type="table" w:styleId="TableGrid">
    <w:name w:val="Table Grid"/>
    <w:basedOn w:val="TableNormal"/>
    <w:uiPriority w:val="59"/>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501EA3"/>
    <w:pPr>
      <w:spacing w:after="600"/>
    </w:p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8"/>
      </w:numPr>
      <w:ind w:left="454" w:hanging="170"/>
    </w:pPr>
  </w:style>
  <w:style w:type="paragraph" w:customStyle="1" w:styleId="Box2Bullet">
    <w:name w:val="Box 2 Bullet"/>
    <w:basedOn w:val="Box2Text"/>
    <w:qFormat/>
    <w:rsid w:val="00C16478"/>
    <w:pPr>
      <w:numPr>
        <w:numId w:val="9"/>
      </w:numPr>
      <w:ind w:left="454" w:hanging="170"/>
    </w:pPr>
  </w:style>
  <w:style w:type="paragraph" w:styleId="ListParagraph">
    <w:name w:val="List Paragraph"/>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semiHidden/>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semiHidden/>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paragraph" w:customStyle="1" w:styleId="TableTextEntries">
    <w:name w:val="Table Text Entries"/>
    <w:basedOn w:val="Normal"/>
    <w:rsid w:val="00863AFD"/>
    <w:pPr>
      <w:suppressAutoHyphens w:val="0"/>
      <w:spacing w:before="40" w:after="40" w:line="200" w:lineRule="atLeast"/>
    </w:pPr>
    <w:rPr>
      <w:rFonts w:ascii="Franklin Gothic Book" w:eastAsia="Calibri" w:hAnsi="Franklin Gothic Book" w:cs="Times New Roman"/>
      <w:color w:val="auto"/>
      <w:sz w:val="17"/>
      <w:szCs w:val="17"/>
      <w:lang w:val="en-AU"/>
    </w:rPr>
  </w:style>
  <w:style w:type="paragraph" w:customStyle="1" w:styleId="TableHeading1">
    <w:name w:val="Table Heading 1"/>
    <w:basedOn w:val="Normal"/>
    <w:next w:val="TableTextEntries"/>
    <w:rsid w:val="00863AFD"/>
    <w:pPr>
      <w:suppressAutoHyphens w:val="0"/>
      <w:spacing w:before="80" w:after="80" w:line="200" w:lineRule="atLeast"/>
    </w:pPr>
    <w:rPr>
      <w:rFonts w:ascii="Franklin Gothic Book" w:eastAsia="Calibri" w:hAnsi="Franklin Gothic Book" w:cs="Times New Roman"/>
      <w:b/>
      <w:color w:val="auto"/>
      <w:sz w:val="17"/>
      <w:szCs w:val="17"/>
      <w:lang w:val="en-AU"/>
    </w:rPr>
  </w:style>
  <w:style w:type="paragraph" w:customStyle="1" w:styleId="TableHeading2">
    <w:name w:val="Table Heading 2"/>
    <w:basedOn w:val="Normal"/>
    <w:next w:val="TableTextEntries"/>
    <w:rsid w:val="00863AFD"/>
    <w:pPr>
      <w:suppressAutoHyphens w:val="0"/>
      <w:spacing w:before="40" w:after="40" w:line="200" w:lineRule="atLeast"/>
    </w:pPr>
    <w:rPr>
      <w:rFonts w:ascii="Franklin Gothic Book" w:eastAsia="Calibri" w:hAnsi="Franklin Gothic Book" w:cs="Times New Roman"/>
      <w:b/>
      <w:i/>
      <w:color w:val="auto"/>
      <w:sz w:val="17"/>
      <w:szCs w:val="17"/>
      <w:lang w:val="en-AU"/>
    </w:rPr>
  </w:style>
  <w:style w:type="table" w:customStyle="1" w:styleId="DFATTable">
    <w:name w:val="DFAT Table"/>
    <w:basedOn w:val="TableNormal"/>
    <w:uiPriority w:val="99"/>
    <w:rsid w:val="00863AFD"/>
    <w:pPr>
      <w:spacing w:after="0" w:line="240" w:lineRule="auto"/>
    </w:pPr>
    <w:rPr>
      <w:rFonts w:ascii="Helvetica" w:eastAsia="Calibri" w:hAnsi="Helvetica" w:cs="Times New Roman"/>
      <w:sz w:val="17"/>
      <w:lang w:eastAsia="en-AU"/>
    </w:rPr>
    <w:tblPr>
      <w:tblBorders>
        <w:top w:val="single" w:sz="12" w:space="0" w:color="auto"/>
        <w:bottom w:val="single" w:sz="12" w:space="0" w:color="auto"/>
      </w:tblBorders>
    </w:tblPr>
  </w:style>
  <w:style w:type="paragraph" w:styleId="ListBullet">
    <w:name w:val="List Bullet"/>
    <w:basedOn w:val="BodyText"/>
    <w:locked/>
    <w:rsid w:val="00F22E77"/>
    <w:pPr>
      <w:numPr>
        <w:numId w:val="11"/>
      </w:numPr>
      <w:suppressAutoHyphens w:val="0"/>
      <w:spacing w:before="0" w:after="120" w:line="280" w:lineRule="exact"/>
    </w:pPr>
    <w:rPr>
      <w:rFonts w:ascii="Franklin Gothic Book" w:eastAsia="Times New Roman" w:hAnsi="Franklin Gothic Book" w:cs="Times New Roman"/>
      <w:color w:val="auto"/>
      <w:sz w:val="21"/>
      <w:szCs w:val="24"/>
      <w:lang w:val="en-AU" w:eastAsia="en-AU"/>
    </w:rPr>
  </w:style>
  <w:style w:type="paragraph" w:customStyle="1" w:styleId="p1">
    <w:name w:val="p1"/>
    <w:basedOn w:val="Normal"/>
    <w:rsid w:val="00D81AEE"/>
    <w:pPr>
      <w:suppressAutoHyphens w:val="0"/>
      <w:spacing w:before="0" w:after="0" w:line="240" w:lineRule="auto"/>
    </w:pPr>
    <w:rPr>
      <w:rFonts w:ascii="Arial" w:hAnsi="Arial" w:cs="Arial"/>
      <w:color w:val="000000"/>
      <w:sz w:val="12"/>
      <w:szCs w:val="12"/>
      <w:lang w:eastAsia="en-GB"/>
    </w:rPr>
  </w:style>
  <w:style w:type="paragraph" w:styleId="Revision">
    <w:name w:val="Revision"/>
    <w:hidden/>
    <w:uiPriority w:val="99"/>
    <w:semiHidden/>
    <w:rsid w:val="0054744D"/>
    <w:pPr>
      <w:spacing w:after="0" w:line="240" w:lineRule="auto"/>
    </w:pPr>
    <w:rPr>
      <w:color w:val="495965" w:themeColor="text2"/>
      <w:lang w:val="en-GB"/>
    </w:rPr>
  </w:style>
  <w:style w:type="paragraph" w:styleId="DocumentMap">
    <w:name w:val="Document Map"/>
    <w:basedOn w:val="Normal"/>
    <w:link w:val="DocumentMapChar"/>
    <w:uiPriority w:val="99"/>
    <w:semiHidden/>
    <w:unhideWhenUsed/>
    <w:locked/>
    <w:rsid w:val="00A4402E"/>
    <w:pPr>
      <w:spacing w:before="0"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A4402E"/>
    <w:rPr>
      <w:rFonts w:ascii="Times New Roman" w:hAnsi="Times New Roman" w:cs="Times New Roman"/>
      <w:color w:val="495965" w:themeColor="text2"/>
      <w:sz w:val="24"/>
      <w:szCs w:val="24"/>
      <w:lang w:val="en-GB"/>
    </w:rPr>
  </w:style>
  <w:style w:type="character" w:customStyle="1" w:styleId="ListParagraphChar">
    <w:name w:val="List Paragraph Char"/>
    <w:basedOn w:val="DefaultParagraphFont"/>
    <w:link w:val="ListParagraph"/>
    <w:uiPriority w:val="34"/>
    <w:locked/>
    <w:rsid w:val="008B4AE8"/>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693210">
      <w:bodyDiv w:val="1"/>
      <w:marLeft w:val="0"/>
      <w:marRight w:val="0"/>
      <w:marTop w:val="0"/>
      <w:marBottom w:val="0"/>
      <w:divBdr>
        <w:top w:val="none" w:sz="0" w:space="0" w:color="auto"/>
        <w:left w:val="none" w:sz="0" w:space="0" w:color="auto"/>
        <w:bottom w:val="none" w:sz="0" w:space="0" w:color="auto"/>
        <w:right w:val="none" w:sz="0" w:space="0" w:color="auto"/>
      </w:divBdr>
    </w:div>
    <w:div w:id="474639487">
      <w:bodyDiv w:val="1"/>
      <w:marLeft w:val="0"/>
      <w:marRight w:val="0"/>
      <w:marTop w:val="0"/>
      <w:marBottom w:val="0"/>
      <w:divBdr>
        <w:top w:val="none" w:sz="0" w:space="0" w:color="auto"/>
        <w:left w:val="none" w:sz="0" w:space="0" w:color="auto"/>
        <w:bottom w:val="none" w:sz="0" w:space="0" w:color="auto"/>
        <w:right w:val="none" w:sz="0" w:space="0" w:color="auto"/>
      </w:divBdr>
      <w:divsChild>
        <w:div w:id="81495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884065">
              <w:marLeft w:val="0"/>
              <w:marRight w:val="0"/>
              <w:marTop w:val="0"/>
              <w:marBottom w:val="0"/>
              <w:divBdr>
                <w:top w:val="none" w:sz="0" w:space="0" w:color="auto"/>
                <w:left w:val="none" w:sz="0" w:space="0" w:color="auto"/>
                <w:bottom w:val="none" w:sz="0" w:space="0" w:color="auto"/>
                <w:right w:val="none" w:sz="0" w:space="0" w:color="auto"/>
              </w:divBdr>
              <w:divsChild>
                <w:div w:id="103010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751445">
      <w:bodyDiv w:val="1"/>
      <w:marLeft w:val="0"/>
      <w:marRight w:val="0"/>
      <w:marTop w:val="0"/>
      <w:marBottom w:val="0"/>
      <w:divBdr>
        <w:top w:val="none" w:sz="0" w:space="0" w:color="auto"/>
        <w:left w:val="none" w:sz="0" w:space="0" w:color="auto"/>
        <w:bottom w:val="none" w:sz="0" w:space="0" w:color="auto"/>
        <w:right w:val="none" w:sz="0" w:space="0" w:color="auto"/>
      </w:divBdr>
    </w:div>
    <w:div w:id="884802457">
      <w:bodyDiv w:val="1"/>
      <w:marLeft w:val="0"/>
      <w:marRight w:val="0"/>
      <w:marTop w:val="0"/>
      <w:marBottom w:val="0"/>
      <w:divBdr>
        <w:top w:val="none" w:sz="0" w:space="0" w:color="auto"/>
        <w:left w:val="none" w:sz="0" w:space="0" w:color="auto"/>
        <w:bottom w:val="none" w:sz="0" w:space="0" w:color="auto"/>
        <w:right w:val="none" w:sz="0" w:space="0" w:color="auto"/>
      </w:divBdr>
      <w:divsChild>
        <w:div w:id="1571621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8286">
              <w:marLeft w:val="0"/>
              <w:marRight w:val="0"/>
              <w:marTop w:val="0"/>
              <w:marBottom w:val="0"/>
              <w:divBdr>
                <w:top w:val="none" w:sz="0" w:space="0" w:color="auto"/>
                <w:left w:val="none" w:sz="0" w:space="0" w:color="auto"/>
                <w:bottom w:val="none" w:sz="0" w:space="0" w:color="auto"/>
                <w:right w:val="none" w:sz="0" w:space="0" w:color="auto"/>
              </w:divBdr>
              <w:divsChild>
                <w:div w:id="650060224">
                  <w:marLeft w:val="0"/>
                  <w:marRight w:val="0"/>
                  <w:marTop w:val="0"/>
                  <w:marBottom w:val="0"/>
                  <w:divBdr>
                    <w:top w:val="none" w:sz="0" w:space="0" w:color="auto"/>
                    <w:left w:val="none" w:sz="0" w:space="0" w:color="auto"/>
                    <w:bottom w:val="none" w:sz="0" w:space="0" w:color="auto"/>
                    <w:right w:val="none" w:sz="0" w:space="0" w:color="auto"/>
                  </w:divBdr>
                  <w:divsChild>
                    <w:div w:id="873276592">
                      <w:marLeft w:val="0"/>
                      <w:marRight w:val="0"/>
                      <w:marTop w:val="0"/>
                      <w:marBottom w:val="0"/>
                      <w:divBdr>
                        <w:top w:val="none" w:sz="0" w:space="0" w:color="auto"/>
                        <w:left w:val="none" w:sz="0" w:space="0" w:color="auto"/>
                        <w:bottom w:val="none" w:sz="0" w:space="0" w:color="auto"/>
                        <w:right w:val="none" w:sz="0" w:space="0" w:color="auto"/>
                      </w:divBdr>
                    </w:div>
                    <w:div w:id="272640740">
                      <w:marLeft w:val="0"/>
                      <w:marRight w:val="0"/>
                      <w:marTop w:val="0"/>
                      <w:marBottom w:val="0"/>
                      <w:divBdr>
                        <w:top w:val="none" w:sz="0" w:space="0" w:color="auto"/>
                        <w:left w:val="none" w:sz="0" w:space="0" w:color="auto"/>
                        <w:bottom w:val="none" w:sz="0" w:space="0" w:color="auto"/>
                        <w:right w:val="none" w:sz="0" w:space="0" w:color="auto"/>
                      </w:divBdr>
                    </w:div>
                    <w:div w:id="1983731040">
                      <w:marLeft w:val="0"/>
                      <w:marRight w:val="0"/>
                      <w:marTop w:val="0"/>
                      <w:marBottom w:val="0"/>
                      <w:divBdr>
                        <w:top w:val="none" w:sz="0" w:space="0" w:color="auto"/>
                        <w:left w:val="none" w:sz="0" w:space="0" w:color="auto"/>
                        <w:bottom w:val="none" w:sz="0" w:space="0" w:color="auto"/>
                        <w:right w:val="none" w:sz="0" w:space="0" w:color="auto"/>
                      </w:divBdr>
                    </w:div>
                    <w:div w:id="1387147025">
                      <w:marLeft w:val="0"/>
                      <w:marRight w:val="0"/>
                      <w:marTop w:val="0"/>
                      <w:marBottom w:val="0"/>
                      <w:divBdr>
                        <w:top w:val="none" w:sz="0" w:space="0" w:color="auto"/>
                        <w:left w:val="none" w:sz="0" w:space="0" w:color="auto"/>
                        <w:bottom w:val="none" w:sz="0" w:space="0" w:color="auto"/>
                        <w:right w:val="none" w:sz="0" w:space="0" w:color="auto"/>
                      </w:divBdr>
                    </w:div>
                    <w:div w:id="746803511">
                      <w:marLeft w:val="0"/>
                      <w:marRight w:val="0"/>
                      <w:marTop w:val="0"/>
                      <w:marBottom w:val="0"/>
                      <w:divBdr>
                        <w:top w:val="none" w:sz="0" w:space="0" w:color="auto"/>
                        <w:left w:val="none" w:sz="0" w:space="0" w:color="auto"/>
                        <w:bottom w:val="none" w:sz="0" w:space="0" w:color="auto"/>
                        <w:right w:val="none" w:sz="0" w:space="0" w:color="auto"/>
                      </w:divBdr>
                    </w:div>
                    <w:div w:id="999114496">
                      <w:marLeft w:val="0"/>
                      <w:marRight w:val="0"/>
                      <w:marTop w:val="0"/>
                      <w:marBottom w:val="0"/>
                      <w:divBdr>
                        <w:top w:val="none" w:sz="0" w:space="0" w:color="auto"/>
                        <w:left w:val="none" w:sz="0" w:space="0" w:color="auto"/>
                        <w:bottom w:val="none" w:sz="0" w:space="0" w:color="auto"/>
                        <w:right w:val="none" w:sz="0" w:space="0" w:color="auto"/>
                      </w:divBdr>
                    </w:div>
                    <w:div w:id="1847749860">
                      <w:marLeft w:val="0"/>
                      <w:marRight w:val="0"/>
                      <w:marTop w:val="0"/>
                      <w:marBottom w:val="0"/>
                      <w:divBdr>
                        <w:top w:val="none" w:sz="0" w:space="0" w:color="auto"/>
                        <w:left w:val="none" w:sz="0" w:space="0" w:color="auto"/>
                        <w:bottom w:val="none" w:sz="0" w:space="0" w:color="auto"/>
                        <w:right w:val="none" w:sz="0" w:space="0" w:color="auto"/>
                      </w:divBdr>
                    </w:div>
                    <w:div w:id="187375802">
                      <w:marLeft w:val="0"/>
                      <w:marRight w:val="0"/>
                      <w:marTop w:val="0"/>
                      <w:marBottom w:val="0"/>
                      <w:divBdr>
                        <w:top w:val="none" w:sz="0" w:space="0" w:color="auto"/>
                        <w:left w:val="none" w:sz="0" w:space="0" w:color="auto"/>
                        <w:bottom w:val="none" w:sz="0" w:space="0" w:color="auto"/>
                        <w:right w:val="none" w:sz="0" w:space="0" w:color="auto"/>
                      </w:divBdr>
                    </w:div>
                    <w:div w:id="285089548">
                      <w:marLeft w:val="0"/>
                      <w:marRight w:val="0"/>
                      <w:marTop w:val="0"/>
                      <w:marBottom w:val="0"/>
                      <w:divBdr>
                        <w:top w:val="none" w:sz="0" w:space="0" w:color="auto"/>
                        <w:left w:val="none" w:sz="0" w:space="0" w:color="auto"/>
                        <w:bottom w:val="none" w:sz="0" w:space="0" w:color="auto"/>
                        <w:right w:val="none" w:sz="0" w:space="0" w:color="auto"/>
                      </w:divBdr>
                    </w:div>
                    <w:div w:id="8460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578907">
      <w:bodyDiv w:val="1"/>
      <w:marLeft w:val="0"/>
      <w:marRight w:val="0"/>
      <w:marTop w:val="0"/>
      <w:marBottom w:val="0"/>
      <w:divBdr>
        <w:top w:val="none" w:sz="0" w:space="0" w:color="auto"/>
        <w:left w:val="none" w:sz="0" w:space="0" w:color="auto"/>
        <w:bottom w:val="none" w:sz="0" w:space="0" w:color="auto"/>
        <w:right w:val="none" w:sz="0" w:space="0" w:color="auto"/>
      </w:divBdr>
    </w:div>
    <w:div w:id="1028414041">
      <w:bodyDiv w:val="1"/>
      <w:marLeft w:val="0"/>
      <w:marRight w:val="0"/>
      <w:marTop w:val="0"/>
      <w:marBottom w:val="0"/>
      <w:divBdr>
        <w:top w:val="none" w:sz="0" w:space="0" w:color="auto"/>
        <w:left w:val="none" w:sz="0" w:space="0" w:color="auto"/>
        <w:bottom w:val="none" w:sz="0" w:space="0" w:color="auto"/>
        <w:right w:val="none" w:sz="0" w:space="0" w:color="auto"/>
      </w:divBdr>
      <w:divsChild>
        <w:div w:id="610431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647039">
              <w:marLeft w:val="0"/>
              <w:marRight w:val="0"/>
              <w:marTop w:val="0"/>
              <w:marBottom w:val="0"/>
              <w:divBdr>
                <w:top w:val="none" w:sz="0" w:space="0" w:color="auto"/>
                <w:left w:val="none" w:sz="0" w:space="0" w:color="auto"/>
                <w:bottom w:val="none" w:sz="0" w:space="0" w:color="auto"/>
                <w:right w:val="none" w:sz="0" w:space="0" w:color="auto"/>
              </w:divBdr>
              <w:divsChild>
                <w:div w:id="799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03567">
      <w:bodyDiv w:val="1"/>
      <w:marLeft w:val="0"/>
      <w:marRight w:val="0"/>
      <w:marTop w:val="0"/>
      <w:marBottom w:val="0"/>
      <w:divBdr>
        <w:top w:val="none" w:sz="0" w:space="0" w:color="auto"/>
        <w:left w:val="none" w:sz="0" w:space="0" w:color="auto"/>
        <w:bottom w:val="none" w:sz="0" w:space="0" w:color="auto"/>
        <w:right w:val="none" w:sz="0" w:space="0" w:color="auto"/>
      </w:divBdr>
    </w:div>
    <w:div w:id="1221551451">
      <w:bodyDiv w:val="1"/>
      <w:marLeft w:val="0"/>
      <w:marRight w:val="0"/>
      <w:marTop w:val="0"/>
      <w:marBottom w:val="0"/>
      <w:divBdr>
        <w:top w:val="none" w:sz="0" w:space="0" w:color="auto"/>
        <w:left w:val="none" w:sz="0" w:space="0" w:color="auto"/>
        <w:bottom w:val="none" w:sz="0" w:space="0" w:color="auto"/>
        <w:right w:val="none" w:sz="0" w:space="0" w:color="auto"/>
      </w:divBdr>
      <w:divsChild>
        <w:div w:id="76592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687919">
              <w:marLeft w:val="0"/>
              <w:marRight w:val="0"/>
              <w:marTop w:val="0"/>
              <w:marBottom w:val="0"/>
              <w:divBdr>
                <w:top w:val="none" w:sz="0" w:space="0" w:color="auto"/>
                <w:left w:val="none" w:sz="0" w:space="0" w:color="auto"/>
                <w:bottom w:val="none" w:sz="0" w:space="0" w:color="auto"/>
                <w:right w:val="none" w:sz="0" w:space="0" w:color="auto"/>
              </w:divBdr>
              <w:divsChild>
                <w:div w:id="70683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971901">
      <w:bodyDiv w:val="1"/>
      <w:marLeft w:val="0"/>
      <w:marRight w:val="0"/>
      <w:marTop w:val="0"/>
      <w:marBottom w:val="0"/>
      <w:divBdr>
        <w:top w:val="none" w:sz="0" w:space="0" w:color="auto"/>
        <w:left w:val="none" w:sz="0" w:space="0" w:color="auto"/>
        <w:bottom w:val="none" w:sz="0" w:space="0" w:color="auto"/>
        <w:right w:val="none" w:sz="0" w:space="0" w:color="auto"/>
      </w:divBdr>
      <w:divsChild>
        <w:div w:id="1110661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743216">
              <w:marLeft w:val="0"/>
              <w:marRight w:val="0"/>
              <w:marTop w:val="0"/>
              <w:marBottom w:val="0"/>
              <w:divBdr>
                <w:top w:val="none" w:sz="0" w:space="0" w:color="auto"/>
                <w:left w:val="none" w:sz="0" w:space="0" w:color="auto"/>
                <w:bottom w:val="none" w:sz="0" w:space="0" w:color="auto"/>
                <w:right w:val="none" w:sz="0" w:space="0" w:color="auto"/>
              </w:divBdr>
              <w:divsChild>
                <w:div w:id="116936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77345">
      <w:bodyDiv w:val="1"/>
      <w:marLeft w:val="0"/>
      <w:marRight w:val="0"/>
      <w:marTop w:val="0"/>
      <w:marBottom w:val="0"/>
      <w:divBdr>
        <w:top w:val="none" w:sz="0" w:space="0" w:color="auto"/>
        <w:left w:val="none" w:sz="0" w:space="0" w:color="auto"/>
        <w:bottom w:val="none" w:sz="0" w:space="0" w:color="auto"/>
        <w:right w:val="none" w:sz="0" w:space="0" w:color="auto"/>
      </w:divBdr>
    </w:div>
    <w:div w:id="1924338330">
      <w:bodyDiv w:val="1"/>
      <w:marLeft w:val="0"/>
      <w:marRight w:val="0"/>
      <w:marTop w:val="0"/>
      <w:marBottom w:val="0"/>
      <w:divBdr>
        <w:top w:val="none" w:sz="0" w:space="0" w:color="auto"/>
        <w:left w:val="none" w:sz="0" w:space="0" w:color="auto"/>
        <w:bottom w:val="none" w:sz="0" w:space="0" w:color="auto"/>
        <w:right w:val="none" w:sz="0" w:space="0" w:color="auto"/>
      </w:divBdr>
    </w:div>
    <w:div w:id="1945065083">
      <w:bodyDiv w:val="1"/>
      <w:marLeft w:val="0"/>
      <w:marRight w:val="0"/>
      <w:marTop w:val="0"/>
      <w:marBottom w:val="0"/>
      <w:divBdr>
        <w:top w:val="none" w:sz="0" w:space="0" w:color="auto"/>
        <w:left w:val="none" w:sz="0" w:space="0" w:color="auto"/>
        <w:bottom w:val="none" w:sz="0" w:space="0" w:color="auto"/>
        <w:right w:val="none" w:sz="0" w:space="0" w:color="auto"/>
      </w:divBdr>
      <w:divsChild>
        <w:div w:id="1435974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80667">
              <w:marLeft w:val="0"/>
              <w:marRight w:val="0"/>
              <w:marTop w:val="0"/>
              <w:marBottom w:val="0"/>
              <w:divBdr>
                <w:top w:val="none" w:sz="0" w:space="0" w:color="auto"/>
                <w:left w:val="none" w:sz="0" w:space="0" w:color="auto"/>
                <w:bottom w:val="none" w:sz="0" w:space="0" w:color="auto"/>
                <w:right w:val="none" w:sz="0" w:space="0" w:color="auto"/>
              </w:divBdr>
              <w:divsChild>
                <w:div w:id="955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93880">
      <w:bodyDiv w:val="1"/>
      <w:marLeft w:val="0"/>
      <w:marRight w:val="0"/>
      <w:marTop w:val="0"/>
      <w:marBottom w:val="0"/>
      <w:divBdr>
        <w:top w:val="none" w:sz="0" w:space="0" w:color="auto"/>
        <w:left w:val="none" w:sz="0" w:space="0" w:color="auto"/>
        <w:bottom w:val="none" w:sz="0" w:space="0" w:color="auto"/>
        <w:right w:val="none" w:sz="0" w:space="0" w:color="auto"/>
      </w:divBdr>
      <w:divsChild>
        <w:div w:id="837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794385">
              <w:marLeft w:val="0"/>
              <w:marRight w:val="0"/>
              <w:marTop w:val="0"/>
              <w:marBottom w:val="0"/>
              <w:divBdr>
                <w:top w:val="none" w:sz="0" w:space="0" w:color="auto"/>
                <w:left w:val="none" w:sz="0" w:space="0" w:color="auto"/>
                <w:bottom w:val="none" w:sz="0" w:space="0" w:color="auto"/>
                <w:right w:val="none" w:sz="0" w:space="0" w:color="auto"/>
              </w:divBdr>
              <w:divsChild>
                <w:div w:id="15016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97E0CA36F93F49A064E94984C37C74" ma:contentTypeVersion="1" ma:contentTypeDescription="Create a new document." ma:contentTypeScope="" ma:versionID="a1ec0aab63804d740f38be68fd3aa03d">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31A927-2A61-43AC-BBA6-B29ABF600146}"/>
</file>

<file path=customXml/itemProps2.xml><?xml version="1.0" encoding="utf-8"?>
<ds:datastoreItem xmlns:ds="http://schemas.openxmlformats.org/officeDocument/2006/customXml" ds:itemID="{01261940-64EF-4F39-A1DE-A580D87E761B}"/>
</file>

<file path=customXml/itemProps3.xml><?xml version="1.0" encoding="utf-8"?>
<ds:datastoreItem xmlns:ds="http://schemas.openxmlformats.org/officeDocument/2006/customXml" ds:itemID="{0E0D32AB-3723-427A-B3EF-E6B1268CF768}"/>
</file>

<file path=customXml/itemProps4.xml><?xml version="1.0" encoding="utf-8"?>
<ds:datastoreItem xmlns:ds="http://schemas.openxmlformats.org/officeDocument/2006/customXml" ds:itemID="{29C92C34-8CF9-4A15-9A02-D2E81991B606}"/>
</file>

<file path=docProps/app.xml><?xml version="1.0" encoding="utf-8"?>
<Properties xmlns="http://schemas.openxmlformats.org/officeDocument/2006/extended-properties" xmlns:vt="http://schemas.openxmlformats.org/officeDocument/2006/docPropsVTypes">
  <Template>Normal.dotm</Template>
  <TotalTime>0</TotalTime>
  <Pages>19</Pages>
  <Words>5070</Words>
  <Characters>31541</Characters>
  <Application>Microsoft Office Word</Application>
  <DocSecurity>0</DocSecurity>
  <Lines>630</Lines>
  <Paragraphs>342</Paragraphs>
  <ScaleCrop>false</ScaleCrop>
  <Company/>
  <LinksUpToDate>false</LinksUpToDate>
  <CharactersWithSpaces>36269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2019-03-25T22:59:00Z</dcterms:created>
  <dcterms:modified xsi:type="dcterms:W3CDTF">2019-03-25T22:59:00Z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3581c2b1-cf7f-4622-9edb-764651962964</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0x0101003B97E0CA36F93F49A064E94984C37C74</vt:lpwstr>
  </property>
  <property fmtid="{D5CDD505-2E9C-101B-9397-08002B2CF9AE}" pid="6" name="Order">
    <vt:r8>81700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